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1779EA" w:rsidRDefault="00871C2F" w:rsidP="00247EDC">
      <w:pPr>
        <w:pStyle w:val="1-MainHeading"/>
      </w:pPr>
      <w:bookmarkStart w:id="0" w:name="_Toc40935305"/>
      <w:bookmarkStart w:id="1" w:name="_Toc38290333"/>
      <w:bookmarkStart w:id="2" w:name="_Toc38305880"/>
      <w:r w:rsidRPr="001779EA">
        <w:t>5.06</w:t>
      </w:r>
      <w:r w:rsidR="00163F66" w:rsidRPr="001779EA">
        <w:tab/>
      </w:r>
      <w:r w:rsidR="00122A62" w:rsidRPr="001779EA">
        <w:t>FULVESTRANT</w:t>
      </w:r>
      <w:r w:rsidR="00163F66" w:rsidRPr="001779EA">
        <w:t>,</w:t>
      </w:r>
      <w:r w:rsidR="00163F66" w:rsidRPr="001779EA">
        <w:br/>
      </w:r>
      <w:r w:rsidR="00AB7189" w:rsidRPr="001779EA">
        <w:t xml:space="preserve">Injection 250 mg in 5 mL pre-filled syringe, </w:t>
      </w:r>
      <w:r w:rsidR="00163F66" w:rsidRPr="001779EA">
        <w:br/>
      </w:r>
      <w:r w:rsidR="00122A62" w:rsidRPr="001779EA">
        <w:t>Faslodex</w:t>
      </w:r>
      <w:r w:rsidR="00B60939" w:rsidRPr="001779EA">
        <w:rPr>
          <w:vertAlign w:val="superscript"/>
        </w:rPr>
        <w:t>®</w:t>
      </w:r>
      <w:r w:rsidR="004A6040" w:rsidRPr="001779EA">
        <w:t>,</w:t>
      </w:r>
      <w:r w:rsidR="004A6040" w:rsidRPr="001779EA">
        <w:br/>
      </w:r>
      <w:r w:rsidR="00122A62" w:rsidRPr="001779EA">
        <w:t xml:space="preserve">AstraZeneca </w:t>
      </w:r>
      <w:r w:rsidR="00AB7189" w:rsidRPr="001779EA">
        <w:t>Pty Ltd.</w:t>
      </w:r>
      <w:bookmarkEnd w:id="0"/>
      <w:r w:rsidR="00AB7189" w:rsidRPr="001779EA">
        <w:t xml:space="preserve"> </w:t>
      </w:r>
      <w:bookmarkEnd w:id="1"/>
      <w:bookmarkEnd w:id="2"/>
    </w:p>
    <w:p w:rsidR="00D1772B" w:rsidRPr="001779EA" w:rsidRDefault="00D1772B" w:rsidP="00D1772B">
      <w:pPr>
        <w:pStyle w:val="2-SectionHeading"/>
      </w:pPr>
      <w:bookmarkStart w:id="3" w:name="_Toc40935307"/>
      <w:bookmarkStart w:id="4" w:name="_Toc38290335"/>
      <w:bookmarkStart w:id="5" w:name="_Toc38305882"/>
      <w:bookmarkStart w:id="6" w:name="_Toc22897645"/>
      <w:bookmarkStart w:id="7" w:name="_Toc38290347"/>
      <w:bookmarkStart w:id="8" w:name="_Toc38305894"/>
      <w:r w:rsidRPr="001779EA">
        <w:t>Purpose of submission</w:t>
      </w:r>
      <w:bookmarkEnd w:id="3"/>
    </w:p>
    <w:bookmarkEnd w:id="4"/>
    <w:bookmarkEnd w:id="5"/>
    <w:p w:rsidR="0079059D" w:rsidRPr="001779EA" w:rsidRDefault="0079059D" w:rsidP="0055637E">
      <w:pPr>
        <w:pStyle w:val="3-BodyText"/>
      </w:pPr>
      <w:r w:rsidRPr="001779EA">
        <w:t xml:space="preserve">The submission requested a streamlined listing for fulvestrant monotherapy for first-line and second-line endocrine-based treatment of </w:t>
      </w:r>
      <w:r w:rsidR="00E00EA8" w:rsidRPr="001779EA">
        <w:t xml:space="preserve">patients </w:t>
      </w:r>
      <w:r w:rsidRPr="001779EA">
        <w:t xml:space="preserve">with </w:t>
      </w:r>
      <w:r w:rsidR="00E00EA8" w:rsidRPr="001779EA">
        <w:t>non-premenopausal</w:t>
      </w:r>
      <w:r w:rsidRPr="001779EA">
        <w:t xml:space="preserve">, hormone receptor positive (HR+) and human epidermal growth factor receptor 2 negative (HER2-) advanced or metastatic breast cancer (ABC). </w:t>
      </w:r>
    </w:p>
    <w:p w:rsidR="0079059D" w:rsidRPr="001779EA" w:rsidRDefault="0079059D" w:rsidP="00247EDC">
      <w:pPr>
        <w:pStyle w:val="3-BodyText"/>
      </w:pPr>
      <w:r w:rsidRPr="001779EA">
        <w:t xml:space="preserve">The submission </w:t>
      </w:r>
      <w:r w:rsidR="001D6DD5" w:rsidRPr="001779EA">
        <w:t>presented</w:t>
      </w:r>
      <w:r w:rsidRPr="001779EA">
        <w:t xml:space="preserve"> a cost-effectiveness analysis of fulvestrant versus anastrozole for first-line treatment. A cost-minimisation analysis of fulvestrant v</w:t>
      </w:r>
      <w:r w:rsidR="00D4287A" w:rsidRPr="001779EA">
        <w:t xml:space="preserve">ersus everolimus + </w:t>
      </w:r>
      <w:r w:rsidRPr="001779EA">
        <w:t xml:space="preserve">exemestane </w:t>
      </w:r>
      <w:r w:rsidR="009A7721" w:rsidRPr="001779EA">
        <w:t xml:space="preserve">(EVE+EXE) </w:t>
      </w:r>
      <w:r w:rsidRPr="001779EA">
        <w:t xml:space="preserve">was presented for the second-line treatment of </w:t>
      </w:r>
      <w:r w:rsidR="00B065C3" w:rsidRPr="001779EA">
        <w:t xml:space="preserve">patients </w:t>
      </w:r>
      <w:r w:rsidRPr="001779EA">
        <w:t>who have progressed in the first-line setting.</w:t>
      </w:r>
      <w:r w:rsidRPr="001779EA">
        <w:rPr>
          <w:color w:val="0066FF"/>
        </w:rPr>
        <w:t xml:space="preserve"> </w:t>
      </w:r>
    </w:p>
    <w:p w:rsidR="0079059D" w:rsidRPr="001779EA" w:rsidRDefault="0079059D" w:rsidP="00247EDC">
      <w:pPr>
        <w:pStyle w:val="TableFigureHeading"/>
      </w:pPr>
      <w:r w:rsidRPr="001779EA">
        <w:rPr>
          <w:snapToGrid w:val="0"/>
        </w:rPr>
        <w:t>Table 1: Key components of the clinical issue addressed by the submission (as stated in the submission)</w:t>
      </w:r>
    </w:p>
    <w:tbl>
      <w:tblPr>
        <w:tblStyle w:val="AZTable"/>
        <w:tblW w:w="5000" w:type="pct"/>
        <w:tblLook w:val="04A0" w:firstRow="1" w:lastRow="0" w:firstColumn="1" w:lastColumn="0" w:noHBand="0" w:noVBand="1"/>
        <w:tblCaption w:val="Table 1: Key components of the clinical issue addressed by the submission (as stated in the submission)"/>
      </w:tblPr>
      <w:tblGrid>
        <w:gridCol w:w="1271"/>
        <w:gridCol w:w="7746"/>
      </w:tblGrid>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hideMark/>
          </w:tcPr>
          <w:p w:rsidR="0079059D" w:rsidRPr="001779EA" w:rsidRDefault="0079059D" w:rsidP="00247EDC">
            <w:pPr>
              <w:keepNext/>
              <w:spacing w:before="20" w:after="20"/>
              <w:rPr>
                <w:rFonts w:ascii="Arial Narrow" w:hAnsi="Arial Narrow"/>
                <w:b/>
                <w:sz w:val="20"/>
                <w:szCs w:val="20"/>
                <w:lang w:bidi="en-US"/>
              </w:rPr>
            </w:pPr>
            <w:r w:rsidRPr="001779EA">
              <w:rPr>
                <w:rFonts w:ascii="Arial Narrow" w:hAnsi="Arial Narrow"/>
                <w:b/>
                <w:sz w:val="20"/>
                <w:szCs w:val="20"/>
                <w:lang w:bidi="en-US"/>
              </w:rPr>
              <w:t>Component</w:t>
            </w:r>
          </w:p>
        </w:tc>
        <w:tc>
          <w:tcPr>
            <w:tcW w:w="4295" w:type="pct"/>
            <w:hideMark/>
          </w:tcPr>
          <w:p w:rsidR="0079059D" w:rsidRPr="001779EA" w:rsidRDefault="0079059D" w:rsidP="00247EDC">
            <w:pPr>
              <w:keepNext/>
              <w:spacing w:before="20" w:after="20"/>
              <w:rPr>
                <w:rFonts w:ascii="Arial Narrow" w:hAnsi="Arial Narrow"/>
                <w:b/>
                <w:sz w:val="20"/>
                <w:szCs w:val="20"/>
                <w:lang w:bidi="en-US"/>
              </w:rPr>
            </w:pPr>
            <w:r w:rsidRPr="001779EA">
              <w:rPr>
                <w:rFonts w:ascii="Arial Narrow" w:hAnsi="Arial Narrow"/>
                <w:b/>
                <w:sz w:val="20"/>
                <w:szCs w:val="20"/>
                <w:lang w:bidi="en-US"/>
              </w:rPr>
              <w:t>Description</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hideMark/>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Population</w:t>
            </w:r>
          </w:p>
        </w:tc>
        <w:tc>
          <w:tcPr>
            <w:tcW w:w="4295" w:type="pct"/>
            <w:hideMark/>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HR+, HER2- ABC</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bottom w:val="single" w:sz="4" w:space="0" w:color="auto"/>
            </w:tcBorders>
            <w:hideMark/>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Intervention</w:t>
            </w:r>
          </w:p>
        </w:tc>
        <w:tc>
          <w:tcPr>
            <w:tcW w:w="4295" w:type="pct"/>
            <w:tcBorders>
              <w:bottom w:val="single" w:sz="4" w:space="0" w:color="auto"/>
            </w:tcBorders>
            <w:hideMark/>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Fulvestrant (Faslodex)</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bottom w:val="nil"/>
            </w:tcBorders>
            <w:hideMark/>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Comparator</w:t>
            </w:r>
          </w:p>
        </w:tc>
        <w:tc>
          <w:tcPr>
            <w:tcW w:w="4295" w:type="pct"/>
            <w:tcBorders>
              <w:bottom w:val="nil"/>
            </w:tcBorders>
            <w:hideMark/>
          </w:tcPr>
          <w:p w:rsidR="0079059D" w:rsidRPr="001779EA" w:rsidRDefault="000A4355" w:rsidP="00247EDC">
            <w:pPr>
              <w:keepNext/>
              <w:spacing w:before="20" w:after="20"/>
              <w:rPr>
                <w:rFonts w:ascii="Arial Narrow" w:hAnsi="Arial Narrow"/>
                <w:sz w:val="20"/>
                <w:szCs w:val="20"/>
                <w:lang w:bidi="en-US"/>
              </w:rPr>
            </w:pPr>
            <w:r w:rsidRPr="001779EA">
              <w:rPr>
                <w:rFonts w:ascii="Arial Narrow" w:hAnsi="Arial Narrow"/>
                <w:sz w:val="20"/>
                <w:szCs w:val="20"/>
                <w:lang w:bidi="en-US"/>
              </w:rPr>
              <w:t>First-</w:t>
            </w:r>
            <w:r w:rsidR="0079059D" w:rsidRPr="001779EA">
              <w:rPr>
                <w:rFonts w:ascii="Arial Narrow" w:hAnsi="Arial Narrow"/>
                <w:sz w:val="20"/>
                <w:szCs w:val="20"/>
                <w:lang w:bidi="en-US"/>
              </w:rPr>
              <w:t xml:space="preserve">line: </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top w:val="nil"/>
              <w:bottom w:val="nil"/>
            </w:tcBorders>
          </w:tcPr>
          <w:p w:rsidR="0079059D" w:rsidRPr="001779EA" w:rsidRDefault="0079059D" w:rsidP="00247EDC">
            <w:pPr>
              <w:keepNext/>
              <w:spacing w:before="20" w:after="20"/>
              <w:rPr>
                <w:rFonts w:ascii="Arial Narrow" w:hAnsi="Arial Narrow"/>
                <w:sz w:val="20"/>
                <w:szCs w:val="20"/>
                <w:lang w:bidi="en-US"/>
              </w:rPr>
            </w:pPr>
          </w:p>
        </w:tc>
        <w:tc>
          <w:tcPr>
            <w:tcW w:w="4295" w:type="pct"/>
            <w:tcBorders>
              <w:top w:val="nil"/>
              <w:bottom w:val="single" w:sz="4" w:space="0" w:color="auto"/>
            </w:tcBorders>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Primary – Nonsteroidal aromatase inhibitors (anastrozole, letrozole)</w:t>
            </w:r>
          </w:p>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Secondary – Nonsteroidal aromatase inhibitors + CDK4/6 inhibitors (palbociclib, ribociclib)</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top w:val="nil"/>
              <w:bottom w:val="nil"/>
            </w:tcBorders>
          </w:tcPr>
          <w:p w:rsidR="0079059D" w:rsidRPr="001779EA" w:rsidRDefault="0079059D" w:rsidP="00247EDC">
            <w:pPr>
              <w:keepNext/>
              <w:spacing w:before="20" w:after="20"/>
              <w:rPr>
                <w:rFonts w:ascii="Arial Narrow" w:hAnsi="Arial Narrow"/>
                <w:sz w:val="20"/>
                <w:szCs w:val="20"/>
                <w:lang w:bidi="en-US"/>
              </w:rPr>
            </w:pPr>
          </w:p>
        </w:tc>
        <w:tc>
          <w:tcPr>
            <w:tcW w:w="4295" w:type="pct"/>
            <w:tcBorders>
              <w:bottom w:val="nil"/>
            </w:tcBorders>
          </w:tcPr>
          <w:p w:rsidR="0079059D" w:rsidRPr="001779EA" w:rsidRDefault="000A4355" w:rsidP="00247EDC">
            <w:pPr>
              <w:keepNext/>
              <w:spacing w:before="20" w:after="20"/>
              <w:rPr>
                <w:rFonts w:ascii="Arial Narrow" w:hAnsi="Arial Narrow"/>
                <w:sz w:val="20"/>
                <w:szCs w:val="20"/>
                <w:lang w:bidi="en-US"/>
              </w:rPr>
            </w:pPr>
            <w:r w:rsidRPr="001779EA">
              <w:rPr>
                <w:rFonts w:ascii="Arial Narrow" w:hAnsi="Arial Narrow"/>
                <w:sz w:val="20"/>
                <w:szCs w:val="20"/>
                <w:lang w:bidi="en-US"/>
              </w:rPr>
              <w:t>Second-</w:t>
            </w:r>
            <w:r w:rsidR="0079059D" w:rsidRPr="001779EA">
              <w:rPr>
                <w:rFonts w:ascii="Arial Narrow" w:hAnsi="Arial Narrow"/>
                <w:sz w:val="20"/>
                <w:szCs w:val="20"/>
                <w:lang w:bidi="en-US"/>
              </w:rPr>
              <w:t>line:</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top w:val="nil"/>
              <w:bottom w:val="single" w:sz="4" w:space="0" w:color="auto"/>
            </w:tcBorders>
          </w:tcPr>
          <w:p w:rsidR="0079059D" w:rsidRPr="001779EA" w:rsidRDefault="0079059D" w:rsidP="00247EDC">
            <w:pPr>
              <w:keepNext/>
              <w:spacing w:before="20" w:after="20"/>
              <w:rPr>
                <w:rFonts w:ascii="Arial Narrow" w:hAnsi="Arial Narrow"/>
                <w:sz w:val="20"/>
                <w:szCs w:val="20"/>
                <w:lang w:bidi="en-US"/>
              </w:rPr>
            </w:pPr>
          </w:p>
        </w:tc>
        <w:tc>
          <w:tcPr>
            <w:tcW w:w="4295" w:type="pct"/>
            <w:tcBorders>
              <w:top w:val="nil"/>
              <w:bottom w:val="single" w:sz="4" w:space="0" w:color="auto"/>
            </w:tcBorders>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Everolimus + exemestane</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bottom w:val="nil"/>
            </w:tcBorders>
            <w:hideMark/>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Outcomes</w:t>
            </w:r>
          </w:p>
        </w:tc>
        <w:tc>
          <w:tcPr>
            <w:tcW w:w="4295" w:type="pct"/>
            <w:tcBorders>
              <w:bottom w:val="nil"/>
            </w:tcBorders>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OS, PFS, ORR, Safety</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bottom w:val="nil"/>
            </w:tcBorders>
            <w:hideMark/>
          </w:tcPr>
          <w:p w:rsidR="0079059D" w:rsidRPr="001779EA" w:rsidRDefault="0079059D" w:rsidP="00247EDC">
            <w:pPr>
              <w:keepNext/>
              <w:spacing w:before="20" w:after="20"/>
              <w:rPr>
                <w:rFonts w:ascii="Arial Narrow" w:hAnsi="Arial Narrow"/>
                <w:sz w:val="20"/>
                <w:szCs w:val="20"/>
                <w:lang w:bidi="en-US"/>
              </w:rPr>
            </w:pPr>
            <w:r w:rsidRPr="001779EA">
              <w:rPr>
                <w:rFonts w:ascii="Arial Narrow" w:hAnsi="Arial Narrow"/>
                <w:sz w:val="20"/>
                <w:szCs w:val="20"/>
                <w:lang w:bidi="en-US"/>
              </w:rPr>
              <w:t>Clinical claim</w:t>
            </w:r>
          </w:p>
        </w:tc>
        <w:tc>
          <w:tcPr>
            <w:tcW w:w="4295" w:type="pct"/>
            <w:tcBorders>
              <w:bottom w:val="nil"/>
            </w:tcBorders>
            <w:hideMark/>
          </w:tcPr>
          <w:p w:rsidR="0079059D" w:rsidRPr="001779EA" w:rsidRDefault="000A4355" w:rsidP="00247EDC">
            <w:pPr>
              <w:keepNext/>
              <w:spacing w:before="20" w:after="20"/>
              <w:rPr>
                <w:rFonts w:ascii="Arial Narrow" w:hAnsi="Arial Narrow"/>
                <w:sz w:val="20"/>
                <w:szCs w:val="20"/>
                <w:lang w:bidi="en-US"/>
              </w:rPr>
            </w:pPr>
            <w:r w:rsidRPr="001779EA">
              <w:rPr>
                <w:rFonts w:ascii="Arial Narrow" w:hAnsi="Arial Narrow"/>
                <w:sz w:val="20"/>
                <w:szCs w:val="20"/>
                <w:lang w:bidi="en-US"/>
              </w:rPr>
              <w:t>First-</w:t>
            </w:r>
            <w:r w:rsidR="0079059D" w:rsidRPr="001779EA">
              <w:rPr>
                <w:rFonts w:ascii="Arial Narrow" w:hAnsi="Arial Narrow"/>
                <w:sz w:val="20"/>
                <w:szCs w:val="20"/>
                <w:lang w:bidi="en-US"/>
              </w:rPr>
              <w:t>line:</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top w:val="nil"/>
              <w:bottom w:val="nil"/>
            </w:tcBorders>
          </w:tcPr>
          <w:p w:rsidR="0079059D" w:rsidRPr="001779EA" w:rsidRDefault="0079059D" w:rsidP="00247EDC">
            <w:pPr>
              <w:keepNext/>
              <w:spacing w:before="20" w:after="20"/>
              <w:rPr>
                <w:rFonts w:ascii="Arial Narrow" w:hAnsi="Arial Narrow"/>
                <w:sz w:val="20"/>
                <w:szCs w:val="20"/>
                <w:lang w:bidi="en-US"/>
              </w:rPr>
            </w:pPr>
          </w:p>
        </w:tc>
        <w:tc>
          <w:tcPr>
            <w:tcW w:w="4295" w:type="pct"/>
            <w:tcBorders>
              <w:top w:val="nil"/>
              <w:bottom w:val="nil"/>
            </w:tcBorders>
          </w:tcPr>
          <w:p w:rsidR="0079059D" w:rsidRPr="001779EA" w:rsidRDefault="0079059D" w:rsidP="00757871">
            <w:pPr>
              <w:keepNext/>
              <w:spacing w:before="20" w:after="20"/>
              <w:rPr>
                <w:rFonts w:ascii="Arial Narrow" w:hAnsi="Arial Narrow"/>
                <w:sz w:val="20"/>
                <w:szCs w:val="20"/>
                <w:lang w:bidi="en-US"/>
              </w:rPr>
            </w:pPr>
            <w:r w:rsidRPr="001779EA">
              <w:rPr>
                <w:rFonts w:ascii="Arial Narrow" w:hAnsi="Arial Narrow"/>
                <w:sz w:val="20"/>
                <w:szCs w:val="20"/>
                <w:lang w:bidi="en-US"/>
              </w:rPr>
              <w:t>In HR+, HER2- ABC, fulvestrant has superior efficacy in terms of OS and non</w:t>
            </w:r>
            <w:r w:rsidR="00A628F6">
              <w:rPr>
                <w:rFonts w:ascii="Arial Narrow" w:hAnsi="Arial Narrow"/>
                <w:sz w:val="20"/>
                <w:szCs w:val="20"/>
                <w:lang w:bidi="en-US"/>
              </w:rPr>
              <w:t>-</w:t>
            </w:r>
            <w:r w:rsidRPr="001779EA">
              <w:rPr>
                <w:rFonts w:ascii="Arial Narrow" w:hAnsi="Arial Narrow"/>
                <w:sz w:val="20"/>
                <w:szCs w:val="20"/>
                <w:lang w:bidi="en-US"/>
              </w:rPr>
              <w:t>inferior safety compared with non-steroidal aromatase inhibitors</w:t>
            </w:r>
            <w:r w:rsidR="00757871" w:rsidRPr="001779EA">
              <w:rPr>
                <w:rFonts w:ascii="Arial Narrow" w:hAnsi="Arial Narrow"/>
                <w:sz w:val="20"/>
                <w:szCs w:val="20"/>
                <w:lang w:bidi="en-US"/>
              </w:rPr>
              <w:t xml:space="preserve">. </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top w:val="nil"/>
              <w:bottom w:val="nil"/>
            </w:tcBorders>
          </w:tcPr>
          <w:p w:rsidR="0079059D" w:rsidRPr="001779EA" w:rsidRDefault="0079059D" w:rsidP="00247EDC">
            <w:pPr>
              <w:keepNext/>
              <w:spacing w:before="20" w:after="20"/>
              <w:rPr>
                <w:rFonts w:ascii="Arial Narrow" w:hAnsi="Arial Narrow"/>
                <w:sz w:val="20"/>
                <w:szCs w:val="20"/>
                <w:lang w:bidi="en-US"/>
              </w:rPr>
            </w:pPr>
          </w:p>
        </w:tc>
        <w:tc>
          <w:tcPr>
            <w:tcW w:w="4295" w:type="pct"/>
            <w:tcBorders>
              <w:bottom w:val="nil"/>
            </w:tcBorders>
          </w:tcPr>
          <w:p w:rsidR="0079059D" w:rsidRPr="001779EA" w:rsidRDefault="000A4355" w:rsidP="00247EDC">
            <w:pPr>
              <w:keepNext/>
              <w:spacing w:before="20" w:after="20"/>
              <w:rPr>
                <w:rFonts w:ascii="Arial Narrow" w:hAnsi="Arial Narrow"/>
                <w:sz w:val="20"/>
                <w:szCs w:val="20"/>
                <w:lang w:bidi="en-US"/>
              </w:rPr>
            </w:pPr>
            <w:r w:rsidRPr="001779EA">
              <w:rPr>
                <w:rFonts w:ascii="Arial Narrow" w:hAnsi="Arial Narrow"/>
                <w:sz w:val="20"/>
                <w:szCs w:val="20"/>
                <w:lang w:bidi="en-US"/>
              </w:rPr>
              <w:t>Second-</w:t>
            </w:r>
            <w:r w:rsidR="0079059D" w:rsidRPr="001779EA">
              <w:rPr>
                <w:rFonts w:ascii="Arial Narrow" w:hAnsi="Arial Narrow"/>
                <w:sz w:val="20"/>
                <w:szCs w:val="20"/>
                <w:lang w:bidi="en-US"/>
              </w:rPr>
              <w:t>line:</w:t>
            </w:r>
          </w:p>
        </w:tc>
      </w:tr>
      <w:tr w:rsidR="0079059D" w:rsidRPr="001779EA" w:rsidTr="000C0C23">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top w:val="nil"/>
            </w:tcBorders>
          </w:tcPr>
          <w:p w:rsidR="0079059D" w:rsidRPr="001779EA" w:rsidRDefault="0079059D" w:rsidP="00247EDC">
            <w:pPr>
              <w:keepNext/>
              <w:spacing w:before="20" w:after="20"/>
              <w:rPr>
                <w:rFonts w:ascii="Arial Narrow" w:hAnsi="Arial Narrow"/>
                <w:sz w:val="20"/>
                <w:szCs w:val="20"/>
                <w:lang w:bidi="en-US"/>
              </w:rPr>
            </w:pPr>
          </w:p>
        </w:tc>
        <w:tc>
          <w:tcPr>
            <w:tcW w:w="4295" w:type="pct"/>
            <w:tcBorders>
              <w:top w:val="nil"/>
            </w:tcBorders>
          </w:tcPr>
          <w:p w:rsidR="0079059D" w:rsidRPr="001779EA" w:rsidRDefault="0079059D" w:rsidP="00912EE2">
            <w:pPr>
              <w:keepNext/>
              <w:spacing w:before="20" w:after="20"/>
              <w:rPr>
                <w:rFonts w:ascii="Arial Narrow" w:hAnsi="Arial Narrow"/>
                <w:sz w:val="20"/>
                <w:szCs w:val="20"/>
                <w:lang w:bidi="en-US"/>
              </w:rPr>
            </w:pPr>
            <w:r w:rsidRPr="001779EA">
              <w:rPr>
                <w:rFonts w:ascii="Arial Narrow" w:hAnsi="Arial Narrow"/>
                <w:sz w:val="20"/>
                <w:szCs w:val="20"/>
                <w:lang w:bidi="en-US"/>
              </w:rPr>
              <w:t>In HR+, HER2- ABC, fulvestrant is non</w:t>
            </w:r>
            <w:r w:rsidR="00A628F6">
              <w:rPr>
                <w:rFonts w:ascii="Arial Narrow" w:hAnsi="Arial Narrow"/>
                <w:sz w:val="20"/>
                <w:szCs w:val="20"/>
                <w:lang w:bidi="en-US"/>
              </w:rPr>
              <w:t>-</w:t>
            </w:r>
            <w:r w:rsidRPr="001779EA">
              <w:rPr>
                <w:rFonts w:ascii="Arial Narrow" w:hAnsi="Arial Narrow"/>
                <w:sz w:val="20"/>
                <w:szCs w:val="20"/>
                <w:lang w:bidi="en-US"/>
              </w:rPr>
              <w:t xml:space="preserve">inferior in terms of OS and has </w:t>
            </w:r>
            <w:r w:rsidR="00912EE2" w:rsidRPr="001779EA">
              <w:rPr>
                <w:rFonts w:ascii="Arial Narrow" w:hAnsi="Arial Narrow"/>
                <w:sz w:val="20"/>
                <w:szCs w:val="20"/>
                <w:lang w:bidi="en-US"/>
              </w:rPr>
              <w:t xml:space="preserve">superior </w:t>
            </w:r>
            <w:r w:rsidRPr="001779EA">
              <w:rPr>
                <w:rFonts w:ascii="Arial Narrow" w:hAnsi="Arial Narrow"/>
                <w:sz w:val="20"/>
                <w:szCs w:val="20"/>
                <w:lang w:bidi="en-US"/>
              </w:rPr>
              <w:t>safety compared with everolimus in combination with exemestane</w:t>
            </w:r>
          </w:p>
        </w:tc>
      </w:tr>
    </w:tbl>
    <w:p w:rsidR="0079059D" w:rsidRPr="001779EA" w:rsidRDefault="0079059D" w:rsidP="00247EDC">
      <w:pPr>
        <w:pStyle w:val="TableFigureFooter"/>
        <w:rPr>
          <w:rFonts w:eastAsia="Calibri"/>
        </w:rPr>
      </w:pPr>
      <w:r w:rsidRPr="001779EA">
        <w:rPr>
          <w:rFonts w:eastAsia="Calibri"/>
        </w:rPr>
        <w:t>HR+, hormone receptor positive; HER2-, human epidermal growth factor receptor 2 negative; ABC, advanced breast cancer; ORR, overall response rate; OS, overall survival; PFS, progression free survival</w:t>
      </w:r>
    </w:p>
    <w:p w:rsidR="009D7369" w:rsidRPr="001779EA" w:rsidRDefault="009D7369" w:rsidP="00247EDC">
      <w:pPr>
        <w:pStyle w:val="TableFigureFooter"/>
        <w:rPr>
          <w:rFonts w:eastAsia="Calibri"/>
        </w:rPr>
      </w:pPr>
      <w:r w:rsidRPr="001779EA">
        <w:rPr>
          <w:rFonts w:eastAsia="Calibri"/>
        </w:rPr>
        <w:t>Source: Table 1.1, p14 of the submission</w:t>
      </w:r>
      <w:r w:rsidR="00F00747" w:rsidRPr="001779EA">
        <w:rPr>
          <w:rFonts w:eastAsia="Calibri"/>
        </w:rPr>
        <w:t>, p143 of submission</w:t>
      </w:r>
    </w:p>
    <w:p w:rsidR="00A21153" w:rsidRPr="001779EA" w:rsidRDefault="0079059D" w:rsidP="00247EDC">
      <w:pPr>
        <w:pStyle w:val="2-SectionHeading"/>
      </w:pPr>
      <w:bookmarkStart w:id="9" w:name="_Toc38290336"/>
      <w:bookmarkStart w:id="10" w:name="_Toc38305883"/>
      <w:bookmarkStart w:id="11" w:name="_Toc40935308"/>
      <w:r w:rsidRPr="001779EA">
        <w:t>Background</w:t>
      </w:r>
      <w:bookmarkEnd w:id="9"/>
      <w:bookmarkEnd w:id="10"/>
      <w:bookmarkEnd w:id="11"/>
    </w:p>
    <w:p w:rsidR="00A21153" w:rsidRPr="001779EA" w:rsidRDefault="00A21153" w:rsidP="00A7196E">
      <w:pPr>
        <w:pStyle w:val="3-BodyText"/>
      </w:pPr>
      <w:r w:rsidRPr="001779EA">
        <w:t xml:space="preserve">Fulvestrant </w:t>
      </w:r>
      <w:r w:rsidR="0016532F" w:rsidRPr="001779EA">
        <w:rPr>
          <w:iCs/>
        </w:rPr>
        <w:t>is not currently listed on the PBS and</w:t>
      </w:r>
      <w:r w:rsidR="0016532F" w:rsidRPr="001779EA">
        <w:t xml:space="preserve"> </w:t>
      </w:r>
      <w:r w:rsidRPr="001779EA">
        <w:t>has not previously been considered by the PBAC.</w:t>
      </w:r>
      <w:r w:rsidR="00540418" w:rsidRPr="001779EA">
        <w:t xml:space="preserve"> A request for listing of ribociclib in combination with fulvestrant for the treatment of patients with HR+, HER2- advanced breast cancer </w:t>
      </w:r>
      <w:r w:rsidR="00334E4D" w:rsidRPr="001779EA">
        <w:t xml:space="preserve">was </w:t>
      </w:r>
      <w:r w:rsidR="00757871" w:rsidRPr="001779EA">
        <w:t xml:space="preserve">also </w:t>
      </w:r>
      <w:r w:rsidR="00540418" w:rsidRPr="001779EA">
        <w:t>considered at the July 2020 PBAC meeting.</w:t>
      </w:r>
    </w:p>
    <w:p w:rsidR="0079059D" w:rsidRPr="001779EA" w:rsidRDefault="0079059D" w:rsidP="00247EDC">
      <w:pPr>
        <w:pStyle w:val="4-SubsectionHeading"/>
      </w:pPr>
      <w:bookmarkStart w:id="12" w:name="_Toc22898846"/>
      <w:bookmarkStart w:id="13" w:name="_Toc40935309"/>
      <w:r w:rsidRPr="001779EA">
        <w:lastRenderedPageBreak/>
        <w:t>Registration status</w:t>
      </w:r>
      <w:bookmarkEnd w:id="12"/>
      <w:bookmarkEnd w:id="13"/>
    </w:p>
    <w:p w:rsidR="0079059D" w:rsidRPr="001779EA" w:rsidRDefault="0079059D" w:rsidP="004F1B42">
      <w:pPr>
        <w:pStyle w:val="3-BodyText"/>
      </w:pPr>
      <w:r w:rsidRPr="001779EA">
        <w:t>Fulvestrant monotherapy under the brand name, Faslodex</w:t>
      </w:r>
      <w:r w:rsidRPr="001779EA">
        <w:rPr>
          <w:rFonts w:cstheme="minorHAnsi"/>
        </w:rPr>
        <w:t>®</w:t>
      </w:r>
      <w:r w:rsidRPr="001779EA">
        <w:t xml:space="preserve"> (AstraZeneca), was approved by the Therapeutic Goods Administration (TGA) in March 2006 for the treatment of postmenopausal women with HR+ advanced/metastatic breast cancer with progressive disease following prior tamoxifen therapy.</w:t>
      </w:r>
      <w:r w:rsidR="00334E4D" w:rsidRPr="001779EA">
        <w:rPr>
          <w:rFonts w:eastAsia="Calibri"/>
        </w:rPr>
        <w:t xml:space="preserve"> However, at the time of the PBAC meeting, fulvestrant was not registered as monotherapy in the first-line setting.</w:t>
      </w:r>
    </w:p>
    <w:p w:rsidR="00AF305D" w:rsidRPr="001779EA" w:rsidRDefault="0079059D" w:rsidP="00AF305D">
      <w:pPr>
        <w:pStyle w:val="3-BodyText"/>
        <w:rPr>
          <w:rFonts w:cstheme="minorHAnsi"/>
        </w:rPr>
      </w:pPr>
      <w:r w:rsidRPr="001779EA">
        <w:t xml:space="preserve">The sponsor of this submission (AstraZeneca) </w:t>
      </w:r>
      <w:r w:rsidR="006424C3" w:rsidRPr="001779EA">
        <w:t xml:space="preserve">submitted </w:t>
      </w:r>
      <w:r w:rsidRPr="001779EA">
        <w:t xml:space="preserve">a TGA </w:t>
      </w:r>
      <w:r w:rsidR="00AD40FF" w:rsidRPr="001779EA">
        <w:t xml:space="preserve">application </w:t>
      </w:r>
      <w:r w:rsidRPr="001779EA">
        <w:t xml:space="preserve">for </w:t>
      </w:r>
      <w:r w:rsidR="0022279C" w:rsidRPr="001779EA">
        <w:t xml:space="preserve">amendment of the existing </w:t>
      </w:r>
      <w:r w:rsidRPr="001779EA">
        <w:t>fulvestrant</w:t>
      </w:r>
      <w:r w:rsidR="00AD40FF" w:rsidRPr="001779EA">
        <w:t xml:space="preserve"> indication</w:t>
      </w:r>
      <w:r w:rsidR="00683412" w:rsidRPr="001779EA">
        <w:t xml:space="preserve"> in April 2020</w:t>
      </w:r>
      <w:r w:rsidR="00AD40FF" w:rsidRPr="001779EA">
        <w:t>.</w:t>
      </w:r>
      <w:r w:rsidR="009A7721" w:rsidRPr="001779EA">
        <w:t xml:space="preserve"> At the time of the</w:t>
      </w:r>
      <w:r w:rsidR="00334E4D" w:rsidRPr="001779EA">
        <w:t xml:space="preserve"> PBAC</w:t>
      </w:r>
      <w:r w:rsidR="009A7721" w:rsidRPr="001779EA">
        <w:t xml:space="preserve"> meeting</w:t>
      </w:r>
      <w:r w:rsidR="00334E4D" w:rsidRPr="001779EA">
        <w:t>,</w:t>
      </w:r>
      <w:r w:rsidR="009A7721" w:rsidRPr="001779EA">
        <w:t xml:space="preserve"> no TGA documents were available.</w:t>
      </w:r>
      <w:r w:rsidR="00AD40FF" w:rsidRPr="001779EA">
        <w:t xml:space="preserve"> </w:t>
      </w:r>
      <w:r w:rsidR="00767975" w:rsidRPr="001779EA">
        <w:t xml:space="preserve">The </w:t>
      </w:r>
      <w:r w:rsidRPr="001779EA">
        <w:t xml:space="preserve">TGA </w:t>
      </w:r>
      <w:r w:rsidR="0035009E" w:rsidRPr="001779EA">
        <w:t>D</w:t>
      </w:r>
      <w:r w:rsidRPr="001779EA">
        <w:t xml:space="preserve">elegate’s </w:t>
      </w:r>
      <w:r w:rsidR="0035009E" w:rsidRPr="001779EA">
        <w:t>O</w:t>
      </w:r>
      <w:r w:rsidRPr="001779EA">
        <w:t xml:space="preserve">verview is </w:t>
      </w:r>
      <w:r w:rsidR="00AF305D" w:rsidRPr="001779EA">
        <w:t>not expected to be available until</w:t>
      </w:r>
      <w:r w:rsidRPr="001779EA">
        <w:t xml:space="preserve"> </w:t>
      </w:r>
      <w:r w:rsidR="00683412" w:rsidRPr="001779EA">
        <w:t xml:space="preserve">March </w:t>
      </w:r>
      <w:r w:rsidRPr="001779EA">
        <w:t>202</w:t>
      </w:r>
      <w:r w:rsidR="00683412" w:rsidRPr="001779EA">
        <w:t>1</w:t>
      </w:r>
      <w:r w:rsidRPr="001779EA">
        <w:t xml:space="preserve">, and </w:t>
      </w:r>
      <w:r w:rsidR="00D1772B" w:rsidRPr="001779EA">
        <w:t>the</w:t>
      </w:r>
      <w:r w:rsidR="006424C3" w:rsidRPr="001779EA">
        <w:t xml:space="preserve"> </w:t>
      </w:r>
      <w:r w:rsidR="00A35890" w:rsidRPr="001779EA">
        <w:t xml:space="preserve">indication </w:t>
      </w:r>
      <w:r w:rsidRPr="001779EA">
        <w:t xml:space="preserve">is </w:t>
      </w:r>
      <w:r w:rsidR="00AF305D" w:rsidRPr="001779EA">
        <w:t xml:space="preserve">not </w:t>
      </w:r>
      <w:r w:rsidRPr="001779EA">
        <w:t xml:space="preserve">anticipated </w:t>
      </w:r>
      <w:r w:rsidR="00A35890" w:rsidRPr="001779EA">
        <w:t xml:space="preserve">to be amended </w:t>
      </w:r>
      <w:r w:rsidR="00AF305D" w:rsidRPr="001779EA">
        <w:t>until</w:t>
      </w:r>
      <w:r w:rsidRPr="001779EA">
        <w:t xml:space="preserve"> </w:t>
      </w:r>
      <w:r w:rsidR="00683412" w:rsidRPr="001779EA">
        <w:t>April 2021</w:t>
      </w:r>
      <w:r w:rsidRPr="001779EA">
        <w:t xml:space="preserve">. </w:t>
      </w:r>
    </w:p>
    <w:p w:rsidR="001E2B3A" w:rsidRPr="001779EA" w:rsidRDefault="001E2B3A" w:rsidP="00AF305D">
      <w:pPr>
        <w:pStyle w:val="3-BodyText"/>
        <w:rPr>
          <w:rFonts w:cstheme="minorHAnsi"/>
        </w:rPr>
      </w:pPr>
      <w:r w:rsidRPr="001779EA">
        <w:t xml:space="preserve">The </w:t>
      </w:r>
      <w:r w:rsidR="00AF305D" w:rsidRPr="001779EA">
        <w:t xml:space="preserve">sponsor’s </w:t>
      </w:r>
      <w:r w:rsidRPr="001779EA">
        <w:t xml:space="preserve">proposed TGA indication </w:t>
      </w:r>
      <w:r w:rsidR="00DD4BB9" w:rsidRPr="001779EA">
        <w:t xml:space="preserve">is </w:t>
      </w:r>
      <w:r w:rsidR="00121FF9" w:rsidRPr="001779EA">
        <w:t>p</w:t>
      </w:r>
      <w:r w:rsidRPr="001779EA">
        <w:t>ostmenopausal women with HR+, locally</w:t>
      </w:r>
      <w:r w:rsidRPr="001779EA">
        <w:rPr>
          <w:snapToGrid/>
        </w:rPr>
        <w:t xml:space="preserve"> advanced or</w:t>
      </w:r>
      <w:r w:rsidRPr="001779EA">
        <w:rPr>
          <w:rFonts w:cstheme="minorHAnsi"/>
        </w:rPr>
        <w:t xml:space="preserve"> metastatic breast cancer who:</w:t>
      </w:r>
    </w:p>
    <w:p w:rsidR="001E2B3A" w:rsidRPr="001779EA" w:rsidRDefault="001E2B3A" w:rsidP="000D7A52">
      <w:pPr>
        <w:pStyle w:val="Bulletpoints"/>
        <w:ind w:left="1276" w:hanging="284"/>
      </w:pPr>
      <w:r w:rsidRPr="001779EA">
        <w:t>have not previously been treated with endocrine therapy, or</w:t>
      </w:r>
    </w:p>
    <w:p w:rsidR="001E2B3A" w:rsidRPr="001779EA" w:rsidRDefault="001E2B3A" w:rsidP="000D7A52">
      <w:pPr>
        <w:pStyle w:val="Bulletpoints"/>
        <w:ind w:left="1276" w:hanging="284"/>
        <w:rPr>
          <w:rFonts w:cstheme="minorHAnsi"/>
        </w:rPr>
      </w:pPr>
      <w:r w:rsidRPr="001779EA">
        <w:rPr>
          <w:rFonts w:cstheme="minorHAnsi"/>
        </w:rPr>
        <w:t>have progressive disease following prior tamoxifen therapy</w:t>
      </w:r>
      <w:r w:rsidR="00BD404D" w:rsidRPr="001779EA">
        <w:rPr>
          <w:rFonts w:cstheme="minorHAnsi"/>
        </w:rPr>
        <w:t>.</w:t>
      </w:r>
    </w:p>
    <w:p w:rsidR="00995696" w:rsidRPr="001779EA" w:rsidRDefault="002F591E" w:rsidP="002F591E">
      <w:pPr>
        <w:pStyle w:val="3-BodyText"/>
      </w:pPr>
      <w:r w:rsidRPr="001779EA">
        <w:t xml:space="preserve">The European Medicines Agency (EMA) and US Food and Drug Administration (FDA) approved </w:t>
      </w:r>
      <w:r w:rsidR="00E528F6" w:rsidRPr="001779EA">
        <w:t xml:space="preserve">different </w:t>
      </w:r>
      <w:r w:rsidR="009E59C0" w:rsidRPr="001779EA">
        <w:t xml:space="preserve">indications </w:t>
      </w:r>
      <w:r w:rsidRPr="001779EA">
        <w:t xml:space="preserve">in the second-line (progressive disease) setting. </w:t>
      </w:r>
      <w:r w:rsidR="00995696" w:rsidRPr="001779EA">
        <w:t xml:space="preserve">The requested TGA indication is similar to the EMA indication, which was updated in 2018 to include </w:t>
      </w:r>
      <w:r w:rsidR="00995696" w:rsidRPr="001779EA">
        <w:rPr>
          <w:rFonts w:cstheme="minorHAnsi"/>
        </w:rPr>
        <w:t>monotherapy for the treatment of estrogen receptor positive, locally advanced or metastatic breast cancer in postmenopausal women:</w:t>
      </w:r>
    </w:p>
    <w:p w:rsidR="00995696" w:rsidRPr="001779EA" w:rsidRDefault="00995696" w:rsidP="000D7A52">
      <w:pPr>
        <w:pStyle w:val="Bulletpoints"/>
        <w:ind w:left="1276" w:hanging="284"/>
        <w:rPr>
          <w:rFonts w:cstheme="minorHAnsi"/>
        </w:rPr>
      </w:pPr>
      <w:r w:rsidRPr="001779EA">
        <w:rPr>
          <w:rFonts w:cstheme="minorHAnsi"/>
        </w:rPr>
        <w:t>not previously treated with endocrine therapy, or</w:t>
      </w:r>
    </w:p>
    <w:p w:rsidR="00995696" w:rsidRPr="001779EA" w:rsidRDefault="00995696" w:rsidP="000D7A52">
      <w:pPr>
        <w:pStyle w:val="Bulletpoints"/>
        <w:ind w:left="1276" w:hanging="284"/>
      </w:pPr>
      <w:r w:rsidRPr="001779EA">
        <w:rPr>
          <w:rFonts w:cstheme="minorHAnsi"/>
        </w:rPr>
        <w:t>with disease relapse on or after adjuvant antiestrogen therapy, or disease progression on antiestrogen therapy (i.e. tamoxifen).</w:t>
      </w:r>
    </w:p>
    <w:p w:rsidR="008919D3" w:rsidRPr="001779EA" w:rsidRDefault="00995696" w:rsidP="00AF02A9">
      <w:pPr>
        <w:pStyle w:val="3-BodyText"/>
      </w:pPr>
      <w:r w:rsidRPr="001779EA">
        <w:t xml:space="preserve">However, the indication approved by the </w:t>
      </w:r>
      <w:r w:rsidR="008919D3" w:rsidRPr="001779EA">
        <w:t>FDA</w:t>
      </w:r>
      <w:r w:rsidR="001E2B3A" w:rsidRPr="001779EA">
        <w:t xml:space="preserve"> </w:t>
      </w:r>
      <w:r w:rsidRPr="001779EA">
        <w:t xml:space="preserve">in the progressed disease setting is broader, as it also allows use following endocrine therapy </w:t>
      </w:r>
      <w:r w:rsidR="00C91B6F" w:rsidRPr="001779EA">
        <w:t>(</w:t>
      </w:r>
      <w:r w:rsidRPr="001779EA">
        <w:t xml:space="preserve">which includes </w:t>
      </w:r>
      <w:r w:rsidR="00F302CE" w:rsidRPr="001779EA">
        <w:t>aromatase inhibitors (</w:t>
      </w:r>
      <w:r w:rsidRPr="001779EA">
        <w:t>AIs</w:t>
      </w:r>
      <w:r w:rsidR="00F302CE" w:rsidRPr="001779EA">
        <w:t>)</w:t>
      </w:r>
      <w:r w:rsidR="00C91B6F" w:rsidRPr="001779EA">
        <w:t xml:space="preserve"> as well as tamoxifen)</w:t>
      </w:r>
      <w:r w:rsidRPr="001779EA">
        <w:rPr>
          <w:i/>
        </w:rPr>
        <w:t xml:space="preserve">. </w:t>
      </w:r>
      <w:r w:rsidR="008919D3" w:rsidRPr="001779EA">
        <w:t xml:space="preserve">The FDA indication </w:t>
      </w:r>
      <w:r w:rsidRPr="001779EA">
        <w:t xml:space="preserve">(which </w:t>
      </w:r>
      <w:r w:rsidR="008919D3" w:rsidRPr="001779EA">
        <w:t>was updated in 2017</w:t>
      </w:r>
      <w:r w:rsidRPr="001779EA">
        <w:t>) is for</w:t>
      </w:r>
      <w:r w:rsidR="008919D3" w:rsidRPr="001779EA">
        <w:t>:</w:t>
      </w:r>
    </w:p>
    <w:p w:rsidR="008919D3" w:rsidRPr="001779EA" w:rsidRDefault="008919D3" w:rsidP="000D7A52">
      <w:pPr>
        <w:pStyle w:val="Bulletpoints"/>
        <w:ind w:left="1276" w:hanging="284"/>
        <w:rPr>
          <w:rFonts w:cstheme="minorHAnsi"/>
        </w:rPr>
      </w:pPr>
      <w:r w:rsidRPr="001779EA">
        <w:rPr>
          <w:rFonts w:cstheme="minorHAnsi"/>
        </w:rPr>
        <w:t xml:space="preserve">HR+, HER2-negative advanced breast cancer in postmenopausal women not previously treated with endocrine therapy, or </w:t>
      </w:r>
    </w:p>
    <w:p w:rsidR="001E2B3A" w:rsidRPr="001779EA" w:rsidRDefault="008919D3" w:rsidP="000D7A52">
      <w:pPr>
        <w:pStyle w:val="Bulletpoints"/>
        <w:ind w:left="1276" w:hanging="284"/>
        <w:rPr>
          <w:rFonts w:cstheme="minorHAnsi"/>
        </w:rPr>
      </w:pPr>
      <w:r w:rsidRPr="001779EA">
        <w:rPr>
          <w:rFonts w:cstheme="minorHAnsi"/>
        </w:rPr>
        <w:t>HR+ advanced breast cancer in postmenopausal women with disease progression following endocrine therapy.</w:t>
      </w:r>
    </w:p>
    <w:p w:rsidR="009E59C0" w:rsidRPr="001779EA" w:rsidRDefault="009E59C0" w:rsidP="00AF305D">
      <w:pPr>
        <w:pStyle w:val="3-BodyText"/>
        <w:rPr>
          <w:rFonts w:cstheme="minorHAnsi"/>
        </w:rPr>
      </w:pPr>
      <w:r w:rsidRPr="001779EA">
        <w:rPr>
          <w:lang w:eastAsia="en-US"/>
        </w:rPr>
        <w:t>The above information relates to use of fulvestrant as a single-agent. The TGA indications for ribociclib and abemaciclib include combination use with fulvestrant and the TGA indication for palbociclib includes combination use with fulvestrant in patients who have received prior therapy.</w:t>
      </w:r>
      <w:r w:rsidR="00AF305D" w:rsidRPr="001779EA">
        <w:rPr>
          <w:lang w:eastAsia="en-US"/>
        </w:rPr>
        <w:t xml:space="preserve"> </w:t>
      </w:r>
      <w:r w:rsidR="00AF305D" w:rsidRPr="001779EA">
        <w:rPr>
          <w:bCs/>
          <w:iCs/>
          <w:lang w:eastAsia="en-US"/>
        </w:rPr>
        <w:t>Consequently, combination use is considered to be “on-label”, although combination use was not requested in this submission.</w:t>
      </w:r>
    </w:p>
    <w:p w:rsidR="00C445E5" w:rsidRPr="001779EA" w:rsidRDefault="00C445E5" w:rsidP="009E59C0">
      <w:pPr>
        <w:pStyle w:val="Bulletpoints"/>
        <w:keepNext/>
        <w:keepLines/>
        <w:numPr>
          <w:ilvl w:val="0"/>
          <w:numId w:val="0"/>
        </w:numPr>
        <w:ind w:left="720" w:hanging="720"/>
        <w:rPr>
          <w:i/>
          <w:u w:val="single"/>
        </w:rPr>
      </w:pPr>
      <w:r w:rsidRPr="001779EA">
        <w:rPr>
          <w:i/>
          <w:u w:val="single"/>
        </w:rPr>
        <w:lastRenderedPageBreak/>
        <w:t>Regulatory history of fulvestrant</w:t>
      </w:r>
    </w:p>
    <w:p w:rsidR="006E6A93" w:rsidRPr="001779EA" w:rsidRDefault="006E6A93" w:rsidP="009E59C0">
      <w:pPr>
        <w:pStyle w:val="3-BodyText"/>
        <w:keepNext/>
        <w:keepLines/>
      </w:pPr>
      <w:r w:rsidRPr="001779EA">
        <w:t>The initial approval of fulvestrant by the FDA and EMA (2002) was based on two studies that recruited women with metastatic HR+ breast cancer, who had progressed on tamoxifen. The comparison was fulvestrant 25</w:t>
      </w:r>
      <w:r w:rsidR="00C445E5" w:rsidRPr="001779EA">
        <w:t>0 mg/month versus anastrozole 1 </w:t>
      </w:r>
      <w:r w:rsidRPr="001779EA">
        <w:t>mg/day. The two studies established non-inferiority of fulvestrant 250 mg versus anastrozole 1 mg, after progression on tamoxifen.</w:t>
      </w:r>
    </w:p>
    <w:p w:rsidR="006E6A93" w:rsidRPr="001779EA" w:rsidRDefault="006E6A93" w:rsidP="006E6A93">
      <w:pPr>
        <w:pStyle w:val="3-BodyText"/>
        <w:rPr>
          <w:snapToGrid/>
        </w:rPr>
      </w:pPr>
      <w:r w:rsidRPr="001779EA">
        <w:rPr>
          <w:snapToGrid/>
        </w:rPr>
        <w:t>It was subsequently found that 500 mg/month was just as tolerable</w:t>
      </w:r>
      <w:r w:rsidR="00A628F6">
        <w:rPr>
          <w:snapToGrid/>
        </w:rPr>
        <w:t>,</w:t>
      </w:r>
      <w:r w:rsidRPr="001779EA">
        <w:rPr>
          <w:snapToGrid/>
        </w:rPr>
        <w:t xml:space="preserve"> and more effective</w:t>
      </w:r>
      <w:r w:rsidR="00A628F6">
        <w:rPr>
          <w:snapToGrid/>
        </w:rPr>
        <w:t>,</w:t>
      </w:r>
      <w:r w:rsidRPr="001779EA">
        <w:rPr>
          <w:snapToGrid/>
        </w:rPr>
        <w:t xml:space="preserve"> than 250 mg/month (CONFIRM study) and the dosing was updated to 500 mg/month. CONFIRM recruited women who had progressed on </w:t>
      </w:r>
      <w:r w:rsidR="00C445E5" w:rsidRPr="001779EA">
        <w:rPr>
          <w:snapToGrid/>
        </w:rPr>
        <w:t>endocrine therapy</w:t>
      </w:r>
      <w:r w:rsidRPr="001779EA">
        <w:rPr>
          <w:snapToGrid/>
        </w:rPr>
        <w:t xml:space="preserve"> (mainly AIs). </w:t>
      </w:r>
    </w:p>
    <w:p w:rsidR="006E6A93" w:rsidRPr="001779EA" w:rsidRDefault="006E6A93" w:rsidP="00AF02A9">
      <w:pPr>
        <w:pStyle w:val="3-BodyText"/>
        <w:rPr>
          <w:snapToGrid/>
        </w:rPr>
      </w:pPr>
      <w:r w:rsidRPr="001779EA">
        <w:rPr>
          <w:snapToGrid/>
        </w:rPr>
        <w:t>Subsequently, FALCON</w:t>
      </w:r>
      <w:r w:rsidR="00C445E5" w:rsidRPr="001779EA">
        <w:rPr>
          <w:snapToGrid/>
        </w:rPr>
        <w:t xml:space="preserve"> was conducted in the </w:t>
      </w:r>
      <w:r w:rsidRPr="001779EA">
        <w:rPr>
          <w:snapToGrid/>
        </w:rPr>
        <w:t>first-line</w:t>
      </w:r>
      <w:r w:rsidR="00C445E5" w:rsidRPr="001779EA">
        <w:rPr>
          <w:snapToGrid/>
        </w:rPr>
        <w:t xml:space="preserve"> setting comparing</w:t>
      </w:r>
      <w:r w:rsidRPr="001779EA">
        <w:rPr>
          <w:snapToGrid/>
        </w:rPr>
        <w:t xml:space="preserve"> fulvestrant 500 mg/month versus anastrozole 1 mg/day. There was a trend towards improved OS that was not statistically significant.</w:t>
      </w:r>
      <w:r w:rsidR="002555EC" w:rsidRPr="001779EA">
        <w:rPr>
          <w:snapToGrid/>
        </w:rPr>
        <w:t xml:space="preserve"> </w:t>
      </w:r>
      <w:r w:rsidRPr="001779EA">
        <w:rPr>
          <w:snapToGrid/>
        </w:rPr>
        <w:t>Both the EMA and FDA updated the indication to include first-line use (500 mg), based on FALCON.</w:t>
      </w:r>
    </w:p>
    <w:p w:rsidR="006E6A93" w:rsidRPr="001779EA" w:rsidRDefault="006E6A93" w:rsidP="002555EC">
      <w:pPr>
        <w:pStyle w:val="3-BodyText"/>
        <w:rPr>
          <w:snapToGrid/>
        </w:rPr>
      </w:pPr>
      <w:r w:rsidRPr="001779EA">
        <w:rPr>
          <w:snapToGrid/>
        </w:rPr>
        <w:t>The FDA updated the second-line indication (originally after tamoxifen) to include use after any endocrine therapy (i.e., tamoxifen or AI). This was based on an indirect comparison across the original registration studies (2002, after tamoxifen) and CONFIRM (which compared the 250 mg and 500 mg doses, after AI). The EMA did not update the second-line indication.</w:t>
      </w:r>
    </w:p>
    <w:p w:rsidR="002555EC" w:rsidRPr="001779EA" w:rsidRDefault="006E6A93" w:rsidP="006E6A93">
      <w:pPr>
        <w:pStyle w:val="3-BodyText"/>
        <w:rPr>
          <w:snapToGrid/>
        </w:rPr>
      </w:pPr>
      <w:r w:rsidRPr="001779EA">
        <w:rPr>
          <w:snapToGrid/>
        </w:rPr>
        <w:t xml:space="preserve">The TGA single-agent indication is </w:t>
      </w:r>
      <w:r w:rsidR="00C445E5" w:rsidRPr="001779EA">
        <w:rPr>
          <w:snapToGrid/>
        </w:rPr>
        <w:t xml:space="preserve">currently </w:t>
      </w:r>
      <w:r w:rsidRPr="001779EA">
        <w:rPr>
          <w:snapToGrid/>
        </w:rPr>
        <w:t xml:space="preserve">the same indication that was initially approved: </w:t>
      </w:r>
      <w:r w:rsidR="00C445E5" w:rsidRPr="001779EA">
        <w:rPr>
          <w:snapToGrid/>
        </w:rPr>
        <w:t>second-line</w:t>
      </w:r>
      <w:r w:rsidRPr="001779EA">
        <w:rPr>
          <w:snapToGrid/>
        </w:rPr>
        <w:t xml:space="preserve"> use after tamoxifen</w:t>
      </w:r>
      <w:r w:rsidR="00C445E5" w:rsidRPr="001779EA">
        <w:rPr>
          <w:snapToGrid/>
        </w:rPr>
        <w:t>.</w:t>
      </w:r>
    </w:p>
    <w:p w:rsidR="00065B7D" w:rsidRPr="001779EA" w:rsidRDefault="00065B7D" w:rsidP="00065B7D">
      <w:pPr>
        <w:pStyle w:val="3-BodyText"/>
        <w:numPr>
          <w:ilvl w:val="0"/>
          <w:numId w:val="0"/>
        </w:numPr>
        <w:ind w:firstLine="720"/>
        <w:rPr>
          <w:i/>
        </w:rPr>
      </w:pPr>
      <w:r w:rsidRPr="001779EA">
        <w:rPr>
          <w:i/>
        </w:rPr>
        <w:t>For more detail on PBAC’s view, see section 7 PBAC outcome.</w:t>
      </w:r>
    </w:p>
    <w:p w:rsidR="0079059D" w:rsidRPr="001779EA" w:rsidRDefault="0079059D" w:rsidP="00247EDC">
      <w:pPr>
        <w:pStyle w:val="2-SectionHeading"/>
      </w:pPr>
      <w:bookmarkStart w:id="14" w:name="_Toc38290338"/>
      <w:bookmarkStart w:id="15" w:name="_Toc38305885"/>
      <w:bookmarkStart w:id="16" w:name="_Toc40935310"/>
      <w:r w:rsidRPr="001779EA">
        <w:t>Requested listing</w:t>
      </w:r>
      <w:bookmarkEnd w:id="14"/>
      <w:bookmarkEnd w:id="15"/>
      <w:bookmarkEnd w:id="16"/>
    </w:p>
    <w:p w:rsidR="00577E77" w:rsidRPr="001779EA" w:rsidRDefault="00B83EB2" w:rsidP="0009530E">
      <w:pPr>
        <w:pStyle w:val="3-BodyText"/>
      </w:pPr>
      <w:r>
        <w:t xml:space="preserve">The submission proposed listing 3 separate Authority Required (Streamlined) treatment phases (initial, continuing and grandfather treatment). </w:t>
      </w:r>
      <w:r w:rsidRPr="00577E77">
        <w:t>The</w:t>
      </w:r>
      <w:r>
        <w:t xml:space="preserve"> Secretariat considered that all 3 treatment phases could be covered by one</w:t>
      </w:r>
      <w:r w:rsidRPr="00577E77">
        <w:t xml:space="preserve"> restriction </w:t>
      </w:r>
      <w:r>
        <w:t>and the listing as suggested by the Secretariat</w:t>
      </w:r>
      <w:r w:rsidRPr="00577E77">
        <w:t xml:space="preserve"> is outlined below.</w:t>
      </w:r>
    </w:p>
    <w:p w:rsidR="0079059D" w:rsidRPr="001779EA" w:rsidRDefault="0079059D" w:rsidP="0017657B">
      <w:pPr>
        <w:pStyle w:val="TableFigureHeading"/>
        <w:keepLines/>
        <w:rPr>
          <w:snapToGrid w:val="0"/>
        </w:rPr>
      </w:pPr>
    </w:p>
    <w:tbl>
      <w:tblPr>
        <w:tblStyle w:val="AZTable"/>
        <w:tblW w:w="5072" w:type="pct"/>
        <w:tblInd w:w="-1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Requested listing"/>
      </w:tblPr>
      <w:tblGrid>
        <w:gridCol w:w="1829"/>
        <w:gridCol w:w="1101"/>
        <w:gridCol w:w="1086"/>
        <w:gridCol w:w="852"/>
        <w:gridCol w:w="1335"/>
        <w:gridCol w:w="1335"/>
        <w:gridCol w:w="1619"/>
      </w:tblGrid>
      <w:tr w:rsidR="000C4EE8" w:rsidRPr="001779EA" w:rsidTr="00431A7A">
        <w:trPr>
          <w:cnfStyle w:val="100000000000" w:firstRow="1" w:lastRow="0" w:firstColumn="0" w:lastColumn="0" w:oddVBand="0" w:evenVBand="0" w:oddHBand="0" w:evenHBand="0" w:firstRowFirstColumn="0" w:firstRowLastColumn="0" w:lastRowFirstColumn="0" w:lastRowLastColumn="0"/>
          <w:tblHeader/>
        </w:trPr>
        <w:tc>
          <w:tcPr>
            <w:tcW w:w="999" w:type="pct"/>
            <w:tcMar>
              <w:left w:w="28" w:type="dxa"/>
              <w:right w:w="28" w:type="dxa"/>
            </w:tcMar>
            <w:hideMark/>
          </w:tcPr>
          <w:p w:rsidR="0079059D" w:rsidRPr="001779EA" w:rsidRDefault="0079059D" w:rsidP="0017657B">
            <w:pPr>
              <w:pStyle w:val="TableHeading0"/>
              <w:spacing w:before="0" w:after="0" w:line="240" w:lineRule="auto"/>
              <w:jc w:val="center"/>
            </w:pPr>
            <w:r w:rsidRPr="001779EA">
              <w:t>Name, restriction, manner of administration, form</w:t>
            </w:r>
          </w:p>
        </w:tc>
        <w:tc>
          <w:tcPr>
            <w:tcW w:w="601" w:type="pct"/>
            <w:tcMar>
              <w:left w:w="28" w:type="dxa"/>
              <w:right w:w="28" w:type="dxa"/>
            </w:tcMar>
            <w:hideMark/>
          </w:tcPr>
          <w:p w:rsidR="0079059D" w:rsidRPr="001779EA" w:rsidRDefault="0079059D" w:rsidP="0017657B">
            <w:pPr>
              <w:pStyle w:val="TableHeading0"/>
              <w:spacing w:before="0" w:after="0" w:line="240" w:lineRule="auto"/>
              <w:jc w:val="center"/>
            </w:pPr>
            <w:r w:rsidRPr="001779EA">
              <w:t>Maximum quantity (packs)</w:t>
            </w:r>
          </w:p>
        </w:tc>
        <w:tc>
          <w:tcPr>
            <w:tcW w:w="593" w:type="pct"/>
            <w:tcMar>
              <w:left w:w="28" w:type="dxa"/>
              <w:right w:w="28" w:type="dxa"/>
            </w:tcMar>
            <w:hideMark/>
          </w:tcPr>
          <w:p w:rsidR="0079059D" w:rsidRPr="001779EA" w:rsidRDefault="0079059D" w:rsidP="0017657B">
            <w:pPr>
              <w:pStyle w:val="TableHeading0"/>
              <w:spacing w:before="0" w:after="0" w:line="240" w:lineRule="auto"/>
              <w:jc w:val="center"/>
            </w:pPr>
            <w:r w:rsidRPr="001779EA">
              <w:t>Maximum quantity (units)</w:t>
            </w:r>
          </w:p>
        </w:tc>
        <w:tc>
          <w:tcPr>
            <w:tcW w:w="465" w:type="pct"/>
            <w:tcMar>
              <w:left w:w="28" w:type="dxa"/>
              <w:right w:w="28" w:type="dxa"/>
            </w:tcMar>
            <w:hideMark/>
          </w:tcPr>
          <w:p w:rsidR="0079059D" w:rsidRPr="001779EA" w:rsidRDefault="0079059D" w:rsidP="0017657B">
            <w:pPr>
              <w:pStyle w:val="TableHeading0"/>
              <w:spacing w:before="0" w:after="0" w:line="240" w:lineRule="auto"/>
              <w:jc w:val="center"/>
            </w:pPr>
            <w:r w:rsidRPr="001779EA">
              <w:t>No. of repeats</w:t>
            </w:r>
          </w:p>
        </w:tc>
        <w:tc>
          <w:tcPr>
            <w:tcW w:w="729" w:type="pct"/>
            <w:tcMar>
              <w:left w:w="28" w:type="dxa"/>
              <w:right w:w="28" w:type="dxa"/>
            </w:tcMar>
          </w:tcPr>
          <w:p w:rsidR="0079059D" w:rsidRPr="001779EA" w:rsidRDefault="0079059D" w:rsidP="0017657B">
            <w:pPr>
              <w:pStyle w:val="TableHeading0"/>
              <w:spacing w:before="0" w:after="0" w:line="240" w:lineRule="auto"/>
              <w:jc w:val="left"/>
            </w:pPr>
            <w:r w:rsidRPr="001779EA">
              <w:t>AEMP</w:t>
            </w:r>
          </w:p>
        </w:tc>
        <w:tc>
          <w:tcPr>
            <w:tcW w:w="729" w:type="pct"/>
            <w:tcMar>
              <w:left w:w="28" w:type="dxa"/>
              <w:right w:w="28" w:type="dxa"/>
            </w:tcMar>
            <w:hideMark/>
          </w:tcPr>
          <w:p w:rsidR="0079059D" w:rsidRPr="001779EA" w:rsidRDefault="0079059D" w:rsidP="0017657B">
            <w:pPr>
              <w:pStyle w:val="TableHeading0"/>
              <w:spacing w:before="0" w:after="0" w:line="240" w:lineRule="auto"/>
              <w:jc w:val="left"/>
            </w:pPr>
            <w:r w:rsidRPr="001779EA">
              <w:t>DPMQ</w:t>
            </w:r>
          </w:p>
        </w:tc>
        <w:tc>
          <w:tcPr>
            <w:tcW w:w="884" w:type="pct"/>
            <w:tcMar>
              <w:left w:w="28" w:type="dxa"/>
              <w:right w:w="28" w:type="dxa"/>
            </w:tcMar>
            <w:hideMark/>
          </w:tcPr>
          <w:p w:rsidR="0079059D" w:rsidRPr="001779EA" w:rsidRDefault="0079059D" w:rsidP="0017657B">
            <w:pPr>
              <w:pStyle w:val="TableHeading0"/>
              <w:spacing w:before="0" w:after="0" w:line="240" w:lineRule="auto"/>
              <w:jc w:val="center"/>
            </w:pPr>
            <w:r w:rsidRPr="001779EA">
              <w:t>Proprietary name and manufacturer</w:t>
            </w:r>
          </w:p>
        </w:tc>
      </w:tr>
      <w:tr w:rsidR="000C4EE8" w:rsidRPr="001779EA" w:rsidTr="00431A7A">
        <w:tc>
          <w:tcPr>
            <w:tcW w:w="999" w:type="pct"/>
            <w:vAlign w:val="center"/>
            <w:hideMark/>
          </w:tcPr>
          <w:p w:rsidR="0079059D" w:rsidRPr="001779EA" w:rsidRDefault="0079059D" w:rsidP="0017657B">
            <w:pPr>
              <w:pStyle w:val="Tabletext"/>
              <w:keepNext/>
              <w:keepLines/>
            </w:pPr>
            <w:r w:rsidRPr="001779EA">
              <w:t>Fulvestrant, 250mg/5mL, solution for injection</w:t>
            </w:r>
          </w:p>
        </w:tc>
        <w:tc>
          <w:tcPr>
            <w:tcW w:w="601" w:type="pct"/>
            <w:vAlign w:val="center"/>
            <w:hideMark/>
          </w:tcPr>
          <w:p w:rsidR="0079059D" w:rsidRPr="001779EA" w:rsidRDefault="0079059D" w:rsidP="0017657B">
            <w:pPr>
              <w:pStyle w:val="Tabletext"/>
              <w:keepNext/>
              <w:keepLines/>
              <w:jc w:val="center"/>
            </w:pPr>
            <w:r w:rsidRPr="001779EA">
              <w:t>1</w:t>
            </w:r>
          </w:p>
        </w:tc>
        <w:tc>
          <w:tcPr>
            <w:tcW w:w="593" w:type="pct"/>
            <w:vAlign w:val="center"/>
            <w:hideMark/>
          </w:tcPr>
          <w:p w:rsidR="0079059D" w:rsidRPr="001779EA" w:rsidRDefault="0079059D" w:rsidP="0017657B">
            <w:pPr>
              <w:pStyle w:val="Tabletext"/>
              <w:keepNext/>
              <w:keepLines/>
              <w:jc w:val="center"/>
            </w:pPr>
            <w:r w:rsidRPr="001779EA">
              <w:t>2</w:t>
            </w:r>
          </w:p>
        </w:tc>
        <w:tc>
          <w:tcPr>
            <w:tcW w:w="465" w:type="pct"/>
            <w:vAlign w:val="center"/>
            <w:hideMark/>
          </w:tcPr>
          <w:p w:rsidR="0079059D" w:rsidRPr="001779EA" w:rsidRDefault="0079059D" w:rsidP="0017657B">
            <w:pPr>
              <w:pStyle w:val="Tabletext"/>
              <w:keepNext/>
              <w:keepLines/>
              <w:jc w:val="center"/>
            </w:pPr>
            <w:r w:rsidRPr="001779EA">
              <w:t>5</w:t>
            </w:r>
          </w:p>
        </w:tc>
        <w:tc>
          <w:tcPr>
            <w:tcW w:w="729" w:type="pct"/>
            <w:vAlign w:val="center"/>
          </w:tcPr>
          <w:p w:rsidR="0079059D" w:rsidRPr="001779EA" w:rsidRDefault="0079059D" w:rsidP="0017657B">
            <w:pPr>
              <w:pStyle w:val="Tabletext"/>
              <w:keepNext/>
              <w:keepLines/>
            </w:pPr>
            <w:r w:rsidRPr="001779EA">
              <w:t xml:space="preserve">$828.69 </w:t>
            </w:r>
            <w:r w:rsidR="000C4EE8" w:rsidRPr="001779EA">
              <w:t>Published</w:t>
            </w:r>
          </w:p>
          <w:p w:rsidR="0079059D" w:rsidRPr="001779EA" w:rsidRDefault="0079059D" w:rsidP="0017657B">
            <w:pPr>
              <w:pStyle w:val="Tabletext"/>
              <w:keepNext/>
              <w:keepLines/>
            </w:pPr>
            <w:r w:rsidRPr="001779EA">
              <w:t>$</w:t>
            </w:r>
            <w:r w:rsidR="00D728FC">
              <w:rPr>
                <w:noProof/>
                <w:color w:val="000000"/>
                <w:highlight w:val="black"/>
              </w:rPr>
              <w:t>'''''''''''''''</w:t>
            </w:r>
            <w:r w:rsidRPr="001779EA">
              <w:t xml:space="preserve"> SPA</w:t>
            </w:r>
          </w:p>
        </w:tc>
        <w:tc>
          <w:tcPr>
            <w:tcW w:w="729" w:type="pct"/>
            <w:vAlign w:val="center"/>
            <w:hideMark/>
          </w:tcPr>
          <w:p w:rsidR="0079059D" w:rsidRPr="001779EA" w:rsidRDefault="0079059D" w:rsidP="0017657B">
            <w:pPr>
              <w:pStyle w:val="Tabletext"/>
              <w:keepNext/>
              <w:keepLines/>
            </w:pPr>
            <w:r w:rsidRPr="001779EA">
              <w:t xml:space="preserve">$927.37 </w:t>
            </w:r>
            <w:r w:rsidR="000C4EE8" w:rsidRPr="001779EA">
              <w:t>Published</w:t>
            </w:r>
          </w:p>
          <w:p w:rsidR="0079059D" w:rsidRPr="001779EA" w:rsidRDefault="0079059D" w:rsidP="0017657B">
            <w:pPr>
              <w:pStyle w:val="Tabletext"/>
              <w:keepNext/>
              <w:keepLines/>
            </w:pPr>
            <w:r w:rsidRPr="001779EA">
              <w:t>$</w:t>
            </w:r>
            <w:r w:rsidR="00D728FC">
              <w:rPr>
                <w:noProof/>
                <w:color w:val="000000"/>
                <w:highlight w:val="black"/>
              </w:rPr>
              <w:t>''''''''''''''''''</w:t>
            </w:r>
            <w:r w:rsidRPr="001779EA">
              <w:t xml:space="preserve"> SPA</w:t>
            </w:r>
          </w:p>
        </w:tc>
        <w:tc>
          <w:tcPr>
            <w:tcW w:w="884" w:type="pct"/>
            <w:vAlign w:val="center"/>
            <w:hideMark/>
          </w:tcPr>
          <w:p w:rsidR="0079059D" w:rsidRPr="001779EA" w:rsidRDefault="0079059D" w:rsidP="0017657B">
            <w:pPr>
              <w:pStyle w:val="Tabletext"/>
              <w:keepNext/>
              <w:keepLines/>
            </w:pPr>
            <w:r w:rsidRPr="001779EA">
              <w:t>FASLODEX, AstraZeneca Australia Pty Ltd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583657" w:rsidRPr="001779EA" w:rsidTr="00583657">
        <w:tc>
          <w:tcPr>
            <w:tcW w:w="5000" w:type="pct"/>
            <w:tcBorders>
              <w:top w:val="single" w:sz="4" w:space="0" w:color="auto"/>
              <w:left w:val="single" w:sz="4" w:space="0" w:color="auto"/>
              <w:bottom w:val="single" w:sz="4" w:space="0" w:color="auto"/>
              <w:right w:val="single" w:sz="4" w:space="0" w:color="auto"/>
            </w:tcBorders>
          </w:tcPr>
          <w:p w:rsidR="00583657" w:rsidRPr="001779EA" w:rsidRDefault="00583657" w:rsidP="00B44564">
            <w:pPr>
              <w:rPr>
                <w:rFonts w:ascii="Arial Narrow" w:eastAsia="Calibri" w:hAnsi="Arial Narrow"/>
                <w:sz w:val="20"/>
                <w:szCs w:val="20"/>
                <w:lang w:eastAsia="en-US"/>
              </w:rPr>
            </w:pPr>
            <w:bookmarkStart w:id="17" w:name="_GoBack"/>
            <w:bookmarkEnd w:id="17"/>
            <w:r w:rsidRPr="001779EA">
              <w:rPr>
                <w:rFonts w:ascii="Arial Narrow" w:eastAsia="Calibri" w:hAnsi="Arial Narrow"/>
                <w:b/>
                <w:sz w:val="20"/>
                <w:szCs w:val="20"/>
                <w:lang w:eastAsia="en-US"/>
              </w:rPr>
              <w:t xml:space="preserve">Category / Program:   </w:t>
            </w:r>
            <w:r w:rsidRPr="001779EA">
              <w:rPr>
                <w:rFonts w:ascii="Arial Narrow" w:eastAsia="Calibri" w:hAnsi="Arial Narrow"/>
                <w:sz w:val="20"/>
                <w:szCs w:val="20"/>
                <w:lang w:eastAsia="en-US"/>
              </w:rPr>
              <w:t>GENERAL – General Schedule (Code GE)</w:t>
            </w:r>
          </w:p>
        </w:tc>
      </w:tr>
      <w:tr w:rsidR="00583657" w:rsidRPr="001779EA" w:rsidTr="00583657">
        <w:trPr>
          <w:trHeight w:val="366"/>
        </w:trPr>
        <w:tc>
          <w:tcPr>
            <w:tcW w:w="5000" w:type="pct"/>
            <w:tcBorders>
              <w:top w:val="single" w:sz="4" w:space="0" w:color="auto"/>
              <w:left w:val="single" w:sz="4" w:space="0" w:color="auto"/>
              <w:bottom w:val="single" w:sz="4" w:space="0" w:color="auto"/>
              <w:right w:val="single" w:sz="4" w:space="0" w:color="auto"/>
            </w:tcBorders>
          </w:tcPr>
          <w:p w:rsidR="00583657" w:rsidRPr="001779EA" w:rsidRDefault="00583657" w:rsidP="00B83EB2">
            <w:pPr>
              <w:rPr>
                <w:rFonts w:ascii="Arial Narrow" w:eastAsia="Calibri" w:hAnsi="Arial Narrow"/>
                <w:sz w:val="20"/>
                <w:szCs w:val="20"/>
                <w:lang w:eastAsia="en-US"/>
              </w:rPr>
            </w:pPr>
            <w:r w:rsidRPr="001779EA">
              <w:rPr>
                <w:rFonts w:ascii="Arial Narrow" w:eastAsia="Calibri" w:hAnsi="Arial Narrow"/>
                <w:b/>
                <w:sz w:val="20"/>
                <w:szCs w:val="20"/>
                <w:lang w:eastAsia="en-US"/>
              </w:rPr>
              <w:t xml:space="preserve">Prescriber type:  </w:t>
            </w:r>
            <w:r w:rsidRPr="001779EA">
              <w:rPr>
                <w:rFonts w:ascii="Arial Narrow" w:eastAsia="Calibri" w:hAnsi="Arial Narrow"/>
                <w:sz w:val="20"/>
                <w:szCs w:val="20"/>
                <w:lang w:eastAsia="en-US"/>
              </w:rPr>
              <w:fldChar w:fldCharType="begin">
                <w:ffData>
                  <w:name w:val=""/>
                  <w:enabled/>
                  <w:calcOnExit w:val="0"/>
                  <w:checkBox>
                    <w:sizeAuto/>
                    <w:default w:val="1"/>
                  </w:checkBox>
                </w:ffData>
              </w:fldChar>
            </w:r>
            <w:r w:rsidRPr="001779EA">
              <w:rPr>
                <w:rFonts w:ascii="Arial Narrow" w:eastAsia="Calibri" w:hAnsi="Arial Narrow"/>
                <w:sz w:val="20"/>
                <w:szCs w:val="20"/>
                <w:lang w:eastAsia="en-US"/>
              </w:rPr>
              <w:instrText xml:space="preserve"> FORMCHECKBOX </w:instrText>
            </w:r>
            <w:r w:rsidR="00C428BE">
              <w:rPr>
                <w:rFonts w:ascii="Arial Narrow" w:eastAsia="Calibri" w:hAnsi="Arial Narrow"/>
                <w:sz w:val="20"/>
                <w:szCs w:val="20"/>
                <w:lang w:eastAsia="en-US"/>
              </w:rPr>
            </w:r>
            <w:r w:rsidR="00C428BE">
              <w:rPr>
                <w:rFonts w:ascii="Arial Narrow" w:eastAsia="Calibri" w:hAnsi="Arial Narrow"/>
                <w:sz w:val="20"/>
                <w:szCs w:val="20"/>
                <w:lang w:eastAsia="en-US"/>
              </w:rPr>
              <w:fldChar w:fldCharType="separate"/>
            </w:r>
            <w:r w:rsidRPr="001779EA">
              <w:rPr>
                <w:rFonts w:ascii="Arial Narrow" w:eastAsia="Calibri" w:hAnsi="Arial Narrow"/>
                <w:sz w:val="20"/>
                <w:szCs w:val="20"/>
                <w:lang w:eastAsia="en-US"/>
              </w:rPr>
              <w:fldChar w:fldCharType="end"/>
            </w:r>
            <w:r w:rsidRPr="001779EA">
              <w:rPr>
                <w:rFonts w:ascii="Arial Narrow" w:eastAsia="Calibri" w:hAnsi="Arial Narrow"/>
                <w:sz w:val="20"/>
                <w:szCs w:val="20"/>
                <w:lang w:eastAsia="en-US"/>
              </w:rPr>
              <w:t xml:space="preserve">Medical Practitioners  </w:t>
            </w:r>
          </w:p>
        </w:tc>
      </w:tr>
      <w:tr w:rsidR="00583657" w:rsidRPr="001779EA" w:rsidTr="00583657">
        <w:trPr>
          <w:trHeight w:val="274"/>
        </w:trPr>
        <w:tc>
          <w:tcPr>
            <w:tcW w:w="5000" w:type="pct"/>
            <w:tcBorders>
              <w:top w:val="single" w:sz="4" w:space="0" w:color="auto"/>
              <w:left w:val="single" w:sz="4" w:space="0" w:color="auto"/>
              <w:bottom w:val="single" w:sz="4" w:space="0" w:color="auto"/>
              <w:right w:val="single" w:sz="4" w:space="0" w:color="auto"/>
            </w:tcBorders>
          </w:tcPr>
          <w:p w:rsidR="00583657" w:rsidRPr="001779EA" w:rsidRDefault="00583657" w:rsidP="00B44564">
            <w:pPr>
              <w:rPr>
                <w:rFonts w:ascii="Arial Narrow" w:eastAsia="Calibri" w:hAnsi="Arial Narrow"/>
                <w:sz w:val="20"/>
                <w:szCs w:val="20"/>
                <w:lang w:eastAsia="en-US"/>
              </w:rPr>
            </w:pPr>
            <w:r w:rsidRPr="001779EA">
              <w:rPr>
                <w:rFonts w:ascii="Arial Narrow" w:eastAsia="Calibri" w:hAnsi="Arial Narrow"/>
                <w:b/>
                <w:sz w:val="20"/>
                <w:szCs w:val="20"/>
                <w:lang w:eastAsia="en-US"/>
              </w:rPr>
              <w:t xml:space="preserve">Restriction Level / Method:  </w:t>
            </w:r>
          </w:p>
          <w:p w:rsidR="00583657" w:rsidRPr="001779EA" w:rsidRDefault="00583657" w:rsidP="00B44564">
            <w:pPr>
              <w:rPr>
                <w:rFonts w:ascii="Arial Narrow" w:eastAsia="Calibri" w:hAnsi="Arial Narrow"/>
                <w:sz w:val="20"/>
                <w:szCs w:val="20"/>
                <w:lang w:eastAsia="en-US"/>
              </w:rPr>
            </w:pPr>
            <w:r w:rsidRPr="001779EA">
              <w:rPr>
                <w:rFonts w:ascii="Arial Narrow" w:eastAsia="Calibri" w:hAnsi="Arial Narrow"/>
                <w:sz w:val="20"/>
                <w:szCs w:val="20"/>
                <w:lang w:eastAsia="en-US"/>
              </w:rPr>
              <w:fldChar w:fldCharType="begin">
                <w:ffData>
                  <w:name w:val="Check3"/>
                  <w:enabled/>
                  <w:calcOnExit w:val="0"/>
                  <w:checkBox>
                    <w:sizeAuto/>
                    <w:default w:val="1"/>
                  </w:checkBox>
                </w:ffData>
              </w:fldChar>
            </w:r>
            <w:r w:rsidRPr="001779EA">
              <w:rPr>
                <w:rFonts w:ascii="Arial Narrow" w:eastAsia="Calibri" w:hAnsi="Arial Narrow"/>
                <w:sz w:val="20"/>
                <w:szCs w:val="20"/>
                <w:lang w:eastAsia="en-US"/>
              </w:rPr>
              <w:instrText xml:space="preserve"> FORMCHECKBOX </w:instrText>
            </w:r>
            <w:r w:rsidR="00C428BE">
              <w:rPr>
                <w:rFonts w:ascii="Arial Narrow" w:eastAsia="Calibri" w:hAnsi="Arial Narrow"/>
                <w:sz w:val="20"/>
                <w:szCs w:val="20"/>
                <w:lang w:eastAsia="en-US"/>
              </w:rPr>
            </w:r>
            <w:r w:rsidR="00C428BE">
              <w:rPr>
                <w:rFonts w:ascii="Arial Narrow" w:eastAsia="Calibri" w:hAnsi="Arial Narrow"/>
                <w:sz w:val="20"/>
                <w:szCs w:val="20"/>
                <w:lang w:eastAsia="en-US"/>
              </w:rPr>
              <w:fldChar w:fldCharType="separate"/>
            </w:r>
            <w:r w:rsidRPr="001779EA">
              <w:rPr>
                <w:rFonts w:ascii="Arial Narrow" w:eastAsia="Calibri" w:hAnsi="Arial Narrow"/>
                <w:sz w:val="20"/>
                <w:szCs w:val="20"/>
                <w:lang w:eastAsia="en-US"/>
              </w:rPr>
              <w:fldChar w:fldCharType="end"/>
            </w:r>
            <w:r w:rsidRPr="001779EA">
              <w:rPr>
                <w:rFonts w:ascii="Arial Narrow" w:eastAsia="Calibri" w:hAnsi="Arial Narrow"/>
                <w:sz w:val="20"/>
                <w:szCs w:val="20"/>
                <w:lang w:eastAsia="en-US"/>
              </w:rPr>
              <w:t>Authority Required – immediate/real time assessment by Medicare (telephone/online/emergency)</w:t>
            </w:r>
          </w:p>
        </w:tc>
      </w:tr>
      <w:tr w:rsidR="00583657" w:rsidRPr="001779EA" w:rsidTr="00583657">
        <w:tc>
          <w:tcPr>
            <w:tcW w:w="5000" w:type="pct"/>
            <w:vAlign w:val="center"/>
            <w:hideMark/>
          </w:tcPr>
          <w:p w:rsidR="00583657" w:rsidRPr="001779EA" w:rsidRDefault="00583657" w:rsidP="00B44564">
            <w:pPr>
              <w:jc w:val="left"/>
              <w:rPr>
                <w:rFonts w:ascii="Arial Narrow" w:hAnsi="Arial Narrow" w:cs="Times New Roman"/>
                <w:sz w:val="20"/>
                <w:szCs w:val="20"/>
              </w:rPr>
            </w:pPr>
            <w:r w:rsidRPr="001779EA">
              <w:rPr>
                <w:rFonts w:ascii="Arial Narrow" w:hAnsi="Arial Narrow" w:cs="Times New Roman"/>
                <w:b/>
                <w:bCs/>
                <w:sz w:val="20"/>
                <w:szCs w:val="20"/>
              </w:rPr>
              <w:t>Indication:</w:t>
            </w:r>
            <w:r w:rsidRPr="001779EA">
              <w:rPr>
                <w:rFonts w:ascii="Arial Narrow" w:hAnsi="Arial Narrow" w:cs="Times New Roman"/>
                <w:sz w:val="20"/>
                <w:szCs w:val="20"/>
              </w:rPr>
              <w:t xml:space="preserve"> Locally advanced or metastatic breast cancer</w:t>
            </w:r>
          </w:p>
        </w:tc>
      </w:tr>
      <w:tr w:rsidR="00583657" w:rsidRPr="001779EA" w:rsidTr="00B83EB2">
        <w:tc>
          <w:tcPr>
            <w:tcW w:w="5000" w:type="pct"/>
            <w:tcBorders>
              <w:bottom w:val="single" w:sz="4" w:space="0" w:color="auto"/>
            </w:tcBorders>
            <w:vAlign w:val="center"/>
            <w:hideMark/>
          </w:tcPr>
          <w:p w:rsidR="00583657" w:rsidRPr="001779EA" w:rsidRDefault="00583657" w:rsidP="00B44564">
            <w:pPr>
              <w:jc w:val="left"/>
              <w:rPr>
                <w:rFonts w:ascii="Arial Narrow" w:hAnsi="Arial Narrow" w:cs="Times New Roman"/>
                <w:sz w:val="20"/>
                <w:szCs w:val="20"/>
              </w:rPr>
            </w:pPr>
            <w:r w:rsidRPr="001779EA">
              <w:rPr>
                <w:rFonts w:ascii="Arial Narrow" w:hAnsi="Arial Narrow" w:cs="Times New Roman"/>
                <w:b/>
                <w:bCs/>
                <w:sz w:val="20"/>
                <w:szCs w:val="20"/>
              </w:rPr>
              <w:lastRenderedPageBreak/>
              <w:t>Clinical criteria:</w:t>
            </w:r>
          </w:p>
        </w:tc>
      </w:tr>
      <w:tr w:rsidR="00583657" w:rsidRPr="001779EA" w:rsidTr="00B83EB2">
        <w:trPr>
          <w:trHeight w:val="113"/>
        </w:trPr>
        <w:tc>
          <w:tcPr>
            <w:tcW w:w="5000" w:type="pct"/>
            <w:tcBorders>
              <w:bottom w:val="nil"/>
            </w:tcBorders>
            <w:vAlign w:val="center"/>
            <w:hideMark/>
          </w:tcPr>
          <w:p w:rsidR="00583657" w:rsidRPr="001779EA" w:rsidRDefault="00583657" w:rsidP="00B83EB2">
            <w:pPr>
              <w:spacing w:line="276" w:lineRule="auto"/>
              <w:rPr>
                <w:rFonts w:ascii="Arial Narrow" w:hAnsi="Arial Narrow"/>
                <w:sz w:val="20"/>
                <w:szCs w:val="20"/>
                <w:lang w:eastAsia="en-US" w:bidi="en-US"/>
              </w:rPr>
            </w:pPr>
            <w:r w:rsidRPr="001779EA">
              <w:rPr>
                <w:rFonts w:ascii="Arial Narrow" w:hAnsi="Arial Narrow" w:cs="Times New Roman"/>
                <w:sz w:val="20"/>
                <w:szCs w:val="20"/>
              </w:rPr>
              <w:t>The condition must be hormone receptor positive</w:t>
            </w:r>
          </w:p>
        </w:tc>
      </w:tr>
      <w:tr w:rsidR="00583657" w:rsidRPr="001779EA" w:rsidTr="00B83EB2">
        <w:trPr>
          <w:trHeight w:val="113"/>
        </w:trPr>
        <w:tc>
          <w:tcPr>
            <w:tcW w:w="5000" w:type="pct"/>
            <w:tcBorders>
              <w:top w:val="nil"/>
              <w:bottom w:val="nil"/>
            </w:tcBorders>
            <w:vAlign w:val="center"/>
            <w:hideMark/>
          </w:tcPr>
          <w:p w:rsidR="00583657" w:rsidRPr="00B83EB2" w:rsidRDefault="00583657" w:rsidP="00B83EB2">
            <w:pPr>
              <w:jc w:val="left"/>
              <w:rPr>
                <w:rFonts w:ascii="Arial Narrow" w:hAnsi="Arial Narrow" w:cs="Times New Roman"/>
                <w:sz w:val="20"/>
                <w:szCs w:val="20"/>
              </w:rPr>
            </w:pPr>
            <w:r w:rsidRPr="00B83EB2">
              <w:rPr>
                <w:rFonts w:ascii="Arial Narrow" w:hAnsi="Arial Narrow" w:cs="Times New Roman"/>
                <w:bCs/>
                <w:sz w:val="20"/>
                <w:szCs w:val="20"/>
              </w:rPr>
              <w:t>AND</w:t>
            </w:r>
          </w:p>
        </w:tc>
      </w:tr>
      <w:tr w:rsidR="00583657" w:rsidRPr="001779EA" w:rsidTr="00B83EB2">
        <w:trPr>
          <w:trHeight w:val="113"/>
        </w:trPr>
        <w:tc>
          <w:tcPr>
            <w:tcW w:w="5000" w:type="pct"/>
            <w:tcBorders>
              <w:top w:val="nil"/>
              <w:bottom w:val="nil"/>
            </w:tcBorders>
            <w:vAlign w:val="center"/>
            <w:hideMark/>
          </w:tcPr>
          <w:p w:rsidR="00583657" w:rsidRPr="001779EA" w:rsidRDefault="00583657" w:rsidP="00B83EB2">
            <w:pPr>
              <w:spacing w:line="276" w:lineRule="auto"/>
              <w:rPr>
                <w:rFonts w:ascii="Arial Narrow" w:hAnsi="Arial Narrow" w:cs="Times New Roman"/>
                <w:sz w:val="20"/>
                <w:szCs w:val="20"/>
              </w:rPr>
            </w:pPr>
            <w:r w:rsidRPr="001779EA">
              <w:rPr>
                <w:rFonts w:ascii="Arial Narrow" w:hAnsi="Arial Narrow" w:cs="Times New Roman"/>
                <w:sz w:val="20"/>
                <w:szCs w:val="20"/>
              </w:rPr>
              <w:t>The condition must be human epidermal growth factor receptor 2 (HER2) negative</w:t>
            </w:r>
          </w:p>
        </w:tc>
      </w:tr>
      <w:tr w:rsidR="00583657" w:rsidRPr="001779EA" w:rsidTr="00B83EB2">
        <w:trPr>
          <w:trHeight w:val="113"/>
        </w:trPr>
        <w:tc>
          <w:tcPr>
            <w:tcW w:w="5000" w:type="pct"/>
            <w:tcBorders>
              <w:top w:val="nil"/>
              <w:bottom w:val="nil"/>
            </w:tcBorders>
            <w:vAlign w:val="center"/>
          </w:tcPr>
          <w:p w:rsidR="00583657" w:rsidRPr="00B83EB2" w:rsidRDefault="00583657" w:rsidP="00B83EB2">
            <w:pPr>
              <w:spacing w:line="276" w:lineRule="auto"/>
              <w:rPr>
                <w:rFonts w:ascii="Arial Narrow" w:hAnsi="Arial Narrow" w:cs="Times New Roman"/>
                <w:sz w:val="20"/>
                <w:szCs w:val="20"/>
              </w:rPr>
            </w:pPr>
            <w:r w:rsidRPr="00B83EB2">
              <w:rPr>
                <w:rFonts w:ascii="Arial Narrow" w:hAnsi="Arial Narrow" w:cs="Times New Roman"/>
                <w:bCs/>
                <w:sz w:val="20"/>
                <w:szCs w:val="20"/>
              </w:rPr>
              <w:t>AND</w:t>
            </w:r>
          </w:p>
        </w:tc>
      </w:tr>
      <w:tr w:rsidR="00583657" w:rsidRPr="001779EA" w:rsidTr="00B83EB2">
        <w:trPr>
          <w:trHeight w:val="113"/>
        </w:trPr>
        <w:tc>
          <w:tcPr>
            <w:tcW w:w="5000" w:type="pct"/>
            <w:tcBorders>
              <w:top w:val="nil"/>
              <w:bottom w:val="nil"/>
            </w:tcBorders>
            <w:vAlign w:val="center"/>
          </w:tcPr>
          <w:p w:rsidR="00583657" w:rsidRPr="001779EA" w:rsidRDefault="00583657" w:rsidP="00B83EB2">
            <w:pPr>
              <w:spacing w:line="276" w:lineRule="auto"/>
              <w:rPr>
                <w:rFonts w:ascii="Arial Narrow" w:hAnsi="Arial Narrow" w:cs="Times New Roman"/>
                <w:sz w:val="20"/>
                <w:szCs w:val="20"/>
              </w:rPr>
            </w:pPr>
            <w:r w:rsidRPr="001779EA">
              <w:rPr>
                <w:rFonts w:ascii="Arial Narrow" w:hAnsi="Arial Narrow" w:cs="Times New Roman"/>
                <w:sz w:val="20"/>
                <w:szCs w:val="20"/>
              </w:rPr>
              <w:t>The condition must be unresectable</w:t>
            </w:r>
          </w:p>
        </w:tc>
      </w:tr>
      <w:tr w:rsidR="00583657" w:rsidRPr="001779EA" w:rsidTr="00B83EB2">
        <w:tc>
          <w:tcPr>
            <w:tcW w:w="5000" w:type="pct"/>
            <w:tcBorders>
              <w:bottom w:val="nil"/>
            </w:tcBorders>
            <w:vAlign w:val="center"/>
            <w:hideMark/>
          </w:tcPr>
          <w:p w:rsidR="00583657" w:rsidRPr="001779EA" w:rsidRDefault="00583657" w:rsidP="00B44564">
            <w:pPr>
              <w:jc w:val="left"/>
              <w:rPr>
                <w:rFonts w:ascii="Arial Narrow" w:hAnsi="Arial Narrow" w:cs="Times New Roman"/>
                <w:sz w:val="20"/>
                <w:szCs w:val="20"/>
              </w:rPr>
            </w:pPr>
            <w:r w:rsidRPr="001779EA">
              <w:rPr>
                <w:rFonts w:ascii="Arial Narrow" w:hAnsi="Arial Narrow" w:cs="Times New Roman"/>
                <w:b/>
                <w:bCs/>
                <w:sz w:val="20"/>
                <w:szCs w:val="20"/>
              </w:rPr>
              <w:t>Population criteria:</w:t>
            </w:r>
          </w:p>
        </w:tc>
      </w:tr>
      <w:tr w:rsidR="00583657" w:rsidRPr="001779EA" w:rsidTr="00B83EB2">
        <w:tc>
          <w:tcPr>
            <w:tcW w:w="5000" w:type="pct"/>
            <w:tcBorders>
              <w:top w:val="nil"/>
            </w:tcBorders>
            <w:vAlign w:val="center"/>
            <w:hideMark/>
          </w:tcPr>
          <w:p w:rsidR="00583657" w:rsidRPr="001779EA" w:rsidRDefault="00583657" w:rsidP="00B44564">
            <w:pPr>
              <w:spacing w:before="20" w:after="20" w:line="276" w:lineRule="auto"/>
              <w:rPr>
                <w:rFonts w:ascii="Arial Narrow" w:hAnsi="Arial Narrow"/>
                <w:sz w:val="20"/>
                <w:szCs w:val="20"/>
                <w:lang w:eastAsia="en-US" w:bidi="en-US"/>
              </w:rPr>
            </w:pPr>
            <w:r w:rsidRPr="001779EA">
              <w:rPr>
                <w:rFonts w:ascii="Arial Narrow" w:eastAsia="Calibri" w:hAnsi="Arial Narrow" w:cs="Arial Narrow"/>
                <w:iCs/>
                <w:sz w:val="20"/>
                <w:szCs w:val="20"/>
                <w:lang w:eastAsia="en-US"/>
              </w:rPr>
              <w:t>Patient must not be pre-menopausal.</w:t>
            </w:r>
          </w:p>
        </w:tc>
      </w:tr>
      <w:tr w:rsidR="00583657" w:rsidRPr="001779EA" w:rsidTr="00B83EB2">
        <w:tc>
          <w:tcPr>
            <w:tcW w:w="5000" w:type="pct"/>
            <w:tcBorders>
              <w:bottom w:val="single" w:sz="4" w:space="0" w:color="auto"/>
            </w:tcBorders>
            <w:vAlign w:val="center"/>
            <w:hideMark/>
          </w:tcPr>
          <w:p w:rsidR="00583657" w:rsidRPr="001779EA" w:rsidRDefault="00583657" w:rsidP="00B44564">
            <w:pPr>
              <w:jc w:val="left"/>
              <w:rPr>
                <w:rFonts w:ascii="Arial Narrow" w:hAnsi="Arial Narrow" w:cs="Times New Roman"/>
                <w:b/>
                <w:bCs/>
                <w:sz w:val="20"/>
                <w:szCs w:val="20"/>
              </w:rPr>
            </w:pPr>
            <w:r w:rsidRPr="001779EA">
              <w:rPr>
                <w:rFonts w:ascii="Arial Narrow" w:hAnsi="Arial Narrow" w:cs="Times New Roman"/>
                <w:b/>
                <w:bCs/>
                <w:sz w:val="20"/>
                <w:szCs w:val="20"/>
              </w:rPr>
              <w:t xml:space="preserve">Prescribing Instructions: </w:t>
            </w:r>
          </w:p>
          <w:p w:rsidR="00583657" w:rsidRPr="001779EA" w:rsidRDefault="00583657" w:rsidP="00B44564">
            <w:pPr>
              <w:jc w:val="left"/>
              <w:rPr>
                <w:rFonts w:ascii="Arial Narrow" w:hAnsi="Arial Narrow" w:cs="Times New Roman"/>
                <w:sz w:val="20"/>
                <w:szCs w:val="20"/>
              </w:rPr>
            </w:pPr>
            <w:r w:rsidRPr="001779EA">
              <w:rPr>
                <w:rFonts w:ascii="Arial Narrow" w:eastAsia="Calibri" w:hAnsi="Arial Narrow" w:cs="Arial Narrow"/>
                <w:iCs/>
                <w:sz w:val="20"/>
                <w:szCs w:val="20"/>
                <w:lang w:eastAsia="en-US"/>
              </w:rPr>
              <w:t>A patient who has progressive disease when treated with this drug is no longer eligible for PBS-subsidised treatment with this drug.</w:t>
            </w:r>
          </w:p>
        </w:tc>
      </w:tr>
      <w:tr w:rsidR="00583657" w:rsidRPr="001779EA" w:rsidTr="00B83EB2">
        <w:tc>
          <w:tcPr>
            <w:tcW w:w="5000" w:type="pct"/>
            <w:tcBorders>
              <w:top w:val="single" w:sz="4" w:space="0" w:color="auto"/>
              <w:left w:val="single" w:sz="4" w:space="0" w:color="auto"/>
              <w:bottom w:val="nil"/>
              <w:right w:val="single" w:sz="4" w:space="0" w:color="auto"/>
            </w:tcBorders>
            <w:vAlign w:val="center"/>
          </w:tcPr>
          <w:p w:rsidR="00583657" w:rsidRPr="001779EA" w:rsidRDefault="00583657" w:rsidP="00B44564">
            <w:pPr>
              <w:jc w:val="left"/>
              <w:rPr>
                <w:rFonts w:ascii="Arial Narrow" w:hAnsi="Arial Narrow" w:cs="Times New Roman"/>
                <w:b/>
                <w:bCs/>
                <w:sz w:val="20"/>
                <w:szCs w:val="20"/>
              </w:rPr>
            </w:pPr>
            <w:r w:rsidRPr="001779EA">
              <w:rPr>
                <w:rFonts w:ascii="Arial Narrow" w:hAnsi="Arial Narrow" w:cs="Times New Roman"/>
                <w:b/>
                <w:bCs/>
                <w:sz w:val="20"/>
                <w:szCs w:val="20"/>
              </w:rPr>
              <w:t xml:space="preserve">Administrative Advice: </w:t>
            </w:r>
          </w:p>
          <w:p w:rsidR="00583657" w:rsidRPr="001779EA" w:rsidRDefault="00583657" w:rsidP="00B44564">
            <w:pPr>
              <w:jc w:val="left"/>
              <w:rPr>
                <w:rFonts w:ascii="Arial Narrow" w:hAnsi="Arial Narrow" w:cs="Times New Roman"/>
                <w:bCs/>
                <w:sz w:val="20"/>
                <w:szCs w:val="20"/>
              </w:rPr>
            </w:pPr>
            <w:r w:rsidRPr="001779EA">
              <w:rPr>
                <w:rFonts w:ascii="Arial Narrow" w:hAnsi="Arial Narrow" w:cs="Times New Roman"/>
                <w:bCs/>
                <w:sz w:val="20"/>
                <w:szCs w:val="20"/>
              </w:rPr>
              <w:t>Applications for authorisation under this restriction may be made in real time using the Online PBS Authorities system (see www.servicesaustralia.gov.au/HPOS)  or by telephone by contacting Services Australia on 1800 888 333 (hours of operation 8 a.m. to 5 p.m. EST Monday to Friday).</w:t>
            </w:r>
          </w:p>
        </w:tc>
      </w:tr>
      <w:tr w:rsidR="00583657" w:rsidRPr="001779EA" w:rsidTr="00B83EB2">
        <w:tc>
          <w:tcPr>
            <w:tcW w:w="5000" w:type="pct"/>
            <w:tcBorders>
              <w:top w:val="nil"/>
              <w:left w:val="single" w:sz="4" w:space="0" w:color="auto"/>
              <w:bottom w:val="single" w:sz="4" w:space="0" w:color="auto"/>
              <w:right w:val="single" w:sz="4" w:space="0" w:color="auto"/>
            </w:tcBorders>
            <w:vAlign w:val="center"/>
          </w:tcPr>
          <w:p w:rsidR="00583657" w:rsidRPr="001779EA" w:rsidRDefault="00583657" w:rsidP="00B44564">
            <w:pPr>
              <w:jc w:val="left"/>
              <w:rPr>
                <w:rFonts w:ascii="Arial Narrow" w:hAnsi="Arial Narrow" w:cs="Times New Roman"/>
                <w:b/>
                <w:bCs/>
                <w:sz w:val="20"/>
                <w:szCs w:val="20"/>
              </w:rPr>
            </w:pPr>
            <w:r w:rsidRPr="001779EA">
              <w:rPr>
                <w:rFonts w:ascii="Arial Narrow" w:hAnsi="Arial Narrow" w:cs="Times New Roman"/>
                <w:bCs/>
                <w:sz w:val="20"/>
                <w:szCs w:val="20"/>
              </w:rPr>
              <w:t>Special pricing arrangements apply</w:t>
            </w:r>
          </w:p>
        </w:tc>
      </w:tr>
    </w:tbl>
    <w:p w:rsidR="0079059D" w:rsidRPr="001779EA" w:rsidRDefault="0079059D" w:rsidP="0017657B">
      <w:pPr>
        <w:pStyle w:val="TableText0"/>
        <w:keepLines/>
      </w:pPr>
      <w:r w:rsidRPr="001779EA">
        <w:t>AEMP = approved ex-manufacturer price; DPMQ = dispensed price per maximum quantity</w:t>
      </w:r>
    </w:p>
    <w:p w:rsidR="0079059D" w:rsidRPr="001779EA" w:rsidRDefault="0079059D" w:rsidP="0017657B">
      <w:pPr>
        <w:pStyle w:val="TableText0"/>
        <w:keepLines/>
      </w:pPr>
      <w:r w:rsidRPr="001779EA">
        <w:t xml:space="preserve">$ SPA, price related to </w:t>
      </w:r>
      <w:r w:rsidRPr="001779EA">
        <w:rPr>
          <w:snapToGrid w:val="0"/>
        </w:rPr>
        <w:t>proposed</w:t>
      </w:r>
      <w:r w:rsidRPr="001779EA">
        <w:t xml:space="preserve"> special pric</w:t>
      </w:r>
      <w:r w:rsidR="00F86BF8" w:rsidRPr="001779EA">
        <w:t>ing</w:t>
      </w:r>
      <w:r w:rsidRPr="001779EA">
        <w:t xml:space="preserve"> arrangement</w:t>
      </w:r>
    </w:p>
    <w:p w:rsidR="0079059D" w:rsidRPr="001779EA" w:rsidRDefault="0079059D" w:rsidP="00247EDC">
      <w:pPr>
        <w:pStyle w:val="3-BodyText"/>
        <w:numPr>
          <w:ilvl w:val="0"/>
          <w:numId w:val="0"/>
        </w:numPr>
        <w:snapToGrid w:val="0"/>
        <w:ind w:left="720"/>
        <w:rPr>
          <w:rStyle w:val="CommentReference"/>
          <w:b w:val="0"/>
          <w:sz w:val="18"/>
          <w:szCs w:val="22"/>
        </w:rPr>
      </w:pPr>
    </w:p>
    <w:p w:rsidR="00C445E5" w:rsidRPr="001779EA" w:rsidRDefault="00C445E5" w:rsidP="00C445E5">
      <w:pPr>
        <w:pStyle w:val="3-BodyText"/>
      </w:pPr>
      <w:r w:rsidRPr="001779EA">
        <w:t>A special pricing arrangement was proposed, with an effective AEMP of $</w:t>
      </w:r>
      <w:r w:rsidR="00D728FC">
        <w:rPr>
          <w:noProof/>
          <w:color w:val="000000"/>
          <w:highlight w:val="black"/>
        </w:rPr>
        <w:t>'''''''''''''</w:t>
      </w:r>
      <w:r w:rsidRPr="001779EA">
        <w:t xml:space="preserve">. The submission stated that generic versions of fulvestrant may be available in Australia, after </w:t>
      </w:r>
      <w:r w:rsidR="00B74EAD">
        <w:t>market</w:t>
      </w:r>
      <w:r w:rsidR="00B74EAD" w:rsidRPr="001779EA">
        <w:t xml:space="preserve"> </w:t>
      </w:r>
      <w:r w:rsidRPr="001779EA">
        <w:t xml:space="preserve">exclusivity expires in </w:t>
      </w:r>
      <w:r w:rsidR="00D728FC">
        <w:rPr>
          <w:noProof/>
          <w:color w:val="000000"/>
          <w:highlight w:val="black"/>
        </w:rPr>
        <w:t>''''''''''' ''''''''''</w:t>
      </w:r>
      <w:r w:rsidRPr="001779EA">
        <w:t xml:space="preserve">, which </w:t>
      </w:r>
      <w:r w:rsidR="00B74EAD">
        <w:t xml:space="preserve">if PBS listed </w:t>
      </w:r>
      <w:r w:rsidRPr="001779EA">
        <w:t>would lead to a 25% reduction in the price of fulvestrant.</w:t>
      </w:r>
    </w:p>
    <w:p w:rsidR="006146A4" w:rsidRPr="001779EA" w:rsidRDefault="006146A4" w:rsidP="006146A4">
      <w:pPr>
        <w:pStyle w:val="3-BodyText"/>
      </w:pPr>
      <w:r w:rsidRPr="001779EA">
        <w:t xml:space="preserve">The </w:t>
      </w:r>
      <w:r w:rsidR="00F86BF8" w:rsidRPr="001779EA">
        <w:t xml:space="preserve">ESC and the </w:t>
      </w:r>
      <w:r w:rsidRPr="001779EA">
        <w:t xml:space="preserve">PBAC </w:t>
      </w:r>
      <w:r w:rsidR="00F86BF8" w:rsidRPr="001779EA">
        <w:t>considered</w:t>
      </w:r>
      <w:r w:rsidRPr="001779EA">
        <w:t xml:space="preserve"> that the restriction should require that the condition </w:t>
      </w:r>
      <w:r w:rsidR="007B1B96" w:rsidRPr="001779EA">
        <w:t>be</w:t>
      </w:r>
      <w:r w:rsidRPr="001779EA">
        <w:t xml:space="preserve"> unresectable, consistent with the patient population included in the clinical evidence presented. The pre-PBAC response stated that the sponsor was willing to accept the PBAC’s advice on this aspect of the restriction.</w:t>
      </w:r>
    </w:p>
    <w:p w:rsidR="00C445E5" w:rsidRPr="001779EA" w:rsidRDefault="00C445E5" w:rsidP="002555EC">
      <w:pPr>
        <w:pStyle w:val="3-BodyText"/>
      </w:pPr>
      <w:r w:rsidRPr="001779EA">
        <w:t xml:space="preserve">The requested PBS restriction is line-agnostic and is broader than the current and proposed TGA indications. The </w:t>
      </w:r>
      <w:r w:rsidR="0035013A" w:rsidRPr="001779EA">
        <w:t>requested</w:t>
      </w:r>
      <w:r w:rsidRPr="001779EA">
        <w:t xml:space="preserve"> TGA indication </w:t>
      </w:r>
      <w:r w:rsidR="00995696" w:rsidRPr="001779EA">
        <w:t xml:space="preserve">would </w:t>
      </w:r>
      <w:r w:rsidRPr="001779EA">
        <w:t>not allow use in patients who ha</w:t>
      </w:r>
      <w:r w:rsidR="006856A1" w:rsidRPr="001779EA">
        <w:t>ve</w:t>
      </w:r>
      <w:r w:rsidRPr="001779EA">
        <w:t xml:space="preserve"> progressive disease on or after CDK4/6 inhibitors and/or aromatase inhibitors</w:t>
      </w:r>
      <w:r w:rsidR="00995696" w:rsidRPr="001779EA">
        <w:t xml:space="preserve"> (</w:t>
      </w:r>
      <w:r w:rsidR="0006057E" w:rsidRPr="001779EA">
        <w:t xml:space="preserve">as </w:t>
      </w:r>
      <w:r w:rsidR="002555EC" w:rsidRPr="001779EA">
        <w:t>the proposed TGA indication</w:t>
      </w:r>
      <w:r w:rsidR="0006057E" w:rsidRPr="001779EA">
        <w:t xml:space="preserve"> </w:t>
      </w:r>
      <w:r w:rsidR="00F86BF8" w:rsidRPr="001779EA">
        <w:t xml:space="preserve">in progressive disease remains unchanged and </w:t>
      </w:r>
      <w:r w:rsidR="00995696" w:rsidRPr="001779EA">
        <w:t>require</w:t>
      </w:r>
      <w:r w:rsidR="0006057E" w:rsidRPr="001779EA">
        <w:t>s</w:t>
      </w:r>
      <w:r w:rsidR="00995696" w:rsidRPr="001779EA">
        <w:t xml:space="preserve"> prior use of tamoxifen)</w:t>
      </w:r>
      <w:r w:rsidRPr="001779EA">
        <w:t xml:space="preserve">. </w:t>
      </w:r>
      <w:r w:rsidR="00F86BF8" w:rsidRPr="001779EA">
        <w:t>If used in line with the proposed TGA indication</w:t>
      </w:r>
      <w:r w:rsidR="002555EC" w:rsidRPr="001779EA">
        <w:t>,</w:t>
      </w:r>
      <w:r w:rsidR="002555EC" w:rsidRPr="001779EA" w:rsidDel="00995696">
        <w:t xml:space="preserve"> </w:t>
      </w:r>
      <w:r w:rsidR="002555EC" w:rsidRPr="001779EA">
        <w:t xml:space="preserve">there is likely to be only a limited place </w:t>
      </w:r>
      <w:r w:rsidR="006043C4" w:rsidRPr="001779EA">
        <w:t>for second-line fulvestrant</w:t>
      </w:r>
      <w:r w:rsidR="007B1B96" w:rsidRPr="001779EA">
        <w:t>,</w:t>
      </w:r>
      <w:r w:rsidR="00F86BF8" w:rsidRPr="001779EA">
        <w:t xml:space="preserve"> as tamoxifen is no longer considered standard first-line therapy</w:t>
      </w:r>
      <w:r w:rsidR="006043C4" w:rsidRPr="001779EA">
        <w:t>, although there may be some use in subsequent lines</w:t>
      </w:r>
      <w:r w:rsidR="002555EC" w:rsidRPr="001779EA">
        <w:t xml:space="preserve">. </w:t>
      </w:r>
      <w:r w:rsidR="0035013A" w:rsidRPr="001779EA">
        <w:t xml:space="preserve">As such, the PBAC noted that the majority of use in second (and subsequent) lines will be outside the requested TGA indication, regardless of the requested update to the TGA indication. </w:t>
      </w:r>
      <w:r w:rsidR="00DC66E0" w:rsidRPr="001779EA">
        <w:t xml:space="preserve">The PBAC noted that the proposed </w:t>
      </w:r>
      <w:r w:rsidR="004B308D" w:rsidRPr="001779EA">
        <w:t>l</w:t>
      </w:r>
      <w:r w:rsidR="00DC66E0" w:rsidRPr="001779EA">
        <w:t>isting was consistent with the NCCN and ESMO guidelines</w:t>
      </w:r>
      <w:r w:rsidR="004B308D" w:rsidRPr="001779EA">
        <w:t xml:space="preserve"> in not specifying prior treatments</w:t>
      </w:r>
      <w:r w:rsidR="00DC66E0" w:rsidRPr="001779EA">
        <w:t xml:space="preserve"> and noted that the </w:t>
      </w:r>
      <w:r w:rsidR="004B308D" w:rsidRPr="001779EA">
        <w:t xml:space="preserve">current </w:t>
      </w:r>
      <w:r w:rsidR="00DC66E0" w:rsidRPr="001779EA">
        <w:t>listing for exemestane does not specify prior treatments.</w:t>
      </w:r>
      <w:r w:rsidR="00F86BF8" w:rsidRPr="001779EA">
        <w:t xml:space="preserve"> </w:t>
      </w:r>
    </w:p>
    <w:p w:rsidR="00F23773" w:rsidRPr="001779EA" w:rsidRDefault="00DA0596" w:rsidP="00F23773">
      <w:pPr>
        <w:pStyle w:val="3-BodyText"/>
      </w:pPr>
      <w:r w:rsidRPr="001779EA">
        <w:t xml:space="preserve">While the evidence presented is for use as fulvestrant monotherapy, the proposed restriction would </w:t>
      </w:r>
      <w:r w:rsidR="00F86BF8" w:rsidRPr="001779EA">
        <w:t>not specifically prohibit</w:t>
      </w:r>
      <w:r w:rsidRPr="001779EA">
        <w:t xml:space="preserve"> use in combination with </w:t>
      </w:r>
      <w:r w:rsidR="00176E3A" w:rsidRPr="001779EA">
        <w:t>other medicines, such as CDK4/6 inhibitors</w:t>
      </w:r>
      <w:r w:rsidRPr="001779EA">
        <w:t>.</w:t>
      </w:r>
      <w:r w:rsidR="00A02260" w:rsidRPr="001779EA">
        <w:t xml:space="preserve"> </w:t>
      </w:r>
      <w:r w:rsidR="00F23773" w:rsidRPr="001779EA">
        <w:t xml:space="preserve">However, such use would be prohibited in the CDK4/6 inhibitor restrictions, which state treatment must be in combination with anastrozole or letrozole. </w:t>
      </w:r>
    </w:p>
    <w:p w:rsidR="00995696" w:rsidRPr="001779EA" w:rsidRDefault="00995696" w:rsidP="00995696">
      <w:pPr>
        <w:pStyle w:val="3-BodyText"/>
      </w:pPr>
      <w:r w:rsidRPr="001779EA">
        <w:lastRenderedPageBreak/>
        <w:t xml:space="preserve">The submission estimated that </w:t>
      </w:r>
      <w:r w:rsidR="002A08FE">
        <w:t>&lt; 500</w:t>
      </w:r>
      <w:r w:rsidRPr="001779EA">
        <w:t xml:space="preserve"> patients on a Patient Access Program would be eligible to receive PBS-funded treatment at the start of 2021 and requested a grandfather listing for these patients.</w:t>
      </w:r>
      <w:r w:rsidR="007E06A7" w:rsidRPr="001779EA">
        <w:t xml:space="preserve"> </w:t>
      </w:r>
      <w:r w:rsidR="004046D5">
        <w:t xml:space="preserve">The Secretariat noted that such patients would be able to transition to PBS supply under the proposed PBS eligibility criteria </w:t>
      </w:r>
      <w:r w:rsidR="003B7F21">
        <w:t>without requiring</w:t>
      </w:r>
      <w:r w:rsidR="004046D5">
        <w:t xml:space="preserve"> a separate grandfather listing.</w:t>
      </w:r>
    </w:p>
    <w:p w:rsidR="00065B7D" w:rsidRPr="001779EA" w:rsidRDefault="00065B7D" w:rsidP="00065B7D">
      <w:pPr>
        <w:pStyle w:val="3-BodyText"/>
        <w:numPr>
          <w:ilvl w:val="0"/>
          <w:numId w:val="0"/>
        </w:numPr>
        <w:ind w:left="720"/>
        <w:rPr>
          <w:i/>
        </w:rPr>
      </w:pPr>
      <w:bookmarkStart w:id="18" w:name="_Toc38290339"/>
      <w:bookmarkStart w:id="19" w:name="_Toc38305886"/>
      <w:bookmarkStart w:id="20" w:name="_Toc40935311"/>
      <w:r w:rsidRPr="001779EA">
        <w:rPr>
          <w:i/>
        </w:rPr>
        <w:t>For more detail on PBAC’s view, see section 7 PBAC outcome.</w:t>
      </w:r>
    </w:p>
    <w:p w:rsidR="0079059D" w:rsidRPr="001779EA" w:rsidRDefault="0079059D" w:rsidP="00247EDC">
      <w:pPr>
        <w:pStyle w:val="2-SectionHeading"/>
      </w:pPr>
      <w:r w:rsidRPr="001779EA">
        <w:t>Population and disease</w:t>
      </w:r>
      <w:bookmarkEnd w:id="18"/>
      <w:bookmarkEnd w:id="19"/>
      <w:bookmarkEnd w:id="20"/>
    </w:p>
    <w:p w:rsidR="0079059D" w:rsidRPr="001779EA" w:rsidRDefault="0079059D" w:rsidP="00247EDC">
      <w:pPr>
        <w:pStyle w:val="3-BodyText"/>
      </w:pPr>
      <w:r w:rsidRPr="001779EA">
        <w:t xml:space="preserve">Breast cancer is the most </w:t>
      </w:r>
      <w:r w:rsidR="00C912F0" w:rsidRPr="001779EA">
        <w:t>common</w:t>
      </w:r>
      <w:r w:rsidRPr="001779EA">
        <w:t xml:space="preserve"> cancer in women and the second most common cancer globally</w:t>
      </w:r>
      <w:r w:rsidRPr="001779EA">
        <w:rPr>
          <w:rStyle w:val="FootnoteReference"/>
          <w:rFonts w:eastAsiaTheme="majorEastAsia"/>
        </w:rPr>
        <w:footnoteReference w:id="2"/>
      </w:r>
      <w:r w:rsidRPr="001779EA">
        <w:t xml:space="preserve">. </w:t>
      </w:r>
      <w:r w:rsidRPr="001779EA">
        <w:rPr>
          <w:rFonts w:eastAsia="Calibri" w:cstheme="minorHAnsi"/>
        </w:rPr>
        <w:t>The mainstay treatment of HR+, HER2- ABC is endocrine therapy</w:t>
      </w:r>
      <w:r w:rsidR="004704AA" w:rsidRPr="001779EA">
        <w:rPr>
          <w:rFonts w:eastAsia="Calibri" w:cstheme="minorHAnsi"/>
        </w:rPr>
        <w:t xml:space="preserve"> such as tamoxifen and NSAIs, either alone or in combination with CDK4/6 inhibitors.</w:t>
      </w:r>
      <w:r w:rsidRPr="001779EA">
        <w:rPr>
          <w:rFonts w:eastAsia="Calibri" w:cstheme="minorHAnsi"/>
        </w:rPr>
        <w:t xml:space="preserve"> </w:t>
      </w:r>
      <w:r w:rsidR="004704AA" w:rsidRPr="001779EA">
        <w:rPr>
          <w:rFonts w:eastAsia="Calibri" w:cstheme="minorHAnsi"/>
        </w:rPr>
        <w:t xml:space="preserve">The </w:t>
      </w:r>
      <w:r w:rsidRPr="001779EA">
        <w:rPr>
          <w:rFonts w:eastAsia="Calibri" w:cstheme="minorHAnsi"/>
        </w:rPr>
        <w:t>role</w:t>
      </w:r>
      <w:r w:rsidR="004704AA" w:rsidRPr="001779EA">
        <w:rPr>
          <w:rFonts w:eastAsia="Calibri" w:cstheme="minorHAnsi"/>
        </w:rPr>
        <w:t xml:space="preserve"> of endocrine therapy</w:t>
      </w:r>
      <w:r w:rsidRPr="001779EA">
        <w:rPr>
          <w:rFonts w:eastAsia="Calibri" w:cstheme="minorHAnsi"/>
        </w:rPr>
        <w:t xml:space="preserve"> </w:t>
      </w:r>
      <w:r w:rsidR="004C7C58">
        <w:rPr>
          <w:rFonts w:eastAsia="Calibri" w:cstheme="minorHAnsi"/>
        </w:rPr>
        <w:t>includes</w:t>
      </w:r>
      <w:r w:rsidRPr="001779EA">
        <w:rPr>
          <w:rFonts w:eastAsia="Calibri" w:cstheme="minorHAnsi"/>
        </w:rPr>
        <w:t xml:space="preserve"> prolonging life, managing symptoms and improving quality of life</w:t>
      </w:r>
      <w:r w:rsidRPr="001779EA">
        <w:t xml:space="preserve">. </w:t>
      </w:r>
      <w:r w:rsidRPr="001779EA">
        <w:rPr>
          <w:rFonts w:eastAsia="Calibri" w:cstheme="minorHAnsi"/>
        </w:rPr>
        <w:t>Treatment with endocrine therapy is continued until there is evidence of disease progression or intolerability due to toxicity (Carson 2019)</w:t>
      </w:r>
      <w:r w:rsidR="00C912F0" w:rsidRPr="001779EA">
        <w:rPr>
          <w:rFonts w:eastAsia="Calibri" w:cstheme="minorHAnsi"/>
        </w:rPr>
        <w:t>.</w:t>
      </w:r>
      <w:r w:rsidRPr="001779EA">
        <w:rPr>
          <w:rStyle w:val="FootnoteReference"/>
          <w:rFonts w:cstheme="minorHAnsi"/>
        </w:rPr>
        <w:t>1</w:t>
      </w:r>
      <w:r w:rsidRPr="001779EA">
        <w:t xml:space="preserve"> However, endocrine therapy resistance leading to disease progression eventually occurs in many patients, representing a significant issue for optimal clinical management.</w:t>
      </w:r>
    </w:p>
    <w:p w:rsidR="004F05F1" w:rsidRPr="001779EA" w:rsidRDefault="0079059D" w:rsidP="00247EDC">
      <w:pPr>
        <w:pStyle w:val="3-BodyText"/>
        <w:rPr>
          <w:i/>
          <w:iCs/>
        </w:rPr>
      </w:pPr>
      <w:r w:rsidRPr="001779EA">
        <w:t xml:space="preserve">The target population considered in the submission is </w:t>
      </w:r>
      <w:r w:rsidR="007A62B1" w:rsidRPr="001779EA">
        <w:t>non-pre</w:t>
      </w:r>
      <w:r w:rsidRPr="001779EA">
        <w:t xml:space="preserve">menopausal </w:t>
      </w:r>
      <w:r w:rsidR="007A62B1" w:rsidRPr="001779EA">
        <w:t xml:space="preserve">patients </w:t>
      </w:r>
      <w:r w:rsidRPr="001779EA">
        <w:t xml:space="preserve">with HR+, HER2- ABC. </w:t>
      </w:r>
      <w:r w:rsidR="004F05F1" w:rsidRPr="001779EA">
        <w:t>The ESC noted that the population in the submission included locally advanced or metastatic breast cancer (stage III or IV), however, most patients with stage III disease will not develop metastatic breast cancer. In the clinical evidence presented</w:t>
      </w:r>
      <w:r w:rsidR="00BC6988" w:rsidRPr="001779EA">
        <w:t>,</w:t>
      </w:r>
      <w:r w:rsidR="004F05F1" w:rsidRPr="001779EA">
        <w:t xml:space="preserve"> patients included in the studies with stage III breast cancer had unresectable disease following chemotherapy. </w:t>
      </w:r>
    </w:p>
    <w:p w:rsidR="00672A0B" w:rsidRPr="001779EA" w:rsidRDefault="0079059D" w:rsidP="00247EDC">
      <w:pPr>
        <w:pStyle w:val="3-BodyText"/>
        <w:rPr>
          <w:i/>
          <w:iCs/>
        </w:rPr>
      </w:pPr>
      <w:r w:rsidRPr="001779EA">
        <w:t xml:space="preserve">Within this population, the submission targeted the subgroup of </w:t>
      </w:r>
      <w:r w:rsidR="007A62B1" w:rsidRPr="001779EA">
        <w:t xml:space="preserve">patients </w:t>
      </w:r>
      <w:r w:rsidRPr="001779EA">
        <w:t>who would be suited for monotherapy rather than combination therapy with the CDK4/6 inhibitors (first-line) and for patients following progression in the first-line setting (second-line).</w:t>
      </w:r>
      <w:r w:rsidR="002177D0" w:rsidRPr="001779EA">
        <w:t xml:space="preserve"> The submission expected that fulvestrant would mostly be used in the second line setting, with a small number of patients prescribed fulvestrant in the first</w:t>
      </w:r>
      <w:r w:rsidR="004704AA" w:rsidRPr="001779EA">
        <w:t>-</w:t>
      </w:r>
      <w:r w:rsidR="002177D0" w:rsidRPr="001779EA">
        <w:t>line setting</w:t>
      </w:r>
      <w:r w:rsidR="00ED0260" w:rsidRPr="001779EA">
        <w:t>, predominantly in patients who can</w:t>
      </w:r>
      <w:r w:rsidR="002D553C" w:rsidRPr="001779EA">
        <w:t>not</w:t>
      </w:r>
      <w:r w:rsidR="00ED0260" w:rsidRPr="001779EA">
        <w:t xml:space="preserve"> </w:t>
      </w:r>
      <w:r w:rsidR="002D553C" w:rsidRPr="001779EA">
        <w:t>tolerate</w:t>
      </w:r>
      <w:r w:rsidR="00ED0260" w:rsidRPr="001779EA">
        <w:t xml:space="preserve"> CDK4/6 inhibitors</w:t>
      </w:r>
      <w:r w:rsidR="002177D0" w:rsidRPr="001779EA">
        <w:t>.</w:t>
      </w:r>
      <w:r w:rsidRPr="001779EA">
        <w:t xml:space="preserve"> </w:t>
      </w:r>
      <w:r w:rsidR="007A62B1" w:rsidRPr="001779EA">
        <w:rPr>
          <w:iCs/>
        </w:rPr>
        <w:t>The submission</w:t>
      </w:r>
      <w:r w:rsidR="00C53D88" w:rsidRPr="001779EA">
        <w:rPr>
          <w:iCs/>
        </w:rPr>
        <w:t xml:space="preserve"> assumed that patients able to tolerate CDK4/6 </w:t>
      </w:r>
      <w:r w:rsidR="00E34A2F" w:rsidRPr="001779EA">
        <w:rPr>
          <w:iCs/>
        </w:rPr>
        <w:t xml:space="preserve">inhibitors </w:t>
      </w:r>
      <w:r w:rsidR="00C53D88" w:rsidRPr="001779EA">
        <w:rPr>
          <w:iCs/>
        </w:rPr>
        <w:t>would be treated with them first-line.</w:t>
      </w:r>
    </w:p>
    <w:p w:rsidR="0079059D" w:rsidRPr="001779EA" w:rsidRDefault="007A62B1" w:rsidP="007A62B1">
      <w:pPr>
        <w:pStyle w:val="3-BodyText"/>
        <w:rPr>
          <w:iCs/>
        </w:rPr>
      </w:pPr>
      <w:r w:rsidRPr="001779EA">
        <w:t>T</w:t>
      </w:r>
      <w:r w:rsidR="00672A0B" w:rsidRPr="001779EA">
        <w:t>here is a place for fulvestrant in combination with CDK4/6 inhibitors and such use</w:t>
      </w:r>
      <w:r w:rsidR="00E34A2F" w:rsidRPr="001779EA">
        <w:t>, while not specifically prohibited under the</w:t>
      </w:r>
      <w:r w:rsidR="00672A0B" w:rsidRPr="001779EA">
        <w:t xml:space="preserve"> requested </w:t>
      </w:r>
      <w:r w:rsidR="00E34A2F" w:rsidRPr="001779EA">
        <w:t xml:space="preserve">fulvestrant </w:t>
      </w:r>
      <w:r w:rsidR="00672A0B" w:rsidRPr="001779EA">
        <w:t>restriction</w:t>
      </w:r>
      <w:r w:rsidR="00E34A2F" w:rsidRPr="001779EA">
        <w:t>, would be prohibited in the CDK4/6 inhibitor restrictions</w:t>
      </w:r>
      <w:r w:rsidR="00672A0B" w:rsidRPr="001779EA">
        <w:t xml:space="preserve">. </w:t>
      </w:r>
      <w:r w:rsidR="008B48B6" w:rsidRPr="001779EA">
        <w:t>T</w:t>
      </w:r>
      <w:r w:rsidR="00672A0B" w:rsidRPr="001779EA">
        <w:t xml:space="preserve">he submission did not present clinical evidence to support combination use. </w:t>
      </w:r>
      <w:r w:rsidR="00672A0B" w:rsidRPr="001779EA">
        <w:rPr>
          <w:iCs/>
        </w:rPr>
        <w:t xml:space="preserve">A request for listing of a CDK4/6 (i.e. ribociclib) in combination with fulvestrant for the treatment of patients with HR+, HER2- advanced breast cancer </w:t>
      </w:r>
      <w:r w:rsidR="00E34A2F" w:rsidRPr="001779EA">
        <w:rPr>
          <w:iCs/>
        </w:rPr>
        <w:t xml:space="preserve">was </w:t>
      </w:r>
      <w:r w:rsidR="001B6BE2" w:rsidRPr="001779EA">
        <w:rPr>
          <w:iCs/>
        </w:rPr>
        <w:t xml:space="preserve">also </w:t>
      </w:r>
      <w:r w:rsidR="00672A0B" w:rsidRPr="001779EA">
        <w:rPr>
          <w:iCs/>
        </w:rPr>
        <w:t>considered at the July 2020 PBAC meeting</w:t>
      </w:r>
      <w:r w:rsidR="005B16B9" w:rsidRPr="001779EA">
        <w:rPr>
          <w:iCs/>
        </w:rPr>
        <w:t>.</w:t>
      </w:r>
    </w:p>
    <w:p w:rsidR="0079059D" w:rsidRPr="001779EA" w:rsidRDefault="0079059D" w:rsidP="00247EDC">
      <w:pPr>
        <w:pStyle w:val="3-BodyText"/>
        <w:rPr>
          <w:iCs/>
        </w:rPr>
      </w:pPr>
      <w:r w:rsidRPr="001779EA">
        <w:rPr>
          <w:iCs/>
        </w:rPr>
        <w:t>The clinical treatment algorithm proposed in the submission is reasonable (Figure 1).</w:t>
      </w:r>
    </w:p>
    <w:p w:rsidR="0079059D" w:rsidRPr="001779EA" w:rsidRDefault="0079059D" w:rsidP="00247EDC">
      <w:pPr>
        <w:pStyle w:val="TableFigureHeading"/>
      </w:pPr>
      <w:r w:rsidRPr="001779EA">
        <w:lastRenderedPageBreak/>
        <w:t>Figure 1: Proposed management of HR+, HER2- ABC</w:t>
      </w:r>
    </w:p>
    <w:p w:rsidR="0079059D" w:rsidRPr="001779EA" w:rsidRDefault="0079059D" w:rsidP="00247EDC">
      <w:pPr>
        <w:pStyle w:val="Tabletext"/>
      </w:pPr>
      <w:r w:rsidRPr="001779EA">
        <w:rPr>
          <w:noProof/>
        </w:rPr>
        <w:drawing>
          <wp:inline distT="0" distB="0" distL="0" distR="0" wp14:anchorId="55CE4DB6" wp14:editId="66883580">
            <wp:extent cx="5731510" cy="3495040"/>
            <wp:effectExtent l="0" t="0" r="2540" b="0"/>
            <wp:docPr id="5" name="Picture 5" title="Figure 1: Proposed management of HR+, HER2-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95040"/>
                    </a:xfrm>
                    <a:prstGeom prst="rect">
                      <a:avLst/>
                    </a:prstGeom>
                  </pic:spPr>
                </pic:pic>
              </a:graphicData>
            </a:graphic>
          </wp:inline>
        </w:drawing>
      </w:r>
      <w:r w:rsidRPr="001779EA">
        <w:t>ABC, advanced breast cancer; AI: nonsteroidal aromatase inhibitor; CDK: cyclin dependent kinase inhibitor; HER2-, human epidermal growth factor receptor 2 negative; HR+, hormone receptor positive</w:t>
      </w:r>
    </w:p>
    <w:p w:rsidR="0079059D" w:rsidRPr="001779EA" w:rsidRDefault="0079059D" w:rsidP="00247EDC">
      <w:pPr>
        <w:pStyle w:val="Tabletext"/>
      </w:pPr>
      <w:r w:rsidRPr="001779EA">
        <w:t>Note: Fulvestrant combination with CDK4/6 inhibitors are shaded lighter to demonstrate they are not part of the current submission.</w:t>
      </w:r>
    </w:p>
    <w:p w:rsidR="0079059D" w:rsidRPr="001779EA" w:rsidRDefault="0079059D" w:rsidP="00247EDC">
      <w:pPr>
        <w:pStyle w:val="Tabletext"/>
      </w:pPr>
      <w:r w:rsidRPr="001779EA">
        <w:t>Source: Figure 1.7, p23 of the submission</w:t>
      </w:r>
    </w:p>
    <w:p w:rsidR="0079059D" w:rsidRPr="001779EA" w:rsidRDefault="0079059D" w:rsidP="00247EDC">
      <w:pPr>
        <w:pStyle w:val="Tabletext"/>
      </w:pPr>
    </w:p>
    <w:p w:rsidR="0079059D" w:rsidRPr="001779EA" w:rsidRDefault="0079059D" w:rsidP="00247EDC">
      <w:pPr>
        <w:pStyle w:val="3-BodyText"/>
      </w:pPr>
      <w:r w:rsidRPr="001779EA">
        <w:t xml:space="preserve">Fulvestrant works by down-regulating and degrading oestrogen receptors. It binds to oestrogen receptors, making them change shape so that they are unable to bind to oestrogen, thereby preventing the growth stimulatory effects of oestrogen. </w:t>
      </w:r>
    </w:p>
    <w:p w:rsidR="00065B7D" w:rsidRPr="001779EA" w:rsidRDefault="00065B7D" w:rsidP="00065B7D">
      <w:pPr>
        <w:pStyle w:val="3-BodyText"/>
        <w:numPr>
          <w:ilvl w:val="0"/>
          <w:numId w:val="0"/>
        </w:numPr>
        <w:ind w:left="720"/>
        <w:rPr>
          <w:i/>
        </w:rPr>
      </w:pPr>
      <w:r w:rsidRPr="001779EA">
        <w:rPr>
          <w:i/>
        </w:rPr>
        <w:t>For more detail on PBAC’s view, see section 7 PBAC outcome.</w:t>
      </w:r>
    </w:p>
    <w:p w:rsidR="0079059D" w:rsidRPr="001779EA" w:rsidRDefault="0079059D" w:rsidP="00247EDC">
      <w:pPr>
        <w:pStyle w:val="2-SectionHeading"/>
      </w:pPr>
      <w:bookmarkStart w:id="21" w:name="_Toc38290340"/>
      <w:bookmarkStart w:id="22" w:name="_Toc38305887"/>
      <w:bookmarkStart w:id="23" w:name="_Toc40935312"/>
      <w:r w:rsidRPr="001779EA">
        <w:t>Comparator</w:t>
      </w:r>
      <w:bookmarkEnd w:id="21"/>
      <w:bookmarkEnd w:id="22"/>
      <w:r w:rsidRPr="001779EA">
        <w:t>s</w:t>
      </w:r>
      <w:bookmarkEnd w:id="23"/>
    </w:p>
    <w:p w:rsidR="0079059D" w:rsidRPr="001779EA" w:rsidRDefault="0079059D" w:rsidP="00247EDC">
      <w:pPr>
        <w:pStyle w:val="3-BodyText"/>
      </w:pPr>
      <w:r w:rsidRPr="001779EA">
        <w:t xml:space="preserve">The submission nominated anastrozole as the main comparator for the first-line, and </w:t>
      </w:r>
      <w:r w:rsidR="008B48B6" w:rsidRPr="001779EA">
        <w:t>EVE+EXE</w:t>
      </w:r>
      <w:r w:rsidRPr="001779EA">
        <w:t xml:space="preserve"> for the second-line treatment of HR+, HER2- ABC. </w:t>
      </w:r>
      <w:r w:rsidRPr="001779EA">
        <w:rPr>
          <w:iCs/>
        </w:rPr>
        <w:t xml:space="preserve">Although the international clinical guidelines differ on the preferred sequence of first-line and second-line therapies, </w:t>
      </w:r>
      <w:r w:rsidR="00CA5E93" w:rsidRPr="001779EA">
        <w:rPr>
          <w:iCs/>
        </w:rPr>
        <w:t xml:space="preserve">the commentary considered </w:t>
      </w:r>
      <w:r w:rsidRPr="001779EA">
        <w:rPr>
          <w:iCs/>
        </w:rPr>
        <w:t xml:space="preserve">the choice of comparators </w:t>
      </w:r>
      <w:r w:rsidR="00CA5E93" w:rsidRPr="001779EA">
        <w:rPr>
          <w:iCs/>
        </w:rPr>
        <w:t xml:space="preserve">to be </w:t>
      </w:r>
      <w:r w:rsidRPr="001779EA">
        <w:rPr>
          <w:iCs/>
        </w:rPr>
        <w:t>reasonable</w:t>
      </w:r>
      <w:r w:rsidR="002E33E0" w:rsidRPr="001779EA">
        <w:rPr>
          <w:iCs/>
        </w:rPr>
        <w:t>,</w:t>
      </w:r>
      <w:r w:rsidRPr="001779EA">
        <w:rPr>
          <w:iCs/>
        </w:rPr>
        <w:t xml:space="preserve"> given that</w:t>
      </w:r>
      <w:r w:rsidRPr="001779EA">
        <w:t xml:space="preserve">: </w:t>
      </w:r>
    </w:p>
    <w:p w:rsidR="0079059D" w:rsidRPr="001779EA" w:rsidRDefault="0079059D" w:rsidP="000D7A52">
      <w:pPr>
        <w:pStyle w:val="Bulletpoints"/>
        <w:ind w:left="1276" w:hanging="284"/>
      </w:pPr>
      <w:r w:rsidRPr="001779EA">
        <w:rPr>
          <w:iCs/>
          <w:u w:val="single"/>
        </w:rPr>
        <w:t>First-line:</w:t>
      </w:r>
      <w:r w:rsidRPr="001779EA">
        <w:rPr>
          <w:iCs/>
        </w:rPr>
        <w:t xml:space="preserve"> Anastrozole is PBS listed for the first-line treatment of </w:t>
      </w:r>
      <w:r w:rsidRPr="001779EA">
        <w:t>HR+, HER2- ABC</w:t>
      </w:r>
      <w:r w:rsidRPr="001779EA">
        <w:rPr>
          <w:iCs/>
        </w:rPr>
        <w:t xml:space="preserve"> patients. Anastrozole and letrozole</w:t>
      </w:r>
      <w:r w:rsidR="00CA5E93" w:rsidRPr="001779EA">
        <w:rPr>
          <w:iCs/>
        </w:rPr>
        <w:t xml:space="preserve"> (another NSAI)</w:t>
      </w:r>
      <w:r w:rsidRPr="001779EA">
        <w:rPr>
          <w:iCs/>
        </w:rPr>
        <w:t xml:space="preserve"> are considered equivalent in terms of their efficacy</w:t>
      </w:r>
      <w:r w:rsidR="002177D0" w:rsidRPr="001779EA">
        <w:rPr>
          <w:iCs/>
        </w:rPr>
        <w:t xml:space="preserve"> and </w:t>
      </w:r>
      <w:r w:rsidRPr="001779EA">
        <w:rPr>
          <w:iCs/>
        </w:rPr>
        <w:t>anastrozole was recommended by the PBAC on a cost-minimisation basis compared to letrozole (PBS Therapeutic Relativity Sheets AC L02).</w:t>
      </w:r>
      <w:r w:rsidRPr="001779EA">
        <w:rPr>
          <w:i/>
          <w:iCs/>
        </w:rPr>
        <w:t xml:space="preserve"> </w:t>
      </w:r>
      <w:r w:rsidRPr="001779EA">
        <w:rPr>
          <w:iCs/>
        </w:rPr>
        <w:t xml:space="preserve">In addition, </w:t>
      </w:r>
      <w:r w:rsidRPr="001779EA">
        <w:t xml:space="preserve">randomised controlled trial (RCT) data </w:t>
      </w:r>
      <w:r w:rsidR="00122D16" w:rsidRPr="001779EA">
        <w:t>are</w:t>
      </w:r>
      <w:r w:rsidRPr="001779EA">
        <w:t xml:space="preserve"> available for fulvestrant and anastrozole, but not for letrozole.</w:t>
      </w:r>
      <w:r w:rsidR="00A37837" w:rsidRPr="001779EA">
        <w:t xml:space="preserve"> </w:t>
      </w:r>
    </w:p>
    <w:p w:rsidR="0079059D" w:rsidRPr="001779EA" w:rsidRDefault="0079059D" w:rsidP="008B48B6">
      <w:pPr>
        <w:pStyle w:val="Bulletpoints"/>
        <w:ind w:left="1276" w:hanging="284"/>
      </w:pPr>
      <w:r w:rsidRPr="001779EA">
        <w:rPr>
          <w:u w:val="single"/>
        </w:rPr>
        <w:lastRenderedPageBreak/>
        <w:t>Second-line</w:t>
      </w:r>
      <w:r w:rsidR="008B48B6" w:rsidRPr="001779EA">
        <w:rPr>
          <w:u w:val="single"/>
        </w:rPr>
        <w:t xml:space="preserve"> (‘subsequent line’)</w:t>
      </w:r>
      <w:r w:rsidRPr="001779EA">
        <w:t xml:space="preserve">: For metastatic (Stage IV) patients who have progressed on first-line endocrine-therapy, </w:t>
      </w:r>
      <w:r w:rsidR="006856A1" w:rsidRPr="001779EA">
        <w:t xml:space="preserve">EVE+EXE </w:t>
      </w:r>
      <w:r w:rsidRPr="001779EA">
        <w:t xml:space="preserve">is PBS listed and is one of the main targeted treatment options in Australia. Although chemotherapy and best supportive care are other options, </w:t>
      </w:r>
      <w:r w:rsidR="00371693" w:rsidRPr="001779EA">
        <w:t xml:space="preserve">the commentary considered </w:t>
      </w:r>
      <w:r w:rsidRPr="001779EA">
        <w:t xml:space="preserve">they are generally reserved for patients with rapidly progressive visceral metastases. </w:t>
      </w:r>
      <w:r w:rsidR="00CA5E93" w:rsidRPr="001779EA">
        <w:t>The ESC considered that other second and subsequent-line treatments such as tamoxifen and chemotherapy should also have been considered as comparators</w:t>
      </w:r>
      <w:r w:rsidR="008C2343" w:rsidRPr="001779EA">
        <w:t xml:space="preserve"> for some patients</w:t>
      </w:r>
      <w:r w:rsidR="00CA5E93" w:rsidRPr="001779EA">
        <w:t xml:space="preserve">. The ESC noted that tamoxifen and chemotherapy (such as capecitabine) are less expensive than EVE+EXE. </w:t>
      </w:r>
    </w:p>
    <w:p w:rsidR="001F18EA" w:rsidRPr="001779EA" w:rsidRDefault="0079059D" w:rsidP="00E900FA">
      <w:pPr>
        <w:pStyle w:val="3-BodyText"/>
      </w:pPr>
      <w:r w:rsidRPr="001779EA">
        <w:t xml:space="preserve">The submission also nominated NSAI+CDK4/6 inhibitors (palbociclib, ribociclib) as </w:t>
      </w:r>
      <w:r w:rsidR="00122D16" w:rsidRPr="001779EA">
        <w:t xml:space="preserve">potential </w:t>
      </w:r>
      <w:r w:rsidRPr="001779EA">
        <w:t>comparator</w:t>
      </w:r>
      <w:r w:rsidR="008F4594" w:rsidRPr="001779EA">
        <w:t>s</w:t>
      </w:r>
      <w:r w:rsidR="00AC5EB2" w:rsidRPr="001779EA">
        <w:t xml:space="preserve"> in the first-line setting</w:t>
      </w:r>
      <w:r w:rsidRPr="001779EA">
        <w:t xml:space="preserve">, but did not present </w:t>
      </w:r>
      <w:r w:rsidR="004D2218" w:rsidRPr="001779EA">
        <w:t xml:space="preserve">any clinical </w:t>
      </w:r>
      <w:r w:rsidRPr="001779EA">
        <w:t>evidence comparing fulvestrant and NSAI+CDK4/6</w:t>
      </w:r>
      <w:r w:rsidR="004D2218" w:rsidRPr="001779EA">
        <w:t xml:space="preserve">, nor an economic evaluation or </w:t>
      </w:r>
      <w:r w:rsidR="00464775" w:rsidRPr="001779EA">
        <w:t>financial estimates</w:t>
      </w:r>
      <w:r w:rsidR="004D2218" w:rsidRPr="001779EA">
        <w:t>.</w:t>
      </w:r>
      <w:r w:rsidR="00C94515" w:rsidRPr="001779EA">
        <w:t xml:space="preserve"> The submission also noted that fulvestrant </w:t>
      </w:r>
      <w:r w:rsidR="00176E3A" w:rsidRPr="001779EA">
        <w:t xml:space="preserve">monotherapy </w:t>
      </w:r>
      <w:r w:rsidR="00C94515" w:rsidRPr="001779EA">
        <w:t>is likely to be used in patients in the first-line setting for whom NSAI combination therapy with CDK4/6 inhibitors is not appropriate.</w:t>
      </w:r>
      <w:r w:rsidR="00A37837" w:rsidRPr="001779EA">
        <w:t xml:space="preserve"> The ESC considered this was not a reasonable comparator for fulvestrant monotherapy.</w:t>
      </w:r>
    </w:p>
    <w:p w:rsidR="00065B7D" w:rsidRPr="000074B7" w:rsidRDefault="00065B7D" w:rsidP="000074B7">
      <w:pPr>
        <w:pStyle w:val="3-BodyText"/>
        <w:numPr>
          <w:ilvl w:val="0"/>
          <w:numId w:val="0"/>
        </w:numPr>
        <w:ind w:left="720"/>
        <w:rPr>
          <w:i/>
        </w:rPr>
      </w:pPr>
      <w:r w:rsidRPr="001779EA">
        <w:rPr>
          <w:i/>
        </w:rPr>
        <w:t>For more detail on PBAC’s view, see section 7 PBAC outcome.</w:t>
      </w:r>
    </w:p>
    <w:p w:rsidR="0079059D" w:rsidRPr="001779EA" w:rsidRDefault="0079059D" w:rsidP="00247EDC">
      <w:pPr>
        <w:pStyle w:val="2-SectionHeading"/>
      </w:pPr>
      <w:bookmarkStart w:id="24" w:name="_Toc38290341"/>
      <w:bookmarkStart w:id="25" w:name="_Toc38305888"/>
      <w:bookmarkStart w:id="26" w:name="_Toc40935313"/>
      <w:bookmarkStart w:id="27" w:name="_Toc22897640"/>
      <w:r w:rsidRPr="001779EA">
        <w:t>Consideration of the evidence</w:t>
      </w:r>
      <w:bookmarkEnd w:id="24"/>
      <w:bookmarkEnd w:id="25"/>
      <w:bookmarkEnd w:id="26"/>
    </w:p>
    <w:p w:rsidR="00065B7D" w:rsidRPr="001779EA" w:rsidRDefault="00065B7D" w:rsidP="00E61065">
      <w:pPr>
        <w:pStyle w:val="4-SubsectionHeading"/>
        <w:rPr>
          <w:snapToGrid w:val="0"/>
        </w:rPr>
      </w:pPr>
      <w:bookmarkStart w:id="28" w:name="_Toc40935314"/>
      <w:bookmarkEnd w:id="27"/>
      <w:r w:rsidRPr="001779EA">
        <w:rPr>
          <w:snapToGrid w:val="0"/>
        </w:rPr>
        <w:t>Sponsor hearing</w:t>
      </w:r>
    </w:p>
    <w:p w:rsidR="00065B7D" w:rsidRPr="001779EA" w:rsidRDefault="00065B7D" w:rsidP="00065B7D">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There was no hearing for this item.</w:t>
      </w:r>
    </w:p>
    <w:p w:rsidR="00065B7D" w:rsidRPr="001779EA" w:rsidRDefault="00065B7D" w:rsidP="00F00D27">
      <w:pPr>
        <w:pStyle w:val="4-SubsectionHeading"/>
        <w:rPr>
          <w:snapToGrid w:val="0"/>
        </w:rPr>
      </w:pPr>
      <w:r w:rsidRPr="001779EA">
        <w:rPr>
          <w:snapToGrid w:val="0"/>
        </w:rPr>
        <w:t>Consumer comments</w:t>
      </w:r>
    </w:p>
    <w:p w:rsidR="00A945B0" w:rsidRPr="001779EA" w:rsidRDefault="00065B7D" w:rsidP="00065B7D">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The PBAC noted the advice received from</w:t>
      </w:r>
      <w:r w:rsidR="00F00D27" w:rsidRPr="001779EA">
        <w:rPr>
          <w:rFonts w:asciiTheme="minorHAnsi" w:hAnsiTheme="minorHAnsi"/>
          <w:bCs/>
          <w:snapToGrid w:val="0"/>
        </w:rPr>
        <w:t xml:space="preserve"> Breast Cancer Network Australia (BCNA)</w:t>
      </w:r>
      <w:r w:rsidRPr="001779EA">
        <w:rPr>
          <w:rFonts w:asciiTheme="minorHAnsi" w:hAnsiTheme="minorHAnsi"/>
          <w:bCs/>
          <w:snapToGrid w:val="0"/>
        </w:rPr>
        <w:t xml:space="preserve"> </w:t>
      </w:r>
      <w:r w:rsidR="00F00D27" w:rsidRPr="001779EA">
        <w:rPr>
          <w:rFonts w:asciiTheme="minorHAnsi" w:hAnsiTheme="minorHAnsi"/>
          <w:bCs/>
          <w:snapToGrid w:val="0"/>
        </w:rPr>
        <w:t>in support of PBS listing of fulvestrant. BCNA reported that while the combination use with CDK</w:t>
      </w:r>
      <w:r w:rsidR="00E34A2F" w:rsidRPr="001779EA">
        <w:rPr>
          <w:rFonts w:asciiTheme="minorHAnsi" w:hAnsiTheme="minorHAnsi"/>
          <w:bCs/>
          <w:snapToGrid w:val="0"/>
        </w:rPr>
        <w:t xml:space="preserve">4/6 </w:t>
      </w:r>
      <w:r w:rsidR="00F00D27" w:rsidRPr="001779EA">
        <w:rPr>
          <w:rFonts w:asciiTheme="minorHAnsi" w:hAnsiTheme="minorHAnsi"/>
          <w:bCs/>
          <w:snapToGrid w:val="0"/>
        </w:rPr>
        <w:t xml:space="preserve">inhibitors is currently the main area of need, </w:t>
      </w:r>
      <w:r w:rsidR="00CF6C43" w:rsidRPr="001779EA">
        <w:rPr>
          <w:rFonts w:asciiTheme="minorHAnsi" w:hAnsiTheme="minorHAnsi"/>
          <w:bCs/>
          <w:snapToGrid w:val="0"/>
        </w:rPr>
        <w:t>having fulvestrant available through the PBS as a monotherapy and for other combination</w:t>
      </w:r>
      <w:r w:rsidR="00CF6C43" w:rsidRPr="001779EA">
        <w:rPr>
          <w:rFonts w:asciiTheme="minorHAnsi" w:hAnsiTheme="minorHAnsi"/>
          <w:b/>
          <w:bCs/>
          <w:snapToGrid w:val="0"/>
        </w:rPr>
        <w:t xml:space="preserve"> </w:t>
      </w:r>
      <w:r w:rsidR="00CF6C43" w:rsidRPr="001779EA">
        <w:rPr>
          <w:rFonts w:asciiTheme="minorHAnsi" w:hAnsiTheme="minorHAnsi"/>
          <w:bCs/>
          <w:snapToGrid w:val="0"/>
        </w:rPr>
        <w:t>therapies would also be a welcome outcome</w:t>
      </w:r>
      <w:r w:rsidR="00256EEC" w:rsidRPr="001779EA">
        <w:rPr>
          <w:rFonts w:asciiTheme="minorHAnsi" w:hAnsiTheme="minorHAnsi"/>
          <w:bCs/>
          <w:snapToGrid w:val="0"/>
        </w:rPr>
        <w:t>.</w:t>
      </w:r>
      <w:r w:rsidR="00F00D27" w:rsidRPr="001779EA">
        <w:rPr>
          <w:rFonts w:asciiTheme="minorHAnsi" w:hAnsiTheme="minorHAnsi"/>
          <w:bCs/>
          <w:snapToGrid w:val="0"/>
        </w:rPr>
        <w:t xml:space="preserve"> </w:t>
      </w:r>
      <w:r w:rsidR="00FD712C" w:rsidRPr="001779EA">
        <w:rPr>
          <w:rFonts w:asciiTheme="minorHAnsi" w:hAnsiTheme="minorHAnsi"/>
          <w:bCs/>
          <w:snapToGrid w:val="0"/>
        </w:rPr>
        <w:t xml:space="preserve">BCNA also stated that having fulvestrant </w:t>
      </w:r>
      <w:r w:rsidR="00A945B0" w:rsidRPr="001779EA">
        <w:rPr>
          <w:rFonts w:asciiTheme="minorHAnsi" w:hAnsiTheme="minorHAnsi"/>
          <w:bCs/>
          <w:snapToGrid w:val="0"/>
        </w:rPr>
        <w:t>available</w:t>
      </w:r>
      <w:r w:rsidR="00FD712C" w:rsidRPr="001779EA">
        <w:rPr>
          <w:rFonts w:asciiTheme="minorHAnsi" w:hAnsiTheme="minorHAnsi"/>
          <w:bCs/>
          <w:snapToGrid w:val="0"/>
        </w:rPr>
        <w:t xml:space="preserve"> with</w:t>
      </w:r>
      <w:r w:rsidR="00A945B0" w:rsidRPr="001779EA">
        <w:rPr>
          <w:rFonts w:asciiTheme="minorHAnsi" w:hAnsiTheme="minorHAnsi"/>
          <w:bCs/>
          <w:snapToGrid w:val="0"/>
        </w:rPr>
        <w:t xml:space="preserve"> a line-agnost</w:t>
      </w:r>
      <w:r w:rsidR="00FD712C" w:rsidRPr="001779EA">
        <w:rPr>
          <w:rFonts w:asciiTheme="minorHAnsi" w:hAnsiTheme="minorHAnsi"/>
          <w:bCs/>
          <w:snapToGrid w:val="0"/>
        </w:rPr>
        <w:t>i</w:t>
      </w:r>
      <w:r w:rsidR="00A945B0" w:rsidRPr="001779EA">
        <w:rPr>
          <w:rFonts w:asciiTheme="minorHAnsi" w:hAnsiTheme="minorHAnsi"/>
          <w:bCs/>
          <w:snapToGrid w:val="0"/>
        </w:rPr>
        <w:t xml:space="preserve">c listing will enable it to be used more broadly to suit individual patient needs. </w:t>
      </w:r>
    </w:p>
    <w:p w:rsidR="00065B7D" w:rsidRPr="001779EA" w:rsidRDefault="00256EEC" w:rsidP="00065B7D">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One consumer comment was also received from a medical oncologist, who noted that fulvestrant is used regularly overseas</w:t>
      </w:r>
      <w:r w:rsidR="00A945B0" w:rsidRPr="001779EA">
        <w:rPr>
          <w:rFonts w:asciiTheme="minorHAnsi" w:hAnsiTheme="minorHAnsi"/>
          <w:bCs/>
          <w:snapToGrid w:val="0"/>
        </w:rPr>
        <w:t>, and is associated with better quality of life than chemotherapy</w:t>
      </w:r>
      <w:r w:rsidRPr="001779EA">
        <w:rPr>
          <w:rFonts w:asciiTheme="minorHAnsi" w:hAnsiTheme="minorHAnsi"/>
          <w:bCs/>
          <w:snapToGrid w:val="0"/>
        </w:rPr>
        <w:t xml:space="preserve">. Without PBS access to fulvestrant, </w:t>
      </w:r>
      <w:r w:rsidR="00334E4D" w:rsidRPr="001779EA">
        <w:rPr>
          <w:rFonts w:asciiTheme="minorHAnsi" w:hAnsiTheme="minorHAnsi"/>
          <w:bCs/>
          <w:snapToGrid w:val="0"/>
        </w:rPr>
        <w:t xml:space="preserve">patients </w:t>
      </w:r>
      <w:r w:rsidRPr="001779EA">
        <w:rPr>
          <w:rFonts w:asciiTheme="minorHAnsi" w:hAnsiTheme="minorHAnsi"/>
          <w:bCs/>
          <w:snapToGrid w:val="0"/>
        </w:rPr>
        <w:t xml:space="preserve">may be treated with chemotherapy earlier in their treatment. </w:t>
      </w:r>
    </w:p>
    <w:p w:rsidR="0079059D" w:rsidRPr="001779EA" w:rsidRDefault="0079059D" w:rsidP="00247EDC">
      <w:pPr>
        <w:pStyle w:val="4-SubsectionHeading"/>
      </w:pPr>
      <w:r w:rsidRPr="001779EA">
        <w:t>Clinical trials (</w:t>
      </w:r>
      <w:r w:rsidR="00CC0BBD" w:rsidRPr="001779EA">
        <w:t>first</w:t>
      </w:r>
      <w:r w:rsidRPr="001779EA">
        <w:t>-line)</w:t>
      </w:r>
      <w:bookmarkEnd w:id="28"/>
    </w:p>
    <w:p w:rsidR="0079059D" w:rsidRPr="001779EA" w:rsidRDefault="0079059D" w:rsidP="00247EDC">
      <w:pPr>
        <w:pStyle w:val="3-BodyText"/>
        <w:rPr>
          <w:color w:val="0066FF"/>
        </w:rPr>
      </w:pPr>
      <w:r w:rsidRPr="001779EA">
        <w:t>The submission was based on two head-to-head RCTs in the first-line setting:</w:t>
      </w:r>
    </w:p>
    <w:p w:rsidR="0079059D" w:rsidRPr="001779EA" w:rsidRDefault="0079059D" w:rsidP="000D7A52">
      <w:pPr>
        <w:pStyle w:val="Bulletpoints"/>
        <w:ind w:left="1276" w:hanging="284"/>
        <w:rPr>
          <w:iCs/>
        </w:rPr>
      </w:pPr>
      <w:r w:rsidRPr="001779EA">
        <w:rPr>
          <w:iCs/>
        </w:rPr>
        <w:t xml:space="preserve">FALCON (n=462) was a randomised, double-blind, phase III trial of fulvestrant compared with anastrozole for postmenopausal women with HR+, HER2- ABC who had not previously received hormone treatment. </w:t>
      </w:r>
    </w:p>
    <w:p w:rsidR="0079059D" w:rsidRPr="001779EA" w:rsidRDefault="0079059D" w:rsidP="000D7A52">
      <w:pPr>
        <w:pStyle w:val="Bulletpoints"/>
        <w:ind w:left="1276" w:hanging="284"/>
        <w:rPr>
          <w:iCs/>
        </w:rPr>
      </w:pPr>
      <w:r w:rsidRPr="001779EA">
        <w:rPr>
          <w:iCs/>
        </w:rPr>
        <w:lastRenderedPageBreak/>
        <w:t>FIRST (n=205) was an open-label, phase II trial for postmenopausal women with HR+ locally advanced or metastatic disease.</w:t>
      </w:r>
    </w:p>
    <w:p w:rsidR="0079059D" w:rsidRPr="001779EA" w:rsidRDefault="0079059D" w:rsidP="00247EDC">
      <w:pPr>
        <w:pStyle w:val="3-BodyText"/>
      </w:pPr>
      <w:r w:rsidRPr="001779EA">
        <w:t xml:space="preserve">Details of the trials are provided in Table </w:t>
      </w:r>
      <w:r w:rsidR="0070032E" w:rsidRPr="001779EA">
        <w:t>2</w:t>
      </w:r>
      <w:r w:rsidRPr="001779EA">
        <w:t>.</w:t>
      </w:r>
    </w:p>
    <w:p w:rsidR="0079059D" w:rsidRPr="001779EA" w:rsidRDefault="0070032E" w:rsidP="00C428BE">
      <w:pPr>
        <w:pStyle w:val="TableFigureHeading"/>
        <w:keepLines/>
      </w:pPr>
      <w:r w:rsidRPr="001779EA">
        <w:t>Table 2</w:t>
      </w:r>
      <w:r w:rsidR="0079059D" w:rsidRPr="001779EA">
        <w:t>: Trials and associated reports presented in the submission</w:t>
      </w:r>
    </w:p>
    <w:tbl>
      <w:tblPr>
        <w:tblStyle w:val="AZTable"/>
        <w:tblpPr w:leftFromText="180" w:rightFromText="180" w:vertAnchor="text" w:tblpY="1"/>
        <w:tblOverlap w:val="never"/>
        <w:tblW w:w="0" w:type="auto"/>
        <w:tblLook w:val="04A0" w:firstRow="1" w:lastRow="0" w:firstColumn="1" w:lastColumn="0" w:noHBand="0" w:noVBand="1"/>
        <w:tblCaption w:val="Table 2: Trials and associated reports presented in the submission"/>
      </w:tblPr>
      <w:tblGrid>
        <w:gridCol w:w="1283"/>
        <w:gridCol w:w="4949"/>
        <w:gridCol w:w="2785"/>
      </w:tblGrid>
      <w:tr w:rsidR="0079059D" w:rsidRPr="001779EA" w:rsidTr="00E1614A">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79059D" w:rsidRPr="001779EA" w:rsidRDefault="0079059D" w:rsidP="00C428BE">
            <w:pPr>
              <w:pStyle w:val="In-tableHeading"/>
              <w:keepLines/>
              <w:rPr>
                <w:lang w:val="en-AU"/>
              </w:rPr>
            </w:pPr>
            <w:r w:rsidRPr="001779EA">
              <w:rPr>
                <w:lang w:val="en-AU"/>
              </w:rPr>
              <w:t>Trial ID</w:t>
            </w:r>
          </w:p>
        </w:tc>
        <w:tc>
          <w:tcPr>
            <w:tcW w:w="4949" w:type="dxa"/>
            <w:hideMark/>
          </w:tcPr>
          <w:p w:rsidR="0079059D" w:rsidRPr="001779EA" w:rsidRDefault="0079059D" w:rsidP="00C428BE">
            <w:pPr>
              <w:pStyle w:val="In-tableHeading"/>
              <w:keepLines/>
              <w:rPr>
                <w:lang w:val="en-AU"/>
              </w:rPr>
            </w:pPr>
            <w:r w:rsidRPr="001779EA">
              <w:rPr>
                <w:lang w:val="en-AU"/>
              </w:rPr>
              <w:t>Protocol title/ Publication title</w:t>
            </w:r>
          </w:p>
        </w:tc>
        <w:tc>
          <w:tcPr>
            <w:tcW w:w="2785" w:type="dxa"/>
          </w:tcPr>
          <w:p w:rsidR="0079059D" w:rsidRPr="001779EA" w:rsidRDefault="0079059D" w:rsidP="00C428BE">
            <w:pPr>
              <w:pStyle w:val="In-tableHeading"/>
              <w:keepLines/>
              <w:rPr>
                <w:lang w:val="en-AU"/>
              </w:rPr>
            </w:pPr>
            <w:r w:rsidRPr="001779EA">
              <w:rPr>
                <w:lang w:val="en-AU"/>
              </w:rPr>
              <w:t>Publication citation</w:t>
            </w: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50"/>
          <w:tblHeader/>
        </w:trPr>
        <w:tc>
          <w:tcPr>
            <w:tcW w:w="0" w:type="auto"/>
            <w:vMerge w:val="restart"/>
          </w:tcPr>
          <w:p w:rsidR="0079059D" w:rsidRPr="001779EA" w:rsidRDefault="0079059D" w:rsidP="00C428BE">
            <w:pPr>
              <w:pStyle w:val="Tabletext"/>
              <w:keepNext/>
              <w:keepLines/>
            </w:pPr>
            <w:r w:rsidRPr="001779EA">
              <w:t>FALCON</w:t>
            </w:r>
          </w:p>
          <w:p w:rsidR="0079059D" w:rsidRPr="001779EA" w:rsidRDefault="0079059D" w:rsidP="00C428BE">
            <w:pPr>
              <w:pStyle w:val="Tabletext"/>
              <w:keepNext/>
              <w:keepLines/>
            </w:pPr>
            <w:r w:rsidRPr="001779EA">
              <w:rPr>
                <w:shd w:val="clear" w:color="auto" w:fill="FFFFFF"/>
              </w:rPr>
              <w:t>NCT01602380</w:t>
            </w:r>
          </w:p>
        </w:tc>
        <w:tc>
          <w:tcPr>
            <w:tcW w:w="4949" w:type="dxa"/>
          </w:tcPr>
          <w:p w:rsidR="0079059D" w:rsidRPr="001779EA" w:rsidRDefault="0079059D" w:rsidP="00C428BE">
            <w:pPr>
              <w:pStyle w:val="Tabletext"/>
              <w:keepNext/>
              <w:keepLines/>
            </w:pPr>
            <w:r w:rsidRPr="001779EA">
              <w:t>A randomised, double-blind, parallel-group, multicentre, phase III study to compare the efficacy and tolerability of fulvestrant (faslodex) 500 mg with anastrozole (arimidex) 1 mg as hormonal treatment for postmenopausal women with hormone receptor-positive locally advanced or metastatic breast cancer who have not previously been treated with any hormonal therapy.</w:t>
            </w:r>
          </w:p>
        </w:tc>
        <w:tc>
          <w:tcPr>
            <w:tcW w:w="2785" w:type="dxa"/>
          </w:tcPr>
          <w:p w:rsidR="0079059D" w:rsidRPr="001779EA" w:rsidRDefault="00CC0BBD" w:rsidP="00C428BE">
            <w:pPr>
              <w:pStyle w:val="Tabletext"/>
              <w:keepNext/>
              <w:keepLines/>
            </w:pPr>
            <w:r w:rsidRPr="001779EA">
              <w:t xml:space="preserve">05 August </w:t>
            </w:r>
            <w:r w:rsidR="0079059D" w:rsidRPr="001779EA">
              <w:t>2016</w:t>
            </w: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50"/>
          <w:tblHeader/>
        </w:trPr>
        <w:tc>
          <w:tcPr>
            <w:tcW w:w="0" w:type="auto"/>
            <w:vMerge/>
          </w:tcPr>
          <w:p w:rsidR="0079059D" w:rsidRPr="001779EA" w:rsidRDefault="0079059D" w:rsidP="00C428BE">
            <w:pPr>
              <w:pStyle w:val="Tabletext"/>
              <w:keepNext/>
              <w:keepLines/>
            </w:pPr>
          </w:p>
        </w:tc>
        <w:tc>
          <w:tcPr>
            <w:tcW w:w="4949" w:type="dxa"/>
          </w:tcPr>
          <w:p w:rsidR="0079059D" w:rsidRPr="001779EA" w:rsidRDefault="0079059D" w:rsidP="00C428BE">
            <w:pPr>
              <w:pStyle w:val="Tabletext"/>
              <w:keepNext/>
              <w:keepLines/>
            </w:pPr>
            <w:r w:rsidRPr="001779EA">
              <w:t xml:space="preserve">Noguchi, S., Ellis, M. J., Robertson, J. F. R., et al. Progression free survival results in postmenopausal Asian women: subgroup analysis from a phase III randomised trial of fulvestrant 500 mg vs anastrozole 1 mg for hormone receptor-positive advanced breast cancer (FALCON). </w:t>
            </w:r>
          </w:p>
        </w:tc>
        <w:tc>
          <w:tcPr>
            <w:tcW w:w="2785" w:type="dxa"/>
          </w:tcPr>
          <w:p w:rsidR="0079059D" w:rsidRPr="001779EA" w:rsidRDefault="0079059D" w:rsidP="00C428BE">
            <w:pPr>
              <w:pStyle w:val="Tabletext"/>
              <w:keepNext/>
              <w:keepLines/>
            </w:pPr>
            <w:r w:rsidRPr="001779EA">
              <w:t>Breast Cancer 2018; 25; 356-364.</w:t>
            </w: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50"/>
          <w:tblHeader/>
        </w:trPr>
        <w:tc>
          <w:tcPr>
            <w:tcW w:w="0" w:type="auto"/>
            <w:vMerge/>
          </w:tcPr>
          <w:p w:rsidR="0079059D" w:rsidRPr="001779EA" w:rsidRDefault="0079059D" w:rsidP="00C428BE">
            <w:pPr>
              <w:pStyle w:val="Tabletext"/>
              <w:keepNext/>
              <w:keepLines/>
            </w:pPr>
          </w:p>
        </w:tc>
        <w:tc>
          <w:tcPr>
            <w:tcW w:w="4949" w:type="dxa"/>
          </w:tcPr>
          <w:p w:rsidR="0079059D" w:rsidRPr="001779EA" w:rsidRDefault="0079059D" w:rsidP="00C428BE">
            <w:pPr>
              <w:pStyle w:val="Tabletext"/>
              <w:keepNext/>
              <w:keepLines/>
              <w:rPr>
                <w:rFonts w:eastAsia="Arial Narrow"/>
              </w:rPr>
            </w:pPr>
            <w:r w:rsidRPr="001779EA">
              <w:t xml:space="preserve">Robertson, J. F. R., Bondarenko, I. M., Trishkina, E., et al. Fulvestrant 500 mg versus anastrozole 1 mg for hormone receptor-positive advanced breast cancer (FALCON): an international, randomised, double-blind, phase 3 trial. </w:t>
            </w:r>
          </w:p>
        </w:tc>
        <w:tc>
          <w:tcPr>
            <w:tcW w:w="2785" w:type="dxa"/>
          </w:tcPr>
          <w:p w:rsidR="0079059D" w:rsidRPr="001779EA" w:rsidRDefault="0079059D" w:rsidP="00C428BE">
            <w:pPr>
              <w:pStyle w:val="Tabletext"/>
              <w:keepNext/>
              <w:keepLines/>
            </w:pPr>
            <w:r w:rsidRPr="001779EA">
              <w:t>Lancet 2016; 388; 2997-3005.</w:t>
            </w:r>
          </w:p>
          <w:p w:rsidR="0079059D" w:rsidRPr="001779EA" w:rsidRDefault="0079059D" w:rsidP="00C428BE">
            <w:pPr>
              <w:pStyle w:val="Tabletext"/>
              <w:keepNext/>
              <w:keepLines/>
            </w:pP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50"/>
          <w:tblHeader/>
        </w:trPr>
        <w:tc>
          <w:tcPr>
            <w:tcW w:w="0" w:type="auto"/>
            <w:vMerge/>
          </w:tcPr>
          <w:p w:rsidR="0079059D" w:rsidRPr="001779EA" w:rsidRDefault="0079059D" w:rsidP="00C428BE">
            <w:pPr>
              <w:pStyle w:val="Tabletext"/>
              <w:keepNext/>
              <w:keepLines/>
            </w:pPr>
          </w:p>
        </w:tc>
        <w:tc>
          <w:tcPr>
            <w:tcW w:w="4949" w:type="dxa"/>
          </w:tcPr>
          <w:p w:rsidR="0079059D" w:rsidRPr="001779EA" w:rsidRDefault="0079059D" w:rsidP="00C428BE">
            <w:pPr>
              <w:pStyle w:val="Tabletext"/>
              <w:keepNext/>
              <w:keepLines/>
              <w:rPr>
                <w:rFonts w:eastAsia="Arial Narrow"/>
              </w:rPr>
            </w:pPr>
            <w:r w:rsidRPr="001779EA">
              <w:t xml:space="preserve">Robertson, J. F. R., Cheung, K. L., Noguchi, S., et al. Health-related quality of life from the FALCON phase III randomised trial of fulvestrant 500 mg versus anastrozole for hormone receptor-positive advanced breast cancer. </w:t>
            </w:r>
          </w:p>
        </w:tc>
        <w:tc>
          <w:tcPr>
            <w:tcW w:w="2785" w:type="dxa"/>
          </w:tcPr>
          <w:p w:rsidR="0079059D" w:rsidRPr="001779EA" w:rsidRDefault="0079059D" w:rsidP="00C428BE">
            <w:pPr>
              <w:pStyle w:val="Tabletext"/>
              <w:keepNext/>
              <w:keepLines/>
            </w:pPr>
            <w:r w:rsidRPr="001779EA">
              <w:t>European Journal of Cancer 2018; 94; 206-215.</w:t>
            </w: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50"/>
          <w:tblHeader/>
        </w:trPr>
        <w:tc>
          <w:tcPr>
            <w:tcW w:w="0" w:type="auto"/>
            <w:vMerge w:val="restart"/>
            <w:hideMark/>
          </w:tcPr>
          <w:p w:rsidR="0079059D" w:rsidRPr="001779EA" w:rsidRDefault="0079059D" w:rsidP="00C428BE">
            <w:pPr>
              <w:pStyle w:val="Tabletext"/>
              <w:keepNext/>
              <w:keepLines/>
            </w:pPr>
            <w:r w:rsidRPr="001779EA">
              <w:t>FIRST</w:t>
            </w:r>
          </w:p>
          <w:p w:rsidR="0079059D" w:rsidRPr="001779EA" w:rsidRDefault="0079059D" w:rsidP="00C428BE">
            <w:pPr>
              <w:pStyle w:val="Tabletext"/>
              <w:keepNext/>
              <w:keepLines/>
            </w:pPr>
            <w:r w:rsidRPr="001779EA">
              <w:rPr>
                <w:color w:val="333333"/>
                <w:shd w:val="clear" w:color="auto" w:fill="FFFFFF"/>
              </w:rPr>
              <w:t>NCT00274469</w:t>
            </w:r>
          </w:p>
        </w:tc>
        <w:tc>
          <w:tcPr>
            <w:tcW w:w="4949" w:type="dxa"/>
            <w:hideMark/>
          </w:tcPr>
          <w:p w:rsidR="0079059D" w:rsidRPr="001779EA" w:rsidRDefault="0079059D" w:rsidP="00C428BE">
            <w:pPr>
              <w:pStyle w:val="Tabletext"/>
              <w:keepNext/>
              <w:keepLines/>
            </w:pPr>
            <w:r w:rsidRPr="001779EA">
              <w:rPr>
                <w:color w:val="000000"/>
                <w:shd w:val="clear" w:color="auto" w:fill="FFFFFF"/>
              </w:rPr>
              <w:t>A randomised, open-label, parallel-group, multicentre, phase II study to compare the efficacy and tolerability of fulvestrant (faslodex™) 500 mg with anastrozole (arimidex™) 1 mg as first-line hormonal treatment for postmenopausal women with hormone receptor positive advanced breast cancer</w:t>
            </w:r>
            <w:r w:rsidRPr="001779EA">
              <w:t>.</w:t>
            </w:r>
          </w:p>
        </w:tc>
        <w:tc>
          <w:tcPr>
            <w:tcW w:w="2785" w:type="dxa"/>
          </w:tcPr>
          <w:p w:rsidR="0079059D" w:rsidRPr="001779EA" w:rsidRDefault="00CC0BBD" w:rsidP="00C428BE">
            <w:pPr>
              <w:pStyle w:val="Tabletext"/>
              <w:keepNext/>
              <w:keepLines/>
              <w:rPr>
                <w:color w:val="000000"/>
                <w:shd w:val="clear" w:color="auto" w:fill="FFFFFF"/>
              </w:rPr>
            </w:pPr>
            <w:r w:rsidRPr="001779EA">
              <w:t xml:space="preserve">19 June </w:t>
            </w:r>
            <w:r w:rsidR="0079059D" w:rsidRPr="001779EA">
              <w:t>2008</w:t>
            </w: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50"/>
          <w:tblHeader/>
        </w:trPr>
        <w:tc>
          <w:tcPr>
            <w:tcW w:w="0" w:type="auto"/>
            <w:vMerge/>
          </w:tcPr>
          <w:p w:rsidR="0079059D" w:rsidRPr="001779EA" w:rsidRDefault="0079059D" w:rsidP="00C428BE">
            <w:pPr>
              <w:pStyle w:val="Tabletext"/>
              <w:keepNext/>
              <w:keepLines/>
            </w:pPr>
          </w:p>
        </w:tc>
        <w:tc>
          <w:tcPr>
            <w:tcW w:w="4949" w:type="dxa"/>
          </w:tcPr>
          <w:p w:rsidR="0079059D" w:rsidRPr="001779EA" w:rsidRDefault="0079059D" w:rsidP="00C428BE">
            <w:pPr>
              <w:pStyle w:val="Tabletext"/>
              <w:keepNext/>
              <w:keepLines/>
            </w:pPr>
          </w:p>
          <w:p w:rsidR="0079059D" w:rsidRPr="001779EA" w:rsidRDefault="0079059D" w:rsidP="00C428BE">
            <w:pPr>
              <w:pStyle w:val="Tabletext"/>
              <w:keepNext/>
              <w:keepLines/>
            </w:pPr>
            <w:r w:rsidRPr="001779EA">
              <w:rPr>
                <w:rFonts w:eastAsia="Arial Narrow" w:cs="Arial Narrow"/>
              </w:rPr>
              <w:t xml:space="preserve">Ellis, M. J., Llombart, A., Rolski, J., et al. A comparison of high-dose (HD, 500 mg) fulvestrant vs anastrozole (1 mg) as first-line treatments for advanced breast cancer: Results from FIRST. </w:t>
            </w:r>
          </w:p>
          <w:p w:rsidR="0079059D" w:rsidRPr="001779EA" w:rsidRDefault="0079059D" w:rsidP="00C428BE">
            <w:pPr>
              <w:pStyle w:val="Tabletext"/>
              <w:keepNext/>
              <w:keepLines/>
              <w:rPr>
                <w:color w:val="000000"/>
                <w:shd w:val="clear" w:color="auto" w:fill="FFFFFF"/>
              </w:rPr>
            </w:pPr>
          </w:p>
        </w:tc>
        <w:tc>
          <w:tcPr>
            <w:tcW w:w="2785" w:type="dxa"/>
          </w:tcPr>
          <w:p w:rsidR="0079059D" w:rsidRPr="001779EA" w:rsidRDefault="0079059D" w:rsidP="00C428BE">
            <w:pPr>
              <w:pStyle w:val="Tabletext"/>
              <w:keepNext/>
              <w:keepLines/>
              <w:rPr>
                <w:color w:val="000000"/>
                <w:shd w:val="clear" w:color="auto" w:fill="FFFFFF"/>
              </w:rPr>
            </w:pPr>
            <w:r w:rsidRPr="001779EA">
              <w:rPr>
                <w:rFonts w:eastAsia="Arial Narrow" w:cs="Arial Narrow"/>
                <w:iCs/>
              </w:rPr>
              <w:t>Cancer Research. Conference: 31st Annual San Antonio Breast Cancer Symposium. San Antonio; TX United States. Sponsor: UT Health Science Centre San Antonio School of Medicine; American Association for Cancer Research; Baylor College of Medicine. Conference Publication 2009;</w:t>
            </w:r>
            <w:r w:rsidRPr="001779EA">
              <w:rPr>
                <w:rFonts w:eastAsia="Arial Narrow" w:cs="Arial Narrow"/>
              </w:rPr>
              <w:t xml:space="preserve"> 69.</w:t>
            </w: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50"/>
          <w:tblHeader/>
        </w:trPr>
        <w:tc>
          <w:tcPr>
            <w:tcW w:w="0" w:type="auto"/>
            <w:vMerge/>
          </w:tcPr>
          <w:p w:rsidR="0079059D" w:rsidRPr="001779EA" w:rsidRDefault="0079059D" w:rsidP="00C428BE">
            <w:pPr>
              <w:pStyle w:val="Tabletext"/>
              <w:keepNext/>
              <w:keepLines/>
            </w:pPr>
          </w:p>
        </w:tc>
        <w:tc>
          <w:tcPr>
            <w:tcW w:w="4949" w:type="dxa"/>
          </w:tcPr>
          <w:p w:rsidR="0079059D" w:rsidRPr="001779EA" w:rsidRDefault="0079059D" w:rsidP="00C428BE">
            <w:pPr>
              <w:pStyle w:val="Tabletext"/>
              <w:keepNext/>
              <w:keepLines/>
              <w:rPr>
                <w:rStyle w:val="CommentReference"/>
                <w:b w:val="0"/>
                <w:szCs w:val="24"/>
              </w:rPr>
            </w:pPr>
            <w:r w:rsidRPr="001779EA">
              <w:rPr>
                <w:rFonts w:eastAsia="Arial Narrow" w:cs="Arial Narrow"/>
              </w:rPr>
              <w:t xml:space="preserve">Robertson, J. F., Lindemann, J. P., Llombart-Cussac, A., et al. Fulvestrant 500 mg versus anastrozole 1 mg for the first-line treatment of advanced breast cancer: follow-up analysis from the randomised 'FIRST' study. </w:t>
            </w:r>
          </w:p>
        </w:tc>
        <w:tc>
          <w:tcPr>
            <w:tcW w:w="2785" w:type="dxa"/>
          </w:tcPr>
          <w:p w:rsidR="0079059D" w:rsidRPr="001779EA" w:rsidRDefault="0079059D" w:rsidP="00C428BE">
            <w:pPr>
              <w:pStyle w:val="Tabletext"/>
              <w:keepNext/>
              <w:keepLines/>
              <w:rPr>
                <w:color w:val="000000"/>
                <w:shd w:val="clear" w:color="auto" w:fill="FFFFFF"/>
              </w:rPr>
            </w:pPr>
            <w:r w:rsidRPr="001779EA">
              <w:rPr>
                <w:rFonts w:eastAsia="Arial Narrow" w:cs="Arial Narrow"/>
                <w:iCs/>
              </w:rPr>
              <w:t>Breast Cancer Research &amp; Treatment 2012;</w:t>
            </w:r>
            <w:r w:rsidRPr="001779EA">
              <w:rPr>
                <w:rFonts w:eastAsia="Arial Narrow" w:cs="Arial Narrow"/>
              </w:rPr>
              <w:t xml:space="preserve"> 136</w:t>
            </w:r>
            <w:r w:rsidRPr="001779EA">
              <w:rPr>
                <w:rFonts w:eastAsia="Arial Narrow" w:cs="Arial Narrow"/>
                <w:b/>
                <w:bCs/>
              </w:rPr>
              <w:t>;</w:t>
            </w:r>
            <w:r w:rsidRPr="001779EA">
              <w:rPr>
                <w:rFonts w:eastAsia="Arial Narrow" w:cs="Arial Narrow"/>
              </w:rPr>
              <w:t xml:space="preserve"> 503-11.</w:t>
            </w:r>
          </w:p>
        </w:tc>
      </w:tr>
      <w:tr w:rsidR="0079059D" w:rsidRPr="001779EA" w:rsidTr="00E1614A">
        <w:trPr>
          <w:cnfStyle w:val="100000000000" w:firstRow="1" w:lastRow="0" w:firstColumn="0" w:lastColumn="0" w:oddVBand="0" w:evenVBand="0" w:oddHBand="0" w:evenHBand="0" w:firstRowFirstColumn="0" w:firstRowLastColumn="0" w:lastRowFirstColumn="0" w:lastRowLastColumn="0"/>
          <w:trHeight w:val="841"/>
          <w:tblHeader/>
        </w:trPr>
        <w:tc>
          <w:tcPr>
            <w:tcW w:w="0" w:type="auto"/>
            <w:vMerge/>
          </w:tcPr>
          <w:p w:rsidR="0079059D" w:rsidRPr="001779EA" w:rsidRDefault="0079059D" w:rsidP="00C428BE">
            <w:pPr>
              <w:pStyle w:val="Tabletext"/>
              <w:keepNext/>
              <w:keepLines/>
            </w:pPr>
          </w:p>
        </w:tc>
        <w:tc>
          <w:tcPr>
            <w:tcW w:w="4949" w:type="dxa"/>
          </w:tcPr>
          <w:p w:rsidR="0079059D" w:rsidRPr="001779EA" w:rsidRDefault="0079059D" w:rsidP="00C428BE">
            <w:pPr>
              <w:pStyle w:val="Tabletext"/>
              <w:keepNext/>
              <w:keepLines/>
              <w:rPr>
                <w:rFonts w:eastAsia="Arial Narrow" w:cs="Arial Narrow"/>
              </w:rPr>
            </w:pPr>
            <w:r w:rsidRPr="001779EA">
              <w:rPr>
                <w:rFonts w:eastAsia="Arial Narrow" w:cs="Arial Narrow"/>
              </w:rPr>
              <w:t xml:space="preserve">Robertson, J. F., Llombart-Cussac, A., Rolski, J., et al. Activity of fulvestrant 500 mg versus anastrozole 1 mg as first-line treatment for advanced breast cancer: results from the FIRST study. </w:t>
            </w:r>
          </w:p>
        </w:tc>
        <w:tc>
          <w:tcPr>
            <w:tcW w:w="2785" w:type="dxa"/>
          </w:tcPr>
          <w:p w:rsidR="0079059D" w:rsidRPr="001779EA" w:rsidRDefault="0079059D" w:rsidP="00C428BE">
            <w:pPr>
              <w:pStyle w:val="Tabletext"/>
              <w:keepNext/>
              <w:keepLines/>
              <w:rPr>
                <w:color w:val="000000"/>
                <w:shd w:val="clear" w:color="auto" w:fill="FFFFFF"/>
              </w:rPr>
            </w:pPr>
            <w:r w:rsidRPr="001779EA">
              <w:rPr>
                <w:rFonts w:eastAsia="Arial Narrow" w:cs="Arial Narrow"/>
              </w:rPr>
              <w:t>Journal of Clinical Oncology 2009</w:t>
            </w:r>
            <w:r w:rsidRPr="001779EA">
              <w:rPr>
                <w:rFonts w:eastAsia="Arial Narrow" w:cs="Arial Narrow"/>
                <w:iCs/>
              </w:rPr>
              <w:t>;</w:t>
            </w:r>
            <w:r w:rsidRPr="001779EA">
              <w:rPr>
                <w:rFonts w:eastAsia="Arial Narrow" w:cs="Arial Narrow"/>
              </w:rPr>
              <w:t xml:space="preserve"> 27</w:t>
            </w:r>
            <w:r w:rsidRPr="001779EA">
              <w:rPr>
                <w:rFonts w:eastAsia="Arial Narrow" w:cs="Arial Narrow"/>
                <w:b/>
                <w:bCs/>
              </w:rPr>
              <w:t>;</w:t>
            </w:r>
            <w:r w:rsidRPr="001779EA">
              <w:rPr>
                <w:rFonts w:eastAsia="Arial Narrow" w:cs="Arial Narrow"/>
              </w:rPr>
              <w:t xml:space="preserve"> 4530-5.</w:t>
            </w:r>
          </w:p>
        </w:tc>
      </w:tr>
    </w:tbl>
    <w:p w:rsidR="0079059D" w:rsidRPr="001779EA" w:rsidRDefault="0079059D" w:rsidP="00C428BE">
      <w:pPr>
        <w:pStyle w:val="TableFigureFooter"/>
        <w:keepNext/>
        <w:keepLines/>
      </w:pPr>
      <w:r w:rsidRPr="001779EA">
        <w:lastRenderedPageBreak/>
        <w:t>CS= clinical study report; ER= Oestrogen receptor; HER2-= human epidermal growth factor receptor-2 negative; HR+= hormone receptor-positive; mg= milligrams</w:t>
      </w:r>
    </w:p>
    <w:p w:rsidR="0079059D" w:rsidRPr="001779EA" w:rsidRDefault="0079059D" w:rsidP="00C428BE">
      <w:pPr>
        <w:pStyle w:val="TableFigureFooter"/>
        <w:keepNext/>
        <w:keepLines/>
      </w:pPr>
      <w:r w:rsidRPr="001779EA">
        <w:t>Source: Compiled during the evaluation based on Table 2.3, pp37-38 of the submission</w:t>
      </w:r>
    </w:p>
    <w:p w:rsidR="0079059D" w:rsidRPr="001779EA" w:rsidRDefault="0079059D" w:rsidP="00247EDC">
      <w:pPr>
        <w:pStyle w:val="TableFigureFooter"/>
        <w:keepNext/>
        <w:keepLines/>
        <w:rPr>
          <w:rFonts w:eastAsiaTheme="minorHAnsi"/>
          <w:snapToGrid/>
        </w:rPr>
      </w:pPr>
    </w:p>
    <w:p w:rsidR="0079059D" w:rsidRPr="001779EA" w:rsidRDefault="0079059D" w:rsidP="00247EDC">
      <w:pPr>
        <w:pStyle w:val="3-BodyText"/>
      </w:pPr>
      <w:r w:rsidRPr="001779EA">
        <w:t>The key features of the direct randomised trials in the first-line treatment setting are summarised in</w:t>
      </w:r>
      <w:r w:rsidR="0070032E" w:rsidRPr="001779EA">
        <w:t xml:space="preserve"> Table 3</w:t>
      </w:r>
      <w:r w:rsidRPr="001779EA">
        <w:t>.</w:t>
      </w:r>
    </w:p>
    <w:p w:rsidR="0079059D" w:rsidRPr="001779EA" w:rsidRDefault="0070032E" w:rsidP="00247EDC">
      <w:pPr>
        <w:pStyle w:val="TableFigureHeading"/>
        <w:keepLines/>
      </w:pPr>
      <w:r w:rsidRPr="001779EA">
        <w:t>Table 3:</w:t>
      </w:r>
      <w:r w:rsidR="0079059D" w:rsidRPr="001779EA">
        <w:t xml:space="preserve"> Key features of the included evidence in first-line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3"/>
        <w:gridCol w:w="1968"/>
        <w:gridCol w:w="2079"/>
        <w:gridCol w:w="754"/>
        <w:gridCol w:w="1466"/>
        <w:gridCol w:w="947"/>
        <w:gridCol w:w="1080"/>
      </w:tblGrid>
      <w:tr w:rsidR="0079059D" w:rsidRPr="001779EA" w:rsidTr="000074B7">
        <w:trPr>
          <w:tblHeader/>
        </w:trPr>
        <w:tc>
          <w:tcPr>
            <w:tcW w:w="400" w:type="pct"/>
            <w:shd w:val="clear" w:color="auto" w:fill="auto"/>
            <w:vAlign w:val="center"/>
          </w:tcPr>
          <w:p w:rsidR="0079059D" w:rsidRPr="001779EA" w:rsidRDefault="0079059D" w:rsidP="00247EDC">
            <w:pPr>
              <w:pStyle w:val="In-tableHeading"/>
              <w:rPr>
                <w:lang w:val="en-AU"/>
              </w:rPr>
            </w:pPr>
            <w:r w:rsidRPr="001779EA">
              <w:rPr>
                <w:lang w:val="en-AU"/>
              </w:rPr>
              <w:t>Trial</w:t>
            </w:r>
          </w:p>
        </w:tc>
        <w:tc>
          <w:tcPr>
            <w:tcW w:w="1091" w:type="pct"/>
            <w:shd w:val="clear" w:color="auto" w:fill="auto"/>
            <w:vAlign w:val="center"/>
          </w:tcPr>
          <w:p w:rsidR="0079059D" w:rsidRPr="001779EA" w:rsidRDefault="0079059D" w:rsidP="00247EDC">
            <w:pPr>
              <w:pStyle w:val="In-tableHeading"/>
              <w:jc w:val="center"/>
              <w:rPr>
                <w:lang w:val="en-AU"/>
              </w:rPr>
            </w:pPr>
            <w:r w:rsidRPr="001779EA">
              <w:rPr>
                <w:lang w:val="en-AU"/>
              </w:rPr>
              <w:t>N</w:t>
            </w:r>
          </w:p>
        </w:tc>
        <w:tc>
          <w:tcPr>
            <w:tcW w:w="1153" w:type="pct"/>
            <w:shd w:val="clear" w:color="auto" w:fill="auto"/>
            <w:vAlign w:val="center"/>
          </w:tcPr>
          <w:p w:rsidR="0079059D" w:rsidRPr="001779EA" w:rsidRDefault="0079059D" w:rsidP="00247EDC">
            <w:pPr>
              <w:pStyle w:val="In-tableHeading"/>
              <w:jc w:val="center"/>
              <w:rPr>
                <w:lang w:val="en-AU"/>
              </w:rPr>
            </w:pPr>
            <w:r w:rsidRPr="001779EA">
              <w:rPr>
                <w:lang w:val="en-AU"/>
              </w:rPr>
              <w:t>Design/ duration of follow-up (median) (months)</w:t>
            </w:r>
          </w:p>
        </w:tc>
        <w:tc>
          <w:tcPr>
            <w:tcW w:w="418" w:type="pct"/>
            <w:shd w:val="clear" w:color="auto" w:fill="auto"/>
            <w:vAlign w:val="center"/>
          </w:tcPr>
          <w:p w:rsidR="0079059D" w:rsidRPr="001779EA" w:rsidRDefault="0079059D" w:rsidP="00247EDC">
            <w:pPr>
              <w:pStyle w:val="In-tableHeading"/>
              <w:jc w:val="center"/>
              <w:rPr>
                <w:lang w:val="en-AU"/>
              </w:rPr>
            </w:pPr>
            <w:r w:rsidRPr="001779EA">
              <w:rPr>
                <w:lang w:val="en-AU"/>
              </w:rPr>
              <w:t>Risk of bias</w:t>
            </w:r>
          </w:p>
        </w:tc>
        <w:tc>
          <w:tcPr>
            <w:tcW w:w="813" w:type="pct"/>
            <w:shd w:val="clear" w:color="auto" w:fill="auto"/>
            <w:vAlign w:val="center"/>
          </w:tcPr>
          <w:p w:rsidR="0079059D" w:rsidRPr="001779EA" w:rsidRDefault="0079059D" w:rsidP="00247EDC">
            <w:pPr>
              <w:pStyle w:val="In-tableHeading"/>
              <w:jc w:val="center"/>
              <w:rPr>
                <w:lang w:val="en-AU"/>
              </w:rPr>
            </w:pPr>
            <w:r w:rsidRPr="001779EA">
              <w:rPr>
                <w:lang w:val="en-AU"/>
              </w:rPr>
              <w:t>Patient population</w:t>
            </w:r>
          </w:p>
        </w:tc>
        <w:tc>
          <w:tcPr>
            <w:tcW w:w="525" w:type="pct"/>
            <w:shd w:val="clear" w:color="auto" w:fill="auto"/>
            <w:vAlign w:val="center"/>
          </w:tcPr>
          <w:p w:rsidR="0079059D" w:rsidRPr="001779EA" w:rsidRDefault="0079059D" w:rsidP="007D6724">
            <w:pPr>
              <w:pStyle w:val="In-tableHeading"/>
              <w:jc w:val="center"/>
              <w:rPr>
                <w:lang w:val="en-AU"/>
              </w:rPr>
            </w:pPr>
            <w:r w:rsidRPr="001779EA">
              <w:rPr>
                <w:lang w:val="en-AU"/>
              </w:rPr>
              <w:t>Outcomes</w:t>
            </w:r>
          </w:p>
        </w:tc>
        <w:tc>
          <w:tcPr>
            <w:tcW w:w="599" w:type="pct"/>
          </w:tcPr>
          <w:p w:rsidR="0079059D" w:rsidRPr="001779EA" w:rsidRDefault="0079059D" w:rsidP="00247EDC">
            <w:pPr>
              <w:pStyle w:val="In-tableHeading"/>
              <w:jc w:val="center"/>
              <w:rPr>
                <w:lang w:val="en-AU"/>
              </w:rPr>
            </w:pPr>
            <w:r w:rsidRPr="001779EA">
              <w:rPr>
                <w:lang w:val="en-AU"/>
              </w:rPr>
              <w:t>Use in modelled evaluation</w:t>
            </w:r>
          </w:p>
        </w:tc>
      </w:tr>
      <w:tr w:rsidR="0079059D" w:rsidRPr="001779EA" w:rsidTr="000074B7">
        <w:tc>
          <w:tcPr>
            <w:tcW w:w="400" w:type="pct"/>
            <w:shd w:val="clear" w:color="auto" w:fill="auto"/>
            <w:vAlign w:val="center"/>
          </w:tcPr>
          <w:p w:rsidR="0079059D" w:rsidRPr="001779EA" w:rsidRDefault="0079059D" w:rsidP="00247EDC">
            <w:pPr>
              <w:pStyle w:val="TableText0"/>
            </w:pPr>
            <w:r w:rsidRPr="001779EA">
              <w:t>FALCON</w:t>
            </w:r>
          </w:p>
        </w:tc>
        <w:tc>
          <w:tcPr>
            <w:tcW w:w="1091" w:type="pct"/>
            <w:shd w:val="clear" w:color="auto" w:fill="auto"/>
            <w:vAlign w:val="center"/>
          </w:tcPr>
          <w:p w:rsidR="0079059D" w:rsidRPr="001779EA" w:rsidRDefault="0079059D" w:rsidP="00247EDC">
            <w:pPr>
              <w:pStyle w:val="TableText0"/>
              <w:jc w:val="center"/>
              <w:rPr>
                <w:rStyle w:val="Small"/>
                <w:szCs w:val="20"/>
              </w:rPr>
            </w:pPr>
            <w:r w:rsidRPr="001779EA">
              <w:rPr>
                <w:rStyle w:val="Small"/>
                <w:szCs w:val="20"/>
              </w:rPr>
              <w:t>Fulvestrant 500mg: 230</w:t>
            </w:r>
            <w:r w:rsidRPr="001779EA">
              <w:rPr>
                <w:rStyle w:val="Small"/>
              </w:rPr>
              <w:t xml:space="preserve"> </w:t>
            </w:r>
          </w:p>
          <w:p w:rsidR="0079059D" w:rsidRPr="001779EA" w:rsidRDefault="0079059D" w:rsidP="00247EDC">
            <w:pPr>
              <w:pStyle w:val="TableText0"/>
              <w:jc w:val="center"/>
            </w:pPr>
            <w:r w:rsidRPr="001779EA">
              <w:rPr>
                <w:rStyle w:val="Small"/>
                <w:szCs w:val="20"/>
              </w:rPr>
              <w:t>Anastrozole: 232</w:t>
            </w:r>
          </w:p>
        </w:tc>
        <w:tc>
          <w:tcPr>
            <w:tcW w:w="1153" w:type="pct"/>
            <w:shd w:val="clear" w:color="auto" w:fill="auto"/>
            <w:vAlign w:val="center"/>
          </w:tcPr>
          <w:p w:rsidR="0079059D" w:rsidRPr="001779EA" w:rsidRDefault="0079059D" w:rsidP="00247EDC">
            <w:pPr>
              <w:pStyle w:val="TableText0"/>
              <w:jc w:val="center"/>
            </w:pPr>
            <w:r w:rsidRPr="001779EA">
              <w:t>R, DB</w:t>
            </w:r>
          </w:p>
          <w:p w:rsidR="0079059D" w:rsidRPr="001779EA" w:rsidRDefault="0079059D" w:rsidP="00247EDC">
            <w:pPr>
              <w:pStyle w:val="TableText0"/>
              <w:jc w:val="center"/>
            </w:pPr>
            <w:r w:rsidRPr="001779EA">
              <w:rPr>
                <w:rStyle w:val="Small"/>
                <w:szCs w:val="20"/>
              </w:rPr>
              <w:t>Fulvestrant 500mg</w:t>
            </w:r>
            <w:r w:rsidRPr="001779EA">
              <w:t>: 13.82 (0-36.8)</w:t>
            </w:r>
          </w:p>
          <w:p w:rsidR="0079059D" w:rsidRPr="001779EA" w:rsidRDefault="00526723" w:rsidP="00247EDC">
            <w:pPr>
              <w:pStyle w:val="TableText0"/>
              <w:jc w:val="center"/>
            </w:pPr>
            <w:r w:rsidRPr="001779EA">
              <w:t>Anastrozole: 13.24 (</w:t>
            </w:r>
            <w:r w:rsidR="0079059D" w:rsidRPr="001779EA">
              <w:t>0-36.0)</w:t>
            </w:r>
          </w:p>
        </w:tc>
        <w:tc>
          <w:tcPr>
            <w:tcW w:w="418" w:type="pct"/>
            <w:shd w:val="clear" w:color="auto" w:fill="auto"/>
            <w:vAlign w:val="center"/>
          </w:tcPr>
          <w:p w:rsidR="0079059D" w:rsidRPr="001779EA" w:rsidRDefault="0079059D" w:rsidP="00247EDC">
            <w:pPr>
              <w:pStyle w:val="TableText0"/>
              <w:jc w:val="center"/>
            </w:pPr>
            <w:r w:rsidRPr="001779EA">
              <w:rPr>
                <w:iCs/>
              </w:rPr>
              <w:t>Low</w:t>
            </w:r>
          </w:p>
        </w:tc>
        <w:tc>
          <w:tcPr>
            <w:tcW w:w="813" w:type="pct"/>
            <w:shd w:val="clear" w:color="auto" w:fill="auto"/>
            <w:vAlign w:val="center"/>
          </w:tcPr>
          <w:p w:rsidR="0079059D" w:rsidRPr="001779EA" w:rsidRDefault="0079059D" w:rsidP="00247EDC">
            <w:pPr>
              <w:pStyle w:val="TableText0"/>
              <w:jc w:val="center"/>
            </w:pPr>
            <w:r w:rsidRPr="001779EA">
              <w:t>Treatment naïve</w:t>
            </w:r>
          </w:p>
        </w:tc>
        <w:tc>
          <w:tcPr>
            <w:tcW w:w="525" w:type="pct"/>
            <w:shd w:val="clear" w:color="auto" w:fill="auto"/>
            <w:vAlign w:val="center"/>
          </w:tcPr>
          <w:p w:rsidR="0079059D" w:rsidRPr="001779EA" w:rsidRDefault="0079059D" w:rsidP="00247EDC">
            <w:pPr>
              <w:pStyle w:val="TableText0"/>
            </w:pPr>
            <w:r w:rsidRPr="001779EA">
              <w:t>PFS, OS, CBR</w:t>
            </w:r>
          </w:p>
        </w:tc>
        <w:tc>
          <w:tcPr>
            <w:tcW w:w="599" w:type="pct"/>
          </w:tcPr>
          <w:p w:rsidR="0079059D" w:rsidRPr="001779EA" w:rsidRDefault="0079059D" w:rsidP="00247EDC">
            <w:pPr>
              <w:pStyle w:val="TableText0"/>
            </w:pPr>
          </w:p>
          <w:p w:rsidR="0079059D" w:rsidRPr="001779EA" w:rsidRDefault="0079059D" w:rsidP="00247EDC">
            <w:pPr>
              <w:pStyle w:val="TableText0"/>
              <w:rPr>
                <w:iCs/>
              </w:rPr>
            </w:pPr>
            <w:r w:rsidRPr="001779EA">
              <w:rPr>
                <w:iCs/>
              </w:rPr>
              <w:t>Used for PFS, OS and safety</w:t>
            </w:r>
          </w:p>
          <w:p w:rsidR="0079059D" w:rsidRPr="001779EA" w:rsidRDefault="0079059D" w:rsidP="00247EDC">
            <w:pPr>
              <w:pStyle w:val="TableText0"/>
              <w:rPr>
                <w:iCs/>
              </w:rPr>
            </w:pPr>
          </w:p>
        </w:tc>
      </w:tr>
      <w:tr w:rsidR="0079059D" w:rsidRPr="001779EA" w:rsidTr="000074B7">
        <w:tc>
          <w:tcPr>
            <w:tcW w:w="400" w:type="pct"/>
            <w:shd w:val="clear" w:color="auto" w:fill="auto"/>
            <w:vAlign w:val="center"/>
          </w:tcPr>
          <w:p w:rsidR="0079059D" w:rsidRPr="001779EA" w:rsidRDefault="0079059D" w:rsidP="00247EDC">
            <w:pPr>
              <w:pStyle w:val="TableText0"/>
            </w:pPr>
            <w:r w:rsidRPr="001779EA">
              <w:t>FIRST</w:t>
            </w:r>
          </w:p>
        </w:tc>
        <w:tc>
          <w:tcPr>
            <w:tcW w:w="1091" w:type="pct"/>
            <w:shd w:val="clear" w:color="auto" w:fill="auto"/>
            <w:vAlign w:val="center"/>
          </w:tcPr>
          <w:p w:rsidR="0079059D" w:rsidRPr="001779EA" w:rsidRDefault="0079059D" w:rsidP="00247EDC">
            <w:pPr>
              <w:pStyle w:val="TableText0"/>
              <w:jc w:val="center"/>
            </w:pPr>
            <w:r w:rsidRPr="001779EA">
              <w:t xml:space="preserve">Fulvestrant 500mg: 102 </w:t>
            </w:r>
          </w:p>
          <w:p w:rsidR="0079059D" w:rsidRPr="001779EA" w:rsidRDefault="0079059D" w:rsidP="00247EDC">
            <w:pPr>
              <w:pStyle w:val="TableText0"/>
              <w:jc w:val="center"/>
            </w:pPr>
            <w:r w:rsidRPr="001779EA">
              <w:t>Anastrozole: 103</w:t>
            </w:r>
          </w:p>
        </w:tc>
        <w:tc>
          <w:tcPr>
            <w:tcW w:w="1153" w:type="pct"/>
            <w:shd w:val="clear" w:color="auto" w:fill="auto"/>
            <w:vAlign w:val="center"/>
          </w:tcPr>
          <w:p w:rsidR="0079059D" w:rsidRPr="001779EA" w:rsidRDefault="0079059D" w:rsidP="00247EDC">
            <w:pPr>
              <w:pStyle w:val="TableText0"/>
              <w:jc w:val="center"/>
            </w:pPr>
            <w:r w:rsidRPr="001779EA">
              <w:t>R, OL</w:t>
            </w:r>
          </w:p>
          <w:p w:rsidR="0079059D" w:rsidRPr="001779EA" w:rsidRDefault="0079059D" w:rsidP="00247EDC">
            <w:pPr>
              <w:pStyle w:val="TableText0"/>
              <w:jc w:val="center"/>
              <w:rPr>
                <w:lang w:eastAsia="zh-CN"/>
              </w:rPr>
            </w:pPr>
            <w:r w:rsidRPr="001779EA">
              <w:rPr>
                <w:lang w:eastAsia="zh-CN"/>
              </w:rPr>
              <w:t xml:space="preserve">Fulvestrant 500mg: </w:t>
            </w:r>
            <w:r w:rsidR="00177DD0" w:rsidRPr="001779EA">
              <w:rPr>
                <w:lang w:eastAsia="zh-CN"/>
              </w:rPr>
              <w:t>NR</w:t>
            </w:r>
          </w:p>
          <w:p w:rsidR="0079059D" w:rsidRPr="001779EA" w:rsidRDefault="0079059D" w:rsidP="00177DD0">
            <w:pPr>
              <w:pStyle w:val="TableText0"/>
              <w:jc w:val="center"/>
            </w:pPr>
            <w:r w:rsidRPr="001779EA">
              <w:rPr>
                <w:lang w:eastAsia="zh-CN"/>
              </w:rPr>
              <w:t xml:space="preserve">Anastrozole: </w:t>
            </w:r>
            <w:r w:rsidR="00177DD0" w:rsidRPr="001779EA">
              <w:rPr>
                <w:lang w:eastAsia="zh-CN"/>
              </w:rPr>
              <w:t>NR</w:t>
            </w:r>
          </w:p>
        </w:tc>
        <w:tc>
          <w:tcPr>
            <w:tcW w:w="418" w:type="pct"/>
            <w:shd w:val="clear" w:color="auto" w:fill="auto"/>
            <w:vAlign w:val="center"/>
          </w:tcPr>
          <w:p w:rsidR="0079059D" w:rsidRPr="001779EA" w:rsidRDefault="0079059D" w:rsidP="00247EDC">
            <w:pPr>
              <w:pStyle w:val="TableText0"/>
              <w:jc w:val="center"/>
            </w:pPr>
            <w:r w:rsidRPr="001779EA">
              <w:t>High</w:t>
            </w:r>
          </w:p>
        </w:tc>
        <w:tc>
          <w:tcPr>
            <w:tcW w:w="813" w:type="pct"/>
            <w:shd w:val="clear" w:color="auto" w:fill="auto"/>
            <w:vAlign w:val="center"/>
          </w:tcPr>
          <w:p w:rsidR="0079059D" w:rsidRPr="001779EA" w:rsidRDefault="0079059D" w:rsidP="007D6724">
            <w:pPr>
              <w:pStyle w:val="TableText0"/>
              <w:jc w:val="center"/>
              <w:rPr>
                <w:vertAlign w:val="superscript"/>
              </w:rPr>
            </w:pPr>
            <w:r w:rsidRPr="001779EA">
              <w:t>Treatment naïve</w:t>
            </w:r>
            <w:r w:rsidR="002C343C" w:rsidRPr="001779EA">
              <w:t xml:space="preserve"> </w:t>
            </w:r>
            <w:r w:rsidR="007D6724" w:rsidRPr="001779EA">
              <w:t xml:space="preserve">in the locally advanced or metastatic setting </w:t>
            </w:r>
            <w:r w:rsidR="007D6724" w:rsidRPr="001779EA">
              <w:rPr>
                <w:vertAlign w:val="superscript"/>
              </w:rPr>
              <w:t>a</w:t>
            </w:r>
          </w:p>
        </w:tc>
        <w:tc>
          <w:tcPr>
            <w:tcW w:w="525" w:type="pct"/>
            <w:shd w:val="clear" w:color="auto" w:fill="auto"/>
            <w:vAlign w:val="center"/>
          </w:tcPr>
          <w:p w:rsidR="0079059D" w:rsidRPr="001779EA" w:rsidRDefault="0079059D" w:rsidP="00247EDC">
            <w:pPr>
              <w:pStyle w:val="TableText0"/>
            </w:pPr>
            <w:r w:rsidRPr="001779EA">
              <w:t>TTP, OS, CBR</w:t>
            </w:r>
          </w:p>
        </w:tc>
        <w:tc>
          <w:tcPr>
            <w:tcW w:w="599" w:type="pct"/>
          </w:tcPr>
          <w:p w:rsidR="0079059D" w:rsidRPr="001779EA" w:rsidRDefault="0079059D" w:rsidP="007D6724">
            <w:pPr>
              <w:pStyle w:val="TableText0"/>
              <w:rPr>
                <w:vertAlign w:val="superscript"/>
              </w:rPr>
            </w:pPr>
            <w:r w:rsidRPr="001779EA">
              <w:rPr>
                <w:iCs/>
              </w:rPr>
              <w:t>Used for PFS, OS</w:t>
            </w:r>
            <w:r w:rsidR="007D6724" w:rsidRPr="001779EA">
              <w:rPr>
                <w:iCs/>
              </w:rPr>
              <w:t xml:space="preserve"> (base case: treatment naïve subg</w:t>
            </w:r>
            <w:r w:rsidR="00F524B7" w:rsidRPr="001779EA">
              <w:rPr>
                <w:iCs/>
              </w:rPr>
              <w:t>rou</w:t>
            </w:r>
            <w:r w:rsidR="007D6724" w:rsidRPr="001779EA">
              <w:rPr>
                <w:iCs/>
              </w:rPr>
              <w:t>p)</w:t>
            </w:r>
            <w:r w:rsidR="007D6724" w:rsidRPr="001779EA">
              <w:rPr>
                <w:iCs/>
                <w:vertAlign w:val="superscript"/>
              </w:rPr>
              <w:t>b</w:t>
            </w:r>
          </w:p>
        </w:tc>
      </w:tr>
    </w:tbl>
    <w:p w:rsidR="008C4127" w:rsidRPr="001779EA" w:rsidRDefault="0079059D" w:rsidP="00247EDC">
      <w:pPr>
        <w:pStyle w:val="TableFigureFooter"/>
        <w:rPr>
          <w:rFonts w:eastAsiaTheme="minorHAnsi"/>
        </w:rPr>
      </w:pPr>
      <w:r w:rsidRPr="001779EA">
        <w:rPr>
          <w:rFonts w:eastAsiaTheme="minorHAnsi"/>
        </w:rPr>
        <w:t>CBR: Clinical Benefit Rate, DB: Double blind, OS: Overall survival, PFS: Progression free survival, R: Randomised, TTP: time to progression</w:t>
      </w:r>
    </w:p>
    <w:p w:rsidR="007D6724" w:rsidRPr="001779EA" w:rsidRDefault="007D6724" w:rsidP="00247EDC">
      <w:pPr>
        <w:pStyle w:val="TableFigureFooter"/>
        <w:rPr>
          <w:rFonts w:eastAsiaTheme="minorHAnsi"/>
        </w:rPr>
      </w:pPr>
      <w:r w:rsidRPr="001779EA">
        <w:rPr>
          <w:rFonts w:eastAsiaTheme="minorHAnsi"/>
          <w:vertAlign w:val="superscript"/>
        </w:rPr>
        <w:t>a</w:t>
      </w:r>
      <w:r w:rsidR="008C4127" w:rsidRPr="001779EA">
        <w:rPr>
          <w:rFonts w:eastAsiaTheme="minorHAnsi"/>
        </w:rPr>
        <w:t xml:space="preserve"> </w:t>
      </w:r>
      <w:r w:rsidRPr="001779EA">
        <w:rPr>
          <w:rFonts w:eastAsiaTheme="minorHAnsi"/>
        </w:rPr>
        <w:t xml:space="preserve">FIRST also recruited patients who had received previous endocrine therapy for early disease completed more than 12 months before randomisation. </w:t>
      </w:r>
    </w:p>
    <w:p w:rsidR="0079059D" w:rsidRPr="001779EA" w:rsidRDefault="007D6724" w:rsidP="00247EDC">
      <w:pPr>
        <w:pStyle w:val="TableFigureFooter"/>
        <w:rPr>
          <w:rFonts w:eastAsiaTheme="minorHAnsi"/>
        </w:rPr>
      </w:pPr>
      <w:r w:rsidRPr="001779EA">
        <w:rPr>
          <w:rFonts w:eastAsiaTheme="minorHAnsi"/>
          <w:vertAlign w:val="superscript"/>
        </w:rPr>
        <w:t xml:space="preserve">b </w:t>
      </w:r>
      <w:r w:rsidR="008C4127" w:rsidRPr="001779EA">
        <w:t xml:space="preserve">In the </w:t>
      </w:r>
      <w:r w:rsidR="00C54DCC" w:rsidRPr="001779EA">
        <w:t xml:space="preserve">model </w:t>
      </w:r>
      <w:r w:rsidR="008C4127" w:rsidRPr="001779EA">
        <w:t xml:space="preserve">base case, </w:t>
      </w:r>
      <w:r w:rsidR="00E1614A" w:rsidRPr="001779EA">
        <w:t>the PFS and OS data from FIRST wa</w:t>
      </w:r>
      <w:r w:rsidR="008C4127" w:rsidRPr="001779EA">
        <w:t>s based on a subgroup who were treatment naïve to endocrine therapy.</w:t>
      </w:r>
      <w:r w:rsidR="003A5FB1" w:rsidRPr="001779EA">
        <w:t xml:space="preserve"> </w:t>
      </w:r>
    </w:p>
    <w:p w:rsidR="0079059D" w:rsidRPr="001779EA" w:rsidRDefault="0079059D" w:rsidP="00247EDC">
      <w:pPr>
        <w:pStyle w:val="TableFigureFooter"/>
        <w:rPr>
          <w:rFonts w:eastAsiaTheme="minorHAnsi"/>
        </w:rPr>
      </w:pPr>
      <w:r w:rsidRPr="001779EA">
        <w:rPr>
          <w:rFonts w:eastAsiaTheme="minorHAnsi"/>
        </w:rPr>
        <w:t xml:space="preserve">Source: Compiled during the evaluation based on </w:t>
      </w:r>
      <w:r w:rsidRPr="001779EA">
        <w:rPr>
          <w:rFonts w:eastAsiaTheme="minorHAnsi"/>
          <w:snapToGrid/>
        </w:rPr>
        <w:t>Table 13, p69 of the FALCON CSR, Table 4, p17 of the FIRST CSR addendum, Tables 2.4, 2.5, 2.8, pp39-51 of the submission</w:t>
      </w:r>
    </w:p>
    <w:p w:rsidR="00335CF0" w:rsidRPr="001779EA" w:rsidRDefault="0079059D" w:rsidP="00247EDC">
      <w:pPr>
        <w:pStyle w:val="3-BodyText"/>
      </w:pPr>
      <w:r w:rsidRPr="001779EA">
        <w:t>The overall risk of bias was low in FALCON. The risk of bias was high in FIRST because it was open-label.</w:t>
      </w:r>
      <w:r w:rsidR="00247EDC" w:rsidRPr="001779EA">
        <w:t xml:space="preserve"> </w:t>
      </w:r>
    </w:p>
    <w:p w:rsidR="00335CF0" w:rsidRPr="001779EA" w:rsidRDefault="0079059D" w:rsidP="00247EDC">
      <w:pPr>
        <w:pStyle w:val="3-BodyText"/>
      </w:pPr>
      <w:r w:rsidRPr="001779EA">
        <w:t xml:space="preserve">The patient characteristics differed between the trials and the proposed PBS population in the following important aspects: </w:t>
      </w:r>
    </w:p>
    <w:p w:rsidR="0079059D" w:rsidRPr="001779EA" w:rsidRDefault="0079059D" w:rsidP="006B4C63">
      <w:pPr>
        <w:pStyle w:val="Bulletpoints"/>
        <w:ind w:left="1134" w:hanging="357"/>
        <w:contextualSpacing w:val="0"/>
        <w:rPr>
          <w:i/>
        </w:rPr>
      </w:pPr>
      <w:r w:rsidRPr="001779EA">
        <w:t xml:space="preserve">The proposed PBS restriction is for HER2- patients. </w:t>
      </w:r>
      <w:r w:rsidR="00332C88" w:rsidRPr="001779EA">
        <w:t xml:space="preserve">While </w:t>
      </w:r>
      <w:r w:rsidRPr="001779EA">
        <w:t xml:space="preserve">FALCON </w:t>
      </w:r>
      <w:r w:rsidR="00332C88" w:rsidRPr="001779EA">
        <w:t xml:space="preserve">only enrolled HER2- patients, </w:t>
      </w:r>
      <w:r w:rsidRPr="001779EA">
        <w:t xml:space="preserve">FIRST included patients with HER2+ (18.6%) and </w:t>
      </w:r>
      <w:r w:rsidR="00C4794D" w:rsidRPr="001779EA">
        <w:t>unknown HER2 status</w:t>
      </w:r>
      <w:r w:rsidRPr="001779EA">
        <w:t xml:space="preserve"> (34.3%), alongside HER2- (47.1%). </w:t>
      </w:r>
      <w:r w:rsidR="001433F1" w:rsidRPr="001779EA">
        <w:t>T</w:t>
      </w:r>
      <w:r w:rsidR="00E47420" w:rsidRPr="001779EA">
        <w:t xml:space="preserve">his </w:t>
      </w:r>
      <w:r w:rsidR="00F87A36" w:rsidRPr="001779EA">
        <w:t>may reduce the applicability of the</w:t>
      </w:r>
      <w:r w:rsidR="00E47420" w:rsidRPr="001779EA">
        <w:t xml:space="preserve"> </w:t>
      </w:r>
      <w:r w:rsidR="00E667A3" w:rsidRPr="001779EA">
        <w:t xml:space="preserve">results from FIRST and the </w:t>
      </w:r>
      <w:r w:rsidR="00E47420" w:rsidRPr="001779EA">
        <w:t>pooled results</w:t>
      </w:r>
      <w:r w:rsidR="00E667A3" w:rsidRPr="001779EA">
        <w:t xml:space="preserve"> from both trials</w:t>
      </w:r>
      <w:r w:rsidR="001433F1" w:rsidRPr="001779EA">
        <w:rPr>
          <w:color w:val="000000"/>
          <w:shd w:val="clear" w:color="auto" w:fill="FFFFFF"/>
        </w:rPr>
        <w:t>.</w:t>
      </w:r>
      <w:r w:rsidR="00247EDC" w:rsidRPr="001779EA">
        <w:t xml:space="preserve"> </w:t>
      </w:r>
      <w:r w:rsidR="00866A16" w:rsidRPr="001779EA">
        <w:t>The P</w:t>
      </w:r>
      <w:r w:rsidR="00D41339" w:rsidRPr="001779EA">
        <w:t>re-</w:t>
      </w:r>
      <w:r w:rsidR="00866A16" w:rsidRPr="001779EA">
        <w:t>S</w:t>
      </w:r>
      <w:r w:rsidR="00D41339" w:rsidRPr="001779EA">
        <w:t>ub-Committee Response (PSCR</w:t>
      </w:r>
      <w:r w:rsidR="00866A16" w:rsidRPr="001779EA">
        <w:t xml:space="preserve">) argued that the Arimidex, Tamoxifen, Alone or in Combination (ATAC) trial (Dowsett 2008) has previously shown that HER2 status does not affect the relative difference in time to recurrence between tamoxifen and anastrozole. The ESC </w:t>
      </w:r>
      <w:r w:rsidR="006E05D9" w:rsidRPr="001779EA">
        <w:t xml:space="preserve">considered that the claim that HER2 status would not impact treatment effect was inadequately supported. </w:t>
      </w:r>
      <w:r w:rsidR="003E1307" w:rsidRPr="001779EA">
        <w:t xml:space="preserve">The ESC noted that in clinical practice, HER2+ patients would receive HER2-directed therapies. </w:t>
      </w:r>
      <w:r w:rsidR="006E05D9" w:rsidRPr="001779EA">
        <w:t>The ESC considered HER2 status is likely to be a strong predictor of effect and the differences between the FALCON and FIRST trials may be the result of this difference in the patient populations.</w:t>
      </w:r>
      <w:r w:rsidR="007D6A87" w:rsidRPr="001779EA">
        <w:t xml:space="preserve"> </w:t>
      </w:r>
    </w:p>
    <w:p w:rsidR="0079059D" w:rsidRPr="001779EA" w:rsidRDefault="006B4C63" w:rsidP="006B4C63">
      <w:pPr>
        <w:pStyle w:val="Bulletpoints"/>
        <w:ind w:left="1134" w:hanging="357"/>
        <w:contextualSpacing w:val="0"/>
      </w:pPr>
      <w:r w:rsidRPr="001779EA">
        <w:lastRenderedPageBreak/>
        <w:t>In the Australian setting approximately one third of patients with metastatic breast cancer present with de novo metastatic disease</w:t>
      </w:r>
      <w:r w:rsidR="00155148" w:rsidRPr="001779EA">
        <w:rPr>
          <w:rStyle w:val="FootnoteReference"/>
        </w:rPr>
        <w:footnoteReference w:id="3"/>
      </w:r>
      <w:r w:rsidRPr="001779EA">
        <w:t>. The remainder of patients are likely to have been treated</w:t>
      </w:r>
      <w:r w:rsidR="00155148" w:rsidRPr="001779EA">
        <w:t xml:space="preserve"> with hormonal therapy</w:t>
      </w:r>
      <w:r w:rsidRPr="001779EA">
        <w:t xml:space="preserve"> in the early disease setting. Whilst previous hormonal therapy in the early disease setting was permitted in the FIRST study, this was not allowed in the larger FALCON study. </w:t>
      </w:r>
      <w:r w:rsidR="005C3D13" w:rsidRPr="001779EA">
        <w:t>Therefore, the submission provided very little clinical evidence for most patients who would be eligible for fulvestrant in Australia.</w:t>
      </w:r>
      <w:r w:rsidR="005C3D13" w:rsidRPr="001779EA" w:rsidDel="008B2BA7">
        <w:t xml:space="preserve"> </w:t>
      </w:r>
    </w:p>
    <w:p w:rsidR="007D6A87" w:rsidRPr="001779EA" w:rsidRDefault="006C18E0" w:rsidP="006B4C63">
      <w:pPr>
        <w:pStyle w:val="Bulletpoints"/>
        <w:ind w:left="1134" w:hanging="357"/>
        <w:contextualSpacing w:val="0"/>
      </w:pPr>
      <w:r w:rsidRPr="001779EA">
        <w:t>The PBAC noted that p</w:t>
      </w:r>
      <w:r w:rsidR="007D6A87" w:rsidRPr="001779EA">
        <w:t>atients with visceral disease are less likely to be treated with fulvestrant (or any endocrine treatment) and more likely to be treated with chemotherapy</w:t>
      </w:r>
      <w:r w:rsidRPr="001779EA">
        <w:t>, but these patients were included in both FALCON and FIRST trials</w:t>
      </w:r>
      <w:r w:rsidR="007D6A87" w:rsidRPr="001779EA">
        <w:t xml:space="preserve">. </w:t>
      </w:r>
    </w:p>
    <w:p w:rsidR="0079059D" w:rsidRPr="001779EA" w:rsidRDefault="0079059D" w:rsidP="00247EDC">
      <w:pPr>
        <w:pStyle w:val="3-BodyText"/>
      </w:pPr>
      <w:r w:rsidRPr="001779EA">
        <w:rPr>
          <w:iCs/>
        </w:rPr>
        <w:t>The submission did not discuss the impact of subsequent lines of treatment on OS in either trial.</w:t>
      </w:r>
      <w:r w:rsidRPr="001779EA">
        <w:t xml:space="preserve"> </w:t>
      </w:r>
      <w:r w:rsidR="002F5F2E" w:rsidRPr="001779EA">
        <w:t>In FALCON the proportion of patients receiving subsequent lines of treatment were balanced between treatment arms and the comparat</w:t>
      </w:r>
      <w:r w:rsidR="00E1614A" w:rsidRPr="001779EA">
        <w:t>ive OS was</w:t>
      </w:r>
      <w:r w:rsidR="002F5F2E" w:rsidRPr="001779EA">
        <w:t xml:space="preserve"> unlikely to be biased. However, in FIRST</w:t>
      </w:r>
      <w:r w:rsidRPr="001779EA">
        <w:t>,</w:t>
      </w:r>
      <w:r w:rsidR="00F007C5" w:rsidRPr="001779EA">
        <w:t xml:space="preserve"> </w:t>
      </w:r>
      <w:r w:rsidRPr="001779EA">
        <w:t xml:space="preserve">5% and 10% of patients received subsequent lines of treatment in the fulvestrant and anastrozole arms, respectively (Table 22, p87 FIRST CSR). </w:t>
      </w:r>
      <w:r w:rsidR="002F5F2E" w:rsidRPr="001779EA">
        <w:t>The</w:t>
      </w:r>
      <w:r w:rsidRPr="001779EA">
        <w:t xml:space="preserve"> CSR noted that the data w</w:t>
      </w:r>
      <w:r w:rsidR="009173CE" w:rsidRPr="001779EA">
        <w:t>ere</w:t>
      </w:r>
      <w:r w:rsidRPr="001779EA">
        <w:t xml:space="preserve"> immature at the time of reporting and did not warrant full analysis. Thus, there is the potential for imbalance in subsequent treatments in FIRST, and hence the potential for bias in OS. </w:t>
      </w:r>
    </w:p>
    <w:p w:rsidR="0079059D" w:rsidRPr="001779EA" w:rsidRDefault="0079059D" w:rsidP="00247EDC">
      <w:pPr>
        <w:pStyle w:val="Heading2"/>
        <w:keepNext/>
        <w:keepLines/>
        <w:rPr>
          <w:b w:val="0"/>
        </w:rPr>
      </w:pPr>
      <w:bookmarkStart w:id="29" w:name="_Toc40935315"/>
      <w:r w:rsidRPr="001779EA">
        <w:t>Comparative effectiveness (</w:t>
      </w:r>
      <w:r w:rsidR="00CC0BBD" w:rsidRPr="001779EA">
        <w:t>first</w:t>
      </w:r>
      <w:r w:rsidRPr="001779EA">
        <w:t>-line)</w:t>
      </w:r>
      <w:bookmarkEnd w:id="29"/>
    </w:p>
    <w:p w:rsidR="0079059D" w:rsidRPr="001779EA" w:rsidRDefault="0079059D" w:rsidP="00247EDC">
      <w:pPr>
        <w:pStyle w:val="3-BodyText"/>
        <w:keepNext/>
        <w:keepLines/>
        <w:rPr>
          <w:i/>
        </w:rPr>
      </w:pPr>
      <w:r w:rsidRPr="001779EA">
        <w:t>Results based on a fixed-effects meta-analysis of PFS and OS from FALCON an</w:t>
      </w:r>
      <w:r w:rsidR="0070032E" w:rsidRPr="001779EA">
        <w:t>d FIRST are presented in Table 4</w:t>
      </w:r>
      <w:r w:rsidRPr="001779EA">
        <w:t xml:space="preserve">. </w:t>
      </w:r>
    </w:p>
    <w:p w:rsidR="0079059D" w:rsidRPr="001779EA" w:rsidRDefault="0079059D" w:rsidP="00247EDC">
      <w:pPr>
        <w:pStyle w:val="3-BodyText"/>
        <w:rPr>
          <w:color w:val="000000" w:themeColor="text1"/>
        </w:rPr>
      </w:pPr>
      <w:r w:rsidRPr="001779EA">
        <w:rPr>
          <w:color w:val="000000" w:themeColor="text1"/>
        </w:rPr>
        <w:t xml:space="preserve">Corresponding Kaplan-Meier plots are shown in Figures 2 to 4. The submission stated that the Kaplan-Meier </w:t>
      </w:r>
      <w:r w:rsidR="00F87A36" w:rsidRPr="001779EA">
        <w:rPr>
          <w:color w:val="000000" w:themeColor="text1"/>
        </w:rPr>
        <w:t xml:space="preserve">OS </w:t>
      </w:r>
      <w:r w:rsidRPr="001779EA">
        <w:rPr>
          <w:color w:val="000000" w:themeColor="text1"/>
        </w:rPr>
        <w:t xml:space="preserve">plot for </w:t>
      </w:r>
      <w:r w:rsidRPr="001779EA">
        <w:t>FALCON was not available due to immature OS data.</w:t>
      </w:r>
      <w:r w:rsidR="001433F1" w:rsidRPr="001779EA">
        <w:t xml:space="preserve"> </w:t>
      </w:r>
    </w:p>
    <w:p w:rsidR="0079059D" w:rsidRPr="001779EA" w:rsidRDefault="00DB33EF" w:rsidP="00247EDC">
      <w:pPr>
        <w:pStyle w:val="3-BodyText"/>
        <w:rPr>
          <w:iCs/>
          <w:color w:val="000000" w:themeColor="text1"/>
        </w:rPr>
      </w:pPr>
      <w:r w:rsidRPr="001779EA">
        <w:rPr>
          <w:color w:val="000000" w:themeColor="text1"/>
        </w:rPr>
        <w:t>In the pooled analysis, t</w:t>
      </w:r>
      <w:r w:rsidR="0079059D" w:rsidRPr="001779EA">
        <w:rPr>
          <w:color w:val="000000" w:themeColor="text1"/>
        </w:rPr>
        <w:t xml:space="preserve">he submission used the statistically significant OS hazard ratio from FIRST 0.70 (95% confidence interval </w:t>
      </w:r>
      <w:r w:rsidR="009173CE" w:rsidRPr="001779EA">
        <w:rPr>
          <w:color w:val="000000" w:themeColor="text1"/>
        </w:rPr>
        <w:t xml:space="preserve">(CI): </w:t>
      </w:r>
      <w:r w:rsidR="0079059D" w:rsidRPr="001779EA">
        <w:rPr>
          <w:color w:val="000000" w:themeColor="text1"/>
        </w:rPr>
        <w:t xml:space="preserve">0.50, 0.98), which was not </w:t>
      </w:r>
      <w:r w:rsidR="001433F1" w:rsidRPr="001779EA">
        <w:rPr>
          <w:color w:val="000000" w:themeColor="text1"/>
        </w:rPr>
        <w:t xml:space="preserve">adjusted </w:t>
      </w:r>
      <w:r w:rsidR="0079059D" w:rsidRPr="001779EA">
        <w:rPr>
          <w:color w:val="000000" w:themeColor="text1"/>
        </w:rPr>
        <w:t xml:space="preserve">for baseline characteristics. </w:t>
      </w:r>
      <w:r w:rsidR="005A6069" w:rsidRPr="001779EA">
        <w:t xml:space="preserve">In addition to the pre-specified primary analysis using a log-rank test, </w:t>
      </w:r>
      <w:r w:rsidR="005A6069" w:rsidRPr="001779EA">
        <w:rPr>
          <w:color w:val="000000" w:themeColor="text1"/>
        </w:rPr>
        <w:t>t</w:t>
      </w:r>
      <w:r w:rsidR="0079059D" w:rsidRPr="001779EA">
        <w:rPr>
          <w:color w:val="000000" w:themeColor="text1"/>
        </w:rPr>
        <w:t>he submission also presented a no</w:t>
      </w:r>
      <w:r w:rsidR="00AD2503" w:rsidRPr="001779EA">
        <w:rPr>
          <w:color w:val="000000" w:themeColor="text1"/>
        </w:rPr>
        <w:t>n-</w:t>
      </w:r>
      <w:r w:rsidR="0079059D" w:rsidRPr="001779EA">
        <w:rPr>
          <w:color w:val="000000" w:themeColor="text1"/>
        </w:rPr>
        <w:t>significant</w:t>
      </w:r>
      <w:r w:rsidR="00C04811" w:rsidRPr="001779EA">
        <w:rPr>
          <w:color w:val="000000" w:themeColor="text1"/>
        </w:rPr>
        <w:t xml:space="preserve"> and higher</w:t>
      </w:r>
      <w:r w:rsidR="0079059D" w:rsidRPr="001779EA">
        <w:rPr>
          <w:color w:val="000000" w:themeColor="text1"/>
        </w:rPr>
        <w:t xml:space="preserve"> hazard ratio of 0.76, (</w:t>
      </w:r>
      <w:r w:rsidR="009173CE" w:rsidRPr="001779EA">
        <w:rPr>
          <w:color w:val="000000" w:themeColor="text1"/>
        </w:rPr>
        <w:t xml:space="preserve">95% CI: </w:t>
      </w:r>
      <w:r w:rsidR="0079059D" w:rsidRPr="001779EA">
        <w:rPr>
          <w:color w:val="000000" w:themeColor="text1"/>
        </w:rPr>
        <w:t>0.54</w:t>
      </w:r>
      <w:r w:rsidR="003E50E8" w:rsidRPr="001779EA">
        <w:rPr>
          <w:color w:val="000000" w:themeColor="text1"/>
        </w:rPr>
        <w:t>,</w:t>
      </w:r>
      <w:r w:rsidR="0079059D" w:rsidRPr="001779EA">
        <w:rPr>
          <w:color w:val="000000" w:themeColor="text1"/>
        </w:rPr>
        <w:t xml:space="preserve"> 1.08),</w:t>
      </w:r>
      <w:r w:rsidR="00C04811" w:rsidRPr="001779EA">
        <w:rPr>
          <w:color w:val="000000" w:themeColor="text1"/>
        </w:rPr>
        <w:t xml:space="preserve"> p=0.126,</w:t>
      </w:r>
      <w:r w:rsidR="0079059D" w:rsidRPr="001779EA">
        <w:rPr>
          <w:color w:val="000000" w:themeColor="text1"/>
        </w:rPr>
        <w:t xml:space="preserve"> which was adjusted for baseline characteristics in a Cox proportional hazards model. </w:t>
      </w:r>
      <w:r w:rsidR="00BA2808" w:rsidRPr="001779EA">
        <w:rPr>
          <w:color w:val="000000" w:themeColor="text1"/>
        </w:rPr>
        <w:t xml:space="preserve">The commentary, ESC and PBAC considered that it would be </w:t>
      </w:r>
      <w:r w:rsidR="0079059D" w:rsidRPr="001779EA">
        <w:rPr>
          <w:iCs/>
          <w:color w:val="000000" w:themeColor="text1"/>
        </w:rPr>
        <w:t>more appropriate to use the adjusted hazard ratio.</w:t>
      </w:r>
    </w:p>
    <w:p w:rsidR="0079059D" w:rsidRPr="001779EA" w:rsidRDefault="0070032E" w:rsidP="00247EDC">
      <w:pPr>
        <w:pStyle w:val="TableFigureHeading"/>
      </w:pPr>
      <w:r w:rsidRPr="001779EA">
        <w:lastRenderedPageBreak/>
        <w:t>Table 4</w:t>
      </w:r>
      <w:r w:rsidR="0079059D" w:rsidRPr="001779EA">
        <w:t>: Results of PFS and OS for FALCON and FIRST</w:t>
      </w:r>
    </w:p>
    <w:tbl>
      <w:tblPr>
        <w:tblStyle w:val="AZTable"/>
        <w:tblW w:w="5000" w:type="pct"/>
        <w:tblLayout w:type="fixed"/>
        <w:tblLook w:val="04A0" w:firstRow="1" w:lastRow="0" w:firstColumn="1" w:lastColumn="0" w:noHBand="0" w:noVBand="1"/>
        <w:tblCaption w:val="Table 4: Results of PFS and OS for FALCON and FIRST"/>
      </w:tblPr>
      <w:tblGrid>
        <w:gridCol w:w="846"/>
        <w:gridCol w:w="833"/>
        <w:gridCol w:w="301"/>
        <w:gridCol w:w="1277"/>
        <w:gridCol w:w="283"/>
        <w:gridCol w:w="851"/>
        <w:gridCol w:w="945"/>
        <w:gridCol w:w="328"/>
        <w:gridCol w:w="994"/>
        <w:gridCol w:w="997"/>
        <w:gridCol w:w="1362"/>
      </w:tblGrid>
      <w:tr w:rsidR="00C32C21" w:rsidRPr="001779EA" w:rsidTr="00A628F6">
        <w:trPr>
          <w:cnfStyle w:val="100000000000" w:firstRow="1" w:lastRow="0" w:firstColumn="0" w:lastColumn="0" w:oddVBand="0" w:evenVBand="0" w:oddHBand="0" w:evenHBand="0" w:firstRowFirstColumn="0" w:firstRowLastColumn="0" w:lastRowFirstColumn="0" w:lastRowLastColumn="0"/>
          <w:tblHeader/>
        </w:trPr>
        <w:tc>
          <w:tcPr>
            <w:tcW w:w="469" w:type="pct"/>
            <w:tcBorders>
              <w:bottom w:val="nil"/>
            </w:tcBorders>
            <w:tcMar>
              <w:left w:w="28" w:type="dxa"/>
              <w:right w:w="28" w:type="dxa"/>
            </w:tcMar>
          </w:tcPr>
          <w:p w:rsidR="0079059D" w:rsidRPr="001779EA" w:rsidRDefault="0079059D" w:rsidP="00247EDC">
            <w:pPr>
              <w:pStyle w:val="TableHeading0"/>
              <w:rPr>
                <w:sz w:val="20"/>
              </w:rPr>
            </w:pPr>
          </w:p>
        </w:tc>
        <w:tc>
          <w:tcPr>
            <w:tcW w:w="1337" w:type="pct"/>
            <w:gridSpan w:val="3"/>
            <w:tcMar>
              <w:left w:w="28" w:type="dxa"/>
              <w:right w:w="28" w:type="dxa"/>
            </w:tcMar>
          </w:tcPr>
          <w:p w:rsidR="0079059D" w:rsidRPr="001779EA" w:rsidRDefault="0079059D" w:rsidP="00247EDC">
            <w:pPr>
              <w:pStyle w:val="TableHeading0"/>
              <w:rPr>
                <w:sz w:val="20"/>
              </w:rPr>
            </w:pPr>
            <w:r w:rsidRPr="001779EA">
              <w:rPr>
                <w:sz w:val="20"/>
              </w:rPr>
              <w:t>Fulvestrant</w:t>
            </w:r>
          </w:p>
        </w:tc>
        <w:tc>
          <w:tcPr>
            <w:tcW w:w="1335" w:type="pct"/>
            <w:gridSpan w:val="4"/>
            <w:tcMar>
              <w:left w:w="28" w:type="dxa"/>
              <w:right w:w="28" w:type="dxa"/>
            </w:tcMar>
          </w:tcPr>
          <w:p w:rsidR="0079059D" w:rsidRPr="001779EA" w:rsidRDefault="0079059D" w:rsidP="00247EDC">
            <w:pPr>
              <w:pStyle w:val="TableHeading0"/>
              <w:rPr>
                <w:sz w:val="20"/>
              </w:rPr>
            </w:pPr>
            <w:r w:rsidRPr="001779EA">
              <w:rPr>
                <w:sz w:val="20"/>
              </w:rPr>
              <w:t>Anastrozole</w:t>
            </w:r>
          </w:p>
        </w:tc>
        <w:tc>
          <w:tcPr>
            <w:tcW w:w="551" w:type="pct"/>
            <w:tcBorders>
              <w:bottom w:val="nil"/>
              <w:right w:val="single" w:sz="4" w:space="0" w:color="auto"/>
            </w:tcBorders>
            <w:tcMar>
              <w:left w:w="28" w:type="dxa"/>
              <w:right w:w="28" w:type="dxa"/>
            </w:tcMar>
          </w:tcPr>
          <w:p w:rsidR="0079059D" w:rsidRPr="001779EA" w:rsidRDefault="0079059D" w:rsidP="00247EDC">
            <w:pPr>
              <w:pStyle w:val="TableHeading0"/>
              <w:rPr>
                <w:sz w:val="20"/>
              </w:rPr>
            </w:pPr>
          </w:p>
        </w:tc>
        <w:tc>
          <w:tcPr>
            <w:tcW w:w="553" w:type="pct"/>
            <w:tcBorders>
              <w:left w:val="single" w:sz="4" w:space="0" w:color="auto"/>
              <w:bottom w:val="nil"/>
              <w:right w:val="single" w:sz="4" w:space="0" w:color="auto"/>
            </w:tcBorders>
            <w:tcMar>
              <w:left w:w="28" w:type="dxa"/>
              <w:right w:w="28" w:type="dxa"/>
            </w:tcMar>
          </w:tcPr>
          <w:p w:rsidR="0079059D" w:rsidRPr="001779EA" w:rsidRDefault="0079059D" w:rsidP="00247EDC">
            <w:pPr>
              <w:pStyle w:val="TableHeading0"/>
              <w:rPr>
                <w:sz w:val="20"/>
              </w:rPr>
            </w:pPr>
          </w:p>
        </w:tc>
        <w:tc>
          <w:tcPr>
            <w:tcW w:w="755" w:type="pct"/>
            <w:tcBorders>
              <w:left w:val="single" w:sz="4" w:space="0" w:color="auto"/>
              <w:bottom w:val="nil"/>
            </w:tcBorders>
            <w:tcMar>
              <w:left w:w="28" w:type="dxa"/>
              <w:right w:w="28" w:type="dxa"/>
            </w:tcMar>
          </w:tcPr>
          <w:p w:rsidR="0079059D" w:rsidRPr="001779EA" w:rsidRDefault="0079059D" w:rsidP="00247EDC">
            <w:pPr>
              <w:pStyle w:val="TableHeading0"/>
              <w:rPr>
                <w:sz w:val="20"/>
              </w:rPr>
            </w:pPr>
          </w:p>
        </w:tc>
      </w:tr>
      <w:tr w:rsidR="00C32C21" w:rsidRPr="001779EA" w:rsidTr="00A628F6">
        <w:trPr>
          <w:cnfStyle w:val="100000000000" w:firstRow="1" w:lastRow="0" w:firstColumn="0" w:lastColumn="0" w:oddVBand="0" w:evenVBand="0" w:oddHBand="0" w:evenHBand="0" w:firstRowFirstColumn="0" w:firstRowLastColumn="0" w:lastRowFirstColumn="0" w:lastRowLastColumn="0"/>
          <w:tblHeader/>
        </w:trPr>
        <w:tc>
          <w:tcPr>
            <w:tcW w:w="469" w:type="pct"/>
            <w:tcBorders>
              <w:top w:val="nil"/>
              <w:bottom w:val="single" w:sz="4" w:space="0" w:color="auto"/>
            </w:tcBorders>
            <w:tcMar>
              <w:left w:w="28" w:type="dxa"/>
              <w:right w:w="28" w:type="dxa"/>
            </w:tcMar>
            <w:hideMark/>
          </w:tcPr>
          <w:p w:rsidR="0079059D" w:rsidRPr="001779EA" w:rsidRDefault="0079059D" w:rsidP="00C32C21">
            <w:pPr>
              <w:pStyle w:val="TableHeading0"/>
              <w:spacing w:line="240" w:lineRule="auto"/>
              <w:jc w:val="left"/>
              <w:rPr>
                <w:sz w:val="20"/>
              </w:rPr>
            </w:pPr>
            <w:r w:rsidRPr="001779EA">
              <w:rPr>
                <w:sz w:val="20"/>
              </w:rPr>
              <w:t>Trial ID</w:t>
            </w:r>
          </w:p>
        </w:tc>
        <w:tc>
          <w:tcPr>
            <w:tcW w:w="629" w:type="pct"/>
            <w:gridSpan w:val="2"/>
            <w:tcBorders>
              <w:bottom w:val="single" w:sz="4" w:space="0" w:color="auto"/>
            </w:tcBorders>
            <w:tcMar>
              <w:left w:w="28" w:type="dxa"/>
              <w:right w:w="28" w:type="dxa"/>
            </w:tcMar>
          </w:tcPr>
          <w:p w:rsidR="0079059D" w:rsidRPr="001779EA" w:rsidRDefault="0079059D" w:rsidP="00C32C21">
            <w:pPr>
              <w:pStyle w:val="TableHeading0"/>
              <w:spacing w:line="240" w:lineRule="auto"/>
              <w:jc w:val="left"/>
              <w:rPr>
                <w:sz w:val="20"/>
              </w:rPr>
            </w:pPr>
            <w:r w:rsidRPr="001779EA">
              <w:rPr>
                <w:sz w:val="20"/>
              </w:rPr>
              <w:t>n/N (%)</w:t>
            </w:r>
          </w:p>
        </w:tc>
        <w:tc>
          <w:tcPr>
            <w:tcW w:w="708" w:type="pct"/>
            <w:tcBorders>
              <w:bottom w:val="single" w:sz="4" w:space="0" w:color="auto"/>
            </w:tcBorders>
            <w:tcMar>
              <w:left w:w="28" w:type="dxa"/>
              <w:right w:w="28" w:type="dxa"/>
            </w:tcMar>
          </w:tcPr>
          <w:p w:rsidR="0079059D" w:rsidRPr="001779EA" w:rsidRDefault="0079059D" w:rsidP="00C32C21">
            <w:pPr>
              <w:pStyle w:val="TableHeading0"/>
              <w:spacing w:line="240" w:lineRule="auto"/>
              <w:jc w:val="left"/>
              <w:rPr>
                <w:sz w:val="20"/>
              </w:rPr>
            </w:pPr>
            <w:r w:rsidRPr="001779EA">
              <w:rPr>
                <w:sz w:val="20"/>
              </w:rPr>
              <w:t>Median time to event</w:t>
            </w:r>
            <w:r w:rsidR="009173CE" w:rsidRPr="001779EA">
              <w:rPr>
                <w:sz w:val="20"/>
              </w:rPr>
              <w:t>, months</w:t>
            </w:r>
            <w:r w:rsidRPr="001779EA">
              <w:rPr>
                <w:sz w:val="20"/>
              </w:rPr>
              <w:t xml:space="preserve"> (95% CI)</w:t>
            </w:r>
          </w:p>
        </w:tc>
        <w:tc>
          <w:tcPr>
            <w:tcW w:w="629" w:type="pct"/>
            <w:gridSpan w:val="2"/>
            <w:tcBorders>
              <w:bottom w:val="single" w:sz="4" w:space="0" w:color="auto"/>
            </w:tcBorders>
            <w:tcMar>
              <w:left w:w="28" w:type="dxa"/>
              <w:right w:w="28" w:type="dxa"/>
            </w:tcMar>
          </w:tcPr>
          <w:p w:rsidR="0079059D" w:rsidRPr="001779EA" w:rsidRDefault="0079059D" w:rsidP="00C32C21">
            <w:pPr>
              <w:pStyle w:val="TableHeading0"/>
              <w:spacing w:line="240" w:lineRule="auto"/>
              <w:jc w:val="left"/>
              <w:rPr>
                <w:sz w:val="20"/>
              </w:rPr>
            </w:pPr>
            <w:r w:rsidRPr="001779EA">
              <w:rPr>
                <w:sz w:val="20"/>
              </w:rPr>
              <w:t>n/N (%)</w:t>
            </w:r>
          </w:p>
        </w:tc>
        <w:tc>
          <w:tcPr>
            <w:tcW w:w="706" w:type="pct"/>
            <w:gridSpan w:val="2"/>
            <w:tcBorders>
              <w:bottom w:val="single" w:sz="4" w:space="0" w:color="auto"/>
            </w:tcBorders>
            <w:tcMar>
              <w:left w:w="28" w:type="dxa"/>
              <w:right w:w="28" w:type="dxa"/>
            </w:tcMar>
          </w:tcPr>
          <w:p w:rsidR="0079059D" w:rsidRPr="001779EA" w:rsidRDefault="0079059D" w:rsidP="00C32C21">
            <w:pPr>
              <w:pStyle w:val="TableHeading0"/>
              <w:spacing w:line="240" w:lineRule="auto"/>
              <w:jc w:val="left"/>
              <w:rPr>
                <w:sz w:val="20"/>
              </w:rPr>
            </w:pPr>
            <w:r w:rsidRPr="001779EA">
              <w:rPr>
                <w:sz w:val="20"/>
              </w:rPr>
              <w:t>Median time to event</w:t>
            </w:r>
            <w:r w:rsidR="009173CE" w:rsidRPr="001779EA">
              <w:rPr>
                <w:sz w:val="20"/>
              </w:rPr>
              <w:t>, months</w:t>
            </w:r>
            <w:r w:rsidRPr="001779EA">
              <w:rPr>
                <w:sz w:val="20"/>
              </w:rPr>
              <w:t xml:space="preserve"> (95% CI)</w:t>
            </w:r>
          </w:p>
        </w:tc>
        <w:tc>
          <w:tcPr>
            <w:tcW w:w="551" w:type="pct"/>
            <w:tcBorders>
              <w:top w:val="nil"/>
              <w:bottom w:val="single" w:sz="4" w:space="0" w:color="auto"/>
              <w:right w:val="single" w:sz="4" w:space="0" w:color="auto"/>
            </w:tcBorders>
            <w:tcMar>
              <w:left w:w="28" w:type="dxa"/>
              <w:right w:w="28" w:type="dxa"/>
            </w:tcMar>
            <w:hideMark/>
          </w:tcPr>
          <w:p w:rsidR="0079059D" w:rsidRPr="001779EA" w:rsidRDefault="0079059D" w:rsidP="00C32C21">
            <w:pPr>
              <w:pStyle w:val="TableHeading0"/>
              <w:spacing w:line="240" w:lineRule="auto"/>
              <w:jc w:val="left"/>
              <w:rPr>
                <w:sz w:val="20"/>
              </w:rPr>
            </w:pPr>
            <w:r w:rsidRPr="001779EA">
              <w:rPr>
                <w:sz w:val="20"/>
              </w:rPr>
              <w:t>Difference in median</w:t>
            </w:r>
            <w:r w:rsidR="009173CE" w:rsidRPr="001779EA">
              <w:rPr>
                <w:sz w:val="20"/>
              </w:rPr>
              <w:t>, months</w:t>
            </w:r>
          </w:p>
        </w:tc>
        <w:tc>
          <w:tcPr>
            <w:tcW w:w="553" w:type="pct"/>
            <w:tcBorders>
              <w:top w:val="nil"/>
              <w:left w:val="single" w:sz="4" w:space="0" w:color="auto"/>
              <w:bottom w:val="single" w:sz="4" w:space="0" w:color="auto"/>
              <w:right w:val="single" w:sz="4" w:space="0" w:color="auto"/>
            </w:tcBorders>
            <w:tcMar>
              <w:left w:w="28" w:type="dxa"/>
              <w:right w:w="28" w:type="dxa"/>
            </w:tcMar>
            <w:hideMark/>
          </w:tcPr>
          <w:p w:rsidR="0079059D" w:rsidRPr="001779EA" w:rsidRDefault="0079059D" w:rsidP="00C32C21">
            <w:pPr>
              <w:pStyle w:val="TableHeading0"/>
              <w:spacing w:line="240" w:lineRule="auto"/>
              <w:jc w:val="left"/>
              <w:rPr>
                <w:sz w:val="20"/>
              </w:rPr>
            </w:pPr>
            <w:r w:rsidRPr="001779EA">
              <w:rPr>
                <w:sz w:val="20"/>
              </w:rPr>
              <w:t>P value (log-rank test)</w:t>
            </w:r>
          </w:p>
        </w:tc>
        <w:tc>
          <w:tcPr>
            <w:tcW w:w="755" w:type="pct"/>
            <w:tcBorders>
              <w:top w:val="nil"/>
              <w:left w:val="single" w:sz="4" w:space="0" w:color="auto"/>
              <w:bottom w:val="single" w:sz="4" w:space="0" w:color="auto"/>
            </w:tcBorders>
            <w:tcMar>
              <w:left w:w="28" w:type="dxa"/>
              <w:right w:w="28" w:type="dxa"/>
            </w:tcMar>
            <w:hideMark/>
          </w:tcPr>
          <w:p w:rsidR="0079059D" w:rsidRPr="001779EA" w:rsidRDefault="0079059D" w:rsidP="00C32C21">
            <w:pPr>
              <w:pStyle w:val="TableHeading0"/>
              <w:spacing w:line="240" w:lineRule="auto"/>
              <w:jc w:val="left"/>
              <w:rPr>
                <w:sz w:val="20"/>
              </w:rPr>
            </w:pPr>
            <w:r w:rsidRPr="001779EA">
              <w:rPr>
                <w:sz w:val="20"/>
              </w:rPr>
              <w:t>Hazard ratio (95% CI)</w:t>
            </w:r>
          </w:p>
        </w:tc>
      </w:tr>
      <w:tr w:rsidR="00C32C21" w:rsidRPr="001779EA" w:rsidTr="00A628F6">
        <w:trPr>
          <w:cnfStyle w:val="100000000000" w:firstRow="1" w:lastRow="0" w:firstColumn="0" w:lastColumn="0" w:oddVBand="0" w:evenVBand="0" w:oddHBand="0" w:evenHBand="0" w:firstRowFirstColumn="0" w:firstRowLastColumn="0" w:lastRowFirstColumn="0" w:lastRowLastColumn="0"/>
          <w:tblHeader/>
        </w:trPr>
        <w:tc>
          <w:tcPr>
            <w:tcW w:w="469" w:type="pct"/>
            <w:tcBorders>
              <w:top w:val="single" w:sz="4" w:space="0" w:color="auto"/>
              <w:right w:val="nil"/>
            </w:tcBorders>
            <w:tcMar>
              <w:left w:w="28" w:type="dxa"/>
              <w:right w:w="28" w:type="dxa"/>
            </w:tcMar>
          </w:tcPr>
          <w:p w:rsidR="0079059D" w:rsidRPr="001779EA" w:rsidRDefault="0079059D" w:rsidP="00247EDC">
            <w:pPr>
              <w:pStyle w:val="Tabletext"/>
              <w:keepNext/>
              <w:rPr>
                <w:b/>
                <w:szCs w:val="20"/>
              </w:rPr>
            </w:pPr>
            <w:r w:rsidRPr="001779EA">
              <w:rPr>
                <w:b/>
                <w:szCs w:val="20"/>
              </w:rPr>
              <w:t>PFS</w:t>
            </w:r>
            <w:r w:rsidR="00F007C5" w:rsidRPr="001779EA">
              <w:rPr>
                <w:b/>
                <w:szCs w:val="20"/>
              </w:rPr>
              <w:t>*</w:t>
            </w:r>
          </w:p>
        </w:tc>
        <w:tc>
          <w:tcPr>
            <w:tcW w:w="629" w:type="pct"/>
            <w:gridSpan w:val="2"/>
            <w:tcBorders>
              <w:top w:val="single" w:sz="4" w:space="0" w:color="auto"/>
              <w:left w:val="nil"/>
              <w:right w:val="nil"/>
            </w:tcBorders>
            <w:tcMar>
              <w:left w:w="28" w:type="dxa"/>
              <w:right w:w="28" w:type="dxa"/>
            </w:tcMar>
          </w:tcPr>
          <w:p w:rsidR="0079059D" w:rsidRPr="001779EA" w:rsidRDefault="0079059D" w:rsidP="00247EDC">
            <w:pPr>
              <w:pStyle w:val="Tabletext"/>
              <w:keepNext/>
              <w:rPr>
                <w:szCs w:val="20"/>
              </w:rPr>
            </w:pPr>
          </w:p>
        </w:tc>
        <w:tc>
          <w:tcPr>
            <w:tcW w:w="708" w:type="pct"/>
            <w:tcBorders>
              <w:top w:val="single" w:sz="4" w:space="0" w:color="auto"/>
              <w:left w:val="nil"/>
              <w:right w:val="nil"/>
            </w:tcBorders>
            <w:tcMar>
              <w:left w:w="28" w:type="dxa"/>
              <w:right w:w="28" w:type="dxa"/>
            </w:tcMar>
          </w:tcPr>
          <w:p w:rsidR="0079059D" w:rsidRPr="001779EA" w:rsidRDefault="0079059D" w:rsidP="00247EDC">
            <w:pPr>
              <w:pStyle w:val="Tabletext"/>
              <w:keepNext/>
              <w:rPr>
                <w:szCs w:val="20"/>
              </w:rPr>
            </w:pPr>
          </w:p>
        </w:tc>
        <w:tc>
          <w:tcPr>
            <w:tcW w:w="629" w:type="pct"/>
            <w:gridSpan w:val="2"/>
            <w:tcBorders>
              <w:top w:val="single" w:sz="4" w:space="0" w:color="auto"/>
              <w:left w:val="nil"/>
              <w:right w:val="nil"/>
            </w:tcBorders>
            <w:tcMar>
              <w:left w:w="28" w:type="dxa"/>
              <w:right w:w="28" w:type="dxa"/>
            </w:tcMar>
          </w:tcPr>
          <w:p w:rsidR="0079059D" w:rsidRPr="001779EA" w:rsidRDefault="0079059D" w:rsidP="00247EDC">
            <w:pPr>
              <w:pStyle w:val="Tabletext"/>
              <w:keepNext/>
              <w:rPr>
                <w:szCs w:val="20"/>
              </w:rPr>
            </w:pPr>
          </w:p>
        </w:tc>
        <w:tc>
          <w:tcPr>
            <w:tcW w:w="706" w:type="pct"/>
            <w:gridSpan w:val="2"/>
            <w:tcBorders>
              <w:top w:val="single" w:sz="4" w:space="0" w:color="auto"/>
              <w:left w:val="nil"/>
              <w:right w:val="nil"/>
            </w:tcBorders>
            <w:tcMar>
              <w:left w:w="28" w:type="dxa"/>
              <w:right w:w="28" w:type="dxa"/>
            </w:tcMar>
          </w:tcPr>
          <w:p w:rsidR="0079059D" w:rsidRPr="001779EA" w:rsidRDefault="0079059D" w:rsidP="00247EDC">
            <w:pPr>
              <w:pStyle w:val="Tabletext"/>
              <w:keepNext/>
              <w:rPr>
                <w:szCs w:val="20"/>
              </w:rPr>
            </w:pPr>
          </w:p>
        </w:tc>
        <w:tc>
          <w:tcPr>
            <w:tcW w:w="551" w:type="pct"/>
            <w:tcBorders>
              <w:top w:val="single" w:sz="4" w:space="0" w:color="auto"/>
              <w:left w:val="nil"/>
              <w:right w:val="nil"/>
            </w:tcBorders>
            <w:tcMar>
              <w:left w:w="28" w:type="dxa"/>
              <w:right w:w="28" w:type="dxa"/>
            </w:tcMar>
          </w:tcPr>
          <w:p w:rsidR="0079059D" w:rsidRPr="001779EA" w:rsidRDefault="0079059D" w:rsidP="00247EDC">
            <w:pPr>
              <w:pStyle w:val="Tabletext"/>
              <w:keepNext/>
              <w:rPr>
                <w:szCs w:val="20"/>
              </w:rPr>
            </w:pPr>
          </w:p>
        </w:tc>
        <w:tc>
          <w:tcPr>
            <w:tcW w:w="553" w:type="pct"/>
            <w:tcBorders>
              <w:top w:val="single" w:sz="4" w:space="0" w:color="auto"/>
              <w:left w:val="nil"/>
              <w:right w:val="nil"/>
            </w:tcBorders>
            <w:tcMar>
              <w:left w:w="28" w:type="dxa"/>
              <w:right w:w="28" w:type="dxa"/>
            </w:tcMar>
          </w:tcPr>
          <w:p w:rsidR="0079059D" w:rsidRPr="001779EA" w:rsidRDefault="0079059D" w:rsidP="00247EDC">
            <w:pPr>
              <w:pStyle w:val="Tabletext"/>
              <w:keepNext/>
              <w:rPr>
                <w:szCs w:val="20"/>
              </w:rPr>
            </w:pPr>
          </w:p>
        </w:tc>
        <w:tc>
          <w:tcPr>
            <w:tcW w:w="755" w:type="pct"/>
            <w:tcBorders>
              <w:top w:val="single" w:sz="4" w:space="0" w:color="auto"/>
              <w:left w:val="nil"/>
            </w:tcBorders>
            <w:tcMar>
              <w:left w:w="28" w:type="dxa"/>
              <w:right w:w="28" w:type="dxa"/>
            </w:tcMar>
          </w:tcPr>
          <w:p w:rsidR="0079059D" w:rsidRPr="001779EA" w:rsidRDefault="0079059D" w:rsidP="00247EDC">
            <w:pPr>
              <w:pStyle w:val="TableText0"/>
              <w:rPr>
                <w:sz w:val="20"/>
                <w:szCs w:val="20"/>
              </w:rPr>
            </w:pPr>
          </w:p>
        </w:tc>
      </w:tr>
      <w:tr w:rsidR="00C32C21" w:rsidRPr="001779EA" w:rsidTr="00A628F6">
        <w:tc>
          <w:tcPr>
            <w:tcW w:w="469" w:type="pct"/>
            <w:tcMar>
              <w:left w:w="28" w:type="dxa"/>
              <w:right w:w="28" w:type="dxa"/>
            </w:tcMar>
            <w:vAlign w:val="center"/>
            <w:hideMark/>
          </w:tcPr>
          <w:p w:rsidR="0079059D" w:rsidRPr="001779EA" w:rsidRDefault="0079059D" w:rsidP="00247EDC">
            <w:pPr>
              <w:pStyle w:val="Tabletext"/>
              <w:keepNext/>
              <w:rPr>
                <w:szCs w:val="20"/>
              </w:rPr>
            </w:pPr>
            <w:r w:rsidRPr="001779EA">
              <w:rPr>
                <w:szCs w:val="20"/>
              </w:rPr>
              <w:t>FALCON</w:t>
            </w:r>
          </w:p>
          <w:p w:rsidR="0079059D" w:rsidRPr="001779EA" w:rsidRDefault="0079059D" w:rsidP="00247EDC">
            <w:pPr>
              <w:pStyle w:val="Tabletext"/>
              <w:keepNext/>
              <w:rPr>
                <w:szCs w:val="20"/>
              </w:rPr>
            </w:pPr>
            <w:r w:rsidRPr="001779EA">
              <w:rPr>
                <w:szCs w:val="20"/>
              </w:rPr>
              <w:t>(PFS)</w:t>
            </w:r>
          </w:p>
        </w:tc>
        <w:tc>
          <w:tcPr>
            <w:tcW w:w="629" w:type="pct"/>
            <w:gridSpan w:val="2"/>
            <w:tcMar>
              <w:left w:w="28" w:type="dxa"/>
              <w:right w:w="28" w:type="dxa"/>
            </w:tcMar>
            <w:vAlign w:val="center"/>
            <w:hideMark/>
          </w:tcPr>
          <w:p w:rsidR="0079059D" w:rsidRPr="001779EA" w:rsidRDefault="0079059D" w:rsidP="00247EDC">
            <w:pPr>
              <w:pStyle w:val="Tabletext"/>
              <w:keepNext/>
              <w:rPr>
                <w:szCs w:val="20"/>
              </w:rPr>
            </w:pPr>
            <w:r w:rsidRPr="001779EA">
              <w:rPr>
                <w:szCs w:val="20"/>
              </w:rPr>
              <w:t>143/230 (62.2)</w:t>
            </w:r>
          </w:p>
        </w:tc>
        <w:tc>
          <w:tcPr>
            <w:tcW w:w="708" w:type="pct"/>
            <w:tcMar>
              <w:left w:w="28" w:type="dxa"/>
              <w:right w:w="28" w:type="dxa"/>
            </w:tcMar>
            <w:vAlign w:val="center"/>
            <w:hideMark/>
          </w:tcPr>
          <w:p w:rsidR="0079059D" w:rsidRPr="001779EA" w:rsidRDefault="0079059D" w:rsidP="00247EDC">
            <w:pPr>
              <w:pStyle w:val="Tabletext"/>
              <w:keepNext/>
              <w:rPr>
                <w:szCs w:val="20"/>
              </w:rPr>
            </w:pPr>
            <w:r w:rsidRPr="001779EA">
              <w:rPr>
                <w:szCs w:val="20"/>
              </w:rPr>
              <w:t xml:space="preserve">16.6 </w:t>
            </w:r>
            <w:r w:rsidR="00A628F6">
              <w:rPr>
                <w:szCs w:val="20"/>
              </w:rPr>
              <w:br/>
            </w:r>
            <w:r w:rsidRPr="001779EA">
              <w:rPr>
                <w:szCs w:val="20"/>
              </w:rPr>
              <w:t>(13.83, 20.99)</w:t>
            </w:r>
          </w:p>
        </w:tc>
        <w:tc>
          <w:tcPr>
            <w:tcW w:w="629" w:type="pct"/>
            <w:gridSpan w:val="2"/>
            <w:tcMar>
              <w:left w:w="28" w:type="dxa"/>
              <w:right w:w="28" w:type="dxa"/>
            </w:tcMar>
            <w:vAlign w:val="center"/>
            <w:hideMark/>
          </w:tcPr>
          <w:p w:rsidR="0079059D" w:rsidRPr="001779EA" w:rsidRDefault="0079059D" w:rsidP="00247EDC">
            <w:pPr>
              <w:pStyle w:val="Tabletext"/>
              <w:keepNext/>
              <w:rPr>
                <w:szCs w:val="20"/>
              </w:rPr>
            </w:pPr>
            <w:r w:rsidRPr="001779EA">
              <w:rPr>
                <w:szCs w:val="20"/>
              </w:rPr>
              <w:t>166/232 (71.6)</w:t>
            </w:r>
          </w:p>
        </w:tc>
        <w:tc>
          <w:tcPr>
            <w:tcW w:w="706" w:type="pct"/>
            <w:gridSpan w:val="2"/>
            <w:tcMar>
              <w:left w:w="28" w:type="dxa"/>
              <w:right w:w="28" w:type="dxa"/>
            </w:tcMar>
            <w:vAlign w:val="center"/>
            <w:hideMark/>
          </w:tcPr>
          <w:p w:rsidR="0079059D" w:rsidRPr="001779EA" w:rsidRDefault="0079059D" w:rsidP="00247EDC">
            <w:pPr>
              <w:pStyle w:val="Tabletext"/>
              <w:keepNext/>
              <w:rPr>
                <w:szCs w:val="20"/>
              </w:rPr>
            </w:pPr>
            <w:r w:rsidRPr="001779EA">
              <w:rPr>
                <w:szCs w:val="20"/>
              </w:rPr>
              <w:t xml:space="preserve">13.8 </w:t>
            </w:r>
            <w:r w:rsidR="00A628F6">
              <w:rPr>
                <w:szCs w:val="20"/>
              </w:rPr>
              <w:br/>
            </w:r>
            <w:r w:rsidRPr="001779EA">
              <w:rPr>
                <w:szCs w:val="20"/>
              </w:rPr>
              <w:t>(11.99, 16.59)</w:t>
            </w:r>
          </w:p>
        </w:tc>
        <w:tc>
          <w:tcPr>
            <w:tcW w:w="551" w:type="pct"/>
            <w:tcMar>
              <w:left w:w="28" w:type="dxa"/>
              <w:right w:w="28" w:type="dxa"/>
            </w:tcMar>
            <w:vAlign w:val="center"/>
            <w:hideMark/>
          </w:tcPr>
          <w:p w:rsidR="0079059D" w:rsidRPr="001779EA" w:rsidRDefault="0079059D" w:rsidP="00247EDC">
            <w:pPr>
              <w:pStyle w:val="Tabletext"/>
              <w:keepNext/>
              <w:rPr>
                <w:szCs w:val="20"/>
              </w:rPr>
            </w:pPr>
            <w:r w:rsidRPr="001779EA">
              <w:rPr>
                <w:szCs w:val="20"/>
              </w:rPr>
              <w:t>2.8</w:t>
            </w:r>
          </w:p>
        </w:tc>
        <w:tc>
          <w:tcPr>
            <w:tcW w:w="553" w:type="pct"/>
            <w:tcMar>
              <w:left w:w="28" w:type="dxa"/>
              <w:right w:w="28" w:type="dxa"/>
            </w:tcMar>
            <w:vAlign w:val="center"/>
            <w:hideMark/>
          </w:tcPr>
          <w:p w:rsidR="0079059D" w:rsidRPr="001779EA" w:rsidRDefault="0079059D" w:rsidP="00247EDC">
            <w:pPr>
              <w:pStyle w:val="Tabletext"/>
              <w:keepNext/>
              <w:rPr>
                <w:b/>
                <w:szCs w:val="20"/>
              </w:rPr>
            </w:pPr>
            <w:r w:rsidRPr="001779EA">
              <w:rPr>
                <w:b/>
                <w:szCs w:val="20"/>
              </w:rPr>
              <w:t>0.0486</w:t>
            </w:r>
          </w:p>
        </w:tc>
        <w:tc>
          <w:tcPr>
            <w:tcW w:w="755" w:type="pct"/>
            <w:tcMar>
              <w:left w:w="28" w:type="dxa"/>
              <w:right w:w="28" w:type="dxa"/>
            </w:tcMar>
            <w:vAlign w:val="center"/>
            <w:hideMark/>
          </w:tcPr>
          <w:p w:rsidR="0079059D" w:rsidRPr="001779EA" w:rsidRDefault="0079059D" w:rsidP="00247EDC">
            <w:pPr>
              <w:pStyle w:val="Tabletext"/>
              <w:keepNext/>
              <w:rPr>
                <w:b/>
                <w:szCs w:val="20"/>
              </w:rPr>
            </w:pPr>
            <w:r w:rsidRPr="001779EA">
              <w:rPr>
                <w:b/>
                <w:szCs w:val="20"/>
              </w:rPr>
              <w:t xml:space="preserve">0.797 </w:t>
            </w:r>
            <w:r w:rsidR="00A628F6">
              <w:rPr>
                <w:b/>
                <w:szCs w:val="20"/>
              </w:rPr>
              <w:br/>
            </w:r>
            <w:r w:rsidRPr="001779EA">
              <w:rPr>
                <w:b/>
                <w:szCs w:val="20"/>
              </w:rPr>
              <w:t>(0.637, 0.999)</w:t>
            </w:r>
          </w:p>
        </w:tc>
      </w:tr>
      <w:tr w:rsidR="00C32C21" w:rsidRPr="001779EA" w:rsidTr="00A628F6">
        <w:tc>
          <w:tcPr>
            <w:tcW w:w="469" w:type="pct"/>
            <w:tcBorders>
              <w:bottom w:val="single" w:sz="4" w:space="0" w:color="auto"/>
            </w:tcBorders>
            <w:tcMar>
              <w:left w:w="28" w:type="dxa"/>
              <w:right w:w="28" w:type="dxa"/>
            </w:tcMar>
            <w:vAlign w:val="center"/>
            <w:hideMark/>
          </w:tcPr>
          <w:p w:rsidR="0079059D" w:rsidRPr="001779EA" w:rsidRDefault="0079059D" w:rsidP="00247EDC">
            <w:pPr>
              <w:pStyle w:val="Tabletext"/>
              <w:keepNext/>
              <w:rPr>
                <w:szCs w:val="20"/>
              </w:rPr>
            </w:pPr>
            <w:r w:rsidRPr="001779EA">
              <w:rPr>
                <w:szCs w:val="20"/>
              </w:rPr>
              <w:t>FIRST</w:t>
            </w:r>
          </w:p>
          <w:p w:rsidR="0079059D" w:rsidRPr="001779EA" w:rsidRDefault="0079059D" w:rsidP="00247EDC">
            <w:pPr>
              <w:pStyle w:val="Tabletext"/>
              <w:keepNext/>
              <w:rPr>
                <w:szCs w:val="20"/>
              </w:rPr>
            </w:pPr>
            <w:r w:rsidRPr="001779EA">
              <w:rPr>
                <w:szCs w:val="20"/>
              </w:rPr>
              <w:t>(TTP)</w:t>
            </w:r>
          </w:p>
        </w:tc>
        <w:tc>
          <w:tcPr>
            <w:tcW w:w="629" w:type="pct"/>
            <w:gridSpan w:val="2"/>
            <w:tcBorders>
              <w:bottom w:val="single" w:sz="4" w:space="0" w:color="auto"/>
            </w:tcBorders>
            <w:tcMar>
              <w:left w:w="28" w:type="dxa"/>
              <w:right w:w="28" w:type="dxa"/>
            </w:tcMar>
            <w:vAlign w:val="center"/>
            <w:hideMark/>
          </w:tcPr>
          <w:p w:rsidR="0079059D" w:rsidRPr="001779EA" w:rsidRDefault="0079059D" w:rsidP="00247EDC">
            <w:pPr>
              <w:pStyle w:val="Tabletext"/>
              <w:keepNext/>
              <w:rPr>
                <w:szCs w:val="20"/>
              </w:rPr>
            </w:pPr>
            <w:r w:rsidRPr="001779EA">
              <w:rPr>
                <w:szCs w:val="20"/>
              </w:rPr>
              <w:t>63/102 (61.8)</w:t>
            </w:r>
          </w:p>
        </w:tc>
        <w:tc>
          <w:tcPr>
            <w:tcW w:w="708" w:type="pct"/>
            <w:tcBorders>
              <w:bottom w:val="single" w:sz="4" w:space="0" w:color="auto"/>
            </w:tcBorders>
            <w:tcMar>
              <w:left w:w="28" w:type="dxa"/>
              <w:right w:w="28" w:type="dxa"/>
            </w:tcMar>
            <w:vAlign w:val="center"/>
            <w:hideMark/>
          </w:tcPr>
          <w:p w:rsidR="0079059D" w:rsidRPr="001779EA" w:rsidRDefault="0079059D" w:rsidP="00247EDC">
            <w:pPr>
              <w:pStyle w:val="Tabletext"/>
              <w:keepNext/>
              <w:rPr>
                <w:szCs w:val="20"/>
              </w:rPr>
            </w:pPr>
            <w:r w:rsidRPr="001779EA">
              <w:rPr>
                <w:szCs w:val="20"/>
              </w:rPr>
              <w:t>23.4 (NR)</w:t>
            </w:r>
          </w:p>
        </w:tc>
        <w:tc>
          <w:tcPr>
            <w:tcW w:w="629" w:type="pct"/>
            <w:gridSpan w:val="2"/>
            <w:tcBorders>
              <w:bottom w:val="single" w:sz="4" w:space="0" w:color="auto"/>
            </w:tcBorders>
            <w:tcMar>
              <w:left w:w="28" w:type="dxa"/>
              <w:right w:w="28" w:type="dxa"/>
            </w:tcMar>
            <w:vAlign w:val="center"/>
            <w:hideMark/>
          </w:tcPr>
          <w:p w:rsidR="0079059D" w:rsidRPr="001779EA" w:rsidRDefault="0079059D" w:rsidP="00247EDC">
            <w:pPr>
              <w:pStyle w:val="Tabletext"/>
              <w:keepNext/>
              <w:rPr>
                <w:szCs w:val="20"/>
              </w:rPr>
            </w:pPr>
            <w:r w:rsidRPr="001779EA">
              <w:rPr>
                <w:szCs w:val="20"/>
              </w:rPr>
              <w:t>79/103 (76.7)</w:t>
            </w:r>
          </w:p>
        </w:tc>
        <w:tc>
          <w:tcPr>
            <w:tcW w:w="706" w:type="pct"/>
            <w:gridSpan w:val="2"/>
            <w:tcBorders>
              <w:bottom w:val="single" w:sz="4" w:space="0" w:color="auto"/>
            </w:tcBorders>
            <w:tcMar>
              <w:left w:w="28" w:type="dxa"/>
              <w:right w:w="28" w:type="dxa"/>
            </w:tcMar>
            <w:vAlign w:val="center"/>
            <w:hideMark/>
          </w:tcPr>
          <w:p w:rsidR="0079059D" w:rsidRPr="001779EA" w:rsidRDefault="0079059D" w:rsidP="00247EDC">
            <w:pPr>
              <w:pStyle w:val="Tabletext"/>
              <w:keepNext/>
              <w:rPr>
                <w:szCs w:val="20"/>
              </w:rPr>
            </w:pPr>
            <w:r w:rsidRPr="001779EA">
              <w:rPr>
                <w:szCs w:val="20"/>
              </w:rPr>
              <w:t>13.1 (NR)</w:t>
            </w:r>
          </w:p>
        </w:tc>
        <w:tc>
          <w:tcPr>
            <w:tcW w:w="551" w:type="pct"/>
            <w:tcBorders>
              <w:bottom w:val="single" w:sz="4" w:space="0" w:color="auto"/>
            </w:tcBorders>
            <w:tcMar>
              <w:left w:w="28" w:type="dxa"/>
              <w:right w:w="28" w:type="dxa"/>
            </w:tcMar>
            <w:vAlign w:val="center"/>
            <w:hideMark/>
          </w:tcPr>
          <w:p w:rsidR="0079059D" w:rsidRPr="001779EA" w:rsidRDefault="0079059D" w:rsidP="00247EDC">
            <w:pPr>
              <w:pStyle w:val="Tabletext"/>
              <w:keepNext/>
              <w:rPr>
                <w:szCs w:val="20"/>
              </w:rPr>
            </w:pPr>
            <w:r w:rsidRPr="001779EA">
              <w:rPr>
                <w:szCs w:val="20"/>
              </w:rPr>
              <w:t>10.3</w:t>
            </w:r>
          </w:p>
        </w:tc>
        <w:tc>
          <w:tcPr>
            <w:tcW w:w="553" w:type="pct"/>
            <w:tcBorders>
              <w:bottom w:val="single" w:sz="4" w:space="0" w:color="auto"/>
            </w:tcBorders>
            <w:tcMar>
              <w:left w:w="28" w:type="dxa"/>
              <w:right w:w="28" w:type="dxa"/>
            </w:tcMar>
            <w:vAlign w:val="center"/>
            <w:hideMark/>
          </w:tcPr>
          <w:p w:rsidR="0079059D" w:rsidRPr="001779EA" w:rsidRDefault="0079059D" w:rsidP="00247EDC">
            <w:pPr>
              <w:pStyle w:val="Tabletext"/>
              <w:keepNext/>
              <w:rPr>
                <w:b/>
                <w:szCs w:val="20"/>
              </w:rPr>
            </w:pPr>
            <w:r w:rsidRPr="001779EA">
              <w:rPr>
                <w:b/>
                <w:szCs w:val="20"/>
              </w:rPr>
              <w:t>0.01</w:t>
            </w:r>
          </w:p>
        </w:tc>
        <w:tc>
          <w:tcPr>
            <w:tcW w:w="755" w:type="pct"/>
            <w:tcBorders>
              <w:bottom w:val="single" w:sz="4" w:space="0" w:color="auto"/>
            </w:tcBorders>
            <w:tcMar>
              <w:left w:w="28" w:type="dxa"/>
              <w:right w:w="28" w:type="dxa"/>
            </w:tcMar>
            <w:vAlign w:val="center"/>
            <w:hideMark/>
          </w:tcPr>
          <w:p w:rsidR="0079059D" w:rsidRPr="001779EA" w:rsidRDefault="0079059D" w:rsidP="00247EDC">
            <w:pPr>
              <w:pStyle w:val="Tabletext"/>
              <w:keepNext/>
              <w:rPr>
                <w:b/>
                <w:szCs w:val="20"/>
              </w:rPr>
            </w:pPr>
            <w:r w:rsidRPr="001779EA">
              <w:rPr>
                <w:b/>
                <w:szCs w:val="20"/>
              </w:rPr>
              <w:t>0.66 (0.47, 0.92)</w:t>
            </w:r>
          </w:p>
        </w:tc>
      </w:tr>
      <w:tr w:rsidR="0079059D" w:rsidRPr="001779EA" w:rsidTr="00A628F6">
        <w:tc>
          <w:tcPr>
            <w:tcW w:w="931" w:type="pct"/>
            <w:gridSpan w:val="2"/>
            <w:tcBorders>
              <w:right w:val="nil"/>
            </w:tcBorders>
            <w:tcMar>
              <w:left w:w="28" w:type="dxa"/>
              <w:right w:w="28" w:type="dxa"/>
            </w:tcMar>
            <w:vAlign w:val="center"/>
          </w:tcPr>
          <w:p w:rsidR="0079059D" w:rsidRPr="001779EA" w:rsidRDefault="0079059D" w:rsidP="00247EDC">
            <w:pPr>
              <w:pStyle w:val="Tabletext"/>
              <w:keepNext/>
              <w:rPr>
                <w:szCs w:val="20"/>
              </w:rPr>
            </w:pPr>
            <w:r w:rsidRPr="001779EA">
              <w:rPr>
                <w:szCs w:val="20"/>
              </w:rPr>
              <w:t>Pooled HR (95% CI)</w:t>
            </w:r>
          </w:p>
        </w:tc>
        <w:tc>
          <w:tcPr>
            <w:tcW w:w="1032" w:type="pct"/>
            <w:gridSpan w:val="3"/>
            <w:tcBorders>
              <w:left w:val="nil"/>
              <w:right w:val="nil"/>
            </w:tcBorders>
            <w:tcMar>
              <w:left w:w="28" w:type="dxa"/>
              <w:right w:w="28" w:type="dxa"/>
            </w:tcMar>
            <w:vAlign w:val="center"/>
          </w:tcPr>
          <w:p w:rsidR="0079059D" w:rsidRPr="001779EA" w:rsidRDefault="0079059D" w:rsidP="00247EDC">
            <w:pPr>
              <w:pStyle w:val="Tabletext"/>
              <w:keepNext/>
              <w:rPr>
                <w:szCs w:val="20"/>
              </w:rPr>
            </w:pPr>
          </w:p>
        </w:tc>
        <w:tc>
          <w:tcPr>
            <w:tcW w:w="996" w:type="pct"/>
            <w:gridSpan w:val="2"/>
            <w:tcBorders>
              <w:left w:val="nil"/>
              <w:right w:val="nil"/>
            </w:tcBorders>
            <w:tcMar>
              <w:left w:w="28" w:type="dxa"/>
              <w:right w:w="28" w:type="dxa"/>
            </w:tcMar>
            <w:vAlign w:val="center"/>
          </w:tcPr>
          <w:p w:rsidR="0079059D" w:rsidRPr="001779EA" w:rsidRDefault="0079059D" w:rsidP="00247EDC">
            <w:pPr>
              <w:pStyle w:val="Tabletext"/>
              <w:keepNext/>
              <w:rPr>
                <w:szCs w:val="20"/>
              </w:rPr>
            </w:pPr>
          </w:p>
        </w:tc>
        <w:tc>
          <w:tcPr>
            <w:tcW w:w="733" w:type="pct"/>
            <w:gridSpan w:val="2"/>
            <w:tcBorders>
              <w:left w:val="nil"/>
            </w:tcBorders>
            <w:tcMar>
              <w:left w:w="28" w:type="dxa"/>
              <w:right w:w="28" w:type="dxa"/>
            </w:tcMar>
            <w:vAlign w:val="center"/>
          </w:tcPr>
          <w:p w:rsidR="0079059D" w:rsidRPr="001779EA" w:rsidRDefault="0079059D" w:rsidP="00247EDC">
            <w:pPr>
              <w:pStyle w:val="Tabletext"/>
              <w:keepNext/>
              <w:rPr>
                <w:szCs w:val="20"/>
              </w:rPr>
            </w:pPr>
          </w:p>
        </w:tc>
        <w:tc>
          <w:tcPr>
            <w:tcW w:w="1308" w:type="pct"/>
            <w:gridSpan w:val="2"/>
            <w:tcMar>
              <w:left w:w="28" w:type="dxa"/>
              <w:right w:w="28" w:type="dxa"/>
            </w:tcMar>
            <w:vAlign w:val="center"/>
          </w:tcPr>
          <w:p w:rsidR="0079059D" w:rsidRPr="001779EA" w:rsidRDefault="0079059D" w:rsidP="00247EDC">
            <w:pPr>
              <w:pStyle w:val="Tabletext"/>
              <w:keepNext/>
              <w:rPr>
                <w:b/>
                <w:szCs w:val="20"/>
              </w:rPr>
            </w:pPr>
            <w:r w:rsidRPr="001779EA">
              <w:rPr>
                <w:b/>
                <w:szCs w:val="20"/>
              </w:rPr>
              <w:t>0.75 (0.62, 0.91)</w:t>
            </w:r>
          </w:p>
        </w:tc>
      </w:tr>
      <w:tr w:rsidR="00C32C21" w:rsidRPr="001779EA" w:rsidTr="00A628F6">
        <w:tc>
          <w:tcPr>
            <w:tcW w:w="469" w:type="pct"/>
            <w:tcBorders>
              <w:bottom w:val="single" w:sz="4" w:space="0" w:color="auto"/>
              <w:right w:val="nil"/>
            </w:tcBorders>
            <w:tcMar>
              <w:left w:w="28" w:type="dxa"/>
              <w:right w:w="28" w:type="dxa"/>
            </w:tcMar>
            <w:vAlign w:val="center"/>
          </w:tcPr>
          <w:p w:rsidR="0079059D" w:rsidRPr="001779EA" w:rsidRDefault="0079059D" w:rsidP="00247EDC">
            <w:pPr>
              <w:pStyle w:val="Tabletext"/>
              <w:keepNext/>
              <w:rPr>
                <w:b/>
                <w:szCs w:val="20"/>
              </w:rPr>
            </w:pPr>
            <w:r w:rsidRPr="001779EA">
              <w:rPr>
                <w:b/>
                <w:szCs w:val="20"/>
              </w:rPr>
              <w:t>OS</w:t>
            </w:r>
          </w:p>
        </w:tc>
        <w:tc>
          <w:tcPr>
            <w:tcW w:w="629" w:type="pct"/>
            <w:gridSpan w:val="2"/>
            <w:tcBorders>
              <w:left w:val="nil"/>
              <w:bottom w:val="single" w:sz="4" w:space="0" w:color="auto"/>
              <w:right w:val="nil"/>
            </w:tcBorders>
            <w:tcMar>
              <w:left w:w="28" w:type="dxa"/>
              <w:right w:w="28" w:type="dxa"/>
            </w:tcMar>
            <w:vAlign w:val="center"/>
          </w:tcPr>
          <w:p w:rsidR="0079059D" w:rsidRPr="001779EA" w:rsidRDefault="0079059D" w:rsidP="00247EDC">
            <w:pPr>
              <w:pStyle w:val="Tabletext"/>
              <w:keepNext/>
              <w:rPr>
                <w:szCs w:val="20"/>
              </w:rPr>
            </w:pPr>
          </w:p>
        </w:tc>
        <w:tc>
          <w:tcPr>
            <w:tcW w:w="708" w:type="pct"/>
            <w:tcBorders>
              <w:left w:val="nil"/>
              <w:bottom w:val="single" w:sz="4" w:space="0" w:color="auto"/>
              <w:right w:val="nil"/>
            </w:tcBorders>
            <w:tcMar>
              <w:left w:w="28" w:type="dxa"/>
              <w:right w:w="28" w:type="dxa"/>
            </w:tcMar>
            <w:vAlign w:val="center"/>
          </w:tcPr>
          <w:p w:rsidR="0079059D" w:rsidRPr="001779EA" w:rsidRDefault="0079059D" w:rsidP="00247EDC">
            <w:pPr>
              <w:pStyle w:val="Tabletext"/>
              <w:keepNext/>
              <w:rPr>
                <w:szCs w:val="20"/>
              </w:rPr>
            </w:pPr>
          </w:p>
        </w:tc>
        <w:tc>
          <w:tcPr>
            <w:tcW w:w="629" w:type="pct"/>
            <w:gridSpan w:val="2"/>
            <w:tcBorders>
              <w:left w:val="nil"/>
              <w:bottom w:val="single" w:sz="4" w:space="0" w:color="auto"/>
              <w:right w:val="nil"/>
            </w:tcBorders>
            <w:tcMar>
              <w:left w:w="28" w:type="dxa"/>
              <w:right w:w="28" w:type="dxa"/>
            </w:tcMar>
            <w:vAlign w:val="center"/>
          </w:tcPr>
          <w:p w:rsidR="0079059D" w:rsidRPr="001779EA" w:rsidRDefault="0079059D" w:rsidP="00247EDC">
            <w:pPr>
              <w:pStyle w:val="Tabletext"/>
              <w:keepNext/>
              <w:rPr>
                <w:szCs w:val="20"/>
              </w:rPr>
            </w:pPr>
          </w:p>
        </w:tc>
        <w:tc>
          <w:tcPr>
            <w:tcW w:w="706" w:type="pct"/>
            <w:gridSpan w:val="2"/>
            <w:tcBorders>
              <w:left w:val="nil"/>
              <w:bottom w:val="single" w:sz="4" w:space="0" w:color="auto"/>
              <w:right w:val="nil"/>
            </w:tcBorders>
            <w:tcMar>
              <w:left w:w="28" w:type="dxa"/>
              <w:right w:w="28" w:type="dxa"/>
            </w:tcMar>
            <w:vAlign w:val="center"/>
          </w:tcPr>
          <w:p w:rsidR="0079059D" w:rsidRPr="001779EA" w:rsidRDefault="0079059D" w:rsidP="00247EDC">
            <w:pPr>
              <w:pStyle w:val="Tabletext"/>
              <w:keepNext/>
              <w:rPr>
                <w:szCs w:val="20"/>
              </w:rPr>
            </w:pPr>
          </w:p>
        </w:tc>
        <w:tc>
          <w:tcPr>
            <w:tcW w:w="551" w:type="pct"/>
            <w:tcBorders>
              <w:left w:val="nil"/>
              <w:bottom w:val="single" w:sz="4" w:space="0" w:color="auto"/>
              <w:right w:val="nil"/>
            </w:tcBorders>
            <w:tcMar>
              <w:left w:w="28" w:type="dxa"/>
              <w:right w:w="28" w:type="dxa"/>
            </w:tcMar>
            <w:vAlign w:val="center"/>
          </w:tcPr>
          <w:p w:rsidR="0079059D" w:rsidRPr="001779EA" w:rsidRDefault="0079059D" w:rsidP="00247EDC">
            <w:pPr>
              <w:pStyle w:val="Tabletext"/>
              <w:keepNext/>
              <w:rPr>
                <w:szCs w:val="20"/>
              </w:rPr>
            </w:pPr>
          </w:p>
        </w:tc>
        <w:tc>
          <w:tcPr>
            <w:tcW w:w="553" w:type="pct"/>
            <w:tcBorders>
              <w:left w:val="nil"/>
              <w:bottom w:val="single" w:sz="4" w:space="0" w:color="auto"/>
              <w:right w:val="nil"/>
            </w:tcBorders>
            <w:tcMar>
              <w:left w:w="28" w:type="dxa"/>
              <w:right w:w="28" w:type="dxa"/>
            </w:tcMar>
            <w:vAlign w:val="center"/>
          </w:tcPr>
          <w:p w:rsidR="0079059D" w:rsidRPr="001779EA" w:rsidRDefault="0079059D" w:rsidP="00247EDC">
            <w:pPr>
              <w:pStyle w:val="Tabletext"/>
              <w:keepNext/>
              <w:rPr>
                <w:szCs w:val="20"/>
              </w:rPr>
            </w:pPr>
          </w:p>
        </w:tc>
        <w:tc>
          <w:tcPr>
            <w:tcW w:w="755" w:type="pct"/>
            <w:tcBorders>
              <w:left w:val="nil"/>
              <w:bottom w:val="single" w:sz="4" w:space="0" w:color="auto"/>
            </w:tcBorders>
            <w:tcMar>
              <w:left w:w="28" w:type="dxa"/>
              <w:right w:w="28" w:type="dxa"/>
            </w:tcMar>
            <w:vAlign w:val="center"/>
          </w:tcPr>
          <w:p w:rsidR="0079059D" w:rsidRPr="001779EA" w:rsidRDefault="0079059D" w:rsidP="00247EDC">
            <w:pPr>
              <w:pStyle w:val="TableText0"/>
              <w:rPr>
                <w:sz w:val="20"/>
                <w:szCs w:val="20"/>
              </w:rPr>
            </w:pPr>
          </w:p>
        </w:tc>
      </w:tr>
      <w:tr w:rsidR="00641513" w:rsidRPr="001779EA" w:rsidTr="00A628F6">
        <w:tc>
          <w:tcPr>
            <w:tcW w:w="469" w:type="pct"/>
            <w:tcBorders>
              <w:bottom w:val="single" w:sz="4" w:space="0" w:color="auto"/>
              <w:right w:val="single" w:sz="4" w:space="0" w:color="auto"/>
            </w:tcBorders>
            <w:tcMar>
              <w:left w:w="28" w:type="dxa"/>
              <w:right w:w="28" w:type="dxa"/>
            </w:tcMar>
          </w:tcPr>
          <w:p w:rsidR="00641513" w:rsidRPr="001779EA" w:rsidRDefault="00641513" w:rsidP="00641513">
            <w:pPr>
              <w:pStyle w:val="Tabletext"/>
              <w:keepNext/>
              <w:rPr>
                <w:b/>
                <w:szCs w:val="20"/>
              </w:rPr>
            </w:pPr>
            <w:r w:rsidRPr="001779EA">
              <w:rPr>
                <w:szCs w:val="20"/>
              </w:rPr>
              <w:t>FALCON</w:t>
            </w:r>
          </w:p>
        </w:tc>
        <w:tc>
          <w:tcPr>
            <w:tcW w:w="629" w:type="pct"/>
            <w:gridSpan w:val="2"/>
            <w:tcBorders>
              <w:left w:val="single" w:sz="4" w:space="0" w:color="auto"/>
              <w:bottom w:val="single" w:sz="4" w:space="0" w:color="auto"/>
              <w:right w:val="single" w:sz="4" w:space="0" w:color="auto"/>
            </w:tcBorders>
            <w:tcMar>
              <w:left w:w="28" w:type="dxa"/>
              <w:right w:w="28" w:type="dxa"/>
            </w:tcMar>
          </w:tcPr>
          <w:p w:rsidR="00641513" w:rsidRPr="001779EA" w:rsidRDefault="00641513" w:rsidP="00641513">
            <w:pPr>
              <w:pStyle w:val="Tabletext"/>
              <w:keepNext/>
              <w:rPr>
                <w:szCs w:val="20"/>
              </w:rPr>
            </w:pPr>
            <w:r w:rsidRPr="001779EA">
              <w:rPr>
                <w:szCs w:val="20"/>
              </w:rPr>
              <w:t>67/230 (29.1)</w:t>
            </w:r>
          </w:p>
        </w:tc>
        <w:tc>
          <w:tcPr>
            <w:tcW w:w="708" w:type="pct"/>
            <w:tcBorders>
              <w:left w:val="single" w:sz="4" w:space="0" w:color="auto"/>
              <w:bottom w:val="single" w:sz="4" w:space="0" w:color="auto"/>
              <w:right w:val="single" w:sz="4" w:space="0" w:color="auto"/>
            </w:tcBorders>
            <w:tcMar>
              <w:left w:w="28" w:type="dxa"/>
              <w:right w:w="28" w:type="dxa"/>
            </w:tcMar>
          </w:tcPr>
          <w:p w:rsidR="00641513" w:rsidRPr="001779EA" w:rsidRDefault="00641513" w:rsidP="00641513">
            <w:pPr>
              <w:pStyle w:val="Tabletext"/>
              <w:keepNext/>
              <w:rPr>
                <w:szCs w:val="20"/>
              </w:rPr>
            </w:pPr>
            <w:r w:rsidRPr="001779EA">
              <w:rPr>
                <w:szCs w:val="20"/>
              </w:rPr>
              <w:t>NE</w:t>
            </w:r>
          </w:p>
        </w:tc>
        <w:tc>
          <w:tcPr>
            <w:tcW w:w="629" w:type="pct"/>
            <w:gridSpan w:val="2"/>
            <w:tcBorders>
              <w:left w:val="single" w:sz="4" w:space="0" w:color="auto"/>
              <w:bottom w:val="single" w:sz="4" w:space="0" w:color="auto"/>
              <w:right w:val="single" w:sz="4" w:space="0" w:color="auto"/>
            </w:tcBorders>
            <w:tcMar>
              <w:left w:w="28" w:type="dxa"/>
              <w:right w:w="28" w:type="dxa"/>
            </w:tcMar>
          </w:tcPr>
          <w:p w:rsidR="00641513" w:rsidRPr="001779EA" w:rsidRDefault="00641513" w:rsidP="00641513">
            <w:pPr>
              <w:pStyle w:val="Tabletext"/>
              <w:keepNext/>
              <w:rPr>
                <w:szCs w:val="20"/>
              </w:rPr>
            </w:pPr>
            <w:r w:rsidRPr="001779EA">
              <w:rPr>
                <w:szCs w:val="20"/>
              </w:rPr>
              <w:t>75/232 (32.3)</w:t>
            </w:r>
          </w:p>
        </w:tc>
        <w:tc>
          <w:tcPr>
            <w:tcW w:w="706" w:type="pct"/>
            <w:gridSpan w:val="2"/>
            <w:tcBorders>
              <w:left w:val="single" w:sz="4" w:space="0" w:color="auto"/>
              <w:bottom w:val="single" w:sz="4" w:space="0" w:color="auto"/>
              <w:right w:val="single" w:sz="4" w:space="0" w:color="auto"/>
            </w:tcBorders>
            <w:tcMar>
              <w:left w:w="28" w:type="dxa"/>
              <w:right w:w="28" w:type="dxa"/>
            </w:tcMar>
          </w:tcPr>
          <w:p w:rsidR="00641513" w:rsidRPr="001779EA" w:rsidRDefault="00641513" w:rsidP="00641513">
            <w:pPr>
              <w:pStyle w:val="Tabletext"/>
              <w:keepNext/>
              <w:rPr>
                <w:szCs w:val="20"/>
              </w:rPr>
            </w:pPr>
            <w:r w:rsidRPr="001779EA">
              <w:rPr>
                <w:szCs w:val="20"/>
              </w:rPr>
              <w:t>NE</w:t>
            </w:r>
          </w:p>
        </w:tc>
        <w:tc>
          <w:tcPr>
            <w:tcW w:w="551" w:type="pct"/>
            <w:tcBorders>
              <w:left w:val="single" w:sz="4" w:space="0" w:color="auto"/>
              <w:bottom w:val="single" w:sz="4" w:space="0" w:color="auto"/>
              <w:right w:val="single" w:sz="4" w:space="0" w:color="auto"/>
            </w:tcBorders>
            <w:tcMar>
              <w:left w:w="28" w:type="dxa"/>
              <w:right w:w="28" w:type="dxa"/>
            </w:tcMar>
          </w:tcPr>
          <w:p w:rsidR="00641513" w:rsidRPr="001779EA" w:rsidRDefault="00641513" w:rsidP="00641513">
            <w:pPr>
              <w:pStyle w:val="Tabletext"/>
              <w:keepNext/>
              <w:rPr>
                <w:szCs w:val="20"/>
              </w:rPr>
            </w:pPr>
            <w:r w:rsidRPr="001779EA">
              <w:rPr>
                <w:szCs w:val="20"/>
              </w:rPr>
              <w:t>NE</w:t>
            </w:r>
          </w:p>
        </w:tc>
        <w:tc>
          <w:tcPr>
            <w:tcW w:w="553" w:type="pct"/>
            <w:tcBorders>
              <w:left w:val="single" w:sz="4" w:space="0" w:color="auto"/>
              <w:bottom w:val="single" w:sz="4" w:space="0" w:color="auto"/>
              <w:right w:val="single" w:sz="4" w:space="0" w:color="auto"/>
            </w:tcBorders>
            <w:tcMar>
              <w:left w:w="28" w:type="dxa"/>
              <w:right w:w="28" w:type="dxa"/>
            </w:tcMar>
          </w:tcPr>
          <w:p w:rsidR="00641513" w:rsidRPr="001779EA" w:rsidRDefault="00641513" w:rsidP="00641513">
            <w:pPr>
              <w:pStyle w:val="Tabletext"/>
              <w:keepNext/>
              <w:rPr>
                <w:szCs w:val="20"/>
              </w:rPr>
            </w:pPr>
            <w:r w:rsidRPr="001779EA">
              <w:rPr>
                <w:szCs w:val="20"/>
              </w:rPr>
              <w:t>0.4277</w:t>
            </w:r>
          </w:p>
        </w:tc>
        <w:tc>
          <w:tcPr>
            <w:tcW w:w="755" w:type="pct"/>
            <w:tcBorders>
              <w:left w:val="single" w:sz="4" w:space="0" w:color="auto"/>
              <w:bottom w:val="single" w:sz="4" w:space="0" w:color="auto"/>
            </w:tcBorders>
            <w:tcMar>
              <w:left w:w="28" w:type="dxa"/>
              <w:right w:w="28" w:type="dxa"/>
            </w:tcMar>
          </w:tcPr>
          <w:p w:rsidR="00641513" w:rsidRPr="001779EA" w:rsidRDefault="00641513" w:rsidP="00641513">
            <w:pPr>
              <w:pStyle w:val="TableText0"/>
              <w:rPr>
                <w:sz w:val="20"/>
                <w:szCs w:val="20"/>
              </w:rPr>
            </w:pPr>
            <w:r w:rsidRPr="001779EA">
              <w:rPr>
                <w:sz w:val="20"/>
                <w:szCs w:val="20"/>
              </w:rPr>
              <w:t xml:space="preserve">0.875 </w:t>
            </w:r>
            <w:r w:rsidR="00A628F6">
              <w:rPr>
                <w:sz w:val="20"/>
                <w:szCs w:val="20"/>
              </w:rPr>
              <w:br/>
            </w:r>
            <w:r w:rsidRPr="001779EA">
              <w:rPr>
                <w:sz w:val="20"/>
                <w:szCs w:val="20"/>
              </w:rPr>
              <w:t>(0.629, 1.217)</w:t>
            </w:r>
          </w:p>
        </w:tc>
      </w:tr>
      <w:tr w:rsidR="00641513" w:rsidRPr="001779EA" w:rsidTr="00A628F6">
        <w:tc>
          <w:tcPr>
            <w:tcW w:w="469" w:type="pct"/>
            <w:tcBorders>
              <w:bottom w:val="nil"/>
              <w:right w:val="single" w:sz="4" w:space="0" w:color="auto"/>
            </w:tcBorders>
            <w:tcMar>
              <w:left w:w="28" w:type="dxa"/>
              <w:right w:w="28" w:type="dxa"/>
            </w:tcMar>
            <w:vAlign w:val="center"/>
          </w:tcPr>
          <w:p w:rsidR="00641513" w:rsidRPr="001779EA" w:rsidRDefault="00641513" w:rsidP="00641513">
            <w:pPr>
              <w:pStyle w:val="Tabletext"/>
              <w:keepNext/>
              <w:rPr>
                <w:b/>
                <w:szCs w:val="20"/>
              </w:rPr>
            </w:pPr>
            <w:r w:rsidRPr="001779EA">
              <w:rPr>
                <w:szCs w:val="20"/>
              </w:rPr>
              <w:t>FIRST</w:t>
            </w:r>
          </w:p>
        </w:tc>
        <w:tc>
          <w:tcPr>
            <w:tcW w:w="629" w:type="pct"/>
            <w:gridSpan w:val="2"/>
            <w:tcBorders>
              <w:left w:val="single" w:sz="4" w:space="0" w:color="auto"/>
              <w:bottom w:val="nil"/>
              <w:right w:val="single" w:sz="4" w:space="0" w:color="auto"/>
            </w:tcBorders>
            <w:tcMar>
              <w:left w:w="28" w:type="dxa"/>
              <w:right w:w="28" w:type="dxa"/>
            </w:tcMar>
            <w:vAlign w:val="center"/>
          </w:tcPr>
          <w:p w:rsidR="00641513" w:rsidRPr="001779EA" w:rsidRDefault="00641513" w:rsidP="00641513">
            <w:pPr>
              <w:pStyle w:val="Tabletext"/>
              <w:keepNext/>
              <w:rPr>
                <w:szCs w:val="20"/>
              </w:rPr>
            </w:pPr>
            <w:r w:rsidRPr="001779EA">
              <w:rPr>
                <w:szCs w:val="20"/>
              </w:rPr>
              <w:t>63/102 (61.8)</w:t>
            </w:r>
          </w:p>
        </w:tc>
        <w:tc>
          <w:tcPr>
            <w:tcW w:w="708" w:type="pct"/>
            <w:tcBorders>
              <w:left w:val="single" w:sz="4" w:space="0" w:color="auto"/>
              <w:bottom w:val="nil"/>
              <w:right w:val="single" w:sz="4" w:space="0" w:color="auto"/>
            </w:tcBorders>
            <w:tcMar>
              <w:left w:w="28" w:type="dxa"/>
              <w:right w:w="28" w:type="dxa"/>
            </w:tcMar>
            <w:vAlign w:val="center"/>
          </w:tcPr>
          <w:p w:rsidR="00641513" w:rsidRPr="001779EA" w:rsidRDefault="00641513" w:rsidP="00641513">
            <w:pPr>
              <w:pStyle w:val="Tabletext"/>
              <w:keepNext/>
              <w:rPr>
                <w:szCs w:val="20"/>
              </w:rPr>
            </w:pPr>
            <w:r w:rsidRPr="001779EA">
              <w:rPr>
                <w:szCs w:val="20"/>
              </w:rPr>
              <w:t>54.1 (NR)</w:t>
            </w:r>
          </w:p>
        </w:tc>
        <w:tc>
          <w:tcPr>
            <w:tcW w:w="629" w:type="pct"/>
            <w:gridSpan w:val="2"/>
            <w:tcBorders>
              <w:left w:val="single" w:sz="4" w:space="0" w:color="auto"/>
              <w:bottom w:val="nil"/>
              <w:right w:val="single" w:sz="4" w:space="0" w:color="auto"/>
            </w:tcBorders>
            <w:tcMar>
              <w:left w:w="28" w:type="dxa"/>
              <w:right w:w="28" w:type="dxa"/>
            </w:tcMar>
            <w:vAlign w:val="center"/>
          </w:tcPr>
          <w:p w:rsidR="00641513" w:rsidRPr="001779EA" w:rsidRDefault="00641513" w:rsidP="00641513">
            <w:pPr>
              <w:pStyle w:val="Tabletext"/>
              <w:keepNext/>
              <w:rPr>
                <w:szCs w:val="20"/>
              </w:rPr>
            </w:pPr>
            <w:r w:rsidRPr="001779EA">
              <w:rPr>
                <w:szCs w:val="20"/>
              </w:rPr>
              <w:t>74/103 (71.8)</w:t>
            </w:r>
          </w:p>
        </w:tc>
        <w:tc>
          <w:tcPr>
            <w:tcW w:w="706" w:type="pct"/>
            <w:gridSpan w:val="2"/>
            <w:tcBorders>
              <w:left w:val="single" w:sz="4" w:space="0" w:color="auto"/>
              <w:bottom w:val="nil"/>
              <w:right w:val="single" w:sz="4" w:space="0" w:color="auto"/>
            </w:tcBorders>
            <w:tcMar>
              <w:left w:w="28" w:type="dxa"/>
              <w:right w:w="28" w:type="dxa"/>
            </w:tcMar>
            <w:vAlign w:val="center"/>
          </w:tcPr>
          <w:p w:rsidR="00641513" w:rsidRPr="001779EA" w:rsidRDefault="00641513" w:rsidP="00641513">
            <w:pPr>
              <w:pStyle w:val="Tabletext"/>
              <w:keepNext/>
              <w:rPr>
                <w:szCs w:val="20"/>
              </w:rPr>
            </w:pPr>
            <w:r w:rsidRPr="001779EA">
              <w:rPr>
                <w:szCs w:val="20"/>
              </w:rPr>
              <w:t>48.4 (NR)</w:t>
            </w:r>
          </w:p>
        </w:tc>
        <w:tc>
          <w:tcPr>
            <w:tcW w:w="551" w:type="pct"/>
            <w:tcBorders>
              <w:left w:val="single" w:sz="4" w:space="0" w:color="auto"/>
              <w:bottom w:val="nil"/>
              <w:right w:val="single" w:sz="4" w:space="0" w:color="auto"/>
            </w:tcBorders>
            <w:tcMar>
              <w:left w:w="28" w:type="dxa"/>
              <w:right w:w="28" w:type="dxa"/>
            </w:tcMar>
            <w:vAlign w:val="center"/>
          </w:tcPr>
          <w:p w:rsidR="00641513" w:rsidRPr="001779EA" w:rsidRDefault="00641513" w:rsidP="00641513">
            <w:pPr>
              <w:pStyle w:val="Tabletext"/>
              <w:keepNext/>
              <w:rPr>
                <w:szCs w:val="20"/>
              </w:rPr>
            </w:pPr>
            <w:r w:rsidRPr="001779EA">
              <w:rPr>
                <w:szCs w:val="20"/>
              </w:rPr>
              <w:t>5.7</w:t>
            </w:r>
          </w:p>
        </w:tc>
        <w:tc>
          <w:tcPr>
            <w:tcW w:w="553" w:type="pct"/>
            <w:tcBorders>
              <w:left w:val="single" w:sz="4" w:space="0" w:color="auto"/>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r w:rsidRPr="001779EA">
              <w:rPr>
                <w:b/>
                <w:szCs w:val="20"/>
              </w:rPr>
              <w:t>0.041</w:t>
            </w:r>
          </w:p>
        </w:tc>
        <w:tc>
          <w:tcPr>
            <w:tcW w:w="755" w:type="pct"/>
            <w:tcBorders>
              <w:left w:val="single" w:sz="4" w:space="0" w:color="auto"/>
              <w:bottom w:val="single" w:sz="4" w:space="0" w:color="auto"/>
            </w:tcBorders>
            <w:tcMar>
              <w:left w:w="28" w:type="dxa"/>
              <w:right w:w="28" w:type="dxa"/>
            </w:tcMar>
            <w:vAlign w:val="center"/>
          </w:tcPr>
          <w:p w:rsidR="00641513" w:rsidRPr="001779EA" w:rsidRDefault="00641513" w:rsidP="00641513">
            <w:pPr>
              <w:pStyle w:val="TableText0"/>
              <w:rPr>
                <w:sz w:val="20"/>
                <w:szCs w:val="20"/>
              </w:rPr>
            </w:pPr>
            <w:r w:rsidRPr="001779EA">
              <w:rPr>
                <w:b/>
                <w:sz w:val="20"/>
                <w:szCs w:val="20"/>
              </w:rPr>
              <w:t>0.70 (0.50, 0.98)</w:t>
            </w:r>
          </w:p>
        </w:tc>
      </w:tr>
      <w:tr w:rsidR="00641513" w:rsidRPr="001779EA" w:rsidTr="00A628F6">
        <w:tc>
          <w:tcPr>
            <w:tcW w:w="469" w:type="pct"/>
            <w:tcBorders>
              <w:top w:val="nil"/>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p>
        </w:tc>
        <w:tc>
          <w:tcPr>
            <w:tcW w:w="629" w:type="pct"/>
            <w:gridSpan w:val="2"/>
            <w:tcBorders>
              <w:top w:val="nil"/>
              <w:left w:val="single" w:sz="4" w:space="0" w:color="auto"/>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p>
        </w:tc>
        <w:tc>
          <w:tcPr>
            <w:tcW w:w="708" w:type="pct"/>
            <w:tcBorders>
              <w:top w:val="nil"/>
              <w:left w:val="single" w:sz="4" w:space="0" w:color="auto"/>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p>
        </w:tc>
        <w:tc>
          <w:tcPr>
            <w:tcW w:w="629" w:type="pct"/>
            <w:gridSpan w:val="2"/>
            <w:tcBorders>
              <w:top w:val="nil"/>
              <w:left w:val="single" w:sz="4" w:space="0" w:color="auto"/>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p>
        </w:tc>
        <w:tc>
          <w:tcPr>
            <w:tcW w:w="706" w:type="pct"/>
            <w:gridSpan w:val="2"/>
            <w:tcBorders>
              <w:top w:val="nil"/>
              <w:left w:val="single" w:sz="4" w:space="0" w:color="auto"/>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p>
        </w:tc>
        <w:tc>
          <w:tcPr>
            <w:tcW w:w="551" w:type="pct"/>
            <w:tcBorders>
              <w:top w:val="nil"/>
              <w:left w:val="single" w:sz="4" w:space="0" w:color="auto"/>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p>
        </w:tc>
        <w:tc>
          <w:tcPr>
            <w:tcW w:w="553" w:type="pct"/>
            <w:tcBorders>
              <w:left w:val="single" w:sz="4" w:space="0" w:color="auto"/>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b/>
                <w:szCs w:val="20"/>
              </w:rPr>
            </w:pPr>
            <w:r w:rsidRPr="001779EA">
              <w:rPr>
                <w:b/>
                <w:szCs w:val="20"/>
              </w:rPr>
              <w:t xml:space="preserve">0.126 </w:t>
            </w:r>
            <w:r w:rsidRPr="001779EA">
              <w:rPr>
                <w:bCs/>
                <w:szCs w:val="20"/>
              </w:rPr>
              <w:t>(Cox proportional hazards model (adjusted)</w:t>
            </w:r>
          </w:p>
        </w:tc>
        <w:tc>
          <w:tcPr>
            <w:tcW w:w="755" w:type="pct"/>
            <w:tcBorders>
              <w:left w:val="single" w:sz="4" w:space="0" w:color="auto"/>
              <w:bottom w:val="single" w:sz="4" w:space="0" w:color="auto"/>
            </w:tcBorders>
            <w:tcMar>
              <w:left w:w="28" w:type="dxa"/>
              <w:right w:w="28" w:type="dxa"/>
            </w:tcMar>
            <w:vAlign w:val="center"/>
          </w:tcPr>
          <w:p w:rsidR="00641513" w:rsidRPr="001779EA" w:rsidRDefault="00641513" w:rsidP="00641513">
            <w:pPr>
              <w:pStyle w:val="TableText0"/>
              <w:rPr>
                <w:b/>
                <w:sz w:val="20"/>
                <w:szCs w:val="20"/>
              </w:rPr>
            </w:pPr>
            <w:r w:rsidRPr="001779EA">
              <w:rPr>
                <w:sz w:val="20"/>
                <w:szCs w:val="20"/>
              </w:rPr>
              <w:t>0.76 (0.54, 1.08)</w:t>
            </w:r>
            <w:r w:rsidRPr="001779EA">
              <w:rPr>
                <w:bCs w:val="0"/>
                <w:sz w:val="20"/>
                <w:szCs w:val="20"/>
              </w:rPr>
              <w:t xml:space="preserve"> (Cox proportional hazards model (adjusted)</w:t>
            </w:r>
          </w:p>
        </w:tc>
      </w:tr>
      <w:tr w:rsidR="00641513" w:rsidRPr="001779EA" w:rsidTr="00A628F6">
        <w:tc>
          <w:tcPr>
            <w:tcW w:w="3692" w:type="pct"/>
            <w:gridSpan w:val="9"/>
            <w:tcBorders>
              <w:bottom w:val="single" w:sz="4" w:space="0" w:color="auto"/>
              <w:right w:val="single" w:sz="4" w:space="0" w:color="auto"/>
            </w:tcBorders>
            <w:tcMar>
              <w:left w:w="28" w:type="dxa"/>
              <w:right w:w="28" w:type="dxa"/>
            </w:tcMar>
          </w:tcPr>
          <w:p w:rsidR="00641513" w:rsidRPr="001779EA" w:rsidRDefault="00641513" w:rsidP="00641513">
            <w:pPr>
              <w:pStyle w:val="Tabletext"/>
              <w:keepNext/>
              <w:rPr>
                <w:szCs w:val="20"/>
              </w:rPr>
            </w:pPr>
            <w:r w:rsidRPr="001779EA">
              <w:rPr>
                <w:szCs w:val="20"/>
              </w:rPr>
              <w:t>Pooled OS HR (95% CI) (submission base case)</w:t>
            </w:r>
          </w:p>
        </w:tc>
        <w:tc>
          <w:tcPr>
            <w:tcW w:w="1308" w:type="pct"/>
            <w:gridSpan w:val="2"/>
            <w:tcBorders>
              <w:left w:val="single" w:sz="4" w:space="0" w:color="auto"/>
              <w:bottom w:val="single" w:sz="4" w:space="0" w:color="auto"/>
            </w:tcBorders>
            <w:tcMar>
              <w:left w:w="28" w:type="dxa"/>
              <w:right w:w="28" w:type="dxa"/>
            </w:tcMar>
          </w:tcPr>
          <w:p w:rsidR="00641513" w:rsidRPr="001779EA" w:rsidRDefault="00641513" w:rsidP="00641513">
            <w:pPr>
              <w:pStyle w:val="TableText0"/>
              <w:rPr>
                <w:sz w:val="20"/>
                <w:szCs w:val="20"/>
              </w:rPr>
            </w:pPr>
            <w:r w:rsidRPr="001779EA">
              <w:rPr>
                <w:b/>
                <w:sz w:val="20"/>
                <w:szCs w:val="20"/>
              </w:rPr>
              <w:t>0.78 (0.62, 0.99)</w:t>
            </w:r>
          </w:p>
        </w:tc>
      </w:tr>
      <w:tr w:rsidR="00641513" w:rsidRPr="001779EA" w:rsidTr="00A628F6">
        <w:tc>
          <w:tcPr>
            <w:tcW w:w="3692" w:type="pct"/>
            <w:gridSpan w:val="9"/>
            <w:tcBorders>
              <w:bottom w:val="single" w:sz="4" w:space="0" w:color="auto"/>
              <w:right w:val="single" w:sz="4" w:space="0" w:color="auto"/>
            </w:tcBorders>
            <w:tcMar>
              <w:left w:w="28" w:type="dxa"/>
              <w:right w:w="28" w:type="dxa"/>
            </w:tcMar>
            <w:vAlign w:val="center"/>
          </w:tcPr>
          <w:p w:rsidR="00641513" w:rsidRPr="001779EA" w:rsidRDefault="00641513" w:rsidP="00641513">
            <w:pPr>
              <w:pStyle w:val="Tabletext"/>
              <w:keepNext/>
              <w:rPr>
                <w:szCs w:val="20"/>
              </w:rPr>
            </w:pPr>
            <w:r w:rsidRPr="001779EA">
              <w:rPr>
                <w:szCs w:val="20"/>
              </w:rPr>
              <w:t>Pooled OS HR (adjusted in FIRST)</w:t>
            </w:r>
          </w:p>
        </w:tc>
        <w:tc>
          <w:tcPr>
            <w:tcW w:w="1308" w:type="pct"/>
            <w:gridSpan w:val="2"/>
            <w:tcBorders>
              <w:left w:val="single" w:sz="4" w:space="0" w:color="auto"/>
              <w:bottom w:val="single" w:sz="4" w:space="0" w:color="auto"/>
            </w:tcBorders>
            <w:tcMar>
              <w:left w:w="28" w:type="dxa"/>
              <w:right w:w="28" w:type="dxa"/>
            </w:tcMar>
            <w:vAlign w:val="center"/>
          </w:tcPr>
          <w:p w:rsidR="00641513" w:rsidRPr="001779EA" w:rsidRDefault="00641513" w:rsidP="00641513">
            <w:pPr>
              <w:pStyle w:val="TableText0"/>
              <w:rPr>
                <w:sz w:val="20"/>
                <w:szCs w:val="20"/>
              </w:rPr>
            </w:pPr>
            <w:r w:rsidRPr="001779EA">
              <w:rPr>
                <w:sz w:val="20"/>
                <w:szCs w:val="20"/>
              </w:rPr>
              <w:t>0.82 (0.646, 1.042, p= 0.10)</w:t>
            </w:r>
          </w:p>
        </w:tc>
      </w:tr>
    </w:tbl>
    <w:p w:rsidR="0079059D" w:rsidRPr="001779EA" w:rsidRDefault="0079059D" w:rsidP="00247EDC">
      <w:pPr>
        <w:pStyle w:val="TableFigureFooter"/>
      </w:pPr>
      <w:r w:rsidRPr="001779EA">
        <w:t>CI = confidence interval; n = number of participants reporting data; N = total participants in group; NE = not evaluable due to insufficient data; OS: overall survival; PFS</w:t>
      </w:r>
      <w:r w:rsidR="009B2AAC" w:rsidRPr="001779EA">
        <w:t xml:space="preserve">= </w:t>
      </w:r>
      <w:r w:rsidRPr="001779EA">
        <w:t>progression free survival</w:t>
      </w:r>
      <w:r w:rsidR="009B2AAC" w:rsidRPr="001779EA">
        <w:t xml:space="preserve">; </w:t>
      </w:r>
      <w:r w:rsidRPr="001779EA">
        <w:t>TPP = time to progression</w:t>
      </w:r>
    </w:p>
    <w:p w:rsidR="00F007C5" w:rsidRPr="001779EA" w:rsidRDefault="00F007C5" w:rsidP="00247EDC">
      <w:pPr>
        <w:pStyle w:val="TableFigureFooter"/>
      </w:pPr>
      <w:r w:rsidRPr="001779EA">
        <w:t>* FIRST adopted TTP instead of PFS. However, the submission considered TTP and PFS to have a similar meaning.</w:t>
      </w:r>
    </w:p>
    <w:p w:rsidR="009B2AAC" w:rsidRPr="001779EA" w:rsidRDefault="009B2AAC" w:rsidP="00247EDC">
      <w:pPr>
        <w:pStyle w:val="TableFigureFooter"/>
      </w:pPr>
      <w:r w:rsidRPr="001779EA">
        <w:t>Note: Adjusted results based on Cox proportional hazards model as well as meta-analysed OS (stratified HR) were added during the evaluation.</w:t>
      </w:r>
    </w:p>
    <w:p w:rsidR="0079059D" w:rsidRPr="001779EA" w:rsidRDefault="0079059D" w:rsidP="00247EDC">
      <w:pPr>
        <w:pStyle w:val="TableFigureFooter"/>
      </w:pPr>
      <w:r w:rsidRPr="001779EA">
        <w:t>Bold indicates statistically significant results</w:t>
      </w:r>
    </w:p>
    <w:p w:rsidR="0079059D" w:rsidRPr="001779EA" w:rsidRDefault="0079059D" w:rsidP="00247EDC">
      <w:pPr>
        <w:pStyle w:val="TableFigureFooter"/>
      </w:pPr>
      <w:r w:rsidRPr="001779EA">
        <w:t>Source: Compiled during the evaluation based on Tables 2.11-2.12,2.54, pp54,56,119 of the submission</w:t>
      </w:r>
    </w:p>
    <w:p w:rsidR="0079059D" w:rsidRPr="001779EA" w:rsidRDefault="0079059D" w:rsidP="0090175C">
      <w:pPr>
        <w:pStyle w:val="Sources"/>
        <w:keepNext/>
        <w:keepLines/>
      </w:pPr>
    </w:p>
    <w:p w:rsidR="0079059D" w:rsidRPr="001779EA" w:rsidRDefault="0079059D" w:rsidP="0090175C">
      <w:pPr>
        <w:pStyle w:val="TableFigureHeading"/>
        <w:keepLines/>
      </w:pPr>
      <w:r w:rsidRPr="001779EA">
        <w:t>Figure 2: FALCON trial Kaplan-Meier plot of PFS (ITT analysis)</w:t>
      </w:r>
    </w:p>
    <w:p w:rsidR="0079059D" w:rsidRPr="001779EA" w:rsidRDefault="0079059D" w:rsidP="0090175C">
      <w:pPr>
        <w:keepNext/>
        <w:keepLines/>
      </w:pPr>
      <w:r w:rsidRPr="001779EA">
        <w:rPr>
          <w:noProof/>
        </w:rPr>
        <w:drawing>
          <wp:inline distT="0" distB="0" distL="0" distR="0" wp14:anchorId="12796F68" wp14:editId="57B39E94">
            <wp:extent cx="5731510" cy="3036570"/>
            <wp:effectExtent l="0" t="0" r="2540" b="0"/>
            <wp:docPr id="220" name="Picture 220" title="Figure 2: FALCON trial Kaplan-Meier plot of PFS (IT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036570"/>
                    </a:xfrm>
                    <a:prstGeom prst="rect">
                      <a:avLst/>
                    </a:prstGeom>
                  </pic:spPr>
                </pic:pic>
              </a:graphicData>
            </a:graphic>
          </wp:inline>
        </w:drawing>
      </w:r>
    </w:p>
    <w:p w:rsidR="0079059D" w:rsidRPr="001779EA" w:rsidRDefault="0079059D" w:rsidP="0090175C">
      <w:pPr>
        <w:pStyle w:val="TableFigureFooter"/>
        <w:keepNext/>
        <w:keepLines/>
      </w:pPr>
      <w:r w:rsidRPr="001779EA">
        <w:t>ITT = intention-to-treat; PFS = progression free survival</w:t>
      </w:r>
    </w:p>
    <w:p w:rsidR="0079059D" w:rsidRPr="001779EA" w:rsidRDefault="0079059D" w:rsidP="0090175C">
      <w:pPr>
        <w:pStyle w:val="TableFigureFooter"/>
        <w:keepNext/>
        <w:keepLines/>
      </w:pPr>
      <w:r w:rsidRPr="001779EA">
        <w:t xml:space="preserve">Source: Figure 2.2, p55 of the submission </w:t>
      </w:r>
    </w:p>
    <w:p w:rsidR="0079059D" w:rsidRPr="001779EA" w:rsidRDefault="0079059D" w:rsidP="00247EDC">
      <w:pPr>
        <w:pStyle w:val="Sources"/>
      </w:pPr>
    </w:p>
    <w:p w:rsidR="0079059D" w:rsidRPr="001779EA" w:rsidRDefault="0079059D" w:rsidP="00247EDC">
      <w:pPr>
        <w:pStyle w:val="TableFigureHeading"/>
        <w:rPr>
          <w:highlight w:val="yellow"/>
          <w:lang w:eastAsia="zh-CN"/>
        </w:rPr>
      </w:pPr>
      <w:r w:rsidRPr="001779EA">
        <w:t>Figure 3: FIRST trial Kaplan-Meier plot of TTP (FAS analysis)</w:t>
      </w:r>
    </w:p>
    <w:p w:rsidR="0079059D" w:rsidRPr="001779EA" w:rsidRDefault="0079059D" w:rsidP="00247EDC">
      <w:pPr>
        <w:pStyle w:val="Sources"/>
        <w:rPr>
          <w:lang w:eastAsia="zh-CN"/>
        </w:rPr>
      </w:pPr>
      <w:r w:rsidRPr="001779EA">
        <w:rPr>
          <w:noProof/>
          <w:lang w:eastAsia="en-AU"/>
        </w:rPr>
        <w:drawing>
          <wp:inline distT="0" distB="0" distL="0" distR="0" wp14:anchorId="20D77DA4" wp14:editId="05FBC94F">
            <wp:extent cx="5731510" cy="2702560"/>
            <wp:effectExtent l="0" t="0" r="2540" b="2540"/>
            <wp:docPr id="221" name="Picture 221" title="Figure 3: FIRST trial Kaplan-Meier plot of TTP (FAS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02560"/>
                    </a:xfrm>
                    <a:prstGeom prst="rect">
                      <a:avLst/>
                    </a:prstGeom>
                  </pic:spPr>
                </pic:pic>
              </a:graphicData>
            </a:graphic>
          </wp:inline>
        </w:drawing>
      </w:r>
    </w:p>
    <w:p w:rsidR="0079059D" w:rsidRPr="001779EA" w:rsidRDefault="0079059D" w:rsidP="00247EDC">
      <w:pPr>
        <w:pStyle w:val="TableFigureFooter"/>
      </w:pPr>
      <w:r w:rsidRPr="001779EA">
        <w:t>FAS = full analysis set; TTP = time to progression</w:t>
      </w:r>
    </w:p>
    <w:p w:rsidR="0079059D" w:rsidRPr="001779EA" w:rsidRDefault="0079059D" w:rsidP="00247EDC">
      <w:pPr>
        <w:pStyle w:val="TableFigureFooter"/>
      </w:pPr>
      <w:r w:rsidRPr="001779EA">
        <w:t xml:space="preserve">Source: Figure 2.3, p56 of the submission </w:t>
      </w:r>
    </w:p>
    <w:p w:rsidR="0079059D" w:rsidRPr="001779EA" w:rsidRDefault="0079059D" w:rsidP="00247EDC">
      <w:pPr>
        <w:pStyle w:val="TableFigureFooter"/>
      </w:pPr>
    </w:p>
    <w:p w:rsidR="0079059D" w:rsidRPr="001779EA" w:rsidRDefault="0079059D" w:rsidP="00247EDC">
      <w:pPr>
        <w:pStyle w:val="TableFigureHeading"/>
      </w:pPr>
      <w:r w:rsidRPr="001779EA">
        <w:lastRenderedPageBreak/>
        <w:t>Figure 4: FIRST trial Kaplan-Meier plot of OS (FAS analysis)</w:t>
      </w:r>
    </w:p>
    <w:p w:rsidR="0079059D" w:rsidRPr="001779EA" w:rsidRDefault="0079059D" w:rsidP="00247EDC">
      <w:pPr>
        <w:pStyle w:val="Sources"/>
      </w:pPr>
      <w:r w:rsidRPr="001779EA">
        <w:rPr>
          <w:noProof/>
          <w:lang w:eastAsia="en-AU"/>
        </w:rPr>
        <w:drawing>
          <wp:inline distT="0" distB="0" distL="0" distR="0" wp14:anchorId="27668F2D" wp14:editId="248F8306">
            <wp:extent cx="5731510" cy="2830830"/>
            <wp:effectExtent l="0" t="0" r="2540" b="7620"/>
            <wp:docPr id="222" name="Picture 222" title="Figure 4: FIRST trial Kaplan-Meier plot of OS (FAS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30830"/>
                    </a:xfrm>
                    <a:prstGeom prst="rect">
                      <a:avLst/>
                    </a:prstGeom>
                  </pic:spPr>
                </pic:pic>
              </a:graphicData>
            </a:graphic>
          </wp:inline>
        </w:drawing>
      </w:r>
    </w:p>
    <w:p w:rsidR="0079059D" w:rsidRPr="001779EA" w:rsidRDefault="0079059D" w:rsidP="00247EDC">
      <w:pPr>
        <w:pStyle w:val="TableFigureFooter"/>
      </w:pPr>
      <w:r w:rsidRPr="001779EA">
        <w:t>FAS = full analysis set; PFS = overall survival</w:t>
      </w:r>
    </w:p>
    <w:p w:rsidR="0079059D" w:rsidRPr="001779EA" w:rsidRDefault="0079059D" w:rsidP="00247EDC">
      <w:pPr>
        <w:pStyle w:val="TableFigureFooter"/>
      </w:pPr>
      <w:r w:rsidRPr="001779EA">
        <w:t xml:space="preserve">Source: Figure 2.4, p57 of the submission </w:t>
      </w:r>
    </w:p>
    <w:p w:rsidR="0079059D" w:rsidRPr="001779EA" w:rsidRDefault="0079059D" w:rsidP="00247EDC">
      <w:pPr>
        <w:pStyle w:val="TableFigureFooter"/>
      </w:pPr>
    </w:p>
    <w:p w:rsidR="0079059D" w:rsidRPr="001779EA" w:rsidRDefault="0079059D" w:rsidP="00247EDC">
      <w:pPr>
        <w:pStyle w:val="3-BodyText"/>
      </w:pPr>
      <w:r w:rsidRPr="001779EA">
        <w:t>TTP was reported in FIRST</w:t>
      </w:r>
      <w:r w:rsidR="000E57A9" w:rsidRPr="001779EA">
        <w:t xml:space="preserve"> instead of PFS</w:t>
      </w:r>
      <w:r w:rsidRPr="001779EA">
        <w:t xml:space="preserve">. The definition of TTP in FIRST </w:t>
      </w:r>
      <w:r w:rsidR="00BA2808" w:rsidRPr="001779EA">
        <w:t>wa</w:t>
      </w:r>
      <w:r w:rsidRPr="001779EA">
        <w:t xml:space="preserve">s similar to the </w:t>
      </w:r>
      <w:r w:rsidR="00BA2808" w:rsidRPr="001779EA">
        <w:t xml:space="preserve">definition of </w:t>
      </w:r>
      <w:r w:rsidRPr="001779EA">
        <w:t>PFS in FALCON</w:t>
      </w:r>
      <w:r w:rsidR="000E57A9" w:rsidRPr="001779EA">
        <w:t xml:space="preserve"> </w:t>
      </w:r>
      <w:r w:rsidRPr="001779EA">
        <w:t xml:space="preserve">and </w:t>
      </w:r>
      <w:r w:rsidR="00BA2808" w:rsidRPr="001779EA">
        <w:t xml:space="preserve">thus the two outcomes were </w:t>
      </w:r>
      <w:r w:rsidRPr="001779EA">
        <w:t>comparable.</w:t>
      </w:r>
    </w:p>
    <w:p w:rsidR="00280A39" w:rsidRPr="001779EA" w:rsidRDefault="0079059D" w:rsidP="00247EDC">
      <w:pPr>
        <w:pStyle w:val="3-BodyText"/>
      </w:pPr>
      <w:r w:rsidRPr="001779EA">
        <w:rPr>
          <w:lang w:eastAsia="zh-CN"/>
        </w:rPr>
        <w:t xml:space="preserve">The pooled OS hazard ratio </w:t>
      </w:r>
      <w:r w:rsidRPr="001779EA">
        <w:t xml:space="preserve">(HR: 0.78; 95% CI: 0.62, 0.99) used as the </w:t>
      </w:r>
      <w:r w:rsidR="00816F95" w:rsidRPr="001779EA">
        <w:t>basis of the clinical claim</w:t>
      </w:r>
      <w:r w:rsidR="00816F95" w:rsidRPr="001779EA">
        <w:rPr>
          <w:i/>
        </w:rPr>
        <w:t xml:space="preserve"> </w:t>
      </w:r>
      <w:r w:rsidRPr="001779EA">
        <w:t xml:space="preserve">suggested that fulvestrant was superior over anastrozole. </w:t>
      </w:r>
      <w:r w:rsidRPr="001779EA">
        <w:rPr>
          <w:iCs/>
        </w:rPr>
        <w:t>However, using the adjusted hazard ratio from FIRST</w:t>
      </w:r>
      <w:r w:rsidR="000E57A9" w:rsidRPr="001779EA">
        <w:rPr>
          <w:iCs/>
        </w:rPr>
        <w:t>,</w:t>
      </w:r>
      <w:r w:rsidR="00F87A36" w:rsidRPr="001779EA">
        <w:rPr>
          <w:iCs/>
        </w:rPr>
        <w:t xml:space="preserve"> </w:t>
      </w:r>
      <w:r w:rsidRPr="001779EA">
        <w:rPr>
          <w:iCs/>
        </w:rPr>
        <w:t>the</w:t>
      </w:r>
      <w:r w:rsidRPr="001779EA">
        <w:t xml:space="preserve"> meta-analysed hazard ratio is</w:t>
      </w:r>
      <w:r w:rsidR="007C28EB" w:rsidRPr="001779EA">
        <w:t xml:space="preserve"> higher and</w:t>
      </w:r>
      <w:r w:rsidRPr="001779EA">
        <w:t xml:space="preserve"> not statistically significant (p=0.10): 0.820 (95% </w:t>
      </w:r>
      <w:r w:rsidR="009173CE" w:rsidRPr="001779EA">
        <w:t>CI</w:t>
      </w:r>
      <w:r w:rsidR="00267231" w:rsidRPr="001779EA">
        <w:t>:</w:t>
      </w:r>
      <w:r w:rsidRPr="001779EA">
        <w:t xml:space="preserve"> 0.646</w:t>
      </w:r>
      <w:r w:rsidR="003E50E8" w:rsidRPr="001779EA">
        <w:t>,</w:t>
      </w:r>
      <w:r w:rsidRPr="001779EA">
        <w:t xml:space="preserve"> 1.042). </w:t>
      </w:r>
    </w:p>
    <w:p w:rsidR="00405093" w:rsidRPr="001779EA" w:rsidRDefault="00DB33EF" w:rsidP="00BB0F12">
      <w:pPr>
        <w:pStyle w:val="3-BodyText"/>
      </w:pPr>
      <w:r w:rsidRPr="001779EA">
        <w:t xml:space="preserve">Overall, </w:t>
      </w:r>
      <w:r w:rsidR="00BA2808" w:rsidRPr="001779EA">
        <w:t xml:space="preserve">the commentary and the ESC considered that </w:t>
      </w:r>
      <w:r w:rsidRPr="001779EA">
        <w:t>i</w:t>
      </w:r>
      <w:r w:rsidR="0079059D" w:rsidRPr="001779EA">
        <w:t xml:space="preserve">t </w:t>
      </w:r>
      <w:r w:rsidR="0002018F" w:rsidRPr="001779EA">
        <w:t>may be</w:t>
      </w:r>
      <w:r w:rsidR="0079059D" w:rsidRPr="001779EA">
        <w:t xml:space="preserve"> inappropriate to combine the results of FALCON and FIRST for the following reasons</w:t>
      </w:r>
      <w:r w:rsidR="00405093" w:rsidRPr="001779EA">
        <w:t>:</w:t>
      </w:r>
    </w:p>
    <w:p w:rsidR="00405093" w:rsidRPr="001779EA" w:rsidRDefault="0079059D" w:rsidP="00816F95">
      <w:pPr>
        <w:pStyle w:val="Bulletpoints"/>
        <w:widowControl w:val="0"/>
        <w:spacing w:after="0"/>
        <w:ind w:left="1134"/>
        <w:contextualSpacing w:val="0"/>
      </w:pPr>
      <w:r w:rsidRPr="001779EA">
        <w:t>Most (53%) patients in</w:t>
      </w:r>
      <w:r w:rsidR="003E6469" w:rsidRPr="001779EA">
        <w:t xml:space="preserve"> FIRST were either HER2+ or</w:t>
      </w:r>
      <w:r w:rsidRPr="001779EA">
        <w:t xml:space="preserve"> HER2 unknown status, and so a large proportion of patients were not relevant to the target HER2- population.</w:t>
      </w:r>
    </w:p>
    <w:p w:rsidR="0079059D" w:rsidRDefault="0079059D" w:rsidP="00816F95">
      <w:pPr>
        <w:pStyle w:val="Bulletpoints"/>
        <w:widowControl w:val="0"/>
        <w:ind w:left="1134" w:hanging="357"/>
        <w:contextualSpacing w:val="0"/>
      </w:pPr>
      <w:r w:rsidRPr="001779EA">
        <w:t>25% of patients in FIRST had received prior endocrine therapies</w:t>
      </w:r>
      <w:r w:rsidR="00813DC3" w:rsidRPr="001779EA">
        <w:t xml:space="preserve"> for early disease</w:t>
      </w:r>
      <w:r w:rsidRPr="001779EA">
        <w:t>, while FALCON excluded such patients.</w:t>
      </w:r>
      <w:r w:rsidR="0020707C" w:rsidRPr="001779EA">
        <w:t xml:space="preserve"> While prior endocrine usage in patients would be allowed under the proposed restriction, the base case of the economic model used data from the subgroup of patients in FIRST who had no prior endocrine therapy (along with the ITT </w:t>
      </w:r>
      <w:r w:rsidR="00C1729D" w:rsidRPr="001779EA">
        <w:t xml:space="preserve">population </w:t>
      </w:r>
      <w:r w:rsidR="0020707C" w:rsidRPr="001779EA">
        <w:t xml:space="preserve">of FALCON) to align with proposed use in the UK setting, given that the economic evaluation model was originally developed for NICE. </w:t>
      </w:r>
      <w:r w:rsidR="00EF58DD" w:rsidRPr="001779EA">
        <w:t>S</w:t>
      </w:r>
      <w:r w:rsidR="0020707C" w:rsidRPr="001779EA">
        <w:t xml:space="preserve">ubgroup </w:t>
      </w:r>
      <w:r w:rsidR="00EF58DD" w:rsidRPr="001779EA">
        <w:t xml:space="preserve">results for </w:t>
      </w:r>
      <w:r w:rsidR="00AF4D18" w:rsidRPr="001779EA">
        <w:t>OS</w:t>
      </w:r>
      <w:r w:rsidR="00BD329E" w:rsidRPr="001779EA">
        <w:t xml:space="preserve"> </w:t>
      </w:r>
      <w:r w:rsidR="00EF58DD" w:rsidRPr="001779EA">
        <w:t>from</w:t>
      </w:r>
      <w:r w:rsidR="00BD329E" w:rsidRPr="001779EA">
        <w:t xml:space="preserve"> FIRST</w:t>
      </w:r>
      <w:r w:rsidR="00AF4D18" w:rsidRPr="001779EA">
        <w:t xml:space="preserve"> </w:t>
      </w:r>
      <w:r w:rsidR="00813DC3" w:rsidRPr="001779EA">
        <w:t>(which inform the</w:t>
      </w:r>
      <w:r w:rsidR="000E57A9" w:rsidRPr="001779EA">
        <w:t xml:space="preserve"> base case of the</w:t>
      </w:r>
      <w:r w:rsidR="00813DC3" w:rsidRPr="001779EA">
        <w:t xml:space="preserve"> model)</w:t>
      </w:r>
      <w:r w:rsidR="00813DC3" w:rsidRPr="001779EA">
        <w:rPr>
          <w:i/>
        </w:rPr>
        <w:t xml:space="preserve"> </w:t>
      </w:r>
      <w:r w:rsidR="0020707C" w:rsidRPr="001779EA">
        <w:t xml:space="preserve">are presented in </w:t>
      </w:r>
      <w:r w:rsidR="00730DCC" w:rsidRPr="001779EA">
        <w:t>T</w:t>
      </w:r>
      <w:r w:rsidR="0020707C" w:rsidRPr="001779EA">
        <w:t xml:space="preserve">able </w:t>
      </w:r>
      <w:r w:rsidR="006E12CF" w:rsidRPr="001779EA">
        <w:t>5</w:t>
      </w:r>
      <w:r w:rsidR="0020707C" w:rsidRPr="001779EA">
        <w:t>.</w:t>
      </w:r>
      <w:r w:rsidR="006C18E0" w:rsidRPr="001779EA">
        <w:t xml:space="preserve"> </w:t>
      </w:r>
    </w:p>
    <w:p w:rsidR="00B81762" w:rsidRPr="001779EA" w:rsidRDefault="00B81762" w:rsidP="00B81762">
      <w:pPr>
        <w:pStyle w:val="Bulletpoints"/>
        <w:widowControl w:val="0"/>
        <w:numPr>
          <w:ilvl w:val="0"/>
          <w:numId w:val="0"/>
        </w:numPr>
        <w:ind w:left="1134"/>
        <w:contextualSpacing w:val="0"/>
      </w:pPr>
    </w:p>
    <w:p w:rsidR="0061467D" w:rsidRPr="001779EA" w:rsidRDefault="0061467D" w:rsidP="00CC7397">
      <w:pPr>
        <w:pStyle w:val="TableFigureHeading"/>
        <w:spacing w:before="240"/>
      </w:pPr>
      <w:r w:rsidRPr="001779EA">
        <w:lastRenderedPageBreak/>
        <w:t xml:space="preserve">Table </w:t>
      </w:r>
      <w:r w:rsidR="006E12CF" w:rsidRPr="001779EA">
        <w:t>5</w:t>
      </w:r>
      <w:r w:rsidRPr="001779EA">
        <w:t xml:space="preserve">: OS hazard ratios for the subgroup analysis conducted in FIRST patients </w:t>
      </w:r>
      <w:r w:rsidR="00BD329E" w:rsidRPr="001779EA">
        <w:t>based on</w:t>
      </w:r>
      <w:r w:rsidRPr="001779EA">
        <w:t xml:space="preserve"> prior endocrine treatment</w:t>
      </w:r>
      <w:r w:rsidR="00AD3287" w:rsidRPr="001779EA">
        <w:t xml:space="preserve"> for early disease</w:t>
      </w:r>
    </w:p>
    <w:tbl>
      <w:tblPr>
        <w:tblStyle w:val="TableGrid"/>
        <w:tblW w:w="5000" w:type="pct"/>
        <w:jc w:val="center"/>
        <w:tblLook w:val="04A0" w:firstRow="1" w:lastRow="0" w:firstColumn="1" w:lastColumn="0" w:noHBand="0" w:noVBand="1"/>
        <w:tblCaption w:val="Table 5: OS hazard ratios for the subgroup analysis conducted in FIRST patients based on prior endocrine treatment for early disease"/>
      </w:tblPr>
      <w:tblGrid>
        <w:gridCol w:w="4436"/>
        <w:gridCol w:w="2063"/>
        <w:gridCol w:w="2518"/>
      </w:tblGrid>
      <w:tr w:rsidR="0061467D" w:rsidRPr="001779EA" w:rsidTr="00107F9F">
        <w:trPr>
          <w:tblHeader/>
          <w:jc w:val="center"/>
        </w:trPr>
        <w:tc>
          <w:tcPr>
            <w:tcW w:w="2460" w:type="pct"/>
          </w:tcPr>
          <w:p w:rsidR="0061467D" w:rsidRPr="001779EA" w:rsidRDefault="0061467D" w:rsidP="0061467D">
            <w:pPr>
              <w:pStyle w:val="TableHeading0"/>
            </w:pPr>
            <w:r w:rsidRPr="001779EA">
              <w:t>Prior endocrine therapy status</w:t>
            </w:r>
          </w:p>
        </w:tc>
        <w:tc>
          <w:tcPr>
            <w:tcW w:w="1144" w:type="pct"/>
          </w:tcPr>
          <w:p w:rsidR="0061467D" w:rsidRPr="001779EA" w:rsidRDefault="0061467D" w:rsidP="0061467D">
            <w:pPr>
              <w:pStyle w:val="TableHeading0"/>
            </w:pPr>
            <w:r w:rsidRPr="001779EA">
              <w:t>N</w:t>
            </w:r>
          </w:p>
        </w:tc>
        <w:tc>
          <w:tcPr>
            <w:tcW w:w="1396" w:type="pct"/>
          </w:tcPr>
          <w:p w:rsidR="0061467D" w:rsidRPr="001779EA" w:rsidRDefault="0061467D" w:rsidP="0061467D">
            <w:pPr>
              <w:pStyle w:val="TableHeading0"/>
            </w:pPr>
            <w:r w:rsidRPr="001779EA">
              <w:t>HR (95% CI)</w:t>
            </w:r>
          </w:p>
        </w:tc>
      </w:tr>
      <w:tr w:rsidR="0061467D" w:rsidRPr="001779EA" w:rsidTr="00A628F6">
        <w:trPr>
          <w:jc w:val="center"/>
        </w:trPr>
        <w:tc>
          <w:tcPr>
            <w:tcW w:w="2460" w:type="pct"/>
          </w:tcPr>
          <w:p w:rsidR="0061467D" w:rsidRPr="001779EA" w:rsidRDefault="0061467D" w:rsidP="0082352B">
            <w:pPr>
              <w:pStyle w:val="Tabletext"/>
              <w:rPr>
                <w:vertAlign w:val="superscript"/>
              </w:rPr>
            </w:pPr>
            <w:r w:rsidRPr="001779EA">
              <w:t>Without prior endocrine therapy</w:t>
            </w:r>
            <w:r w:rsidR="0082352B" w:rsidRPr="001779EA">
              <w:t xml:space="preserve"> </w:t>
            </w:r>
            <w:r w:rsidR="0082352B" w:rsidRPr="001779EA">
              <w:rPr>
                <w:vertAlign w:val="superscript"/>
              </w:rPr>
              <w:t>a</w:t>
            </w:r>
          </w:p>
        </w:tc>
        <w:tc>
          <w:tcPr>
            <w:tcW w:w="1144" w:type="pct"/>
          </w:tcPr>
          <w:p w:rsidR="0061467D" w:rsidRPr="001779EA" w:rsidRDefault="0061467D" w:rsidP="0061467D">
            <w:pPr>
              <w:pStyle w:val="Tabletext"/>
            </w:pPr>
            <w:r w:rsidRPr="001779EA">
              <w:t>153/205 = 74.60%</w:t>
            </w:r>
          </w:p>
        </w:tc>
        <w:tc>
          <w:tcPr>
            <w:tcW w:w="1396" w:type="pct"/>
          </w:tcPr>
          <w:p w:rsidR="0061467D" w:rsidRPr="001779EA" w:rsidRDefault="0061467D" w:rsidP="0061467D">
            <w:pPr>
              <w:pStyle w:val="Tabletext"/>
              <w:rPr>
                <w:b/>
              </w:rPr>
            </w:pPr>
            <w:r w:rsidRPr="001779EA">
              <w:rPr>
                <w:b/>
              </w:rPr>
              <w:t>0.63 (95% CI: 0.42, 0.93)</w:t>
            </w:r>
          </w:p>
        </w:tc>
      </w:tr>
      <w:tr w:rsidR="0061467D" w:rsidRPr="001779EA" w:rsidTr="00A628F6">
        <w:trPr>
          <w:jc w:val="center"/>
        </w:trPr>
        <w:tc>
          <w:tcPr>
            <w:tcW w:w="2460" w:type="pct"/>
          </w:tcPr>
          <w:p w:rsidR="0061467D" w:rsidRPr="001779EA" w:rsidRDefault="0061467D" w:rsidP="0061467D">
            <w:pPr>
              <w:pStyle w:val="Tabletext"/>
            </w:pPr>
            <w:r w:rsidRPr="001779EA">
              <w:t>With prior endocrine therapy</w:t>
            </w:r>
          </w:p>
        </w:tc>
        <w:tc>
          <w:tcPr>
            <w:tcW w:w="1144" w:type="pct"/>
          </w:tcPr>
          <w:p w:rsidR="0061467D" w:rsidRPr="001779EA" w:rsidRDefault="0061467D" w:rsidP="0061467D">
            <w:pPr>
              <w:pStyle w:val="Tabletext"/>
            </w:pPr>
            <w:r w:rsidRPr="001779EA">
              <w:t>52/205 = 25.4%</w:t>
            </w:r>
          </w:p>
        </w:tc>
        <w:tc>
          <w:tcPr>
            <w:tcW w:w="1396" w:type="pct"/>
          </w:tcPr>
          <w:p w:rsidR="0061467D" w:rsidRPr="001779EA" w:rsidRDefault="0082352B" w:rsidP="0061467D">
            <w:pPr>
              <w:pStyle w:val="Tabletext"/>
            </w:pPr>
            <w:r w:rsidRPr="001779EA">
              <w:t>1.01 (95%</w:t>
            </w:r>
            <w:r w:rsidR="000C72B2" w:rsidRPr="001779EA">
              <w:t xml:space="preserve"> </w:t>
            </w:r>
            <w:r w:rsidRPr="001779EA">
              <w:t>CI: 0.51, 1.99)</w:t>
            </w:r>
          </w:p>
        </w:tc>
      </w:tr>
      <w:tr w:rsidR="0082352B" w:rsidRPr="001779EA" w:rsidTr="00A628F6">
        <w:trPr>
          <w:jc w:val="center"/>
        </w:trPr>
        <w:tc>
          <w:tcPr>
            <w:tcW w:w="2460" w:type="pct"/>
          </w:tcPr>
          <w:p w:rsidR="0082352B" w:rsidRPr="001779EA" w:rsidRDefault="0082352B" w:rsidP="0061467D">
            <w:pPr>
              <w:pStyle w:val="Tabletext"/>
            </w:pPr>
            <w:r w:rsidRPr="001779EA">
              <w:t>Full analysis set</w:t>
            </w:r>
          </w:p>
        </w:tc>
        <w:tc>
          <w:tcPr>
            <w:tcW w:w="1144" w:type="pct"/>
          </w:tcPr>
          <w:p w:rsidR="0082352B" w:rsidRPr="001779EA" w:rsidRDefault="0082352B" w:rsidP="0061467D">
            <w:pPr>
              <w:pStyle w:val="Tabletext"/>
            </w:pPr>
            <w:r w:rsidRPr="001779EA">
              <w:t>205</w:t>
            </w:r>
          </w:p>
        </w:tc>
        <w:tc>
          <w:tcPr>
            <w:tcW w:w="1396" w:type="pct"/>
          </w:tcPr>
          <w:p w:rsidR="0082352B" w:rsidRPr="001779EA" w:rsidRDefault="0082352B" w:rsidP="0061467D">
            <w:pPr>
              <w:pStyle w:val="Tabletext"/>
              <w:rPr>
                <w:b/>
              </w:rPr>
            </w:pPr>
            <w:r w:rsidRPr="001779EA">
              <w:rPr>
                <w:b/>
              </w:rPr>
              <w:t>0.70 (95% CI: 0.50, 0.98)</w:t>
            </w:r>
          </w:p>
        </w:tc>
      </w:tr>
    </w:tbl>
    <w:p w:rsidR="0079059D" w:rsidRPr="001779EA" w:rsidRDefault="00730DCC" w:rsidP="00730DCC">
      <w:pPr>
        <w:pStyle w:val="TableFigureFooter"/>
      </w:pPr>
      <w:r w:rsidRPr="001779EA">
        <w:t>CI: Confidence interval, HR: Hazard ratio</w:t>
      </w:r>
    </w:p>
    <w:p w:rsidR="00730DCC" w:rsidRPr="001779EA" w:rsidRDefault="00730DCC" w:rsidP="00730DCC">
      <w:pPr>
        <w:pStyle w:val="TableFigureFooter"/>
      </w:pPr>
      <w:r w:rsidRPr="001779EA">
        <w:t>Source: Compiled during the evaluation based on section 2A.7</w:t>
      </w:r>
      <w:r w:rsidR="0082352B" w:rsidRPr="001779EA">
        <w:t>; p18, FIRST CSR Addendum 3</w:t>
      </w:r>
    </w:p>
    <w:p w:rsidR="0082352B" w:rsidRPr="001779EA" w:rsidRDefault="0082352B" w:rsidP="00730DCC">
      <w:pPr>
        <w:pStyle w:val="TableFigureFooter"/>
      </w:pPr>
      <w:r w:rsidRPr="001779EA">
        <w:rPr>
          <w:vertAlign w:val="superscript"/>
        </w:rPr>
        <w:t>a</w:t>
      </w:r>
      <w:r w:rsidRPr="001779EA">
        <w:t xml:space="preserve"> Data from this subgroup (along with data from FALCON) were used in the base case of the economic model.</w:t>
      </w:r>
    </w:p>
    <w:p w:rsidR="00730DCC" w:rsidRPr="001779EA" w:rsidRDefault="00730DCC" w:rsidP="00730DCC">
      <w:pPr>
        <w:pStyle w:val="TableFigureFooter"/>
      </w:pPr>
    </w:p>
    <w:p w:rsidR="00CA089F" w:rsidRPr="001779EA" w:rsidRDefault="00CA089F" w:rsidP="00CA089F">
      <w:pPr>
        <w:pStyle w:val="3-BodyText"/>
      </w:pPr>
      <w:r w:rsidRPr="001779EA">
        <w:t>The PSCR stated that the presence of visceral disease was a treatment effect modifier both in FALCON and FIRST, with subgroup analyses showing a greater relative treatment effect in patients with non-visceral disease (e.g. the HR for PFS in FALCON was 0</w:t>
      </w:r>
      <w:r w:rsidR="0092122F" w:rsidRPr="001779EA">
        <w:t>.</w:t>
      </w:r>
      <w:r w:rsidRPr="001779EA">
        <w:t>59 (95% CI: 0</w:t>
      </w:r>
      <w:r w:rsidR="0092122F" w:rsidRPr="001779EA">
        <w:t>.</w:t>
      </w:r>
      <w:r w:rsidRPr="001779EA">
        <w:t xml:space="preserve">42, </w:t>
      </w:r>
      <w:r w:rsidR="0092122F" w:rsidRPr="001779EA">
        <w:t>0.</w:t>
      </w:r>
      <w:r w:rsidRPr="001779EA">
        <w:t xml:space="preserve">84) in patients with non-visceral disease compared with </w:t>
      </w:r>
      <w:r w:rsidR="0092122F" w:rsidRPr="001779EA">
        <w:t>0.</w:t>
      </w:r>
      <w:r w:rsidRPr="001779EA">
        <w:t xml:space="preserve">99 (95% CI: </w:t>
      </w:r>
      <w:r w:rsidR="0092122F" w:rsidRPr="001779EA">
        <w:t>0.</w:t>
      </w:r>
      <w:r w:rsidRPr="001779EA">
        <w:t>74, 1</w:t>
      </w:r>
      <w:r w:rsidR="0092122F" w:rsidRPr="001779EA">
        <w:t>.</w:t>
      </w:r>
      <w:r w:rsidRPr="001779EA">
        <w:t>33) in the visceral disease subgroup).</w:t>
      </w:r>
      <w:r w:rsidR="0092122F" w:rsidRPr="001779EA">
        <w:t xml:space="preserve"> The PSCR further stated that p</w:t>
      </w:r>
      <w:r w:rsidRPr="001779EA">
        <w:t>atients with visceral disease are more likely to be treated with chemotherapy rather than endocrine therapy</w:t>
      </w:r>
      <w:r w:rsidR="0092122F" w:rsidRPr="001779EA">
        <w:t xml:space="preserve"> and t</w:t>
      </w:r>
      <w:r w:rsidRPr="001779EA">
        <w:t>herefore, the relative treatment effect of fulvestrant in the patient group for which it would be used in Australian clinical practice (i.e. non-visceral disease) is greater than the overall trial population</w:t>
      </w:r>
      <w:r w:rsidR="0092122F" w:rsidRPr="001779EA">
        <w:t xml:space="preserve"> results</w:t>
      </w:r>
      <w:r w:rsidRPr="001779EA">
        <w:t>.</w:t>
      </w:r>
    </w:p>
    <w:p w:rsidR="0079059D" w:rsidRPr="001779EA" w:rsidRDefault="0079059D" w:rsidP="00247EDC">
      <w:pPr>
        <w:pStyle w:val="4-SubsectionHeading"/>
      </w:pPr>
      <w:bookmarkStart w:id="30" w:name="_Toc22897642"/>
      <w:bookmarkStart w:id="31" w:name="_Toc38290344"/>
      <w:bookmarkStart w:id="32" w:name="_Toc38305891"/>
      <w:bookmarkStart w:id="33" w:name="_Toc40935316"/>
      <w:r w:rsidRPr="001779EA">
        <w:t>Comparative harms</w:t>
      </w:r>
      <w:bookmarkEnd w:id="30"/>
      <w:bookmarkEnd w:id="31"/>
      <w:bookmarkEnd w:id="32"/>
      <w:r w:rsidR="00CC0BBD" w:rsidRPr="001779EA">
        <w:t xml:space="preserve"> (first</w:t>
      </w:r>
      <w:r w:rsidRPr="001779EA">
        <w:t>-line)</w:t>
      </w:r>
      <w:bookmarkEnd w:id="33"/>
    </w:p>
    <w:p w:rsidR="0079059D" w:rsidRPr="001779EA" w:rsidRDefault="0079059D" w:rsidP="00247EDC">
      <w:pPr>
        <w:pStyle w:val="3-BodyText"/>
      </w:pPr>
      <w:r w:rsidRPr="001779EA">
        <w:t xml:space="preserve">A summary of adverse events (AEs) in FALCON </w:t>
      </w:r>
      <w:r w:rsidR="0070032E" w:rsidRPr="001779EA">
        <w:t xml:space="preserve">and FIRST is provided in Table </w:t>
      </w:r>
      <w:r w:rsidR="006E12CF" w:rsidRPr="001779EA">
        <w:t>6</w:t>
      </w:r>
      <w:r w:rsidRPr="001779EA">
        <w:t>.</w:t>
      </w:r>
      <w:r w:rsidR="00BA2808" w:rsidRPr="001779EA">
        <w:t xml:space="preserve"> The submission stated that the incidences of AEs were generally comparable between treatment arms in FALCON and FIRST.</w:t>
      </w:r>
    </w:p>
    <w:p w:rsidR="0079059D" w:rsidRPr="001779EA" w:rsidRDefault="0070032E" w:rsidP="00247EDC">
      <w:pPr>
        <w:pStyle w:val="TableFigureHeading"/>
        <w:keepLines/>
      </w:pPr>
      <w:r w:rsidRPr="001779EA">
        <w:t xml:space="preserve">Table </w:t>
      </w:r>
      <w:r w:rsidR="006E12CF" w:rsidRPr="001779EA">
        <w:t>6</w:t>
      </w:r>
      <w:r w:rsidR="0079059D" w:rsidRPr="001779EA">
        <w:t>: Overview of adverse events from the FALCON and FIRST studies</w:t>
      </w:r>
    </w:p>
    <w:tbl>
      <w:tblPr>
        <w:tblStyle w:val="AZTable"/>
        <w:tblW w:w="5063" w:type="pct"/>
        <w:tblInd w:w="-5" w:type="dxa"/>
        <w:tblLayout w:type="fixed"/>
        <w:tblLook w:val="04A0" w:firstRow="1" w:lastRow="0" w:firstColumn="1" w:lastColumn="0" w:noHBand="0" w:noVBand="1"/>
        <w:tblCaption w:val="Table 6: Overview of adverse events from the FALCON and FIRST studies"/>
      </w:tblPr>
      <w:tblGrid>
        <w:gridCol w:w="3871"/>
        <w:gridCol w:w="1292"/>
        <w:gridCol w:w="1293"/>
        <w:gridCol w:w="1293"/>
        <w:gridCol w:w="1382"/>
      </w:tblGrid>
      <w:tr w:rsidR="0079059D" w:rsidRPr="001779EA" w:rsidTr="00107F9F">
        <w:trPr>
          <w:cnfStyle w:val="100000000000" w:firstRow="1" w:lastRow="0" w:firstColumn="0" w:lastColumn="0" w:oddVBand="0" w:evenVBand="0" w:oddHBand="0" w:evenHBand="0" w:firstRowFirstColumn="0" w:firstRowLastColumn="0" w:lastRowFirstColumn="0" w:lastRowLastColumn="0"/>
          <w:trHeight w:val="300"/>
          <w:tblHeader/>
        </w:trPr>
        <w:tc>
          <w:tcPr>
            <w:tcW w:w="2119" w:type="pct"/>
            <w:tcBorders>
              <w:bottom w:val="nil"/>
            </w:tcBorders>
            <w:noWrap/>
            <w:hideMark/>
          </w:tcPr>
          <w:p w:rsidR="0079059D" w:rsidRPr="001779EA" w:rsidRDefault="0079059D" w:rsidP="00247EDC">
            <w:pPr>
              <w:pStyle w:val="In-tableHeading"/>
              <w:rPr>
                <w:sz w:val="20"/>
                <w:szCs w:val="20"/>
                <w:lang w:val="en-AU"/>
              </w:rPr>
            </w:pPr>
            <w:r w:rsidRPr="001779EA">
              <w:rPr>
                <w:sz w:val="20"/>
                <w:szCs w:val="20"/>
                <w:lang w:val="en-AU"/>
              </w:rPr>
              <w:t> </w:t>
            </w:r>
          </w:p>
        </w:tc>
        <w:tc>
          <w:tcPr>
            <w:tcW w:w="1415" w:type="pct"/>
            <w:gridSpan w:val="2"/>
            <w:noWrap/>
            <w:hideMark/>
          </w:tcPr>
          <w:p w:rsidR="0079059D" w:rsidRPr="001779EA" w:rsidRDefault="009302F3" w:rsidP="00247EDC">
            <w:pPr>
              <w:pStyle w:val="In-tableHeading"/>
              <w:rPr>
                <w:sz w:val="20"/>
                <w:szCs w:val="20"/>
                <w:lang w:val="en-AU"/>
              </w:rPr>
            </w:pPr>
            <w:r w:rsidRPr="001779EA">
              <w:rPr>
                <w:sz w:val="20"/>
                <w:szCs w:val="20"/>
                <w:lang w:val="en-AU"/>
              </w:rPr>
              <w:t>FALCON</w:t>
            </w:r>
          </w:p>
        </w:tc>
        <w:tc>
          <w:tcPr>
            <w:tcW w:w="1465" w:type="pct"/>
            <w:gridSpan w:val="2"/>
            <w:noWrap/>
            <w:hideMark/>
          </w:tcPr>
          <w:p w:rsidR="0079059D" w:rsidRPr="001779EA" w:rsidRDefault="009302F3" w:rsidP="00247EDC">
            <w:pPr>
              <w:pStyle w:val="In-tableHeading"/>
              <w:rPr>
                <w:sz w:val="20"/>
                <w:szCs w:val="20"/>
                <w:lang w:val="en-AU"/>
              </w:rPr>
            </w:pPr>
            <w:r w:rsidRPr="001779EA">
              <w:rPr>
                <w:sz w:val="20"/>
                <w:szCs w:val="20"/>
                <w:lang w:val="en-AU"/>
              </w:rPr>
              <w:t>FIRST</w:t>
            </w:r>
          </w:p>
        </w:tc>
      </w:tr>
      <w:tr w:rsidR="0079059D" w:rsidRPr="001779EA" w:rsidTr="00107F9F">
        <w:trPr>
          <w:cnfStyle w:val="100000000000" w:firstRow="1" w:lastRow="0" w:firstColumn="0" w:lastColumn="0" w:oddVBand="0" w:evenVBand="0" w:oddHBand="0" w:evenHBand="0" w:firstRowFirstColumn="0" w:firstRowLastColumn="0" w:lastRowFirstColumn="0" w:lastRowLastColumn="0"/>
          <w:trHeight w:val="315"/>
          <w:tblHeader/>
        </w:trPr>
        <w:tc>
          <w:tcPr>
            <w:tcW w:w="2119" w:type="pct"/>
            <w:tcBorders>
              <w:top w:val="nil"/>
            </w:tcBorders>
            <w:noWrap/>
            <w:hideMark/>
          </w:tcPr>
          <w:p w:rsidR="0079059D" w:rsidRPr="001779EA" w:rsidRDefault="0079059D" w:rsidP="00247EDC">
            <w:pPr>
              <w:pStyle w:val="In-tableHeading"/>
              <w:rPr>
                <w:sz w:val="20"/>
                <w:szCs w:val="20"/>
                <w:lang w:val="en-AU"/>
              </w:rPr>
            </w:pPr>
            <w:r w:rsidRPr="001779EA">
              <w:rPr>
                <w:sz w:val="20"/>
                <w:szCs w:val="20"/>
                <w:lang w:val="en-AU"/>
              </w:rPr>
              <w:t> </w:t>
            </w:r>
          </w:p>
        </w:tc>
        <w:tc>
          <w:tcPr>
            <w:tcW w:w="707" w:type="pct"/>
            <w:noWrap/>
            <w:hideMark/>
          </w:tcPr>
          <w:p w:rsidR="0079059D" w:rsidRPr="001779EA" w:rsidRDefault="0079059D" w:rsidP="00247EDC">
            <w:pPr>
              <w:pStyle w:val="In-tableHeading"/>
              <w:rPr>
                <w:sz w:val="20"/>
                <w:szCs w:val="20"/>
                <w:lang w:val="en-AU"/>
              </w:rPr>
            </w:pPr>
            <w:r w:rsidRPr="001779EA">
              <w:rPr>
                <w:sz w:val="20"/>
                <w:szCs w:val="20"/>
                <w:lang w:val="en-AU"/>
              </w:rPr>
              <w:t>Fulvestrant</w:t>
            </w:r>
          </w:p>
          <w:p w:rsidR="0079059D" w:rsidRPr="001779EA" w:rsidRDefault="0079059D" w:rsidP="00247EDC">
            <w:pPr>
              <w:pStyle w:val="In-tableHeading"/>
              <w:rPr>
                <w:sz w:val="20"/>
                <w:szCs w:val="20"/>
                <w:lang w:val="en-AU"/>
              </w:rPr>
            </w:pPr>
            <w:r w:rsidRPr="001779EA">
              <w:rPr>
                <w:sz w:val="20"/>
                <w:szCs w:val="20"/>
                <w:lang w:val="en-AU"/>
              </w:rPr>
              <w:t>N=228</w:t>
            </w:r>
          </w:p>
          <w:p w:rsidR="0079059D" w:rsidRPr="001779EA" w:rsidRDefault="0079059D" w:rsidP="00247EDC">
            <w:pPr>
              <w:pStyle w:val="In-tableHeading"/>
              <w:rPr>
                <w:sz w:val="20"/>
                <w:szCs w:val="20"/>
                <w:lang w:val="en-AU"/>
              </w:rPr>
            </w:pPr>
            <w:r w:rsidRPr="001779EA">
              <w:rPr>
                <w:sz w:val="20"/>
                <w:szCs w:val="20"/>
                <w:lang w:val="en-AU"/>
              </w:rPr>
              <w:t>n (%)</w:t>
            </w:r>
          </w:p>
        </w:tc>
        <w:tc>
          <w:tcPr>
            <w:tcW w:w="708" w:type="pct"/>
            <w:noWrap/>
            <w:hideMark/>
          </w:tcPr>
          <w:p w:rsidR="0079059D" w:rsidRPr="001779EA" w:rsidRDefault="0079059D" w:rsidP="00247EDC">
            <w:pPr>
              <w:pStyle w:val="In-tableHeading"/>
              <w:rPr>
                <w:sz w:val="20"/>
                <w:szCs w:val="20"/>
                <w:lang w:val="en-AU"/>
              </w:rPr>
            </w:pPr>
            <w:r w:rsidRPr="001779EA">
              <w:rPr>
                <w:sz w:val="20"/>
                <w:szCs w:val="20"/>
                <w:lang w:val="en-AU"/>
              </w:rPr>
              <w:t>Anastrozole</w:t>
            </w:r>
          </w:p>
          <w:p w:rsidR="0079059D" w:rsidRPr="001779EA" w:rsidRDefault="0079059D" w:rsidP="00247EDC">
            <w:pPr>
              <w:pStyle w:val="In-tableHeading"/>
              <w:rPr>
                <w:sz w:val="20"/>
                <w:szCs w:val="20"/>
                <w:lang w:val="en-AU"/>
              </w:rPr>
            </w:pPr>
            <w:r w:rsidRPr="001779EA">
              <w:rPr>
                <w:sz w:val="20"/>
                <w:szCs w:val="20"/>
                <w:lang w:val="en-AU"/>
              </w:rPr>
              <w:t>N=232</w:t>
            </w:r>
          </w:p>
          <w:p w:rsidR="0079059D" w:rsidRPr="001779EA" w:rsidRDefault="0079059D" w:rsidP="00247EDC">
            <w:pPr>
              <w:pStyle w:val="In-tableHeading"/>
              <w:rPr>
                <w:sz w:val="20"/>
                <w:szCs w:val="20"/>
                <w:lang w:val="en-AU"/>
              </w:rPr>
            </w:pPr>
            <w:r w:rsidRPr="001779EA">
              <w:rPr>
                <w:sz w:val="20"/>
                <w:szCs w:val="20"/>
                <w:lang w:val="en-AU"/>
              </w:rPr>
              <w:t>n (%)</w:t>
            </w:r>
          </w:p>
        </w:tc>
        <w:tc>
          <w:tcPr>
            <w:tcW w:w="708" w:type="pct"/>
            <w:noWrap/>
            <w:hideMark/>
          </w:tcPr>
          <w:p w:rsidR="0079059D" w:rsidRPr="001779EA" w:rsidRDefault="0079059D" w:rsidP="00247EDC">
            <w:pPr>
              <w:pStyle w:val="In-tableHeading"/>
              <w:rPr>
                <w:sz w:val="20"/>
                <w:szCs w:val="20"/>
                <w:lang w:val="en-AU"/>
              </w:rPr>
            </w:pPr>
            <w:r w:rsidRPr="001779EA">
              <w:rPr>
                <w:sz w:val="20"/>
                <w:szCs w:val="20"/>
                <w:lang w:val="en-AU"/>
              </w:rPr>
              <w:t>Fulvestrant</w:t>
            </w:r>
          </w:p>
          <w:p w:rsidR="0079059D" w:rsidRPr="001779EA" w:rsidRDefault="0079059D" w:rsidP="00247EDC">
            <w:pPr>
              <w:pStyle w:val="In-tableHeading"/>
              <w:rPr>
                <w:sz w:val="20"/>
                <w:szCs w:val="20"/>
                <w:lang w:val="en-AU"/>
              </w:rPr>
            </w:pPr>
            <w:r w:rsidRPr="001779EA">
              <w:rPr>
                <w:sz w:val="20"/>
                <w:szCs w:val="20"/>
                <w:lang w:val="en-AU"/>
              </w:rPr>
              <w:t>N=101</w:t>
            </w:r>
          </w:p>
          <w:p w:rsidR="0079059D" w:rsidRPr="001779EA" w:rsidRDefault="0079059D" w:rsidP="00247EDC">
            <w:pPr>
              <w:pStyle w:val="In-tableHeading"/>
              <w:rPr>
                <w:sz w:val="20"/>
                <w:szCs w:val="20"/>
                <w:lang w:val="en-AU"/>
              </w:rPr>
            </w:pPr>
            <w:r w:rsidRPr="001779EA">
              <w:rPr>
                <w:sz w:val="20"/>
                <w:szCs w:val="20"/>
                <w:lang w:val="en-AU"/>
              </w:rPr>
              <w:t>n (%)</w:t>
            </w:r>
          </w:p>
        </w:tc>
        <w:tc>
          <w:tcPr>
            <w:tcW w:w="757" w:type="pct"/>
            <w:noWrap/>
            <w:hideMark/>
          </w:tcPr>
          <w:p w:rsidR="0079059D" w:rsidRPr="001779EA" w:rsidRDefault="0079059D" w:rsidP="00247EDC">
            <w:pPr>
              <w:pStyle w:val="In-tableHeading"/>
              <w:rPr>
                <w:sz w:val="20"/>
                <w:szCs w:val="20"/>
                <w:lang w:val="en-AU"/>
              </w:rPr>
            </w:pPr>
            <w:r w:rsidRPr="001779EA">
              <w:rPr>
                <w:sz w:val="20"/>
                <w:szCs w:val="20"/>
                <w:lang w:val="en-AU"/>
              </w:rPr>
              <w:t>Anastrozole</w:t>
            </w:r>
          </w:p>
          <w:p w:rsidR="0079059D" w:rsidRPr="001779EA" w:rsidRDefault="0079059D" w:rsidP="00247EDC">
            <w:pPr>
              <w:pStyle w:val="In-tableHeading"/>
              <w:rPr>
                <w:sz w:val="20"/>
                <w:szCs w:val="20"/>
                <w:lang w:val="en-AU"/>
              </w:rPr>
            </w:pPr>
            <w:r w:rsidRPr="001779EA">
              <w:rPr>
                <w:sz w:val="20"/>
                <w:szCs w:val="20"/>
                <w:lang w:val="en-AU"/>
              </w:rPr>
              <w:t>N=103</w:t>
            </w:r>
          </w:p>
          <w:p w:rsidR="0079059D" w:rsidRPr="001779EA" w:rsidRDefault="0079059D" w:rsidP="00247EDC">
            <w:pPr>
              <w:pStyle w:val="In-tableHeading"/>
              <w:rPr>
                <w:sz w:val="20"/>
                <w:szCs w:val="20"/>
                <w:lang w:val="en-AU"/>
              </w:rPr>
            </w:pPr>
            <w:r w:rsidRPr="001779EA">
              <w:rPr>
                <w:sz w:val="20"/>
                <w:szCs w:val="20"/>
                <w:lang w:val="en-AU"/>
              </w:rPr>
              <w:t>n (%)</w:t>
            </w:r>
          </w:p>
        </w:tc>
      </w:tr>
      <w:tr w:rsidR="0079059D" w:rsidRPr="001779EA" w:rsidTr="000074B7">
        <w:trPr>
          <w:trHeight w:val="315"/>
        </w:trPr>
        <w:tc>
          <w:tcPr>
            <w:tcW w:w="2119" w:type="pct"/>
            <w:noWrap/>
            <w:hideMark/>
          </w:tcPr>
          <w:p w:rsidR="0079059D" w:rsidRPr="001779EA" w:rsidRDefault="0079059D" w:rsidP="00247EDC">
            <w:pPr>
              <w:pStyle w:val="Tabletext"/>
            </w:pPr>
            <w:r w:rsidRPr="001779EA">
              <w:t xml:space="preserve">Any AE </w:t>
            </w:r>
          </w:p>
        </w:tc>
        <w:tc>
          <w:tcPr>
            <w:tcW w:w="707" w:type="pct"/>
            <w:noWrap/>
            <w:vAlign w:val="center"/>
            <w:hideMark/>
          </w:tcPr>
          <w:p w:rsidR="0079059D" w:rsidRPr="001779EA" w:rsidRDefault="0079059D" w:rsidP="00247EDC">
            <w:pPr>
              <w:pStyle w:val="Tabletext"/>
            </w:pPr>
            <w:r w:rsidRPr="001779EA">
              <w:t>166 (72.8)</w:t>
            </w:r>
          </w:p>
        </w:tc>
        <w:tc>
          <w:tcPr>
            <w:tcW w:w="708" w:type="pct"/>
            <w:noWrap/>
            <w:vAlign w:val="center"/>
            <w:hideMark/>
          </w:tcPr>
          <w:p w:rsidR="0079059D" w:rsidRPr="001779EA" w:rsidRDefault="0079059D" w:rsidP="00247EDC">
            <w:pPr>
              <w:pStyle w:val="Tabletext"/>
            </w:pPr>
            <w:r w:rsidRPr="001779EA">
              <w:t>173 (74.6)</w:t>
            </w:r>
          </w:p>
        </w:tc>
        <w:tc>
          <w:tcPr>
            <w:tcW w:w="708" w:type="pct"/>
            <w:noWrap/>
            <w:vAlign w:val="center"/>
            <w:hideMark/>
          </w:tcPr>
          <w:p w:rsidR="0079059D" w:rsidRPr="001779EA" w:rsidRDefault="0079059D" w:rsidP="00247EDC">
            <w:pPr>
              <w:pStyle w:val="Tabletext"/>
            </w:pPr>
            <w:r w:rsidRPr="001779EA">
              <w:t>71 (70.3)</w:t>
            </w:r>
          </w:p>
        </w:tc>
        <w:tc>
          <w:tcPr>
            <w:tcW w:w="757" w:type="pct"/>
            <w:noWrap/>
            <w:vAlign w:val="center"/>
            <w:hideMark/>
          </w:tcPr>
          <w:p w:rsidR="0079059D" w:rsidRPr="001779EA" w:rsidRDefault="0079059D" w:rsidP="00247EDC">
            <w:pPr>
              <w:pStyle w:val="Tabletext"/>
            </w:pPr>
            <w:r w:rsidRPr="001779EA">
              <w:t>72 (69.9)</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Any AE causally related to treatment</w:t>
            </w:r>
          </w:p>
        </w:tc>
        <w:tc>
          <w:tcPr>
            <w:tcW w:w="707" w:type="pct"/>
            <w:noWrap/>
            <w:vAlign w:val="center"/>
            <w:hideMark/>
          </w:tcPr>
          <w:p w:rsidR="0079059D" w:rsidRPr="001779EA" w:rsidRDefault="0079059D" w:rsidP="00247EDC">
            <w:pPr>
              <w:pStyle w:val="Tabletext"/>
            </w:pPr>
            <w:r w:rsidRPr="001779EA">
              <w:t>91 (39.9)</w:t>
            </w:r>
          </w:p>
        </w:tc>
        <w:tc>
          <w:tcPr>
            <w:tcW w:w="708" w:type="pct"/>
            <w:noWrap/>
            <w:vAlign w:val="center"/>
            <w:hideMark/>
          </w:tcPr>
          <w:p w:rsidR="0079059D" w:rsidRPr="001779EA" w:rsidRDefault="0079059D" w:rsidP="00247EDC">
            <w:pPr>
              <w:pStyle w:val="Tabletext"/>
            </w:pPr>
            <w:r w:rsidRPr="001779EA">
              <w:t>76 (32.8)</w:t>
            </w:r>
          </w:p>
        </w:tc>
        <w:tc>
          <w:tcPr>
            <w:tcW w:w="708" w:type="pct"/>
            <w:noWrap/>
            <w:vAlign w:val="center"/>
            <w:hideMark/>
          </w:tcPr>
          <w:p w:rsidR="0079059D" w:rsidRPr="001779EA" w:rsidRDefault="0079059D" w:rsidP="00247EDC">
            <w:pPr>
              <w:pStyle w:val="Tabletext"/>
            </w:pPr>
            <w:r w:rsidRPr="001779EA">
              <w:t>30 (29.7)</w:t>
            </w:r>
          </w:p>
        </w:tc>
        <w:tc>
          <w:tcPr>
            <w:tcW w:w="757" w:type="pct"/>
            <w:noWrap/>
            <w:vAlign w:val="center"/>
            <w:hideMark/>
          </w:tcPr>
          <w:p w:rsidR="0079059D" w:rsidRPr="001779EA" w:rsidRDefault="0079059D" w:rsidP="00247EDC">
            <w:pPr>
              <w:pStyle w:val="Tabletext"/>
            </w:pPr>
            <w:r w:rsidRPr="001779EA">
              <w:t>28 (27.2)</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Any AE of grade 3 or higher</w:t>
            </w:r>
          </w:p>
        </w:tc>
        <w:tc>
          <w:tcPr>
            <w:tcW w:w="707" w:type="pct"/>
            <w:noWrap/>
            <w:vAlign w:val="center"/>
            <w:hideMark/>
          </w:tcPr>
          <w:p w:rsidR="0079059D" w:rsidRPr="001779EA" w:rsidRDefault="0079059D" w:rsidP="00247EDC">
            <w:pPr>
              <w:pStyle w:val="Tabletext"/>
            </w:pPr>
            <w:r w:rsidRPr="001779EA">
              <w:t>51 (22.4)</w:t>
            </w:r>
          </w:p>
        </w:tc>
        <w:tc>
          <w:tcPr>
            <w:tcW w:w="708" w:type="pct"/>
            <w:noWrap/>
            <w:vAlign w:val="center"/>
            <w:hideMark/>
          </w:tcPr>
          <w:p w:rsidR="0079059D" w:rsidRPr="001779EA" w:rsidRDefault="0079059D" w:rsidP="00247EDC">
            <w:pPr>
              <w:pStyle w:val="Tabletext"/>
            </w:pPr>
            <w:r w:rsidRPr="001779EA">
              <w:t>41 (17.7)</w:t>
            </w:r>
          </w:p>
        </w:tc>
        <w:tc>
          <w:tcPr>
            <w:tcW w:w="708" w:type="pct"/>
            <w:noWrap/>
            <w:vAlign w:val="center"/>
            <w:hideMark/>
          </w:tcPr>
          <w:p w:rsidR="0079059D" w:rsidRPr="001779EA" w:rsidRDefault="0079059D" w:rsidP="00247EDC">
            <w:pPr>
              <w:pStyle w:val="Tabletext"/>
            </w:pPr>
            <w:r w:rsidRPr="001779EA">
              <w:t>18 (17.8)</w:t>
            </w:r>
          </w:p>
        </w:tc>
        <w:tc>
          <w:tcPr>
            <w:tcW w:w="757" w:type="pct"/>
            <w:noWrap/>
            <w:vAlign w:val="center"/>
            <w:hideMark/>
          </w:tcPr>
          <w:p w:rsidR="0079059D" w:rsidRPr="001779EA" w:rsidRDefault="0079059D" w:rsidP="00247EDC">
            <w:pPr>
              <w:pStyle w:val="Tabletext"/>
            </w:pPr>
            <w:r w:rsidRPr="001779EA">
              <w:t>11 (10.7)</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Any AE of grade 3 or higher, causally related to treatment</w:t>
            </w:r>
          </w:p>
        </w:tc>
        <w:tc>
          <w:tcPr>
            <w:tcW w:w="707" w:type="pct"/>
            <w:noWrap/>
            <w:vAlign w:val="center"/>
            <w:hideMark/>
          </w:tcPr>
          <w:p w:rsidR="0079059D" w:rsidRPr="001779EA" w:rsidRDefault="0079059D" w:rsidP="00247EDC">
            <w:pPr>
              <w:pStyle w:val="Tabletext"/>
            </w:pPr>
            <w:r w:rsidRPr="001779EA">
              <w:t>10 (4.4)</w:t>
            </w:r>
          </w:p>
        </w:tc>
        <w:tc>
          <w:tcPr>
            <w:tcW w:w="708" w:type="pct"/>
            <w:noWrap/>
            <w:vAlign w:val="center"/>
            <w:hideMark/>
          </w:tcPr>
          <w:p w:rsidR="0079059D" w:rsidRPr="001779EA" w:rsidRDefault="0079059D" w:rsidP="00247EDC">
            <w:pPr>
              <w:pStyle w:val="Tabletext"/>
            </w:pPr>
            <w:r w:rsidRPr="001779EA">
              <w:t>4 (1.7)</w:t>
            </w:r>
          </w:p>
        </w:tc>
        <w:tc>
          <w:tcPr>
            <w:tcW w:w="708" w:type="pct"/>
            <w:noWrap/>
            <w:vAlign w:val="center"/>
            <w:hideMark/>
          </w:tcPr>
          <w:p w:rsidR="0079059D" w:rsidRPr="001779EA" w:rsidRDefault="0079059D" w:rsidP="00247EDC">
            <w:pPr>
              <w:pStyle w:val="Tabletext"/>
            </w:pPr>
            <w:r w:rsidRPr="001779EA">
              <w:t>1 (1.0)</w:t>
            </w:r>
          </w:p>
        </w:tc>
        <w:tc>
          <w:tcPr>
            <w:tcW w:w="757" w:type="pct"/>
            <w:noWrap/>
            <w:vAlign w:val="center"/>
            <w:hideMark/>
          </w:tcPr>
          <w:p w:rsidR="0079059D" w:rsidRPr="001779EA" w:rsidRDefault="0079059D" w:rsidP="00247EDC">
            <w:pPr>
              <w:pStyle w:val="Tabletext"/>
            </w:pPr>
            <w:r w:rsidRPr="001779EA">
              <w:t>0</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Any AE with an outcome of death</w:t>
            </w:r>
          </w:p>
        </w:tc>
        <w:tc>
          <w:tcPr>
            <w:tcW w:w="707" w:type="pct"/>
            <w:noWrap/>
            <w:vAlign w:val="center"/>
            <w:hideMark/>
          </w:tcPr>
          <w:p w:rsidR="0079059D" w:rsidRPr="001779EA" w:rsidRDefault="0079059D" w:rsidP="00247EDC">
            <w:pPr>
              <w:pStyle w:val="Tabletext"/>
            </w:pPr>
            <w:r w:rsidRPr="001779EA">
              <w:t>6 (2.6)</w:t>
            </w:r>
          </w:p>
        </w:tc>
        <w:tc>
          <w:tcPr>
            <w:tcW w:w="708" w:type="pct"/>
            <w:noWrap/>
            <w:vAlign w:val="center"/>
            <w:hideMark/>
          </w:tcPr>
          <w:p w:rsidR="0079059D" w:rsidRPr="001779EA" w:rsidRDefault="0079059D" w:rsidP="00247EDC">
            <w:pPr>
              <w:pStyle w:val="Tabletext"/>
            </w:pPr>
            <w:r w:rsidRPr="001779EA">
              <w:t>7 (3.0)</w:t>
            </w:r>
          </w:p>
        </w:tc>
        <w:tc>
          <w:tcPr>
            <w:tcW w:w="708" w:type="pct"/>
            <w:noWrap/>
            <w:vAlign w:val="center"/>
            <w:hideMark/>
          </w:tcPr>
          <w:p w:rsidR="0079059D" w:rsidRPr="001779EA" w:rsidRDefault="0079059D" w:rsidP="00247EDC">
            <w:pPr>
              <w:pStyle w:val="Tabletext"/>
            </w:pPr>
            <w:r w:rsidRPr="001779EA">
              <w:t>0</w:t>
            </w:r>
          </w:p>
        </w:tc>
        <w:tc>
          <w:tcPr>
            <w:tcW w:w="757" w:type="pct"/>
            <w:noWrap/>
            <w:vAlign w:val="center"/>
            <w:hideMark/>
          </w:tcPr>
          <w:p w:rsidR="0079059D" w:rsidRPr="001779EA" w:rsidRDefault="0079059D" w:rsidP="00247EDC">
            <w:pPr>
              <w:pStyle w:val="Tabletext"/>
            </w:pPr>
            <w:r w:rsidRPr="001779EA">
              <w:t>1 (1.0)</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 xml:space="preserve">Any AE with an outcome of death, causally related to treatment </w:t>
            </w:r>
          </w:p>
        </w:tc>
        <w:tc>
          <w:tcPr>
            <w:tcW w:w="707" w:type="pct"/>
            <w:noWrap/>
            <w:vAlign w:val="center"/>
            <w:hideMark/>
          </w:tcPr>
          <w:p w:rsidR="0079059D" w:rsidRPr="001779EA" w:rsidRDefault="0079059D" w:rsidP="00247EDC">
            <w:pPr>
              <w:pStyle w:val="Tabletext"/>
            </w:pPr>
            <w:r w:rsidRPr="001779EA">
              <w:t>0</w:t>
            </w:r>
          </w:p>
        </w:tc>
        <w:tc>
          <w:tcPr>
            <w:tcW w:w="708" w:type="pct"/>
            <w:noWrap/>
            <w:vAlign w:val="center"/>
            <w:hideMark/>
          </w:tcPr>
          <w:p w:rsidR="0079059D" w:rsidRPr="001779EA" w:rsidRDefault="0079059D" w:rsidP="00247EDC">
            <w:pPr>
              <w:pStyle w:val="Tabletext"/>
            </w:pPr>
            <w:r w:rsidRPr="001779EA">
              <w:t>0</w:t>
            </w:r>
          </w:p>
        </w:tc>
        <w:tc>
          <w:tcPr>
            <w:tcW w:w="708" w:type="pct"/>
            <w:noWrap/>
            <w:vAlign w:val="center"/>
            <w:hideMark/>
          </w:tcPr>
          <w:p w:rsidR="0079059D" w:rsidRPr="001779EA" w:rsidRDefault="0079059D" w:rsidP="00247EDC">
            <w:pPr>
              <w:pStyle w:val="Tabletext"/>
            </w:pPr>
            <w:r w:rsidRPr="001779EA">
              <w:t>0</w:t>
            </w:r>
          </w:p>
        </w:tc>
        <w:tc>
          <w:tcPr>
            <w:tcW w:w="757" w:type="pct"/>
            <w:noWrap/>
            <w:vAlign w:val="center"/>
            <w:hideMark/>
          </w:tcPr>
          <w:p w:rsidR="0079059D" w:rsidRPr="001779EA" w:rsidRDefault="0079059D" w:rsidP="00247EDC">
            <w:pPr>
              <w:pStyle w:val="Tabletext"/>
            </w:pPr>
            <w:r w:rsidRPr="001779EA">
              <w:t>0</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Any AE leading to discontinuation of treatment</w:t>
            </w:r>
          </w:p>
        </w:tc>
        <w:tc>
          <w:tcPr>
            <w:tcW w:w="707" w:type="pct"/>
            <w:noWrap/>
            <w:vAlign w:val="center"/>
            <w:hideMark/>
          </w:tcPr>
          <w:p w:rsidR="0079059D" w:rsidRPr="001779EA" w:rsidRDefault="0079059D" w:rsidP="00247EDC">
            <w:pPr>
              <w:pStyle w:val="Tabletext"/>
            </w:pPr>
            <w:r w:rsidRPr="001779EA">
              <w:t>16 (7.0)</w:t>
            </w:r>
          </w:p>
        </w:tc>
        <w:tc>
          <w:tcPr>
            <w:tcW w:w="708" w:type="pct"/>
            <w:noWrap/>
            <w:vAlign w:val="center"/>
            <w:hideMark/>
          </w:tcPr>
          <w:p w:rsidR="0079059D" w:rsidRPr="001779EA" w:rsidRDefault="0079059D" w:rsidP="00247EDC">
            <w:pPr>
              <w:pStyle w:val="Tabletext"/>
            </w:pPr>
            <w:r w:rsidRPr="001779EA">
              <w:t>11 (4.7)</w:t>
            </w:r>
          </w:p>
        </w:tc>
        <w:tc>
          <w:tcPr>
            <w:tcW w:w="708" w:type="pct"/>
            <w:noWrap/>
            <w:vAlign w:val="center"/>
            <w:hideMark/>
          </w:tcPr>
          <w:p w:rsidR="0079059D" w:rsidRPr="001779EA" w:rsidRDefault="0079059D" w:rsidP="00247EDC">
            <w:pPr>
              <w:pStyle w:val="Tabletext"/>
            </w:pPr>
            <w:r w:rsidRPr="001779EA">
              <w:t>3 (3.0)</w:t>
            </w:r>
          </w:p>
        </w:tc>
        <w:tc>
          <w:tcPr>
            <w:tcW w:w="757" w:type="pct"/>
            <w:noWrap/>
            <w:vAlign w:val="center"/>
            <w:hideMark/>
          </w:tcPr>
          <w:p w:rsidR="0079059D" w:rsidRPr="001779EA" w:rsidRDefault="0079059D" w:rsidP="00247EDC">
            <w:pPr>
              <w:pStyle w:val="Tabletext"/>
            </w:pPr>
            <w:r w:rsidRPr="001779EA">
              <w:t>3 (2.9)</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Any SAE (including events with outcome of death)</w:t>
            </w:r>
          </w:p>
        </w:tc>
        <w:tc>
          <w:tcPr>
            <w:tcW w:w="707" w:type="pct"/>
            <w:noWrap/>
            <w:vAlign w:val="center"/>
            <w:hideMark/>
          </w:tcPr>
          <w:p w:rsidR="0079059D" w:rsidRPr="001779EA" w:rsidRDefault="0079059D" w:rsidP="00247EDC">
            <w:pPr>
              <w:pStyle w:val="Tabletext"/>
            </w:pPr>
            <w:r w:rsidRPr="001779EA">
              <w:t>30 (13.2)</w:t>
            </w:r>
          </w:p>
        </w:tc>
        <w:tc>
          <w:tcPr>
            <w:tcW w:w="708" w:type="pct"/>
            <w:noWrap/>
            <w:vAlign w:val="center"/>
            <w:hideMark/>
          </w:tcPr>
          <w:p w:rsidR="0079059D" w:rsidRPr="001779EA" w:rsidRDefault="0079059D" w:rsidP="00247EDC">
            <w:pPr>
              <w:pStyle w:val="Tabletext"/>
            </w:pPr>
            <w:r w:rsidRPr="001779EA">
              <w:t>31 (13.4)</w:t>
            </w:r>
          </w:p>
        </w:tc>
        <w:tc>
          <w:tcPr>
            <w:tcW w:w="708" w:type="pct"/>
            <w:noWrap/>
            <w:vAlign w:val="center"/>
            <w:hideMark/>
          </w:tcPr>
          <w:p w:rsidR="0079059D" w:rsidRPr="001779EA" w:rsidRDefault="0079059D" w:rsidP="00247EDC">
            <w:pPr>
              <w:pStyle w:val="Tabletext"/>
            </w:pPr>
            <w:r w:rsidRPr="001779EA">
              <w:t>12 (11.9)</w:t>
            </w:r>
          </w:p>
        </w:tc>
        <w:tc>
          <w:tcPr>
            <w:tcW w:w="757" w:type="pct"/>
            <w:noWrap/>
            <w:vAlign w:val="center"/>
            <w:hideMark/>
          </w:tcPr>
          <w:p w:rsidR="0079059D" w:rsidRPr="001779EA" w:rsidRDefault="0079059D" w:rsidP="00247EDC">
            <w:pPr>
              <w:pStyle w:val="Tabletext"/>
            </w:pPr>
            <w:r w:rsidRPr="001779EA">
              <w:t>10 (9.7)</w:t>
            </w:r>
          </w:p>
        </w:tc>
      </w:tr>
      <w:tr w:rsidR="0079059D" w:rsidRPr="001779EA" w:rsidTr="000074B7">
        <w:trPr>
          <w:trHeight w:val="300"/>
        </w:trPr>
        <w:tc>
          <w:tcPr>
            <w:tcW w:w="2119" w:type="pct"/>
            <w:noWrap/>
            <w:hideMark/>
          </w:tcPr>
          <w:p w:rsidR="0079059D" w:rsidRPr="001779EA" w:rsidRDefault="0079059D" w:rsidP="00247EDC">
            <w:pPr>
              <w:pStyle w:val="Tabletext"/>
            </w:pPr>
            <w:r w:rsidRPr="001779EA">
              <w:t>Any SAE (including events with outcome of death), causally related to treatment</w:t>
            </w:r>
          </w:p>
        </w:tc>
        <w:tc>
          <w:tcPr>
            <w:tcW w:w="707" w:type="pct"/>
            <w:noWrap/>
            <w:vAlign w:val="center"/>
            <w:hideMark/>
          </w:tcPr>
          <w:p w:rsidR="0079059D" w:rsidRPr="001779EA" w:rsidRDefault="0079059D" w:rsidP="00247EDC">
            <w:pPr>
              <w:pStyle w:val="Tabletext"/>
            </w:pPr>
            <w:r w:rsidRPr="001779EA">
              <w:t>4 (1.8)</w:t>
            </w:r>
          </w:p>
        </w:tc>
        <w:tc>
          <w:tcPr>
            <w:tcW w:w="708" w:type="pct"/>
            <w:noWrap/>
            <w:vAlign w:val="center"/>
            <w:hideMark/>
          </w:tcPr>
          <w:p w:rsidR="0079059D" w:rsidRPr="001779EA" w:rsidRDefault="0079059D" w:rsidP="00247EDC">
            <w:pPr>
              <w:pStyle w:val="Tabletext"/>
            </w:pPr>
            <w:r w:rsidRPr="001779EA">
              <w:t>3 (1.3)</w:t>
            </w:r>
          </w:p>
        </w:tc>
        <w:tc>
          <w:tcPr>
            <w:tcW w:w="708" w:type="pct"/>
            <w:noWrap/>
            <w:vAlign w:val="center"/>
            <w:hideMark/>
          </w:tcPr>
          <w:p w:rsidR="0079059D" w:rsidRPr="001779EA" w:rsidRDefault="0079059D" w:rsidP="00247EDC">
            <w:pPr>
              <w:pStyle w:val="Tabletext"/>
            </w:pPr>
            <w:r w:rsidRPr="001779EA">
              <w:t>1 (1.0)</w:t>
            </w:r>
          </w:p>
        </w:tc>
        <w:tc>
          <w:tcPr>
            <w:tcW w:w="757" w:type="pct"/>
            <w:noWrap/>
            <w:vAlign w:val="center"/>
            <w:hideMark/>
          </w:tcPr>
          <w:p w:rsidR="0079059D" w:rsidRPr="001779EA" w:rsidRDefault="0079059D" w:rsidP="00247EDC">
            <w:pPr>
              <w:pStyle w:val="Tabletext"/>
            </w:pPr>
            <w:r w:rsidRPr="001779EA">
              <w:t>0</w:t>
            </w:r>
          </w:p>
        </w:tc>
      </w:tr>
    </w:tbl>
    <w:p w:rsidR="0079059D" w:rsidRPr="001779EA" w:rsidRDefault="0079059D" w:rsidP="00247EDC">
      <w:pPr>
        <w:pStyle w:val="TableFigureFooter"/>
        <w:keepNext/>
        <w:keepLines/>
      </w:pPr>
      <w:r w:rsidRPr="001779EA">
        <w:t>AE = adverse event; SAE = serious adverse event</w:t>
      </w:r>
    </w:p>
    <w:p w:rsidR="0079059D" w:rsidRPr="001779EA" w:rsidRDefault="0079059D" w:rsidP="00247EDC">
      <w:pPr>
        <w:pStyle w:val="TableFigureFooter"/>
        <w:keepNext/>
        <w:keepLines/>
      </w:pPr>
      <w:r w:rsidRPr="001779EA">
        <w:t>Source: Table 2.15, p58 of the submission</w:t>
      </w:r>
    </w:p>
    <w:p w:rsidR="0079059D" w:rsidRPr="001779EA" w:rsidRDefault="0079059D" w:rsidP="00247EDC">
      <w:pPr>
        <w:pStyle w:val="3-BodyText"/>
      </w:pPr>
      <w:r w:rsidRPr="001779EA">
        <w:t xml:space="preserve">The following differences </w:t>
      </w:r>
      <w:r w:rsidR="003D312F" w:rsidRPr="001779EA">
        <w:t>in specific</w:t>
      </w:r>
      <w:r w:rsidR="00540124" w:rsidRPr="001779EA">
        <w:t xml:space="preserve"> </w:t>
      </w:r>
      <w:r w:rsidR="0089021F" w:rsidRPr="001779EA">
        <w:t>G</w:t>
      </w:r>
      <w:r w:rsidR="00540124" w:rsidRPr="001779EA">
        <w:t>rade 3 or more</w:t>
      </w:r>
      <w:r w:rsidR="003D312F" w:rsidRPr="001779EA">
        <w:t xml:space="preserve"> AEs </w:t>
      </w:r>
      <w:r w:rsidRPr="001779EA">
        <w:t>were observed</w:t>
      </w:r>
      <w:r w:rsidR="00540124" w:rsidRPr="001779EA">
        <w:t xml:space="preserve"> between the treatment arms in FALCON and FIRST</w:t>
      </w:r>
      <w:r w:rsidR="0089021F" w:rsidRPr="001779EA">
        <w:t>.</w:t>
      </w:r>
    </w:p>
    <w:p w:rsidR="0079059D" w:rsidRPr="001779EA" w:rsidRDefault="0079059D" w:rsidP="00BC30B3">
      <w:pPr>
        <w:pStyle w:val="Bulletpoints"/>
        <w:widowControl w:val="0"/>
        <w:spacing w:after="0"/>
        <w:ind w:left="1134"/>
        <w:contextualSpacing w:val="0"/>
      </w:pPr>
      <w:r w:rsidRPr="001779EA">
        <w:t xml:space="preserve">Slightly more patients in the fulvestrant arm compared with the anastrozole arm </w:t>
      </w:r>
      <w:r w:rsidRPr="001779EA">
        <w:lastRenderedPageBreak/>
        <w:t>in FALCON reported an increase in the following specific AEs: Alanine aminotransferase (ALT, 7.0% versus 3.0%), arthralgia (16.7% versus 10.3%), back pain (9.2% versus 6.0%), fatigue (11.4% versus 6.9%) and myalgia (7.0% versus 3.4%).</w:t>
      </w:r>
    </w:p>
    <w:p w:rsidR="0079059D" w:rsidRPr="001779EA" w:rsidRDefault="0079059D" w:rsidP="00BC30B3">
      <w:pPr>
        <w:pStyle w:val="Bulletpoints"/>
        <w:widowControl w:val="0"/>
        <w:spacing w:after="0"/>
        <w:ind w:left="1134"/>
        <w:contextualSpacing w:val="0"/>
      </w:pPr>
      <w:r w:rsidRPr="001779EA">
        <w:t>Slightly fewer patients in the fulvestrant arm in FALCON had anaemia (3.9% versus 8.6%) and hypertension (6.6% versus 9.1%).</w:t>
      </w:r>
    </w:p>
    <w:p w:rsidR="0079059D" w:rsidRPr="001779EA" w:rsidRDefault="0079059D" w:rsidP="00BC30B3">
      <w:pPr>
        <w:pStyle w:val="Bulletpoints"/>
        <w:widowControl w:val="0"/>
        <w:spacing w:after="0"/>
        <w:ind w:left="1134"/>
        <w:contextualSpacing w:val="0"/>
      </w:pPr>
      <w:r w:rsidRPr="001779EA">
        <w:t xml:space="preserve">Slightly more patients in the fulvestrant arm compared with the anastrozole arm in FIRST reported an increase in the following specific AEs: bone pain (13.9% versus 9.7%), hypertension (6.9% versus 1.9%), nausea (10.9% versus 6.8%) and vomiting (8.9% versus 2.9%). </w:t>
      </w:r>
    </w:p>
    <w:p w:rsidR="0079059D" w:rsidRPr="001779EA" w:rsidRDefault="0079059D" w:rsidP="00BC30B3">
      <w:pPr>
        <w:pStyle w:val="Bulletpoints"/>
        <w:widowControl w:val="0"/>
        <w:spacing w:after="0"/>
        <w:ind w:left="1134"/>
        <w:contextualSpacing w:val="0"/>
      </w:pPr>
      <w:r w:rsidRPr="001779EA">
        <w:t>Slightly fewer patients in the fulvestrant arm in FIRST experienced fatigue (1.0% vs 7.8%), headache (4.0% vs 12.6%), hot flush (7.9% vs 13.6%) and myalgia (3.0% vs 8.7%).</w:t>
      </w:r>
    </w:p>
    <w:p w:rsidR="003E6469" w:rsidRPr="001779EA" w:rsidRDefault="003E6469" w:rsidP="003E6469">
      <w:pPr>
        <w:pStyle w:val="4-SubsectionHeading"/>
      </w:pPr>
      <w:bookmarkStart w:id="34" w:name="_Toc40935317"/>
      <w:r w:rsidRPr="001779EA">
        <w:t>Benefits/harms (first-line)</w:t>
      </w:r>
    </w:p>
    <w:p w:rsidR="00B63552" w:rsidRPr="001779EA" w:rsidRDefault="00B63552" w:rsidP="00B63552">
      <w:pPr>
        <w:pStyle w:val="3-BodyText"/>
        <w:numPr>
          <w:ilvl w:val="1"/>
          <w:numId w:val="1"/>
        </w:numPr>
        <w:rPr>
          <w:rStyle w:val="CommentReference"/>
          <w:color w:val="0066FF"/>
        </w:rPr>
      </w:pPr>
      <w:r w:rsidRPr="001779EA">
        <w:t>A summary of the comparative benefits and harms for fulvestrant versus anastrozole is presented in the table below.</w:t>
      </w:r>
    </w:p>
    <w:p w:rsidR="00B63552" w:rsidRPr="001779EA" w:rsidRDefault="00B63552" w:rsidP="00B63552">
      <w:pPr>
        <w:pStyle w:val="TableFigureHeading"/>
      </w:pPr>
      <w:r w:rsidRPr="001779EA">
        <w:t>Table 7: Summary of comparative benefits and harms for fulvestrant and anastrozole</w:t>
      </w:r>
    </w:p>
    <w:tbl>
      <w:tblPr>
        <w:tblW w:w="5000" w:type="pct"/>
        <w:tblLayout w:type="fixed"/>
        <w:tblCellMar>
          <w:left w:w="28" w:type="dxa"/>
          <w:right w:w="28" w:type="dxa"/>
        </w:tblCellMar>
        <w:tblLook w:val="04A0" w:firstRow="1" w:lastRow="0" w:firstColumn="1" w:lastColumn="0" w:noHBand="0" w:noVBand="1"/>
      </w:tblPr>
      <w:tblGrid>
        <w:gridCol w:w="9017"/>
      </w:tblGrid>
      <w:tr w:rsidR="00B63552" w:rsidRPr="001779EA" w:rsidTr="00B44564">
        <w:trPr>
          <w:cantSplit/>
        </w:trPr>
        <w:tc>
          <w:tcPr>
            <w:tcW w:w="5000" w:type="pct"/>
            <w:tcBorders>
              <w:top w:val="single" w:sz="4" w:space="0" w:color="auto"/>
              <w:left w:val="single" w:sz="4" w:space="0" w:color="auto"/>
              <w:bottom w:val="double" w:sz="4" w:space="0" w:color="auto"/>
              <w:right w:val="single" w:sz="4" w:space="0" w:color="auto"/>
            </w:tcBorders>
            <w:shd w:val="clear" w:color="auto" w:fill="auto"/>
            <w:vAlign w:val="center"/>
          </w:tcPr>
          <w:p w:rsidR="00B63552" w:rsidRPr="001779EA" w:rsidRDefault="00B63552" w:rsidP="00B44564">
            <w:pPr>
              <w:pStyle w:val="In-tableHeading"/>
              <w:rPr>
                <w:lang w:val="en-AU"/>
              </w:rPr>
            </w:pPr>
            <w:r w:rsidRPr="001779EA">
              <w:rPr>
                <w:lang w:val="en-AU"/>
              </w:rPr>
              <w:t>Benefits</w:t>
            </w:r>
          </w:p>
        </w:tc>
      </w:tr>
    </w:tbl>
    <w:tbl>
      <w:tblPr>
        <w:tblStyle w:val="TableGrid"/>
        <w:tblW w:w="5000" w:type="pct"/>
        <w:tblLayout w:type="fixed"/>
        <w:tblCellMar>
          <w:left w:w="28" w:type="dxa"/>
          <w:right w:w="28" w:type="dxa"/>
        </w:tblCellMar>
        <w:tblLook w:val="04A0" w:firstRow="1" w:lastRow="0" w:firstColumn="1" w:lastColumn="0" w:noHBand="0" w:noVBand="1"/>
        <w:tblCaption w:val="Table 7: Summary of comparative benefits and harms for fulvestrant and anastrozole"/>
      </w:tblPr>
      <w:tblGrid>
        <w:gridCol w:w="2464"/>
        <w:gridCol w:w="1446"/>
        <w:gridCol w:w="1515"/>
        <w:gridCol w:w="2007"/>
        <w:gridCol w:w="1585"/>
      </w:tblGrid>
      <w:tr w:rsidR="00B63552" w:rsidRPr="001779EA" w:rsidTr="00107F9F">
        <w:trPr>
          <w:trHeight w:val="20"/>
          <w:tblHeader/>
        </w:trPr>
        <w:tc>
          <w:tcPr>
            <w:tcW w:w="5000" w:type="pct"/>
            <w:gridSpan w:val="5"/>
            <w:shd w:val="clear" w:color="auto" w:fill="auto"/>
          </w:tcPr>
          <w:p w:rsidR="00B63552" w:rsidRPr="001779EA" w:rsidRDefault="00B63552" w:rsidP="000C3690">
            <w:pPr>
              <w:pStyle w:val="In-tableHeading"/>
              <w:rPr>
                <w:lang w:val="en-AU"/>
              </w:rPr>
            </w:pPr>
            <w:r w:rsidRPr="001779EA">
              <w:rPr>
                <w:lang w:val="en-AU"/>
              </w:rPr>
              <w:t>Progression free survival</w:t>
            </w:r>
            <w:r w:rsidR="00046510" w:rsidRPr="001779EA">
              <w:rPr>
                <w:lang w:val="en-AU"/>
              </w:rPr>
              <w:t xml:space="preserve"> (median duration of follow up 13.2-13.8 months FALCON, </w:t>
            </w:r>
            <w:r w:rsidR="000C3690" w:rsidRPr="001779EA">
              <w:rPr>
                <w:lang w:val="en-AU"/>
              </w:rPr>
              <w:t>not reported for</w:t>
            </w:r>
            <w:r w:rsidR="00046510" w:rsidRPr="001779EA">
              <w:rPr>
                <w:lang w:val="en-AU"/>
              </w:rPr>
              <w:t xml:space="preserve"> FIRST</w:t>
            </w:r>
            <w:r w:rsidRPr="001779EA">
              <w:rPr>
                <w:lang w:val="en-AU"/>
              </w:rPr>
              <w:t>)</w:t>
            </w:r>
          </w:p>
        </w:tc>
      </w:tr>
      <w:tr w:rsidR="00B63552" w:rsidRPr="001779EA" w:rsidTr="00B44564">
        <w:trPr>
          <w:trHeight w:val="20"/>
        </w:trPr>
        <w:tc>
          <w:tcPr>
            <w:tcW w:w="1366" w:type="pct"/>
            <w:tcBorders>
              <w:bottom w:val="single" w:sz="4" w:space="0" w:color="auto"/>
            </w:tcBorders>
            <w:shd w:val="clear" w:color="auto" w:fill="auto"/>
          </w:tcPr>
          <w:p w:rsidR="00B63552" w:rsidRPr="001779EA" w:rsidRDefault="00B63552" w:rsidP="00B44564">
            <w:pPr>
              <w:pStyle w:val="In-tableHeading"/>
              <w:rPr>
                <w:lang w:val="en-AU"/>
              </w:rPr>
            </w:pPr>
            <w:r w:rsidRPr="001779EA">
              <w:rPr>
                <w:lang w:val="en-AU"/>
              </w:rPr>
              <w:t>Event</w:t>
            </w:r>
          </w:p>
        </w:tc>
        <w:tc>
          <w:tcPr>
            <w:tcW w:w="802" w:type="pct"/>
            <w:tcBorders>
              <w:bottom w:val="single" w:sz="4" w:space="0" w:color="auto"/>
            </w:tcBorders>
            <w:shd w:val="clear" w:color="auto" w:fill="auto"/>
          </w:tcPr>
          <w:p w:rsidR="00B63552" w:rsidRPr="001779EA" w:rsidRDefault="00B63552" w:rsidP="00B44564">
            <w:pPr>
              <w:pStyle w:val="In-tableHeading"/>
              <w:jc w:val="center"/>
              <w:rPr>
                <w:lang w:val="en-AU"/>
              </w:rPr>
            </w:pPr>
            <w:r w:rsidRPr="001779EA">
              <w:rPr>
                <w:lang w:val="en-AU"/>
              </w:rPr>
              <w:t>Fulvestrant</w:t>
            </w:r>
          </w:p>
        </w:tc>
        <w:tc>
          <w:tcPr>
            <w:tcW w:w="840" w:type="pct"/>
            <w:tcBorders>
              <w:bottom w:val="single" w:sz="4" w:space="0" w:color="auto"/>
            </w:tcBorders>
            <w:shd w:val="clear" w:color="auto" w:fill="auto"/>
          </w:tcPr>
          <w:p w:rsidR="00B63552" w:rsidRPr="001779EA" w:rsidRDefault="00B63552" w:rsidP="00B44564">
            <w:pPr>
              <w:pStyle w:val="In-tableHeading"/>
              <w:jc w:val="center"/>
              <w:rPr>
                <w:lang w:val="en-AU"/>
              </w:rPr>
            </w:pPr>
            <w:r w:rsidRPr="001779EA">
              <w:rPr>
                <w:lang w:val="en-AU"/>
              </w:rPr>
              <w:t>Anastrozole</w:t>
            </w:r>
          </w:p>
        </w:tc>
        <w:tc>
          <w:tcPr>
            <w:tcW w:w="1113" w:type="pct"/>
            <w:tcBorders>
              <w:bottom w:val="single" w:sz="4" w:space="0" w:color="auto"/>
            </w:tcBorders>
            <w:shd w:val="clear" w:color="auto" w:fill="auto"/>
          </w:tcPr>
          <w:p w:rsidR="00B63552" w:rsidRPr="001779EA" w:rsidRDefault="00B63552" w:rsidP="00B44564">
            <w:pPr>
              <w:pStyle w:val="In-tableHeading"/>
              <w:jc w:val="center"/>
              <w:rPr>
                <w:rFonts w:asciiTheme="minorHAnsi" w:hAnsiTheme="minorHAnsi"/>
                <w:lang w:val="en-AU"/>
              </w:rPr>
            </w:pPr>
            <w:r w:rsidRPr="001779EA">
              <w:rPr>
                <w:lang w:val="en-AU"/>
              </w:rPr>
              <w:t>Absolute Difference</w:t>
            </w:r>
          </w:p>
        </w:tc>
        <w:tc>
          <w:tcPr>
            <w:tcW w:w="879" w:type="pct"/>
            <w:tcBorders>
              <w:bottom w:val="single" w:sz="4" w:space="0" w:color="auto"/>
            </w:tcBorders>
            <w:shd w:val="clear" w:color="auto" w:fill="auto"/>
          </w:tcPr>
          <w:p w:rsidR="00B63552" w:rsidRPr="001779EA" w:rsidRDefault="00946922" w:rsidP="00B44564">
            <w:pPr>
              <w:pStyle w:val="In-tableHeading"/>
              <w:jc w:val="center"/>
              <w:rPr>
                <w:lang w:val="en-AU"/>
              </w:rPr>
            </w:pPr>
            <w:r w:rsidRPr="001779EA">
              <w:rPr>
                <w:lang w:val="en-AU"/>
              </w:rPr>
              <w:t xml:space="preserve">Pooled </w:t>
            </w:r>
            <w:r w:rsidR="00B63552" w:rsidRPr="001779EA">
              <w:rPr>
                <w:lang w:val="en-AU"/>
              </w:rPr>
              <w:t>HR (95% CI)</w:t>
            </w:r>
          </w:p>
        </w:tc>
      </w:tr>
      <w:tr w:rsidR="00B63552" w:rsidRPr="001779EA" w:rsidTr="00B44564">
        <w:trPr>
          <w:trHeight w:val="20"/>
        </w:trPr>
        <w:tc>
          <w:tcPr>
            <w:tcW w:w="1366" w:type="pct"/>
            <w:tcBorders>
              <w:bottom w:val="single" w:sz="4" w:space="0" w:color="auto"/>
              <w:right w:val="single" w:sz="4" w:space="0" w:color="auto"/>
            </w:tcBorders>
            <w:shd w:val="clear" w:color="auto" w:fill="auto"/>
          </w:tcPr>
          <w:p w:rsidR="00B63552" w:rsidRPr="001779EA" w:rsidRDefault="00B63552" w:rsidP="00B44564">
            <w:pPr>
              <w:pStyle w:val="TableText0"/>
              <w:keepLines/>
              <w:widowControl w:val="0"/>
            </w:pPr>
            <w:r w:rsidRPr="001779EA">
              <w:t>Progressed, n (%)</w:t>
            </w:r>
          </w:p>
          <w:p w:rsidR="002F4635" w:rsidRPr="001779EA" w:rsidRDefault="002F4635" w:rsidP="00B44564">
            <w:pPr>
              <w:pStyle w:val="TableText0"/>
              <w:keepLines/>
              <w:widowControl w:val="0"/>
            </w:pPr>
            <w:r w:rsidRPr="001779EA">
              <w:t>FALCON</w:t>
            </w:r>
          </w:p>
          <w:p w:rsidR="002F4635" w:rsidRPr="001779EA" w:rsidRDefault="002F4635" w:rsidP="00B44564">
            <w:pPr>
              <w:pStyle w:val="TableText0"/>
              <w:keepLines/>
              <w:widowControl w:val="0"/>
            </w:pPr>
            <w:r w:rsidRPr="001779EA">
              <w:t>FIRST</w:t>
            </w:r>
          </w:p>
        </w:tc>
        <w:tc>
          <w:tcPr>
            <w:tcW w:w="802" w:type="pct"/>
            <w:tcBorders>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2F4635" w:rsidRPr="001779EA" w:rsidRDefault="002F4635" w:rsidP="00B44564">
            <w:pPr>
              <w:pStyle w:val="TableText0"/>
              <w:keepLines/>
              <w:widowControl w:val="0"/>
              <w:jc w:val="center"/>
              <w:rPr>
                <w:rFonts w:cs="Times New Roman"/>
                <w:szCs w:val="20"/>
              </w:rPr>
            </w:pPr>
            <w:r w:rsidRPr="001779EA">
              <w:rPr>
                <w:rFonts w:cs="Times New Roman"/>
                <w:szCs w:val="20"/>
              </w:rPr>
              <w:t>143/230 (62.2)</w:t>
            </w:r>
          </w:p>
          <w:p w:rsidR="002F4635" w:rsidRPr="001779EA" w:rsidRDefault="002F4635" w:rsidP="00B44564">
            <w:pPr>
              <w:pStyle w:val="TableText0"/>
              <w:keepLines/>
              <w:widowControl w:val="0"/>
              <w:jc w:val="center"/>
            </w:pPr>
            <w:r w:rsidRPr="001779EA">
              <w:rPr>
                <w:rFonts w:cs="Times New Roman"/>
                <w:szCs w:val="20"/>
              </w:rPr>
              <w:t>63/102 (61.8)</w:t>
            </w:r>
          </w:p>
        </w:tc>
        <w:tc>
          <w:tcPr>
            <w:tcW w:w="840" w:type="pct"/>
            <w:tcBorders>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2F4635" w:rsidRPr="001779EA" w:rsidRDefault="002F4635" w:rsidP="00B44564">
            <w:pPr>
              <w:pStyle w:val="TableText0"/>
              <w:keepLines/>
              <w:widowControl w:val="0"/>
              <w:jc w:val="center"/>
              <w:rPr>
                <w:rFonts w:cs="Times New Roman"/>
                <w:szCs w:val="20"/>
              </w:rPr>
            </w:pPr>
            <w:r w:rsidRPr="001779EA">
              <w:rPr>
                <w:rFonts w:cs="Times New Roman"/>
                <w:szCs w:val="20"/>
              </w:rPr>
              <w:t>166/232 (71.6)</w:t>
            </w:r>
          </w:p>
          <w:p w:rsidR="002F4635" w:rsidRPr="001779EA" w:rsidRDefault="002F4635" w:rsidP="00B44564">
            <w:pPr>
              <w:pStyle w:val="TableText0"/>
              <w:keepLines/>
              <w:widowControl w:val="0"/>
              <w:jc w:val="center"/>
            </w:pPr>
            <w:r w:rsidRPr="001779EA">
              <w:rPr>
                <w:rFonts w:cs="Times New Roman"/>
                <w:szCs w:val="20"/>
              </w:rPr>
              <w:t>79/103 (76.7)</w:t>
            </w:r>
          </w:p>
        </w:tc>
        <w:tc>
          <w:tcPr>
            <w:tcW w:w="1113" w:type="pct"/>
            <w:tcBorders>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pPr>
          </w:p>
          <w:p w:rsidR="002F4635" w:rsidRPr="001779EA" w:rsidRDefault="00A707A0" w:rsidP="00B44564">
            <w:pPr>
              <w:pStyle w:val="TableText0"/>
              <w:keepLines/>
              <w:widowControl w:val="0"/>
              <w:jc w:val="center"/>
            </w:pPr>
            <w:r w:rsidRPr="001779EA">
              <w:t>9.4</w:t>
            </w:r>
          </w:p>
          <w:p w:rsidR="00A707A0" w:rsidRPr="001779EA" w:rsidRDefault="00A707A0" w:rsidP="00B44564">
            <w:pPr>
              <w:pStyle w:val="TableText0"/>
              <w:keepLines/>
              <w:widowControl w:val="0"/>
              <w:jc w:val="center"/>
            </w:pPr>
            <w:r w:rsidRPr="001779EA">
              <w:t>14.9</w:t>
            </w:r>
          </w:p>
        </w:tc>
        <w:tc>
          <w:tcPr>
            <w:tcW w:w="879" w:type="pct"/>
            <w:tcBorders>
              <w:left w:val="single" w:sz="4" w:space="0" w:color="auto"/>
              <w:bottom w:val="nil"/>
            </w:tcBorders>
            <w:shd w:val="clear" w:color="auto" w:fill="auto"/>
          </w:tcPr>
          <w:p w:rsidR="00B63552" w:rsidRPr="001779EA" w:rsidRDefault="00946922" w:rsidP="00B44564">
            <w:pPr>
              <w:pStyle w:val="TableText0"/>
              <w:keepLines/>
              <w:widowControl w:val="0"/>
              <w:jc w:val="center"/>
              <w:rPr>
                <w:szCs w:val="20"/>
              </w:rPr>
            </w:pPr>
            <w:r w:rsidRPr="001779EA">
              <w:rPr>
                <w:szCs w:val="20"/>
              </w:rPr>
              <w:t>0.75 (0.62, 0.91)</w:t>
            </w:r>
            <w:r w:rsidR="00B63552" w:rsidRPr="001779EA">
              <w:rPr>
                <w:szCs w:val="20"/>
              </w:rPr>
              <w:t xml:space="preserve"> </w:t>
            </w:r>
          </w:p>
          <w:p w:rsidR="00B63552" w:rsidRPr="001779EA" w:rsidRDefault="00B63552" w:rsidP="00B44564">
            <w:pPr>
              <w:pStyle w:val="TableText0"/>
              <w:keepLines/>
              <w:widowControl w:val="0"/>
              <w:jc w:val="center"/>
              <w:rPr>
                <w:szCs w:val="20"/>
              </w:rPr>
            </w:pPr>
            <w:r w:rsidRPr="001779EA">
              <w:rPr>
                <w:szCs w:val="20"/>
              </w:rPr>
              <w:t>P=</w:t>
            </w:r>
            <w:r w:rsidR="00946922" w:rsidRPr="001779EA">
              <w:rPr>
                <w:szCs w:val="20"/>
              </w:rPr>
              <w:t>0.003</w:t>
            </w:r>
          </w:p>
          <w:p w:rsidR="00946922" w:rsidRPr="001779EA" w:rsidRDefault="00946922" w:rsidP="00B44564">
            <w:pPr>
              <w:pStyle w:val="TableText0"/>
              <w:keepLines/>
              <w:widowControl w:val="0"/>
              <w:jc w:val="center"/>
            </w:pPr>
            <w:r w:rsidRPr="001779EA">
              <w:rPr>
                <w:szCs w:val="20"/>
              </w:rPr>
              <w:t>I</w:t>
            </w:r>
            <w:r w:rsidRPr="001779EA">
              <w:rPr>
                <w:szCs w:val="20"/>
                <w:vertAlign w:val="superscript"/>
              </w:rPr>
              <w:t>2</w:t>
            </w:r>
            <w:r w:rsidRPr="001779EA">
              <w:rPr>
                <w:szCs w:val="20"/>
              </w:rPr>
              <w:t>=0%</w:t>
            </w:r>
          </w:p>
        </w:tc>
      </w:tr>
      <w:tr w:rsidR="00B63552" w:rsidRPr="001779EA" w:rsidTr="00B44564">
        <w:trPr>
          <w:trHeight w:val="20"/>
        </w:trPr>
        <w:tc>
          <w:tcPr>
            <w:tcW w:w="1366" w:type="pct"/>
            <w:tcBorders>
              <w:bottom w:val="single" w:sz="4" w:space="0" w:color="auto"/>
              <w:right w:val="single" w:sz="4" w:space="0" w:color="auto"/>
            </w:tcBorders>
            <w:shd w:val="clear" w:color="auto" w:fill="auto"/>
          </w:tcPr>
          <w:p w:rsidR="00B63552" w:rsidRPr="001779EA" w:rsidRDefault="00B63552" w:rsidP="00B44564">
            <w:pPr>
              <w:pStyle w:val="TableText0"/>
              <w:keepLines/>
              <w:widowControl w:val="0"/>
            </w:pPr>
            <w:r w:rsidRPr="001779EA">
              <w:t>Median PFS, months (95% CI)</w:t>
            </w:r>
          </w:p>
          <w:p w:rsidR="00946922" w:rsidRPr="001779EA" w:rsidRDefault="00946922" w:rsidP="00B44564">
            <w:pPr>
              <w:pStyle w:val="TableText0"/>
              <w:keepLines/>
              <w:widowControl w:val="0"/>
            </w:pPr>
            <w:r w:rsidRPr="001779EA">
              <w:t>FALCON</w:t>
            </w:r>
          </w:p>
          <w:p w:rsidR="00946922" w:rsidRPr="001779EA" w:rsidRDefault="00946922" w:rsidP="00B44564">
            <w:pPr>
              <w:pStyle w:val="TableText0"/>
              <w:keepLines/>
              <w:widowControl w:val="0"/>
            </w:pPr>
            <w:r w:rsidRPr="001779EA">
              <w:t>FIRST</w:t>
            </w:r>
          </w:p>
        </w:tc>
        <w:tc>
          <w:tcPr>
            <w:tcW w:w="802" w:type="pct"/>
            <w:tcBorders>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946922" w:rsidRPr="001779EA" w:rsidRDefault="00946922" w:rsidP="00B44564">
            <w:pPr>
              <w:pStyle w:val="TableText0"/>
              <w:keepLines/>
              <w:widowControl w:val="0"/>
              <w:jc w:val="center"/>
              <w:rPr>
                <w:rFonts w:cs="Times New Roman"/>
                <w:szCs w:val="20"/>
              </w:rPr>
            </w:pPr>
            <w:r w:rsidRPr="001779EA">
              <w:rPr>
                <w:rFonts w:cs="Times New Roman"/>
                <w:szCs w:val="20"/>
              </w:rPr>
              <w:t>16.6 (13.83, 20.99)</w:t>
            </w:r>
          </w:p>
          <w:p w:rsidR="00946922" w:rsidRPr="001779EA" w:rsidRDefault="00946922" w:rsidP="00B44564">
            <w:pPr>
              <w:pStyle w:val="TableText0"/>
              <w:keepLines/>
              <w:widowControl w:val="0"/>
              <w:jc w:val="center"/>
              <w:rPr>
                <w:rFonts w:cs="Times New Roman"/>
                <w:szCs w:val="20"/>
              </w:rPr>
            </w:pPr>
            <w:r w:rsidRPr="001779EA">
              <w:t>23.4 (NR)</w:t>
            </w:r>
          </w:p>
        </w:tc>
        <w:tc>
          <w:tcPr>
            <w:tcW w:w="840" w:type="pct"/>
            <w:tcBorders>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946922" w:rsidRPr="001779EA" w:rsidRDefault="00946922" w:rsidP="00B44564">
            <w:pPr>
              <w:pStyle w:val="TableText0"/>
              <w:keepLines/>
              <w:widowControl w:val="0"/>
              <w:jc w:val="center"/>
            </w:pPr>
            <w:r w:rsidRPr="001779EA">
              <w:t>13.8 (11.99, 16.59)</w:t>
            </w:r>
          </w:p>
          <w:p w:rsidR="00946922" w:rsidRPr="001779EA" w:rsidRDefault="00946922" w:rsidP="00B44564">
            <w:pPr>
              <w:pStyle w:val="TableText0"/>
              <w:keepLines/>
              <w:widowControl w:val="0"/>
              <w:jc w:val="center"/>
              <w:rPr>
                <w:rFonts w:cs="Times New Roman"/>
                <w:szCs w:val="20"/>
              </w:rPr>
            </w:pPr>
            <w:r w:rsidRPr="001779EA">
              <w:t>13.1 (NR)</w:t>
            </w:r>
          </w:p>
        </w:tc>
        <w:tc>
          <w:tcPr>
            <w:tcW w:w="1113" w:type="pct"/>
            <w:tcBorders>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pPr>
          </w:p>
          <w:p w:rsidR="00946922" w:rsidRPr="001779EA" w:rsidRDefault="00946922" w:rsidP="00B44564">
            <w:pPr>
              <w:pStyle w:val="TableText0"/>
              <w:keepLines/>
              <w:widowControl w:val="0"/>
              <w:jc w:val="center"/>
            </w:pPr>
            <w:r w:rsidRPr="001779EA">
              <w:t>2.8</w:t>
            </w:r>
          </w:p>
          <w:p w:rsidR="00946922" w:rsidRPr="001779EA" w:rsidRDefault="00946922" w:rsidP="00046510">
            <w:pPr>
              <w:pStyle w:val="TableText0"/>
              <w:keepLines/>
              <w:widowControl w:val="0"/>
              <w:jc w:val="center"/>
            </w:pPr>
            <w:r w:rsidRPr="001779EA">
              <w:t>10.3</w:t>
            </w:r>
          </w:p>
        </w:tc>
        <w:tc>
          <w:tcPr>
            <w:tcW w:w="879" w:type="pct"/>
            <w:tcBorders>
              <w:top w:val="nil"/>
              <w:left w:val="single" w:sz="4" w:space="0" w:color="auto"/>
              <w:bottom w:val="nil"/>
            </w:tcBorders>
            <w:shd w:val="clear" w:color="auto" w:fill="auto"/>
          </w:tcPr>
          <w:p w:rsidR="00B63552" w:rsidRPr="001779EA" w:rsidRDefault="00B63552" w:rsidP="00B44564">
            <w:pPr>
              <w:pStyle w:val="TableText0"/>
              <w:keepLines/>
              <w:widowControl w:val="0"/>
              <w:jc w:val="center"/>
              <w:rPr>
                <w:szCs w:val="20"/>
              </w:rPr>
            </w:pPr>
          </w:p>
        </w:tc>
      </w:tr>
      <w:tr w:rsidR="00B63552" w:rsidRPr="001779EA" w:rsidTr="00B44564">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0C3690">
            <w:pPr>
              <w:pStyle w:val="In-tableHeading"/>
              <w:rPr>
                <w:lang w:val="en-AU"/>
              </w:rPr>
            </w:pPr>
            <w:r w:rsidRPr="001779EA">
              <w:rPr>
                <w:lang w:val="en-AU"/>
              </w:rPr>
              <w:t xml:space="preserve">Overall survival </w:t>
            </w:r>
            <w:r w:rsidR="00046510" w:rsidRPr="001779EA">
              <w:rPr>
                <w:lang w:val="en-AU"/>
              </w:rPr>
              <w:t>(median duration of follow up 13.2-13.</w:t>
            </w:r>
            <w:r w:rsidR="000C3690" w:rsidRPr="001779EA">
              <w:rPr>
                <w:lang w:val="en-AU"/>
              </w:rPr>
              <w:t>8 months FALCON, not reported for FIRST</w:t>
            </w:r>
            <w:r w:rsidR="00046510" w:rsidRPr="001779EA">
              <w:rPr>
                <w:lang w:val="en-AU"/>
              </w:rPr>
              <w:t>)</w:t>
            </w:r>
          </w:p>
        </w:tc>
      </w:tr>
      <w:tr w:rsidR="00B63552" w:rsidRPr="001779EA" w:rsidTr="00B44564">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pPr>
            <w:r w:rsidRPr="001779EA">
              <w:t xml:space="preserve">Deaths, n/N (%) </w:t>
            </w:r>
          </w:p>
          <w:p w:rsidR="00046510" w:rsidRPr="001779EA" w:rsidRDefault="00046510" w:rsidP="00B44564">
            <w:pPr>
              <w:pStyle w:val="TableText0"/>
              <w:keepLines/>
              <w:widowControl w:val="0"/>
            </w:pPr>
            <w:r w:rsidRPr="001779EA">
              <w:t>FALCON</w:t>
            </w:r>
          </w:p>
          <w:p w:rsidR="00046510" w:rsidRPr="001779EA" w:rsidRDefault="00046510" w:rsidP="00B44564">
            <w:pPr>
              <w:pStyle w:val="TableText0"/>
              <w:keepLines/>
              <w:widowControl w:val="0"/>
            </w:pPr>
            <w:r w:rsidRPr="001779EA">
              <w:t>FIRST</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A707A0" w:rsidRPr="001779EA" w:rsidRDefault="00A707A0" w:rsidP="00B44564">
            <w:pPr>
              <w:pStyle w:val="TableText0"/>
              <w:keepLines/>
              <w:widowControl w:val="0"/>
              <w:jc w:val="center"/>
            </w:pPr>
            <w:r w:rsidRPr="001779EA">
              <w:t>67/230 (29.1)</w:t>
            </w:r>
          </w:p>
          <w:p w:rsidR="00A707A0" w:rsidRPr="001779EA" w:rsidRDefault="00A707A0" w:rsidP="00B44564">
            <w:pPr>
              <w:pStyle w:val="TableText0"/>
              <w:keepLines/>
              <w:widowControl w:val="0"/>
              <w:jc w:val="center"/>
            </w:pPr>
            <w:r w:rsidRPr="001779EA">
              <w:t>63/102 (61.8)</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A707A0" w:rsidRPr="001779EA" w:rsidRDefault="00A707A0" w:rsidP="00B44564">
            <w:pPr>
              <w:pStyle w:val="TableText0"/>
              <w:keepLines/>
              <w:widowControl w:val="0"/>
              <w:jc w:val="center"/>
              <w:rPr>
                <w:rFonts w:cs="Times New Roman"/>
                <w:szCs w:val="20"/>
              </w:rPr>
            </w:pPr>
            <w:r w:rsidRPr="001779EA">
              <w:rPr>
                <w:rFonts w:cs="Times New Roman"/>
                <w:szCs w:val="20"/>
              </w:rPr>
              <w:t>75/232 (32.3)</w:t>
            </w:r>
          </w:p>
          <w:p w:rsidR="00A707A0" w:rsidRPr="001779EA" w:rsidRDefault="00A707A0" w:rsidP="00B44564">
            <w:pPr>
              <w:pStyle w:val="TableText0"/>
              <w:keepLines/>
              <w:widowControl w:val="0"/>
              <w:jc w:val="center"/>
            </w:pPr>
            <w:r w:rsidRPr="001779EA">
              <w:rPr>
                <w:rFonts w:cs="Times New Roman"/>
                <w:szCs w:val="20"/>
              </w:rPr>
              <w:t>74/103 (71.8)</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pPr>
          </w:p>
          <w:p w:rsidR="00A707A0" w:rsidRPr="001779EA" w:rsidRDefault="00A707A0" w:rsidP="00B44564">
            <w:pPr>
              <w:pStyle w:val="TableText0"/>
              <w:keepLines/>
              <w:widowControl w:val="0"/>
              <w:jc w:val="center"/>
            </w:pPr>
            <w:r w:rsidRPr="001779EA">
              <w:t>3.2</w:t>
            </w:r>
          </w:p>
          <w:p w:rsidR="00A707A0" w:rsidRPr="001779EA" w:rsidRDefault="00A707A0" w:rsidP="00B44564">
            <w:pPr>
              <w:pStyle w:val="TableText0"/>
              <w:keepLines/>
              <w:widowControl w:val="0"/>
              <w:jc w:val="center"/>
            </w:pPr>
            <w:r w:rsidRPr="001779EA">
              <w:t>10.0</w:t>
            </w:r>
          </w:p>
        </w:tc>
        <w:tc>
          <w:tcPr>
            <w:tcW w:w="879" w:type="pct"/>
            <w:tcBorders>
              <w:top w:val="single" w:sz="4" w:space="0" w:color="auto"/>
              <w:left w:val="single" w:sz="4" w:space="0" w:color="auto"/>
              <w:bottom w:val="nil"/>
              <w:right w:val="single" w:sz="4" w:space="0" w:color="auto"/>
            </w:tcBorders>
            <w:shd w:val="clear" w:color="auto" w:fill="auto"/>
          </w:tcPr>
          <w:p w:rsidR="00B63552" w:rsidRPr="001779EA" w:rsidRDefault="007F54EF" w:rsidP="00B44564">
            <w:pPr>
              <w:pStyle w:val="TableText0"/>
              <w:keepLines/>
              <w:widowControl w:val="0"/>
              <w:jc w:val="center"/>
              <w:rPr>
                <w:szCs w:val="20"/>
              </w:rPr>
            </w:pPr>
            <w:r w:rsidRPr="001779EA">
              <w:rPr>
                <w:szCs w:val="20"/>
              </w:rPr>
              <w:t>0.78 (0.62, 0.99)</w:t>
            </w:r>
            <w:r w:rsidR="00B63552" w:rsidRPr="001779EA">
              <w:rPr>
                <w:szCs w:val="20"/>
              </w:rPr>
              <w:t xml:space="preserve"> </w:t>
            </w:r>
          </w:p>
          <w:p w:rsidR="00B63552" w:rsidRPr="001779EA" w:rsidRDefault="00B63552" w:rsidP="00B44564">
            <w:pPr>
              <w:pStyle w:val="TableText0"/>
              <w:keepLines/>
              <w:widowControl w:val="0"/>
              <w:jc w:val="center"/>
              <w:rPr>
                <w:szCs w:val="20"/>
              </w:rPr>
            </w:pPr>
            <w:r w:rsidRPr="001779EA">
              <w:rPr>
                <w:szCs w:val="20"/>
              </w:rPr>
              <w:t>P=</w:t>
            </w:r>
            <w:r w:rsidR="007F54EF" w:rsidRPr="001779EA">
              <w:rPr>
                <w:szCs w:val="20"/>
              </w:rPr>
              <w:t xml:space="preserve"> 0.04</w:t>
            </w:r>
          </w:p>
          <w:p w:rsidR="007F54EF" w:rsidRPr="001779EA" w:rsidRDefault="007F54EF" w:rsidP="00B44564">
            <w:pPr>
              <w:pStyle w:val="TableText0"/>
              <w:keepLines/>
              <w:widowControl w:val="0"/>
              <w:jc w:val="center"/>
            </w:pPr>
            <w:r w:rsidRPr="001779EA">
              <w:rPr>
                <w:szCs w:val="20"/>
              </w:rPr>
              <w:t>I</w:t>
            </w:r>
            <w:r w:rsidRPr="001779EA">
              <w:rPr>
                <w:szCs w:val="20"/>
                <w:vertAlign w:val="superscript"/>
              </w:rPr>
              <w:t>2</w:t>
            </w:r>
            <w:r w:rsidRPr="001779EA">
              <w:rPr>
                <w:szCs w:val="20"/>
              </w:rPr>
              <w:t>=0%</w:t>
            </w:r>
          </w:p>
        </w:tc>
      </w:tr>
      <w:tr w:rsidR="00A80DC2" w:rsidRPr="001779EA" w:rsidTr="00A80DC2">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rsidR="00A80DC2" w:rsidRPr="001779EA" w:rsidRDefault="00A80DC2" w:rsidP="00A80DC2">
            <w:pPr>
              <w:pStyle w:val="TableText0"/>
              <w:keepLines/>
              <w:widowControl w:val="0"/>
            </w:pPr>
            <w:r w:rsidRPr="001779EA">
              <w:t xml:space="preserve">Patients event free (%) </w:t>
            </w:r>
          </w:p>
          <w:p w:rsidR="00A80DC2" w:rsidRPr="001779EA" w:rsidRDefault="00D80A4B" w:rsidP="00A80DC2">
            <w:pPr>
              <w:pStyle w:val="TableText0"/>
              <w:keepLines/>
              <w:widowControl w:val="0"/>
            </w:pPr>
            <w:r w:rsidRPr="001779EA">
              <w:t>FIRST</w:t>
            </w:r>
            <w:r w:rsidR="00A80DC2" w:rsidRPr="001779EA">
              <w:t>, 12 months</w:t>
            </w:r>
          </w:p>
          <w:p w:rsidR="00A80DC2" w:rsidRPr="001779EA" w:rsidRDefault="00D80A4B" w:rsidP="00A80DC2">
            <w:pPr>
              <w:pStyle w:val="TableText0"/>
              <w:keepLines/>
              <w:widowControl w:val="0"/>
            </w:pPr>
            <w:r w:rsidRPr="001779EA">
              <w:t>FIRST</w:t>
            </w:r>
            <w:r w:rsidR="00A80DC2" w:rsidRPr="001779EA">
              <w:t>, 24 months</w:t>
            </w:r>
          </w:p>
          <w:p w:rsidR="00A80DC2" w:rsidRPr="001779EA" w:rsidRDefault="00D80A4B" w:rsidP="00A80DC2">
            <w:pPr>
              <w:pStyle w:val="TableText0"/>
              <w:keepLines/>
              <w:widowControl w:val="0"/>
            </w:pPr>
            <w:r w:rsidRPr="001779EA">
              <w:t>FIRST</w:t>
            </w:r>
            <w:r w:rsidR="00A80DC2" w:rsidRPr="001779EA">
              <w:t>, 48 months</w:t>
            </w:r>
          </w:p>
          <w:p w:rsidR="00A80DC2" w:rsidRPr="001779EA" w:rsidRDefault="00D80A4B" w:rsidP="00A80DC2">
            <w:pPr>
              <w:pStyle w:val="TableText0"/>
              <w:keepLines/>
              <w:widowControl w:val="0"/>
            </w:pPr>
            <w:r w:rsidRPr="001779EA">
              <w:t>FIRST</w:t>
            </w:r>
            <w:r w:rsidR="00A80DC2" w:rsidRPr="001779EA">
              <w:t>, 72 months</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A80DC2" w:rsidRPr="001779EA" w:rsidRDefault="00A80DC2" w:rsidP="00B44564">
            <w:pPr>
              <w:pStyle w:val="TableText0"/>
              <w:keepLines/>
              <w:widowControl w:val="0"/>
              <w:jc w:val="center"/>
              <w:rPr>
                <w:rFonts w:cs="Times New Roman"/>
                <w:szCs w:val="20"/>
              </w:rPr>
            </w:pPr>
          </w:p>
          <w:p w:rsidR="00A80DC2" w:rsidRPr="001779EA" w:rsidRDefault="00A80DC2" w:rsidP="00B44564">
            <w:pPr>
              <w:pStyle w:val="TableText0"/>
              <w:keepLines/>
              <w:widowControl w:val="0"/>
              <w:jc w:val="center"/>
              <w:rPr>
                <w:rFonts w:cs="Times New Roman"/>
                <w:szCs w:val="20"/>
              </w:rPr>
            </w:pPr>
            <w:r w:rsidRPr="001779EA">
              <w:rPr>
                <w:rFonts w:cs="Times New Roman"/>
                <w:szCs w:val="20"/>
              </w:rPr>
              <w:t>91%</w:t>
            </w:r>
          </w:p>
          <w:p w:rsidR="00A80DC2" w:rsidRPr="001779EA" w:rsidRDefault="00A80DC2" w:rsidP="00B44564">
            <w:pPr>
              <w:pStyle w:val="TableText0"/>
              <w:keepLines/>
              <w:widowControl w:val="0"/>
              <w:jc w:val="center"/>
              <w:rPr>
                <w:rFonts w:cs="Times New Roman"/>
                <w:szCs w:val="20"/>
              </w:rPr>
            </w:pPr>
            <w:r w:rsidRPr="001779EA">
              <w:rPr>
                <w:rFonts w:cs="Times New Roman"/>
                <w:szCs w:val="20"/>
              </w:rPr>
              <w:t>83%</w:t>
            </w:r>
          </w:p>
          <w:p w:rsidR="00A80DC2" w:rsidRPr="001779EA" w:rsidRDefault="00A80DC2" w:rsidP="00B44564">
            <w:pPr>
              <w:pStyle w:val="TableText0"/>
              <w:keepLines/>
              <w:widowControl w:val="0"/>
              <w:jc w:val="center"/>
              <w:rPr>
                <w:rFonts w:cs="Times New Roman"/>
                <w:szCs w:val="20"/>
              </w:rPr>
            </w:pPr>
            <w:r w:rsidRPr="001779EA">
              <w:rPr>
                <w:rFonts w:cs="Times New Roman"/>
                <w:szCs w:val="20"/>
              </w:rPr>
              <w:t>56%</w:t>
            </w:r>
          </w:p>
          <w:p w:rsidR="00A80DC2" w:rsidRPr="001779EA" w:rsidRDefault="00A80DC2" w:rsidP="00B44564">
            <w:pPr>
              <w:pStyle w:val="TableText0"/>
              <w:keepLines/>
              <w:widowControl w:val="0"/>
              <w:jc w:val="center"/>
              <w:rPr>
                <w:rFonts w:cs="Times New Roman"/>
                <w:szCs w:val="20"/>
              </w:rPr>
            </w:pPr>
            <w:r w:rsidRPr="001779EA">
              <w:rPr>
                <w:rFonts w:cs="Times New Roman"/>
                <w:szCs w:val="20"/>
              </w:rPr>
              <w:t>39%</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A80DC2" w:rsidRPr="001779EA" w:rsidRDefault="00A80DC2" w:rsidP="00B44564">
            <w:pPr>
              <w:pStyle w:val="TableText0"/>
              <w:keepLines/>
              <w:widowControl w:val="0"/>
              <w:jc w:val="center"/>
              <w:rPr>
                <w:rFonts w:cs="Times New Roman"/>
                <w:szCs w:val="20"/>
              </w:rPr>
            </w:pPr>
          </w:p>
          <w:p w:rsidR="00A80DC2" w:rsidRPr="001779EA" w:rsidRDefault="00A80DC2" w:rsidP="00B44564">
            <w:pPr>
              <w:pStyle w:val="TableText0"/>
              <w:keepLines/>
              <w:widowControl w:val="0"/>
              <w:jc w:val="center"/>
              <w:rPr>
                <w:rFonts w:cs="Times New Roman"/>
                <w:szCs w:val="20"/>
              </w:rPr>
            </w:pPr>
            <w:r w:rsidRPr="001779EA">
              <w:rPr>
                <w:rFonts w:cs="Times New Roman"/>
                <w:szCs w:val="20"/>
              </w:rPr>
              <w:t>92%</w:t>
            </w:r>
          </w:p>
          <w:p w:rsidR="00A80DC2" w:rsidRPr="001779EA" w:rsidRDefault="00A80DC2" w:rsidP="00B44564">
            <w:pPr>
              <w:pStyle w:val="TableText0"/>
              <w:keepLines/>
              <w:widowControl w:val="0"/>
              <w:jc w:val="center"/>
              <w:rPr>
                <w:rFonts w:cs="Times New Roman"/>
                <w:szCs w:val="20"/>
              </w:rPr>
            </w:pPr>
            <w:r w:rsidRPr="001779EA">
              <w:rPr>
                <w:rFonts w:cs="Times New Roman"/>
                <w:szCs w:val="20"/>
              </w:rPr>
              <w:t>78%</w:t>
            </w:r>
          </w:p>
          <w:p w:rsidR="00A80DC2" w:rsidRPr="001779EA" w:rsidRDefault="00A80DC2" w:rsidP="00B44564">
            <w:pPr>
              <w:pStyle w:val="TableText0"/>
              <w:keepLines/>
              <w:widowControl w:val="0"/>
              <w:jc w:val="center"/>
              <w:rPr>
                <w:rFonts w:cs="Times New Roman"/>
                <w:szCs w:val="20"/>
              </w:rPr>
            </w:pPr>
            <w:r w:rsidRPr="001779EA">
              <w:rPr>
                <w:rFonts w:cs="Times New Roman"/>
                <w:szCs w:val="20"/>
              </w:rPr>
              <w:t>51%</w:t>
            </w:r>
          </w:p>
          <w:p w:rsidR="00A80DC2" w:rsidRPr="001779EA" w:rsidRDefault="00A80DC2" w:rsidP="00B44564">
            <w:pPr>
              <w:pStyle w:val="TableText0"/>
              <w:keepLines/>
              <w:widowControl w:val="0"/>
              <w:jc w:val="center"/>
              <w:rPr>
                <w:rFonts w:cs="Times New Roman"/>
                <w:szCs w:val="20"/>
              </w:rPr>
            </w:pPr>
            <w:r w:rsidRPr="001779EA">
              <w:rPr>
                <w:rFonts w:cs="Times New Roman"/>
                <w:szCs w:val="20"/>
              </w:rPr>
              <w:t>27%</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A80DC2" w:rsidRPr="001779EA" w:rsidRDefault="00A80DC2" w:rsidP="00B44564">
            <w:pPr>
              <w:pStyle w:val="TableText0"/>
              <w:keepLines/>
              <w:widowControl w:val="0"/>
              <w:jc w:val="center"/>
            </w:pPr>
          </w:p>
          <w:p w:rsidR="00A80DC2" w:rsidRPr="001779EA" w:rsidRDefault="00A80DC2" w:rsidP="00B44564">
            <w:pPr>
              <w:pStyle w:val="TableText0"/>
              <w:keepLines/>
              <w:widowControl w:val="0"/>
              <w:jc w:val="center"/>
            </w:pPr>
            <w:r w:rsidRPr="001779EA">
              <w:t>1%</w:t>
            </w:r>
          </w:p>
          <w:p w:rsidR="00A80DC2" w:rsidRPr="001779EA" w:rsidRDefault="00A80DC2" w:rsidP="00B44564">
            <w:pPr>
              <w:pStyle w:val="TableText0"/>
              <w:keepLines/>
              <w:widowControl w:val="0"/>
              <w:jc w:val="center"/>
            </w:pPr>
            <w:r w:rsidRPr="001779EA">
              <w:t>5%</w:t>
            </w:r>
          </w:p>
          <w:p w:rsidR="00A80DC2" w:rsidRPr="001779EA" w:rsidRDefault="00A80DC2" w:rsidP="00B44564">
            <w:pPr>
              <w:pStyle w:val="TableText0"/>
              <w:keepLines/>
              <w:widowControl w:val="0"/>
              <w:jc w:val="center"/>
            </w:pPr>
            <w:r w:rsidRPr="001779EA">
              <w:t>5%</w:t>
            </w:r>
          </w:p>
          <w:p w:rsidR="00A80DC2" w:rsidRPr="001779EA" w:rsidRDefault="00A80DC2" w:rsidP="00B44564">
            <w:pPr>
              <w:pStyle w:val="TableText0"/>
              <w:keepLines/>
              <w:widowControl w:val="0"/>
              <w:jc w:val="center"/>
            </w:pPr>
            <w:r w:rsidRPr="001779EA">
              <w:t>12%</w:t>
            </w:r>
          </w:p>
        </w:tc>
        <w:tc>
          <w:tcPr>
            <w:tcW w:w="879" w:type="pct"/>
            <w:tcBorders>
              <w:top w:val="nil"/>
              <w:left w:val="single" w:sz="4" w:space="0" w:color="auto"/>
              <w:bottom w:val="nil"/>
              <w:right w:val="single" w:sz="4" w:space="0" w:color="auto"/>
            </w:tcBorders>
            <w:shd w:val="clear" w:color="auto" w:fill="auto"/>
          </w:tcPr>
          <w:p w:rsidR="00A80DC2" w:rsidRPr="001779EA" w:rsidRDefault="00A80DC2" w:rsidP="00B44564">
            <w:pPr>
              <w:pStyle w:val="TableText0"/>
              <w:keepLines/>
              <w:widowControl w:val="0"/>
              <w:jc w:val="center"/>
              <w:rPr>
                <w:szCs w:val="20"/>
              </w:rPr>
            </w:pPr>
          </w:p>
        </w:tc>
      </w:tr>
      <w:tr w:rsidR="00B63552" w:rsidRPr="001779EA" w:rsidTr="00B44564">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pPr>
            <w:r w:rsidRPr="001779EA">
              <w:t>Median OS, months (95% CI)</w:t>
            </w:r>
          </w:p>
          <w:p w:rsidR="00046510" w:rsidRPr="001779EA" w:rsidRDefault="00046510" w:rsidP="00B44564">
            <w:pPr>
              <w:pStyle w:val="TableText0"/>
              <w:keepLines/>
              <w:widowControl w:val="0"/>
            </w:pPr>
            <w:r w:rsidRPr="001779EA">
              <w:t>FALCON</w:t>
            </w:r>
          </w:p>
          <w:p w:rsidR="00046510" w:rsidRPr="001779EA" w:rsidRDefault="00046510" w:rsidP="00B44564">
            <w:pPr>
              <w:pStyle w:val="TableText0"/>
              <w:keepLines/>
              <w:widowControl w:val="0"/>
            </w:pPr>
            <w:r w:rsidRPr="001779EA">
              <w:t>FIRST</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A707A0" w:rsidRPr="001779EA" w:rsidRDefault="00A707A0" w:rsidP="00B44564">
            <w:pPr>
              <w:pStyle w:val="TableText0"/>
              <w:keepLines/>
              <w:widowControl w:val="0"/>
              <w:jc w:val="center"/>
              <w:rPr>
                <w:rFonts w:cs="Times New Roman"/>
                <w:szCs w:val="20"/>
              </w:rPr>
            </w:pPr>
            <w:r w:rsidRPr="001779EA">
              <w:rPr>
                <w:rFonts w:cs="Times New Roman"/>
                <w:szCs w:val="20"/>
              </w:rPr>
              <w:t>NE</w:t>
            </w:r>
          </w:p>
          <w:p w:rsidR="00A707A0" w:rsidRPr="001779EA" w:rsidRDefault="00A707A0" w:rsidP="00B44564">
            <w:pPr>
              <w:pStyle w:val="TableText0"/>
              <w:keepLines/>
              <w:widowControl w:val="0"/>
              <w:jc w:val="center"/>
              <w:rPr>
                <w:rFonts w:cs="Times New Roman"/>
                <w:szCs w:val="20"/>
              </w:rPr>
            </w:pPr>
            <w:r w:rsidRPr="001779EA">
              <w:rPr>
                <w:rFonts w:cs="Times New Roman"/>
                <w:szCs w:val="20"/>
              </w:rPr>
              <w:t>51.1 (NR)</w:t>
            </w:r>
          </w:p>
        </w:tc>
        <w:tc>
          <w:tcPr>
            <w:tcW w:w="840"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rPr>
                <w:rFonts w:cs="Times New Roman"/>
                <w:szCs w:val="20"/>
              </w:rPr>
            </w:pPr>
          </w:p>
          <w:p w:rsidR="00A707A0" w:rsidRPr="001779EA" w:rsidRDefault="00A707A0" w:rsidP="00B44564">
            <w:pPr>
              <w:pStyle w:val="TableText0"/>
              <w:keepLines/>
              <w:widowControl w:val="0"/>
              <w:jc w:val="center"/>
              <w:rPr>
                <w:rFonts w:cs="Times New Roman"/>
                <w:szCs w:val="20"/>
              </w:rPr>
            </w:pPr>
            <w:r w:rsidRPr="001779EA">
              <w:rPr>
                <w:rFonts w:cs="Times New Roman"/>
                <w:szCs w:val="20"/>
              </w:rPr>
              <w:t>NE</w:t>
            </w:r>
          </w:p>
          <w:p w:rsidR="00A707A0" w:rsidRPr="001779EA" w:rsidRDefault="00A707A0" w:rsidP="00B44564">
            <w:pPr>
              <w:pStyle w:val="TableText0"/>
              <w:keepLines/>
              <w:widowControl w:val="0"/>
              <w:jc w:val="center"/>
              <w:rPr>
                <w:rFonts w:cs="Times New Roman"/>
                <w:szCs w:val="20"/>
              </w:rPr>
            </w:pPr>
            <w:r w:rsidRPr="001779EA">
              <w:rPr>
                <w:rFonts w:cs="Times New Roman"/>
                <w:szCs w:val="20"/>
              </w:rPr>
              <w:t>48.4 (NR)</w:t>
            </w:r>
          </w:p>
        </w:tc>
        <w:tc>
          <w:tcPr>
            <w:tcW w:w="1113" w:type="pct"/>
            <w:tcBorders>
              <w:top w:val="single" w:sz="4" w:space="0" w:color="auto"/>
              <w:left w:val="single" w:sz="4" w:space="0" w:color="auto"/>
              <w:bottom w:val="single" w:sz="4" w:space="0" w:color="auto"/>
              <w:right w:val="single" w:sz="4" w:space="0" w:color="auto"/>
            </w:tcBorders>
            <w:shd w:val="clear" w:color="auto" w:fill="auto"/>
          </w:tcPr>
          <w:p w:rsidR="00B63552" w:rsidRPr="001779EA" w:rsidRDefault="00B63552" w:rsidP="00B44564">
            <w:pPr>
              <w:pStyle w:val="TableText0"/>
              <w:keepLines/>
              <w:widowControl w:val="0"/>
              <w:jc w:val="center"/>
            </w:pPr>
          </w:p>
          <w:p w:rsidR="00A707A0" w:rsidRPr="001779EA" w:rsidRDefault="00A707A0" w:rsidP="00B44564">
            <w:pPr>
              <w:pStyle w:val="TableText0"/>
              <w:keepLines/>
              <w:widowControl w:val="0"/>
              <w:jc w:val="center"/>
            </w:pPr>
          </w:p>
          <w:p w:rsidR="00A707A0" w:rsidRPr="001779EA" w:rsidRDefault="00A707A0" w:rsidP="00B44564">
            <w:pPr>
              <w:pStyle w:val="TableText0"/>
              <w:keepLines/>
              <w:widowControl w:val="0"/>
              <w:jc w:val="center"/>
            </w:pPr>
            <w:r w:rsidRPr="001779EA">
              <w:t>5.7</w:t>
            </w:r>
          </w:p>
        </w:tc>
        <w:tc>
          <w:tcPr>
            <w:tcW w:w="879" w:type="pct"/>
            <w:tcBorders>
              <w:top w:val="nil"/>
              <w:left w:val="single" w:sz="4" w:space="0" w:color="auto"/>
              <w:bottom w:val="nil"/>
              <w:right w:val="single" w:sz="4" w:space="0" w:color="auto"/>
            </w:tcBorders>
            <w:shd w:val="clear" w:color="auto" w:fill="auto"/>
          </w:tcPr>
          <w:p w:rsidR="00B63552" w:rsidRPr="001779EA" w:rsidRDefault="00B63552" w:rsidP="00B44564">
            <w:pPr>
              <w:pStyle w:val="TableText0"/>
              <w:keepLines/>
              <w:widowControl w:val="0"/>
              <w:jc w:val="center"/>
              <w:rPr>
                <w:szCs w:val="20"/>
              </w:rPr>
            </w:pPr>
          </w:p>
        </w:tc>
      </w:tr>
    </w:tbl>
    <w:tbl>
      <w:tblPr>
        <w:tblW w:w="5000" w:type="pct"/>
        <w:tblLayout w:type="fixed"/>
        <w:tblCellMar>
          <w:left w:w="28" w:type="dxa"/>
          <w:right w:w="28" w:type="dxa"/>
        </w:tblCellMar>
        <w:tblLook w:val="04A0" w:firstRow="1" w:lastRow="0" w:firstColumn="1" w:lastColumn="0" w:noHBand="0" w:noVBand="1"/>
      </w:tblPr>
      <w:tblGrid>
        <w:gridCol w:w="1153"/>
        <w:gridCol w:w="1134"/>
        <w:gridCol w:w="1284"/>
        <w:gridCol w:w="1555"/>
        <w:gridCol w:w="1133"/>
        <w:gridCol w:w="1362"/>
        <w:gridCol w:w="1396"/>
      </w:tblGrid>
      <w:tr w:rsidR="00B63552" w:rsidRPr="001779EA" w:rsidTr="00B44564">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B63552" w:rsidRPr="001779EA" w:rsidRDefault="00B63552" w:rsidP="00B44564">
            <w:pPr>
              <w:pStyle w:val="In-tableHeading"/>
              <w:rPr>
                <w:lang w:val="en-AU"/>
              </w:rPr>
            </w:pPr>
            <w:r w:rsidRPr="001779EA">
              <w:rPr>
                <w:lang w:val="en-AU"/>
              </w:rPr>
              <w:t xml:space="preserve">Harms </w:t>
            </w:r>
          </w:p>
        </w:tc>
      </w:tr>
      <w:tr w:rsidR="00B63552" w:rsidRPr="001779EA" w:rsidTr="000C3690">
        <w:trPr>
          <w:trHeight w:val="70"/>
        </w:trPr>
        <w:tc>
          <w:tcPr>
            <w:tcW w:w="6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3552" w:rsidRPr="001779EA" w:rsidRDefault="00B63552" w:rsidP="00B44564">
            <w:pPr>
              <w:pStyle w:val="In-tableHeading"/>
              <w:rPr>
                <w:lang w:val="en-AU"/>
              </w:rPr>
            </w:pPr>
          </w:p>
        </w:tc>
        <w:tc>
          <w:tcPr>
            <w:tcW w:w="629" w:type="pct"/>
            <w:vMerge w:val="restart"/>
            <w:tcBorders>
              <w:top w:val="single" w:sz="4" w:space="0" w:color="auto"/>
              <w:left w:val="single" w:sz="4" w:space="0" w:color="auto"/>
              <w:bottom w:val="single" w:sz="4" w:space="0" w:color="auto"/>
              <w:right w:val="single" w:sz="4" w:space="0" w:color="auto"/>
            </w:tcBorders>
            <w:vAlign w:val="center"/>
          </w:tcPr>
          <w:p w:rsidR="00B63552" w:rsidRPr="001779EA" w:rsidRDefault="007F54EF" w:rsidP="00B44564">
            <w:pPr>
              <w:pStyle w:val="In-tableHeading"/>
              <w:jc w:val="center"/>
              <w:rPr>
                <w:lang w:val="en-AU"/>
              </w:rPr>
            </w:pPr>
            <w:r w:rsidRPr="001779EA">
              <w:rPr>
                <w:lang w:val="en-AU"/>
              </w:rPr>
              <w:t>Fulvestrant</w:t>
            </w:r>
          </w:p>
          <w:p w:rsidR="00B63552" w:rsidRPr="001779EA" w:rsidRDefault="00B63552" w:rsidP="00B44564">
            <w:pPr>
              <w:pStyle w:val="In-tableHeading"/>
              <w:jc w:val="center"/>
              <w:rPr>
                <w:lang w:val="en-AU"/>
              </w:rPr>
            </w:pPr>
            <w:r w:rsidRPr="001779EA">
              <w:rPr>
                <w:lang w:val="en-AU"/>
              </w:rPr>
              <w:t>n/N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B63552" w:rsidRPr="001779EA" w:rsidRDefault="007F54EF" w:rsidP="00B44564">
            <w:pPr>
              <w:pStyle w:val="In-tableHeading"/>
              <w:jc w:val="center"/>
              <w:rPr>
                <w:lang w:val="en-AU"/>
              </w:rPr>
            </w:pPr>
            <w:r w:rsidRPr="001779EA">
              <w:rPr>
                <w:lang w:val="en-AU"/>
              </w:rPr>
              <w:t>Anastrozole</w:t>
            </w:r>
          </w:p>
          <w:p w:rsidR="00B63552" w:rsidRPr="001779EA" w:rsidRDefault="00B63552" w:rsidP="00B44564">
            <w:pPr>
              <w:pStyle w:val="In-tableHeading"/>
              <w:jc w:val="center"/>
              <w:rPr>
                <w:lang w:val="en-AU"/>
              </w:rPr>
            </w:pPr>
            <w:r w:rsidRPr="001779EA">
              <w:rPr>
                <w:lang w:val="en-AU"/>
              </w:rPr>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B63552" w:rsidRPr="001779EA" w:rsidRDefault="00B63552" w:rsidP="00B44564">
            <w:pPr>
              <w:pStyle w:val="In-tableHeading"/>
              <w:jc w:val="center"/>
              <w:rPr>
                <w:lang w:val="en-AU"/>
              </w:rPr>
            </w:pPr>
            <w:r w:rsidRPr="001779EA">
              <w:rPr>
                <w:lang w:val="en-AU"/>
              </w:rPr>
              <w:t>RR</w:t>
            </w:r>
          </w:p>
          <w:p w:rsidR="00B63552" w:rsidRPr="001779EA" w:rsidRDefault="00B63552" w:rsidP="00B44564">
            <w:pPr>
              <w:pStyle w:val="In-tableHeading"/>
              <w:jc w:val="center"/>
              <w:rPr>
                <w:lang w:val="en-AU"/>
              </w:rPr>
            </w:pPr>
            <w:r w:rsidRPr="001779EA">
              <w:rPr>
                <w:lang w:val="en-AU"/>
              </w:rPr>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rsidR="00B63552" w:rsidRPr="001779EA" w:rsidRDefault="00B63552" w:rsidP="00B44564">
            <w:pPr>
              <w:pStyle w:val="In-tableHeading"/>
              <w:jc w:val="center"/>
              <w:rPr>
                <w:lang w:val="en-AU"/>
              </w:rPr>
            </w:pPr>
            <w:r w:rsidRPr="001779EA">
              <w:rPr>
                <w:lang w:val="en-AU"/>
              </w:rPr>
              <w:t>Event rate/100 patients*</w:t>
            </w:r>
          </w:p>
        </w:tc>
        <w:tc>
          <w:tcPr>
            <w:tcW w:w="773" w:type="pct"/>
            <w:vMerge w:val="restart"/>
            <w:tcBorders>
              <w:top w:val="single" w:sz="4" w:space="0" w:color="auto"/>
              <w:left w:val="single" w:sz="4" w:space="0" w:color="auto"/>
              <w:bottom w:val="single" w:sz="4" w:space="0" w:color="auto"/>
              <w:right w:val="single" w:sz="4" w:space="0" w:color="auto"/>
            </w:tcBorders>
            <w:vAlign w:val="center"/>
          </w:tcPr>
          <w:p w:rsidR="00B63552" w:rsidRPr="001779EA" w:rsidRDefault="00B63552" w:rsidP="00B44564">
            <w:pPr>
              <w:pStyle w:val="In-tableHeading"/>
              <w:jc w:val="center"/>
              <w:rPr>
                <w:lang w:val="en-AU"/>
              </w:rPr>
            </w:pPr>
            <w:r w:rsidRPr="001779EA">
              <w:rPr>
                <w:lang w:val="en-AU"/>
              </w:rPr>
              <w:t>RD</w:t>
            </w:r>
          </w:p>
          <w:p w:rsidR="00B63552" w:rsidRPr="001779EA" w:rsidRDefault="00B63552" w:rsidP="00B44564">
            <w:pPr>
              <w:pStyle w:val="In-tableHeading"/>
              <w:jc w:val="center"/>
              <w:rPr>
                <w:lang w:val="en-AU"/>
              </w:rPr>
            </w:pPr>
            <w:r w:rsidRPr="001779EA">
              <w:rPr>
                <w:lang w:val="en-AU"/>
              </w:rPr>
              <w:t>(95% CI)</w:t>
            </w:r>
          </w:p>
        </w:tc>
      </w:tr>
      <w:tr w:rsidR="00B63552" w:rsidRPr="001779EA" w:rsidTr="000C3690">
        <w:trPr>
          <w:trHeight w:val="390"/>
        </w:trPr>
        <w:tc>
          <w:tcPr>
            <w:tcW w:w="6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3552" w:rsidRPr="001779EA" w:rsidRDefault="00B63552" w:rsidP="00B44564">
            <w:pPr>
              <w:pStyle w:val="In-tableHeading"/>
              <w:rPr>
                <w:lang w:val="en-AU"/>
              </w:rPr>
            </w:pPr>
          </w:p>
        </w:tc>
        <w:tc>
          <w:tcPr>
            <w:tcW w:w="629" w:type="pct"/>
            <w:vMerge/>
            <w:tcBorders>
              <w:top w:val="single" w:sz="4" w:space="0" w:color="auto"/>
              <w:left w:val="single" w:sz="4" w:space="0" w:color="auto"/>
              <w:bottom w:val="single" w:sz="4" w:space="0" w:color="auto"/>
              <w:right w:val="single" w:sz="4" w:space="0" w:color="auto"/>
            </w:tcBorders>
            <w:vAlign w:val="center"/>
          </w:tcPr>
          <w:p w:rsidR="00B63552" w:rsidRPr="001779EA" w:rsidRDefault="00B63552" w:rsidP="00B44564">
            <w:pPr>
              <w:pStyle w:val="In-tableHeading"/>
              <w:rPr>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B63552" w:rsidRPr="001779EA" w:rsidRDefault="00B63552" w:rsidP="00B44564">
            <w:pPr>
              <w:pStyle w:val="In-tableHeading"/>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B63552" w:rsidRPr="001779EA" w:rsidRDefault="00B63552" w:rsidP="00B44564">
            <w:pPr>
              <w:pStyle w:val="In-tableHeading"/>
              <w:rPr>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rsidR="00B63552" w:rsidRPr="001779EA" w:rsidRDefault="007F54EF" w:rsidP="00B44564">
            <w:pPr>
              <w:pStyle w:val="In-tableHeading"/>
              <w:jc w:val="center"/>
              <w:rPr>
                <w:lang w:val="en-AU"/>
              </w:rPr>
            </w:pPr>
            <w:r w:rsidRPr="001779EA">
              <w:rPr>
                <w:lang w:val="en-AU"/>
              </w:rPr>
              <w:t>Fulvestrant</w:t>
            </w:r>
          </w:p>
        </w:tc>
        <w:tc>
          <w:tcPr>
            <w:tcW w:w="755" w:type="pct"/>
            <w:tcBorders>
              <w:top w:val="single" w:sz="4" w:space="0" w:color="auto"/>
              <w:left w:val="single" w:sz="4" w:space="0" w:color="auto"/>
              <w:bottom w:val="single" w:sz="4" w:space="0" w:color="auto"/>
              <w:right w:val="single" w:sz="4" w:space="0" w:color="auto"/>
            </w:tcBorders>
            <w:vAlign w:val="center"/>
          </w:tcPr>
          <w:p w:rsidR="00B63552" w:rsidRPr="001779EA" w:rsidRDefault="007F54EF" w:rsidP="00B44564">
            <w:pPr>
              <w:pStyle w:val="In-tableHeading"/>
              <w:jc w:val="center"/>
              <w:rPr>
                <w:lang w:val="en-AU"/>
              </w:rPr>
            </w:pPr>
            <w:r w:rsidRPr="001779EA">
              <w:rPr>
                <w:lang w:val="en-AU"/>
              </w:rPr>
              <w:t>Anastrozole</w:t>
            </w:r>
          </w:p>
        </w:tc>
        <w:tc>
          <w:tcPr>
            <w:tcW w:w="773" w:type="pct"/>
            <w:vMerge/>
            <w:tcBorders>
              <w:top w:val="single" w:sz="4" w:space="0" w:color="auto"/>
              <w:left w:val="single" w:sz="4" w:space="0" w:color="auto"/>
              <w:bottom w:val="single" w:sz="4" w:space="0" w:color="auto"/>
              <w:right w:val="single" w:sz="4" w:space="0" w:color="auto"/>
            </w:tcBorders>
            <w:vAlign w:val="center"/>
          </w:tcPr>
          <w:p w:rsidR="00B63552" w:rsidRPr="001779EA" w:rsidRDefault="00B63552" w:rsidP="00B44564">
            <w:pPr>
              <w:pStyle w:val="In-tableHeading"/>
              <w:rPr>
                <w:lang w:val="en-AU"/>
              </w:rPr>
            </w:pPr>
          </w:p>
        </w:tc>
      </w:tr>
      <w:tr w:rsidR="00B63552" w:rsidRPr="001779EA" w:rsidTr="00B44564">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63552" w:rsidRPr="001779EA" w:rsidRDefault="007F54EF" w:rsidP="00B44564">
            <w:pPr>
              <w:pStyle w:val="In-tableHeading"/>
              <w:jc w:val="both"/>
              <w:rPr>
                <w:lang w:val="en-AU"/>
              </w:rPr>
            </w:pPr>
            <w:r w:rsidRPr="001779EA">
              <w:rPr>
                <w:lang w:val="en-AU"/>
              </w:rPr>
              <w:t>Any AE grade 3 or higher</w:t>
            </w:r>
          </w:p>
        </w:tc>
      </w:tr>
      <w:tr w:rsidR="00B63552" w:rsidRPr="001779EA" w:rsidTr="000C3690">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B63552" w:rsidRPr="001779EA" w:rsidRDefault="007A7159" w:rsidP="00B44564">
            <w:pPr>
              <w:pStyle w:val="TableText0"/>
            </w:pPr>
            <w:r w:rsidRPr="001779EA">
              <w:t>FALCON</w:t>
            </w:r>
          </w:p>
        </w:tc>
        <w:tc>
          <w:tcPr>
            <w:tcW w:w="629" w:type="pct"/>
            <w:tcBorders>
              <w:top w:val="single" w:sz="4" w:space="0" w:color="auto"/>
              <w:left w:val="single" w:sz="4" w:space="0" w:color="auto"/>
              <w:bottom w:val="single" w:sz="4" w:space="0" w:color="auto"/>
              <w:right w:val="single" w:sz="4" w:space="0" w:color="auto"/>
            </w:tcBorders>
            <w:vAlign w:val="center"/>
          </w:tcPr>
          <w:p w:rsidR="00B63552" w:rsidRPr="001779EA" w:rsidRDefault="007A7159" w:rsidP="00B44564">
            <w:pPr>
              <w:pStyle w:val="TableText0"/>
              <w:jc w:val="center"/>
            </w:pPr>
            <w:r w:rsidRPr="001779EA">
              <w:t>51/228 (22.4)</w:t>
            </w:r>
          </w:p>
        </w:tc>
        <w:tc>
          <w:tcPr>
            <w:tcW w:w="712" w:type="pct"/>
            <w:tcBorders>
              <w:top w:val="single" w:sz="4" w:space="0" w:color="auto"/>
              <w:left w:val="single" w:sz="4" w:space="0" w:color="auto"/>
              <w:bottom w:val="single" w:sz="4" w:space="0" w:color="auto"/>
              <w:right w:val="single" w:sz="4" w:space="0" w:color="auto"/>
            </w:tcBorders>
            <w:vAlign w:val="center"/>
          </w:tcPr>
          <w:p w:rsidR="00B63552" w:rsidRPr="001779EA" w:rsidRDefault="007A7159" w:rsidP="00B44564">
            <w:pPr>
              <w:pStyle w:val="TableText0"/>
              <w:jc w:val="center"/>
            </w:pPr>
            <w:r w:rsidRPr="001779EA">
              <w:t>41/232 (17.7)</w:t>
            </w:r>
          </w:p>
        </w:tc>
        <w:tc>
          <w:tcPr>
            <w:tcW w:w="862" w:type="pct"/>
            <w:tcBorders>
              <w:top w:val="single" w:sz="4" w:space="0" w:color="auto"/>
              <w:left w:val="single" w:sz="4" w:space="0" w:color="auto"/>
              <w:bottom w:val="single" w:sz="4" w:space="0" w:color="auto"/>
              <w:right w:val="single" w:sz="4" w:space="0" w:color="auto"/>
            </w:tcBorders>
            <w:vAlign w:val="center"/>
          </w:tcPr>
          <w:p w:rsidR="00B63552" w:rsidRPr="001779EA" w:rsidRDefault="007A7159" w:rsidP="00B44564">
            <w:pPr>
              <w:pStyle w:val="TableText0"/>
              <w:jc w:val="center"/>
            </w:pPr>
            <w:r w:rsidRPr="001779EA">
              <w:t>1.34 (0.93, 1.93)</w:t>
            </w:r>
          </w:p>
        </w:tc>
        <w:tc>
          <w:tcPr>
            <w:tcW w:w="628" w:type="pct"/>
            <w:tcBorders>
              <w:top w:val="single" w:sz="4" w:space="0" w:color="auto"/>
              <w:left w:val="single" w:sz="4" w:space="0" w:color="auto"/>
              <w:bottom w:val="single" w:sz="4" w:space="0" w:color="auto"/>
              <w:right w:val="single" w:sz="4" w:space="0" w:color="auto"/>
            </w:tcBorders>
            <w:vAlign w:val="center"/>
          </w:tcPr>
          <w:p w:rsidR="00B63552" w:rsidRPr="001779EA" w:rsidRDefault="007368D1" w:rsidP="00B44564">
            <w:pPr>
              <w:pStyle w:val="TableText0"/>
              <w:jc w:val="center"/>
            </w:pPr>
            <w:r w:rsidRPr="001779EA">
              <w:t>22</w:t>
            </w:r>
          </w:p>
        </w:tc>
        <w:tc>
          <w:tcPr>
            <w:tcW w:w="755" w:type="pct"/>
            <w:tcBorders>
              <w:top w:val="single" w:sz="4" w:space="0" w:color="auto"/>
              <w:left w:val="single" w:sz="4" w:space="0" w:color="auto"/>
              <w:bottom w:val="single" w:sz="4" w:space="0" w:color="auto"/>
              <w:right w:val="single" w:sz="4" w:space="0" w:color="auto"/>
            </w:tcBorders>
            <w:vAlign w:val="center"/>
          </w:tcPr>
          <w:p w:rsidR="00B63552" w:rsidRPr="001779EA" w:rsidRDefault="007368D1" w:rsidP="00B44564">
            <w:pPr>
              <w:pStyle w:val="TableText0"/>
              <w:jc w:val="center"/>
            </w:pPr>
            <w:r w:rsidRPr="001779EA">
              <w:t>18</w:t>
            </w:r>
          </w:p>
        </w:tc>
        <w:tc>
          <w:tcPr>
            <w:tcW w:w="773" w:type="pct"/>
            <w:tcBorders>
              <w:top w:val="single" w:sz="4" w:space="0" w:color="auto"/>
              <w:left w:val="single" w:sz="4" w:space="0" w:color="auto"/>
              <w:bottom w:val="single" w:sz="4" w:space="0" w:color="auto"/>
              <w:right w:val="single" w:sz="4" w:space="0" w:color="auto"/>
            </w:tcBorders>
            <w:vAlign w:val="center"/>
          </w:tcPr>
          <w:p w:rsidR="00B63552" w:rsidRPr="001779EA" w:rsidRDefault="007368D1" w:rsidP="00B44564">
            <w:pPr>
              <w:pStyle w:val="TableText0"/>
              <w:jc w:val="center"/>
            </w:pPr>
            <w:r w:rsidRPr="001779EA">
              <w:t>4.7 (-2.63, 12.0)</w:t>
            </w:r>
          </w:p>
        </w:tc>
      </w:tr>
      <w:tr w:rsidR="007A7159" w:rsidRPr="001779EA" w:rsidTr="000C3690">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7A7159" w:rsidRPr="001779EA" w:rsidRDefault="007A7159" w:rsidP="00B44564">
            <w:pPr>
              <w:pStyle w:val="TableText0"/>
            </w:pPr>
            <w:r w:rsidRPr="001779EA">
              <w:t>FIRST</w:t>
            </w:r>
          </w:p>
        </w:tc>
        <w:tc>
          <w:tcPr>
            <w:tcW w:w="629" w:type="pct"/>
            <w:tcBorders>
              <w:top w:val="single" w:sz="4" w:space="0" w:color="auto"/>
              <w:left w:val="single" w:sz="4" w:space="0" w:color="auto"/>
              <w:bottom w:val="single" w:sz="4" w:space="0" w:color="auto"/>
              <w:right w:val="single" w:sz="4" w:space="0" w:color="auto"/>
            </w:tcBorders>
            <w:vAlign w:val="center"/>
          </w:tcPr>
          <w:p w:rsidR="007A7159" w:rsidRPr="001779EA" w:rsidRDefault="007A7159" w:rsidP="00B44564">
            <w:pPr>
              <w:pStyle w:val="TableText0"/>
              <w:jc w:val="center"/>
            </w:pPr>
            <w:r w:rsidRPr="001779EA">
              <w:t>18/101 (17.8)</w:t>
            </w:r>
          </w:p>
        </w:tc>
        <w:tc>
          <w:tcPr>
            <w:tcW w:w="712" w:type="pct"/>
            <w:tcBorders>
              <w:top w:val="single" w:sz="4" w:space="0" w:color="auto"/>
              <w:left w:val="single" w:sz="4" w:space="0" w:color="auto"/>
              <w:bottom w:val="single" w:sz="4" w:space="0" w:color="auto"/>
              <w:right w:val="single" w:sz="4" w:space="0" w:color="auto"/>
            </w:tcBorders>
            <w:vAlign w:val="center"/>
          </w:tcPr>
          <w:p w:rsidR="007A7159" w:rsidRPr="001779EA" w:rsidRDefault="007A7159" w:rsidP="00B44564">
            <w:pPr>
              <w:pStyle w:val="TableText0"/>
              <w:jc w:val="center"/>
            </w:pPr>
            <w:r w:rsidRPr="001779EA">
              <w:t>11/103 (10.7)</w:t>
            </w:r>
          </w:p>
        </w:tc>
        <w:tc>
          <w:tcPr>
            <w:tcW w:w="862" w:type="pct"/>
            <w:tcBorders>
              <w:top w:val="single" w:sz="4" w:space="0" w:color="auto"/>
              <w:left w:val="single" w:sz="4" w:space="0" w:color="auto"/>
              <w:bottom w:val="single" w:sz="4" w:space="0" w:color="auto"/>
              <w:right w:val="single" w:sz="4" w:space="0" w:color="auto"/>
            </w:tcBorders>
            <w:vAlign w:val="center"/>
          </w:tcPr>
          <w:p w:rsidR="007A7159" w:rsidRPr="001779EA" w:rsidRDefault="007368D1" w:rsidP="00B44564">
            <w:pPr>
              <w:pStyle w:val="TableText0"/>
              <w:jc w:val="center"/>
            </w:pPr>
            <w:r w:rsidRPr="001779EA">
              <w:t>1.67 (0.83, 3.35)</w:t>
            </w:r>
          </w:p>
        </w:tc>
        <w:tc>
          <w:tcPr>
            <w:tcW w:w="628" w:type="pct"/>
            <w:tcBorders>
              <w:top w:val="single" w:sz="4" w:space="0" w:color="auto"/>
              <w:left w:val="single" w:sz="4" w:space="0" w:color="auto"/>
              <w:bottom w:val="single" w:sz="4" w:space="0" w:color="auto"/>
              <w:right w:val="single" w:sz="4" w:space="0" w:color="auto"/>
            </w:tcBorders>
            <w:vAlign w:val="center"/>
          </w:tcPr>
          <w:p w:rsidR="007A7159" w:rsidRPr="001779EA" w:rsidRDefault="007368D1" w:rsidP="00B44564">
            <w:pPr>
              <w:pStyle w:val="TableText0"/>
              <w:jc w:val="center"/>
            </w:pPr>
            <w:r w:rsidRPr="001779EA">
              <w:t>18</w:t>
            </w:r>
          </w:p>
        </w:tc>
        <w:tc>
          <w:tcPr>
            <w:tcW w:w="755" w:type="pct"/>
            <w:tcBorders>
              <w:top w:val="single" w:sz="4" w:space="0" w:color="auto"/>
              <w:left w:val="single" w:sz="4" w:space="0" w:color="auto"/>
              <w:bottom w:val="single" w:sz="4" w:space="0" w:color="auto"/>
              <w:right w:val="single" w:sz="4" w:space="0" w:color="auto"/>
            </w:tcBorders>
            <w:vAlign w:val="center"/>
          </w:tcPr>
          <w:p w:rsidR="007A7159" w:rsidRPr="001779EA" w:rsidRDefault="007368D1" w:rsidP="00B44564">
            <w:pPr>
              <w:pStyle w:val="TableText0"/>
              <w:jc w:val="center"/>
            </w:pPr>
            <w:r w:rsidRPr="001779EA">
              <w:t>11</w:t>
            </w:r>
          </w:p>
        </w:tc>
        <w:tc>
          <w:tcPr>
            <w:tcW w:w="773" w:type="pct"/>
            <w:tcBorders>
              <w:top w:val="single" w:sz="4" w:space="0" w:color="auto"/>
              <w:left w:val="single" w:sz="4" w:space="0" w:color="auto"/>
              <w:bottom w:val="single" w:sz="4" w:space="0" w:color="auto"/>
              <w:right w:val="single" w:sz="4" w:space="0" w:color="auto"/>
            </w:tcBorders>
            <w:vAlign w:val="center"/>
          </w:tcPr>
          <w:p w:rsidR="007A7159" w:rsidRPr="001779EA" w:rsidRDefault="007368D1" w:rsidP="00B44564">
            <w:pPr>
              <w:pStyle w:val="TableText0"/>
              <w:jc w:val="center"/>
            </w:pPr>
            <w:r w:rsidRPr="001779EA">
              <w:t>7.1 (-2.61, 16.86)</w:t>
            </w:r>
          </w:p>
        </w:tc>
      </w:tr>
    </w:tbl>
    <w:p w:rsidR="00B63552" w:rsidRPr="001779EA" w:rsidRDefault="00B63552" w:rsidP="00B63552">
      <w:pPr>
        <w:pStyle w:val="TableFigureFooter"/>
        <w:rPr>
          <w:sz w:val="20"/>
        </w:rPr>
      </w:pPr>
      <w:r w:rsidRPr="001779EA">
        <w:t>Source:</w:t>
      </w:r>
      <w:r w:rsidR="00A707A0" w:rsidRPr="001779EA">
        <w:t xml:space="preserve"> T</w:t>
      </w:r>
      <w:r w:rsidR="007F54EF" w:rsidRPr="001779EA">
        <w:t>ables 2.17-2.18 and figures  2.5-2.6</w:t>
      </w:r>
      <w:r w:rsidR="00D80A4B" w:rsidRPr="001779EA">
        <w:t>, attachment 2.2</w:t>
      </w:r>
      <w:r w:rsidR="00A707A0" w:rsidRPr="001779EA">
        <w:t xml:space="preserve"> of the submission</w:t>
      </w:r>
    </w:p>
    <w:p w:rsidR="00B63552" w:rsidRPr="001779EA" w:rsidRDefault="00B63552" w:rsidP="00B63552">
      <w:pPr>
        <w:pStyle w:val="TableFigureFooter"/>
      </w:pPr>
      <w:r w:rsidRPr="001779EA">
        <w:t xml:space="preserve">HR = hazard ratio; </w:t>
      </w:r>
      <w:r w:rsidR="00A707A0" w:rsidRPr="001779EA">
        <w:t>NE = not evaluable;</w:t>
      </w:r>
      <w:r w:rsidRPr="001779EA">
        <w:t xml:space="preserve"> RD = risk difference; RR = risk ratio</w:t>
      </w:r>
    </w:p>
    <w:p w:rsidR="00B63552" w:rsidRPr="001779EA" w:rsidRDefault="007368D1" w:rsidP="00B63552">
      <w:pPr>
        <w:pStyle w:val="TableFigureFooter"/>
      </w:pPr>
      <w:r w:rsidRPr="001779EA">
        <w:t>* Median</w:t>
      </w:r>
      <w:r w:rsidR="00B63552" w:rsidRPr="001779EA">
        <w:t xml:space="preserve"> duration of follow-up: </w:t>
      </w:r>
      <w:r w:rsidRPr="001779EA">
        <w:t>FALCON</w:t>
      </w:r>
      <w:r w:rsidR="00B63552" w:rsidRPr="001779EA">
        <w:t xml:space="preserve"> = </w:t>
      </w:r>
      <w:r w:rsidRPr="001779EA">
        <w:t>13.2 (fulvestrant arm), 13.8</w:t>
      </w:r>
      <w:r w:rsidR="00B63552" w:rsidRPr="001779EA">
        <w:t xml:space="preserve"> months</w:t>
      </w:r>
      <w:r w:rsidRPr="001779EA">
        <w:t xml:space="preserve"> (anastrozole arm)</w:t>
      </w:r>
      <w:r w:rsidR="00B63552" w:rsidRPr="001779EA">
        <w:t xml:space="preserve">; </w:t>
      </w:r>
      <w:r w:rsidRPr="001779EA">
        <w:t>FIRST</w:t>
      </w:r>
      <w:r w:rsidR="00B63552" w:rsidRPr="001779EA">
        <w:t xml:space="preserve"> = </w:t>
      </w:r>
      <w:r w:rsidR="00EB50FD" w:rsidRPr="001779EA">
        <w:t>8 months (fulvestrant arm), 6.5 months (anastrozole arm)</w:t>
      </w:r>
    </w:p>
    <w:p w:rsidR="00EB50FD" w:rsidRPr="001779EA" w:rsidRDefault="00EB50FD" w:rsidP="00EB50FD">
      <w:pPr>
        <w:pStyle w:val="3-BodyText"/>
        <w:numPr>
          <w:ilvl w:val="1"/>
          <w:numId w:val="1"/>
        </w:numPr>
      </w:pPr>
      <w:r w:rsidRPr="001779EA">
        <w:lastRenderedPageBreak/>
        <w:t>On the basis of the evidence presented by the submission, for every 100 patients treated with fulvestrant in comparison with anastrozole:</w:t>
      </w:r>
    </w:p>
    <w:p w:rsidR="00EB50FD" w:rsidRPr="001779EA" w:rsidRDefault="00EB50FD" w:rsidP="00EB50FD">
      <w:pPr>
        <w:pStyle w:val="ListParagraph"/>
        <w:numPr>
          <w:ilvl w:val="0"/>
          <w:numId w:val="18"/>
        </w:numPr>
      </w:pPr>
      <w:r w:rsidRPr="001779EA">
        <w:t>Approximately 9 additional patients will remain progression-free after 13 months, based on the FALCON trial.</w:t>
      </w:r>
    </w:p>
    <w:p w:rsidR="00EB50FD" w:rsidRPr="001779EA" w:rsidRDefault="000C3690" w:rsidP="00EB50FD">
      <w:pPr>
        <w:pStyle w:val="ListParagraph"/>
        <w:numPr>
          <w:ilvl w:val="0"/>
          <w:numId w:val="18"/>
        </w:numPr>
        <w:rPr>
          <w:snapToGrid/>
        </w:rPr>
      </w:pPr>
      <w:r w:rsidRPr="001779EA">
        <w:rPr>
          <w:snapToGrid/>
        </w:rPr>
        <w:t>No statistically significant difference in AEs grade 3 or higher was shown for fulvestrant compared with anastrozole</w:t>
      </w:r>
      <w:r w:rsidR="00EB50FD" w:rsidRPr="001779EA">
        <w:rPr>
          <w:snapToGrid/>
        </w:rPr>
        <w:t>. </w:t>
      </w:r>
    </w:p>
    <w:p w:rsidR="0079059D" w:rsidRPr="001779EA" w:rsidRDefault="0079059D" w:rsidP="00247EDC">
      <w:pPr>
        <w:pStyle w:val="4-SubsectionHeading"/>
      </w:pPr>
      <w:r w:rsidRPr="001779EA">
        <w:t>Clinical claim (</w:t>
      </w:r>
      <w:r w:rsidR="00DB0C0C" w:rsidRPr="001779EA">
        <w:t>first</w:t>
      </w:r>
      <w:r w:rsidRPr="001779EA">
        <w:t>-line)</w:t>
      </w:r>
      <w:bookmarkEnd w:id="34"/>
    </w:p>
    <w:p w:rsidR="0079059D" w:rsidRPr="001779EA" w:rsidRDefault="0079059D" w:rsidP="00247EDC">
      <w:pPr>
        <w:pStyle w:val="3-BodyText"/>
        <w:rPr>
          <w:color w:val="000000" w:themeColor="text1"/>
        </w:rPr>
      </w:pPr>
      <w:r w:rsidRPr="001779EA">
        <w:rPr>
          <w:color w:val="000000" w:themeColor="text1"/>
        </w:rPr>
        <w:t xml:space="preserve">The submission described fulvestrant as superior in terms of effectiveness compared with anastrozole for the first-line treatment setting for </w:t>
      </w:r>
      <w:r w:rsidR="00334E4D" w:rsidRPr="001779EA">
        <w:rPr>
          <w:color w:val="000000" w:themeColor="text1"/>
        </w:rPr>
        <w:t xml:space="preserve">patients </w:t>
      </w:r>
      <w:r w:rsidRPr="001779EA">
        <w:rPr>
          <w:color w:val="000000" w:themeColor="text1"/>
        </w:rPr>
        <w:t xml:space="preserve">with </w:t>
      </w:r>
      <w:r w:rsidR="00C9010A" w:rsidRPr="001779EA">
        <w:rPr>
          <w:color w:val="000000" w:themeColor="text1"/>
        </w:rPr>
        <w:t xml:space="preserve">(unresectable) </w:t>
      </w:r>
      <w:r w:rsidRPr="001779EA">
        <w:rPr>
          <w:color w:val="000000" w:themeColor="text1"/>
        </w:rPr>
        <w:t>Stage</w:t>
      </w:r>
      <w:r w:rsidR="00C9010A" w:rsidRPr="001779EA">
        <w:rPr>
          <w:color w:val="000000" w:themeColor="text1"/>
        </w:rPr>
        <w:t xml:space="preserve"> </w:t>
      </w:r>
      <w:r w:rsidRPr="001779EA">
        <w:rPr>
          <w:color w:val="000000" w:themeColor="text1"/>
        </w:rPr>
        <w:t xml:space="preserve">III and IV breast cancer. </w:t>
      </w:r>
      <w:r w:rsidRPr="001779EA">
        <w:rPr>
          <w:iCs/>
          <w:color w:val="000000" w:themeColor="text1"/>
        </w:rPr>
        <w:t>Th</w:t>
      </w:r>
      <w:r w:rsidR="00D851E7" w:rsidRPr="001779EA">
        <w:rPr>
          <w:iCs/>
          <w:color w:val="000000" w:themeColor="text1"/>
        </w:rPr>
        <w:t xml:space="preserve">e commentary considered this </w:t>
      </w:r>
      <w:r w:rsidR="00E528F6" w:rsidRPr="001779EA">
        <w:rPr>
          <w:iCs/>
          <w:color w:val="000000" w:themeColor="text1"/>
        </w:rPr>
        <w:t>may be</w:t>
      </w:r>
      <w:r w:rsidR="00E47420" w:rsidRPr="001779EA">
        <w:rPr>
          <w:iCs/>
          <w:color w:val="000000" w:themeColor="text1"/>
        </w:rPr>
        <w:t xml:space="preserve"> </w:t>
      </w:r>
      <w:r w:rsidRPr="001779EA">
        <w:rPr>
          <w:iCs/>
          <w:color w:val="000000" w:themeColor="text1"/>
        </w:rPr>
        <w:t>plausible, given that:</w:t>
      </w:r>
    </w:p>
    <w:p w:rsidR="0079059D" w:rsidRPr="001779EA" w:rsidRDefault="0079059D" w:rsidP="007C1855">
      <w:pPr>
        <w:pStyle w:val="ListParagraph"/>
        <w:numPr>
          <w:ilvl w:val="0"/>
          <w:numId w:val="9"/>
        </w:numPr>
        <w:ind w:left="1134"/>
        <w:rPr>
          <w:iCs/>
          <w:color w:val="000000" w:themeColor="text1"/>
        </w:rPr>
      </w:pPr>
      <w:r w:rsidRPr="001779EA">
        <w:rPr>
          <w:iCs/>
          <w:color w:val="000000" w:themeColor="text1"/>
        </w:rPr>
        <w:t xml:space="preserve">The PFS HR for both FALCON and FIRST was statistically significant: 0.797 (95% </w:t>
      </w:r>
      <w:r w:rsidR="0002018F" w:rsidRPr="001779EA">
        <w:rPr>
          <w:iCs/>
          <w:color w:val="000000" w:themeColor="text1"/>
        </w:rPr>
        <w:t>CI:</w:t>
      </w:r>
      <w:r w:rsidRPr="001779EA">
        <w:rPr>
          <w:iCs/>
          <w:color w:val="000000" w:themeColor="text1"/>
        </w:rPr>
        <w:t xml:space="preserve"> 0.637, 0.999) and 0.66 (</w:t>
      </w:r>
      <w:r w:rsidR="0002018F" w:rsidRPr="001779EA">
        <w:rPr>
          <w:iCs/>
          <w:color w:val="000000" w:themeColor="text1"/>
        </w:rPr>
        <w:t xml:space="preserve">95% CI: </w:t>
      </w:r>
      <w:r w:rsidRPr="001779EA">
        <w:rPr>
          <w:iCs/>
          <w:color w:val="000000" w:themeColor="text1"/>
        </w:rPr>
        <w:t>0.47, 0.92) respectively. It was also statistically significant when pooled over the two trials: 0.75 (</w:t>
      </w:r>
      <w:r w:rsidR="0002018F" w:rsidRPr="001779EA">
        <w:rPr>
          <w:iCs/>
          <w:color w:val="000000" w:themeColor="text1"/>
        </w:rPr>
        <w:t xml:space="preserve">95% CI: </w:t>
      </w:r>
      <w:r w:rsidRPr="001779EA">
        <w:rPr>
          <w:iCs/>
          <w:color w:val="000000" w:themeColor="text1"/>
        </w:rPr>
        <w:t>0.62, 0.91).</w:t>
      </w:r>
    </w:p>
    <w:p w:rsidR="0079059D" w:rsidRPr="001779EA" w:rsidRDefault="0079059D" w:rsidP="007C1855">
      <w:pPr>
        <w:pStyle w:val="3-BodyText"/>
        <w:numPr>
          <w:ilvl w:val="0"/>
          <w:numId w:val="9"/>
        </w:numPr>
        <w:ind w:left="1134"/>
        <w:rPr>
          <w:iCs/>
          <w:color w:val="000000" w:themeColor="text1"/>
        </w:rPr>
      </w:pPr>
      <w:r w:rsidRPr="001779EA">
        <w:rPr>
          <w:iCs/>
          <w:color w:val="000000" w:themeColor="text1"/>
        </w:rPr>
        <w:t>The OS HR pooled from FALCON and FIRST was statistically significant: 0.78 (</w:t>
      </w:r>
      <w:r w:rsidR="00D829F8" w:rsidRPr="001779EA">
        <w:rPr>
          <w:iCs/>
          <w:color w:val="000000" w:themeColor="text1"/>
        </w:rPr>
        <w:t xml:space="preserve">95% CI: </w:t>
      </w:r>
      <w:r w:rsidRPr="001779EA">
        <w:rPr>
          <w:iCs/>
          <w:color w:val="000000" w:themeColor="text1"/>
        </w:rPr>
        <w:t>0.62, 0.99).</w:t>
      </w:r>
    </w:p>
    <w:p w:rsidR="00586BCD" w:rsidRPr="001779EA" w:rsidRDefault="00E528F6" w:rsidP="005C3D13">
      <w:pPr>
        <w:pStyle w:val="3-BodyText"/>
        <w:rPr>
          <w:iCs/>
          <w:color w:val="000000" w:themeColor="text1"/>
        </w:rPr>
      </w:pPr>
      <w:r w:rsidRPr="001779EA">
        <w:rPr>
          <w:iCs/>
          <w:color w:val="000000" w:themeColor="text1"/>
        </w:rPr>
        <w:t>However, t</w:t>
      </w:r>
      <w:r w:rsidR="00DA544E" w:rsidRPr="001779EA">
        <w:rPr>
          <w:iCs/>
          <w:color w:val="000000" w:themeColor="text1"/>
        </w:rPr>
        <w:t xml:space="preserve">he ESC considered that </w:t>
      </w:r>
      <w:r w:rsidR="00586BCD" w:rsidRPr="001779EA">
        <w:rPr>
          <w:iCs/>
          <w:color w:val="000000" w:themeColor="text1"/>
        </w:rPr>
        <w:t>the clinical claim was not well-supported because:</w:t>
      </w:r>
    </w:p>
    <w:p w:rsidR="00586BCD" w:rsidRPr="001779EA" w:rsidRDefault="00DA544E" w:rsidP="007C1855">
      <w:pPr>
        <w:pStyle w:val="3-BodyText"/>
        <w:numPr>
          <w:ilvl w:val="0"/>
          <w:numId w:val="9"/>
        </w:numPr>
        <w:ind w:left="1134"/>
        <w:rPr>
          <w:iCs/>
          <w:color w:val="000000" w:themeColor="text1"/>
        </w:rPr>
      </w:pPr>
      <w:r w:rsidRPr="001779EA">
        <w:rPr>
          <w:iCs/>
          <w:color w:val="000000" w:themeColor="text1"/>
        </w:rPr>
        <w:t xml:space="preserve">the </w:t>
      </w:r>
      <w:r w:rsidR="00586BCD" w:rsidRPr="001779EA">
        <w:rPr>
          <w:iCs/>
          <w:color w:val="000000" w:themeColor="text1"/>
        </w:rPr>
        <w:t>FIRST study included patients with HER2 positive breast cancer and therefore was not representative of the population requested for listing; and</w:t>
      </w:r>
    </w:p>
    <w:p w:rsidR="00DA544E" w:rsidRPr="001779EA" w:rsidRDefault="00586BCD" w:rsidP="007C1855">
      <w:pPr>
        <w:pStyle w:val="3-BodyText"/>
        <w:numPr>
          <w:ilvl w:val="0"/>
          <w:numId w:val="9"/>
        </w:numPr>
        <w:ind w:left="1134"/>
        <w:rPr>
          <w:iCs/>
          <w:color w:val="000000" w:themeColor="text1"/>
        </w:rPr>
      </w:pPr>
      <w:r w:rsidRPr="001779EA">
        <w:rPr>
          <w:iCs/>
          <w:color w:val="000000" w:themeColor="text1"/>
        </w:rPr>
        <w:t>the FALCON study excluded patients who had prior endocrine therapy and therefore was only applicable to patients with de novo advanced or metastatic disease.</w:t>
      </w:r>
      <w:r w:rsidR="00DA544E" w:rsidRPr="001779EA">
        <w:rPr>
          <w:iCs/>
          <w:color w:val="000000" w:themeColor="text1"/>
        </w:rPr>
        <w:t xml:space="preserve"> </w:t>
      </w:r>
    </w:p>
    <w:p w:rsidR="00586BCD" w:rsidRPr="001779EA" w:rsidRDefault="00586BCD" w:rsidP="007C1855">
      <w:pPr>
        <w:pStyle w:val="ListParagraph"/>
        <w:numPr>
          <w:ilvl w:val="0"/>
          <w:numId w:val="9"/>
        </w:numPr>
        <w:ind w:left="1134"/>
        <w:rPr>
          <w:rFonts w:eastAsia="Calibri"/>
        </w:rPr>
      </w:pPr>
      <w:r w:rsidRPr="001779EA">
        <w:rPr>
          <w:iCs/>
        </w:rPr>
        <w:t>The FALCON trial was most representative of the requested population, however the OS data were immature, with 69% of patients still alive at the data cut and the OS hazard ratio was not statistically significant, 0.875 (95% CI: 0.629, 1.217).</w:t>
      </w:r>
    </w:p>
    <w:p w:rsidR="000E57A9" w:rsidRPr="001779EA" w:rsidRDefault="000E57A9" w:rsidP="000E57A9">
      <w:pPr>
        <w:pStyle w:val="3-BodyText"/>
      </w:pPr>
      <w:r w:rsidRPr="001779EA">
        <w:t xml:space="preserve">The ESC considered that the results of the FALCON trial were most relevant to the requested population, however noted that more mature data will not be available until 2022. The pre-PBAC response argued that the FIRST trial was also applicable, noting that it included patients with prior endocrine therapy </w:t>
      </w:r>
      <w:r w:rsidR="007C1855" w:rsidRPr="001779EA">
        <w:t xml:space="preserve">(completed more than </w:t>
      </w:r>
      <w:r w:rsidRPr="001779EA">
        <w:t>12 months prior to enrolment</w:t>
      </w:r>
      <w:r w:rsidR="007C1855" w:rsidRPr="001779EA">
        <w:t>)</w:t>
      </w:r>
      <w:r w:rsidRPr="001779EA">
        <w:t xml:space="preserve"> </w:t>
      </w:r>
      <w:r w:rsidR="007C1855" w:rsidRPr="001779EA">
        <w:t>for early disease.</w:t>
      </w:r>
    </w:p>
    <w:p w:rsidR="00605B90" w:rsidRPr="001779EA" w:rsidRDefault="0079059D" w:rsidP="003B20F7">
      <w:pPr>
        <w:pStyle w:val="3-BodyText"/>
      </w:pPr>
      <w:r w:rsidRPr="001779EA">
        <w:t xml:space="preserve">The submission described fulvestrant as non-inferior in terms of safety compared with anastrozole for the first-line treatment setting. </w:t>
      </w:r>
      <w:r w:rsidR="00B83BDA" w:rsidRPr="001779EA">
        <w:t>T</w:t>
      </w:r>
      <w:r w:rsidR="00A12FD0" w:rsidRPr="001779EA">
        <w:t xml:space="preserve">he incidences of overall adverse events and individual adverse events of Grade 3 or higher were generally slightly higher in the fulvestrant arm compared to the comparator. </w:t>
      </w:r>
    </w:p>
    <w:p w:rsidR="00440E20" w:rsidRPr="001779EA" w:rsidRDefault="00440E20" w:rsidP="00440E20">
      <w:pPr>
        <w:pStyle w:val="3-BodyText"/>
        <w:rPr>
          <w:lang w:eastAsia="en-US"/>
        </w:rPr>
      </w:pPr>
      <w:r w:rsidRPr="001779EA">
        <w:rPr>
          <w:lang w:eastAsia="en-US"/>
        </w:rPr>
        <w:t>The PBAC considered that the claim of superior comparative effectiveness was reasonable</w:t>
      </w:r>
      <w:r w:rsidR="00B549CB" w:rsidRPr="001779EA">
        <w:rPr>
          <w:lang w:eastAsia="en-US"/>
        </w:rPr>
        <w:t xml:space="preserve">, however the </w:t>
      </w:r>
      <w:r w:rsidR="00DF1BC9" w:rsidRPr="001779EA">
        <w:rPr>
          <w:lang w:eastAsia="en-US"/>
        </w:rPr>
        <w:t xml:space="preserve">magnitude of benefit could not be reliably estimated given </w:t>
      </w:r>
      <w:r w:rsidR="00DF1BC9" w:rsidRPr="001779EA">
        <w:rPr>
          <w:lang w:eastAsia="en-US"/>
        </w:rPr>
        <w:lastRenderedPageBreak/>
        <w:t xml:space="preserve">the </w:t>
      </w:r>
      <w:r w:rsidR="00B549CB" w:rsidRPr="001779EA">
        <w:rPr>
          <w:lang w:eastAsia="en-US"/>
        </w:rPr>
        <w:t>limited applicability of the trials</w:t>
      </w:r>
      <w:r w:rsidR="002F5F2E" w:rsidRPr="001779EA">
        <w:rPr>
          <w:lang w:eastAsia="en-US"/>
        </w:rPr>
        <w:t>, the risk of bias in the FIRST trial (due to the open-label design) and the immaturity of the FALCON trial</w:t>
      </w:r>
      <w:r w:rsidR="00B549CB" w:rsidRPr="001779EA">
        <w:rPr>
          <w:lang w:eastAsia="en-US"/>
        </w:rPr>
        <w:t xml:space="preserve">. </w:t>
      </w:r>
    </w:p>
    <w:p w:rsidR="00440E20" w:rsidRPr="001779EA" w:rsidRDefault="00440E20" w:rsidP="00440E20">
      <w:pPr>
        <w:pStyle w:val="3-BodyText"/>
        <w:rPr>
          <w:lang w:eastAsia="en-US"/>
        </w:rPr>
      </w:pPr>
      <w:r w:rsidRPr="001779EA">
        <w:rPr>
          <w:lang w:eastAsia="en-US"/>
        </w:rPr>
        <w:t>The PBAC considered that the claim of non-inferior comparative safety was reasonable</w:t>
      </w:r>
      <w:r w:rsidR="00E74537" w:rsidRPr="001779EA">
        <w:rPr>
          <w:lang w:eastAsia="en-US"/>
        </w:rPr>
        <w:t>.</w:t>
      </w:r>
    </w:p>
    <w:p w:rsidR="0079059D" w:rsidRPr="001779EA" w:rsidRDefault="0079059D" w:rsidP="00247EDC">
      <w:pPr>
        <w:pStyle w:val="4-SubsectionHeading"/>
      </w:pPr>
      <w:bookmarkStart w:id="35" w:name="_Toc40935318"/>
      <w:r w:rsidRPr="001779EA">
        <w:t>Clinical trials (</w:t>
      </w:r>
      <w:r w:rsidR="00DB0C0C" w:rsidRPr="001779EA">
        <w:t>second</w:t>
      </w:r>
      <w:r w:rsidRPr="001779EA">
        <w:t>-line)</w:t>
      </w:r>
      <w:bookmarkEnd w:id="35"/>
    </w:p>
    <w:p w:rsidR="00231B5F" w:rsidRPr="001779EA" w:rsidRDefault="0079059D" w:rsidP="00247EDC">
      <w:pPr>
        <w:pStyle w:val="3-BodyText"/>
      </w:pPr>
      <w:r w:rsidRPr="001779EA">
        <w:t xml:space="preserve">No head-to-head RCTs comparing fulvestrant to </w:t>
      </w:r>
      <w:r w:rsidR="003B20F7" w:rsidRPr="001779EA">
        <w:t>EVE+EXE</w:t>
      </w:r>
      <w:r w:rsidRPr="001779EA">
        <w:t xml:space="preserve"> for the second-line treatment of HR+, HER2- ABC were identified. The submission </w:t>
      </w:r>
      <w:r w:rsidR="00F40437" w:rsidRPr="001779EA">
        <w:t xml:space="preserve">based its clinical claim on </w:t>
      </w:r>
      <w:r w:rsidRPr="001779EA">
        <w:t xml:space="preserve">an </w:t>
      </w:r>
      <w:r w:rsidR="00434B2F" w:rsidRPr="001779EA">
        <w:t>“</w:t>
      </w:r>
      <w:r w:rsidRPr="001779EA">
        <w:t>informal indirect comparison</w:t>
      </w:r>
      <w:r w:rsidR="00434B2F" w:rsidRPr="001779EA">
        <w:t>"</w:t>
      </w:r>
      <w:r w:rsidRPr="001779EA">
        <w:t xml:space="preserve"> approach to link evidence</w:t>
      </w:r>
      <w:r w:rsidR="00013122" w:rsidRPr="001779EA">
        <w:t xml:space="preserve"> </w:t>
      </w:r>
      <w:r w:rsidRPr="001779EA">
        <w:t>based on five RCTs in the second-line setting</w:t>
      </w:r>
      <w:r w:rsidR="0023729B" w:rsidRPr="001779EA">
        <w:t xml:space="preserve"> (as shown in figure 5)</w:t>
      </w:r>
      <w:r w:rsidR="00013122" w:rsidRPr="001779EA">
        <w:t>.</w:t>
      </w:r>
      <w:r w:rsidR="00247EDC" w:rsidRPr="001779EA">
        <w:t xml:space="preserve"> </w:t>
      </w:r>
      <w:r w:rsidR="00DB0C0C" w:rsidRPr="001779EA">
        <w:rPr>
          <w:iCs/>
        </w:rPr>
        <w:t xml:space="preserve">The </w:t>
      </w:r>
      <w:r w:rsidR="00434B2F" w:rsidRPr="001779EA">
        <w:rPr>
          <w:iCs/>
        </w:rPr>
        <w:t>“</w:t>
      </w:r>
      <w:r w:rsidR="00DB0C0C" w:rsidRPr="001779EA">
        <w:rPr>
          <w:iCs/>
        </w:rPr>
        <w:t>informal indirect comparison</w:t>
      </w:r>
      <w:r w:rsidR="00434B2F" w:rsidRPr="001779EA">
        <w:rPr>
          <w:iCs/>
        </w:rPr>
        <w:t>”</w:t>
      </w:r>
      <w:r w:rsidR="00013122" w:rsidRPr="001779EA">
        <w:rPr>
          <w:iCs/>
        </w:rPr>
        <w:t xml:space="preserve"> was not a statistical analysis of the comparative effectiveness of fulvestrant versus </w:t>
      </w:r>
      <w:r w:rsidR="008B48B6" w:rsidRPr="001779EA">
        <w:rPr>
          <w:iCs/>
        </w:rPr>
        <w:t>EVE+EXE</w:t>
      </w:r>
      <w:r w:rsidR="00013122" w:rsidRPr="001779EA">
        <w:rPr>
          <w:iCs/>
        </w:rPr>
        <w:t>.</w:t>
      </w:r>
      <w:r w:rsidR="00247EDC" w:rsidRPr="001779EA">
        <w:rPr>
          <w:iCs/>
        </w:rPr>
        <w:t xml:space="preserve"> </w:t>
      </w:r>
      <w:r w:rsidR="00013122" w:rsidRPr="001779EA">
        <w:rPr>
          <w:iCs/>
        </w:rPr>
        <w:t xml:space="preserve">Instead, it was simply a restatement of the results of the </w:t>
      </w:r>
      <w:r w:rsidR="0050424D" w:rsidRPr="001779EA">
        <w:rPr>
          <w:iCs/>
        </w:rPr>
        <w:t>underlying trials and the meta-analyses of trials</w:t>
      </w:r>
      <w:r w:rsidR="00601C09" w:rsidRPr="001779EA">
        <w:rPr>
          <w:iCs/>
        </w:rPr>
        <w:t xml:space="preserve">. </w:t>
      </w:r>
    </w:p>
    <w:p w:rsidR="0023729B" w:rsidRPr="001779EA" w:rsidRDefault="0023729B" w:rsidP="00247EDC">
      <w:pPr>
        <w:pStyle w:val="3-BodyText"/>
      </w:pPr>
      <w:r w:rsidRPr="001779EA">
        <w:rPr>
          <w:iCs/>
        </w:rPr>
        <w:t xml:space="preserve">A formal two-step indirect comparison via separate Bucher single pairwise indirect comparisons was presented as an attachment to the submission. The submission noted that, due to key differences in the study populations across the trials, the formal comparison had significant limitations. </w:t>
      </w:r>
    </w:p>
    <w:p w:rsidR="0023729B" w:rsidRPr="001779EA" w:rsidRDefault="0023729B" w:rsidP="0023729B">
      <w:pPr>
        <w:pStyle w:val="TableHeading0"/>
      </w:pPr>
      <w:r w:rsidRPr="001779EA">
        <w:t>Figure 5: Network diagram of trials in indirect comparison</w:t>
      </w:r>
    </w:p>
    <w:tbl>
      <w:tblPr>
        <w:tblStyle w:val="TableGrid"/>
        <w:tblW w:w="0" w:type="auto"/>
        <w:tblInd w:w="720" w:type="dxa"/>
        <w:tblLook w:val="04A0" w:firstRow="1" w:lastRow="0" w:firstColumn="1" w:lastColumn="0" w:noHBand="0" w:noVBand="1"/>
        <w:tblCaption w:val="Figure 5: Network diagram of trials in indirect comparison"/>
      </w:tblPr>
      <w:tblGrid>
        <w:gridCol w:w="8297"/>
      </w:tblGrid>
      <w:tr w:rsidR="0023729B" w:rsidRPr="001779EA" w:rsidTr="00107F9F">
        <w:trPr>
          <w:tblHeader/>
        </w:trPr>
        <w:tc>
          <w:tcPr>
            <w:tcW w:w="9016" w:type="dxa"/>
          </w:tcPr>
          <w:p w:rsidR="0023729B" w:rsidRPr="001779EA" w:rsidRDefault="0023729B" w:rsidP="00AF7894">
            <w:r w:rsidRPr="001779EA">
              <w:rPr>
                <w:noProof/>
              </w:rPr>
              <w:drawing>
                <wp:inline distT="0" distB="0" distL="0" distR="0" wp14:anchorId="095A00AD" wp14:editId="5CD898E7">
                  <wp:extent cx="5198110" cy="2264410"/>
                  <wp:effectExtent l="0" t="0" r="2540" b="2540"/>
                  <wp:docPr id="1" name="Picture 1" title="Figure 5: Network diagram of trials in indirect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8110" cy="2264410"/>
                          </a:xfrm>
                          <a:prstGeom prst="rect">
                            <a:avLst/>
                          </a:prstGeom>
                        </pic:spPr>
                      </pic:pic>
                    </a:graphicData>
                  </a:graphic>
                </wp:inline>
              </w:drawing>
            </w:r>
          </w:p>
        </w:tc>
      </w:tr>
    </w:tbl>
    <w:p w:rsidR="0023729B" w:rsidRPr="001779EA" w:rsidRDefault="0023729B" w:rsidP="0023729B">
      <w:pPr>
        <w:pStyle w:val="TableNotes"/>
        <w:spacing w:line="240" w:lineRule="auto"/>
        <w:contextualSpacing/>
      </w:pPr>
      <w:r w:rsidRPr="001779EA">
        <w:t>F500= Fulvestrant 500mg; F250 = Fulvestrant 250mg; E+E = Everolimus + Exemestane</w:t>
      </w:r>
    </w:p>
    <w:p w:rsidR="0023729B" w:rsidRDefault="0023729B" w:rsidP="00A628F6">
      <w:pPr>
        <w:pStyle w:val="TableNotes"/>
        <w:spacing w:line="240" w:lineRule="auto"/>
        <w:contextualSpacing/>
      </w:pPr>
      <w:r w:rsidRPr="001779EA">
        <w:t>Source: Fi</w:t>
      </w:r>
      <w:r w:rsidR="00A628F6">
        <w:t>gure 2.9, p80 of the submission</w:t>
      </w:r>
    </w:p>
    <w:p w:rsidR="00A628F6" w:rsidRPr="001779EA" w:rsidRDefault="00A628F6" w:rsidP="00A628F6"/>
    <w:p w:rsidR="0079059D" w:rsidRPr="001779EA" w:rsidRDefault="0023729B" w:rsidP="00247EDC">
      <w:pPr>
        <w:pStyle w:val="3-BodyText"/>
      </w:pPr>
      <w:r w:rsidRPr="001779EA">
        <w:t>Trials included in the ana</w:t>
      </w:r>
      <w:r w:rsidR="00601C09" w:rsidRPr="001779EA">
        <w:t>l</w:t>
      </w:r>
      <w:r w:rsidRPr="001779EA">
        <w:t>y</w:t>
      </w:r>
      <w:r w:rsidR="00601C09" w:rsidRPr="001779EA">
        <w:t>sis were:</w:t>
      </w:r>
    </w:p>
    <w:p w:rsidR="0079059D" w:rsidRPr="001779EA" w:rsidRDefault="0079059D" w:rsidP="007C1855">
      <w:pPr>
        <w:pStyle w:val="3-BodyText"/>
        <w:numPr>
          <w:ilvl w:val="0"/>
          <w:numId w:val="7"/>
        </w:numPr>
        <w:ind w:left="1134"/>
        <w:rPr>
          <w:iCs/>
        </w:rPr>
      </w:pPr>
      <w:r w:rsidRPr="001779EA">
        <w:rPr>
          <w:iCs/>
        </w:rPr>
        <w:t xml:space="preserve">CONFIRM (n=736) was a randomised, double-blind, phase III, parallel-group, multicentre study comparing the efficacy and tolerability of fulvestrant 500mg versus fulvestrant 250mg in postmenopausal women with HR+ ABC progressing or relapsing after previous endocrine therapy. </w:t>
      </w:r>
    </w:p>
    <w:p w:rsidR="0079059D" w:rsidRPr="001779EA" w:rsidRDefault="0079059D" w:rsidP="007C1855">
      <w:pPr>
        <w:pStyle w:val="3-BodyText"/>
        <w:numPr>
          <w:ilvl w:val="0"/>
          <w:numId w:val="7"/>
        </w:numPr>
        <w:ind w:left="1134"/>
        <w:rPr>
          <w:iCs/>
        </w:rPr>
      </w:pPr>
      <w:r w:rsidRPr="001779EA">
        <w:rPr>
          <w:iCs/>
        </w:rPr>
        <w:t xml:space="preserve">CONFIRM China (n=221) was a randomised, double-blind, phase III, parallel-group, multicentre study comparing the efficacy and tolerability of fulvestrant </w:t>
      </w:r>
      <w:r w:rsidRPr="001779EA">
        <w:rPr>
          <w:iCs/>
        </w:rPr>
        <w:lastRenderedPageBreak/>
        <w:t xml:space="preserve">500mg versus fulvestrant 250 mg in postmenopausal women with HR+ ABC progressing or relapsing after previous endocrine therapy. </w:t>
      </w:r>
    </w:p>
    <w:p w:rsidR="0079059D" w:rsidRPr="001779EA" w:rsidRDefault="0079059D" w:rsidP="007C1855">
      <w:pPr>
        <w:pStyle w:val="3-BodyText"/>
        <w:numPr>
          <w:ilvl w:val="0"/>
          <w:numId w:val="7"/>
        </w:numPr>
        <w:ind w:left="1134"/>
        <w:rPr>
          <w:iCs/>
        </w:rPr>
      </w:pPr>
      <w:r w:rsidRPr="001779EA">
        <w:rPr>
          <w:iCs/>
        </w:rPr>
        <w:t>EFECT (n=693) was a randomised, double-blind, phase III, multicentre study to compare the efficacy and tolerability of fulvestrant 250 versus exemestane in postmenopausal women with HR+ ABC with disease progression after prior NSAI therapy.</w:t>
      </w:r>
    </w:p>
    <w:p w:rsidR="0079059D" w:rsidRPr="001779EA" w:rsidRDefault="0079059D" w:rsidP="007C1855">
      <w:pPr>
        <w:pStyle w:val="3-BodyText"/>
        <w:numPr>
          <w:ilvl w:val="0"/>
          <w:numId w:val="7"/>
        </w:numPr>
        <w:ind w:left="1134"/>
        <w:rPr>
          <w:iCs/>
        </w:rPr>
      </w:pPr>
      <w:r w:rsidRPr="001779EA">
        <w:rPr>
          <w:iCs/>
        </w:rPr>
        <w:t xml:space="preserve">SoFEA (n=480) was a partially-blind, phase III, randomised trial of fulvestrant 250mg with or without concomitant anastrozole compared with exemestane in postmenopausal women with HR+ ABC following progression on NSAIs. </w:t>
      </w:r>
    </w:p>
    <w:p w:rsidR="0079059D" w:rsidRPr="001779EA" w:rsidRDefault="0079059D" w:rsidP="007C1855">
      <w:pPr>
        <w:pStyle w:val="3-BodyText"/>
        <w:numPr>
          <w:ilvl w:val="0"/>
          <w:numId w:val="7"/>
        </w:numPr>
        <w:ind w:left="1134"/>
        <w:rPr>
          <w:i/>
          <w:iCs/>
        </w:rPr>
      </w:pPr>
      <w:r w:rsidRPr="001779EA">
        <w:rPr>
          <w:iCs/>
        </w:rPr>
        <w:t>BOLERO-2 (n=724)</w:t>
      </w:r>
      <w:r w:rsidR="00B83BDA" w:rsidRPr="001779EA">
        <w:rPr>
          <w:iCs/>
        </w:rPr>
        <w:t xml:space="preserve"> was</w:t>
      </w:r>
      <w:r w:rsidRPr="001779EA">
        <w:rPr>
          <w:iCs/>
        </w:rPr>
        <w:t xml:space="preserve"> a randomised double-blind, phase III, placebo-controlled study of </w:t>
      </w:r>
      <w:r w:rsidR="008B48B6" w:rsidRPr="001779EA">
        <w:rPr>
          <w:iCs/>
        </w:rPr>
        <w:t>EVE+EXE</w:t>
      </w:r>
      <w:r w:rsidRPr="001779EA">
        <w:rPr>
          <w:iCs/>
        </w:rPr>
        <w:t xml:space="preserve"> compared with placebo plus exemestane in the treatment of postmenopausal women with HR+ ABC who are resistant to letrozole or anastrozole.</w:t>
      </w:r>
    </w:p>
    <w:p w:rsidR="0079059D" w:rsidRPr="001779EA" w:rsidRDefault="0079059D" w:rsidP="00C135E9">
      <w:pPr>
        <w:pStyle w:val="3-BodyText"/>
      </w:pPr>
      <w:r w:rsidRPr="001779EA">
        <w:t>Details of th</w:t>
      </w:r>
      <w:r w:rsidR="0070032E" w:rsidRPr="001779EA">
        <w:t xml:space="preserve">e trial </w:t>
      </w:r>
      <w:r w:rsidR="0023729B" w:rsidRPr="001779EA">
        <w:t xml:space="preserve">publications </w:t>
      </w:r>
      <w:r w:rsidR="0070032E" w:rsidRPr="001779EA">
        <w:t xml:space="preserve">are provided in Table </w:t>
      </w:r>
      <w:r w:rsidR="00B537D3" w:rsidRPr="001779EA">
        <w:t>8</w:t>
      </w:r>
      <w:r w:rsidRPr="001779EA">
        <w:t>.</w:t>
      </w:r>
    </w:p>
    <w:p w:rsidR="0079059D" w:rsidRPr="001779EA" w:rsidRDefault="0079059D" w:rsidP="00247EDC">
      <w:pPr>
        <w:pStyle w:val="TableFigureHeading"/>
      </w:pPr>
      <w:r w:rsidRPr="001779EA">
        <w:t xml:space="preserve">Table </w:t>
      </w:r>
      <w:r w:rsidR="00B537D3" w:rsidRPr="001779EA">
        <w:t>8</w:t>
      </w:r>
      <w:r w:rsidRPr="001779EA">
        <w:t>: Trials and associated reports presented in the submission</w:t>
      </w:r>
    </w:p>
    <w:tbl>
      <w:tblPr>
        <w:tblStyle w:val="AZTable"/>
        <w:tblW w:w="0" w:type="auto"/>
        <w:tblLook w:val="04A0" w:firstRow="1" w:lastRow="0" w:firstColumn="1" w:lastColumn="0" w:noHBand="0" w:noVBand="1"/>
        <w:tblCaption w:val="Table 8: Trials and associated reports presented in the submission"/>
      </w:tblPr>
      <w:tblGrid>
        <w:gridCol w:w="1422"/>
        <w:gridCol w:w="5933"/>
        <w:gridCol w:w="1662"/>
      </w:tblGrid>
      <w:tr w:rsidR="0079059D" w:rsidRPr="001779EA" w:rsidTr="002F0242">
        <w:trPr>
          <w:cnfStyle w:val="100000000000" w:firstRow="1" w:lastRow="0" w:firstColumn="0" w:lastColumn="0" w:oddVBand="0" w:evenVBand="0" w:oddHBand="0" w:evenHBand="0" w:firstRowFirstColumn="0" w:firstRowLastColumn="0" w:lastRowFirstColumn="0" w:lastRowLastColumn="0"/>
          <w:cantSplit/>
          <w:trHeight w:val="50"/>
          <w:tblHeader/>
        </w:trPr>
        <w:tc>
          <w:tcPr>
            <w:tcW w:w="0" w:type="auto"/>
            <w:tcBorders>
              <w:top w:val="single" w:sz="4" w:space="0" w:color="auto"/>
              <w:left w:val="single" w:sz="4" w:space="0" w:color="auto"/>
              <w:right w:val="single" w:sz="4" w:space="0" w:color="auto"/>
            </w:tcBorders>
            <w:shd w:val="clear" w:color="auto" w:fill="auto"/>
          </w:tcPr>
          <w:p w:rsidR="0079059D" w:rsidRPr="001779EA" w:rsidRDefault="0079059D" w:rsidP="00247EDC">
            <w:pPr>
              <w:pStyle w:val="In-tableHeading"/>
              <w:keepNext w:val="0"/>
              <w:rPr>
                <w:sz w:val="20"/>
                <w:szCs w:val="20"/>
                <w:lang w:val="en-AU"/>
              </w:rPr>
            </w:pPr>
            <w:r w:rsidRPr="001779EA">
              <w:rPr>
                <w:sz w:val="20"/>
                <w:szCs w:val="20"/>
                <w:lang w:val="en-AU"/>
              </w:rPr>
              <w:t>Trial ID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In-tableHeading"/>
              <w:keepNext w:val="0"/>
              <w:rPr>
                <w:sz w:val="20"/>
                <w:szCs w:val="20"/>
                <w:lang w:val="en-AU"/>
              </w:rPr>
            </w:pPr>
            <w:r w:rsidRPr="001779EA">
              <w:rPr>
                <w:sz w:val="20"/>
                <w:szCs w:val="20"/>
                <w:lang w:val="en-AU"/>
              </w:rPr>
              <w:t>Protocol title/ Publication title</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In-tableHeading"/>
              <w:keepNext w:val="0"/>
              <w:rPr>
                <w:sz w:val="20"/>
                <w:szCs w:val="20"/>
                <w:lang w:val="en-AU"/>
              </w:rPr>
            </w:pPr>
            <w:r w:rsidRPr="001779EA">
              <w:rPr>
                <w:sz w:val="20"/>
                <w:szCs w:val="20"/>
                <w:lang w:val="en-AU"/>
              </w:rPr>
              <w:t>Publication citation</w:t>
            </w:r>
          </w:p>
        </w:tc>
      </w:tr>
      <w:tr w:rsidR="0079059D" w:rsidRPr="001779EA" w:rsidTr="00A06299">
        <w:trPr>
          <w:cantSplit/>
          <w:trHeight w:val="50"/>
        </w:trPr>
        <w:tc>
          <w:tcPr>
            <w:tcW w:w="0" w:type="auto"/>
            <w:vMerge w:val="restart"/>
            <w:tcBorders>
              <w:top w:val="single" w:sz="4" w:space="0" w:color="auto"/>
              <w:left w:val="single" w:sz="4" w:space="0" w:color="auto"/>
              <w:right w:val="single" w:sz="4" w:space="0" w:color="auto"/>
            </w:tcBorders>
            <w:shd w:val="clear" w:color="auto" w:fill="auto"/>
          </w:tcPr>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color w:val="000000"/>
                <w:shd w:val="clear" w:color="auto" w:fill="FFFFFF"/>
              </w:rPr>
              <w:t>CONFIRM</w:t>
            </w:r>
          </w:p>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color w:val="000000"/>
                <w:shd w:val="clear" w:color="auto" w:fill="FFFFFF"/>
              </w:rPr>
              <w:t>NCT00099437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color w:val="000000"/>
                <w:shd w:val="clear" w:color="auto" w:fill="FFFFFF"/>
              </w:rPr>
              <w:t>A randomised, double-blind, parallel-group, multicentre, phase III study comparing the efficacy and tolerability of fulvestrant (faslodex™) 500 mg with fulvestrant (faslodex™) 250 mg in postmenopausal women with oestrogen receptor-positive advanced breast cancer progressing or relapsing after previous endocrine therapy.</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D4287A" w:rsidP="00247EDC">
            <w:pPr>
              <w:pStyle w:val="Tabletext"/>
            </w:pPr>
            <w:r w:rsidRPr="001779EA">
              <w:t xml:space="preserve">09 July </w:t>
            </w:r>
            <w:r w:rsidR="0079059D" w:rsidRPr="001779EA">
              <w:t>2009</w:t>
            </w:r>
          </w:p>
        </w:tc>
      </w:tr>
      <w:tr w:rsidR="0079059D" w:rsidRPr="001779EA" w:rsidTr="00A06299">
        <w:trPr>
          <w:cantSplit/>
          <w:trHeight w:val="813"/>
        </w:trPr>
        <w:tc>
          <w:tcPr>
            <w:tcW w:w="0" w:type="auto"/>
            <w:vMerge/>
            <w:tcBorders>
              <w:left w:val="single" w:sz="4" w:space="0" w:color="auto"/>
              <w:right w:val="single" w:sz="4" w:space="0" w:color="auto"/>
            </w:tcBorders>
            <w:shd w:val="clear" w:color="auto" w:fill="auto"/>
          </w:tcPr>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color w:val="000000"/>
                <w:shd w:val="clear" w:color="auto" w:fill="FFFFFF"/>
              </w:rPr>
              <w:t xml:space="preserve">Di Leo, A., Jerusalem, G., Petruzelka, L., et al. Results of the CONFIRM phase III trial comparing fulvestrant 250 mg with fulvestrant 500 mg in postmenopausal women with estrogen receptor-positive advanced breast cancer. </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
            </w:pPr>
            <w:r w:rsidRPr="001779EA">
              <w:t>Journal of Clinical Oncology 2010; 28; 4594-600.</w:t>
            </w:r>
          </w:p>
        </w:tc>
      </w:tr>
      <w:tr w:rsidR="0079059D" w:rsidRPr="001779EA" w:rsidTr="00A06299">
        <w:trPr>
          <w:cantSplit/>
          <w:trHeight w:val="50"/>
        </w:trPr>
        <w:tc>
          <w:tcPr>
            <w:tcW w:w="0" w:type="auto"/>
            <w:vMerge/>
            <w:tcBorders>
              <w:left w:val="single" w:sz="4" w:space="0" w:color="auto"/>
              <w:right w:val="single" w:sz="4" w:space="0" w:color="auto"/>
            </w:tcBorders>
            <w:shd w:val="clear" w:color="auto" w:fill="auto"/>
          </w:tcPr>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color w:val="000000"/>
                <w:shd w:val="clear" w:color="auto" w:fill="FFFFFF"/>
              </w:rPr>
              <w:t xml:space="preserve">Di Leo, A., Jerusalem, G., Petruzelka, L., et al. Final overall survival: fulvestrant 500 mg vs 250 mg in the randomised CONFIRM trial. </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
            </w:pPr>
            <w:r w:rsidRPr="001779EA">
              <w:t>Journal of the National Cancer Institute 2</w:t>
            </w:r>
            <w:r w:rsidR="00B537D3" w:rsidRPr="001779EA">
              <w:t>014; 106; djt337.</w:t>
            </w:r>
          </w:p>
        </w:tc>
      </w:tr>
      <w:tr w:rsidR="0079059D" w:rsidRPr="001779EA" w:rsidTr="00A06299">
        <w:trPr>
          <w:cantSplit/>
          <w:trHeight w:val="115"/>
        </w:trPr>
        <w:tc>
          <w:tcPr>
            <w:tcW w:w="0" w:type="auto"/>
            <w:vMerge/>
            <w:tcBorders>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color w:val="000000"/>
                <w:shd w:val="clear" w:color="auto" w:fill="FFFFFF"/>
              </w:rPr>
              <w:t xml:space="preserve">Di Leo, A., Jerusalem, G., Torres, R., et al. 2018. First-line vs second-line fulvestrant for hormone receptor-positive advanced breast cancer: A posthoc analysis of the CONFIRM study. </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
            </w:pPr>
            <w:r w:rsidRPr="001779EA">
              <w:t>Breast 2018; 38; 144-149.</w:t>
            </w:r>
          </w:p>
        </w:tc>
      </w:tr>
      <w:tr w:rsidR="0079059D" w:rsidRPr="001779EA" w:rsidTr="00A06299">
        <w:trPr>
          <w:cantSplit/>
          <w:trHeight w:val="944"/>
        </w:trPr>
        <w:tc>
          <w:tcPr>
            <w:tcW w:w="0" w:type="auto"/>
            <w:vMerge w:val="restart"/>
            <w:tcBorders>
              <w:top w:val="single" w:sz="4" w:space="0" w:color="auto"/>
              <w:left w:val="single" w:sz="4" w:space="0" w:color="auto"/>
              <w:right w:val="single" w:sz="4" w:space="0" w:color="auto"/>
            </w:tcBorders>
            <w:shd w:val="clear" w:color="auto" w:fill="auto"/>
          </w:tcPr>
          <w:p w:rsidR="0079059D" w:rsidRPr="001779EA" w:rsidRDefault="0079059D" w:rsidP="00247EDC">
            <w:pPr>
              <w:pStyle w:val="Tabletext"/>
            </w:pPr>
            <w:r w:rsidRPr="001779EA">
              <w:t>CONFIRM (China)</w:t>
            </w:r>
          </w:p>
          <w:p w:rsidR="0079059D" w:rsidRPr="001779EA" w:rsidRDefault="0079059D" w:rsidP="00247EDC">
            <w:pPr>
              <w:pStyle w:val="Tabletext"/>
            </w:pPr>
            <w:r w:rsidRPr="001779EA">
              <w:rPr>
                <w:color w:val="000000"/>
                <w:shd w:val="clear" w:color="auto" w:fill="FFFFFF"/>
              </w:rPr>
              <w:t> NCT01300351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rPr>
                <w:color w:val="000000" w:themeColor="text1"/>
              </w:rPr>
            </w:pPr>
            <w:r w:rsidRPr="001779EA">
              <w:rPr>
                <w:rFonts w:eastAsia="Arial Narrow" w:cs="Arial Narrow"/>
                <w:color w:val="000000"/>
                <w:shd w:val="clear" w:color="auto" w:fill="FFFFFF"/>
              </w:rPr>
              <w:t>A randomised, double-blind, parallel-group, multicentre study comparing the efficacy and tolerability of fulvestrant 500 mg versus 250 mg in postmenopausal women with er+ advanced breast cancer progressing or relapsing after previous endocrine therapy.</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D4287A" w:rsidP="00247EDC">
            <w:pPr>
              <w:pStyle w:val="Tabletext"/>
              <w:rPr>
                <w:rFonts w:eastAsia="Arial Narrow" w:cs="Arial Narrow"/>
                <w:color w:val="000000"/>
                <w:shd w:val="clear" w:color="auto" w:fill="FFFFFF"/>
              </w:rPr>
            </w:pPr>
            <w:r w:rsidRPr="001779EA">
              <w:rPr>
                <w:rFonts w:eastAsia="Arial Narrow" w:cs="Arial Narrow"/>
                <w:color w:val="000000"/>
                <w:shd w:val="clear" w:color="auto" w:fill="FFFFFF"/>
              </w:rPr>
              <w:t xml:space="preserve">20 August </w:t>
            </w:r>
            <w:r w:rsidR="0079059D" w:rsidRPr="001779EA">
              <w:rPr>
                <w:rFonts w:eastAsia="Arial Narrow" w:cs="Arial Narrow"/>
                <w:color w:val="000000"/>
                <w:shd w:val="clear" w:color="auto" w:fill="FFFFFF"/>
              </w:rPr>
              <w:t>2014</w:t>
            </w:r>
          </w:p>
        </w:tc>
      </w:tr>
      <w:tr w:rsidR="0079059D" w:rsidRPr="001779EA" w:rsidTr="00A06299">
        <w:trPr>
          <w:cantSplit/>
          <w:trHeight w:val="50"/>
        </w:trPr>
        <w:tc>
          <w:tcPr>
            <w:tcW w:w="0" w:type="auto"/>
            <w:vMerge/>
            <w:tcBorders>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rPr>
              <w:t xml:space="preserve">Zhang, Q., Shao, Z., Shen, K., et al. Fulvestrant 500 mg vs 250 mg in postmenopausal women with oestrogen receptor-positive advanced breast cancer: a randomised, double-blind registrational trial in China. </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
              <w:rPr>
                <w:rFonts w:eastAsia="Arial Narrow" w:cs="Arial Narrow"/>
                <w:color w:val="000000"/>
                <w:shd w:val="clear" w:color="auto" w:fill="FFFFFF"/>
              </w:rPr>
            </w:pPr>
            <w:r w:rsidRPr="001779EA">
              <w:rPr>
                <w:rFonts w:eastAsia="Arial Narrow" w:cs="Arial Narrow"/>
              </w:rPr>
              <w:t>Oncotarget 2016</w:t>
            </w:r>
            <w:r w:rsidRPr="001779EA">
              <w:rPr>
                <w:rFonts w:eastAsia="Arial Narrow" w:cs="Arial Narrow"/>
                <w:iCs/>
              </w:rPr>
              <w:t>;</w:t>
            </w:r>
            <w:r w:rsidRPr="001779EA">
              <w:rPr>
                <w:rFonts w:eastAsia="Arial Narrow" w:cs="Arial Narrow"/>
              </w:rPr>
              <w:t xml:space="preserve"> 7</w:t>
            </w:r>
            <w:r w:rsidRPr="001779EA">
              <w:rPr>
                <w:rFonts w:eastAsia="Arial Narrow" w:cs="Arial Narrow"/>
                <w:b/>
              </w:rPr>
              <w:t>;</w:t>
            </w:r>
            <w:r w:rsidRPr="001779EA">
              <w:rPr>
                <w:rFonts w:eastAsia="Arial Narrow" w:cs="Arial Narrow"/>
              </w:rPr>
              <w:t xml:space="preserve"> 57301-57309.</w:t>
            </w:r>
          </w:p>
        </w:tc>
      </w:tr>
      <w:tr w:rsidR="0079059D" w:rsidRPr="001779EA" w:rsidTr="00A06299">
        <w:trPr>
          <w:cantSplit/>
          <w:trHeight w:val="870"/>
        </w:trPr>
        <w:tc>
          <w:tcPr>
            <w:tcW w:w="0" w:type="auto"/>
            <w:vMerge w:val="restart"/>
            <w:tcBorders>
              <w:top w:val="single" w:sz="4" w:space="0" w:color="auto"/>
              <w:left w:val="single" w:sz="4" w:space="0" w:color="auto"/>
              <w:right w:val="single" w:sz="4" w:space="0" w:color="auto"/>
            </w:tcBorders>
            <w:shd w:val="clear" w:color="auto" w:fill="auto"/>
          </w:tcPr>
          <w:p w:rsidR="0079059D" w:rsidRPr="001779EA" w:rsidRDefault="0079059D" w:rsidP="00247EDC">
            <w:pPr>
              <w:pStyle w:val="Tabletext"/>
            </w:pPr>
            <w:r w:rsidRPr="001779EA">
              <w:t>EFECT</w:t>
            </w:r>
          </w:p>
          <w:p w:rsidR="0079059D" w:rsidRPr="001779EA" w:rsidRDefault="0079059D" w:rsidP="00247EDC">
            <w:pPr>
              <w:pStyle w:val="Tabletext"/>
            </w:pPr>
            <w:r w:rsidRPr="001779EA">
              <w:rPr>
                <w:color w:val="333333"/>
                <w:shd w:val="clear" w:color="auto" w:fill="FFFFFF"/>
              </w:rPr>
              <w:t>NCT00065325</w:t>
            </w:r>
          </w:p>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pPr>
            <w:r w:rsidRPr="001779EA">
              <w:rPr>
                <w:color w:val="000000"/>
                <w:shd w:val="clear" w:color="auto" w:fill="FFFFFF"/>
              </w:rPr>
              <w:t>A randomised, double-blind, multicentre study to compare the efficacy and tolerability of fulvestrant (faslodex™) vs exemestane (aromasin™) in postmenopausal women with hormone receptor positive advanced breast cancer with disease progression after prior nonsteroidal aromatase inhibitor (AI) therapy.</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D4287A" w:rsidP="00247EDC">
            <w:pPr>
              <w:pStyle w:val="Tabletext"/>
              <w:rPr>
                <w:color w:val="000000"/>
                <w:shd w:val="clear" w:color="auto" w:fill="FFFFFF"/>
              </w:rPr>
            </w:pPr>
            <w:r w:rsidRPr="001779EA">
              <w:rPr>
                <w:color w:val="000000"/>
                <w:shd w:val="clear" w:color="auto" w:fill="FFFFFF"/>
              </w:rPr>
              <w:t xml:space="preserve">19 December </w:t>
            </w:r>
            <w:r w:rsidR="0079059D" w:rsidRPr="001779EA">
              <w:rPr>
                <w:color w:val="000000"/>
                <w:shd w:val="clear" w:color="auto" w:fill="FFFFFF"/>
              </w:rPr>
              <w:t>2006</w:t>
            </w:r>
          </w:p>
        </w:tc>
      </w:tr>
      <w:tr w:rsidR="0079059D" w:rsidRPr="001779EA" w:rsidTr="00A06299">
        <w:trPr>
          <w:cantSplit/>
          <w:trHeight w:val="50"/>
        </w:trPr>
        <w:tc>
          <w:tcPr>
            <w:tcW w:w="0" w:type="auto"/>
            <w:vMerge/>
            <w:tcBorders>
              <w:left w:val="single" w:sz="4" w:space="0" w:color="auto"/>
              <w:right w:val="single" w:sz="4" w:space="0" w:color="auto"/>
            </w:tcBorders>
            <w:shd w:val="clear" w:color="auto" w:fill="auto"/>
          </w:tcPr>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pPr>
            <w:r w:rsidRPr="001779EA">
              <w:rPr>
                <w:rFonts w:eastAsia="Arial Narrow" w:cs="Arial Narrow"/>
              </w:rPr>
              <w:t>Chia, S., Gradishar, W., Mauriac, L., et al. Double-blind, randomised placebo-controlled trial of fulvestrant compared with exemestane after prior nonsteroidal aromatase inhibitor therapy in postmenopausal women with hormone receptor-positive, advanced breast cancer: results from EFECT.</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
              <w:rPr>
                <w:color w:val="000000"/>
                <w:shd w:val="clear" w:color="auto" w:fill="FFFFFF"/>
              </w:rPr>
            </w:pPr>
            <w:r w:rsidRPr="001779EA">
              <w:rPr>
                <w:rFonts w:eastAsia="Arial Narrow" w:cs="Arial Narrow"/>
                <w:iCs/>
              </w:rPr>
              <w:t>Journal of Clinical Oncology 2008;</w:t>
            </w:r>
            <w:r w:rsidRPr="001779EA">
              <w:rPr>
                <w:rFonts w:eastAsia="Arial Narrow" w:cs="Arial Narrow"/>
              </w:rPr>
              <w:t xml:space="preserve"> 26</w:t>
            </w:r>
            <w:r w:rsidRPr="001779EA">
              <w:rPr>
                <w:rFonts w:eastAsia="Arial Narrow" w:cs="Arial Narrow"/>
                <w:b/>
              </w:rPr>
              <w:t>;</w:t>
            </w:r>
            <w:r w:rsidRPr="001779EA">
              <w:rPr>
                <w:rFonts w:eastAsia="Arial Narrow" w:cs="Arial Narrow"/>
              </w:rPr>
              <w:t xml:space="preserve"> 1664-70</w:t>
            </w:r>
          </w:p>
        </w:tc>
      </w:tr>
      <w:tr w:rsidR="0079059D" w:rsidRPr="001779EA" w:rsidTr="00A06299">
        <w:trPr>
          <w:cantSplit/>
          <w:trHeight w:val="50"/>
        </w:trPr>
        <w:tc>
          <w:tcPr>
            <w:tcW w:w="0" w:type="auto"/>
            <w:vMerge/>
            <w:tcBorders>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rPr>
                <w:rFonts w:eastAsia="Arial Narrow" w:cs="Arial Narrow"/>
              </w:rPr>
            </w:pPr>
            <w:r w:rsidRPr="001779EA">
              <w:rPr>
                <w:rFonts w:eastAsia="Arial Narrow" w:cs="Arial Narrow"/>
              </w:rPr>
              <w:t xml:space="preserve">Mauriac, L., Romieu, G. &amp; Bines, J. 2009. Activity of fulvestrant versus exemestane in advanced breast cancer patients with or without visceral metastases: data from the EFECT trial. </w:t>
            </w:r>
          </w:p>
        </w:tc>
        <w:tc>
          <w:tcPr>
            <w:tcW w:w="0" w:type="auto"/>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
              <w:rPr>
                <w:color w:val="000000"/>
                <w:shd w:val="clear" w:color="auto" w:fill="FFFFFF"/>
              </w:rPr>
            </w:pPr>
            <w:r w:rsidRPr="001779EA">
              <w:rPr>
                <w:rFonts w:eastAsia="Arial Narrow" w:cs="Arial Narrow"/>
              </w:rPr>
              <w:t>Breast Cancer Research &amp; Treatment 2009</w:t>
            </w:r>
            <w:r w:rsidRPr="001779EA">
              <w:rPr>
                <w:rFonts w:eastAsia="Arial Narrow" w:cs="Arial Narrow"/>
                <w:iCs/>
              </w:rPr>
              <w:t>;</w:t>
            </w:r>
            <w:r w:rsidRPr="001779EA">
              <w:rPr>
                <w:rFonts w:eastAsia="Arial Narrow" w:cs="Arial Narrow"/>
              </w:rPr>
              <w:t xml:space="preserve"> 117</w:t>
            </w:r>
            <w:r w:rsidRPr="001779EA">
              <w:rPr>
                <w:rFonts w:eastAsia="Arial Narrow" w:cs="Arial Narrow"/>
                <w:b/>
              </w:rPr>
              <w:t>;</w:t>
            </w:r>
            <w:r w:rsidRPr="001779EA">
              <w:rPr>
                <w:rFonts w:eastAsia="Arial Narrow" w:cs="Arial Narrow"/>
              </w:rPr>
              <w:t xml:space="preserve"> 69-75.</w:t>
            </w:r>
          </w:p>
        </w:tc>
      </w:tr>
      <w:tr w:rsidR="0079059D" w:rsidRPr="001779EA" w:rsidTr="00A06299">
        <w:trPr>
          <w:cantSplit/>
          <w:trHeight w:val="50"/>
        </w:trPr>
        <w:tc>
          <w:tcPr>
            <w:tcW w:w="0" w:type="auto"/>
            <w:vMerge w:val="restart"/>
            <w:tcBorders>
              <w:top w:val="single" w:sz="4" w:space="0" w:color="auto"/>
              <w:left w:val="single" w:sz="4" w:space="0" w:color="auto"/>
              <w:right w:val="single" w:sz="4" w:space="0" w:color="auto"/>
            </w:tcBorders>
            <w:shd w:val="clear" w:color="auto" w:fill="auto"/>
          </w:tcPr>
          <w:p w:rsidR="0079059D" w:rsidRPr="001779EA" w:rsidRDefault="0079059D" w:rsidP="00247EDC">
            <w:pPr>
              <w:pStyle w:val="Tabletext"/>
            </w:pPr>
            <w:r w:rsidRPr="001779EA">
              <w:t>SoFEA</w:t>
            </w:r>
          </w:p>
          <w:p w:rsidR="0079059D" w:rsidRPr="001779EA" w:rsidRDefault="0079059D" w:rsidP="00247EDC">
            <w:pPr>
              <w:pStyle w:val="Tabletext"/>
            </w:pPr>
            <w:r w:rsidRPr="001779EA">
              <w:rPr>
                <w:shd w:val="clear" w:color="auto" w:fill="FFFFFF"/>
              </w:rPr>
              <w:t>NCT00253422</w:t>
            </w:r>
          </w:p>
        </w:tc>
        <w:tc>
          <w:tcPr>
            <w:tcW w:w="0" w:type="auto"/>
            <w:tcBorders>
              <w:top w:val="single" w:sz="4" w:space="0" w:color="auto"/>
              <w:left w:val="single" w:sz="4" w:space="0" w:color="auto"/>
              <w:bottom w:val="single" w:sz="4" w:space="0" w:color="auto"/>
              <w:right w:val="single" w:sz="6" w:space="0" w:color="auto"/>
            </w:tcBorders>
            <w:shd w:val="clear" w:color="auto" w:fill="auto"/>
          </w:tcPr>
          <w:p w:rsidR="0079059D" w:rsidRPr="001779EA" w:rsidRDefault="0079059D" w:rsidP="00247EDC">
            <w:pPr>
              <w:pStyle w:val="Tabletext"/>
              <w:rPr>
                <w:shd w:val="clear" w:color="auto" w:fill="FFFFFF"/>
              </w:rPr>
            </w:pPr>
            <w:r w:rsidRPr="001779EA">
              <w:rPr>
                <w:shd w:val="clear" w:color="auto" w:fill="FFFFFF"/>
              </w:rPr>
              <w:t>No CSR available</w:t>
            </w:r>
          </w:p>
          <w:p w:rsidR="0079059D" w:rsidRPr="001779EA" w:rsidRDefault="0079059D" w:rsidP="00247EDC">
            <w:pPr>
              <w:pStyle w:val="Tabletext"/>
            </w:pPr>
            <w:r w:rsidRPr="001779EA">
              <w:rPr>
                <w:shd w:val="clear" w:color="auto" w:fill="FFFFFF"/>
              </w:rPr>
              <w:t xml:space="preserve">A partially-blind phase III randomised trial of fulvestrant (faslodex™) with or without concomitant anastrozole (arimidex™) compared with exemestane in postmenopausal women with er+ve locally advanced/metastatic breast cancer following </w:t>
            </w:r>
            <w:r w:rsidRPr="001779EA">
              <w:rPr>
                <w:rFonts w:eastAsia="Arial Narrow" w:cs="Arial Narrow"/>
                <w:shd w:val="clear" w:color="auto" w:fill="FFFFFF"/>
              </w:rPr>
              <w:t>progression on nonsteroidal aromatase inhibitors.</w:t>
            </w:r>
          </w:p>
        </w:tc>
        <w:tc>
          <w:tcPr>
            <w:tcW w:w="0" w:type="auto"/>
            <w:tcBorders>
              <w:top w:val="single" w:sz="4" w:space="0" w:color="auto"/>
              <w:left w:val="single" w:sz="4" w:space="0" w:color="auto"/>
              <w:bottom w:val="single" w:sz="4" w:space="0" w:color="auto"/>
              <w:right w:val="single" w:sz="6" w:space="0" w:color="auto"/>
            </w:tcBorders>
          </w:tcPr>
          <w:p w:rsidR="0079059D" w:rsidRPr="001779EA" w:rsidRDefault="00FF366C" w:rsidP="00247EDC">
            <w:pPr>
              <w:pStyle w:val="Tabletext"/>
              <w:rPr>
                <w:shd w:val="clear" w:color="auto" w:fill="FFFFFF"/>
              </w:rPr>
            </w:pPr>
            <w:r w:rsidRPr="001779EA">
              <w:rPr>
                <w:shd w:val="clear" w:color="auto" w:fill="FFFFFF"/>
              </w:rPr>
              <w:t>Date not provided</w:t>
            </w:r>
          </w:p>
        </w:tc>
      </w:tr>
      <w:tr w:rsidR="0079059D" w:rsidRPr="001779EA" w:rsidTr="00A06299">
        <w:trPr>
          <w:cantSplit/>
          <w:trHeight w:val="555"/>
        </w:trPr>
        <w:tc>
          <w:tcPr>
            <w:tcW w:w="0" w:type="auto"/>
            <w:vMerge/>
            <w:tcBorders>
              <w:left w:val="single" w:sz="4" w:space="0" w:color="auto"/>
              <w:bottom w:val="single" w:sz="4" w:space="0" w:color="auto"/>
              <w:right w:val="single" w:sz="4" w:space="0" w:color="auto"/>
            </w:tcBorders>
            <w:shd w:val="clear" w:color="auto" w:fill="auto"/>
          </w:tcPr>
          <w:p w:rsidR="0079059D" w:rsidRPr="001779EA" w:rsidRDefault="0079059D" w:rsidP="00247EDC">
            <w:pPr>
              <w:pStyle w:val="Tabletext"/>
            </w:pPr>
          </w:p>
        </w:tc>
        <w:tc>
          <w:tcPr>
            <w:tcW w:w="0" w:type="auto"/>
            <w:tcBorders>
              <w:top w:val="single" w:sz="4" w:space="0" w:color="auto"/>
              <w:left w:val="single" w:sz="4" w:space="0" w:color="auto"/>
              <w:bottom w:val="single" w:sz="4" w:space="0" w:color="auto"/>
              <w:right w:val="single" w:sz="6" w:space="0" w:color="auto"/>
            </w:tcBorders>
            <w:shd w:val="clear" w:color="auto" w:fill="auto"/>
          </w:tcPr>
          <w:p w:rsidR="0079059D" w:rsidRPr="001779EA" w:rsidRDefault="0079059D" w:rsidP="00247EDC">
            <w:pPr>
              <w:pStyle w:val="Tabletext"/>
              <w:rPr>
                <w:shd w:val="clear" w:color="auto" w:fill="FFFFFF"/>
              </w:rPr>
            </w:pPr>
            <w:r w:rsidRPr="001779EA">
              <w:rPr>
                <w:rFonts w:eastAsia="Arial Narrow" w:cs="Arial Narrow"/>
              </w:rPr>
              <w:t xml:space="preserve">Johnston, S. R., Kilburn, L. S., Ellis, P., et al. Fulvestrant plus anastrozole or placebo versus exemestane alone after progression on nonsteroidal aromatase inhibitors in postmenopausal patients with hormone receptor positive locally advanced or metastatic breast cancer (SoFEA): a composite, multicentre, phase 3 randomised trial. Lancet </w:t>
            </w:r>
            <w:r w:rsidRPr="001779EA">
              <w:rPr>
                <w:rFonts w:eastAsia="Arial Narrow" w:cs="Arial Narrow"/>
                <w:iCs/>
              </w:rPr>
              <w:t>Oncology,</w:t>
            </w:r>
            <w:r w:rsidRPr="001779EA">
              <w:rPr>
                <w:rFonts w:eastAsia="Arial Narrow" w:cs="Arial Narrow"/>
              </w:rPr>
              <w:t xml:space="preserve"> 14</w:t>
            </w:r>
            <w:r w:rsidRPr="001779EA">
              <w:rPr>
                <w:rFonts w:eastAsia="Arial Narrow" w:cs="Arial Narrow"/>
                <w:b/>
              </w:rPr>
              <w:t>,</w:t>
            </w:r>
            <w:r w:rsidRPr="001779EA">
              <w:rPr>
                <w:rFonts w:eastAsia="Arial Narrow" w:cs="Arial Narrow"/>
              </w:rPr>
              <w:t xml:space="preserve"> 989-98.</w:t>
            </w:r>
          </w:p>
        </w:tc>
        <w:tc>
          <w:tcPr>
            <w:tcW w:w="0" w:type="auto"/>
            <w:tcBorders>
              <w:top w:val="single" w:sz="4" w:space="0" w:color="auto"/>
              <w:left w:val="single" w:sz="4" w:space="0" w:color="auto"/>
              <w:bottom w:val="single" w:sz="4" w:space="0" w:color="auto"/>
              <w:right w:val="single" w:sz="6" w:space="0" w:color="auto"/>
            </w:tcBorders>
          </w:tcPr>
          <w:p w:rsidR="0079059D" w:rsidRPr="001779EA" w:rsidRDefault="0079059D" w:rsidP="00247EDC">
            <w:pPr>
              <w:pStyle w:val="Tabletext"/>
              <w:rPr>
                <w:shd w:val="clear" w:color="auto" w:fill="FFFFFF"/>
              </w:rPr>
            </w:pPr>
            <w:r w:rsidRPr="001779EA">
              <w:rPr>
                <w:rFonts w:eastAsia="Arial Narrow" w:cs="Arial Narrow"/>
              </w:rPr>
              <w:t xml:space="preserve">Lancet </w:t>
            </w:r>
            <w:r w:rsidRPr="001779EA">
              <w:rPr>
                <w:rFonts w:eastAsia="Arial Narrow" w:cs="Arial Narrow"/>
                <w:iCs/>
              </w:rPr>
              <w:t xml:space="preserve">Oncology </w:t>
            </w:r>
            <w:r w:rsidRPr="001779EA">
              <w:rPr>
                <w:rFonts w:eastAsia="Arial Narrow" w:cs="Arial Narrow"/>
              </w:rPr>
              <w:t>2013</w:t>
            </w:r>
            <w:r w:rsidRPr="001779EA">
              <w:rPr>
                <w:rFonts w:eastAsia="Arial Narrow" w:cs="Arial Narrow"/>
                <w:iCs/>
              </w:rPr>
              <w:t>;</w:t>
            </w:r>
            <w:r w:rsidRPr="001779EA">
              <w:rPr>
                <w:rFonts w:eastAsia="Arial Narrow" w:cs="Arial Narrow"/>
              </w:rPr>
              <w:t xml:space="preserve"> 14</w:t>
            </w:r>
            <w:r w:rsidRPr="001779EA">
              <w:rPr>
                <w:rFonts w:eastAsia="Arial Narrow" w:cs="Arial Narrow"/>
                <w:b/>
              </w:rPr>
              <w:t>;</w:t>
            </w:r>
            <w:r w:rsidRPr="001779EA">
              <w:rPr>
                <w:rFonts w:eastAsia="Arial Narrow" w:cs="Arial Narrow"/>
              </w:rPr>
              <w:t xml:space="preserve"> 989-98</w:t>
            </w:r>
          </w:p>
        </w:tc>
      </w:tr>
      <w:tr w:rsidR="0079059D" w:rsidRPr="001779EA" w:rsidTr="00A06299">
        <w:trPr>
          <w:cantSplit/>
          <w:trHeight w:val="815"/>
        </w:trPr>
        <w:tc>
          <w:tcPr>
            <w:tcW w:w="0" w:type="auto"/>
            <w:vMerge w:val="restart"/>
            <w:hideMark/>
          </w:tcPr>
          <w:p w:rsidR="0079059D" w:rsidRPr="001779EA" w:rsidRDefault="0079059D" w:rsidP="00247EDC">
            <w:pPr>
              <w:pStyle w:val="Tabletext"/>
            </w:pPr>
            <w:r w:rsidRPr="001779EA">
              <w:t>BOLERO-2</w:t>
            </w:r>
          </w:p>
          <w:p w:rsidR="0079059D" w:rsidRPr="001779EA" w:rsidRDefault="0079059D" w:rsidP="00247EDC">
            <w:pPr>
              <w:pStyle w:val="Tabletext"/>
            </w:pPr>
            <w:r w:rsidRPr="001779EA">
              <w:t>(</w:t>
            </w:r>
            <w:r w:rsidRPr="001779EA">
              <w:rPr>
                <w:color w:val="000000"/>
                <w:shd w:val="clear" w:color="auto" w:fill="FFFFFF"/>
              </w:rPr>
              <w:t>NCT00863655)</w:t>
            </w:r>
          </w:p>
        </w:tc>
        <w:tc>
          <w:tcPr>
            <w:tcW w:w="0" w:type="auto"/>
            <w:hideMark/>
          </w:tcPr>
          <w:p w:rsidR="0079059D" w:rsidRPr="001779EA" w:rsidRDefault="0079059D" w:rsidP="00247EDC">
            <w:pPr>
              <w:pStyle w:val="Tabletext"/>
              <w:rPr>
                <w:rFonts w:eastAsia="Arial Narrow" w:cs="Arial Narrow"/>
              </w:rPr>
            </w:pPr>
            <w:r w:rsidRPr="001779EA">
              <w:rPr>
                <w:rFonts w:eastAsia="Arial Narrow" w:cs="Arial Narrow"/>
              </w:rPr>
              <w:t>A randomised double-blind, placebo-controlled study of everolimus in combination with exemestane in the treatment of postmenopausal women with oestrogen receptor positive locally advanced or metastatic breast cancer who are refractory to letrozole or anastrozole.</w:t>
            </w:r>
          </w:p>
        </w:tc>
        <w:tc>
          <w:tcPr>
            <w:tcW w:w="0" w:type="auto"/>
          </w:tcPr>
          <w:p w:rsidR="0079059D" w:rsidRPr="001779EA" w:rsidRDefault="00FF366C" w:rsidP="00247EDC">
            <w:pPr>
              <w:pStyle w:val="Tabletext"/>
              <w:rPr>
                <w:rFonts w:eastAsia="Arial Narrow" w:cs="Arial Narrow"/>
              </w:rPr>
            </w:pPr>
            <w:r w:rsidRPr="001779EA">
              <w:rPr>
                <w:rFonts w:eastAsia="Arial Narrow" w:cs="Arial Narrow"/>
              </w:rPr>
              <w:t>Date not provided</w:t>
            </w:r>
          </w:p>
        </w:tc>
      </w:tr>
      <w:tr w:rsidR="0079059D" w:rsidRPr="001779EA" w:rsidTr="00A06299">
        <w:trPr>
          <w:cantSplit/>
          <w:trHeight w:val="50"/>
        </w:trPr>
        <w:tc>
          <w:tcPr>
            <w:tcW w:w="0" w:type="auto"/>
            <w:vMerge/>
          </w:tcPr>
          <w:p w:rsidR="0079059D" w:rsidRPr="001779EA" w:rsidRDefault="0079059D" w:rsidP="00247EDC">
            <w:pPr>
              <w:pStyle w:val="Tabletext"/>
            </w:pPr>
          </w:p>
        </w:tc>
        <w:tc>
          <w:tcPr>
            <w:tcW w:w="0" w:type="auto"/>
          </w:tcPr>
          <w:p w:rsidR="0079059D" w:rsidRPr="001779EA" w:rsidRDefault="0079059D" w:rsidP="00247EDC">
            <w:pPr>
              <w:pStyle w:val="Tabletext"/>
            </w:pPr>
            <w:r w:rsidRPr="001779EA">
              <w:t xml:space="preserve">Campone, M., Bachelot, T., Gnant, M., et al. Effect of visceral metastases on the efficacy and safety of everolimus in postmenopausal women with advanced breast cancer: subgroup analysis from the BOLERO-2 study. </w:t>
            </w:r>
          </w:p>
        </w:tc>
        <w:tc>
          <w:tcPr>
            <w:tcW w:w="0" w:type="auto"/>
          </w:tcPr>
          <w:p w:rsidR="0079059D" w:rsidRPr="001779EA" w:rsidRDefault="0079059D" w:rsidP="00247EDC">
            <w:pPr>
              <w:pStyle w:val="Tabletext"/>
              <w:rPr>
                <w:color w:val="000000"/>
                <w:shd w:val="clear" w:color="auto" w:fill="FFFFFF"/>
              </w:rPr>
            </w:pPr>
            <w:r w:rsidRPr="001779EA">
              <w:t>Eur J Cancer 2013; 49</w:t>
            </w:r>
            <w:r w:rsidRPr="001779EA">
              <w:rPr>
                <w:b/>
              </w:rPr>
              <w:t>;</w:t>
            </w:r>
            <w:r w:rsidRPr="001779EA">
              <w:t xml:space="preserve"> 2621-32.</w:t>
            </w:r>
          </w:p>
        </w:tc>
      </w:tr>
      <w:tr w:rsidR="0079059D" w:rsidRPr="001779EA" w:rsidTr="00A06299">
        <w:trPr>
          <w:cantSplit/>
          <w:trHeight w:val="83"/>
        </w:trPr>
        <w:tc>
          <w:tcPr>
            <w:tcW w:w="0" w:type="auto"/>
            <w:vMerge/>
          </w:tcPr>
          <w:p w:rsidR="0079059D" w:rsidRPr="001779EA" w:rsidRDefault="0079059D" w:rsidP="00247EDC">
            <w:pPr>
              <w:pStyle w:val="Tabletext"/>
            </w:pPr>
          </w:p>
        </w:tc>
        <w:tc>
          <w:tcPr>
            <w:tcW w:w="0" w:type="auto"/>
          </w:tcPr>
          <w:p w:rsidR="0079059D" w:rsidRPr="001779EA" w:rsidRDefault="0079059D" w:rsidP="00247EDC">
            <w:pPr>
              <w:pStyle w:val="Tabletext"/>
            </w:pPr>
            <w:r w:rsidRPr="001779EA">
              <w:t xml:space="preserve">Ito, Y., Masuda, N., Iwata, H., et al. Everolimus plus exemestane in postmenopausal patients with oestrogen-receptor-positive advanced breast cancer - Japanese subgroup analysis of BOLERO -2. </w:t>
            </w:r>
          </w:p>
        </w:tc>
        <w:tc>
          <w:tcPr>
            <w:tcW w:w="0" w:type="auto"/>
          </w:tcPr>
          <w:p w:rsidR="0079059D" w:rsidRPr="001779EA" w:rsidRDefault="0079059D" w:rsidP="00247EDC">
            <w:pPr>
              <w:pStyle w:val="Tabletext"/>
              <w:rPr>
                <w:color w:val="000000"/>
                <w:shd w:val="clear" w:color="auto" w:fill="FFFFFF"/>
              </w:rPr>
            </w:pPr>
            <w:r w:rsidRPr="001779EA">
              <w:t>Gan To Kagaku Ryoho 2015; 42</w:t>
            </w:r>
            <w:r w:rsidRPr="001779EA">
              <w:rPr>
                <w:b/>
              </w:rPr>
              <w:t>;</w:t>
            </w:r>
            <w:r w:rsidRPr="001779EA">
              <w:t xml:space="preserve"> 67-75.</w:t>
            </w:r>
          </w:p>
        </w:tc>
      </w:tr>
      <w:tr w:rsidR="0079059D" w:rsidRPr="001779EA" w:rsidTr="00A06299">
        <w:trPr>
          <w:cantSplit/>
          <w:trHeight w:val="50"/>
        </w:trPr>
        <w:tc>
          <w:tcPr>
            <w:tcW w:w="0" w:type="auto"/>
            <w:vMerge/>
          </w:tcPr>
          <w:p w:rsidR="0079059D" w:rsidRPr="001779EA" w:rsidRDefault="0079059D" w:rsidP="00247EDC">
            <w:pPr>
              <w:pStyle w:val="Tabletext"/>
            </w:pPr>
          </w:p>
        </w:tc>
        <w:tc>
          <w:tcPr>
            <w:tcW w:w="0" w:type="auto"/>
          </w:tcPr>
          <w:p w:rsidR="0079059D" w:rsidRPr="001779EA" w:rsidRDefault="0079059D" w:rsidP="00247EDC">
            <w:pPr>
              <w:pStyle w:val="Tabletext"/>
            </w:pPr>
            <w:r w:rsidRPr="001779EA">
              <w:t xml:space="preserve">Noguchi, S., Masuda, N., Iwata, H., et al. Efficacy of everolimus with exemestane versus exemestane alone in Asian patients with HER2-negative, hormone receptor positive breast cancer in BOLERO-2. </w:t>
            </w:r>
          </w:p>
        </w:tc>
        <w:tc>
          <w:tcPr>
            <w:tcW w:w="0" w:type="auto"/>
          </w:tcPr>
          <w:p w:rsidR="0079059D" w:rsidRPr="001779EA" w:rsidRDefault="0079059D" w:rsidP="00247EDC">
            <w:pPr>
              <w:pStyle w:val="Tabletext"/>
              <w:rPr>
                <w:color w:val="000000"/>
                <w:shd w:val="clear" w:color="auto" w:fill="FFFFFF"/>
              </w:rPr>
            </w:pPr>
            <w:r w:rsidRPr="001779EA">
              <w:t>Breast Cancer 2014; 21</w:t>
            </w:r>
            <w:r w:rsidRPr="001779EA">
              <w:rPr>
                <w:b/>
              </w:rPr>
              <w:t>;</w:t>
            </w:r>
            <w:r w:rsidRPr="001779EA">
              <w:t xml:space="preserve"> 703-14.</w:t>
            </w:r>
          </w:p>
        </w:tc>
      </w:tr>
      <w:tr w:rsidR="0079059D" w:rsidRPr="001779EA" w:rsidTr="00A06299">
        <w:trPr>
          <w:cantSplit/>
          <w:trHeight w:val="50"/>
        </w:trPr>
        <w:tc>
          <w:tcPr>
            <w:tcW w:w="0" w:type="auto"/>
            <w:vMerge/>
          </w:tcPr>
          <w:p w:rsidR="0079059D" w:rsidRPr="001779EA" w:rsidRDefault="0079059D" w:rsidP="00247EDC">
            <w:pPr>
              <w:pStyle w:val="Tabletext"/>
            </w:pPr>
          </w:p>
        </w:tc>
        <w:tc>
          <w:tcPr>
            <w:tcW w:w="0" w:type="auto"/>
          </w:tcPr>
          <w:p w:rsidR="0079059D" w:rsidRPr="001779EA" w:rsidRDefault="0079059D" w:rsidP="00247EDC">
            <w:pPr>
              <w:pStyle w:val="Tabletext"/>
            </w:pPr>
            <w:r w:rsidRPr="001779EA">
              <w:t>Piccart, M., Hortobagyi, G. N., Campone, M., et al. Everolimus plus exemestane for hormone receptor positive, human epidermal growth factor receptor-2-negative advanced breast cancer: overall survival results from BOLERO-2.</w:t>
            </w:r>
          </w:p>
        </w:tc>
        <w:tc>
          <w:tcPr>
            <w:tcW w:w="0" w:type="auto"/>
          </w:tcPr>
          <w:p w:rsidR="0079059D" w:rsidRPr="001779EA" w:rsidRDefault="0079059D" w:rsidP="00247EDC">
            <w:pPr>
              <w:pStyle w:val="Tabletext"/>
              <w:rPr>
                <w:color w:val="000000"/>
                <w:shd w:val="clear" w:color="auto" w:fill="FFFFFF"/>
              </w:rPr>
            </w:pPr>
            <w:r w:rsidRPr="001779EA">
              <w:t>Ann Oncol 2014; 25</w:t>
            </w:r>
            <w:r w:rsidRPr="001779EA">
              <w:rPr>
                <w:b/>
              </w:rPr>
              <w:t>;</w:t>
            </w:r>
            <w:r w:rsidRPr="001779EA">
              <w:t xml:space="preserve"> 2357-62.</w:t>
            </w:r>
          </w:p>
        </w:tc>
      </w:tr>
      <w:tr w:rsidR="0079059D" w:rsidRPr="001779EA" w:rsidTr="00A06299">
        <w:trPr>
          <w:cantSplit/>
          <w:trHeight w:val="338"/>
        </w:trPr>
        <w:tc>
          <w:tcPr>
            <w:tcW w:w="0" w:type="auto"/>
            <w:vMerge/>
          </w:tcPr>
          <w:p w:rsidR="0079059D" w:rsidRPr="001779EA" w:rsidRDefault="0079059D" w:rsidP="00247EDC">
            <w:pPr>
              <w:pStyle w:val="Tabletext"/>
            </w:pPr>
          </w:p>
        </w:tc>
        <w:tc>
          <w:tcPr>
            <w:tcW w:w="0" w:type="auto"/>
          </w:tcPr>
          <w:p w:rsidR="0079059D" w:rsidRPr="001779EA" w:rsidRDefault="0079059D" w:rsidP="00247EDC">
            <w:pPr>
              <w:pStyle w:val="Tabletext"/>
            </w:pPr>
            <w:r w:rsidRPr="001779EA">
              <w:t xml:space="preserve">Pritchard, K. I., Burris, H. A., 3rd, Ito, Y., et al. Safety and efficacy of everolimus with exemestane vs exemestane alone in elderly patients with HER2-negative, hormone receptor-positive breast cancer in BOLERO-2. </w:t>
            </w:r>
          </w:p>
        </w:tc>
        <w:tc>
          <w:tcPr>
            <w:tcW w:w="0" w:type="auto"/>
          </w:tcPr>
          <w:p w:rsidR="0079059D" w:rsidRPr="001779EA" w:rsidRDefault="0079059D" w:rsidP="00247EDC">
            <w:pPr>
              <w:pStyle w:val="Tabletext"/>
              <w:rPr>
                <w:color w:val="000000"/>
                <w:shd w:val="clear" w:color="auto" w:fill="FFFFFF"/>
              </w:rPr>
            </w:pPr>
            <w:r w:rsidRPr="001779EA">
              <w:t>Clin Breast Cancer 2013; 13</w:t>
            </w:r>
            <w:r w:rsidRPr="001779EA">
              <w:rPr>
                <w:b/>
              </w:rPr>
              <w:t>;</w:t>
            </w:r>
            <w:r w:rsidRPr="001779EA">
              <w:t xml:space="preserve"> 421-432.e8.</w:t>
            </w:r>
          </w:p>
        </w:tc>
      </w:tr>
    </w:tbl>
    <w:p w:rsidR="0079059D" w:rsidRPr="001779EA" w:rsidRDefault="0079059D" w:rsidP="00247EDC">
      <w:pPr>
        <w:pStyle w:val="TableFigureFooter"/>
        <w:keepNext/>
        <w:keepLines/>
      </w:pPr>
      <w:r w:rsidRPr="001779EA">
        <w:t>CS= clinical study report; ER= oestrogen receptor; HER2-= human epidermal growth factor receptor-2 negative; HR+= hormone receptor-positive; mg= milligrams</w:t>
      </w:r>
    </w:p>
    <w:p w:rsidR="0079059D" w:rsidRPr="001779EA" w:rsidRDefault="0079059D" w:rsidP="00247EDC">
      <w:pPr>
        <w:pStyle w:val="TableFigureFooter"/>
        <w:keepNext/>
        <w:keepLines/>
      </w:pPr>
      <w:r w:rsidRPr="001779EA">
        <w:t>Source: Compiled during the evaluation based on Tables 2.25- 2.26, pp75-78 of the submission.</w:t>
      </w:r>
    </w:p>
    <w:p w:rsidR="0079059D" w:rsidRPr="001779EA" w:rsidRDefault="0079059D" w:rsidP="00247EDC">
      <w:pPr>
        <w:pStyle w:val="TableFigureFooter"/>
        <w:rPr>
          <w:rFonts w:eastAsiaTheme="minorHAnsi"/>
          <w:snapToGrid/>
        </w:rPr>
      </w:pPr>
    </w:p>
    <w:p w:rsidR="0079059D" w:rsidRPr="001779EA" w:rsidRDefault="0070032E" w:rsidP="00247EDC">
      <w:pPr>
        <w:pStyle w:val="3-BodyText"/>
      </w:pPr>
      <w:r w:rsidRPr="001779EA">
        <w:t xml:space="preserve">Table </w:t>
      </w:r>
      <w:r w:rsidR="00B537D3" w:rsidRPr="001779EA">
        <w:t>9</w:t>
      </w:r>
      <w:r w:rsidR="0079059D" w:rsidRPr="001779EA">
        <w:t xml:space="preserve"> summarises the key features of </w:t>
      </w:r>
      <w:r w:rsidR="00434B2F" w:rsidRPr="001779EA">
        <w:t xml:space="preserve">the relevant </w:t>
      </w:r>
      <w:r w:rsidR="0079059D" w:rsidRPr="001779EA">
        <w:t xml:space="preserve">trials </w:t>
      </w:r>
      <w:r w:rsidR="0005011B" w:rsidRPr="001779EA">
        <w:t xml:space="preserve">used </w:t>
      </w:r>
      <w:r w:rsidR="0079059D" w:rsidRPr="001779EA">
        <w:t xml:space="preserve">in the second-line setting. </w:t>
      </w:r>
    </w:p>
    <w:p w:rsidR="0079059D" w:rsidRPr="001779EA" w:rsidRDefault="0079059D" w:rsidP="00247EDC">
      <w:pPr>
        <w:pStyle w:val="3-BodyText"/>
      </w:pPr>
      <w:r w:rsidRPr="001779EA">
        <w:t xml:space="preserve">CONFIRM had a low overall risk of bias. However, </w:t>
      </w:r>
      <w:r w:rsidR="00F43F16" w:rsidRPr="001779EA">
        <w:t>the risk of bias</w:t>
      </w:r>
      <w:r w:rsidRPr="001779EA">
        <w:t xml:space="preserve"> was uncertain in CONFIRM China, EFECT and BOLERO-2. The overall risk of bias was high in SoFEA, primarily because the trial was open-label and because the CSR was not available.</w:t>
      </w:r>
    </w:p>
    <w:p w:rsidR="0079059D" w:rsidRPr="001779EA" w:rsidRDefault="0070032E" w:rsidP="00247EDC">
      <w:pPr>
        <w:pStyle w:val="TableFigureHeading"/>
      </w:pPr>
      <w:r w:rsidRPr="001779EA">
        <w:lastRenderedPageBreak/>
        <w:t xml:space="preserve">Table </w:t>
      </w:r>
      <w:r w:rsidR="00B537D3" w:rsidRPr="001779EA">
        <w:t>9</w:t>
      </w:r>
      <w:r w:rsidR="0079059D" w:rsidRPr="001779EA">
        <w:t>: Key features of the trials in the second-line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0"/>
        <w:gridCol w:w="2301"/>
        <w:gridCol w:w="1747"/>
        <w:gridCol w:w="994"/>
        <w:gridCol w:w="1996"/>
        <w:gridCol w:w="1069"/>
      </w:tblGrid>
      <w:tr w:rsidR="0079059D" w:rsidRPr="001779EA" w:rsidTr="00CC67D0">
        <w:tc>
          <w:tcPr>
            <w:tcW w:w="504" w:type="pct"/>
            <w:shd w:val="clear" w:color="auto" w:fill="auto"/>
            <w:vAlign w:val="center"/>
          </w:tcPr>
          <w:p w:rsidR="0079059D" w:rsidRPr="001779EA" w:rsidRDefault="0079059D" w:rsidP="00247EDC">
            <w:pPr>
              <w:pStyle w:val="TableText0"/>
              <w:rPr>
                <w:b/>
              </w:rPr>
            </w:pPr>
            <w:r w:rsidRPr="001779EA">
              <w:rPr>
                <w:b/>
              </w:rPr>
              <w:t>Trial</w:t>
            </w:r>
          </w:p>
        </w:tc>
        <w:tc>
          <w:tcPr>
            <w:tcW w:w="1276" w:type="pct"/>
            <w:shd w:val="clear" w:color="auto" w:fill="auto"/>
            <w:vAlign w:val="center"/>
          </w:tcPr>
          <w:p w:rsidR="0079059D" w:rsidRPr="001779EA" w:rsidRDefault="0079059D" w:rsidP="00247EDC">
            <w:pPr>
              <w:pStyle w:val="TableText0"/>
              <w:jc w:val="center"/>
              <w:rPr>
                <w:rStyle w:val="Small"/>
                <w:b/>
                <w:szCs w:val="20"/>
              </w:rPr>
            </w:pPr>
            <w:r w:rsidRPr="001779EA">
              <w:rPr>
                <w:b/>
              </w:rPr>
              <w:t>Treatments: N</w:t>
            </w:r>
          </w:p>
        </w:tc>
        <w:tc>
          <w:tcPr>
            <w:tcW w:w="969" w:type="pct"/>
            <w:shd w:val="clear" w:color="auto" w:fill="auto"/>
            <w:vAlign w:val="center"/>
          </w:tcPr>
          <w:p w:rsidR="0079059D" w:rsidRPr="001779EA" w:rsidRDefault="0079059D" w:rsidP="00247EDC">
            <w:pPr>
              <w:pStyle w:val="TableText0"/>
              <w:jc w:val="center"/>
              <w:rPr>
                <w:b/>
              </w:rPr>
            </w:pPr>
            <w:r w:rsidRPr="001779EA">
              <w:rPr>
                <w:b/>
              </w:rPr>
              <w:t>Design/ duration of follow-up (median) (months)</w:t>
            </w:r>
          </w:p>
        </w:tc>
        <w:tc>
          <w:tcPr>
            <w:tcW w:w="551" w:type="pct"/>
            <w:shd w:val="clear" w:color="auto" w:fill="auto"/>
            <w:vAlign w:val="center"/>
          </w:tcPr>
          <w:p w:rsidR="0079059D" w:rsidRPr="001779EA" w:rsidRDefault="0079059D" w:rsidP="00247EDC">
            <w:pPr>
              <w:pStyle w:val="TableText0"/>
              <w:jc w:val="center"/>
              <w:rPr>
                <w:b/>
                <w:i/>
                <w:iCs/>
              </w:rPr>
            </w:pPr>
            <w:r w:rsidRPr="001779EA">
              <w:rPr>
                <w:b/>
              </w:rPr>
              <w:t>Risk of bias</w:t>
            </w:r>
          </w:p>
        </w:tc>
        <w:tc>
          <w:tcPr>
            <w:tcW w:w="1107" w:type="pct"/>
            <w:shd w:val="clear" w:color="auto" w:fill="auto"/>
            <w:vAlign w:val="center"/>
          </w:tcPr>
          <w:p w:rsidR="0079059D" w:rsidRPr="001779EA" w:rsidRDefault="0079059D" w:rsidP="00247EDC">
            <w:pPr>
              <w:pStyle w:val="TableText0"/>
              <w:jc w:val="center"/>
              <w:rPr>
                <w:b/>
              </w:rPr>
            </w:pPr>
            <w:r w:rsidRPr="001779EA">
              <w:rPr>
                <w:b/>
              </w:rPr>
              <w:t>Patient population</w:t>
            </w:r>
          </w:p>
        </w:tc>
        <w:tc>
          <w:tcPr>
            <w:tcW w:w="594" w:type="pct"/>
            <w:shd w:val="clear" w:color="auto" w:fill="auto"/>
            <w:vAlign w:val="center"/>
          </w:tcPr>
          <w:p w:rsidR="0079059D" w:rsidRPr="001779EA" w:rsidRDefault="0079059D" w:rsidP="00247EDC">
            <w:pPr>
              <w:pStyle w:val="TableText0"/>
              <w:jc w:val="center"/>
              <w:rPr>
                <w:b/>
              </w:rPr>
            </w:pPr>
            <w:r w:rsidRPr="001779EA">
              <w:rPr>
                <w:b/>
              </w:rPr>
              <w:t>Outcome(s)</w:t>
            </w:r>
          </w:p>
        </w:tc>
      </w:tr>
      <w:tr w:rsidR="0079059D" w:rsidRPr="001779EA" w:rsidTr="00CC67D0">
        <w:tc>
          <w:tcPr>
            <w:tcW w:w="504" w:type="pct"/>
            <w:shd w:val="clear" w:color="auto" w:fill="auto"/>
            <w:vAlign w:val="center"/>
          </w:tcPr>
          <w:p w:rsidR="0079059D" w:rsidRPr="001779EA" w:rsidRDefault="0079059D" w:rsidP="00247EDC">
            <w:pPr>
              <w:pStyle w:val="TableText0"/>
            </w:pPr>
            <w:r w:rsidRPr="001779EA">
              <w:t>CONFIRM</w:t>
            </w:r>
          </w:p>
        </w:tc>
        <w:tc>
          <w:tcPr>
            <w:tcW w:w="1276" w:type="pct"/>
            <w:shd w:val="clear" w:color="auto" w:fill="auto"/>
            <w:vAlign w:val="center"/>
          </w:tcPr>
          <w:p w:rsidR="0079059D" w:rsidRPr="001779EA" w:rsidRDefault="0079059D" w:rsidP="00247EDC">
            <w:pPr>
              <w:pStyle w:val="TableText0"/>
              <w:rPr>
                <w:rStyle w:val="Small"/>
              </w:rPr>
            </w:pPr>
            <w:r w:rsidRPr="001779EA">
              <w:rPr>
                <w:rStyle w:val="Small"/>
              </w:rPr>
              <w:t>Fulvestrant 500mg: 362</w:t>
            </w:r>
          </w:p>
          <w:p w:rsidR="0079059D" w:rsidRPr="001779EA" w:rsidRDefault="0079059D" w:rsidP="00247EDC">
            <w:pPr>
              <w:pStyle w:val="TableText0"/>
            </w:pPr>
            <w:r w:rsidRPr="001779EA">
              <w:rPr>
                <w:rStyle w:val="Small"/>
              </w:rPr>
              <w:t>Fulvestrant 250mg: 374</w:t>
            </w:r>
          </w:p>
        </w:tc>
        <w:tc>
          <w:tcPr>
            <w:tcW w:w="969" w:type="pct"/>
            <w:shd w:val="clear" w:color="auto" w:fill="auto"/>
            <w:vAlign w:val="center"/>
          </w:tcPr>
          <w:p w:rsidR="0079059D" w:rsidRPr="001779EA" w:rsidRDefault="0079059D" w:rsidP="00247EDC">
            <w:pPr>
              <w:pStyle w:val="TableText0"/>
            </w:pPr>
            <w:r w:rsidRPr="001779EA">
              <w:t>R, DB</w:t>
            </w:r>
          </w:p>
          <w:p w:rsidR="0079059D" w:rsidRPr="001779EA" w:rsidRDefault="0079059D" w:rsidP="00247EDC">
            <w:pPr>
              <w:pStyle w:val="TableText0"/>
            </w:pPr>
            <w:r w:rsidRPr="001779EA">
              <w:t>NR</w:t>
            </w:r>
          </w:p>
        </w:tc>
        <w:tc>
          <w:tcPr>
            <w:tcW w:w="551" w:type="pct"/>
            <w:shd w:val="clear" w:color="auto" w:fill="auto"/>
            <w:vAlign w:val="center"/>
          </w:tcPr>
          <w:p w:rsidR="0079059D" w:rsidRPr="001779EA" w:rsidRDefault="0079059D" w:rsidP="00247EDC">
            <w:pPr>
              <w:pStyle w:val="TableText0"/>
            </w:pPr>
            <w:r w:rsidRPr="001779EA">
              <w:t>Low</w:t>
            </w:r>
          </w:p>
        </w:tc>
        <w:tc>
          <w:tcPr>
            <w:tcW w:w="1107" w:type="pct"/>
            <w:shd w:val="clear" w:color="auto" w:fill="auto"/>
            <w:vAlign w:val="center"/>
          </w:tcPr>
          <w:p w:rsidR="0079059D" w:rsidRPr="001779EA" w:rsidRDefault="0079059D" w:rsidP="00247EDC">
            <w:pPr>
              <w:pStyle w:val="TableText0"/>
            </w:pPr>
            <w:r w:rsidRPr="001779EA">
              <w:t>Endocrine-sensitive, endocrine-resistant</w:t>
            </w:r>
          </w:p>
        </w:tc>
        <w:tc>
          <w:tcPr>
            <w:tcW w:w="594" w:type="pct"/>
            <w:shd w:val="clear" w:color="auto" w:fill="auto"/>
            <w:vAlign w:val="center"/>
          </w:tcPr>
          <w:p w:rsidR="0079059D" w:rsidRPr="001779EA" w:rsidRDefault="0079059D" w:rsidP="00247EDC">
            <w:pPr>
              <w:pStyle w:val="TableText0"/>
            </w:pPr>
            <w:r w:rsidRPr="001779EA">
              <w:t>PFS, OS</w:t>
            </w:r>
          </w:p>
        </w:tc>
      </w:tr>
      <w:tr w:rsidR="0079059D" w:rsidRPr="001779EA" w:rsidTr="00CC67D0">
        <w:tc>
          <w:tcPr>
            <w:tcW w:w="504" w:type="pct"/>
            <w:shd w:val="clear" w:color="auto" w:fill="auto"/>
            <w:vAlign w:val="center"/>
          </w:tcPr>
          <w:p w:rsidR="0079059D" w:rsidRPr="001779EA" w:rsidRDefault="0079059D" w:rsidP="00247EDC">
            <w:pPr>
              <w:pStyle w:val="TableText0"/>
            </w:pPr>
            <w:r w:rsidRPr="001779EA">
              <w:t>CONFIRM China</w:t>
            </w:r>
          </w:p>
        </w:tc>
        <w:tc>
          <w:tcPr>
            <w:tcW w:w="1276" w:type="pct"/>
            <w:shd w:val="clear" w:color="auto" w:fill="auto"/>
            <w:vAlign w:val="center"/>
          </w:tcPr>
          <w:p w:rsidR="0079059D" w:rsidRPr="001779EA" w:rsidRDefault="0079059D" w:rsidP="00247EDC">
            <w:pPr>
              <w:pStyle w:val="TableText0"/>
              <w:rPr>
                <w:rStyle w:val="Small"/>
              </w:rPr>
            </w:pPr>
            <w:r w:rsidRPr="001779EA">
              <w:rPr>
                <w:rStyle w:val="Small"/>
              </w:rPr>
              <w:t>Fulvestrant 500mg: 362</w:t>
            </w:r>
          </w:p>
          <w:p w:rsidR="0079059D" w:rsidRPr="001779EA" w:rsidRDefault="0079059D" w:rsidP="00247EDC">
            <w:pPr>
              <w:pStyle w:val="TableText0"/>
              <w:rPr>
                <w:rStyle w:val="Small"/>
              </w:rPr>
            </w:pPr>
            <w:r w:rsidRPr="001779EA">
              <w:rPr>
                <w:rStyle w:val="Small"/>
              </w:rPr>
              <w:t>Fulvestrant 250mg: 374</w:t>
            </w:r>
          </w:p>
        </w:tc>
        <w:tc>
          <w:tcPr>
            <w:tcW w:w="969" w:type="pct"/>
            <w:shd w:val="clear" w:color="auto" w:fill="auto"/>
            <w:vAlign w:val="center"/>
          </w:tcPr>
          <w:p w:rsidR="0079059D" w:rsidRPr="001779EA" w:rsidRDefault="0079059D" w:rsidP="00247EDC">
            <w:pPr>
              <w:pStyle w:val="TableText0"/>
            </w:pPr>
            <w:r w:rsidRPr="001779EA">
              <w:t>R, DB</w:t>
            </w:r>
          </w:p>
          <w:p w:rsidR="0079059D" w:rsidRPr="001779EA" w:rsidRDefault="0079059D" w:rsidP="00247EDC">
            <w:pPr>
              <w:pStyle w:val="TableText0"/>
            </w:pPr>
            <w:r w:rsidRPr="001779EA">
              <w:t>NR</w:t>
            </w:r>
          </w:p>
        </w:tc>
        <w:tc>
          <w:tcPr>
            <w:tcW w:w="551" w:type="pct"/>
            <w:shd w:val="clear" w:color="auto" w:fill="auto"/>
            <w:vAlign w:val="center"/>
          </w:tcPr>
          <w:p w:rsidR="0079059D" w:rsidRPr="001779EA" w:rsidRDefault="0079059D" w:rsidP="00247EDC">
            <w:pPr>
              <w:pStyle w:val="TableText0"/>
            </w:pPr>
            <w:r w:rsidRPr="001779EA">
              <w:t>Uncertain</w:t>
            </w:r>
          </w:p>
        </w:tc>
        <w:tc>
          <w:tcPr>
            <w:tcW w:w="1107" w:type="pct"/>
            <w:shd w:val="clear" w:color="auto" w:fill="auto"/>
            <w:vAlign w:val="center"/>
          </w:tcPr>
          <w:p w:rsidR="0079059D" w:rsidRPr="001779EA" w:rsidRDefault="0079059D" w:rsidP="00247EDC">
            <w:pPr>
              <w:pStyle w:val="TableText0"/>
            </w:pPr>
            <w:r w:rsidRPr="001779EA">
              <w:t>Endocrine-sensitive, endocrine-resistant</w:t>
            </w:r>
          </w:p>
        </w:tc>
        <w:tc>
          <w:tcPr>
            <w:tcW w:w="594" w:type="pct"/>
            <w:shd w:val="clear" w:color="auto" w:fill="auto"/>
            <w:vAlign w:val="center"/>
          </w:tcPr>
          <w:p w:rsidR="0079059D" w:rsidRPr="001779EA" w:rsidRDefault="0079059D" w:rsidP="00247EDC">
            <w:pPr>
              <w:pStyle w:val="TableText0"/>
            </w:pPr>
            <w:r w:rsidRPr="001779EA">
              <w:t>PFS</w:t>
            </w:r>
          </w:p>
        </w:tc>
      </w:tr>
      <w:tr w:rsidR="0079059D" w:rsidRPr="001779EA" w:rsidTr="00CC67D0">
        <w:tc>
          <w:tcPr>
            <w:tcW w:w="504" w:type="pct"/>
            <w:shd w:val="clear" w:color="auto" w:fill="auto"/>
            <w:vAlign w:val="center"/>
          </w:tcPr>
          <w:p w:rsidR="0079059D" w:rsidRPr="001779EA" w:rsidRDefault="0079059D" w:rsidP="00247EDC">
            <w:pPr>
              <w:pStyle w:val="TableText0"/>
            </w:pPr>
            <w:r w:rsidRPr="001779EA">
              <w:t>EFECT</w:t>
            </w:r>
          </w:p>
        </w:tc>
        <w:tc>
          <w:tcPr>
            <w:tcW w:w="1276" w:type="pct"/>
            <w:shd w:val="clear" w:color="auto" w:fill="auto"/>
            <w:vAlign w:val="center"/>
          </w:tcPr>
          <w:p w:rsidR="0079059D" w:rsidRPr="001779EA" w:rsidRDefault="0079059D" w:rsidP="00247EDC">
            <w:pPr>
              <w:pStyle w:val="TableText0"/>
            </w:pPr>
            <w:r w:rsidRPr="001779EA">
              <w:t>Fulvestrant 250mg: 351</w:t>
            </w:r>
          </w:p>
          <w:p w:rsidR="0079059D" w:rsidRPr="001779EA" w:rsidRDefault="0079059D" w:rsidP="00247EDC">
            <w:pPr>
              <w:pStyle w:val="TableText0"/>
              <w:rPr>
                <w:rStyle w:val="Small"/>
              </w:rPr>
            </w:pPr>
            <w:r w:rsidRPr="001779EA">
              <w:t>Exemestane: 342</w:t>
            </w:r>
          </w:p>
        </w:tc>
        <w:tc>
          <w:tcPr>
            <w:tcW w:w="969" w:type="pct"/>
            <w:shd w:val="clear" w:color="auto" w:fill="auto"/>
            <w:vAlign w:val="center"/>
          </w:tcPr>
          <w:p w:rsidR="0079059D" w:rsidRPr="001779EA" w:rsidRDefault="0079059D" w:rsidP="00247EDC">
            <w:pPr>
              <w:pStyle w:val="TableText0"/>
            </w:pPr>
            <w:r w:rsidRPr="001779EA">
              <w:t>R, DB</w:t>
            </w:r>
          </w:p>
          <w:p w:rsidR="0079059D" w:rsidRPr="001779EA" w:rsidRDefault="0079059D" w:rsidP="00247EDC">
            <w:pPr>
              <w:pStyle w:val="TableText0"/>
            </w:pPr>
            <w:r w:rsidRPr="001779EA">
              <w:t>Fulvestrant 250mg: 3.55 (0-21.85)</w:t>
            </w:r>
          </w:p>
          <w:p w:rsidR="0079059D" w:rsidRPr="001779EA" w:rsidRDefault="0079059D" w:rsidP="00247EDC">
            <w:pPr>
              <w:pStyle w:val="TableText0"/>
            </w:pPr>
            <w:r w:rsidRPr="001779EA">
              <w:t>Exemestane: 3.55 (0-25.72)</w:t>
            </w:r>
          </w:p>
        </w:tc>
        <w:tc>
          <w:tcPr>
            <w:tcW w:w="551" w:type="pct"/>
            <w:shd w:val="clear" w:color="auto" w:fill="auto"/>
            <w:vAlign w:val="center"/>
          </w:tcPr>
          <w:p w:rsidR="0079059D" w:rsidRPr="001779EA" w:rsidRDefault="0079059D" w:rsidP="00247EDC">
            <w:pPr>
              <w:pStyle w:val="TableText0"/>
            </w:pPr>
            <w:r w:rsidRPr="001779EA">
              <w:t>Uncertain</w:t>
            </w:r>
          </w:p>
        </w:tc>
        <w:tc>
          <w:tcPr>
            <w:tcW w:w="1107" w:type="pct"/>
            <w:shd w:val="clear" w:color="auto" w:fill="auto"/>
            <w:vAlign w:val="center"/>
          </w:tcPr>
          <w:p w:rsidR="0079059D" w:rsidRPr="001779EA" w:rsidRDefault="0079059D" w:rsidP="00247EDC">
            <w:pPr>
              <w:pStyle w:val="TableText0"/>
            </w:pPr>
            <w:r w:rsidRPr="001779EA">
              <w:t>Relapsed or progressed on an NSAI</w:t>
            </w:r>
          </w:p>
        </w:tc>
        <w:tc>
          <w:tcPr>
            <w:tcW w:w="594" w:type="pct"/>
            <w:shd w:val="clear" w:color="auto" w:fill="auto"/>
            <w:vAlign w:val="center"/>
          </w:tcPr>
          <w:p w:rsidR="0079059D" w:rsidRPr="001779EA" w:rsidRDefault="0079059D" w:rsidP="00247EDC">
            <w:pPr>
              <w:pStyle w:val="TableText0"/>
            </w:pPr>
            <w:r w:rsidRPr="001779EA">
              <w:t>TTP, OS</w:t>
            </w:r>
          </w:p>
        </w:tc>
      </w:tr>
      <w:tr w:rsidR="0079059D" w:rsidRPr="001779EA" w:rsidTr="00CC67D0">
        <w:tc>
          <w:tcPr>
            <w:tcW w:w="504" w:type="pct"/>
            <w:shd w:val="clear" w:color="auto" w:fill="auto"/>
            <w:vAlign w:val="center"/>
          </w:tcPr>
          <w:p w:rsidR="0079059D" w:rsidRPr="001779EA" w:rsidRDefault="0079059D" w:rsidP="00247EDC">
            <w:pPr>
              <w:pStyle w:val="TableText0"/>
            </w:pPr>
            <w:r w:rsidRPr="001779EA">
              <w:t>SoFEA</w:t>
            </w:r>
          </w:p>
        </w:tc>
        <w:tc>
          <w:tcPr>
            <w:tcW w:w="1276" w:type="pct"/>
            <w:shd w:val="clear" w:color="auto" w:fill="auto"/>
            <w:vAlign w:val="center"/>
          </w:tcPr>
          <w:p w:rsidR="0079059D" w:rsidRPr="001779EA" w:rsidRDefault="0079059D" w:rsidP="00247EDC">
            <w:pPr>
              <w:pStyle w:val="TableText0"/>
            </w:pPr>
            <w:r w:rsidRPr="001779EA">
              <w:t>Fulvestrant 250mg:231</w:t>
            </w:r>
          </w:p>
          <w:p w:rsidR="0079059D" w:rsidRPr="001779EA" w:rsidRDefault="0079059D" w:rsidP="00247EDC">
            <w:pPr>
              <w:pStyle w:val="TableText0"/>
              <w:rPr>
                <w:rStyle w:val="Small"/>
              </w:rPr>
            </w:pPr>
            <w:r w:rsidRPr="001779EA">
              <w:t>Exemestane: 249</w:t>
            </w:r>
          </w:p>
        </w:tc>
        <w:tc>
          <w:tcPr>
            <w:tcW w:w="969" w:type="pct"/>
            <w:shd w:val="clear" w:color="auto" w:fill="auto"/>
            <w:vAlign w:val="center"/>
          </w:tcPr>
          <w:p w:rsidR="0079059D" w:rsidRPr="001779EA" w:rsidRDefault="0079059D" w:rsidP="00247EDC">
            <w:pPr>
              <w:pStyle w:val="TableText0"/>
            </w:pPr>
            <w:r w:rsidRPr="001779EA">
              <w:t>R, OL</w:t>
            </w:r>
          </w:p>
          <w:p w:rsidR="0079059D" w:rsidRPr="001779EA" w:rsidRDefault="0079059D" w:rsidP="00247EDC">
            <w:pPr>
              <w:pStyle w:val="TableText0"/>
            </w:pPr>
            <w:r w:rsidRPr="001779EA">
              <w:t>37.9 (IQR:23.1-50.8) across both arms</w:t>
            </w:r>
          </w:p>
        </w:tc>
        <w:tc>
          <w:tcPr>
            <w:tcW w:w="551" w:type="pct"/>
            <w:shd w:val="clear" w:color="auto" w:fill="auto"/>
            <w:vAlign w:val="center"/>
          </w:tcPr>
          <w:p w:rsidR="0079059D" w:rsidRPr="001779EA" w:rsidRDefault="0079059D" w:rsidP="00247EDC">
            <w:pPr>
              <w:pStyle w:val="TableText0"/>
            </w:pPr>
            <w:r w:rsidRPr="001779EA">
              <w:t>High</w:t>
            </w:r>
          </w:p>
        </w:tc>
        <w:tc>
          <w:tcPr>
            <w:tcW w:w="1107" w:type="pct"/>
            <w:shd w:val="clear" w:color="auto" w:fill="auto"/>
            <w:vAlign w:val="center"/>
          </w:tcPr>
          <w:p w:rsidR="0079059D" w:rsidRPr="001779EA" w:rsidRDefault="0079059D" w:rsidP="00247EDC">
            <w:pPr>
              <w:pStyle w:val="TableText0"/>
            </w:pPr>
            <w:r w:rsidRPr="001779EA">
              <w:t>Relapsed or progressed on an NSAI</w:t>
            </w:r>
          </w:p>
        </w:tc>
        <w:tc>
          <w:tcPr>
            <w:tcW w:w="594" w:type="pct"/>
            <w:shd w:val="clear" w:color="auto" w:fill="auto"/>
            <w:vAlign w:val="center"/>
          </w:tcPr>
          <w:p w:rsidR="0079059D" w:rsidRPr="001779EA" w:rsidRDefault="0079059D" w:rsidP="00247EDC">
            <w:pPr>
              <w:pStyle w:val="TableText0"/>
            </w:pPr>
            <w:r w:rsidRPr="001779EA">
              <w:t>PFS, OS</w:t>
            </w:r>
          </w:p>
        </w:tc>
      </w:tr>
      <w:tr w:rsidR="0079059D" w:rsidRPr="001779EA" w:rsidTr="00CC67D0">
        <w:tc>
          <w:tcPr>
            <w:tcW w:w="504" w:type="pct"/>
            <w:shd w:val="clear" w:color="auto" w:fill="auto"/>
            <w:vAlign w:val="center"/>
          </w:tcPr>
          <w:p w:rsidR="0079059D" w:rsidRPr="001779EA" w:rsidRDefault="0079059D" w:rsidP="00247EDC">
            <w:pPr>
              <w:pStyle w:val="TableText0"/>
            </w:pPr>
            <w:r w:rsidRPr="001779EA">
              <w:t>BOLERO-2</w:t>
            </w:r>
          </w:p>
        </w:tc>
        <w:tc>
          <w:tcPr>
            <w:tcW w:w="1276" w:type="pct"/>
            <w:shd w:val="clear" w:color="auto" w:fill="auto"/>
            <w:vAlign w:val="center"/>
          </w:tcPr>
          <w:p w:rsidR="0079059D" w:rsidRPr="001779EA" w:rsidRDefault="00D4287A" w:rsidP="00247EDC">
            <w:pPr>
              <w:pStyle w:val="TableText0"/>
            </w:pPr>
            <w:r w:rsidRPr="001779EA">
              <w:t>everolimus + exemestane</w:t>
            </w:r>
            <w:r w:rsidR="0079059D" w:rsidRPr="001779EA">
              <w:t>: 485</w:t>
            </w:r>
          </w:p>
          <w:p w:rsidR="0079059D" w:rsidRPr="001779EA" w:rsidRDefault="0079059D" w:rsidP="00247EDC">
            <w:pPr>
              <w:pStyle w:val="TableText0"/>
            </w:pPr>
            <w:r w:rsidRPr="001779EA">
              <w:t>Placebo+Exemestane: 239</w:t>
            </w:r>
          </w:p>
        </w:tc>
        <w:tc>
          <w:tcPr>
            <w:tcW w:w="969" w:type="pct"/>
            <w:shd w:val="clear" w:color="auto" w:fill="auto"/>
            <w:vAlign w:val="center"/>
          </w:tcPr>
          <w:p w:rsidR="0079059D" w:rsidRPr="001779EA" w:rsidRDefault="0079059D" w:rsidP="00247EDC">
            <w:pPr>
              <w:pStyle w:val="TableText0"/>
            </w:pPr>
            <w:r w:rsidRPr="001779EA">
              <w:t>R, DB</w:t>
            </w:r>
          </w:p>
          <w:p w:rsidR="0079059D" w:rsidRPr="001779EA" w:rsidRDefault="0079059D" w:rsidP="00247EDC">
            <w:pPr>
              <w:pStyle w:val="TableText0"/>
            </w:pPr>
            <w:r w:rsidRPr="001779EA">
              <w:t>18 across both arms</w:t>
            </w:r>
          </w:p>
        </w:tc>
        <w:tc>
          <w:tcPr>
            <w:tcW w:w="551" w:type="pct"/>
            <w:shd w:val="clear" w:color="auto" w:fill="auto"/>
            <w:vAlign w:val="center"/>
          </w:tcPr>
          <w:p w:rsidR="0079059D" w:rsidRPr="001779EA" w:rsidRDefault="0079059D" w:rsidP="00247EDC">
            <w:pPr>
              <w:pStyle w:val="TableText0"/>
            </w:pPr>
            <w:r w:rsidRPr="001779EA">
              <w:t>Uncertain</w:t>
            </w:r>
          </w:p>
        </w:tc>
        <w:tc>
          <w:tcPr>
            <w:tcW w:w="1107" w:type="pct"/>
            <w:shd w:val="clear" w:color="auto" w:fill="auto"/>
            <w:vAlign w:val="center"/>
          </w:tcPr>
          <w:p w:rsidR="0079059D" w:rsidRPr="001779EA" w:rsidRDefault="0079059D" w:rsidP="00247EDC">
            <w:pPr>
              <w:pStyle w:val="TableText0"/>
            </w:pPr>
            <w:r w:rsidRPr="001779EA">
              <w:t>Resistant to first-line AI monotherapy</w:t>
            </w:r>
          </w:p>
        </w:tc>
        <w:tc>
          <w:tcPr>
            <w:tcW w:w="594" w:type="pct"/>
            <w:shd w:val="clear" w:color="auto" w:fill="auto"/>
            <w:vAlign w:val="center"/>
          </w:tcPr>
          <w:p w:rsidR="0079059D" w:rsidRPr="001779EA" w:rsidRDefault="0079059D" w:rsidP="00247EDC">
            <w:pPr>
              <w:pStyle w:val="TableText0"/>
            </w:pPr>
            <w:r w:rsidRPr="001779EA">
              <w:t>PFS, OS</w:t>
            </w:r>
          </w:p>
        </w:tc>
      </w:tr>
    </w:tbl>
    <w:p w:rsidR="0079059D" w:rsidRPr="001779EA" w:rsidRDefault="0079059D" w:rsidP="00247EDC">
      <w:pPr>
        <w:pStyle w:val="TableFigureFooter"/>
        <w:rPr>
          <w:rFonts w:eastAsiaTheme="minorHAnsi"/>
        </w:rPr>
      </w:pPr>
      <w:r w:rsidRPr="001779EA">
        <w:rPr>
          <w:rFonts w:eastAsiaTheme="minorHAnsi"/>
        </w:rPr>
        <w:t>DB: Dou</w:t>
      </w:r>
      <w:r w:rsidR="00D4287A" w:rsidRPr="001779EA">
        <w:rPr>
          <w:rFonts w:eastAsiaTheme="minorHAnsi"/>
        </w:rPr>
        <w:t>ble blind;</w:t>
      </w:r>
      <w:r w:rsidRPr="001779EA">
        <w:rPr>
          <w:rFonts w:eastAsiaTheme="minorHAnsi"/>
        </w:rPr>
        <w:t xml:space="preserve"> NR: Not reported, NSAI: Non-steroidal aromatase inhibitor, OL: Open Label, OS: Overall survival, PFS: Progression free survival, R: Randomised, TTP: Time to progression </w:t>
      </w:r>
    </w:p>
    <w:p w:rsidR="0079059D" w:rsidRPr="001779EA" w:rsidRDefault="0079059D" w:rsidP="00502EFD">
      <w:pPr>
        <w:pStyle w:val="TableFigureFooter"/>
        <w:spacing w:after="240"/>
        <w:contextualSpacing w:val="0"/>
        <w:rPr>
          <w:rFonts w:eastAsiaTheme="minorHAnsi"/>
        </w:rPr>
      </w:pPr>
      <w:r w:rsidRPr="001779EA">
        <w:rPr>
          <w:rFonts w:eastAsiaTheme="minorHAnsi"/>
          <w:snapToGrid/>
        </w:rPr>
        <w:t>Source: Compiled during the evaluation based on, Tables 2.28, 2.34, pp82-93 of the submission</w:t>
      </w:r>
    </w:p>
    <w:p w:rsidR="0079059D" w:rsidRPr="001779EA" w:rsidRDefault="0079059D" w:rsidP="00247EDC">
      <w:pPr>
        <w:pStyle w:val="3-BodyText"/>
      </w:pPr>
      <w:r w:rsidRPr="001779EA">
        <w:t>The patient characteristics differed between the trials and the proposed PBS population in the following important aspects</w:t>
      </w:r>
      <w:r w:rsidR="00B83BDA" w:rsidRPr="001779EA">
        <w:t>, which</w:t>
      </w:r>
      <w:r w:rsidR="00434B2F" w:rsidRPr="001779EA">
        <w:t xml:space="preserve"> could both violate the exchangeability assumption</w:t>
      </w:r>
      <w:r w:rsidRPr="001779EA">
        <w:t>:</w:t>
      </w:r>
    </w:p>
    <w:p w:rsidR="0079059D" w:rsidRPr="001779EA" w:rsidRDefault="0079059D" w:rsidP="0023729B">
      <w:pPr>
        <w:pStyle w:val="Bulletpoints"/>
        <w:widowControl w:val="0"/>
        <w:ind w:left="1134" w:hanging="357"/>
        <w:contextualSpacing w:val="0"/>
      </w:pPr>
      <w:r w:rsidRPr="001779EA">
        <w:t xml:space="preserve">The proposed PBS restriction specified that patients must be HER2-. Only BOLERO-2 was confirmed to include only HER2- </w:t>
      </w:r>
      <w:r w:rsidR="00334E4D" w:rsidRPr="001779EA">
        <w:t>patients</w:t>
      </w:r>
      <w:r w:rsidRPr="001779EA">
        <w:t>. The HER2 status of the other trials was not reported.</w:t>
      </w:r>
    </w:p>
    <w:p w:rsidR="0079059D" w:rsidRPr="001779EA" w:rsidRDefault="0079059D" w:rsidP="00106199">
      <w:pPr>
        <w:pStyle w:val="Bulletpoints"/>
        <w:widowControl w:val="0"/>
        <w:ind w:left="1134" w:hanging="357"/>
        <w:contextualSpacing w:val="0"/>
      </w:pPr>
      <w:r w:rsidRPr="001779EA">
        <w:t>CONFIRM, CONFIRM China, EFECT, SoFEA and BOLERO-2 differed based on the number of prior endocrine therapies.</w:t>
      </w:r>
      <w:bookmarkStart w:id="36" w:name="_Toc536007842"/>
      <w:r w:rsidR="00106199" w:rsidRPr="001779EA">
        <w:t xml:space="preserve"> </w:t>
      </w:r>
      <w:r w:rsidR="003E3A74" w:rsidRPr="001779EA">
        <w:t xml:space="preserve">In </w:t>
      </w:r>
      <w:r w:rsidR="00106199" w:rsidRPr="001779EA">
        <w:t>BOLERO-2 (</w:t>
      </w:r>
      <w:r w:rsidR="003E3A74" w:rsidRPr="001779EA">
        <w:t xml:space="preserve">EVE+EVE </w:t>
      </w:r>
      <w:r w:rsidR="003B20F7" w:rsidRPr="001779EA">
        <w:t>vs</w:t>
      </w:r>
      <w:r w:rsidR="003E3A74" w:rsidRPr="001779EA">
        <w:t xml:space="preserve"> EXE) more than </w:t>
      </w:r>
      <w:r w:rsidR="00106199" w:rsidRPr="001779EA">
        <w:t xml:space="preserve">50% </w:t>
      </w:r>
      <w:r w:rsidR="003E3A74" w:rsidRPr="001779EA">
        <w:t xml:space="preserve">of patients </w:t>
      </w:r>
      <w:r w:rsidR="00106199" w:rsidRPr="001779EA">
        <w:t xml:space="preserve">had </w:t>
      </w:r>
      <w:r w:rsidR="003E3A74" w:rsidRPr="001779EA">
        <w:t>two</w:t>
      </w:r>
      <w:r w:rsidR="00106199" w:rsidRPr="001779EA">
        <w:t xml:space="preserve"> or more prior hormonal therapies, </w:t>
      </w:r>
      <w:r w:rsidR="003E3A74" w:rsidRPr="001779EA">
        <w:t xml:space="preserve">while in </w:t>
      </w:r>
      <w:r w:rsidR="00106199" w:rsidRPr="001779EA">
        <w:t xml:space="preserve">CONFIRM (fulvestrant 500 vs 250mg) </w:t>
      </w:r>
      <w:r w:rsidR="009559A3" w:rsidRPr="001779EA">
        <w:t xml:space="preserve">12-15% of patients had two prior endocrine therapies and </w:t>
      </w:r>
      <w:r w:rsidR="00106199" w:rsidRPr="001779EA">
        <w:t xml:space="preserve">only </w:t>
      </w:r>
      <w:r w:rsidR="003E3A74" w:rsidRPr="001779EA">
        <w:t>one</w:t>
      </w:r>
      <w:r w:rsidR="00106199" w:rsidRPr="001779EA">
        <w:t xml:space="preserve"> prior hormonal therapy </w:t>
      </w:r>
      <w:r w:rsidR="009559A3" w:rsidRPr="001779EA">
        <w:t xml:space="preserve">in the advanced disease setting </w:t>
      </w:r>
      <w:r w:rsidR="003E3A74" w:rsidRPr="001779EA">
        <w:t xml:space="preserve">was </w:t>
      </w:r>
      <w:r w:rsidR="00106199" w:rsidRPr="001779EA">
        <w:t>permitted</w:t>
      </w:r>
      <w:r w:rsidR="003E3A74" w:rsidRPr="001779EA">
        <w:t>.</w:t>
      </w:r>
    </w:p>
    <w:p w:rsidR="0079059D" w:rsidRPr="001779EA" w:rsidRDefault="0079059D" w:rsidP="00CC67D0">
      <w:pPr>
        <w:pStyle w:val="Heading2"/>
        <w:spacing w:before="240" w:after="240"/>
        <w:rPr>
          <w:b w:val="0"/>
        </w:rPr>
      </w:pPr>
      <w:bookmarkStart w:id="37" w:name="_Toc40935319"/>
      <w:r w:rsidRPr="001779EA">
        <w:t>Comparative effectiveness</w:t>
      </w:r>
      <w:bookmarkEnd w:id="36"/>
      <w:r w:rsidR="00D4287A" w:rsidRPr="001779EA">
        <w:t xml:space="preserve"> (second</w:t>
      </w:r>
      <w:r w:rsidRPr="001779EA">
        <w:t>-line)</w:t>
      </w:r>
      <w:bookmarkEnd w:id="37"/>
    </w:p>
    <w:p w:rsidR="0079059D" w:rsidRPr="001779EA" w:rsidRDefault="0079059D" w:rsidP="00247EDC">
      <w:pPr>
        <w:pStyle w:val="3-BodyText"/>
      </w:pPr>
      <w:r w:rsidRPr="001779EA">
        <w:t xml:space="preserve">Table </w:t>
      </w:r>
      <w:r w:rsidR="00B537D3" w:rsidRPr="001779EA">
        <w:t>10</w:t>
      </w:r>
      <w:r w:rsidRPr="001779EA">
        <w:t xml:space="preserve"> presents the results of PFS and OS for CONFIRM, CONFIRM China, EFECT, SoFEA and BOLERO-2 in the second-line setting. It also contains pooled PFS and OS results based on fixed-effects meta-analyses of CONFIRM and CONFIRM China, and separately EFECT and SoFEA.</w:t>
      </w:r>
    </w:p>
    <w:p w:rsidR="0079059D" w:rsidRPr="001779EA" w:rsidRDefault="0070032E" w:rsidP="00CC67D0">
      <w:pPr>
        <w:pStyle w:val="TableFigureHeading"/>
        <w:keepLines/>
      </w:pPr>
      <w:r w:rsidRPr="001779EA">
        <w:lastRenderedPageBreak/>
        <w:t xml:space="preserve">Table </w:t>
      </w:r>
      <w:r w:rsidR="00B537D3" w:rsidRPr="001779EA">
        <w:t>10</w:t>
      </w:r>
      <w:r w:rsidR="0079059D" w:rsidRPr="001779EA">
        <w:t>: Results of PFS and OS across the studies</w:t>
      </w:r>
    </w:p>
    <w:tbl>
      <w:tblPr>
        <w:tblStyle w:val="AZTable"/>
        <w:tblW w:w="5000" w:type="pct"/>
        <w:tblLayout w:type="fixed"/>
        <w:tblCellMar>
          <w:left w:w="28" w:type="dxa"/>
          <w:right w:w="28" w:type="dxa"/>
        </w:tblCellMar>
        <w:tblLook w:val="04A0" w:firstRow="1" w:lastRow="0" w:firstColumn="1" w:lastColumn="0" w:noHBand="0" w:noVBand="1"/>
        <w:tblCaption w:val="Table 10: Results of PFS and OS across the studies"/>
      </w:tblPr>
      <w:tblGrid>
        <w:gridCol w:w="1416"/>
        <w:gridCol w:w="1134"/>
        <w:gridCol w:w="1275"/>
        <w:gridCol w:w="1134"/>
        <w:gridCol w:w="1273"/>
        <w:gridCol w:w="13"/>
        <w:gridCol w:w="839"/>
        <w:gridCol w:w="851"/>
        <w:gridCol w:w="1082"/>
      </w:tblGrid>
      <w:tr w:rsidR="00446582" w:rsidRPr="001779EA" w:rsidTr="00280D90">
        <w:trPr>
          <w:cnfStyle w:val="100000000000" w:firstRow="1" w:lastRow="0" w:firstColumn="0" w:lastColumn="0" w:oddVBand="0" w:evenVBand="0" w:oddHBand="0" w:evenHBand="0" w:firstRowFirstColumn="0" w:firstRowLastColumn="0" w:lastRowFirstColumn="0" w:lastRowLastColumn="0"/>
          <w:tblHeader/>
        </w:trPr>
        <w:tc>
          <w:tcPr>
            <w:tcW w:w="785" w:type="pct"/>
            <w:tcBorders>
              <w:bottom w:val="single" w:sz="4" w:space="0" w:color="auto"/>
            </w:tcBorders>
            <w:shd w:val="clear" w:color="auto" w:fill="auto"/>
          </w:tcPr>
          <w:p w:rsidR="00446582" w:rsidRPr="001779EA" w:rsidRDefault="00446582" w:rsidP="00550786">
            <w:pPr>
              <w:pStyle w:val="In-tableHeading"/>
              <w:keepLines/>
              <w:rPr>
                <w:szCs w:val="20"/>
                <w:lang w:val="en-AU"/>
              </w:rPr>
            </w:pPr>
          </w:p>
        </w:tc>
        <w:tc>
          <w:tcPr>
            <w:tcW w:w="1336" w:type="pct"/>
            <w:gridSpan w:val="2"/>
            <w:tcBorders>
              <w:bottom w:val="single" w:sz="4" w:space="0" w:color="auto"/>
            </w:tcBorders>
            <w:shd w:val="clear" w:color="auto" w:fill="auto"/>
          </w:tcPr>
          <w:p w:rsidR="00446582" w:rsidRPr="001779EA" w:rsidRDefault="00446582" w:rsidP="00446582">
            <w:pPr>
              <w:pStyle w:val="In-tableHeading"/>
              <w:keepLines/>
              <w:jc w:val="center"/>
              <w:rPr>
                <w:szCs w:val="20"/>
                <w:lang w:val="en-AU"/>
              </w:rPr>
            </w:pPr>
            <w:r w:rsidRPr="001779EA">
              <w:rPr>
                <w:sz w:val="20"/>
                <w:szCs w:val="20"/>
                <w:lang w:val="en-AU"/>
              </w:rPr>
              <w:t>Intervention</w:t>
            </w:r>
          </w:p>
        </w:tc>
        <w:tc>
          <w:tcPr>
            <w:tcW w:w="1342" w:type="pct"/>
            <w:gridSpan w:val="3"/>
            <w:tcBorders>
              <w:bottom w:val="single" w:sz="4" w:space="0" w:color="auto"/>
            </w:tcBorders>
            <w:shd w:val="clear" w:color="auto" w:fill="auto"/>
          </w:tcPr>
          <w:p w:rsidR="00446582" w:rsidRPr="001779EA" w:rsidRDefault="00446582" w:rsidP="00446582">
            <w:pPr>
              <w:pStyle w:val="In-tableHeading"/>
              <w:keepLines/>
              <w:jc w:val="center"/>
              <w:rPr>
                <w:szCs w:val="20"/>
                <w:lang w:val="en-AU"/>
              </w:rPr>
            </w:pPr>
            <w:r w:rsidRPr="001779EA">
              <w:rPr>
                <w:sz w:val="20"/>
                <w:szCs w:val="20"/>
                <w:lang w:val="en-AU"/>
              </w:rPr>
              <w:t>Comparator</w:t>
            </w:r>
          </w:p>
        </w:tc>
        <w:tc>
          <w:tcPr>
            <w:tcW w:w="1538" w:type="pct"/>
            <w:gridSpan w:val="3"/>
            <w:tcBorders>
              <w:bottom w:val="single" w:sz="4" w:space="0" w:color="auto"/>
            </w:tcBorders>
            <w:shd w:val="clear" w:color="auto" w:fill="auto"/>
          </w:tcPr>
          <w:p w:rsidR="00446582" w:rsidRPr="001779EA" w:rsidRDefault="00446582" w:rsidP="00550786">
            <w:pPr>
              <w:pStyle w:val="In-tableHeading"/>
              <w:keepLines/>
              <w:rPr>
                <w:szCs w:val="20"/>
                <w:lang w:val="en-AU"/>
              </w:rPr>
            </w:pPr>
          </w:p>
        </w:tc>
      </w:tr>
      <w:tr w:rsidR="0079059D" w:rsidRPr="001779EA" w:rsidTr="00280D90">
        <w:trPr>
          <w:cnfStyle w:val="100000000000" w:firstRow="1" w:lastRow="0" w:firstColumn="0" w:lastColumn="0" w:oddVBand="0" w:evenVBand="0" w:oddHBand="0" w:evenHBand="0" w:firstRowFirstColumn="0" w:firstRowLastColumn="0" w:lastRowFirstColumn="0" w:lastRowLastColumn="0"/>
          <w:tblHeader/>
        </w:trPr>
        <w:tc>
          <w:tcPr>
            <w:tcW w:w="785" w:type="pct"/>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bookmarkStart w:id="38" w:name="_Hlk31802702"/>
            <w:r w:rsidRPr="001779EA">
              <w:rPr>
                <w:sz w:val="20"/>
                <w:szCs w:val="20"/>
                <w:lang w:val="en-AU"/>
              </w:rPr>
              <w:t>Comparison</w:t>
            </w:r>
          </w:p>
        </w:tc>
        <w:tc>
          <w:tcPr>
            <w:tcW w:w="629" w:type="pct"/>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r w:rsidRPr="001779EA">
              <w:rPr>
                <w:sz w:val="20"/>
                <w:szCs w:val="20"/>
                <w:lang w:val="en-AU"/>
              </w:rPr>
              <w:t>n/N (%) progressed</w:t>
            </w:r>
          </w:p>
        </w:tc>
        <w:tc>
          <w:tcPr>
            <w:tcW w:w="707" w:type="pct"/>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r w:rsidRPr="001779EA">
              <w:rPr>
                <w:sz w:val="20"/>
                <w:szCs w:val="20"/>
                <w:lang w:val="en-AU"/>
              </w:rPr>
              <w:t>Median time to event</w:t>
            </w:r>
            <w:r w:rsidR="008F4594" w:rsidRPr="001779EA">
              <w:rPr>
                <w:sz w:val="20"/>
                <w:szCs w:val="20"/>
                <w:lang w:val="en-AU"/>
              </w:rPr>
              <w:t>, months</w:t>
            </w:r>
            <w:r w:rsidRPr="001779EA">
              <w:rPr>
                <w:sz w:val="20"/>
                <w:szCs w:val="20"/>
                <w:lang w:val="en-AU"/>
              </w:rPr>
              <w:t xml:space="preserve"> (95% CI)</w:t>
            </w:r>
          </w:p>
        </w:tc>
        <w:tc>
          <w:tcPr>
            <w:tcW w:w="629" w:type="pct"/>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r w:rsidRPr="001779EA">
              <w:rPr>
                <w:sz w:val="20"/>
                <w:szCs w:val="20"/>
                <w:lang w:val="en-AU"/>
              </w:rPr>
              <w:t>n/N (%) progressed</w:t>
            </w:r>
          </w:p>
        </w:tc>
        <w:tc>
          <w:tcPr>
            <w:tcW w:w="713" w:type="pct"/>
            <w:gridSpan w:val="2"/>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r w:rsidRPr="001779EA">
              <w:rPr>
                <w:sz w:val="20"/>
                <w:szCs w:val="20"/>
                <w:lang w:val="en-AU"/>
              </w:rPr>
              <w:t>Median time to event</w:t>
            </w:r>
            <w:r w:rsidR="008F4594" w:rsidRPr="001779EA">
              <w:rPr>
                <w:sz w:val="20"/>
                <w:szCs w:val="20"/>
                <w:lang w:val="en-AU"/>
              </w:rPr>
              <w:t>, months</w:t>
            </w:r>
            <w:r w:rsidRPr="001779EA">
              <w:rPr>
                <w:sz w:val="20"/>
                <w:szCs w:val="20"/>
                <w:lang w:val="en-AU"/>
              </w:rPr>
              <w:t xml:space="preserve"> (95% CI)</w:t>
            </w:r>
          </w:p>
        </w:tc>
        <w:tc>
          <w:tcPr>
            <w:tcW w:w="465" w:type="pct"/>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r w:rsidRPr="001779EA">
              <w:rPr>
                <w:sz w:val="20"/>
                <w:szCs w:val="20"/>
                <w:lang w:val="en-AU"/>
              </w:rPr>
              <w:t>Difference in median</w:t>
            </w:r>
          </w:p>
        </w:tc>
        <w:tc>
          <w:tcPr>
            <w:tcW w:w="472" w:type="pct"/>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r w:rsidRPr="001779EA">
              <w:rPr>
                <w:sz w:val="20"/>
                <w:szCs w:val="20"/>
                <w:lang w:val="en-AU"/>
              </w:rPr>
              <w:t>P value (log-rank test)</w:t>
            </w:r>
          </w:p>
        </w:tc>
        <w:tc>
          <w:tcPr>
            <w:tcW w:w="600" w:type="pct"/>
            <w:tcBorders>
              <w:bottom w:val="single" w:sz="4" w:space="0" w:color="auto"/>
            </w:tcBorders>
            <w:shd w:val="clear" w:color="auto" w:fill="auto"/>
            <w:hideMark/>
          </w:tcPr>
          <w:p w:rsidR="0079059D" w:rsidRPr="001779EA" w:rsidRDefault="0079059D" w:rsidP="00550786">
            <w:pPr>
              <w:pStyle w:val="In-tableHeading"/>
              <w:keepLines/>
              <w:rPr>
                <w:sz w:val="20"/>
                <w:szCs w:val="20"/>
                <w:lang w:val="en-AU"/>
              </w:rPr>
            </w:pPr>
            <w:r w:rsidRPr="001779EA">
              <w:rPr>
                <w:sz w:val="20"/>
                <w:szCs w:val="20"/>
                <w:lang w:val="en-AU"/>
              </w:rPr>
              <w:t>Hazard ratio (95% CI)</w:t>
            </w:r>
          </w:p>
        </w:tc>
      </w:tr>
      <w:tr w:rsidR="0079059D" w:rsidRPr="001779EA" w:rsidTr="00280D90">
        <w:tc>
          <w:tcPr>
            <w:tcW w:w="785" w:type="pct"/>
            <w:tcBorders>
              <w:right w:val="nil"/>
            </w:tcBorders>
            <w:shd w:val="clear" w:color="auto" w:fill="auto"/>
          </w:tcPr>
          <w:p w:rsidR="0079059D" w:rsidRPr="001779EA" w:rsidRDefault="0079059D" w:rsidP="00CC67D0">
            <w:pPr>
              <w:pStyle w:val="Tabletext"/>
              <w:keepNext/>
              <w:keepLines/>
              <w:rPr>
                <w:b/>
              </w:rPr>
            </w:pPr>
            <w:r w:rsidRPr="001779EA">
              <w:rPr>
                <w:b/>
              </w:rPr>
              <w:t>PFS</w:t>
            </w:r>
          </w:p>
        </w:tc>
        <w:tc>
          <w:tcPr>
            <w:tcW w:w="629" w:type="pct"/>
            <w:tcBorders>
              <w:left w:val="nil"/>
              <w:right w:val="nil"/>
            </w:tcBorders>
            <w:shd w:val="clear" w:color="auto" w:fill="auto"/>
          </w:tcPr>
          <w:p w:rsidR="0079059D" w:rsidRPr="001779EA" w:rsidRDefault="0079059D" w:rsidP="00CC67D0">
            <w:pPr>
              <w:pStyle w:val="Tabletext"/>
              <w:keepNext/>
              <w:keepLines/>
            </w:pPr>
          </w:p>
        </w:tc>
        <w:tc>
          <w:tcPr>
            <w:tcW w:w="707" w:type="pct"/>
            <w:tcBorders>
              <w:left w:val="nil"/>
              <w:right w:val="nil"/>
            </w:tcBorders>
            <w:shd w:val="clear" w:color="auto" w:fill="auto"/>
          </w:tcPr>
          <w:p w:rsidR="0079059D" w:rsidRPr="001779EA" w:rsidRDefault="0079059D" w:rsidP="00CC67D0">
            <w:pPr>
              <w:pStyle w:val="Tabletext"/>
              <w:keepNext/>
              <w:keepLines/>
            </w:pPr>
          </w:p>
        </w:tc>
        <w:tc>
          <w:tcPr>
            <w:tcW w:w="629" w:type="pct"/>
            <w:tcBorders>
              <w:left w:val="nil"/>
              <w:right w:val="nil"/>
            </w:tcBorders>
            <w:shd w:val="clear" w:color="auto" w:fill="auto"/>
          </w:tcPr>
          <w:p w:rsidR="0079059D" w:rsidRPr="001779EA" w:rsidRDefault="0079059D" w:rsidP="00CC67D0">
            <w:pPr>
              <w:pStyle w:val="Tabletext"/>
              <w:keepNext/>
              <w:keepLines/>
            </w:pPr>
          </w:p>
        </w:tc>
        <w:tc>
          <w:tcPr>
            <w:tcW w:w="713" w:type="pct"/>
            <w:gridSpan w:val="2"/>
            <w:tcBorders>
              <w:left w:val="nil"/>
              <w:right w:val="nil"/>
            </w:tcBorders>
            <w:shd w:val="clear" w:color="auto" w:fill="auto"/>
          </w:tcPr>
          <w:p w:rsidR="0079059D" w:rsidRPr="001779EA" w:rsidRDefault="0079059D" w:rsidP="00CC67D0">
            <w:pPr>
              <w:pStyle w:val="Tabletext"/>
              <w:keepNext/>
              <w:keepLines/>
            </w:pPr>
          </w:p>
        </w:tc>
        <w:tc>
          <w:tcPr>
            <w:tcW w:w="465" w:type="pct"/>
            <w:tcBorders>
              <w:left w:val="nil"/>
              <w:right w:val="nil"/>
            </w:tcBorders>
            <w:shd w:val="clear" w:color="auto" w:fill="auto"/>
          </w:tcPr>
          <w:p w:rsidR="0079059D" w:rsidRPr="001779EA" w:rsidRDefault="0079059D" w:rsidP="00CC67D0">
            <w:pPr>
              <w:pStyle w:val="Tabletext"/>
              <w:keepNext/>
              <w:keepLines/>
            </w:pPr>
          </w:p>
        </w:tc>
        <w:tc>
          <w:tcPr>
            <w:tcW w:w="472" w:type="pct"/>
            <w:tcBorders>
              <w:left w:val="nil"/>
              <w:right w:val="nil"/>
            </w:tcBorders>
            <w:shd w:val="clear" w:color="auto" w:fill="auto"/>
          </w:tcPr>
          <w:p w:rsidR="0079059D" w:rsidRPr="001779EA" w:rsidRDefault="0079059D" w:rsidP="00CC67D0">
            <w:pPr>
              <w:pStyle w:val="Tabletext"/>
              <w:keepNext/>
              <w:keepLines/>
            </w:pPr>
          </w:p>
        </w:tc>
        <w:tc>
          <w:tcPr>
            <w:tcW w:w="600" w:type="pct"/>
            <w:tcBorders>
              <w:left w:val="nil"/>
            </w:tcBorders>
            <w:shd w:val="clear" w:color="auto" w:fill="auto"/>
          </w:tcPr>
          <w:p w:rsidR="0079059D" w:rsidRPr="001779EA" w:rsidRDefault="0079059D" w:rsidP="00CC67D0">
            <w:pPr>
              <w:pStyle w:val="Tabletext"/>
              <w:keepNext/>
              <w:keepLines/>
            </w:pPr>
          </w:p>
        </w:tc>
      </w:tr>
      <w:tr w:rsidR="00446582" w:rsidRPr="001779EA" w:rsidTr="00280D90">
        <w:tc>
          <w:tcPr>
            <w:tcW w:w="785" w:type="pct"/>
            <w:shd w:val="clear" w:color="auto" w:fill="auto"/>
            <w:vAlign w:val="center"/>
          </w:tcPr>
          <w:p w:rsidR="00446582" w:rsidRPr="001779EA" w:rsidRDefault="00446582" w:rsidP="00446582">
            <w:pPr>
              <w:pStyle w:val="Tabletext"/>
              <w:keepNext/>
              <w:keepLines/>
              <w:jc w:val="center"/>
            </w:pPr>
            <w:r w:rsidRPr="001779EA">
              <w:t>FULV500 vs FULV250</w:t>
            </w:r>
          </w:p>
        </w:tc>
        <w:tc>
          <w:tcPr>
            <w:tcW w:w="1336" w:type="pct"/>
            <w:gridSpan w:val="2"/>
            <w:shd w:val="clear" w:color="auto" w:fill="auto"/>
            <w:vAlign w:val="center"/>
          </w:tcPr>
          <w:p w:rsidR="00446582" w:rsidRPr="001779EA" w:rsidRDefault="00446582" w:rsidP="00446582">
            <w:pPr>
              <w:pStyle w:val="Tabletext"/>
              <w:keepNext/>
              <w:keepLines/>
              <w:jc w:val="center"/>
            </w:pPr>
            <w:r w:rsidRPr="001779EA">
              <w:t>FULV500</w:t>
            </w:r>
          </w:p>
        </w:tc>
        <w:tc>
          <w:tcPr>
            <w:tcW w:w="1342" w:type="pct"/>
            <w:gridSpan w:val="3"/>
            <w:shd w:val="clear" w:color="auto" w:fill="auto"/>
            <w:vAlign w:val="center"/>
          </w:tcPr>
          <w:p w:rsidR="00446582" w:rsidRPr="001779EA" w:rsidRDefault="00446582" w:rsidP="00446582">
            <w:pPr>
              <w:pStyle w:val="Tabletext"/>
              <w:keepNext/>
              <w:keepLines/>
              <w:jc w:val="center"/>
            </w:pPr>
            <w:r w:rsidRPr="001779EA">
              <w:t>FULV250</w:t>
            </w:r>
          </w:p>
        </w:tc>
        <w:tc>
          <w:tcPr>
            <w:tcW w:w="465" w:type="pct"/>
            <w:shd w:val="clear" w:color="auto" w:fill="auto"/>
            <w:vAlign w:val="center"/>
          </w:tcPr>
          <w:p w:rsidR="00446582" w:rsidRPr="001779EA" w:rsidRDefault="00446582" w:rsidP="00CC67D0">
            <w:pPr>
              <w:pStyle w:val="Tabletext"/>
              <w:keepNext/>
              <w:keepLines/>
            </w:pPr>
          </w:p>
        </w:tc>
        <w:tc>
          <w:tcPr>
            <w:tcW w:w="472" w:type="pct"/>
            <w:shd w:val="clear" w:color="auto" w:fill="auto"/>
            <w:vAlign w:val="center"/>
          </w:tcPr>
          <w:p w:rsidR="00446582" w:rsidRPr="001779EA" w:rsidRDefault="00446582" w:rsidP="00CC67D0">
            <w:pPr>
              <w:pStyle w:val="Tabletext"/>
              <w:keepNext/>
              <w:keepLines/>
            </w:pPr>
          </w:p>
        </w:tc>
        <w:tc>
          <w:tcPr>
            <w:tcW w:w="600" w:type="pct"/>
            <w:shd w:val="clear" w:color="auto" w:fill="auto"/>
            <w:vAlign w:val="center"/>
          </w:tcPr>
          <w:p w:rsidR="00446582" w:rsidRPr="001779EA" w:rsidRDefault="00446582" w:rsidP="00CC67D0">
            <w:pPr>
              <w:pStyle w:val="Tabletext"/>
              <w:keepNext/>
              <w:keepLines/>
            </w:pPr>
          </w:p>
        </w:tc>
      </w:tr>
      <w:tr w:rsidR="0079059D" w:rsidRPr="001779EA" w:rsidTr="00280D90">
        <w:tc>
          <w:tcPr>
            <w:tcW w:w="785" w:type="pct"/>
            <w:shd w:val="clear" w:color="auto" w:fill="auto"/>
            <w:vAlign w:val="center"/>
            <w:hideMark/>
          </w:tcPr>
          <w:p w:rsidR="0079059D" w:rsidRPr="001779EA" w:rsidRDefault="0079059D" w:rsidP="00CC67D0">
            <w:pPr>
              <w:pStyle w:val="Tabletext"/>
              <w:keepNext/>
              <w:keepLines/>
            </w:pPr>
            <w:r w:rsidRPr="001779EA">
              <w:t>CONFIRM</w:t>
            </w:r>
          </w:p>
        </w:tc>
        <w:tc>
          <w:tcPr>
            <w:tcW w:w="629" w:type="pct"/>
            <w:shd w:val="clear" w:color="auto" w:fill="auto"/>
            <w:vAlign w:val="center"/>
            <w:hideMark/>
          </w:tcPr>
          <w:p w:rsidR="0079059D" w:rsidRPr="001779EA" w:rsidRDefault="0079059D" w:rsidP="00032708">
            <w:pPr>
              <w:pStyle w:val="Tabletext"/>
              <w:keepNext/>
              <w:keepLines/>
              <w:jc w:val="center"/>
            </w:pPr>
            <w:r w:rsidRPr="001779EA">
              <w:t>297/362 (82.0)</w:t>
            </w:r>
          </w:p>
        </w:tc>
        <w:tc>
          <w:tcPr>
            <w:tcW w:w="707" w:type="pct"/>
            <w:shd w:val="clear" w:color="auto" w:fill="auto"/>
            <w:vAlign w:val="center"/>
            <w:hideMark/>
          </w:tcPr>
          <w:p w:rsidR="0079059D" w:rsidRPr="001779EA" w:rsidRDefault="0079059D" w:rsidP="00032708">
            <w:pPr>
              <w:pStyle w:val="Tabletext"/>
              <w:keepNext/>
              <w:keepLines/>
              <w:jc w:val="center"/>
            </w:pPr>
            <w:r w:rsidRPr="001779EA">
              <w:t>6.5 (NR)</w:t>
            </w:r>
          </w:p>
        </w:tc>
        <w:tc>
          <w:tcPr>
            <w:tcW w:w="629" w:type="pct"/>
            <w:shd w:val="clear" w:color="auto" w:fill="auto"/>
            <w:vAlign w:val="center"/>
            <w:hideMark/>
          </w:tcPr>
          <w:p w:rsidR="0079059D" w:rsidRPr="001779EA" w:rsidRDefault="0079059D" w:rsidP="00032708">
            <w:pPr>
              <w:pStyle w:val="Tabletext"/>
              <w:keepNext/>
              <w:keepLines/>
              <w:jc w:val="center"/>
            </w:pPr>
            <w:r w:rsidRPr="001779EA">
              <w:t>321/374 (85.8)</w:t>
            </w:r>
          </w:p>
        </w:tc>
        <w:tc>
          <w:tcPr>
            <w:tcW w:w="713" w:type="pct"/>
            <w:gridSpan w:val="2"/>
            <w:shd w:val="clear" w:color="auto" w:fill="auto"/>
            <w:vAlign w:val="center"/>
            <w:hideMark/>
          </w:tcPr>
          <w:p w:rsidR="0079059D" w:rsidRPr="001779EA" w:rsidRDefault="0079059D" w:rsidP="00032708">
            <w:pPr>
              <w:pStyle w:val="Tabletext"/>
              <w:keepNext/>
              <w:keepLines/>
              <w:jc w:val="center"/>
            </w:pPr>
            <w:r w:rsidRPr="001779EA">
              <w:t>5.5 (NR)</w:t>
            </w:r>
          </w:p>
        </w:tc>
        <w:tc>
          <w:tcPr>
            <w:tcW w:w="465" w:type="pct"/>
            <w:shd w:val="clear" w:color="auto" w:fill="auto"/>
            <w:vAlign w:val="center"/>
            <w:hideMark/>
          </w:tcPr>
          <w:p w:rsidR="0079059D" w:rsidRPr="001779EA" w:rsidRDefault="0079059D" w:rsidP="00032708">
            <w:pPr>
              <w:pStyle w:val="Tabletext"/>
              <w:keepNext/>
              <w:keepLines/>
              <w:jc w:val="center"/>
            </w:pPr>
            <w:r w:rsidRPr="001779EA">
              <w:t>1.0</w:t>
            </w:r>
          </w:p>
        </w:tc>
        <w:tc>
          <w:tcPr>
            <w:tcW w:w="472" w:type="pct"/>
            <w:shd w:val="clear" w:color="auto" w:fill="auto"/>
            <w:vAlign w:val="center"/>
            <w:hideMark/>
          </w:tcPr>
          <w:p w:rsidR="0079059D" w:rsidRPr="001779EA" w:rsidRDefault="0079059D" w:rsidP="00032708">
            <w:pPr>
              <w:pStyle w:val="Tabletext"/>
              <w:keepNext/>
              <w:keepLines/>
              <w:jc w:val="center"/>
              <w:rPr>
                <w:b/>
              </w:rPr>
            </w:pPr>
            <w:r w:rsidRPr="001779EA">
              <w:rPr>
                <w:b/>
              </w:rPr>
              <w:t>0.006</w:t>
            </w:r>
          </w:p>
        </w:tc>
        <w:tc>
          <w:tcPr>
            <w:tcW w:w="600" w:type="pct"/>
            <w:shd w:val="clear" w:color="auto" w:fill="auto"/>
            <w:vAlign w:val="center"/>
            <w:hideMark/>
          </w:tcPr>
          <w:p w:rsidR="00A628F6" w:rsidRDefault="0079059D" w:rsidP="00032708">
            <w:pPr>
              <w:pStyle w:val="Tabletext"/>
              <w:keepNext/>
              <w:keepLines/>
              <w:jc w:val="center"/>
              <w:rPr>
                <w:b/>
              </w:rPr>
            </w:pPr>
            <w:r w:rsidRPr="001779EA">
              <w:rPr>
                <w:b/>
              </w:rPr>
              <w:t xml:space="preserve">0.80 </w:t>
            </w:r>
          </w:p>
          <w:p w:rsidR="0079059D" w:rsidRPr="001779EA" w:rsidRDefault="0079059D" w:rsidP="00032708">
            <w:pPr>
              <w:pStyle w:val="Tabletext"/>
              <w:keepNext/>
              <w:keepLines/>
              <w:jc w:val="center"/>
              <w:rPr>
                <w:b/>
              </w:rPr>
            </w:pPr>
            <w:r w:rsidRPr="001779EA">
              <w:rPr>
                <w:b/>
              </w:rPr>
              <w:t>(0.68, 0.94)</w:t>
            </w:r>
          </w:p>
        </w:tc>
      </w:tr>
      <w:tr w:rsidR="0079059D" w:rsidRPr="001779EA" w:rsidTr="00280D90">
        <w:tc>
          <w:tcPr>
            <w:tcW w:w="785" w:type="pct"/>
            <w:shd w:val="clear" w:color="auto" w:fill="auto"/>
            <w:vAlign w:val="center"/>
            <w:hideMark/>
          </w:tcPr>
          <w:p w:rsidR="0079059D" w:rsidRPr="001779EA" w:rsidRDefault="0079059D" w:rsidP="00CC67D0">
            <w:pPr>
              <w:pStyle w:val="Tabletext"/>
              <w:keepNext/>
              <w:keepLines/>
            </w:pPr>
            <w:r w:rsidRPr="001779EA">
              <w:t>CONFIRM China</w:t>
            </w:r>
          </w:p>
        </w:tc>
        <w:tc>
          <w:tcPr>
            <w:tcW w:w="629" w:type="pct"/>
            <w:shd w:val="clear" w:color="auto" w:fill="auto"/>
            <w:vAlign w:val="center"/>
            <w:hideMark/>
          </w:tcPr>
          <w:p w:rsidR="0079059D" w:rsidRPr="001779EA" w:rsidRDefault="0079059D" w:rsidP="00032708">
            <w:pPr>
              <w:pStyle w:val="Tabletext"/>
              <w:keepNext/>
              <w:keepLines/>
              <w:jc w:val="center"/>
            </w:pPr>
            <w:r w:rsidRPr="001779EA">
              <w:t>76/111 (68.47)</w:t>
            </w:r>
          </w:p>
        </w:tc>
        <w:tc>
          <w:tcPr>
            <w:tcW w:w="707" w:type="pct"/>
            <w:shd w:val="clear" w:color="auto" w:fill="auto"/>
            <w:vAlign w:val="center"/>
            <w:hideMark/>
          </w:tcPr>
          <w:p w:rsidR="0079059D" w:rsidRPr="001779EA" w:rsidRDefault="0079059D" w:rsidP="00032708">
            <w:pPr>
              <w:pStyle w:val="Tabletext"/>
              <w:keepNext/>
              <w:keepLines/>
              <w:jc w:val="center"/>
            </w:pPr>
            <w:r w:rsidRPr="001779EA">
              <w:t>8.0</w:t>
            </w:r>
          </w:p>
        </w:tc>
        <w:tc>
          <w:tcPr>
            <w:tcW w:w="629" w:type="pct"/>
            <w:shd w:val="clear" w:color="auto" w:fill="auto"/>
            <w:vAlign w:val="center"/>
            <w:hideMark/>
          </w:tcPr>
          <w:p w:rsidR="0079059D" w:rsidRPr="001779EA" w:rsidRDefault="0079059D" w:rsidP="00032708">
            <w:pPr>
              <w:pStyle w:val="Tabletext"/>
              <w:keepNext/>
              <w:keepLines/>
              <w:jc w:val="center"/>
            </w:pPr>
            <w:r w:rsidRPr="001779EA">
              <w:t>76/110 (69.10)</w:t>
            </w:r>
          </w:p>
        </w:tc>
        <w:tc>
          <w:tcPr>
            <w:tcW w:w="713" w:type="pct"/>
            <w:gridSpan w:val="2"/>
            <w:shd w:val="clear" w:color="auto" w:fill="auto"/>
            <w:vAlign w:val="center"/>
            <w:hideMark/>
          </w:tcPr>
          <w:p w:rsidR="0079059D" w:rsidRPr="001779EA" w:rsidRDefault="0079059D" w:rsidP="00032708">
            <w:pPr>
              <w:pStyle w:val="Tabletext"/>
              <w:keepNext/>
              <w:keepLines/>
              <w:jc w:val="center"/>
            </w:pPr>
            <w:r w:rsidRPr="001779EA">
              <w:t>4.0</w:t>
            </w:r>
          </w:p>
        </w:tc>
        <w:tc>
          <w:tcPr>
            <w:tcW w:w="465" w:type="pct"/>
            <w:shd w:val="clear" w:color="auto" w:fill="auto"/>
            <w:vAlign w:val="center"/>
            <w:hideMark/>
          </w:tcPr>
          <w:p w:rsidR="0079059D" w:rsidRPr="001779EA" w:rsidRDefault="0079059D" w:rsidP="00032708">
            <w:pPr>
              <w:pStyle w:val="Tabletext"/>
              <w:keepNext/>
              <w:keepLines/>
              <w:jc w:val="center"/>
            </w:pPr>
            <w:r w:rsidRPr="001779EA">
              <w:t>4.0</w:t>
            </w:r>
          </w:p>
        </w:tc>
        <w:tc>
          <w:tcPr>
            <w:tcW w:w="472" w:type="pct"/>
            <w:shd w:val="clear" w:color="auto" w:fill="auto"/>
            <w:vAlign w:val="center"/>
            <w:hideMark/>
          </w:tcPr>
          <w:p w:rsidR="0079059D" w:rsidRPr="001779EA" w:rsidRDefault="0079059D" w:rsidP="00032708">
            <w:pPr>
              <w:pStyle w:val="Tabletext"/>
              <w:keepNext/>
              <w:keepLines/>
              <w:jc w:val="center"/>
            </w:pPr>
            <w:r w:rsidRPr="001779EA">
              <w:t>0.078</w:t>
            </w:r>
          </w:p>
        </w:tc>
        <w:tc>
          <w:tcPr>
            <w:tcW w:w="600" w:type="pct"/>
            <w:shd w:val="clear" w:color="auto" w:fill="auto"/>
            <w:vAlign w:val="center"/>
            <w:hideMark/>
          </w:tcPr>
          <w:p w:rsidR="00A628F6" w:rsidRDefault="0079059D" w:rsidP="00032708">
            <w:pPr>
              <w:pStyle w:val="Tabletext"/>
              <w:keepNext/>
              <w:keepLines/>
              <w:jc w:val="center"/>
            </w:pPr>
            <w:r w:rsidRPr="001779EA">
              <w:t xml:space="preserve">0.75 </w:t>
            </w:r>
          </w:p>
          <w:p w:rsidR="0079059D" w:rsidRPr="001779EA" w:rsidRDefault="0079059D" w:rsidP="00032708">
            <w:pPr>
              <w:pStyle w:val="Tabletext"/>
              <w:keepNext/>
              <w:keepLines/>
              <w:jc w:val="center"/>
            </w:pPr>
            <w:r w:rsidRPr="001779EA">
              <w:t>(0.54, 1.03)</w:t>
            </w:r>
          </w:p>
        </w:tc>
      </w:tr>
      <w:tr w:rsidR="0079059D" w:rsidRPr="001779EA" w:rsidTr="00280D90">
        <w:tc>
          <w:tcPr>
            <w:tcW w:w="3928" w:type="pct"/>
            <w:gridSpan w:val="7"/>
            <w:shd w:val="clear" w:color="auto" w:fill="auto"/>
          </w:tcPr>
          <w:p w:rsidR="0079059D" w:rsidRPr="001779EA" w:rsidRDefault="0079059D" w:rsidP="00CC67D0">
            <w:pPr>
              <w:pStyle w:val="Tabletext"/>
              <w:keepNext/>
              <w:keepLines/>
            </w:pPr>
            <w:r w:rsidRPr="001779EA">
              <w:rPr>
                <w:lang w:eastAsia="zh-CN"/>
              </w:rPr>
              <w:t>Pooled CONFIRM and CONFIRM China</w:t>
            </w:r>
          </w:p>
        </w:tc>
        <w:tc>
          <w:tcPr>
            <w:tcW w:w="472" w:type="pct"/>
            <w:shd w:val="clear" w:color="auto" w:fill="auto"/>
            <w:vAlign w:val="center"/>
          </w:tcPr>
          <w:p w:rsidR="0079059D" w:rsidRPr="001779EA" w:rsidRDefault="0079059D" w:rsidP="00280D90">
            <w:pPr>
              <w:pStyle w:val="Tabletext"/>
              <w:keepNext/>
              <w:keepLines/>
              <w:jc w:val="center"/>
              <w:rPr>
                <w:b/>
              </w:rPr>
            </w:pPr>
            <w:r w:rsidRPr="001779EA">
              <w:rPr>
                <w:b/>
              </w:rPr>
              <w:t>0.002</w:t>
            </w:r>
          </w:p>
        </w:tc>
        <w:tc>
          <w:tcPr>
            <w:tcW w:w="600" w:type="pct"/>
            <w:shd w:val="clear" w:color="auto" w:fill="auto"/>
            <w:vAlign w:val="center"/>
          </w:tcPr>
          <w:p w:rsidR="00A628F6" w:rsidRDefault="0079059D" w:rsidP="00032708">
            <w:pPr>
              <w:pStyle w:val="Tabletext"/>
              <w:keepNext/>
              <w:keepLines/>
              <w:jc w:val="center"/>
              <w:rPr>
                <w:b/>
              </w:rPr>
            </w:pPr>
            <w:r w:rsidRPr="001779EA">
              <w:rPr>
                <w:b/>
              </w:rPr>
              <w:t xml:space="preserve">0.79 </w:t>
            </w:r>
          </w:p>
          <w:p w:rsidR="0079059D" w:rsidRPr="001779EA" w:rsidRDefault="0079059D" w:rsidP="00032708">
            <w:pPr>
              <w:pStyle w:val="Tabletext"/>
              <w:keepNext/>
              <w:keepLines/>
              <w:jc w:val="center"/>
            </w:pPr>
            <w:r w:rsidRPr="001779EA">
              <w:rPr>
                <w:b/>
              </w:rPr>
              <w:t>(0.68, 0.91)</w:t>
            </w:r>
          </w:p>
        </w:tc>
      </w:tr>
      <w:tr w:rsidR="00446582" w:rsidRPr="001779EA" w:rsidTr="00280D90">
        <w:tc>
          <w:tcPr>
            <w:tcW w:w="785" w:type="pct"/>
            <w:shd w:val="clear" w:color="auto" w:fill="auto"/>
            <w:vAlign w:val="center"/>
          </w:tcPr>
          <w:p w:rsidR="00446582" w:rsidRPr="001779EA" w:rsidRDefault="00446582" w:rsidP="00446582">
            <w:pPr>
              <w:pStyle w:val="Tabletext"/>
              <w:keepNext/>
              <w:keepLines/>
              <w:jc w:val="center"/>
            </w:pPr>
            <w:r w:rsidRPr="001779EA">
              <w:t>FULV250 vs EXE</w:t>
            </w:r>
          </w:p>
        </w:tc>
        <w:tc>
          <w:tcPr>
            <w:tcW w:w="1336" w:type="pct"/>
            <w:gridSpan w:val="2"/>
            <w:shd w:val="clear" w:color="auto" w:fill="auto"/>
            <w:vAlign w:val="center"/>
          </w:tcPr>
          <w:p w:rsidR="00446582" w:rsidRPr="001779EA" w:rsidRDefault="00446582" w:rsidP="00446582">
            <w:pPr>
              <w:pStyle w:val="Tabletext"/>
              <w:keepNext/>
              <w:keepLines/>
              <w:jc w:val="center"/>
            </w:pPr>
            <w:r w:rsidRPr="001779EA">
              <w:t>FULV250</w:t>
            </w:r>
          </w:p>
        </w:tc>
        <w:tc>
          <w:tcPr>
            <w:tcW w:w="1342" w:type="pct"/>
            <w:gridSpan w:val="3"/>
            <w:shd w:val="clear" w:color="auto" w:fill="auto"/>
            <w:vAlign w:val="center"/>
          </w:tcPr>
          <w:p w:rsidR="00446582" w:rsidRPr="001779EA" w:rsidRDefault="00446582" w:rsidP="00446582">
            <w:pPr>
              <w:pStyle w:val="Tabletext"/>
              <w:keepNext/>
              <w:keepLines/>
              <w:jc w:val="center"/>
            </w:pPr>
            <w:r w:rsidRPr="001779EA">
              <w:t>EXE 25mg</w:t>
            </w:r>
          </w:p>
        </w:tc>
        <w:tc>
          <w:tcPr>
            <w:tcW w:w="465" w:type="pct"/>
            <w:shd w:val="clear" w:color="auto" w:fill="auto"/>
            <w:vAlign w:val="center"/>
          </w:tcPr>
          <w:p w:rsidR="00446582" w:rsidRPr="001779EA" w:rsidRDefault="00446582" w:rsidP="00CC67D0">
            <w:pPr>
              <w:pStyle w:val="Tabletext"/>
              <w:keepNext/>
              <w:keepLines/>
            </w:pPr>
          </w:p>
        </w:tc>
        <w:tc>
          <w:tcPr>
            <w:tcW w:w="472" w:type="pct"/>
            <w:shd w:val="clear" w:color="auto" w:fill="auto"/>
            <w:vAlign w:val="center"/>
          </w:tcPr>
          <w:p w:rsidR="00446582" w:rsidRPr="001779EA" w:rsidRDefault="00446582" w:rsidP="00CC67D0">
            <w:pPr>
              <w:pStyle w:val="Tabletext"/>
              <w:keepNext/>
              <w:keepLines/>
            </w:pPr>
          </w:p>
        </w:tc>
        <w:tc>
          <w:tcPr>
            <w:tcW w:w="600" w:type="pct"/>
            <w:shd w:val="clear" w:color="auto" w:fill="auto"/>
            <w:vAlign w:val="center"/>
          </w:tcPr>
          <w:p w:rsidR="00446582" w:rsidRPr="001779EA" w:rsidRDefault="00446582" w:rsidP="00032708">
            <w:pPr>
              <w:pStyle w:val="Tabletext"/>
              <w:keepNext/>
              <w:keepLines/>
              <w:jc w:val="center"/>
            </w:pPr>
          </w:p>
        </w:tc>
      </w:tr>
      <w:tr w:rsidR="0079059D" w:rsidRPr="001779EA" w:rsidTr="00280D90">
        <w:tc>
          <w:tcPr>
            <w:tcW w:w="785" w:type="pct"/>
            <w:shd w:val="clear" w:color="auto" w:fill="auto"/>
            <w:vAlign w:val="center"/>
            <w:hideMark/>
          </w:tcPr>
          <w:p w:rsidR="0079059D" w:rsidRPr="001779EA" w:rsidRDefault="0079059D" w:rsidP="00CC67D0">
            <w:pPr>
              <w:pStyle w:val="Tabletext"/>
              <w:keepNext/>
              <w:keepLines/>
            </w:pPr>
            <w:r w:rsidRPr="001779EA">
              <w:t>EFECT</w:t>
            </w:r>
          </w:p>
        </w:tc>
        <w:tc>
          <w:tcPr>
            <w:tcW w:w="629" w:type="pct"/>
            <w:shd w:val="clear" w:color="auto" w:fill="auto"/>
            <w:vAlign w:val="center"/>
            <w:hideMark/>
          </w:tcPr>
          <w:p w:rsidR="0079059D" w:rsidRPr="001779EA" w:rsidRDefault="0079059D" w:rsidP="00032708">
            <w:pPr>
              <w:pStyle w:val="Tabletext"/>
              <w:keepNext/>
              <w:keepLines/>
              <w:jc w:val="center"/>
            </w:pPr>
            <w:r w:rsidRPr="001779EA">
              <w:t>288/ (82.1)</w:t>
            </w:r>
          </w:p>
        </w:tc>
        <w:tc>
          <w:tcPr>
            <w:tcW w:w="707" w:type="pct"/>
            <w:shd w:val="clear" w:color="auto" w:fill="auto"/>
            <w:vAlign w:val="center"/>
            <w:hideMark/>
          </w:tcPr>
          <w:p w:rsidR="0079059D" w:rsidRPr="001779EA" w:rsidRDefault="0079059D" w:rsidP="00032708">
            <w:pPr>
              <w:pStyle w:val="Tabletext"/>
              <w:keepNext/>
              <w:keepLines/>
              <w:jc w:val="center"/>
              <w:rPr>
                <w:vertAlign w:val="superscript"/>
              </w:rPr>
            </w:pPr>
            <w:r w:rsidRPr="001779EA">
              <w:t>3.68 (NR)</w:t>
            </w:r>
            <w:r w:rsidRPr="001779EA">
              <w:rPr>
                <w:vertAlign w:val="superscript"/>
              </w:rPr>
              <w:t>a</w:t>
            </w:r>
          </w:p>
        </w:tc>
        <w:tc>
          <w:tcPr>
            <w:tcW w:w="629" w:type="pct"/>
            <w:shd w:val="clear" w:color="auto" w:fill="auto"/>
            <w:vAlign w:val="center"/>
            <w:hideMark/>
          </w:tcPr>
          <w:p w:rsidR="0079059D" w:rsidRPr="001779EA" w:rsidRDefault="0079059D" w:rsidP="00032708">
            <w:pPr>
              <w:pStyle w:val="Tabletext"/>
              <w:keepNext/>
              <w:keepLines/>
              <w:jc w:val="center"/>
            </w:pPr>
            <w:r w:rsidRPr="001779EA">
              <w:t>299/ (87.4)</w:t>
            </w:r>
          </w:p>
        </w:tc>
        <w:tc>
          <w:tcPr>
            <w:tcW w:w="713" w:type="pct"/>
            <w:gridSpan w:val="2"/>
            <w:shd w:val="clear" w:color="auto" w:fill="auto"/>
            <w:vAlign w:val="center"/>
            <w:hideMark/>
          </w:tcPr>
          <w:p w:rsidR="0079059D" w:rsidRPr="001779EA" w:rsidRDefault="0079059D" w:rsidP="00032708">
            <w:pPr>
              <w:pStyle w:val="Tabletext"/>
              <w:keepNext/>
              <w:keepLines/>
              <w:jc w:val="center"/>
            </w:pPr>
            <w:r w:rsidRPr="001779EA">
              <w:t>3.68 (NR)</w:t>
            </w:r>
            <w:r w:rsidRPr="001779EA">
              <w:rPr>
                <w:vertAlign w:val="superscript"/>
              </w:rPr>
              <w:t>a</w:t>
            </w:r>
          </w:p>
        </w:tc>
        <w:tc>
          <w:tcPr>
            <w:tcW w:w="465" w:type="pct"/>
            <w:shd w:val="clear" w:color="auto" w:fill="auto"/>
            <w:vAlign w:val="center"/>
            <w:hideMark/>
          </w:tcPr>
          <w:p w:rsidR="0079059D" w:rsidRPr="001779EA" w:rsidRDefault="0079059D" w:rsidP="00032708">
            <w:pPr>
              <w:pStyle w:val="Tabletext"/>
              <w:keepNext/>
              <w:keepLines/>
              <w:jc w:val="center"/>
            </w:pPr>
            <w:r w:rsidRPr="001779EA">
              <w:t>0</w:t>
            </w:r>
          </w:p>
        </w:tc>
        <w:tc>
          <w:tcPr>
            <w:tcW w:w="472" w:type="pct"/>
            <w:shd w:val="clear" w:color="auto" w:fill="auto"/>
            <w:vAlign w:val="center"/>
          </w:tcPr>
          <w:p w:rsidR="0079059D" w:rsidRPr="001779EA" w:rsidRDefault="0079059D" w:rsidP="00032708">
            <w:pPr>
              <w:pStyle w:val="Tabletext"/>
              <w:keepNext/>
              <w:keepLines/>
              <w:jc w:val="center"/>
            </w:pPr>
            <w:r w:rsidRPr="001779EA">
              <w:t>0.653</w:t>
            </w:r>
          </w:p>
        </w:tc>
        <w:tc>
          <w:tcPr>
            <w:tcW w:w="600" w:type="pct"/>
            <w:shd w:val="clear" w:color="auto" w:fill="auto"/>
            <w:vAlign w:val="center"/>
          </w:tcPr>
          <w:p w:rsidR="00A628F6" w:rsidRDefault="0079059D" w:rsidP="00032708">
            <w:pPr>
              <w:pStyle w:val="Tabletext"/>
              <w:keepNext/>
              <w:keepLines/>
              <w:jc w:val="center"/>
            </w:pPr>
            <w:r w:rsidRPr="001779EA">
              <w:t xml:space="preserve">0.96 </w:t>
            </w:r>
          </w:p>
          <w:p w:rsidR="0079059D" w:rsidRPr="001779EA" w:rsidRDefault="0079059D" w:rsidP="00032708">
            <w:pPr>
              <w:pStyle w:val="Tabletext"/>
              <w:keepNext/>
              <w:keepLines/>
              <w:jc w:val="center"/>
            </w:pPr>
            <w:r w:rsidRPr="001779EA">
              <w:t>(0.82, 1.13)</w:t>
            </w:r>
          </w:p>
        </w:tc>
      </w:tr>
      <w:tr w:rsidR="0079059D" w:rsidRPr="001779EA" w:rsidTr="00280D90">
        <w:tc>
          <w:tcPr>
            <w:tcW w:w="785" w:type="pct"/>
            <w:shd w:val="clear" w:color="auto" w:fill="auto"/>
            <w:vAlign w:val="center"/>
          </w:tcPr>
          <w:p w:rsidR="0079059D" w:rsidRPr="001779EA" w:rsidRDefault="0079059D" w:rsidP="00CC67D0">
            <w:pPr>
              <w:pStyle w:val="Tabletext"/>
              <w:keepNext/>
              <w:keepLines/>
            </w:pPr>
            <w:r w:rsidRPr="001779EA">
              <w:t>SoFEA</w:t>
            </w:r>
          </w:p>
        </w:tc>
        <w:tc>
          <w:tcPr>
            <w:tcW w:w="629" w:type="pct"/>
            <w:shd w:val="clear" w:color="auto" w:fill="auto"/>
            <w:vAlign w:val="center"/>
          </w:tcPr>
          <w:p w:rsidR="0079059D" w:rsidRPr="001779EA" w:rsidRDefault="0079059D" w:rsidP="00032708">
            <w:pPr>
              <w:pStyle w:val="Tabletext"/>
              <w:keepNext/>
              <w:keepLines/>
              <w:jc w:val="center"/>
            </w:pPr>
            <w:r w:rsidRPr="001779EA">
              <w:t>221/231</w:t>
            </w:r>
          </w:p>
        </w:tc>
        <w:tc>
          <w:tcPr>
            <w:tcW w:w="707" w:type="pct"/>
            <w:shd w:val="clear" w:color="auto" w:fill="auto"/>
            <w:vAlign w:val="center"/>
          </w:tcPr>
          <w:p w:rsidR="0079059D" w:rsidRPr="001779EA" w:rsidRDefault="0079059D" w:rsidP="00032708">
            <w:pPr>
              <w:pStyle w:val="Tabletext"/>
              <w:keepNext/>
              <w:keepLines/>
              <w:jc w:val="center"/>
            </w:pPr>
            <w:r w:rsidRPr="001779EA">
              <w:t>4.8 (3.6, 5.5)</w:t>
            </w:r>
          </w:p>
        </w:tc>
        <w:tc>
          <w:tcPr>
            <w:tcW w:w="629" w:type="pct"/>
            <w:shd w:val="clear" w:color="auto" w:fill="auto"/>
            <w:vAlign w:val="center"/>
          </w:tcPr>
          <w:p w:rsidR="0079059D" w:rsidRPr="001779EA" w:rsidRDefault="0079059D" w:rsidP="00032708">
            <w:pPr>
              <w:pStyle w:val="Tabletext"/>
              <w:keepNext/>
              <w:keepLines/>
              <w:jc w:val="center"/>
            </w:pPr>
            <w:r w:rsidRPr="001779EA">
              <w:t>233/249</w:t>
            </w:r>
          </w:p>
        </w:tc>
        <w:tc>
          <w:tcPr>
            <w:tcW w:w="713" w:type="pct"/>
            <w:gridSpan w:val="2"/>
            <w:shd w:val="clear" w:color="auto" w:fill="auto"/>
            <w:vAlign w:val="center"/>
          </w:tcPr>
          <w:p w:rsidR="0079059D" w:rsidRPr="001779EA" w:rsidRDefault="0079059D" w:rsidP="00032708">
            <w:pPr>
              <w:pStyle w:val="Tabletext"/>
              <w:keepNext/>
              <w:keepLines/>
              <w:jc w:val="center"/>
            </w:pPr>
            <w:r w:rsidRPr="001779EA">
              <w:t>3.4 (3.0, 4.6)</w:t>
            </w:r>
          </w:p>
        </w:tc>
        <w:tc>
          <w:tcPr>
            <w:tcW w:w="465" w:type="pct"/>
            <w:shd w:val="clear" w:color="auto" w:fill="auto"/>
            <w:vAlign w:val="center"/>
          </w:tcPr>
          <w:p w:rsidR="0079059D" w:rsidRPr="001779EA" w:rsidRDefault="0079059D" w:rsidP="00032708">
            <w:pPr>
              <w:pStyle w:val="Tabletext"/>
              <w:keepNext/>
              <w:keepLines/>
              <w:jc w:val="center"/>
            </w:pPr>
            <w:r w:rsidRPr="001779EA">
              <w:t>1.4</w:t>
            </w:r>
          </w:p>
        </w:tc>
        <w:tc>
          <w:tcPr>
            <w:tcW w:w="472" w:type="pct"/>
            <w:shd w:val="clear" w:color="auto" w:fill="auto"/>
            <w:vAlign w:val="center"/>
          </w:tcPr>
          <w:p w:rsidR="0079059D" w:rsidRPr="001779EA" w:rsidRDefault="0079059D" w:rsidP="00032708">
            <w:pPr>
              <w:pStyle w:val="Tabletext"/>
              <w:keepNext/>
              <w:keepLines/>
              <w:jc w:val="center"/>
            </w:pPr>
            <w:r w:rsidRPr="001779EA">
              <w:t>0.56</w:t>
            </w:r>
          </w:p>
        </w:tc>
        <w:tc>
          <w:tcPr>
            <w:tcW w:w="600" w:type="pct"/>
            <w:shd w:val="clear" w:color="auto" w:fill="auto"/>
            <w:vAlign w:val="center"/>
          </w:tcPr>
          <w:p w:rsidR="00A628F6" w:rsidRDefault="0079059D" w:rsidP="00032708">
            <w:pPr>
              <w:pStyle w:val="Tabletext"/>
              <w:keepNext/>
              <w:keepLines/>
              <w:jc w:val="center"/>
            </w:pPr>
            <w:r w:rsidRPr="001779EA">
              <w:t xml:space="preserve">0.95 </w:t>
            </w:r>
          </w:p>
          <w:p w:rsidR="0079059D" w:rsidRPr="001779EA" w:rsidRDefault="0079059D" w:rsidP="00032708">
            <w:pPr>
              <w:pStyle w:val="Tabletext"/>
              <w:keepNext/>
              <w:keepLines/>
              <w:jc w:val="center"/>
            </w:pPr>
            <w:r w:rsidRPr="001779EA">
              <w:t>(0.79, 1.14)</w:t>
            </w:r>
          </w:p>
        </w:tc>
      </w:tr>
      <w:bookmarkEnd w:id="38"/>
      <w:tr w:rsidR="0079059D" w:rsidRPr="001779EA" w:rsidTr="00280D90">
        <w:tc>
          <w:tcPr>
            <w:tcW w:w="3928" w:type="pct"/>
            <w:gridSpan w:val="7"/>
            <w:shd w:val="clear" w:color="auto" w:fill="auto"/>
          </w:tcPr>
          <w:p w:rsidR="0079059D" w:rsidRPr="001779EA" w:rsidRDefault="0079059D" w:rsidP="00CC67D0">
            <w:pPr>
              <w:pStyle w:val="Tabletext"/>
              <w:keepNext/>
              <w:keepLines/>
            </w:pPr>
            <w:r w:rsidRPr="001779EA">
              <w:rPr>
                <w:lang w:eastAsia="zh-CN"/>
              </w:rPr>
              <w:t>Pooled EFECT and SoFEA</w:t>
            </w:r>
          </w:p>
        </w:tc>
        <w:tc>
          <w:tcPr>
            <w:tcW w:w="472" w:type="pct"/>
            <w:shd w:val="clear" w:color="auto" w:fill="auto"/>
            <w:vAlign w:val="center"/>
          </w:tcPr>
          <w:p w:rsidR="0079059D" w:rsidRPr="001779EA" w:rsidRDefault="0079059D" w:rsidP="00280D90">
            <w:pPr>
              <w:pStyle w:val="Tabletext"/>
              <w:keepNext/>
              <w:keepLines/>
              <w:jc w:val="center"/>
            </w:pPr>
            <w:r w:rsidRPr="001779EA">
              <w:t>0.48</w:t>
            </w:r>
          </w:p>
        </w:tc>
        <w:tc>
          <w:tcPr>
            <w:tcW w:w="600" w:type="pct"/>
            <w:shd w:val="clear" w:color="auto" w:fill="auto"/>
            <w:vAlign w:val="center"/>
          </w:tcPr>
          <w:p w:rsidR="00A628F6" w:rsidRDefault="0079059D" w:rsidP="00032708">
            <w:pPr>
              <w:pStyle w:val="Tabletext"/>
              <w:keepNext/>
              <w:keepLines/>
              <w:jc w:val="center"/>
            </w:pPr>
            <w:r w:rsidRPr="001779EA">
              <w:t xml:space="preserve">0.96 </w:t>
            </w:r>
          </w:p>
          <w:p w:rsidR="0079059D" w:rsidRPr="001779EA" w:rsidRDefault="0079059D" w:rsidP="00032708">
            <w:pPr>
              <w:pStyle w:val="Tabletext"/>
              <w:keepNext/>
              <w:keepLines/>
              <w:jc w:val="center"/>
            </w:pPr>
            <w:r w:rsidRPr="001779EA">
              <w:t>(0.85, 1.08)</w:t>
            </w:r>
          </w:p>
        </w:tc>
      </w:tr>
      <w:tr w:rsidR="00446582" w:rsidRPr="001779EA" w:rsidTr="00280D90">
        <w:tc>
          <w:tcPr>
            <w:tcW w:w="785" w:type="pct"/>
            <w:shd w:val="clear" w:color="auto" w:fill="auto"/>
            <w:vAlign w:val="center"/>
          </w:tcPr>
          <w:p w:rsidR="00446582" w:rsidRPr="001779EA" w:rsidRDefault="00446582" w:rsidP="00446582">
            <w:pPr>
              <w:pStyle w:val="Tabletext"/>
              <w:keepNext/>
              <w:keepLines/>
              <w:jc w:val="center"/>
            </w:pPr>
            <w:r w:rsidRPr="001779EA">
              <w:t>EVE+EXE vs EXE</w:t>
            </w:r>
          </w:p>
        </w:tc>
        <w:tc>
          <w:tcPr>
            <w:tcW w:w="1336" w:type="pct"/>
            <w:gridSpan w:val="2"/>
            <w:shd w:val="clear" w:color="auto" w:fill="auto"/>
            <w:vAlign w:val="center"/>
          </w:tcPr>
          <w:p w:rsidR="00446582" w:rsidRPr="001779EA" w:rsidRDefault="00446582" w:rsidP="00446582">
            <w:pPr>
              <w:pStyle w:val="Tabletext"/>
              <w:keepNext/>
              <w:keepLines/>
              <w:jc w:val="center"/>
            </w:pPr>
            <w:r w:rsidRPr="001779EA">
              <w:t>EVE 10mg + EXE 25mg</w:t>
            </w:r>
          </w:p>
        </w:tc>
        <w:tc>
          <w:tcPr>
            <w:tcW w:w="1342" w:type="pct"/>
            <w:gridSpan w:val="3"/>
            <w:shd w:val="clear" w:color="auto" w:fill="auto"/>
            <w:vAlign w:val="center"/>
          </w:tcPr>
          <w:p w:rsidR="00446582" w:rsidRPr="001779EA" w:rsidRDefault="00446582" w:rsidP="00446582">
            <w:pPr>
              <w:pStyle w:val="Tabletext"/>
              <w:keepNext/>
              <w:keepLines/>
              <w:jc w:val="center"/>
            </w:pPr>
            <w:r w:rsidRPr="001779EA">
              <w:t>EXE 25mg</w:t>
            </w:r>
          </w:p>
        </w:tc>
        <w:tc>
          <w:tcPr>
            <w:tcW w:w="465" w:type="pct"/>
            <w:shd w:val="clear" w:color="auto" w:fill="auto"/>
            <w:vAlign w:val="center"/>
          </w:tcPr>
          <w:p w:rsidR="00446582" w:rsidRPr="001779EA" w:rsidRDefault="00446582" w:rsidP="00CC67D0">
            <w:pPr>
              <w:pStyle w:val="Tabletext"/>
              <w:keepNext/>
              <w:keepLines/>
            </w:pPr>
          </w:p>
        </w:tc>
        <w:tc>
          <w:tcPr>
            <w:tcW w:w="472" w:type="pct"/>
            <w:shd w:val="clear" w:color="auto" w:fill="auto"/>
            <w:vAlign w:val="center"/>
          </w:tcPr>
          <w:p w:rsidR="00446582" w:rsidRPr="001779EA" w:rsidRDefault="00446582" w:rsidP="00CC67D0">
            <w:pPr>
              <w:pStyle w:val="Tabletext"/>
              <w:keepNext/>
              <w:keepLines/>
            </w:pPr>
          </w:p>
        </w:tc>
        <w:tc>
          <w:tcPr>
            <w:tcW w:w="600" w:type="pct"/>
            <w:shd w:val="clear" w:color="auto" w:fill="auto"/>
            <w:vAlign w:val="center"/>
          </w:tcPr>
          <w:p w:rsidR="00446582" w:rsidRPr="001779EA" w:rsidRDefault="00446582" w:rsidP="00032708">
            <w:pPr>
              <w:pStyle w:val="Tabletext"/>
              <w:keepNext/>
              <w:keepLines/>
              <w:jc w:val="center"/>
            </w:pPr>
          </w:p>
        </w:tc>
      </w:tr>
      <w:tr w:rsidR="0079059D" w:rsidRPr="001779EA" w:rsidTr="00280D90">
        <w:tc>
          <w:tcPr>
            <w:tcW w:w="785" w:type="pct"/>
            <w:tcBorders>
              <w:bottom w:val="single" w:sz="4" w:space="0" w:color="auto"/>
            </w:tcBorders>
            <w:shd w:val="clear" w:color="auto" w:fill="auto"/>
            <w:vAlign w:val="center"/>
          </w:tcPr>
          <w:p w:rsidR="0079059D" w:rsidRPr="001779EA" w:rsidRDefault="0079059D" w:rsidP="00CC67D0">
            <w:pPr>
              <w:pStyle w:val="Tabletext"/>
              <w:keepNext/>
              <w:keepLines/>
            </w:pPr>
            <w:r w:rsidRPr="001779EA">
              <w:t>BOLERO-2</w:t>
            </w:r>
          </w:p>
        </w:tc>
        <w:tc>
          <w:tcPr>
            <w:tcW w:w="629" w:type="pct"/>
            <w:tcBorders>
              <w:bottom w:val="single" w:sz="4" w:space="0" w:color="auto"/>
            </w:tcBorders>
            <w:shd w:val="clear" w:color="auto" w:fill="auto"/>
            <w:vAlign w:val="center"/>
          </w:tcPr>
          <w:p w:rsidR="0079059D" w:rsidRPr="001779EA" w:rsidRDefault="0079059D" w:rsidP="00032708">
            <w:pPr>
              <w:pStyle w:val="Tabletext"/>
              <w:keepNext/>
              <w:keepLines/>
              <w:jc w:val="center"/>
            </w:pPr>
            <w:r w:rsidRPr="001779EA">
              <w:t>310/485 (63.9)</w:t>
            </w:r>
          </w:p>
        </w:tc>
        <w:tc>
          <w:tcPr>
            <w:tcW w:w="707" w:type="pct"/>
            <w:tcBorders>
              <w:bottom w:val="single" w:sz="4" w:space="0" w:color="auto"/>
            </w:tcBorders>
            <w:shd w:val="clear" w:color="auto" w:fill="auto"/>
            <w:vAlign w:val="center"/>
          </w:tcPr>
          <w:p w:rsidR="0079059D" w:rsidRPr="001779EA" w:rsidRDefault="0079059D" w:rsidP="00032708">
            <w:pPr>
              <w:pStyle w:val="Tabletext"/>
              <w:keepNext/>
              <w:keepLines/>
              <w:jc w:val="center"/>
            </w:pPr>
            <w:r w:rsidRPr="001779EA">
              <w:t>7.82 (6.93, 8.48)</w:t>
            </w:r>
          </w:p>
        </w:tc>
        <w:tc>
          <w:tcPr>
            <w:tcW w:w="629" w:type="pct"/>
            <w:tcBorders>
              <w:bottom w:val="single" w:sz="4" w:space="0" w:color="auto"/>
            </w:tcBorders>
            <w:shd w:val="clear" w:color="auto" w:fill="auto"/>
            <w:vAlign w:val="center"/>
          </w:tcPr>
          <w:p w:rsidR="0079059D" w:rsidRPr="001779EA" w:rsidRDefault="0079059D" w:rsidP="00032708">
            <w:pPr>
              <w:pStyle w:val="Tabletext"/>
              <w:keepNext/>
              <w:keepLines/>
              <w:jc w:val="center"/>
            </w:pPr>
            <w:r w:rsidRPr="001779EA">
              <w:t>200/239 (83.7)</w:t>
            </w:r>
          </w:p>
        </w:tc>
        <w:tc>
          <w:tcPr>
            <w:tcW w:w="713" w:type="pct"/>
            <w:gridSpan w:val="2"/>
            <w:tcBorders>
              <w:bottom w:val="single" w:sz="4" w:space="0" w:color="auto"/>
            </w:tcBorders>
            <w:shd w:val="clear" w:color="auto" w:fill="auto"/>
            <w:vAlign w:val="center"/>
          </w:tcPr>
          <w:p w:rsidR="0079059D" w:rsidRPr="001779EA" w:rsidRDefault="0079059D" w:rsidP="00032708">
            <w:pPr>
              <w:pStyle w:val="Tabletext"/>
              <w:keepNext/>
              <w:keepLines/>
              <w:jc w:val="center"/>
            </w:pPr>
            <w:r w:rsidRPr="001779EA">
              <w:t>3.19 (2.76, 4.14)</w:t>
            </w:r>
          </w:p>
        </w:tc>
        <w:tc>
          <w:tcPr>
            <w:tcW w:w="465" w:type="pct"/>
            <w:tcBorders>
              <w:bottom w:val="single" w:sz="4" w:space="0" w:color="auto"/>
            </w:tcBorders>
            <w:shd w:val="clear" w:color="auto" w:fill="auto"/>
            <w:vAlign w:val="center"/>
          </w:tcPr>
          <w:p w:rsidR="0079059D" w:rsidRPr="001779EA" w:rsidRDefault="0079059D" w:rsidP="00032708">
            <w:pPr>
              <w:pStyle w:val="Tabletext"/>
              <w:keepNext/>
              <w:keepLines/>
              <w:jc w:val="center"/>
            </w:pPr>
            <w:r w:rsidRPr="001779EA">
              <w:t>4.63</w:t>
            </w:r>
          </w:p>
        </w:tc>
        <w:tc>
          <w:tcPr>
            <w:tcW w:w="472" w:type="pct"/>
            <w:tcBorders>
              <w:bottom w:val="single" w:sz="4" w:space="0" w:color="auto"/>
            </w:tcBorders>
            <w:shd w:val="clear" w:color="auto" w:fill="auto"/>
            <w:vAlign w:val="center"/>
          </w:tcPr>
          <w:p w:rsidR="0079059D" w:rsidRPr="001779EA" w:rsidRDefault="0079059D" w:rsidP="00032708">
            <w:pPr>
              <w:pStyle w:val="Tabletext"/>
              <w:keepNext/>
              <w:keepLines/>
              <w:jc w:val="center"/>
              <w:rPr>
                <w:b/>
              </w:rPr>
            </w:pPr>
            <w:r w:rsidRPr="001779EA">
              <w:rPr>
                <w:b/>
              </w:rPr>
              <w:t>&lt;0.0001</w:t>
            </w:r>
          </w:p>
        </w:tc>
        <w:tc>
          <w:tcPr>
            <w:tcW w:w="600" w:type="pct"/>
            <w:tcBorders>
              <w:bottom w:val="single" w:sz="4" w:space="0" w:color="auto"/>
            </w:tcBorders>
            <w:shd w:val="clear" w:color="auto" w:fill="auto"/>
            <w:vAlign w:val="center"/>
          </w:tcPr>
          <w:p w:rsidR="00A628F6" w:rsidRDefault="0079059D" w:rsidP="00032708">
            <w:pPr>
              <w:pStyle w:val="Tabletext"/>
              <w:keepNext/>
              <w:keepLines/>
              <w:jc w:val="center"/>
              <w:rPr>
                <w:b/>
              </w:rPr>
            </w:pPr>
            <w:r w:rsidRPr="001779EA">
              <w:rPr>
                <w:b/>
              </w:rPr>
              <w:t xml:space="preserve">0.45 </w:t>
            </w:r>
          </w:p>
          <w:p w:rsidR="0079059D" w:rsidRPr="001779EA" w:rsidRDefault="0079059D" w:rsidP="00032708">
            <w:pPr>
              <w:pStyle w:val="Tabletext"/>
              <w:keepNext/>
              <w:keepLines/>
              <w:jc w:val="center"/>
              <w:rPr>
                <w:b/>
              </w:rPr>
            </w:pPr>
            <w:r w:rsidRPr="001779EA">
              <w:rPr>
                <w:b/>
              </w:rPr>
              <w:t>(0.38, 0.54)</w:t>
            </w:r>
          </w:p>
        </w:tc>
      </w:tr>
      <w:tr w:rsidR="0079059D" w:rsidRPr="001779EA" w:rsidTr="00280D90">
        <w:tc>
          <w:tcPr>
            <w:tcW w:w="785" w:type="pct"/>
            <w:tcBorders>
              <w:right w:val="nil"/>
            </w:tcBorders>
            <w:shd w:val="clear" w:color="auto" w:fill="auto"/>
            <w:vAlign w:val="center"/>
          </w:tcPr>
          <w:p w:rsidR="0079059D" w:rsidRPr="001779EA" w:rsidRDefault="0079059D" w:rsidP="00CC67D0">
            <w:pPr>
              <w:pStyle w:val="Tabletext"/>
              <w:keepNext/>
              <w:keepLines/>
              <w:rPr>
                <w:b/>
              </w:rPr>
            </w:pPr>
            <w:r w:rsidRPr="001779EA">
              <w:rPr>
                <w:b/>
              </w:rPr>
              <w:t>OS</w:t>
            </w:r>
          </w:p>
        </w:tc>
        <w:tc>
          <w:tcPr>
            <w:tcW w:w="629" w:type="pct"/>
            <w:tcBorders>
              <w:left w:val="nil"/>
              <w:right w:val="nil"/>
            </w:tcBorders>
            <w:shd w:val="clear" w:color="auto" w:fill="auto"/>
            <w:vAlign w:val="center"/>
          </w:tcPr>
          <w:p w:rsidR="0079059D" w:rsidRPr="001779EA" w:rsidRDefault="0079059D" w:rsidP="00CC67D0">
            <w:pPr>
              <w:pStyle w:val="Tabletext"/>
              <w:keepNext/>
              <w:keepLines/>
            </w:pPr>
          </w:p>
        </w:tc>
        <w:tc>
          <w:tcPr>
            <w:tcW w:w="707" w:type="pct"/>
            <w:tcBorders>
              <w:left w:val="nil"/>
              <w:right w:val="nil"/>
            </w:tcBorders>
            <w:shd w:val="clear" w:color="auto" w:fill="auto"/>
            <w:vAlign w:val="center"/>
          </w:tcPr>
          <w:p w:rsidR="0079059D" w:rsidRPr="001779EA" w:rsidRDefault="0079059D" w:rsidP="00CC67D0">
            <w:pPr>
              <w:pStyle w:val="Tabletext"/>
              <w:keepNext/>
              <w:keepLines/>
            </w:pPr>
          </w:p>
        </w:tc>
        <w:tc>
          <w:tcPr>
            <w:tcW w:w="629" w:type="pct"/>
            <w:tcBorders>
              <w:left w:val="nil"/>
              <w:right w:val="nil"/>
            </w:tcBorders>
            <w:shd w:val="clear" w:color="auto" w:fill="auto"/>
            <w:vAlign w:val="center"/>
          </w:tcPr>
          <w:p w:rsidR="0079059D" w:rsidRPr="001779EA" w:rsidRDefault="0079059D" w:rsidP="00CC67D0">
            <w:pPr>
              <w:pStyle w:val="Tabletext"/>
              <w:keepNext/>
              <w:keepLines/>
            </w:pPr>
          </w:p>
        </w:tc>
        <w:tc>
          <w:tcPr>
            <w:tcW w:w="713" w:type="pct"/>
            <w:gridSpan w:val="2"/>
            <w:tcBorders>
              <w:left w:val="nil"/>
              <w:right w:val="nil"/>
            </w:tcBorders>
            <w:shd w:val="clear" w:color="auto" w:fill="auto"/>
            <w:vAlign w:val="center"/>
          </w:tcPr>
          <w:p w:rsidR="0079059D" w:rsidRPr="001779EA" w:rsidRDefault="0079059D" w:rsidP="00CC67D0">
            <w:pPr>
              <w:pStyle w:val="Tabletext"/>
              <w:keepNext/>
              <w:keepLines/>
            </w:pPr>
          </w:p>
        </w:tc>
        <w:tc>
          <w:tcPr>
            <w:tcW w:w="465" w:type="pct"/>
            <w:tcBorders>
              <w:left w:val="nil"/>
              <w:right w:val="nil"/>
            </w:tcBorders>
            <w:shd w:val="clear" w:color="auto" w:fill="auto"/>
            <w:vAlign w:val="center"/>
          </w:tcPr>
          <w:p w:rsidR="0079059D" w:rsidRPr="001779EA" w:rsidRDefault="0079059D" w:rsidP="00CC67D0">
            <w:pPr>
              <w:pStyle w:val="Tabletext"/>
              <w:keepNext/>
              <w:keepLines/>
            </w:pPr>
          </w:p>
        </w:tc>
        <w:tc>
          <w:tcPr>
            <w:tcW w:w="472" w:type="pct"/>
            <w:tcBorders>
              <w:left w:val="nil"/>
              <w:right w:val="nil"/>
            </w:tcBorders>
            <w:shd w:val="clear" w:color="auto" w:fill="auto"/>
            <w:vAlign w:val="center"/>
          </w:tcPr>
          <w:p w:rsidR="0079059D" w:rsidRPr="001779EA" w:rsidRDefault="0079059D" w:rsidP="00CC67D0">
            <w:pPr>
              <w:pStyle w:val="Tabletext"/>
              <w:keepNext/>
              <w:keepLines/>
              <w:rPr>
                <w:b/>
              </w:rPr>
            </w:pPr>
          </w:p>
        </w:tc>
        <w:tc>
          <w:tcPr>
            <w:tcW w:w="600" w:type="pct"/>
            <w:tcBorders>
              <w:left w:val="nil"/>
            </w:tcBorders>
            <w:shd w:val="clear" w:color="auto" w:fill="auto"/>
            <w:vAlign w:val="center"/>
          </w:tcPr>
          <w:p w:rsidR="0079059D" w:rsidRPr="001779EA" w:rsidRDefault="0079059D" w:rsidP="00CC67D0">
            <w:pPr>
              <w:pStyle w:val="Tabletext"/>
              <w:keepNext/>
              <w:keepLines/>
              <w:rPr>
                <w:b/>
              </w:rPr>
            </w:pPr>
          </w:p>
        </w:tc>
      </w:tr>
      <w:tr w:rsidR="00446582" w:rsidRPr="001779EA" w:rsidTr="00280D90">
        <w:tc>
          <w:tcPr>
            <w:tcW w:w="785" w:type="pct"/>
            <w:shd w:val="clear" w:color="auto" w:fill="auto"/>
            <w:vAlign w:val="center"/>
          </w:tcPr>
          <w:p w:rsidR="00446582" w:rsidRPr="001779EA" w:rsidRDefault="00446582" w:rsidP="00446582">
            <w:pPr>
              <w:pStyle w:val="Tabletext"/>
              <w:keepNext/>
              <w:keepLines/>
              <w:jc w:val="center"/>
            </w:pPr>
            <w:r w:rsidRPr="001779EA">
              <w:t>FULV500 vs FULV250</w:t>
            </w:r>
          </w:p>
        </w:tc>
        <w:tc>
          <w:tcPr>
            <w:tcW w:w="1336" w:type="pct"/>
            <w:gridSpan w:val="2"/>
            <w:shd w:val="clear" w:color="auto" w:fill="auto"/>
            <w:vAlign w:val="center"/>
          </w:tcPr>
          <w:p w:rsidR="00446582" w:rsidRPr="001779EA" w:rsidRDefault="00446582" w:rsidP="00446582">
            <w:pPr>
              <w:pStyle w:val="Tabletext"/>
              <w:keepNext/>
              <w:keepLines/>
              <w:jc w:val="center"/>
            </w:pPr>
            <w:r w:rsidRPr="001779EA">
              <w:t>FULV500</w:t>
            </w:r>
          </w:p>
        </w:tc>
        <w:tc>
          <w:tcPr>
            <w:tcW w:w="1335" w:type="pct"/>
            <w:gridSpan w:val="2"/>
            <w:shd w:val="clear" w:color="auto" w:fill="auto"/>
            <w:vAlign w:val="center"/>
          </w:tcPr>
          <w:p w:rsidR="00446582" w:rsidRPr="001779EA" w:rsidRDefault="00446582" w:rsidP="00446582">
            <w:pPr>
              <w:pStyle w:val="Tabletext"/>
              <w:keepNext/>
              <w:keepLines/>
              <w:jc w:val="center"/>
            </w:pPr>
            <w:r w:rsidRPr="001779EA">
              <w:t>FULV250</w:t>
            </w:r>
          </w:p>
        </w:tc>
        <w:tc>
          <w:tcPr>
            <w:tcW w:w="472" w:type="pct"/>
            <w:gridSpan w:val="2"/>
            <w:shd w:val="clear" w:color="auto" w:fill="auto"/>
            <w:vAlign w:val="center"/>
          </w:tcPr>
          <w:p w:rsidR="00446582" w:rsidRPr="001779EA" w:rsidRDefault="00446582" w:rsidP="00446582">
            <w:pPr>
              <w:pStyle w:val="Tabletext"/>
              <w:keepNext/>
              <w:keepLines/>
            </w:pPr>
          </w:p>
        </w:tc>
        <w:tc>
          <w:tcPr>
            <w:tcW w:w="472" w:type="pct"/>
            <w:shd w:val="clear" w:color="auto" w:fill="auto"/>
            <w:vAlign w:val="center"/>
          </w:tcPr>
          <w:p w:rsidR="00446582" w:rsidRPr="001779EA" w:rsidRDefault="00446582" w:rsidP="00446582">
            <w:pPr>
              <w:pStyle w:val="Tabletext"/>
              <w:keepNext/>
              <w:keepLines/>
            </w:pPr>
          </w:p>
        </w:tc>
        <w:tc>
          <w:tcPr>
            <w:tcW w:w="600" w:type="pct"/>
            <w:shd w:val="clear" w:color="auto" w:fill="auto"/>
            <w:vAlign w:val="center"/>
          </w:tcPr>
          <w:p w:rsidR="00446582" w:rsidRPr="001779EA" w:rsidRDefault="00446582" w:rsidP="00446582">
            <w:pPr>
              <w:pStyle w:val="Tabletext"/>
              <w:keepNext/>
              <w:keepLines/>
            </w:pPr>
          </w:p>
        </w:tc>
      </w:tr>
      <w:tr w:rsidR="0079059D" w:rsidRPr="001779EA" w:rsidTr="00280D90">
        <w:tc>
          <w:tcPr>
            <w:tcW w:w="785" w:type="pct"/>
            <w:shd w:val="clear" w:color="auto" w:fill="auto"/>
            <w:hideMark/>
          </w:tcPr>
          <w:p w:rsidR="0079059D" w:rsidRPr="001779EA" w:rsidRDefault="0079059D" w:rsidP="00CC67D0">
            <w:pPr>
              <w:pStyle w:val="Tabletext"/>
              <w:keepNext/>
              <w:keepLines/>
            </w:pPr>
            <w:r w:rsidRPr="001779EA">
              <w:t>CONFIRM</w:t>
            </w:r>
          </w:p>
        </w:tc>
        <w:tc>
          <w:tcPr>
            <w:tcW w:w="629" w:type="pct"/>
            <w:shd w:val="clear" w:color="auto" w:fill="auto"/>
            <w:vAlign w:val="center"/>
          </w:tcPr>
          <w:p w:rsidR="0079059D" w:rsidRPr="001779EA" w:rsidRDefault="0079059D" w:rsidP="00032708">
            <w:pPr>
              <w:pStyle w:val="Tabletext"/>
              <w:keepNext/>
              <w:keepLines/>
              <w:jc w:val="center"/>
            </w:pPr>
            <w:r w:rsidRPr="001779EA">
              <w:t>261/362 (72.1)</w:t>
            </w:r>
          </w:p>
        </w:tc>
        <w:tc>
          <w:tcPr>
            <w:tcW w:w="707" w:type="pct"/>
            <w:shd w:val="clear" w:color="auto" w:fill="auto"/>
            <w:vAlign w:val="center"/>
          </w:tcPr>
          <w:p w:rsidR="0079059D" w:rsidRPr="001779EA" w:rsidRDefault="0079059D" w:rsidP="00032708">
            <w:pPr>
              <w:pStyle w:val="Tabletext"/>
              <w:keepNext/>
              <w:keepLines/>
              <w:jc w:val="center"/>
            </w:pPr>
            <w:r w:rsidRPr="001779EA">
              <w:t>26.4</w:t>
            </w:r>
          </w:p>
        </w:tc>
        <w:tc>
          <w:tcPr>
            <w:tcW w:w="629" w:type="pct"/>
            <w:shd w:val="clear" w:color="auto" w:fill="auto"/>
            <w:vAlign w:val="center"/>
          </w:tcPr>
          <w:p w:rsidR="0079059D" w:rsidRPr="001779EA" w:rsidRDefault="0079059D" w:rsidP="00032708">
            <w:pPr>
              <w:pStyle w:val="Tabletext"/>
              <w:keepNext/>
              <w:keepLines/>
              <w:jc w:val="center"/>
            </w:pPr>
            <w:r w:rsidRPr="001779EA">
              <w:t>293/374 (78.3)</w:t>
            </w:r>
          </w:p>
        </w:tc>
        <w:tc>
          <w:tcPr>
            <w:tcW w:w="706" w:type="pct"/>
            <w:shd w:val="clear" w:color="auto" w:fill="auto"/>
            <w:vAlign w:val="center"/>
          </w:tcPr>
          <w:p w:rsidR="0079059D" w:rsidRPr="001779EA" w:rsidRDefault="0079059D" w:rsidP="00032708">
            <w:pPr>
              <w:pStyle w:val="Tabletext"/>
              <w:keepNext/>
              <w:keepLines/>
              <w:jc w:val="center"/>
            </w:pPr>
            <w:r w:rsidRPr="001779EA">
              <w:t>22.3</w:t>
            </w:r>
          </w:p>
        </w:tc>
        <w:tc>
          <w:tcPr>
            <w:tcW w:w="472" w:type="pct"/>
            <w:gridSpan w:val="2"/>
            <w:shd w:val="clear" w:color="auto" w:fill="auto"/>
            <w:vAlign w:val="center"/>
          </w:tcPr>
          <w:p w:rsidR="0079059D" w:rsidRPr="001779EA" w:rsidRDefault="0079059D" w:rsidP="00032708">
            <w:pPr>
              <w:pStyle w:val="Tabletext"/>
              <w:keepNext/>
              <w:keepLines/>
              <w:jc w:val="center"/>
            </w:pPr>
            <w:r w:rsidRPr="001779EA">
              <w:t>4.1</w:t>
            </w:r>
          </w:p>
        </w:tc>
        <w:tc>
          <w:tcPr>
            <w:tcW w:w="472" w:type="pct"/>
            <w:shd w:val="clear" w:color="auto" w:fill="auto"/>
            <w:vAlign w:val="center"/>
          </w:tcPr>
          <w:p w:rsidR="0079059D" w:rsidRPr="001779EA" w:rsidRDefault="0079059D" w:rsidP="00032708">
            <w:pPr>
              <w:pStyle w:val="Tabletext"/>
              <w:keepNext/>
              <w:keepLines/>
              <w:jc w:val="center"/>
              <w:rPr>
                <w:b/>
              </w:rPr>
            </w:pPr>
            <w:r w:rsidRPr="001779EA">
              <w:rPr>
                <w:b/>
              </w:rPr>
              <w:t>0.02</w:t>
            </w:r>
          </w:p>
        </w:tc>
        <w:tc>
          <w:tcPr>
            <w:tcW w:w="600" w:type="pct"/>
            <w:shd w:val="clear" w:color="auto" w:fill="auto"/>
            <w:vAlign w:val="center"/>
          </w:tcPr>
          <w:p w:rsidR="00A628F6" w:rsidRDefault="0079059D" w:rsidP="00032708">
            <w:pPr>
              <w:pStyle w:val="Tabletext"/>
              <w:keepNext/>
              <w:keepLines/>
              <w:jc w:val="center"/>
              <w:rPr>
                <w:b/>
              </w:rPr>
            </w:pPr>
            <w:r w:rsidRPr="001779EA">
              <w:rPr>
                <w:b/>
              </w:rPr>
              <w:t xml:space="preserve">0.81 </w:t>
            </w:r>
          </w:p>
          <w:p w:rsidR="0079059D" w:rsidRPr="001779EA" w:rsidRDefault="0079059D" w:rsidP="00032708">
            <w:pPr>
              <w:pStyle w:val="Tabletext"/>
              <w:keepNext/>
              <w:keepLines/>
              <w:jc w:val="center"/>
              <w:rPr>
                <w:b/>
              </w:rPr>
            </w:pPr>
            <w:r w:rsidRPr="001779EA">
              <w:rPr>
                <w:b/>
              </w:rPr>
              <w:t>(0.69, 0.96)</w:t>
            </w:r>
          </w:p>
        </w:tc>
      </w:tr>
      <w:tr w:rsidR="0079059D" w:rsidRPr="001779EA" w:rsidTr="00280D90">
        <w:tc>
          <w:tcPr>
            <w:tcW w:w="785" w:type="pct"/>
            <w:shd w:val="clear" w:color="auto" w:fill="auto"/>
            <w:hideMark/>
          </w:tcPr>
          <w:p w:rsidR="0079059D" w:rsidRPr="001779EA" w:rsidRDefault="0079059D" w:rsidP="00CC67D0">
            <w:pPr>
              <w:pStyle w:val="Tabletext"/>
              <w:keepNext/>
              <w:keepLines/>
              <w:rPr>
                <w:vertAlign w:val="superscript"/>
              </w:rPr>
            </w:pPr>
            <w:r w:rsidRPr="001779EA">
              <w:t>CONFIRM China</w:t>
            </w:r>
          </w:p>
        </w:tc>
        <w:tc>
          <w:tcPr>
            <w:tcW w:w="629" w:type="pct"/>
            <w:shd w:val="clear" w:color="auto" w:fill="auto"/>
            <w:vAlign w:val="center"/>
          </w:tcPr>
          <w:p w:rsidR="0079059D" w:rsidRPr="001779EA" w:rsidRDefault="0079059D" w:rsidP="00032708">
            <w:pPr>
              <w:pStyle w:val="Tabletext"/>
              <w:keepNext/>
              <w:keepLines/>
              <w:jc w:val="center"/>
            </w:pPr>
            <w:r w:rsidRPr="001779EA">
              <w:t>NR</w:t>
            </w:r>
          </w:p>
        </w:tc>
        <w:tc>
          <w:tcPr>
            <w:tcW w:w="707" w:type="pct"/>
            <w:shd w:val="clear" w:color="auto" w:fill="auto"/>
            <w:vAlign w:val="center"/>
          </w:tcPr>
          <w:p w:rsidR="0079059D" w:rsidRPr="001779EA" w:rsidRDefault="0079059D" w:rsidP="00032708">
            <w:pPr>
              <w:pStyle w:val="Tabletext"/>
              <w:keepNext/>
              <w:keepLines/>
              <w:jc w:val="center"/>
            </w:pPr>
            <w:r w:rsidRPr="001779EA">
              <w:t>NR</w:t>
            </w:r>
          </w:p>
        </w:tc>
        <w:tc>
          <w:tcPr>
            <w:tcW w:w="629" w:type="pct"/>
            <w:shd w:val="clear" w:color="auto" w:fill="auto"/>
            <w:vAlign w:val="center"/>
          </w:tcPr>
          <w:p w:rsidR="0079059D" w:rsidRPr="001779EA" w:rsidRDefault="0079059D" w:rsidP="00032708">
            <w:pPr>
              <w:pStyle w:val="Tabletext"/>
              <w:keepNext/>
              <w:keepLines/>
              <w:jc w:val="center"/>
            </w:pPr>
            <w:r w:rsidRPr="001779EA">
              <w:t>NR</w:t>
            </w:r>
          </w:p>
        </w:tc>
        <w:tc>
          <w:tcPr>
            <w:tcW w:w="706" w:type="pct"/>
            <w:shd w:val="clear" w:color="auto" w:fill="auto"/>
            <w:vAlign w:val="center"/>
          </w:tcPr>
          <w:p w:rsidR="0079059D" w:rsidRPr="001779EA" w:rsidRDefault="0079059D" w:rsidP="00032708">
            <w:pPr>
              <w:pStyle w:val="Tabletext"/>
              <w:keepNext/>
              <w:keepLines/>
              <w:jc w:val="center"/>
            </w:pPr>
            <w:r w:rsidRPr="001779EA">
              <w:t>NR</w:t>
            </w:r>
          </w:p>
        </w:tc>
        <w:tc>
          <w:tcPr>
            <w:tcW w:w="472" w:type="pct"/>
            <w:gridSpan w:val="2"/>
            <w:shd w:val="clear" w:color="auto" w:fill="auto"/>
            <w:vAlign w:val="center"/>
          </w:tcPr>
          <w:p w:rsidR="0079059D" w:rsidRPr="001779EA" w:rsidRDefault="0079059D" w:rsidP="00032708">
            <w:pPr>
              <w:pStyle w:val="Tabletext"/>
              <w:keepNext/>
              <w:keepLines/>
              <w:jc w:val="center"/>
            </w:pPr>
            <w:r w:rsidRPr="001779EA">
              <w:t>NR</w:t>
            </w:r>
          </w:p>
        </w:tc>
        <w:tc>
          <w:tcPr>
            <w:tcW w:w="472" w:type="pct"/>
            <w:shd w:val="clear" w:color="auto" w:fill="auto"/>
            <w:vAlign w:val="center"/>
          </w:tcPr>
          <w:p w:rsidR="0079059D" w:rsidRPr="001779EA" w:rsidRDefault="0079059D" w:rsidP="00032708">
            <w:pPr>
              <w:pStyle w:val="Tabletext"/>
              <w:keepNext/>
              <w:keepLines/>
              <w:jc w:val="center"/>
            </w:pPr>
            <w:r w:rsidRPr="001779EA">
              <w:t>NR</w:t>
            </w:r>
          </w:p>
        </w:tc>
        <w:tc>
          <w:tcPr>
            <w:tcW w:w="600" w:type="pct"/>
            <w:shd w:val="clear" w:color="auto" w:fill="auto"/>
            <w:vAlign w:val="center"/>
          </w:tcPr>
          <w:p w:rsidR="0079059D" w:rsidRPr="001779EA" w:rsidRDefault="0079059D" w:rsidP="00032708">
            <w:pPr>
              <w:pStyle w:val="Tabletext"/>
              <w:keepNext/>
              <w:keepLines/>
              <w:jc w:val="center"/>
            </w:pPr>
            <w:r w:rsidRPr="001779EA">
              <w:t>NR</w:t>
            </w:r>
          </w:p>
        </w:tc>
      </w:tr>
      <w:tr w:rsidR="00446582" w:rsidRPr="001779EA" w:rsidTr="00280D90">
        <w:tc>
          <w:tcPr>
            <w:tcW w:w="785" w:type="pct"/>
            <w:shd w:val="clear" w:color="auto" w:fill="auto"/>
            <w:vAlign w:val="center"/>
          </w:tcPr>
          <w:p w:rsidR="00446582" w:rsidRPr="001779EA" w:rsidRDefault="00446582" w:rsidP="00446582">
            <w:pPr>
              <w:pStyle w:val="Tabletext"/>
              <w:keepNext/>
              <w:keepLines/>
              <w:jc w:val="center"/>
            </w:pPr>
            <w:r w:rsidRPr="001779EA">
              <w:t>FULV250 vs EXE</w:t>
            </w:r>
          </w:p>
        </w:tc>
        <w:tc>
          <w:tcPr>
            <w:tcW w:w="1336" w:type="pct"/>
            <w:gridSpan w:val="2"/>
            <w:shd w:val="clear" w:color="auto" w:fill="auto"/>
            <w:vAlign w:val="center"/>
          </w:tcPr>
          <w:p w:rsidR="00446582" w:rsidRPr="001779EA" w:rsidRDefault="00446582" w:rsidP="00032708">
            <w:pPr>
              <w:pStyle w:val="Tabletext"/>
              <w:keepNext/>
              <w:keepLines/>
              <w:jc w:val="center"/>
            </w:pPr>
            <w:r w:rsidRPr="001779EA">
              <w:t>FULV250</w:t>
            </w:r>
          </w:p>
        </w:tc>
        <w:tc>
          <w:tcPr>
            <w:tcW w:w="1335" w:type="pct"/>
            <w:gridSpan w:val="2"/>
            <w:shd w:val="clear" w:color="auto" w:fill="auto"/>
            <w:vAlign w:val="center"/>
          </w:tcPr>
          <w:p w:rsidR="00446582" w:rsidRPr="001779EA" w:rsidRDefault="00446582" w:rsidP="00032708">
            <w:pPr>
              <w:pStyle w:val="Tabletext"/>
              <w:keepNext/>
              <w:keepLines/>
              <w:jc w:val="center"/>
            </w:pPr>
            <w:r w:rsidRPr="001779EA">
              <w:t>EXE 25mg</w:t>
            </w:r>
          </w:p>
        </w:tc>
        <w:tc>
          <w:tcPr>
            <w:tcW w:w="472" w:type="pct"/>
            <w:gridSpan w:val="2"/>
            <w:shd w:val="clear" w:color="auto" w:fill="auto"/>
            <w:vAlign w:val="center"/>
          </w:tcPr>
          <w:p w:rsidR="00446582" w:rsidRPr="001779EA" w:rsidRDefault="00446582" w:rsidP="00032708">
            <w:pPr>
              <w:pStyle w:val="Tabletext"/>
              <w:keepNext/>
              <w:keepLines/>
              <w:jc w:val="center"/>
            </w:pPr>
          </w:p>
        </w:tc>
        <w:tc>
          <w:tcPr>
            <w:tcW w:w="472" w:type="pct"/>
            <w:shd w:val="clear" w:color="auto" w:fill="auto"/>
            <w:vAlign w:val="center"/>
          </w:tcPr>
          <w:p w:rsidR="00446582" w:rsidRPr="001779EA" w:rsidRDefault="00446582" w:rsidP="00032708">
            <w:pPr>
              <w:pStyle w:val="Tabletext"/>
              <w:keepNext/>
              <w:keepLines/>
              <w:jc w:val="center"/>
            </w:pPr>
          </w:p>
        </w:tc>
        <w:tc>
          <w:tcPr>
            <w:tcW w:w="600" w:type="pct"/>
            <w:shd w:val="clear" w:color="auto" w:fill="auto"/>
            <w:vAlign w:val="center"/>
          </w:tcPr>
          <w:p w:rsidR="00446582" w:rsidRPr="001779EA" w:rsidRDefault="00446582" w:rsidP="00032708">
            <w:pPr>
              <w:pStyle w:val="Tabletext"/>
              <w:keepNext/>
              <w:keepLines/>
              <w:jc w:val="center"/>
            </w:pPr>
          </w:p>
        </w:tc>
      </w:tr>
      <w:tr w:rsidR="0079059D" w:rsidRPr="001779EA" w:rsidTr="00280D90">
        <w:tc>
          <w:tcPr>
            <w:tcW w:w="785" w:type="pct"/>
            <w:shd w:val="clear" w:color="auto" w:fill="auto"/>
            <w:hideMark/>
          </w:tcPr>
          <w:p w:rsidR="0079059D" w:rsidRPr="001779EA" w:rsidRDefault="0079059D" w:rsidP="00CC67D0">
            <w:pPr>
              <w:pStyle w:val="Tabletext"/>
              <w:keepNext/>
              <w:keepLines/>
              <w:rPr>
                <w:vertAlign w:val="superscript"/>
              </w:rPr>
            </w:pPr>
            <w:r w:rsidRPr="001779EA">
              <w:t>EFECT</w:t>
            </w:r>
            <w:r w:rsidRPr="001779EA">
              <w:rPr>
                <w:vertAlign w:val="superscript"/>
              </w:rPr>
              <w:t>b</w:t>
            </w:r>
          </w:p>
        </w:tc>
        <w:tc>
          <w:tcPr>
            <w:tcW w:w="629" w:type="pct"/>
            <w:shd w:val="clear" w:color="auto" w:fill="auto"/>
            <w:vAlign w:val="center"/>
          </w:tcPr>
          <w:p w:rsidR="0079059D" w:rsidRPr="001779EA" w:rsidRDefault="0079059D" w:rsidP="00032708">
            <w:pPr>
              <w:pStyle w:val="Tabletext"/>
              <w:keepNext/>
              <w:keepLines/>
              <w:jc w:val="center"/>
            </w:pPr>
            <w:r w:rsidRPr="001779EA">
              <w:t>209/351 (59.5)</w:t>
            </w:r>
          </w:p>
        </w:tc>
        <w:tc>
          <w:tcPr>
            <w:tcW w:w="707" w:type="pct"/>
            <w:shd w:val="clear" w:color="auto" w:fill="auto"/>
            <w:vAlign w:val="center"/>
          </w:tcPr>
          <w:p w:rsidR="0079059D" w:rsidRPr="001779EA" w:rsidRDefault="0079059D" w:rsidP="00032708">
            <w:pPr>
              <w:pStyle w:val="Tabletext"/>
              <w:keepNext/>
              <w:keepLines/>
              <w:jc w:val="center"/>
            </w:pPr>
            <w:r w:rsidRPr="001779EA">
              <w:t>24.35</w:t>
            </w:r>
          </w:p>
        </w:tc>
        <w:tc>
          <w:tcPr>
            <w:tcW w:w="629" w:type="pct"/>
            <w:shd w:val="clear" w:color="auto" w:fill="auto"/>
            <w:vAlign w:val="center"/>
          </w:tcPr>
          <w:p w:rsidR="0079059D" w:rsidRPr="001779EA" w:rsidRDefault="0079059D" w:rsidP="00032708">
            <w:pPr>
              <w:pStyle w:val="Tabletext"/>
              <w:keepNext/>
              <w:keepLines/>
              <w:jc w:val="center"/>
            </w:pPr>
            <w:r w:rsidRPr="001779EA">
              <w:t>197/342 (57.9)</w:t>
            </w:r>
          </w:p>
        </w:tc>
        <w:tc>
          <w:tcPr>
            <w:tcW w:w="706" w:type="pct"/>
            <w:shd w:val="clear" w:color="auto" w:fill="auto"/>
            <w:vAlign w:val="center"/>
          </w:tcPr>
          <w:p w:rsidR="0079059D" w:rsidRPr="001779EA" w:rsidRDefault="0079059D" w:rsidP="00032708">
            <w:pPr>
              <w:pStyle w:val="Tabletext"/>
              <w:keepNext/>
              <w:keepLines/>
              <w:jc w:val="center"/>
            </w:pPr>
            <w:r w:rsidRPr="001779EA">
              <w:t>23.10</w:t>
            </w:r>
          </w:p>
        </w:tc>
        <w:tc>
          <w:tcPr>
            <w:tcW w:w="472" w:type="pct"/>
            <w:gridSpan w:val="2"/>
            <w:shd w:val="clear" w:color="auto" w:fill="auto"/>
            <w:vAlign w:val="center"/>
          </w:tcPr>
          <w:p w:rsidR="0079059D" w:rsidRPr="001779EA" w:rsidRDefault="0079059D" w:rsidP="00032708">
            <w:pPr>
              <w:pStyle w:val="Tabletext"/>
              <w:keepNext/>
              <w:keepLines/>
              <w:jc w:val="center"/>
            </w:pPr>
            <w:r w:rsidRPr="001779EA">
              <w:t>1.25</w:t>
            </w:r>
          </w:p>
        </w:tc>
        <w:tc>
          <w:tcPr>
            <w:tcW w:w="472" w:type="pct"/>
            <w:shd w:val="clear" w:color="auto" w:fill="auto"/>
            <w:vAlign w:val="center"/>
          </w:tcPr>
          <w:p w:rsidR="0079059D" w:rsidRPr="001779EA" w:rsidRDefault="0079059D" w:rsidP="00032708">
            <w:pPr>
              <w:pStyle w:val="Tabletext"/>
              <w:keepNext/>
              <w:keepLines/>
              <w:jc w:val="center"/>
            </w:pPr>
            <w:r w:rsidRPr="001779EA">
              <w:t>0.9072</w:t>
            </w:r>
          </w:p>
        </w:tc>
        <w:tc>
          <w:tcPr>
            <w:tcW w:w="600" w:type="pct"/>
            <w:shd w:val="clear" w:color="auto" w:fill="auto"/>
            <w:vAlign w:val="center"/>
          </w:tcPr>
          <w:p w:rsidR="00A628F6" w:rsidRDefault="0079059D" w:rsidP="00032708">
            <w:pPr>
              <w:pStyle w:val="Tabletext"/>
              <w:keepNext/>
              <w:keepLines/>
              <w:jc w:val="center"/>
            </w:pPr>
            <w:r w:rsidRPr="001779EA">
              <w:t xml:space="preserve">1.012 </w:t>
            </w:r>
          </w:p>
          <w:p w:rsidR="0079059D" w:rsidRPr="001779EA" w:rsidRDefault="0079059D" w:rsidP="00032708">
            <w:pPr>
              <w:pStyle w:val="Tabletext"/>
              <w:keepNext/>
              <w:keepLines/>
              <w:jc w:val="center"/>
            </w:pPr>
            <w:r w:rsidRPr="001779EA">
              <w:t>(0.833, 1.229)</w:t>
            </w:r>
          </w:p>
        </w:tc>
      </w:tr>
      <w:tr w:rsidR="0079059D" w:rsidRPr="001779EA" w:rsidTr="00280D90">
        <w:tc>
          <w:tcPr>
            <w:tcW w:w="785" w:type="pct"/>
            <w:shd w:val="clear" w:color="auto" w:fill="auto"/>
          </w:tcPr>
          <w:p w:rsidR="0079059D" w:rsidRPr="001779EA" w:rsidRDefault="0079059D" w:rsidP="00CC67D0">
            <w:pPr>
              <w:pStyle w:val="Tabletext"/>
              <w:keepNext/>
              <w:keepLines/>
            </w:pPr>
            <w:r w:rsidRPr="001779EA">
              <w:t>SoFEA</w:t>
            </w:r>
          </w:p>
        </w:tc>
        <w:tc>
          <w:tcPr>
            <w:tcW w:w="629" w:type="pct"/>
            <w:shd w:val="clear" w:color="auto" w:fill="auto"/>
            <w:vAlign w:val="center"/>
          </w:tcPr>
          <w:p w:rsidR="0079059D" w:rsidRPr="001779EA" w:rsidRDefault="0079059D" w:rsidP="00032708">
            <w:pPr>
              <w:pStyle w:val="Tabletext"/>
              <w:keepNext/>
              <w:keepLines/>
              <w:jc w:val="center"/>
            </w:pPr>
            <w:r w:rsidRPr="001779EA">
              <w:t>167/231 (72%)</w:t>
            </w:r>
          </w:p>
        </w:tc>
        <w:tc>
          <w:tcPr>
            <w:tcW w:w="707" w:type="pct"/>
            <w:shd w:val="clear" w:color="auto" w:fill="auto"/>
            <w:vAlign w:val="center"/>
          </w:tcPr>
          <w:p w:rsidR="0079059D" w:rsidRPr="001779EA" w:rsidRDefault="0079059D" w:rsidP="00032708">
            <w:pPr>
              <w:pStyle w:val="Tabletext"/>
              <w:keepNext/>
              <w:keepLines/>
              <w:jc w:val="center"/>
            </w:pPr>
            <w:r w:rsidRPr="001779EA">
              <w:t>19.4 (16.8, 22.8)</w:t>
            </w:r>
          </w:p>
        </w:tc>
        <w:tc>
          <w:tcPr>
            <w:tcW w:w="629" w:type="pct"/>
            <w:shd w:val="clear" w:color="auto" w:fill="auto"/>
            <w:vAlign w:val="center"/>
          </w:tcPr>
          <w:p w:rsidR="0079059D" w:rsidRPr="001779EA" w:rsidRDefault="0079059D" w:rsidP="00032708">
            <w:pPr>
              <w:pStyle w:val="Tabletext"/>
              <w:keepNext/>
              <w:keepLines/>
              <w:jc w:val="center"/>
            </w:pPr>
            <w:r w:rsidRPr="001779EA">
              <w:t>173/249 (69%)</w:t>
            </w:r>
          </w:p>
        </w:tc>
        <w:tc>
          <w:tcPr>
            <w:tcW w:w="706" w:type="pct"/>
            <w:shd w:val="clear" w:color="auto" w:fill="auto"/>
            <w:vAlign w:val="center"/>
          </w:tcPr>
          <w:p w:rsidR="0079059D" w:rsidRPr="001779EA" w:rsidRDefault="0079059D" w:rsidP="00032708">
            <w:pPr>
              <w:pStyle w:val="Tabletext"/>
              <w:keepNext/>
              <w:keepLines/>
              <w:jc w:val="center"/>
            </w:pPr>
            <w:r w:rsidRPr="001779EA">
              <w:t>21.6 (19.4, 23.9)</w:t>
            </w:r>
          </w:p>
        </w:tc>
        <w:tc>
          <w:tcPr>
            <w:tcW w:w="472" w:type="pct"/>
            <w:gridSpan w:val="2"/>
            <w:shd w:val="clear" w:color="auto" w:fill="auto"/>
            <w:vAlign w:val="center"/>
          </w:tcPr>
          <w:p w:rsidR="0079059D" w:rsidRPr="001779EA" w:rsidRDefault="0079059D" w:rsidP="00032708">
            <w:pPr>
              <w:pStyle w:val="Tabletext"/>
              <w:keepNext/>
              <w:keepLines/>
              <w:jc w:val="center"/>
            </w:pPr>
            <w:r w:rsidRPr="001779EA">
              <w:t xml:space="preserve">2.2 favouring </w:t>
            </w:r>
            <w:r w:rsidR="00446582" w:rsidRPr="001779EA">
              <w:t>EXE</w:t>
            </w:r>
          </w:p>
        </w:tc>
        <w:tc>
          <w:tcPr>
            <w:tcW w:w="472" w:type="pct"/>
            <w:shd w:val="clear" w:color="auto" w:fill="auto"/>
            <w:vAlign w:val="center"/>
          </w:tcPr>
          <w:p w:rsidR="0079059D" w:rsidRPr="001779EA" w:rsidRDefault="0079059D" w:rsidP="00032708">
            <w:pPr>
              <w:pStyle w:val="Tabletext"/>
              <w:keepNext/>
              <w:keepLines/>
              <w:jc w:val="center"/>
            </w:pPr>
            <w:r w:rsidRPr="001779EA">
              <w:t>0.68</w:t>
            </w:r>
          </w:p>
        </w:tc>
        <w:tc>
          <w:tcPr>
            <w:tcW w:w="600" w:type="pct"/>
            <w:shd w:val="clear" w:color="auto" w:fill="auto"/>
            <w:vAlign w:val="center"/>
          </w:tcPr>
          <w:p w:rsidR="00A628F6" w:rsidRDefault="0079059D" w:rsidP="00032708">
            <w:pPr>
              <w:pStyle w:val="Tabletext"/>
              <w:keepNext/>
              <w:keepLines/>
              <w:jc w:val="center"/>
            </w:pPr>
            <w:r w:rsidRPr="001779EA">
              <w:t xml:space="preserve">1.05 </w:t>
            </w:r>
          </w:p>
          <w:p w:rsidR="0079059D" w:rsidRPr="001779EA" w:rsidRDefault="0079059D" w:rsidP="00032708">
            <w:pPr>
              <w:pStyle w:val="Tabletext"/>
              <w:keepNext/>
              <w:keepLines/>
              <w:jc w:val="center"/>
            </w:pPr>
            <w:r w:rsidRPr="001779EA">
              <w:t>(0.84, 1.29)</w:t>
            </w:r>
          </w:p>
        </w:tc>
      </w:tr>
      <w:tr w:rsidR="0079059D" w:rsidRPr="001779EA" w:rsidTr="00280D90">
        <w:tc>
          <w:tcPr>
            <w:tcW w:w="3928" w:type="pct"/>
            <w:gridSpan w:val="7"/>
            <w:shd w:val="clear" w:color="auto" w:fill="auto"/>
          </w:tcPr>
          <w:p w:rsidR="0079059D" w:rsidRPr="001779EA" w:rsidRDefault="0079059D" w:rsidP="00CC67D0">
            <w:pPr>
              <w:pStyle w:val="Tabletext"/>
              <w:keepNext/>
              <w:keepLines/>
            </w:pPr>
            <w:r w:rsidRPr="001779EA">
              <w:t>Pooled EFECT and SoFEA</w:t>
            </w:r>
          </w:p>
        </w:tc>
        <w:tc>
          <w:tcPr>
            <w:tcW w:w="472" w:type="pct"/>
            <w:shd w:val="clear" w:color="auto" w:fill="auto"/>
          </w:tcPr>
          <w:p w:rsidR="0079059D" w:rsidRPr="001779EA" w:rsidRDefault="0079059D" w:rsidP="00280D90">
            <w:pPr>
              <w:pStyle w:val="Tabletext"/>
              <w:keepNext/>
              <w:keepLines/>
              <w:jc w:val="center"/>
            </w:pPr>
            <w:r w:rsidRPr="001779EA">
              <w:t>0.71</w:t>
            </w:r>
          </w:p>
        </w:tc>
        <w:tc>
          <w:tcPr>
            <w:tcW w:w="600" w:type="pct"/>
            <w:shd w:val="clear" w:color="auto" w:fill="auto"/>
            <w:vAlign w:val="center"/>
          </w:tcPr>
          <w:p w:rsidR="00A628F6" w:rsidRDefault="0079059D" w:rsidP="00032708">
            <w:pPr>
              <w:pStyle w:val="Tabletext"/>
              <w:keepNext/>
              <w:keepLines/>
              <w:jc w:val="center"/>
            </w:pPr>
            <w:r w:rsidRPr="001779EA">
              <w:t xml:space="preserve">1.03 </w:t>
            </w:r>
          </w:p>
          <w:p w:rsidR="0079059D" w:rsidRPr="001779EA" w:rsidRDefault="0079059D" w:rsidP="00032708">
            <w:pPr>
              <w:pStyle w:val="Tabletext"/>
              <w:keepNext/>
              <w:keepLines/>
              <w:jc w:val="center"/>
            </w:pPr>
            <w:r w:rsidRPr="001779EA">
              <w:t>(0.89, 1.19)</w:t>
            </w:r>
          </w:p>
        </w:tc>
      </w:tr>
      <w:tr w:rsidR="00032708" w:rsidRPr="001779EA" w:rsidTr="00280D90">
        <w:tc>
          <w:tcPr>
            <w:tcW w:w="785" w:type="pct"/>
            <w:shd w:val="clear" w:color="auto" w:fill="auto"/>
            <w:vAlign w:val="center"/>
          </w:tcPr>
          <w:p w:rsidR="00032708" w:rsidRPr="001779EA" w:rsidRDefault="00032708" w:rsidP="00032708">
            <w:pPr>
              <w:pStyle w:val="Tabletext"/>
              <w:keepNext/>
              <w:keepLines/>
              <w:jc w:val="center"/>
            </w:pPr>
            <w:r w:rsidRPr="001779EA">
              <w:t>EVE+EXE vs EXE</w:t>
            </w:r>
          </w:p>
        </w:tc>
        <w:tc>
          <w:tcPr>
            <w:tcW w:w="1336" w:type="pct"/>
            <w:gridSpan w:val="2"/>
            <w:shd w:val="clear" w:color="auto" w:fill="auto"/>
            <w:vAlign w:val="center"/>
          </w:tcPr>
          <w:p w:rsidR="00032708" w:rsidRPr="001779EA" w:rsidRDefault="00032708" w:rsidP="00032708">
            <w:pPr>
              <w:pStyle w:val="Tabletext"/>
              <w:keepNext/>
              <w:keepLines/>
              <w:jc w:val="center"/>
            </w:pPr>
            <w:r w:rsidRPr="001779EA">
              <w:t>EVE</w:t>
            </w:r>
            <w:r w:rsidR="003A5FB1" w:rsidRPr="001779EA">
              <w:t xml:space="preserve"> </w:t>
            </w:r>
            <w:r w:rsidRPr="001779EA">
              <w:t xml:space="preserve">+ EXE </w:t>
            </w:r>
          </w:p>
        </w:tc>
        <w:tc>
          <w:tcPr>
            <w:tcW w:w="1335" w:type="pct"/>
            <w:gridSpan w:val="2"/>
            <w:shd w:val="clear" w:color="auto" w:fill="auto"/>
            <w:vAlign w:val="center"/>
          </w:tcPr>
          <w:p w:rsidR="00032708" w:rsidRPr="001779EA" w:rsidRDefault="00032708" w:rsidP="00032708">
            <w:pPr>
              <w:pStyle w:val="Tabletext"/>
              <w:keepNext/>
              <w:keepLines/>
              <w:jc w:val="center"/>
            </w:pPr>
            <w:r w:rsidRPr="001779EA">
              <w:t>EXE 25mg</w:t>
            </w:r>
          </w:p>
        </w:tc>
        <w:tc>
          <w:tcPr>
            <w:tcW w:w="472" w:type="pct"/>
            <w:gridSpan w:val="2"/>
            <w:shd w:val="clear" w:color="auto" w:fill="auto"/>
            <w:vAlign w:val="center"/>
          </w:tcPr>
          <w:p w:rsidR="00032708" w:rsidRPr="001779EA" w:rsidRDefault="00032708" w:rsidP="00032708">
            <w:pPr>
              <w:pStyle w:val="Tabletext"/>
              <w:keepNext/>
              <w:keepLines/>
            </w:pPr>
          </w:p>
        </w:tc>
        <w:tc>
          <w:tcPr>
            <w:tcW w:w="472" w:type="pct"/>
            <w:shd w:val="clear" w:color="auto" w:fill="auto"/>
            <w:vAlign w:val="center"/>
          </w:tcPr>
          <w:p w:rsidR="00032708" w:rsidRPr="001779EA" w:rsidRDefault="00032708" w:rsidP="00032708">
            <w:pPr>
              <w:pStyle w:val="Tabletext"/>
              <w:keepNext/>
              <w:keepLines/>
            </w:pPr>
          </w:p>
        </w:tc>
        <w:tc>
          <w:tcPr>
            <w:tcW w:w="600" w:type="pct"/>
            <w:shd w:val="clear" w:color="auto" w:fill="auto"/>
            <w:vAlign w:val="center"/>
          </w:tcPr>
          <w:p w:rsidR="00032708" w:rsidRPr="001779EA" w:rsidRDefault="00032708" w:rsidP="00032708">
            <w:pPr>
              <w:pStyle w:val="Tabletext"/>
              <w:keepNext/>
              <w:keepLines/>
            </w:pPr>
          </w:p>
        </w:tc>
      </w:tr>
      <w:tr w:rsidR="0079059D" w:rsidRPr="001779EA" w:rsidTr="00280D90">
        <w:tc>
          <w:tcPr>
            <w:tcW w:w="785" w:type="pct"/>
            <w:shd w:val="clear" w:color="auto" w:fill="auto"/>
          </w:tcPr>
          <w:p w:rsidR="0079059D" w:rsidRPr="001779EA" w:rsidRDefault="0079059D" w:rsidP="00CC67D0">
            <w:pPr>
              <w:pStyle w:val="Tabletext"/>
              <w:keepNext/>
              <w:keepLines/>
            </w:pPr>
            <w:r w:rsidRPr="001779EA">
              <w:t>BOLERO-2</w:t>
            </w:r>
          </w:p>
        </w:tc>
        <w:tc>
          <w:tcPr>
            <w:tcW w:w="629" w:type="pct"/>
            <w:shd w:val="clear" w:color="auto" w:fill="auto"/>
            <w:vAlign w:val="center"/>
          </w:tcPr>
          <w:p w:rsidR="0079059D" w:rsidRPr="001779EA" w:rsidRDefault="0079059D" w:rsidP="00032708">
            <w:pPr>
              <w:pStyle w:val="Tabletext"/>
              <w:keepNext/>
              <w:keepLines/>
              <w:jc w:val="center"/>
            </w:pPr>
            <w:r w:rsidRPr="001779EA">
              <w:t>267/485 (55.1)</w:t>
            </w:r>
          </w:p>
        </w:tc>
        <w:tc>
          <w:tcPr>
            <w:tcW w:w="707" w:type="pct"/>
            <w:shd w:val="clear" w:color="auto" w:fill="auto"/>
            <w:vAlign w:val="center"/>
          </w:tcPr>
          <w:p w:rsidR="0079059D" w:rsidRPr="001779EA" w:rsidRDefault="0079059D" w:rsidP="00032708">
            <w:pPr>
              <w:pStyle w:val="Tabletext"/>
              <w:keepNext/>
              <w:keepLines/>
              <w:jc w:val="center"/>
            </w:pPr>
            <w:r w:rsidRPr="001779EA">
              <w:t>31.0 (28.0, 34.6)</w:t>
            </w:r>
          </w:p>
        </w:tc>
        <w:tc>
          <w:tcPr>
            <w:tcW w:w="629" w:type="pct"/>
            <w:shd w:val="clear" w:color="auto" w:fill="auto"/>
            <w:vAlign w:val="center"/>
          </w:tcPr>
          <w:p w:rsidR="0079059D" w:rsidRPr="001779EA" w:rsidRDefault="0079059D" w:rsidP="00032708">
            <w:pPr>
              <w:pStyle w:val="Tabletext"/>
              <w:keepNext/>
              <w:keepLines/>
              <w:jc w:val="center"/>
            </w:pPr>
            <w:r w:rsidRPr="001779EA">
              <w:t>143/239 (59.8)</w:t>
            </w:r>
          </w:p>
        </w:tc>
        <w:tc>
          <w:tcPr>
            <w:tcW w:w="706" w:type="pct"/>
            <w:shd w:val="clear" w:color="auto" w:fill="auto"/>
            <w:vAlign w:val="center"/>
          </w:tcPr>
          <w:p w:rsidR="0079059D" w:rsidRPr="001779EA" w:rsidRDefault="0079059D" w:rsidP="00032708">
            <w:pPr>
              <w:pStyle w:val="Tabletext"/>
              <w:keepNext/>
              <w:keepLines/>
              <w:jc w:val="center"/>
            </w:pPr>
            <w:r w:rsidRPr="001779EA">
              <w:t>26.6 (22.6, 33.1)</w:t>
            </w:r>
          </w:p>
        </w:tc>
        <w:tc>
          <w:tcPr>
            <w:tcW w:w="472" w:type="pct"/>
            <w:gridSpan w:val="2"/>
            <w:shd w:val="clear" w:color="auto" w:fill="auto"/>
            <w:vAlign w:val="center"/>
          </w:tcPr>
          <w:p w:rsidR="0079059D" w:rsidRPr="001779EA" w:rsidRDefault="0079059D" w:rsidP="00032708">
            <w:pPr>
              <w:pStyle w:val="Tabletext"/>
              <w:keepNext/>
              <w:keepLines/>
              <w:jc w:val="center"/>
            </w:pPr>
            <w:r w:rsidRPr="001779EA">
              <w:t>4.4</w:t>
            </w:r>
          </w:p>
        </w:tc>
        <w:tc>
          <w:tcPr>
            <w:tcW w:w="472" w:type="pct"/>
            <w:shd w:val="clear" w:color="auto" w:fill="auto"/>
            <w:vAlign w:val="center"/>
          </w:tcPr>
          <w:p w:rsidR="0079059D" w:rsidRPr="001779EA" w:rsidRDefault="0079059D" w:rsidP="00032708">
            <w:pPr>
              <w:pStyle w:val="Tabletext"/>
              <w:keepNext/>
              <w:keepLines/>
              <w:jc w:val="center"/>
            </w:pPr>
            <w:r w:rsidRPr="001779EA">
              <w:t>0.14</w:t>
            </w:r>
          </w:p>
        </w:tc>
        <w:tc>
          <w:tcPr>
            <w:tcW w:w="600" w:type="pct"/>
            <w:shd w:val="clear" w:color="auto" w:fill="auto"/>
            <w:vAlign w:val="center"/>
          </w:tcPr>
          <w:p w:rsidR="00A628F6" w:rsidRDefault="0079059D" w:rsidP="00032708">
            <w:pPr>
              <w:pStyle w:val="Tabletext"/>
              <w:keepNext/>
              <w:keepLines/>
              <w:jc w:val="center"/>
            </w:pPr>
            <w:r w:rsidRPr="001779EA">
              <w:t xml:space="preserve">0.89 </w:t>
            </w:r>
          </w:p>
          <w:p w:rsidR="0079059D" w:rsidRPr="001779EA" w:rsidRDefault="0079059D" w:rsidP="00032708">
            <w:pPr>
              <w:pStyle w:val="Tabletext"/>
              <w:keepNext/>
              <w:keepLines/>
              <w:jc w:val="center"/>
            </w:pPr>
            <w:r w:rsidRPr="001779EA">
              <w:t>(0.73, 1.10)</w:t>
            </w:r>
          </w:p>
        </w:tc>
      </w:tr>
    </w:tbl>
    <w:p w:rsidR="0079059D" w:rsidRPr="001779EA" w:rsidRDefault="0079059D" w:rsidP="00CC67D0">
      <w:pPr>
        <w:pStyle w:val="TableFigureFooter"/>
        <w:keepNext/>
        <w:keepLines/>
      </w:pPr>
      <w:r w:rsidRPr="001779EA">
        <w:t>CI = confidence interval; EVE= Everolimus; EXE= Exemestane; NR = not reported; n = number of participants reporting data; N = total participants in group; PFS = progression free survival; TPP = time to progression</w:t>
      </w:r>
    </w:p>
    <w:p w:rsidR="0079059D" w:rsidRPr="001779EA" w:rsidRDefault="0079059D" w:rsidP="00CC67D0">
      <w:pPr>
        <w:pStyle w:val="TableFigureFooter"/>
        <w:keepNext/>
        <w:keepLines/>
      </w:pPr>
      <w:r w:rsidRPr="001779EA">
        <w:t>a = Overall survival was not an outcome analysed in the CONFIRM China trial.</w:t>
      </w:r>
    </w:p>
    <w:p w:rsidR="0079059D" w:rsidRPr="001779EA" w:rsidRDefault="0079059D" w:rsidP="00CC67D0">
      <w:pPr>
        <w:pStyle w:val="TableFigureFooter"/>
        <w:keepNext/>
        <w:keepLines/>
      </w:pPr>
      <w:r w:rsidRPr="001779EA">
        <w:t>b = median time to death was calculated on the assumption one month is equal to 30.4375 days</w:t>
      </w:r>
    </w:p>
    <w:p w:rsidR="0079059D" w:rsidRPr="001779EA" w:rsidRDefault="00446582" w:rsidP="00CC67D0">
      <w:pPr>
        <w:pStyle w:val="TableFigureFooter"/>
        <w:keepNext/>
        <w:keepLines/>
      </w:pPr>
      <w:r w:rsidRPr="001779EA">
        <w:t xml:space="preserve">FULV250 </w:t>
      </w:r>
      <w:r w:rsidR="0079059D" w:rsidRPr="001779EA">
        <w:t>represents fulvestrant 250mg and F</w:t>
      </w:r>
      <w:r w:rsidRPr="001779EA">
        <w:t>ULV</w:t>
      </w:r>
      <w:r w:rsidR="0079059D" w:rsidRPr="001779EA">
        <w:t>500 represents fulvestrant 500mg</w:t>
      </w:r>
    </w:p>
    <w:p w:rsidR="0079059D" w:rsidRPr="001779EA" w:rsidRDefault="0079059D" w:rsidP="00CC67D0">
      <w:pPr>
        <w:pStyle w:val="TableFigureFooter"/>
        <w:keepNext/>
        <w:keepLines/>
      </w:pPr>
      <w:r w:rsidRPr="001779EA">
        <w:t>Bold indicates statistically significant results</w:t>
      </w:r>
    </w:p>
    <w:p w:rsidR="0079059D" w:rsidRPr="001779EA" w:rsidRDefault="0079059D" w:rsidP="00032708">
      <w:pPr>
        <w:pStyle w:val="TableFigureFooter"/>
        <w:keepNext/>
        <w:keepLines/>
        <w:spacing w:after="240"/>
      </w:pPr>
      <w:r w:rsidRPr="001779EA">
        <w:t>Source: Compiled during evaluation using Tables 2.36-2.37,2.57, pp96,101,125 of the submission</w:t>
      </w:r>
    </w:p>
    <w:p w:rsidR="00214D3F" w:rsidRPr="001779EA" w:rsidRDefault="00231B5F" w:rsidP="00F55A73">
      <w:pPr>
        <w:pStyle w:val="3-BodyText"/>
      </w:pPr>
      <w:r w:rsidRPr="001779EA">
        <w:t>An</w:t>
      </w:r>
      <w:r w:rsidR="00214D3F" w:rsidRPr="001779EA">
        <w:t xml:space="preserve"> adjusted</w:t>
      </w:r>
      <w:r w:rsidR="004B6588" w:rsidRPr="001779EA">
        <w:t xml:space="preserve"> indirect comparison</w:t>
      </w:r>
      <w:r w:rsidR="00D56CA2" w:rsidRPr="001779EA">
        <w:t xml:space="preserve"> was</w:t>
      </w:r>
      <w:r w:rsidR="00F40437" w:rsidRPr="001779EA">
        <w:t xml:space="preserve"> presented </w:t>
      </w:r>
      <w:r w:rsidR="00711D53" w:rsidRPr="001779EA">
        <w:rPr>
          <w:iCs/>
        </w:rPr>
        <w:t>as an attachment to the submission</w:t>
      </w:r>
      <w:r w:rsidR="00F40437" w:rsidRPr="001779EA">
        <w:t>,</w:t>
      </w:r>
      <w:r w:rsidR="004B6588" w:rsidRPr="001779EA">
        <w:t xml:space="preserve"> </w:t>
      </w:r>
      <w:r w:rsidR="00D56CA2" w:rsidRPr="001779EA">
        <w:t>and comprised</w:t>
      </w:r>
      <w:r w:rsidR="004B6588" w:rsidRPr="001779EA">
        <w:t xml:space="preserve"> two steps</w:t>
      </w:r>
      <w:r w:rsidR="00214D3F" w:rsidRPr="001779EA">
        <w:t>:</w:t>
      </w:r>
    </w:p>
    <w:p w:rsidR="00214D3F" w:rsidRPr="001779EA" w:rsidRDefault="00214D3F" w:rsidP="00F55A73">
      <w:pPr>
        <w:pStyle w:val="Bulletpoints"/>
        <w:widowControl w:val="0"/>
        <w:ind w:left="1276" w:hanging="357"/>
        <w:contextualSpacing w:val="0"/>
      </w:pPr>
      <w:r w:rsidRPr="001779EA">
        <w:t>Step 1:</w:t>
      </w:r>
      <w:r w:rsidRPr="001779EA">
        <w:tab/>
        <w:t>F</w:t>
      </w:r>
      <w:r w:rsidR="00502EFD" w:rsidRPr="001779EA">
        <w:t xml:space="preserve">ulvestrant </w:t>
      </w:r>
      <w:r w:rsidRPr="001779EA">
        <w:t xml:space="preserve">500 </w:t>
      </w:r>
      <w:r w:rsidR="00502EFD" w:rsidRPr="001779EA">
        <w:t xml:space="preserve">mg </w:t>
      </w:r>
      <w:r w:rsidRPr="001779EA">
        <w:t>v</w:t>
      </w:r>
      <w:r w:rsidR="00502EFD" w:rsidRPr="001779EA">
        <w:t>ersu</w:t>
      </w:r>
      <w:r w:rsidRPr="001779EA">
        <w:t xml:space="preserve">s </w:t>
      </w:r>
      <w:r w:rsidR="00F82504" w:rsidRPr="001779EA">
        <w:t xml:space="preserve">EXE </w:t>
      </w:r>
      <w:r w:rsidRPr="001779EA">
        <w:t xml:space="preserve">via </w:t>
      </w:r>
      <w:r w:rsidR="00502EFD" w:rsidRPr="001779EA">
        <w:t>fulvestrant 250 mg</w:t>
      </w:r>
      <w:r w:rsidRPr="001779EA">
        <w:t xml:space="preserve"> as the common comparator</w:t>
      </w:r>
    </w:p>
    <w:p w:rsidR="00214D3F" w:rsidRPr="001779EA" w:rsidRDefault="00214D3F" w:rsidP="00F55A73">
      <w:pPr>
        <w:pStyle w:val="Bulletpoints"/>
        <w:widowControl w:val="0"/>
        <w:ind w:left="1276" w:hanging="357"/>
        <w:contextualSpacing w:val="0"/>
      </w:pPr>
      <w:r w:rsidRPr="001779EA">
        <w:lastRenderedPageBreak/>
        <w:t>Step 2:</w:t>
      </w:r>
      <w:r w:rsidRPr="001779EA">
        <w:tab/>
        <w:t xml:space="preserve">Results of </w:t>
      </w:r>
      <w:r w:rsidR="00F55A73" w:rsidRPr="001779EA">
        <w:t xml:space="preserve">Step </w:t>
      </w:r>
      <w:r w:rsidRPr="001779EA">
        <w:t>1 v</w:t>
      </w:r>
      <w:r w:rsidR="00502EFD" w:rsidRPr="001779EA">
        <w:t>ersu</w:t>
      </w:r>
      <w:r w:rsidRPr="001779EA">
        <w:t xml:space="preserve">s </w:t>
      </w:r>
      <w:r w:rsidR="00F82504" w:rsidRPr="001779EA">
        <w:t>EVE+EXE</w:t>
      </w:r>
      <w:r w:rsidRPr="001779EA">
        <w:t xml:space="preserve"> via </w:t>
      </w:r>
      <w:r w:rsidR="00F82504" w:rsidRPr="001779EA">
        <w:t xml:space="preserve">EXE </w:t>
      </w:r>
      <w:r w:rsidRPr="001779EA">
        <w:t>as the common comparator</w:t>
      </w:r>
      <w:r w:rsidR="004B6588" w:rsidRPr="001779EA">
        <w:t>.</w:t>
      </w:r>
    </w:p>
    <w:p w:rsidR="00C0145A" w:rsidRPr="001779EA" w:rsidRDefault="00C0145A" w:rsidP="00C0145A">
      <w:pPr>
        <w:pStyle w:val="TableHeading0"/>
      </w:pPr>
      <w:r w:rsidRPr="001779EA">
        <w:t xml:space="preserve">Table </w:t>
      </w:r>
      <w:r w:rsidR="006E12CF" w:rsidRPr="001779EA">
        <w:t>1</w:t>
      </w:r>
      <w:r w:rsidR="00B537D3" w:rsidRPr="001779EA">
        <w:t>1</w:t>
      </w:r>
      <w:r w:rsidRPr="001779EA">
        <w:t>: Summary of progression free survival and overall survival results of the</w:t>
      </w:r>
      <w:r w:rsidR="00672CB0" w:rsidRPr="001779EA">
        <w:t xml:space="preserve"> adjusted</w:t>
      </w:r>
      <w:r w:rsidRPr="001779EA">
        <w:t xml:space="preserve"> indirect comparison</w:t>
      </w:r>
    </w:p>
    <w:tbl>
      <w:tblPr>
        <w:tblStyle w:val="AZTable"/>
        <w:tblW w:w="5000" w:type="pct"/>
        <w:tblLayout w:type="fixed"/>
        <w:tblLook w:val="04A0" w:firstRow="1" w:lastRow="0" w:firstColumn="1" w:lastColumn="0" w:noHBand="0" w:noVBand="1"/>
        <w:tblCaption w:val="Table 11: Summary of progression free survival and overall survival results of the adjusted indirect comparison"/>
      </w:tblPr>
      <w:tblGrid>
        <w:gridCol w:w="989"/>
        <w:gridCol w:w="2552"/>
        <w:gridCol w:w="2411"/>
        <w:gridCol w:w="2142"/>
        <w:gridCol w:w="923"/>
      </w:tblGrid>
      <w:tr w:rsidR="00C0145A" w:rsidRPr="001779EA" w:rsidTr="00C0145A">
        <w:trPr>
          <w:cnfStyle w:val="100000000000" w:firstRow="1" w:lastRow="0" w:firstColumn="0" w:lastColumn="0" w:oddVBand="0" w:evenVBand="0" w:oddHBand="0" w:evenHBand="0" w:firstRowFirstColumn="0" w:firstRowLastColumn="0" w:lastRowFirstColumn="0" w:lastRowLastColumn="0"/>
          <w:cantSplit/>
          <w:tblHeader/>
        </w:trPr>
        <w:tc>
          <w:tcPr>
            <w:tcW w:w="548" w:type="pct"/>
            <w:vAlign w:val="top"/>
            <w:hideMark/>
          </w:tcPr>
          <w:p w:rsidR="00C0145A" w:rsidRPr="001779EA" w:rsidRDefault="00C0145A" w:rsidP="00550786">
            <w:pPr>
              <w:pStyle w:val="TableHeading0"/>
              <w:spacing w:before="0" w:after="0" w:line="240" w:lineRule="auto"/>
              <w:jc w:val="left"/>
              <w:rPr>
                <w:sz w:val="20"/>
              </w:rPr>
            </w:pPr>
            <w:r w:rsidRPr="001779EA">
              <w:rPr>
                <w:sz w:val="20"/>
              </w:rPr>
              <w:t>Trial ID</w:t>
            </w:r>
          </w:p>
        </w:tc>
        <w:tc>
          <w:tcPr>
            <w:tcW w:w="1415" w:type="pct"/>
            <w:vAlign w:val="top"/>
            <w:hideMark/>
          </w:tcPr>
          <w:p w:rsidR="00C0145A" w:rsidRPr="001779EA" w:rsidRDefault="00C0145A" w:rsidP="00550786">
            <w:pPr>
              <w:pStyle w:val="TableHeading0"/>
              <w:spacing w:before="0" w:after="0" w:line="240" w:lineRule="auto"/>
              <w:jc w:val="left"/>
              <w:rPr>
                <w:sz w:val="20"/>
              </w:rPr>
            </w:pPr>
            <w:r w:rsidRPr="001779EA">
              <w:rPr>
                <w:sz w:val="20"/>
              </w:rPr>
              <w:t>Proposed medicine versus common reference</w:t>
            </w:r>
          </w:p>
          <w:p w:rsidR="00C0145A" w:rsidRPr="001779EA" w:rsidRDefault="00C0145A" w:rsidP="00550786">
            <w:pPr>
              <w:pStyle w:val="TableHeading0"/>
              <w:spacing w:before="0" w:after="0" w:line="240" w:lineRule="auto"/>
              <w:jc w:val="left"/>
              <w:rPr>
                <w:sz w:val="20"/>
              </w:rPr>
            </w:pPr>
            <w:r w:rsidRPr="001779EA">
              <w:rPr>
                <w:sz w:val="20"/>
              </w:rPr>
              <w:t>Hazard ratio (95% CI)</w:t>
            </w:r>
          </w:p>
        </w:tc>
        <w:tc>
          <w:tcPr>
            <w:tcW w:w="1337" w:type="pct"/>
            <w:vAlign w:val="top"/>
            <w:hideMark/>
          </w:tcPr>
          <w:p w:rsidR="00C0145A" w:rsidRPr="001779EA" w:rsidRDefault="00C0145A" w:rsidP="00550786">
            <w:pPr>
              <w:pStyle w:val="TableHeading0"/>
              <w:spacing w:before="0" w:after="0" w:line="240" w:lineRule="auto"/>
              <w:jc w:val="left"/>
              <w:rPr>
                <w:sz w:val="20"/>
              </w:rPr>
            </w:pPr>
            <w:r w:rsidRPr="001779EA">
              <w:rPr>
                <w:sz w:val="20"/>
              </w:rPr>
              <w:t>Comparator versus common reference</w:t>
            </w:r>
          </w:p>
          <w:p w:rsidR="00C0145A" w:rsidRPr="001779EA" w:rsidRDefault="00C0145A" w:rsidP="00550786">
            <w:pPr>
              <w:pStyle w:val="TableHeading0"/>
              <w:spacing w:before="0" w:after="0" w:line="240" w:lineRule="auto"/>
              <w:jc w:val="left"/>
              <w:rPr>
                <w:sz w:val="20"/>
              </w:rPr>
            </w:pPr>
            <w:r w:rsidRPr="001779EA">
              <w:rPr>
                <w:sz w:val="20"/>
              </w:rPr>
              <w:t>Hazard ratio (95% CI)</w:t>
            </w:r>
          </w:p>
        </w:tc>
        <w:tc>
          <w:tcPr>
            <w:tcW w:w="1188" w:type="pct"/>
            <w:vAlign w:val="top"/>
            <w:hideMark/>
          </w:tcPr>
          <w:p w:rsidR="00C0145A" w:rsidRPr="001779EA" w:rsidRDefault="00C0145A" w:rsidP="00550786">
            <w:pPr>
              <w:pStyle w:val="TableHeading0"/>
              <w:spacing w:before="0" w:after="0" w:line="240" w:lineRule="auto"/>
              <w:jc w:val="left"/>
              <w:rPr>
                <w:sz w:val="20"/>
              </w:rPr>
            </w:pPr>
            <w:r w:rsidRPr="001779EA">
              <w:rPr>
                <w:sz w:val="20"/>
              </w:rPr>
              <w:t>Indirect comparison Hazard ratio (95% CI)</w:t>
            </w:r>
          </w:p>
        </w:tc>
        <w:tc>
          <w:tcPr>
            <w:tcW w:w="512" w:type="pct"/>
            <w:vAlign w:val="top"/>
            <w:hideMark/>
          </w:tcPr>
          <w:p w:rsidR="00C0145A" w:rsidRPr="001779EA" w:rsidRDefault="00C0145A" w:rsidP="00550786">
            <w:pPr>
              <w:pStyle w:val="TableHeading0"/>
              <w:spacing w:before="0" w:after="0" w:line="240" w:lineRule="auto"/>
              <w:jc w:val="left"/>
              <w:rPr>
                <w:sz w:val="20"/>
              </w:rPr>
            </w:pPr>
            <w:r w:rsidRPr="001779EA">
              <w:rPr>
                <w:sz w:val="20"/>
              </w:rPr>
              <w:t>p-value</w:t>
            </w:r>
          </w:p>
        </w:tc>
      </w:tr>
      <w:tr w:rsidR="00C0145A" w:rsidRPr="001779EA" w:rsidTr="00C0145A">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5"/>
          </w:tcPr>
          <w:p w:rsidR="00C0145A" w:rsidRPr="001779EA" w:rsidRDefault="00C0145A" w:rsidP="00C0145A">
            <w:pPr>
              <w:pStyle w:val="Tabletext"/>
              <w:rPr>
                <w:b/>
              </w:rPr>
            </w:pPr>
            <w:r w:rsidRPr="001779EA">
              <w:rPr>
                <w:b/>
              </w:rPr>
              <w:t>PFS</w:t>
            </w:r>
          </w:p>
        </w:tc>
      </w:tr>
      <w:tr w:rsidR="00C0145A" w:rsidRPr="001779EA" w:rsidTr="00061071">
        <w:trPr>
          <w:cantSplit/>
        </w:trPr>
        <w:tc>
          <w:tcPr>
            <w:tcW w:w="5000" w:type="pct"/>
            <w:gridSpan w:val="5"/>
          </w:tcPr>
          <w:p w:rsidR="00C0145A" w:rsidRPr="001779EA" w:rsidRDefault="00C0145A" w:rsidP="00CC67D0">
            <w:pPr>
              <w:pStyle w:val="Tabletext"/>
              <w:rPr>
                <w:vertAlign w:val="superscript"/>
              </w:rPr>
            </w:pPr>
            <w:r w:rsidRPr="001779EA">
              <w:t>Step 1: F</w:t>
            </w:r>
            <w:r w:rsidR="00502EFD" w:rsidRPr="001779EA">
              <w:t xml:space="preserve">ulvestrant </w:t>
            </w:r>
            <w:r w:rsidRPr="001779EA">
              <w:t xml:space="preserve">500 </w:t>
            </w:r>
            <w:r w:rsidR="00502EFD" w:rsidRPr="001779EA">
              <w:t xml:space="preserve">mg </w:t>
            </w:r>
            <w:r w:rsidRPr="001779EA">
              <w:t xml:space="preserve">vs exemestane with </w:t>
            </w:r>
            <w:r w:rsidR="00502EFD" w:rsidRPr="001779EA">
              <w:t xml:space="preserve">fulvestrant </w:t>
            </w:r>
            <w:r w:rsidRPr="001779EA">
              <w:t>250</w:t>
            </w:r>
            <w:r w:rsidR="00502EFD" w:rsidRPr="001779EA">
              <w:t xml:space="preserve"> mg</w:t>
            </w:r>
            <w:r w:rsidRPr="001779EA">
              <w:t xml:space="preserve"> as common comparator</w:t>
            </w:r>
          </w:p>
        </w:tc>
      </w:tr>
      <w:tr w:rsidR="00C0145A" w:rsidRPr="001779EA" w:rsidTr="00C0145A">
        <w:trPr>
          <w:cantSplit/>
        </w:trPr>
        <w:tc>
          <w:tcPr>
            <w:tcW w:w="548" w:type="pct"/>
          </w:tcPr>
          <w:p w:rsidR="00C0145A" w:rsidRPr="001779EA" w:rsidRDefault="00C0145A" w:rsidP="00C0145A">
            <w:pPr>
              <w:pStyle w:val="Tabletext"/>
            </w:pPr>
          </w:p>
        </w:tc>
        <w:tc>
          <w:tcPr>
            <w:tcW w:w="1415" w:type="pct"/>
          </w:tcPr>
          <w:p w:rsidR="00C0145A" w:rsidRPr="001779EA" w:rsidRDefault="00C0145A" w:rsidP="00C0145A">
            <w:pPr>
              <w:pStyle w:val="Tabletext"/>
            </w:pPr>
            <w:r w:rsidRPr="001779EA">
              <w:t>0.79 (0.68, 0.91)</w:t>
            </w:r>
          </w:p>
        </w:tc>
        <w:tc>
          <w:tcPr>
            <w:tcW w:w="1337" w:type="pct"/>
          </w:tcPr>
          <w:p w:rsidR="00C0145A" w:rsidRPr="001779EA" w:rsidRDefault="00C0145A" w:rsidP="00C0145A">
            <w:pPr>
              <w:pStyle w:val="Tabletext"/>
            </w:pPr>
            <w:r w:rsidRPr="001779EA">
              <w:t>1.04 (0.92, 1.18)</w:t>
            </w:r>
          </w:p>
        </w:tc>
        <w:tc>
          <w:tcPr>
            <w:tcW w:w="1188" w:type="pct"/>
          </w:tcPr>
          <w:p w:rsidR="00C0145A" w:rsidRPr="001779EA" w:rsidRDefault="00C0145A" w:rsidP="00C0145A">
            <w:pPr>
              <w:pStyle w:val="Tabletext"/>
              <w:rPr>
                <w:b/>
              </w:rPr>
            </w:pPr>
            <w:r w:rsidRPr="001779EA">
              <w:rPr>
                <w:b/>
              </w:rPr>
              <w:t>0.76 (0.63, 0.91)</w:t>
            </w:r>
          </w:p>
        </w:tc>
        <w:tc>
          <w:tcPr>
            <w:tcW w:w="512" w:type="pct"/>
          </w:tcPr>
          <w:p w:rsidR="00C0145A" w:rsidRPr="001779EA" w:rsidRDefault="00C0145A" w:rsidP="00C0145A">
            <w:pPr>
              <w:pStyle w:val="Tabletext"/>
            </w:pPr>
            <w:r w:rsidRPr="001779EA">
              <w:t>0.004</w:t>
            </w:r>
          </w:p>
        </w:tc>
      </w:tr>
      <w:tr w:rsidR="00C0145A" w:rsidRPr="001779EA" w:rsidTr="00061071">
        <w:trPr>
          <w:cantSplit/>
        </w:trPr>
        <w:tc>
          <w:tcPr>
            <w:tcW w:w="5000" w:type="pct"/>
            <w:gridSpan w:val="5"/>
          </w:tcPr>
          <w:p w:rsidR="00C0145A" w:rsidRPr="001779EA" w:rsidRDefault="00C0145A" w:rsidP="00C0145A">
            <w:pPr>
              <w:pStyle w:val="Tabletext"/>
            </w:pPr>
            <w:r w:rsidRPr="001779EA">
              <w:t>Step 2: Step 1 vs Eve+Exe with exemestane as common comparator</w:t>
            </w:r>
          </w:p>
        </w:tc>
      </w:tr>
      <w:tr w:rsidR="00C0145A" w:rsidRPr="001779EA" w:rsidTr="00C0145A">
        <w:trPr>
          <w:cantSplit/>
        </w:trPr>
        <w:tc>
          <w:tcPr>
            <w:tcW w:w="548" w:type="pct"/>
            <w:hideMark/>
          </w:tcPr>
          <w:p w:rsidR="00C0145A" w:rsidRPr="001779EA" w:rsidRDefault="00C0145A" w:rsidP="00C0145A">
            <w:pPr>
              <w:pStyle w:val="Tabletext"/>
            </w:pPr>
          </w:p>
        </w:tc>
        <w:tc>
          <w:tcPr>
            <w:tcW w:w="1415" w:type="pct"/>
          </w:tcPr>
          <w:p w:rsidR="00C0145A" w:rsidRPr="001779EA" w:rsidRDefault="00C0145A" w:rsidP="00C0145A">
            <w:pPr>
              <w:pStyle w:val="Tabletext"/>
            </w:pPr>
            <w:r w:rsidRPr="001779EA">
              <w:t>0.76 (0.63, 0.91)</w:t>
            </w:r>
          </w:p>
        </w:tc>
        <w:tc>
          <w:tcPr>
            <w:tcW w:w="1337" w:type="pct"/>
          </w:tcPr>
          <w:p w:rsidR="00C0145A" w:rsidRPr="001779EA" w:rsidRDefault="00C0145A" w:rsidP="00C0145A">
            <w:pPr>
              <w:pStyle w:val="Tabletext"/>
            </w:pPr>
            <w:r w:rsidRPr="001779EA">
              <w:t>0.45 (0.38, 0.54)</w:t>
            </w:r>
          </w:p>
        </w:tc>
        <w:tc>
          <w:tcPr>
            <w:tcW w:w="1188" w:type="pct"/>
            <w:hideMark/>
          </w:tcPr>
          <w:p w:rsidR="00C0145A" w:rsidRPr="001779EA" w:rsidRDefault="00C0145A" w:rsidP="00C0145A">
            <w:pPr>
              <w:pStyle w:val="Tabletext"/>
            </w:pPr>
            <w:r w:rsidRPr="001779EA">
              <w:t>1.685 (1.302, 2.181)</w:t>
            </w:r>
          </w:p>
        </w:tc>
        <w:tc>
          <w:tcPr>
            <w:tcW w:w="512" w:type="pct"/>
            <w:hideMark/>
          </w:tcPr>
          <w:p w:rsidR="00C0145A" w:rsidRPr="001779EA" w:rsidRDefault="00C0145A" w:rsidP="00C0145A">
            <w:pPr>
              <w:pStyle w:val="Tabletext"/>
            </w:pPr>
            <w:r w:rsidRPr="001779EA">
              <w:t>0.0001</w:t>
            </w:r>
          </w:p>
        </w:tc>
      </w:tr>
      <w:tr w:rsidR="00C0145A" w:rsidRPr="001779EA" w:rsidTr="00C0145A">
        <w:trPr>
          <w:cantSplit/>
        </w:trPr>
        <w:tc>
          <w:tcPr>
            <w:tcW w:w="5000" w:type="pct"/>
            <w:gridSpan w:val="5"/>
          </w:tcPr>
          <w:p w:rsidR="00C0145A" w:rsidRPr="001779EA" w:rsidRDefault="00C0145A" w:rsidP="00C0145A">
            <w:pPr>
              <w:pStyle w:val="Tabletext"/>
              <w:rPr>
                <w:b/>
              </w:rPr>
            </w:pPr>
            <w:r w:rsidRPr="001779EA">
              <w:rPr>
                <w:b/>
              </w:rPr>
              <w:t>OS</w:t>
            </w:r>
          </w:p>
        </w:tc>
      </w:tr>
      <w:tr w:rsidR="00C0145A" w:rsidRPr="001779EA" w:rsidTr="00061071">
        <w:trPr>
          <w:cantSplit/>
        </w:trPr>
        <w:tc>
          <w:tcPr>
            <w:tcW w:w="5000" w:type="pct"/>
            <w:gridSpan w:val="5"/>
          </w:tcPr>
          <w:p w:rsidR="00C0145A" w:rsidRPr="001779EA" w:rsidRDefault="00C0145A" w:rsidP="00502EFD">
            <w:pPr>
              <w:pStyle w:val="Tabletext"/>
            </w:pPr>
            <w:r w:rsidRPr="001779EA">
              <w:t>Step 1: F</w:t>
            </w:r>
            <w:r w:rsidR="00502EFD" w:rsidRPr="001779EA">
              <w:t xml:space="preserve">ulvestrant </w:t>
            </w:r>
            <w:r w:rsidRPr="001779EA">
              <w:t>500</w:t>
            </w:r>
            <w:r w:rsidR="00502EFD" w:rsidRPr="001779EA">
              <w:t xml:space="preserve"> mg</w:t>
            </w:r>
            <w:r w:rsidRPr="001779EA">
              <w:t xml:space="preserve"> vs exemestane with </w:t>
            </w:r>
            <w:r w:rsidR="00502EFD" w:rsidRPr="001779EA">
              <w:t xml:space="preserve">fulvestrant </w:t>
            </w:r>
            <w:r w:rsidRPr="001779EA">
              <w:t>250</w:t>
            </w:r>
            <w:r w:rsidR="00502EFD" w:rsidRPr="001779EA">
              <w:t xml:space="preserve"> mg</w:t>
            </w:r>
            <w:r w:rsidRPr="001779EA">
              <w:t xml:space="preserve"> as common comparator</w:t>
            </w:r>
          </w:p>
        </w:tc>
      </w:tr>
      <w:tr w:rsidR="00C0145A" w:rsidRPr="001779EA" w:rsidTr="00C0145A">
        <w:trPr>
          <w:cantSplit/>
        </w:trPr>
        <w:tc>
          <w:tcPr>
            <w:tcW w:w="548" w:type="pct"/>
          </w:tcPr>
          <w:p w:rsidR="00C0145A" w:rsidRPr="001779EA" w:rsidRDefault="00C0145A" w:rsidP="00C0145A">
            <w:pPr>
              <w:pStyle w:val="Tabletext"/>
            </w:pPr>
          </w:p>
        </w:tc>
        <w:tc>
          <w:tcPr>
            <w:tcW w:w="1415" w:type="pct"/>
          </w:tcPr>
          <w:p w:rsidR="00C0145A" w:rsidRPr="001779EA" w:rsidRDefault="00C0145A" w:rsidP="00C0145A">
            <w:pPr>
              <w:pStyle w:val="Tabletext"/>
            </w:pPr>
            <w:r w:rsidRPr="001779EA">
              <w:t>0.81 (0.69, 0.96)</w:t>
            </w:r>
          </w:p>
        </w:tc>
        <w:tc>
          <w:tcPr>
            <w:tcW w:w="1337" w:type="pct"/>
          </w:tcPr>
          <w:p w:rsidR="00C0145A" w:rsidRPr="001779EA" w:rsidRDefault="00C0145A" w:rsidP="00C0145A">
            <w:pPr>
              <w:pStyle w:val="Tabletext"/>
            </w:pPr>
            <w:r w:rsidRPr="001779EA">
              <w:t>0.97 (0.84, 1.12)</w:t>
            </w:r>
          </w:p>
        </w:tc>
        <w:tc>
          <w:tcPr>
            <w:tcW w:w="1188" w:type="pct"/>
          </w:tcPr>
          <w:p w:rsidR="00C0145A" w:rsidRPr="001779EA" w:rsidRDefault="00C0145A" w:rsidP="00C0145A">
            <w:pPr>
              <w:pStyle w:val="Tabletext"/>
            </w:pPr>
            <w:r w:rsidRPr="001779EA">
              <w:t>0.834 (0.67, 1.04)</w:t>
            </w:r>
          </w:p>
        </w:tc>
        <w:tc>
          <w:tcPr>
            <w:tcW w:w="512" w:type="pct"/>
          </w:tcPr>
          <w:p w:rsidR="00C0145A" w:rsidRPr="001779EA" w:rsidRDefault="00C0145A" w:rsidP="00C0145A">
            <w:pPr>
              <w:pStyle w:val="Tabletext"/>
            </w:pPr>
            <w:r w:rsidRPr="001779EA">
              <w:t>0.1064</w:t>
            </w:r>
          </w:p>
        </w:tc>
      </w:tr>
      <w:tr w:rsidR="00C0145A" w:rsidRPr="001779EA" w:rsidTr="00061071">
        <w:trPr>
          <w:cantSplit/>
        </w:trPr>
        <w:tc>
          <w:tcPr>
            <w:tcW w:w="5000" w:type="pct"/>
            <w:gridSpan w:val="5"/>
          </w:tcPr>
          <w:p w:rsidR="00C0145A" w:rsidRPr="001779EA" w:rsidRDefault="00C0145A" w:rsidP="00C0145A">
            <w:pPr>
              <w:pStyle w:val="Tabletext"/>
            </w:pPr>
            <w:r w:rsidRPr="001779EA">
              <w:t>Step 2: Step 1 vs Eve+Exe with exemestane as common comparator</w:t>
            </w:r>
          </w:p>
        </w:tc>
      </w:tr>
      <w:tr w:rsidR="00C0145A" w:rsidRPr="001779EA" w:rsidTr="00C0145A">
        <w:trPr>
          <w:cantSplit/>
        </w:trPr>
        <w:tc>
          <w:tcPr>
            <w:tcW w:w="548" w:type="pct"/>
            <w:hideMark/>
          </w:tcPr>
          <w:p w:rsidR="00C0145A" w:rsidRPr="001779EA" w:rsidRDefault="00C0145A" w:rsidP="00C0145A">
            <w:pPr>
              <w:pStyle w:val="Tabletext"/>
            </w:pPr>
          </w:p>
        </w:tc>
        <w:tc>
          <w:tcPr>
            <w:tcW w:w="1415" w:type="pct"/>
          </w:tcPr>
          <w:p w:rsidR="00C0145A" w:rsidRPr="001779EA" w:rsidRDefault="00C0145A" w:rsidP="00C0145A">
            <w:pPr>
              <w:pStyle w:val="Tabletext"/>
            </w:pPr>
            <w:r w:rsidRPr="001779EA">
              <w:t>0.834 (0.67, 1.04)</w:t>
            </w:r>
          </w:p>
        </w:tc>
        <w:tc>
          <w:tcPr>
            <w:tcW w:w="1337" w:type="pct"/>
          </w:tcPr>
          <w:p w:rsidR="00C0145A" w:rsidRPr="001779EA" w:rsidRDefault="00C0145A" w:rsidP="00C0145A">
            <w:pPr>
              <w:pStyle w:val="Tabletext"/>
            </w:pPr>
            <w:r w:rsidRPr="001779EA">
              <w:t>0.89 (0.73, 1.1)</w:t>
            </w:r>
          </w:p>
        </w:tc>
        <w:tc>
          <w:tcPr>
            <w:tcW w:w="1188" w:type="pct"/>
          </w:tcPr>
          <w:p w:rsidR="00C0145A" w:rsidRPr="001779EA" w:rsidRDefault="00C0145A" w:rsidP="00C0145A">
            <w:pPr>
              <w:pStyle w:val="Tabletext"/>
            </w:pPr>
            <w:r w:rsidRPr="001779EA">
              <w:t>0.94 (0.69, 1.27)</w:t>
            </w:r>
          </w:p>
        </w:tc>
        <w:tc>
          <w:tcPr>
            <w:tcW w:w="512" w:type="pct"/>
          </w:tcPr>
          <w:p w:rsidR="00C0145A" w:rsidRPr="001779EA" w:rsidRDefault="00C0145A" w:rsidP="00C0145A">
            <w:pPr>
              <w:pStyle w:val="Tabletext"/>
            </w:pPr>
            <w:r w:rsidRPr="001779EA">
              <w:t>0.6735</w:t>
            </w:r>
          </w:p>
        </w:tc>
      </w:tr>
    </w:tbl>
    <w:p w:rsidR="00C0145A" w:rsidRPr="001779EA" w:rsidRDefault="00C0145A" w:rsidP="00C0145A">
      <w:pPr>
        <w:pStyle w:val="TableFigureFooter"/>
      </w:pPr>
      <w:r w:rsidRPr="001779EA">
        <w:t>CI = confidence interval; n = number of participants reporting data; N = total participants in group; OS: Overall survival; PFS: progression free survival</w:t>
      </w:r>
    </w:p>
    <w:p w:rsidR="00C0145A" w:rsidRPr="001779EA" w:rsidRDefault="00C0145A" w:rsidP="00C0145A">
      <w:pPr>
        <w:pStyle w:val="TableFigureFooter"/>
      </w:pPr>
      <w:r w:rsidRPr="001779EA">
        <w:t>Source: Compiled during the evaluation based on Tables 2.31-2.32 of atta</w:t>
      </w:r>
      <w:r w:rsidR="00672CB0" w:rsidRPr="001779EA">
        <w:t>c</w:t>
      </w:r>
      <w:r w:rsidRPr="001779EA">
        <w:t>hment A2.5_formal_ITC_vs_Eve+Exe</w:t>
      </w:r>
    </w:p>
    <w:p w:rsidR="00B4350C" w:rsidRPr="001779EA" w:rsidRDefault="00B4350C" w:rsidP="00B4350C">
      <w:pPr>
        <w:pStyle w:val="3-BodyText"/>
        <w:numPr>
          <w:ilvl w:val="1"/>
          <w:numId w:val="1"/>
        </w:numPr>
      </w:pPr>
      <w:r w:rsidRPr="001779EA">
        <w:t xml:space="preserve">PFS was estimated to be statistically significantly worse with fulvestrant compared to </w:t>
      </w:r>
      <w:r w:rsidR="00F82504" w:rsidRPr="001779EA">
        <w:t>EVE+EXE</w:t>
      </w:r>
      <w:r w:rsidRPr="001779EA">
        <w:t>: PFS hazard ratio: 1.69 (95% CI: 1.30, 2.18) (Table 1</w:t>
      </w:r>
      <w:r w:rsidR="00BD05E5" w:rsidRPr="001779EA">
        <w:t>1</w:t>
      </w:r>
      <w:r w:rsidRPr="001779EA">
        <w:t>).</w:t>
      </w:r>
    </w:p>
    <w:p w:rsidR="0079059D" w:rsidRPr="001779EA" w:rsidRDefault="00F40437" w:rsidP="00231B5F">
      <w:pPr>
        <w:pStyle w:val="3-BodyText"/>
      </w:pPr>
      <w:r w:rsidRPr="001779EA">
        <w:t>T</w:t>
      </w:r>
      <w:r w:rsidR="0079059D" w:rsidRPr="001779EA">
        <w:t xml:space="preserve">he adjusted indirect comparison estimated </w:t>
      </w:r>
      <w:r w:rsidR="003E1307" w:rsidRPr="001779EA">
        <w:t xml:space="preserve">an </w:t>
      </w:r>
      <w:r w:rsidR="0079059D" w:rsidRPr="001779EA">
        <w:t>OS hazard ratio</w:t>
      </w:r>
      <w:r w:rsidR="003E1307" w:rsidRPr="001779EA">
        <w:t xml:space="preserve"> </w:t>
      </w:r>
      <w:r w:rsidR="00F524B7" w:rsidRPr="001779EA">
        <w:t>of 0.94</w:t>
      </w:r>
      <w:r w:rsidR="0079059D" w:rsidRPr="001779EA">
        <w:t xml:space="preserve"> (</w:t>
      </w:r>
      <w:r w:rsidR="00231B5F" w:rsidRPr="001779EA">
        <w:t xml:space="preserve">95% CI: </w:t>
      </w:r>
      <w:r w:rsidR="0079059D" w:rsidRPr="001779EA">
        <w:t>0.69, 1.27).</w:t>
      </w:r>
      <w:r w:rsidR="0079059D" w:rsidRPr="001779EA">
        <w:rPr>
          <w:i/>
        </w:rPr>
        <w:t xml:space="preserve"> </w:t>
      </w:r>
      <w:r w:rsidR="0079059D" w:rsidRPr="001779EA">
        <w:t xml:space="preserve">The submission </w:t>
      </w:r>
      <w:r w:rsidR="00831002" w:rsidRPr="001779EA">
        <w:t xml:space="preserve">did not propose a </w:t>
      </w:r>
      <w:r w:rsidR="0079059D" w:rsidRPr="001779EA">
        <w:t>non-inferiority margin</w:t>
      </w:r>
      <w:r w:rsidR="009F5FA9" w:rsidRPr="001779EA">
        <w:t xml:space="preserve">. However, </w:t>
      </w:r>
      <w:r w:rsidR="00D56CA2" w:rsidRPr="001779EA">
        <w:t xml:space="preserve">the commentary considered that </w:t>
      </w:r>
      <w:r w:rsidR="009F5FA9" w:rsidRPr="001779EA">
        <w:t xml:space="preserve">it </w:t>
      </w:r>
      <w:r w:rsidR="00E7753C" w:rsidRPr="001779EA">
        <w:t>may not be reasonable</w:t>
      </w:r>
      <w:r w:rsidR="009F5FA9" w:rsidRPr="001779EA">
        <w:t xml:space="preserve"> </w:t>
      </w:r>
      <w:r w:rsidR="0079059D" w:rsidRPr="001779EA">
        <w:t xml:space="preserve">to conclude that fulvestrant is non-inferior to </w:t>
      </w:r>
      <w:r w:rsidR="00F82504" w:rsidRPr="001779EA">
        <w:t>EVE+EXE</w:t>
      </w:r>
      <w:r w:rsidR="00D4287A" w:rsidRPr="001779EA">
        <w:t xml:space="preserve"> </w:t>
      </w:r>
      <w:r w:rsidR="0079059D" w:rsidRPr="001779EA">
        <w:t xml:space="preserve">in terms of OS, because the upper 95% confidence limit of 1.27 represents a substantial increase in mortality, and because it does not capture the additional unquantified uncertainty inherent in all adjusted indirect comparisons, in respect of the transitivity of treatment effects across trials. The transitivity assumption is likely to be violated, given </w:t>
      </w:r>
      <w:r w:rsidR="00231B5F" w:rsidRPr="001779EA">
        <w:t xml:space="preserve">the heterogeneity between trials in terms of </w:t>
      </w:r>
      <w:r w:rsidR="00231B5F" w:rsidRPr="001779EA">
        <w:rPr>
          <w:iCs/>
        </w:rPr>
        <w:t>HER2 status and number of prior therapies</w:t>
      </w:r>
      <w:r w:rsidR="00231B5F" w:rsidRPr="001779EA">
        <w:t xml:space="preserve"> and the </w:t>
      </w:r>
      <w:r w:rsidR="00231B5F" w:rsidRPr="001779EA">
        <w:rPr>
          <w:iCs/>
        </w:rPr>
        <w:t>variability in PFS and OS in the control arms of the trials</w:t>
      </w:r>
      <w:r w:rsidR="0079059D" w:rsidRPr="001779EA">
        <w:t>.</w:t>
      </w:r>
      <w:r w:rsidR="00672CB0" w:rsidRPr="001779EA">
        <w:t xml:space="preserve"> </w:t>
      </w:r>
    </w:p>
    <w:p w:rsidR="0079059D" w:rsidRPr="001779EA" w:rsidRDefault="0079059D" w:rsidP="00247EDC">
      <w:pPr>
        <w:pStyle w:val="4-SubsectionHeading"/>
      </w:pPr>
      <w:bookmarkStart w:id="39" w:name="_Toc40935320"/>
      <w:r w:rsidRPr="001779EA">
        <w:t>Comparative harms (</w:t>
      </w:r>
      <w:r w:rsidR="00D4287A" w:rsidRPr="001779EA">
        <w:t>second</w:t>
      </w:r>
      <w:r w:rsidRPr="001779EA">
        <w:t>-line)</w:t>
      </w:r>
      <w:bookmarkEnd w:id="39"/>
    </w:p>
    <w:p w:rsidR="0079059D" w:rsidRPr="001779EA" w:rsidRDefault="0079059D" w:rsidP="00247EDC">
      <w:pPr>
        <w:pStyle w:val="3-BodyText"/>
      </w:pPr>
      <w:r w:rsidRPr="001779EA">
        <w:t xml:space="preserve">A summary of key adverse events (AEs) for the fulvestrant 500mg arm in CONFIRM and the </w:t>
      </w:r>
      <w:r w:rsidR="003E1307" w:rsidRPr="001779EA">
        <w:t>EVE+EXE</w:t>
      </w:r>
      <w:r w:rsidRPr="001779EA">
        <w:t xml:space="preserve"> arm in </w:t>
      </w:r>
      <w:r w:rsidR="0070032E" w:rsidRPr="001779EA">
        <w:t xml:space="preserve">BOLERO-2 is provided in Table </w:t>
      </w:r>
      <w:r w:rsidR="00E10A14" w:rsidRPr="001779EA">
        <w:t>1</w:t>
      </w:r>
      <w:r w:rsidR="00BD05E5" w:rsidRPr="001779EA">
        <w:t>2</w:t>
      </w:r>
      <w:r w:rsidRPr="001779EA">
        <w:t>.</w:t>
      </w:r>
    </w:p>
    <w:p w:rsidR="0079059D" w:rsidRPr="001779EA" w:rsidRDefault="0079059D" w:rsidP="00247EDC">
      <w:pPr>
        <w:pStyle w:val="3-BodyText"/>
        <w:numPr>
          <w:ilvl w:val="0"/>
          <w:numId w:val="0"/>
        </w:numPr>
        <w:ind w:left="720"/>
      </w:pPr>
    </w:p>
    <w:p w:rsidR="0079059D" w:rsidRPr="001779EA" w:rsidRDefault="0070032E" w:rsidP="00247EDC">
      <w:pPr>
        <w:pStyle w:val="TableFigureHeading"/>
        <w:rPr>
          <w:u w:val="single"/>
        </w:rPr>
      </w:pPr>
      <w:r w:rsidRPr="001779EA">
        <w:lastRenderedPageBreak/>
        <w:t xml:space="preserve">Table </w:t>
      </w:r>
      <w:r w:rsidR="006E12CF" w:rsidRPr="001779EA">
        <w:t>1</w:t>
      </w:r>
      <w:r w:rsidR="00BD05E5" w:rsidRPr="001779EA">
        <w:t>2</w:t>
      </w:r>
      <w:r w:rsidR="0079059D" w:rsidRPr="001779EA">
        <w:t>: Summary of patients who had at least 1 AE in any category</w:t>
      </w:r>
    </w:p>
    <w:tbl>
      <w:tblPr>
        <w:tblStyle w:val="TableGrid"/>
        <w:tblW w:w="5000" w:type="pct"/>
        <w:tblLook w:val="04A0" w:firstRow="1" w:lastRow="0" w:firstColumn="1" w:lastColumn="0" w:noHBand="0" w:noVBand="1"/>
        <w:tblCaption w:val="Table 12: Summary of patients who had at least 1 AE in any category"/>
      </w:tblPr>
      <w:tblGrid>
        <w:gridCol w:w="5875"/>
        <w:gridCol w:w="3142"/>
      </w:tblGrid>
      <w:tr w:rsidR="0079059D" w:rsidRPr="001779EA" w:rsidTr="000C0C23">
        <w:trPr>
          <w:trHeight w:val="215"/>
          <w:tblHeader/>
        </w:trPr>
        <w:tc>
          <w:tcPr>
            <w:tcW w:w="3258" w:type="pct"/>
            <w:tcBorders>
              <w:top w:val="single" w:sz="4" w:space="0" w:color="auto"/>
              <w:left w:val="single" w:sz="4" w:space="0" w:color="auto"/>
              <w:bottom w:val="nil"/>
              <w:right w:val="single" w:sz="4" w:space="0" w:color="auto"/>
            </w:tcBorders>
          </w:tcPr>
          <w:p w:rsidR="0079059D" w:rsidRPr="001779EA" w:rsidRDefault="0079059D" w:rsidP="00A54995">
            <w:pPr>
              <w:pStyle w:val="TableText0"/>
            </w:pPr>
          </w:p>
        </w:tc>
        <w:tc>
          <w:tcPr>
            <w:tcW w:w="1742" w:type="pct"/>
            <w:tcBorders>
              <w:top w:val="single" w:sz="4" w:space="0" w:color="auto"/>
              <w:left w:val="single" w:sz="4" w:space="0" w:color="auto"/>
              <w:bottom w:val="single" w:sz="4" w:space="0" w:color="auto"/>
              <w:right w:val="single" w:sz="4" w:space="0" w:color="auto"/>
            </w:tcBorders>
            <w:vAlign w:val="center"/>
            <w:hideMark/>
          </w:tcPr>
          <w:p w:rsidR="0079059D" w:rsidRPr="001779EA" w:rsidRDefault="0079059D" w:rsidP="00A54995">
            <w:pPr>
              <w:pStyle w:val="TableHeading0"/>
              <w:spacing w:before="0" w:after="0" w:line="240" w:lineRule="auto"/>
              <w:jc w:val="center"/>
            </w:pPr>
            <w:r w:rsidRPr="001779EA">
              <w:t>Number (%) of patients</w:t>
            </w:r>
          </w:p>
        </w:tc>
      </w:tr>
      <w:tr w:rsidR="0079059D" w:rsidRPr="001779EA" w:rsidTr="000C0C23">
        <w:trPr>
          <w:tblHeader/>
        </w:trPr>
        <w:tc>
          <w:tcPr>
            <w:tcW w:w="3258" w:type="pct"/>
            <w:tcBorders>
              <w:top w:val="nil"/>
              <w:left w:val="single" w:sz="4" w:space="0" w:color="auto"/>
              <w:bottom w:val="single" w:sz="4" w:space="0" w:color="auto"/>
              <w:right w:val="single" w:sz="4" w:space="0" w:color="auto"/>
            </w:tcBorders>
          </w:tcPr>
          <w:p w:rsidR="0079059D" w:rsidRPr="001779EA" w:rsidRDefault="0079059D" w:rsidP="00A54995">
            <w:pPr>
              <w:pStyle w:val="TableText0"/>
              <w:rPr>
                <w:b/>
              </w:rPr>
            </w:pPr>
            <w:r w:rsidRPr="001779EA">
              <w:rPr>
                <w:b/>
              </w:rPr>
              <w:t>CONFIRM trial</w:t>
            </w:r>
          </w:p>
        </w:tc>
        <w:tc>
          <w:tcPr>
            <w:tcW w:w="1742" w:type="pct"/>
            <w:tcBorders>
              <w:top w:val="single" w:sz="4" w:space="0" w:color="auto"/>
              <w:left w:val="single" w:sz="4" w:space="0" w:color="auto"/>
              <w:bottom w:val="single" w:sz="4" w:space="0" w:color="auto"/>
              <w:right w:val="single" w:sz="4" w:space="0" w:color="auto"/>
            </w:tcBorders>
            <w:vAlign w:val="center"/>
            <w:hideMark/>
          </w:tcPr>
          <w:p w:rsidR="0079059D" w:rsidRPr="001779EA" w:rsidRDefault="0079059D" w:rsidP="00A54995">
            <w:pPr>
              <w:pStyle w:val="TableHeading0"/>
              <w:spacing w:before="0" w:after="0" w:line="240" w:lineRule="auto"/>
              <w:jc w:val="center"/>
              <w:rPr>
                <w:rFonts w:cs="TimesNewRoman,Bold"/>
                <w:bCs/>
              </w:rPr>
            </w:pPr>
            <w:r w:rsidRPr="001779EA">
              <w:rPr>
                <w:rFonts w:cs="TimesNewRoman,Bold"/>
                <w:bCs/>
              </w:rPr>
              <w:t>Fulvestrant 500 mg</w:t>
            </w:r>
          </w:p>
          <w:p w:rsidR="0079059D" w:rsidRPr="001779EA" w:rsidRDefault="0079059D" w:rsidP="00A54995">
            <w:pPr>
              <w:pStyle w:val="TableHeading0"/>
              <w:spacing w:before="0" w:after="0" w:line="240" w:lineRule="auto"/>
              <w:jc w:val="center"/>
            </w:pPr>
            <w:r w:rsidRPr="001779EA">
              <w:rPr>
                <w:rFonts w:cs="TimesNewRoman,Bold"/>
                <w:bCs/>
              </w:rPr>
              <w:t>N=361</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hideMark/>
          </w:tcPr>
          <w:p w:rsidR="0079059D" w:rsidRPr="001779EA" w:rsidRDefault="0079059D" w:rsidP="00247EDC">
            <w:pPr>
              <w:pStyle w:val="TableText0"/>
              <w:rPr>
                <w:rFonts w:cstheme="minorBidi"/>
              </w:rPr>
            </w:pPr>
            <w:r w:rsidRPr="001779EA">
              <w:rPr>
                <w:rFonts w:cs="TimesNewRoman"/>
              </w:rPr>
              <w:t>Any AE</w:t>
            </w:r>
          </w:p>
        </w:tc>
        <w:tc>
          <w:tcPr>
            <w:tcW w:w="1742" w:type="pct"/>
            <w:tcBorders>
              <w:top w:val="single" w:sz="4" w:space="0" w:color="auto"/>
              <w:left w:val="single" w:sz="4" w:space="0" w:color="auto"/>
              <w:bottom w:val="single" w:sz="4" w:space="0" w:color="auto"/>
              <w:right w:val="single" w:sz="4" w:space="0" w:color="auto"/>
            </w:tcBorders>
            <w:vAlign w:val="center"/>
            <w:hideMark/>
          </w:tcPr>
          <w:p w:rsidR="0079059D" w:rsidRPr="001779EA" w:rsidRDefault="0079059D" w:rsidP="00247EDC">
            <w:pPr>
              <w:pStyle w:val="TableText0"/>
              <w:jc w:val="center"/>
              <w:rPr>
                <w:rFonts w:cs="TimesNewRoman"/>
              </w:rPr>
            </w:pPr>
            <w:r w:rsidRPr="001779EA">
              <w:rPr>
                <w:rFonts w:cs="TimesNewRoman"/>
              </w:rPr>
              <w:t>243 (67.3)</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causally related AE</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96 (26.6)</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vertAlign w:val="superscript"/>
              </w:rPr>
            </w:pPr>
            <w:r w:rsidRPr="001779EA">
              <w:rPr>
                <w:rFonts w:cs="TimesNewRoman"/>
              </w:rPr>
              <w:t>Any SAE</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29 (8.0)</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causally related SAE</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1 (0.3)</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AE leading to discontinuation of treatment (DAE)</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8 (2.2)</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causally related DAE</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2 (0.6)</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other significant AE (OAE)</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0</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AE of CTC grade 3 or higher</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53 (14.7)</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causally related AE of CTC grade 3 or higher</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4 (1.1)</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AE with outcome of death</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5 (1.4)</w:t>
            </w:r>
          </w:p>
        </w:tc>
      </w:tr>
      <w:tr w:rsidR="0079059D" w:rsidRPr="001779EA" w:rsidTr="000C0C23">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Text0"/>
              <w:rPr>
                <w:rFonts w:cs="TimesNewRoman"/>
              </w:rPr>
            </w:pPr>
            <w:r w:rsidRPr="001779EA">
              <w:rPr>
                <w:rFonts w:cs="TimesNewRoman"/>
              </w:rPr>
              <w:t>Any causally related AE with outcome of death</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jc w:val="center"/>
              <w:rPr>
                <w:rFonts w:cs="TimesNewRoman"/>
              </w:rPr>
            </w:pPr>
            <w:r w:rsidRPr="001779EA">
              <w:rPr>
                <w:rFonts w:cs="TimesNewRoman"/>
              </w:rPr>
              <w:t>0</w:t>
            </w:r>
          </w:p>
        </w:tc>
      </w:tr>
      <w:tr w:rsidR="0079059D" w:rsidRPr="001779EA" w:rsidTr="000C0C23">
        <w:trPr>
          <w:tblHeader/>
        </w:trPr>
        <w:tc>
          <w:tcPr>
            <w:tcW w:w="3258" w:type="pct"/>
            <w:tcBorders>
              <w:top w:val="single" w:sz="4" w:space="0" w:color="auto"/>
              <w:left w:val="single" w:sz="4" w:space="0" w:color="auto"/>
              <w:bottom w:val="single" w:sz="4" w:space="0" w:color="auto"/>
              <w:right w:val="single" w:sz="4" w:space="0" w:color="auto"/>
            </w:tcBorders>
          </w:tcPr>
          <w:p w:rsidR="0079059D" w:rsidRPr="001779EA" w:rsidRDefault="0079059D" w:rsidP="00247EDC">
            <w:pPr>
              <w:pStyle w:val="TableHeading0"/>
            </w:pPr>
            <w:r w:rsidRPr="001779EA">
              <w:t>BOLERO-2 trial</w:t>
            </w:r>
          </w:p>
        </w:tc>
        <w:tc>
          <w:tcPr>
            <w:tcW w:w="1742" w:type="pct"/>
            <w:tcBorders>
              <w:top w:val="single" w:sz="4" w:space="0" w:color="auto"/>
              <w:left w:val="single" w:sz="4" w:space="0" w:color="auto"/>
              <w:bottom w:val="single" w:sz="4" w:space="0" w:color="auto"/>
              <w:right w:val="single" w:sz="4" w:space="0" w:color="auto"/>
            </w:tcBorders>
            <w:vAlign w:val="center"/>
            <w:hideMark/>
          </w:tcPr>
          <w:p w:rsidR="0079059D" w:rsidRPr="001779EA" w:rsidRDefault="00A259B8" w:rsidP="00247EDC">
            <w:pPr>
              <w:pStyle w:val="TableHeading0"/>
              <w:jc w:val="center"/>
              <w:rPr>
                <w:rFonts w:cs="TimesNewRoman,Bold"/>
                <w:bCs/>
              </w:rPr>
            </w:pPr>
            <w:r w:rsidRPr="001779EA">
              <w:t>Everolimus + Exemestane</w:t>
            </w:r>
            <w:r w:rsidRPr="001779EA">
              <w:rPr>
                <w:rFonts w:cs="AdvOT1ef757c0"/>
              </w:rPr>
              <w:t xml:space="preserve"> </w:t>
            </w:r>
            <w:r w:rsidR="0079059D" w:rsidRPr="001779EA">
              <w:rPr>
                <w:rFonts w:cs="AdvOT1ef757c0"/>
              </w:rPr>
              <w:t>(</w:t>
            </w:r>
            <w:r w:rsidR="0079059D" w:rsidRPr="001779EA">
              <w:rPr>
                <w:rFonts w:cs="AdvOT7d6df7ab.I"/>
              </w:rPr>
              <w:t xml:space="preserve">n </w:t>
            </w:r>
            <w:r w:rsidR="0079059D" w:rsidRPr="001779EA">
              <w:rPr>
                <w:rFonts w:cs="AdvOT1ef757c0"/>
              </w:rPr>
              <w:t>= 482)</w:t>
            </w:r>
          </w:p>
        </w:tc>
      </w:tr>
      <w:tr w:rsidR="0079059D" w:rsidRPr="001779EA" w:rsidTr="000C0C23">
        <w:tc>
          <w:tcPr>
            <w:tcW w:w="3258" w:type="pct"/>
            <w:tcBorders>
              <w:top w:val="single" w:sz="4" w:space="0" w:color="auto"/>
              <w:left w:val="single" w:sz="4" w:space="0" w:color="auto"/>
              <w:bottom w:val="nil"/>
              <w:right w:val="single" w:sz="4" w:space="0" w:color="auto"/>
            </w:tcBorders>
            <w:hideMark/>
          </w:tcPr>
          <w:p w:rsidR="0079059D" w:rsidRPr="001779EA" w:rsidRDefault="0079059D" w:rsidP="00247EDC">
            <w:pPr>
              <w:pStyle w:val="TableText0"/>
              <w:keepLines/>
            </w:pPr>
            <w:r w:rsidRPr="001779EA">
              <w:t>Any SAE</w:t>
            </w:r>
          </w:p>
        </w:tc>
        <w:tc>
          <w:tcPr>
            <w:tcW w:w="1742"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157 (32.6)</w:t>
            </w:r>
          </w:p>
        </w:tc>
      </w:tr>
      <w:tr w:rsidR="0079059D" w:rsidRPr="001779EA" w:rsidTr="000C0C23">
        <w:tc>
          <w:tcPr>
            <w:tcW w:w="3258" w:type="pct"/>
            <w:tcBorders>
              <w:top w:val="nil"/>
              <w:left w:val="single" w:sz="4" w:space="0" w:color="auto"/>
              <w:bottom w:val="single" w:sz="4" w:space="0" w:color="auto"/>
              <w:right w:val="single" w:sz="4" w:space="0" w:color="auto"/>
            </w:tcBorders>
          </w:tcPr>
          <w:p w:rsidR="0079059D" w:rsidRPr="001779EA" w:rsidRDefault="0079059D" w:rsidP="00247EDC">
            <w:pPr>
              <w:pStyle w:val="TableText0"/>
              <w:keepLines/>
            </w:pPr>
            <w:r w:rsidRPr="001779EA">
              <w:t>Suspected to be drug-related</w:t>
            </w:r>
          </w:p>
        </w:tc>
        <w:tc>
          <w:tcPr>
            <w:tcW w:w="1742"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jc w:val="center"/>
            </w:pPr>
            <w:r w:rsidRPr="001779EA">
              <w:t>63 (13.1)</w:t>
            </w:r>
          </w:p>
        </w:tc>
      </w:tr>
      <w:tr w:rsidR="0079059D" w:rsidRPr="001779EA" w:rsidTr="000C0C23">
        <w:tc>
          <w:tcPr>
            <w:tcW w:w="3258"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pPr>
            <w:r w:rsidRPr="001779EA">
              <w:rPr>
                <w:rFonts w:cs="TimesNewRoman"/>
              </w:rPr>
              <w:t>Any AE of CTC grade 3 or higher</w:t>
            </w:r>
          </w:p>
        </w:tc>
        <w:tc>
          <w:tcPr>
            <w:tcW w:w="1742"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266 (55.2)</w:t>
            </w:r>
          </w:p>
        </w:tc>
      </w:tr>
      <w:tr w:rsidR="0079059D" w:rsidRPr="001779EA" w:rsidTr="000C0C23">
        <w:tc>
          <w:tcPr>
            <w:tcW w:w="3258"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pPr>
            <w:r w:rsidRPr="001779EA">
              <w:t>Suspected to be drug-related</w:t>
            </w:r>
          </w:p>
        </w:tc>
        <w:tc>
          <w:tcPr>
            <w:tcW w:w="1742"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jc w:val="center"/>
            </w:pPr>
            <w:r w:rsidRPr="001779EA">
              <w:t>197 (40.9)</w:t>
            </w:r>
          </w:p>
        </w:tc>
      </w:tr>
      <w:tr w:rsidR="0079059D" w:rsidRPr="001779EA" w:rsidTr="00CD0AEE">
        <w:tc>
          <w:tcPr>
            <w:tcW w:w="3258"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keepLines/>
            </w:pPr>
            <w:r w:rsidRPr="001779EA">
              <w:t>Any AEs leading to treatment discontinuation (DAE)</w:t>
            </w:r>
          </w:p>
        </w:tc>
        <w:tc>
          <w:tcPr>
            <w:tcW w:w="1742" w:type="pct"/>
            <w:tcBorders>
              <w:top w:val="single" w:sz="4" w:space="0" w:color="auto"/>
              <w:left w:val="single" w:sz="4" w:space="0" w:color="auto"/>
              <w:bottom w:val="single" w:sz="4" w:space="0" w:color="auto"/>
              <w:right w:val="single" w:sz="4" w:space="0" w:color="auto"/>
            </w:tcBorders>
            <w:vAlign w:val="center"/>
          </w:tcPr>
          <w:p w:rsidR="0079059D" w:rsidRPr="001779EA" w:rsidRDefault="0079059D" w:rsidP="00247EDC">
            <w:pPr>
              <w:pStyle w:val="TableText0"/>
              <w:keepLines/>
              <w:jc w:val="center"/>
            </w:pPr>
            <w:r w:rsidRPr="001779EA">
              <w:t>140 (29.0)</w:t>
            </w:r>
          </w:p>
        </w:tc>
      </w:tr>
      <w:tr w:rsidR="0079059D" w:rsidRPr="001779EA" w:rsidTr="00CD0AEE">
        <w:tc>
          <w:tcPr>
            <w:tcW w:w="3258"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pPr>
            <w:r w:rsidRPr="001779EA">
              <w:rPr>
                <w:rFonts w:cs="TimesNewRoman"/>
              </w:rPr>
              <w:t>Any AE with outcome of death</w:t>
            </w:r>
          </w:p>
        </w:tc>
        <w:tc>
          <w:tcPr>
            <w:tcW w:w="1742"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jc w:val="center"/>
            </w:pPr>
          </w:p>
        </w:tc>
      </w:tr>
      <w:tr w:rsidR="0079059D" w:rsidRPr="001779EA" w:rsidTr="000C0C23">
        <w:tc>
          <w:tcPr>
            <w:tcW w:w="3258"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pPr>
            <w:r w:rsidRPr="001779EA">
              <w:t>Total</w:t>
            </w:r>
          </w:p>
        </w:tc>
        <w:tc>
          <w:tcPr>
            <w:tcW w:w="1742"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22 (4.6)</w:t>
            </w:r>
          </w:p>
        </w:tc>
      </w:tr>
      <w:tr w:rsidR="0079059D" w:rsidRPr="001779EA" w:rsidTr="000C0C23">
        <w:tc>
          <w:tcPr>
            <w:tcW w:w="3258"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pPr>
            <w:r w:rsidRPr="001779EA">
              <w:t>Related to disease progression</w:t>
            </w:r>
          </w:p>
        </w:tc>
        <w:tc>
          <w:tcPr>
            <w:tcW w:w="1742"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14 (2.9)</w:t>
            </w:r>
          </w:p>
        </w:tc>
      </w:tr>
      <w:tr w:rsidR="0079059D" w:rsidRPr="001779EA" w:rsidTr="000C0C23">
        <w:tc>
          <w:tcPr>
            <w:tcW w:w="3258"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pPr>
            <w:r w:rsidRPr="001779EA">
              <w:t>Related to adverse events</w:t>
            </w:r>
          </w:p>
        </w:tc>
        <w:tc>
          <w:tcPr>
            <w:tcW w:w="1742"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jc w:val="center"/>
            </w:pPr>
            <w:r w:rsidRPr="001779EA">
              <w:t>8 (1.7)</w:t>
            </w:r>
          </w:p>
        </w:tc>
      </w:tr>
      <w:tr w:rsidR="0079059D" w:rsidRPr="001779EA" w:rsidTr="000C0C23">
        <w:tc>
          <w:tcPr>
            <w:tcW w:w="3258"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pPr>
            <w:r w:rsidRPr="001779EA">
              <w:t>On treatment deaths ≤4 months from randomisation</w:t>
            </w:r>
          </w:p>
        </w:tc>
        <w:tc>
          <w:tcPr>
            <w:tcW w:w="1742"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jc w:val="center"/>
            </w:pPr>
          </w:p>
        </w:tc>
      </w:tr>
      <w:tr w:rsidR="0079059D" w:rsidRPr="001779EA" w:rsidTr="000C0C23">
        <w:tc>
          <w:tcPr>
            <w:tcW w:w="3258"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pPr>
            <w:r w:rsidRPr="001779EA">
              <w:t>Total</w:t>
            </w:r>
          </w:p>
        </w:tc>
        <w:tc>
          <w:tcPr>
            <w:tcW w:w="1742"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11 (2.3)</w:t>
            </w:r>
          </w:p>
        </w:tc>
      </w:tr>
      <w:tr w:rsidR="0079059D" w:rsidRPr="001779EA" w:rsidTr="000C0C23">
        <w:tc>
          <w:tcPr>
            <w:tcW w:w="3258"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pPr>
            <w:r w:rsidRPr="001779EA">
              <w:t>Related to disease progression</w:t>
            </w:r>
          </w:p>
        </w:tc>
        <w:tc>
          <w:tcPr>
            <w:tcW w:w="1742"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6 (1.2)</w:t>
            </w:r>
          </w:p>
        </w:tc>
      </w:tr>
      <w:tr w:rsidR="0079059D" w:rsidRPr="001779EA" w:rsidTr="000C0C23">
        <w:tc>
          <w:tcPr>
            <w:tcW w:w="3258"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pPr>
            <w:r w:rsidRPr="001779EA">
              <w:t>Related to adverse events</w:t>
            </w:r>
          </w:p>
        </w:tc>
        <w:tc>
          <w:tcPr>
            <w:tcW w:w="1742"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jc w:val="center"/>
            </w:pPr>
            <w:r w:rsidRPr="001779EA">
              <w:t>5 (1.1)</w:t>
            </w:r>
          </w:p>
        </w:tc>
      </w:tr>
      <w:tr w:rsidR="0079059D" w:rsidRPr="001779EA" w:rsidTr="000C0C23">
        <w:tc>
          <w:tcPr>
            <w:tcW w:w="3258"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pPr>
            <w:r w:rsidRPr="001779EA">
              <w:t>On treatment deaths &gt;4 months after randomisation</w:t>
            </w:r>
          </w:p>
        </w:tc>
        <w:tc>
          <w:tcPr>
            <w:tcW w:w="1742" w:type="pct"/>
            <w:tcBorders>
              <w:top w:val="single" w:sz="4" w:space="0" w:color="auto"/>
              <w:left w:val="single" w:sz="4" w:space="0" w:color="auto"/>
              <w:bottom w:val="nil"/>
              <w:right w:val="single" w:sz="4" w:space="0" w:color="auto"/>
            </w:tcBorders>
            <w:vAlign w:val="center"/>
          </w:tcPr>
          <w:p w:rsidR="0079059D" w:rsidRPr="001779EA" w:rsidRDefault="0079059D" w:rsidP="00247EDC">
            <w:pPr>
              <w:pStyle w:val="TableText0"/>
              <w:keepLines/>
              <w:jc w:val="center"/>
            </w:pPr>
          </w:p>
        </w:tc>
      </w:tr>
      <w:tr w:rsidR="0079059D" w:rsidRPr="001779EA" w:rsidTr="000C0C23">
        <w:tc>
          <w:tcPr>
            <w:tcW w:w="3258"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pPr>
            <w:r w:rsidRPr="001779EA">
              <w:t>Total</w:t>
            </w:r>
          </w:p>
        </w:tc>
        <w:tc>
          <w:tcPr>
            <w:tcW w:w="1742"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11 (2.3)</w:t>
            </w:r>
          </w:p>
        </w:tc>
      </w:tr>
      <w:tr w:rsidR="0079059D" w:rsidRPr="001779EA" w:rsidTr="000C0C23">
        <w:tc>
          <w:tcPr>
            <w:tcW w:w="3258"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pPr>
            <w:r w:rsidRPr="001779EA">
              <w:t>Related to disease progression</w:t>
            </w:r>
          </w:p>
        </w:tc>
        <w:tc>
          <w:tcPr>
            <w:tcW w:w="1742" w:type="pct"/>
            <w:tcBorders>
              <w:top w:val="nil"/>
              <w:left w:val="single" w:sz="4" w:space="0" w:color="auto"/>
              <w:bottom w:val="nil"/>
              <w:right w:val="single" w:sz="4" w:space="0" w:color="auto"/>
            </w:tcBorders>
            <w:vAlign w:val="center"/>
          </w:tcPr>
          <w:p w:rsidR="0079059D" w:rsidRPr="001779EA" w:rsidRDefault="0079059D" w:rsidP="00247EDC">
            <w:pPr>
              <w:pStyle w:val="TableText0"/>
              <w:keepLines/>
              <w:jc w:val="center"/>
            </w:pPr>
            <w:r w:rsidRPr="001779EA">
              <w:t>8 (1.7)</w:t>
            </w:r>
          </w:p>
        </w:tc>
      </w:tr>
      <w:tr w:rsidR="0079059D" w:rsidRPr="001779EA" w:rsidTr="000C0C23">
        <w:tc>
          <w:tcPr>
            <w:tcW w:w="3258" w:type="pct"/>
            <w:tcBorders>
              <w:top w:val="nil"/>
              <w:left w:val="single" w:sz="4" w:space="0" w:color="auto"/>
              <w:bottom w:val="single" w:sz="4" w:space="0" w:color="auto"/>
              <w:right w:val="single" w:sz="4" w:space="0" w:color="auto"/>
            </w:tcBorders>
            <w:vAlign w:val="bottom"/>
          </w:tcPr>
          <w:p w:rsidR="0079059D" w:rsidRPr="001779EA" w:rsidRDefault="0079059D" w:rsidP="00247EDC">
            <w:pPr>
              <w:pStyle w:val="TableText0"/>
              <w:keepLines/>
            </w:pPr>
            <w:r w:rsidRPr="001779EA">
              <w:t>Related to adverse events</w:t>
            </w:r>
          </w:p>
        </w:tc>
        <w:tc>
          <w:tcPr>
            <w:tcW w:w="1742" w:type="pct"/>
            <w:tcBorders>
              <w:top w:val="nil"/>
              <w:left w:val="single" w:sz="4" w:space="0" w:color="auto"/>
              <w:bottom w:val="single" w:sz="4" w:space="0" w:color="auto"/>
              <w:right w:val="single" w:sz="4" w:space="0" w:color="auto"/>
            </w:tcBorders>
            <w:vAlign w:val="center"/>
          </w:tcPr>
          <w:p w:rsidR="0079059D" w:rsidRPr="001779EA" w:rsidRDefault="0079059D" w:rsidP="00247EDC">
            <w:pPr>
              <w:pStyle w:val="TableText0"/>
              <w:keepLines/>
              <w:jc w:val="center"/>
            </w:pPr>
            <w:r w:rsidRPr="001779EA">
              <w:t>3 (0.6)</w:t>
            </w:r>
          </w:p>
        </w:tc>
      </w:tr>
    </w:tbl>
    <w:p w:rsidR="0079059D" w:rsidRPr="001779EA" w:rsidRDefault="0079059D" w:rsidP="00247EDC">
      <w:pPr>
        <w:pStyle w:val="TableFigureFooter"/>
      </w:pPr>
      <w:r w:rsidRPr="001779EA">
        <w:t>AE = adverse event; CTC: Common Terminology Criteria; DAE = adverse event leading to discontinuation of treatment; OAE = other adverse event; SAE = serious adverse event</w:t>
      </w:r>
    </w:p>
    <w:p w:rsidR="0079059D" w:rsidRPr="001779EA" w:rsidRDefault="0079059D" w:rsidP="00247EDC">
      <w:pPr>
        <w:pStyle w:val="TableFigureFooter"/>
        <w:keepNext/>
        <w:keepLines/>
        <w:rPr>
          <w:lang w:eastAsia="zh-CN"/>
        </w:rPr>
      </w:pPr>
      <w:r w:rsidRPr="001779EA">
        <w:rPr>
          <w:lang w:eastAsia="zh-CN"/>
        </w:rPr>
        <w:t>Source: Compiled during the evaluation based on Tables 2.38,2.46, pp105, 111 of the submission</w:t>
      </w:r>
    </w:p>
    <w:p w:rsidR="0079059D" w:rsidRPr="001779EA" w:rsidRDefault="0079059D" w:rsidP="00247EDC">
      <w:pPr>
        <w:pStyle w:val="TableFigureFooter"/>
        <w:keepNext/>
        <w:keepLines/>
        <w:rPr>
          <w:lang w:eastAsia="zh-CN"/>
        </w:rPr>
      </w:pPr>
    </w:p>
    <w:p w:rsidR="0079059D" w:rsidRPr="001779EA" w:rsidRDefault="0079059D" w:rsidP="00247EDC">
      <w:pPr>
        <w:pStyle w:val="3-BodyText"/>
      </w:pPr>
      <w:r w:rsidRPr="001779EA">
        <w:t>The submission presented safety outcomes of all five trials that were considered in the informal indirect comparison. However, CONFIRM included the submission’s proposed intervention (fulvestrant 500mg) and BOLERO-2 included the proposed comparator (</w:t>
      </w:r>
      <w:r w:rsidR="003E1307" w:rsidRPr="001779EA">
        <w:t>EVE+EXE</w:t>
      </w:r>
      <w:r w:rsidRPr="001779EA">
        <w:t xml:space="preserve">) </w:t>
      </w:r>
      <w:r w:rsidR="00FB575F" w:rsidRPr="001779EA">
        <w:t xml:space="preserve">and </w:t>
      </w:r>
      <w:r w:rsidRPr="001779EA">
        <w:t>were</w:t>
      </w:r>
      <w:r w:rsidR="00FB575F" w:rsidRPr="001779EA">
        <w:t xml:space="preserve"> therefore</w:t>
      </w:r>
      <w:r w:rsidRPr="001779EA">
        <w:t xml:space="preserve"> most relevant to the submission. The submission used an indirect comparison to claim superior safety of fulvestrant 500mg over </w:t>
      </w:r>
      <w:r w:rsidR="00231B5F" w:rsidRPr="001779EA">
        <w:t>EVE+EXE</w:t>
      </w:r>
      <w:r w:rsidRPr="001779EA">
        <w:t xml:space="preserve">. </w:t>
      </w:r>
      <w:r w:rsidR="00777242" w:rsidRPr="001779EA">
        <w:t>Th</w:t>
      </w:r>
      <w:r w:rsidR="003E1307" w:rsidRPr="001779EA">
        <w:t>e commentary considered this was</w:t>
      </w:r>
      <w:r w:rsidR="00777242" w:rsidRPr="001779EA">
        <w:t xml:space="preserve"> </w:t>
      </w:r>
      <w:r w:rsidR="004F4659" w:rsidRPr="001779EA">
        <w:t>reasonable</w:t>
      </w:r>
      <w:r w:rsidR="00777242" w:rsidRPr="001779EA">
        <w:t>.</w:t>
      </w:r>
    </w:p>
    <w:p w:rsidR="0079059D" w:rsidRPr="001779EA" w:rsidRDefault="0079059D" w:rsidP="00247EDC">
      <w:pPr>
        <w:pStyle w:val="3-BodyText"/>
        <w:rPr>
          <w:i/>
        </w:rPr>
      </w:pPr>
      <w:r w:rsidRPr="001779EA">
        <w:t xml:space="preserve">Fulvestrant 500mg had </w:t>
      </w:r>
      <w:r w:rsidR="00777242" w:rsidRPr="001779EA">
        <w:t xml:space="preserve">substantially </w:t>
      </w:r>
      <w:r w:rsidRPr="001779EA">
        <w:t xml:space="preserve">better safety results compared with </w:t>
      </w:r>
      <w:r w:rsidR="003E1307" w:rsidRPr="001779EA">
        <w:t>EVE+EXE</w:t>
      </w:r>
      <w:r w:rsidRPr="001779EA">
        <w:t>:</w:t>
      </w:r>
    </w:p>
    <w:p w:rsidR="0079059D" w:rsidRPr="001779EA" w:rsidRDefault="0079059D" w:rsidP="003E1307">
      <w:pPr>
        <w:pStyle w:val="Bulletpoints"/>
        <w:ind w:left="1134"/>
      </w:pPr>
      <w:r w:rsidRPr="001779EA">
        <w:t>Any SAE was 8% versus 33%.</w:t>
      </w:r>
    </w:p>
    <w:p w:rsidR="0079059D" w:rsidRPr="001779EA" w:rsidRDefault="0079059D" w:rsidP="003E1307">
      <w:pPr>
        <w:pStyle w:val="Bulletpoints"/>
        <w:ind w:left="1134"/>
      </w:pPr>
      <w:r w:rsidRPr="001779EA">
        <w:t xml:space="preserve">Any AE of CTC grade </w:t>
      </w:r>
      <w:r w:rsidRPr="001779EA">
        <w:rPr>
          <w:rFonts w:cstheme="minorHAnsi"/>
        </w:rPr>
        <w:t>≥</w:t>
      </w:r>
      <w:r w:rsidRPr="001779EA">
        <w:t>3 or higher was 15% versus 55%.</w:t>
      </w:r>
    </w:p>
    <w:p w:rsidR="0079059D" w:rsidRPr="001779EA" w:rsidRDefault="0079059D" w:rsidP="003E1307">
      <w:pPr>
        <w:pStyle w:val="Bulletpoints"/>
        <w:ind w:left="1134"/>
      </w:pPr>
      <w:r w:rsidRPr="001779EA">
        <w:t xml:space="preserve">AE of CTC grade </w:t>
      </w:r>
      <w:r w:rsidRPr="001779EA">
        <w:rPr>
          <w:rFonts w:cstheme="minorHAnsi"/>
        </w:rPr>
        <w:t>≥</w:t>
      </w:r>
      <w:r w:rsidRPr="001779EA">
        <w:t>3 or higher causally related to drug was 1% versus 41%.</w:t>
      </w:r>
    </w:p>
    <w:p w:rsidR="0079059D" w:rsidRPr="001779EA" w:rsidRDefault="0079059D" w:rsidP="003E1307">
      <w:pPr>
        <w:pStyle w:val="Bulletpoints"/>
        <w:ind w:left="1134"/>
      </w:pPr>
      <w:r w:rsidRPr="001779EA">
        <w:t xml:space="preserve">Any DAE was 1% versus 29%. </w:t>
      </w:r>
    </w:p>
    <w:p w:rsidR="0079059D" w:rsidRPr="001779EA" w:rsidRDefault="0079059D" w:rsidP="003E1307">
      <w:pPr>
        <w:pStyle w:val="Bulletpoints"/>
        <w:ind w:left="1134"/>
      </w:pPr>
      <w:r w:rsidRPr="001779EA">
        <w:t>Any AE with the outcome of death was 1% versus 5%.</w:t>
      </w:r>
    </w:p>
    <w:p w:rsidR="0079059D" w:rsidRPr="001779EA" w:rsidRDefault="0079059D" w:rsidP="00CC67D0">
      <w:pPr>
        <w:pStyle w:val="4-SubsectionHeading"/>
        <w:spacing w:before="240" w:after="240"/>
      </w:pPr>
      <w:bookmarkStart w:id="40" w:name="_Toc22897643"/>
      <w:bookmarkStart w:id="41" w:name="_Toc38290345"/>
      <w:bookmarkStart w:id="42" w:name="_Toc38305892"/>
      <w:bookmarkStart w:id="43" w:name="_Toc40935321"/>
      <w:r w:rsidRPr="001779EA">
        <w:lastRenderedPageBreak/>
        <w:t>Benefits/harms</w:t>
      </w:r>
      <w:bookmarkEnd w:id="40"/>
      <w:bookmarkEnd w:id="41"/>
      <w:bookmarkEnd w:id="42"/>
      <w:r w:rsidRPr="001779EA">
        <w:t xml:space="preserve"> (</w:t>
      </w:r>
      <w:r w:rsidR="000A4355" w:rsidRPr="001779EA">
        <w:t>second</w:t>
      </w:r>
      <w:r w:rsidRPr="001779EA">
        <w:t>-line)</w:t>
      </w:r>
      <w:bookmarkEnd w:id="43"/>
    </w:p>
    <w:p w:rsidR="0079059D" w:rsidRPr="001779EA" w:rsidRDefault="0079059D" w:rsidP="00247EDC">
      <w:pPr>
        <w:pStyle w:val="3-BodyText"/>
      </w:pPr>
      <w:r w:rsidRPr="001779EA">
        <w:t xml:space="preserve">A benefits/harms analysis </w:t>
      </w:r>
      <w:r w:rsidR="00280A6F" w:rsidRPr="001779EA">
        <w:t>was</w:t>
      </w:r>
      <w:r w:rsidRPr="001779EA">
        <w:t xml:space="preserve"> not presented as the clinical claim is of non-inferiority.</w:t>
      </w:r>
    </w:p>
    <w:p w:rsidR="0079059D" w:rsidRPr="001779EA" w:rsidRDefault="0079059D" w:rsidP="00CC67D0">
      <w:pPr>
        <w:pStyle w:val="4-SubsectionHeading"/>
        <w:spacing w:before="240" w:after="240"/>
      </w:pPr>
      <w:bookmarkStart w:id="44" w:name="_Toc40935322"/>
      <w:bookmarkStart w:id="45" w:name="_Toc22897644"/>
      <w:bookmarkStart w:id="46" w:name="_Toc38290346"/>
      <w:bookmarkStart w:id="47" w:name="_Toc38305893"/>
      <w:r w:rsidRPr="001779EA">
        <w:t>Clinical claim (</w:t>
      </w:r>
      <w:r w:rsidR="000A4355" w:rsidRPr="001779EA">
        <w:t>second</w:t>
      </w:r>
      <w:r w:rsidRPr="001779EA">
        <w:t>-line)</w:t>
      </w:r>
      <w:bookmarkEnd w:id="44"/>
    </w:p>
    <w:bookmarkEnd w:id="45"/>
    <w:bookmarkEnd w:id="46"/>
    <w:bookmarkEnd w:id="47"/>
    <w:p w:rsidR="00032708" w:rsidRPr="001779EA" w:rsidRDefault="0079059D" w:rsidP="00F00747">
      <w:pPr>
        <w:pStyle w:val="3-BodyText"/>
        <w:rPr>
          <w:i/>
        </w:rPr>
      </w:pPr>
      <w:r w:rsidRPr="001779EA">
        <w:t xml:space="preserve">Based on the informal indirect comparison, the submission stated that </w:t>
      </w:r>
      <w:r w:rsidR="00732BB4" w:rsidRPr="001779EA">
        <w:t xml:space="preserve">fulvestrant 500 mg appears superior to EVE+EXE in terms of OS. </w:t>
      </w:r>
      <w:r w:rsidRPr="001779EA">
        <w:t>The submission acknowledged that the indirect approach had its limitations, and thus, the claim of non</w:t>
      </w:r>
      <w:r w:rsidR="00CE52D4" w:rsidRPr="001779EA">
        <w:t>-</w:t>
      </w:r>
      <w:r w:rsidRPr="001779EA">
        <w:t xml:space="preserve">inferiority of fulvestrant to </w:t>
      </w:r>
      <w:r w:rsidR="00732BB4" w:rsidRPr="001779EA">
        <w:t>EVE+EXE</w:t>
      </w:r>
      <w:r w:rsidRPr="001779EA">
        <w:t xml:space="preserve"> was made in terms of</w:t>
      </w:r>
      <w:r w:rsidR="00032708" w:rsidRPr="001779EA">
        <w:t xml:space="preserve"> OS</w:t>
      </w:r>
      <w:r w:rsidRPr="001779EA">
        <w:t xml:space="preserve"> benefit.</w:t>
      </w:r>
      <w:r w:rsidR="00280A6F" w:rsidRPr="001779EA">
        <w:rPr>
          <w:i/>
        </w:rPr>
        <w:t xml:space="preserve"> </w:t>
      </w:r>
    </w:p>
    <w:p w:rsidR="0079059D" w:rsidRPr="001779EA" w:rsidRDefault="008803B7" w:rsidP="00247EDC">
      <w:pPr>
        <w:pStyle w:val="3-BodyText"/>
      </w:pPr>
      <w:r w:rsidRPr="001779EA">
        <w:t>The ESC considered th</w:t>
      </w:r>
      <w:r w:rsidR="00457217" w:rsidRPr="001779EA">
        <w:t xml:space="preserve">e claim of non-inferior effectiveness </w:t>
      </w:r>
      <w:r w:rsidRPr="001779EA">
        <w:t>wa</w:t>
      </w:r>
      <w:r w:rsidR="004F4659" w:rsidRPr="001779EA">
        <w:t xml:space="preserve">s not </w:t>
      </w:r>
      <w:r w:rsidR="00457217" w:rsidRPr="001779EA">
        <w:t xml:space="preserve">adequately supported </w:t>
      </w:r>
      <w:r w:rsidR="004F4659" w:rsidRPr="001779EA">
        <w:t>for the following reasons:</w:t>
      </w:r>
    </w:p>
    <w:p w:rsidR="00C27B76" w:rsidRPr="001779EA" w:rsidRDefault="00C27B76" w:rsidP="007C1855">
      <w:pPr>
        <w:pStyle w:val="ListParagraph"/>
        <w:numPr>
          <w:ilvl w:val="0"/>
          <w:numId w:val="8"/>
        </w:numPr>
        <w:ind w:left="1134"/>
        <w:rPr>
          <w:rFonts w:eastAsia="Calibri"/>
          <w:iCs/>
        </w:rPr>
      </w:pPr>
      <w:r w:rsidRPr="001779EA">
        <w:rPr>
          <w:rFonts w:eastAsia="Calibri"/>
          <w:iCs/>
        </w:rPr>
        <w:t xml:space="preserve">The informal indirect comparison </w:t>
      </w:r>
      <w:r w:rsidR="00371693" w:rsidRPr="001779EA">
        <w:rPr>
          <w:rFonts w:eastAsia="Calibri"/>
          <w:iCs/>
        </w:rPr>
        <w:t xml:space="preserve">did not allow a </w:t>
      </w:r>
      <w:r w:rsidR="00DF2E8A" w:rsidRPr="001779EA">
        <w:rPr>
          <w:rFonts w:eastAsia="Calibri"/>
          <w:iCs/>
        </w:rPr>
        <w:t xml:space="preserve">meaningful </w:t>
      </w:r>
      <w:r w:rsidR="00371693" w:rsidRPr="001779EA">
        <w:rPr>
          <w:rFonts w:eastAsia="Calibri"/>
          <w:iCs/>
        </w:rPr>
        <w:t>comparison of outcomes with fulvestrant versus EVE+EXE</w:t>
      </w:r>
      <w:r w:rsidRPr="001779EA">
        <w:rPr>
          <w:rFonts w:eastAsia="Calibri"/>
          <w:iCs/>
        </w:rPr>
        <w:t xml:space="preserve">. </w:t>
      </w:r>
    </w:p>
    <w:p w:rsidR="008803B7" w:rsidRPr="001779EA" w:rsidRDefault="008803B7" w:rsidP="007C1855">
      <w:pPr>
        <w:pStyle w:val="CommentText"/>
        <w:numPr>
          <w:ilvl w:val="0"/>
          <w:numId w:val="8"/>
        </w:numPr>
        <w:spacing w:after="120"/>
        <w:ind w:left="1134"/>
        <w:rPr>
          <w:rFonts w:asciiTheme="minorHAnsi" w:hAnsiTheme="minorHAnsi" w:cstheme="minorHAnsi"/>
          <w:sz w:val="24"/>
          <w:u w:val="single"/>
        </w:rPr>
      </w:pPr>
      <w:r w:rsidRPr="001779EA">
        <w:rPr>
          <w:rFonts w:asciiTheme="minorHAnsi" w:hAnsiTheme="minorHAnsi" w:cstheme="minorHAnsi"/>
          <w:sz w:val="24"/>
        </w:rPr>
        <w:t>The formal adjusted indirect comparison was also limited, as the transitivity assumption is likely to be violated, given that factors such as HER2 status and prior treatments varied substantially between trials.</w:t>
      </w:r>
    </w:p>
    <w:p w:rsidR="00C60241" w:rsidRPr="001779EA" w:rsidRDefault="00C60241" w:rsidP="007C1855">
      <w:pPr>
        <w:pStyle w:val="ListParagraph"/>
        <w:numPr>
          <w:ilvl w:val="0"/>
          <w:numId w:val="8"/>
        </w:numPr>
        <w:ind w:left="1134"/>
        <w:rPr>
          <w:rFonts w:eastAsia="Calibri"/>
          <w:iCs/>
        </w:rPr>
      </w:pPr>
      <w:r w:rsidRPr="001779EA">
        <w:rPr>
          <w:rFonts w:eastAsia="Calibri"/>
          <w:iCs/>
        </w:rPr>
        <w:t>The adjusted indirect comparison</w:t>
      </w:r>
      <w:r w:rsidR="008803B7" w:rsidRPr="001779EA">
        <w:rPr>
          <w:rFonts w:eastAsia="Calibri"/>
          <w:iCs/>
        </w:rPr>
        <w:t xml:space="preserve"> </w:t>
      </w:r>
      <w:r w:rsidRPr="001779EA">
        <w:rPr>
          <w:rFonts w:eastAsia="Calibri"/>
          <w:iCs/>
        </w:rPr>
        <w:t xml:space="preserve">found that PFS was significantly worse </w:t>
      </w:r>
      <w:r w:rsidR="00CE52D4" w:rsidRPr="001779EA">
        <w:rPr>
          <w:rFonts w:eastAsia="Calibri"/>
          <w:iCs/>
        </w:rPr>
        <w:t xml:space="preserve">with </w:t>
      </w:r>
      <w:r w:rsidRPr="001779EA">
        <w:rPr>
          <w:rFonts w:eastAsia="Calibri"/>
          <w:iCs/>
        </w:rPr>
        <w:t xml:space="preserve">fulvestrant compared to </w:t>
      </w:r>
      <w:r w:rsidR="00032708" w:rsidRPr="001779EA">
        <w:t>EVE+EXE</w:t>
      </w:r>
      <w:r w:rsidRPr="001779EA">
        <w:rPr>
          <w:rFonts w:eastAsia="Calibri"/>
          <w:iCs/>
        </w:rPr>
        <w:t xml:space="preserve">: PFS hazard ratio: 1.69 (95% </w:t>
      </w:r>
      <w:r w:rsidR="00AE68D1" w:rsidRPr="001779EA">
        <w:rPr>
          <w:rFonts w:eastAsia="Calibri"/>
          <w:iCs/>
        </w:rPr>
        <w:t>CI:</w:t>
      </w:r>
      <w:r w:rsidRPr="001779EA">
        <w:rPr>
          <w:rFonts w:eastAsia="Calibri"/>
          <w:iCs/>
        </w:rPr>
        <w:t xml:space="preserve"> 1.30, 2.18).</w:t>
      </w:r>
      <w:r w:rsidR="008803B7" w:rsidRPr="001779EA">
        <w:rPr>
          <w:rFonts w:eastAsia="Calibri"/>
          <w:iCs/>
        </w:rPr>
        <w:t xml:space="preserve"> </w:t>
      </w:r>
    </w:p>
    <w:p w:rsidR="00C60241" w:rsidRPr="001779EA" w:rsidRDefault="00AE0552" w:rsidP="007C1855">
      <w:pPr>
        <w:pStyle w:val="3-BodyText"/>
        <w:numPr>
          <w:ilvl w:val="0"/>
          <w:numId w:val="8"/>
        </w:numPr>
        <w:ind w:left="1134"/>
        <w:rPr>
          <w:rFonts w:eastAsia="Calibri"/>
          <w:i/>
          <w:iCs/>
        </w:rPr>
      </w:pPr>
      <w:r w:rsidRPr="001779EA">
        <w:rPr>
          <w:rFonts w:eastAsia="Calibri"/>
          <w:iCs/>
        </w:rPr>
        <w:t xml:space="preserve">The submission </w:t>
      </w:r>
      <w:r w:rsidR="00CE52D4" w:rsidRPr="001779EA">
        <w:rPr>
          <w:rFonts w:eastAsia="Calibri"/>
          <w:iCs/>
        </w:rPr>
        <w:t>did not propose a</w:t>
      </w:r>
      <w:r w:rsidRPr="001779EA">
        <w:rPr>
          <w:rFonts w:eastAsia="Calibri"/>
          <w:iCs/>
        </w:rPr>
        <w:t xml:space="preserve"> non-inferiority margin.</w:t>
      </w:r>
      <w:r w:rsidR="00247EDC" w:rsidRPr="001779EA">
        <w:rPr>
          <w:rFonts w:eastAsia="Calibri"/>
          <w:iCs/>
        </w:rPr>
        <w:t xml:space="preserve"> </w:t>
      </w:r>
      <w:r w:rsidRPr="001779EA">
        <w:rPr>
          <w:rFonts w:eastAsia="Calibri"/>
          <w:iCs/>
        </w:rPr>
        <w:t>However,</w:t>
      </w:r>
      <w:r w:rsidR="008803B7" w:rsidRPr="001779EA">
        <w:rPr>
          <w:rFonts w:eastAsia="Calibri"/>
          <w:iCs/>
        </w:rPr>
        <w:t xml:space="preserve"> it may not be reasonable to conclude that fulvestrant is non-inferior to </w:t>
      </w:r>
      <w:r w:rsidR="008803B7" w:rsidRPr="001779EA">
        <w:t>EVE+EXE</w:t>
      </w:r>
      <w:r w:rsidR="008803B7" w:rsidRPr="001779EA">
        <w:rPr>
          <w:rFonts w:eastAsia="Calibri"/>
          <w:iCs/>
        </w:rPr>
        <w:t xml:space="preserve"> in terms of OS, because the upper 95% confidence limit of 1.27 represents a substantial increase in mortality.</w:t>
      </w:r>
      <w:r w:rsidRPr="001779EA">
        <w:rPr>
          <w:rFonts w:eastAsia="Calibri"/>
          <w:i/>
          <w:iCs/>
        </w:rPr>
        <w:t xml:space="preserve"> </w:t>
      </w:r>
    </w:p>
    <w:p w:rsidR="00426535" w:rsidRPr="001779EA" w:rsidRDefault="00326EDD" w:rsidP="00BC56B6">
      <w:pPr>
        <w:pStyle w:val="3-BodyText"/>
      </w:pPr>
      <w:r w:rsidRPr="001779EA">
        <w:t xml:space="preserve">The submission claimed that fulvestrant was superior in terms of safety compared with </w:t>
      </w:r>
      <w:r w:rsidR="00E67A71" w:rsidRPr="001779EA">
        <w:t>EVE+EXE</w:t>
      </w:r>
      <w:r w:rsidR="00BC56B6" w:rsidRPr="001779EA">
        <w:t xml:space="preserve">. </w:t>
      </w:r>
    </w:p>
    <w:p w:rsidR="00440E20" w:rsidRPr="001779EA" w:rsidRDefault="00440E20" w:rsidP="00440E20">
      <w:pPr>
        <w:pStyle w:val="3-BodyText"/>
        <w:rPr>
          <w:lang w:eastAsia="en-US"/>
        </w:rPr>
      </w:pPr>
      <w:r w:rsidRPr="001779EA">
        <w:rPr>
          <w:lang w:eastAsia="en-US"/>
        </w:rPr>
        <w:t>The PBAC considered that the claim of superior comparative safety was reasonable</w:t>
      </w:r>
      <w:r w:rsidR="00F00747" w:rsidRPr="001779EA">
        <w:rPr>
          <w:lang w:eastAsia="en-US"/>
        </w:rPr>
        <w:t xml:space="preserve">, </w:t>
      </w:r>
      <w:r w:rsidR="00D27DB1" w:rsidRPr="001779EA">
        <w:rPr>
          <w:lang w:eastAsia="en-US"/>
        </w:rPr>
        <w:t>noting</w:t>
      </w:r>
      <w:r w:rsidR="00F00747" w:rsidRPr="001779EA">
        <w:rPr>
          <w:lang w:eastAsia="en-US"/>
        </w:rPr>
        <w:t xml:space="preserve"> the interpretation of the safety data was </w:t>
      </w:r>
      <w:r w:rsidR="00457217" w:rsidRPr="001779EA">
        <w:rPr>
          <w:lang w:eastAsia="en-US"/>
        </w:rPr>
        <w:t>difficult</w:t>
      </w:r>
      <w:r w:rsidR="00F00747" w:rsidRPr="001779EA">
        <w:rPr>
          <w:lang w:eastAsia="en-US"/>
        </w:rPr>
        <w:t xml:space="preserve"> due to the limitations of the clinical </w:t>
      </w:r>
      <w:r w:rsidR="00D27DB1" w:rsidRPr="001779EA">
        <w:rPr>
          <w:lang w:eastAsia="en-US"/>
        </w:rPr>
        <w:t xml:space="preserve">trial data </w:t>
      </w:r>
      <w:r w:rsidR="00F00747" w:rsidRPr="001779EA">
        <w:rPr>
          <w:lang w:eastAsia="en-US"/>
        </w:rPr>
        <w:t>and the incomplete reporting of adverse events in the trials.</w:t>
      </w:r>
    </w:p>
    <w:p w:rsidR="00D27DB1" w:rsidRPr="001779EA" w:rsidRDefault="00D27DB1" w:rsidP="003D217B">
      <w:pPr>
        <w:pStyle w:val="3-BodyText"/>
        <w:rPr>
          <w:lang w:eastAsia="en-US"/>
        </w:rPr>
      </w:pPr>
      <w:r w:rsidRPr="001779EA">
        <w:rPr>
          <w:lang w:eastAsia="en-US"/>
        </w:rPr>
        <w:t xml:space="preserve">The PBAC considered that the claim of non-inferior comparative effectiveness was not well-supported by the data given the differences between the trials (e.g. in terms of HER2 status and number of prior therapies, and the </w:t>
      </w:r>
      <w:r w:rsidRPr="001779EA">
        <w:t>variability in PFS and OS in the control arms of the trials</w:t>
      </w:r>
      <w:r w:rsidRPr="001779EA">
        <w:rPr>
          <w:lang w:eastAsia="en-US"/>
        </w:rPr>
        <w:t xml:space="preserve">). However, the PBAC considered that, in light of the superior comparative safety, there was likely a clinical benefit to fulvestrant in particular groups of patients. </w:t>
      </w:r>
    </w:p>
    <w:p w:rsidR="005B6349" w:rsidRPr="001779EA" w:rsidRDefault="005B6349" w:rsidP="005B6349">
      <w:pPr>
        <w:pStyle w:val="4-SubsectionHeading"/>
      </w:pPr>
      <w:bookmarkStart w:id="48" w:name="_Toc40935323"/>
      <w:r w:rsidRPr="001779EA">
        <w:t>Economic analysis (first-line)</w:t>
      </w:r>
      <w:bookmarkEnd w:id="48"/>
    </w:p>
    <w:p w:rsidR="00E43E9A" w:rsidRPr="001779EA" w:rsidRDefault="005B6349" w:rsidP="005B6349">
      <w:pPr>
        <w:pStyle w:val="3-BodyText"/>
        <w:snapToGrid w:val="0"/>
        <w:rPr>
          <w:bCs/>
        </w:rPr>
      </w:pPr>
      <w:r w:rsidRPr="001779EA">
        <w:t xml:space="preserve">The submission presented a cost-effectiveness model comparing fulvestrant to anastrozole as first-line treatment for HR+ HER2- </w:t>
      </w:r>
      <w:r w:rsidR="00BD05E5" w:rsidRPr="001779EA">
        <w:t>ABC</w:t>
      </w:r>
      <w:r w:rsidRPr="001779EA">
        <w:t xml:space="preserve">, based on the FALCON and FIRST trials. This is consistent with the clinical claim of superior efficacy and non-inferior </w:t>
      </w:r>
      <w:r w:rsidRPr="001779EA">
        <w:lastRenderedPageBreak/>
        <w:t xml:space="preserve">safety. </w:t>
      </w:r>
      <w:r w:rsidR="00E43E9A" w:rsidRPr="001779EA">
        <w:rPr>
          <w:bCs/>
        </w:rPr>
        <w:t>However</w:t>
      </w:r>
      <w:r w:rsidR="00E67A71" w:rsidRPr="001779EA">
        <w:rPr>
          <w:bCs/>
        </w:rPr>
        <w:t xml:space="preserve"> </w:t>
      </w:r>
      <w:r w:rsidR="00E43E9A" w:rsidRPr="001779EA">
        <w:rPr>
          <w:bCs/>
        </w:rPr>
        <w:t xml:space="preserve">the </w:t>
      </w:r>
      <w:r w:rsidR="00E67A71" w:rsidRPr="001779EA">
        <w:rPr>
          <w:bCs/>
        </w:rPr>
        <w:t xml:space="preserve">ESC considered that the </w:t>
      </w:r>
      <w:r w:rsidR="00E43E9A" w:rsidRPr="001779EA">
        <w:rPr>
          <w:bCs/>
        </w:rPr>
        <w:t xml:space="preserve">claim of superior efficacy </w:t>
      </w:r>
      <w:r w:rsidR="00E67A71" w:rsidRPr="001779EA">
        <w:rPr>
          <w:bCs/>
        </w:rPr>
        <w:t xml:space="preserve">was </w:t>
      </w:r>
      <w:r w:rsidR="00F049CE" w:rsidRPr="001779EA">
        <w:rPr>
          <w:bCs/>
        </w:rPr>
        <w:t>not well</w:t>
      </w:r>
      <w:r w:rsidR="00711D53" w:rsidRPr="001779EA">
        <w:rPr>
          <w:bCs/>
        </w:rPr>
        <w:t>-</w:t>
      </w:r>
      <w:r w:rsidR="00F049CE" w:rsidRPr="001779EA">
        <w:rPr>
          <w:bCs/>
        </w:rPr>
        <w:t>justified</w:t>
      </w:r>
      <w:r w:rsidR="00E67A71" w:rsidRPr="001779EA">
        <w:rPr>
          <w:bCs/>
        </w:rPr>
        <w:t xml:space="preserve"> by the evidence presented</w:t>
      </w:r>
      <w:r w:rsidR="00E43E9A" w:rsidRPr="001779EA">
        <w:rPr>
          <w:bCs/>
        </w:rPr>
        <w:t>.</w:t>
      </w:r>
      <w:r w:rsidR="003A5FB1" w:rsidRPr="001779EA">
        <w:rPr>
          <w:bCs/>
        </w:rPr>
        <w:t xml:space="preserve"> </w:t>
      </w:r>
    </w:p>
    <w:p w:rsidR="00E43E9A" w:rsidRPr="001779EA" w:rsidRDefault="00DF18EC" w:rsidP="00E43E9A">
      <w:pPr>
        <w:pStyle w:val="3-BodyText"/>
        <w:snapToGrid w:val="0"/>
        <w:rPr>
          <w:rFonts w:ascii="Arial Narrow" w:hAnsi="Arial Narrow"/>
          <w:b/>
          <w:sz w:val="20"/>
          <w:szCs w:val="16"/>
        </w:rPr>
      </w:pPr>
      <w:r w:rsidRPr="001779EA">
        <w:rPr>
          <w:bCs/>
        </w:rPr>
        <w:t>Table 1</w:t>
      </w:r>
      <w:r w:rsidR="00BD05E5" w:rsidRPr="001779EA">
        <w:rPr>
          <w:bCs/>
        </w:rPr>
        <w:t>3</w:t>
      </w:r>
      <w:r w:rsidRPr="001779EA">
        <w:rPr>
          <w:bCs/>
        </w:rPr>
        <w:t xml:space="preserve"> summarises the key components of the economic evaluation for first-line therapy</w:t>
      </w:r>
      <w:r w:rsidR="00E43E9A" w:rsidRPr="001779EA">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8"/>
        <w:gridCol w:w="3401"/>
        <w:gridCol w:w="4208"/>
      </w:tblGrid>
      <w:tr w:rsidR="00E43E9A" w:rsidRPr="001779EA" w:rsidTr="00E43E9A">
        <w:trPr>
          <w:cantSplit/>
          <w:tblHeader/>
        </w:trPr>
        <w:tc>
          <w:tcPr>
            <w:tcW w:w="5000" w:type="pct"/>
            <w:gridSpan w:val="3"/>
            <w:tcBorders>
              <w:top w:val="nil"/>
              <w:left w:val="nil"/>
              <w:bottom w:val="single" w:sz="4" w:space="0" w:color="auto"/>
              <w:right w:val="nil"/>
            </w:tcBorders>
            <w:vAlign w:val="center"/>
            <w:hideMark/>
          </w:tcPr>
          <w:p w:rsidR="00E43E9A" w:rsidRPr="001779EA" w:rsidRDefault="00E43E9A" w:rsidP="00E10A14">
            <w:pPr>
              <w:pStyle w:val="In-tableHeading"/>
              <w:rPr>
                <w:lang w:val="en-AU"/>
              </w:rPr>
            </w:pPr>
            <w:r w:rsidRPr="001779EA">
              <w:rPr>
                <w:rStyle w:val="CommentReference"/>
                <w:b/>
                <w:bCs/>
                <w:lang w:val="en-AU"/>
              </w:rPr>
              <w:t>Table 1</w:t>
            </w:r>
            <w:r w:rsidR="00BD05E5" w:rsidRPr="001779EA">
              <w:rPr>
                <w:rStyle w:val="CommentReference"/>
                <w:b/>
                <w:bCs/>
                <w:lang w:val="en-AU"/>
              </w:rPr>
              <w:t>3</w:t>
            </w:r>
            <w:r w:rsidRPr="001779EA">
              <w:rPr>
                <w:rStyle w:val="CommentReference"/>
                <w:b/>
                <w:bCs/>
                <w:lang w:val="en-AU"/>
              </w:rPr>
              <w:t>: Summary of model structure, key inputs and rationale for first-line treatment</w:t>
            </w:r>
          </w:p>
        </w:tc>
      </w:tr>
      <w:tr w:rsidR="00E43E9A" w:rsidRPr="001779EA" w:rsidTr="00F049CE">
        <w:trPr>
          <w:cantSplit/>
          <w:tblHeader/>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550786">
            <w:pPr>
              <w:pStyle w:val="In-tableHeading"/>
              <w:rPr>
                <w:lang w:val="en-AU"/>
              </w:rPr>
            </w:pPr>
            <w:r w:rsidRPr="001779EA">
              <w:rPr>
                <w:lang w:val="en-AU"/>
              </w:rPr>
              <w:t>Component</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rsidP="00550786">
            <w:pPr>
              <w:pStyle w:val="In-tableHeading"/>
              <w:rPr>
                <w:lang w:val="en-AU"/>
              </w:rPr>
            </w:pPr>
            <w:r w:rsidRPr="001779EA">
              <w:rPr>
                <w:lang w:val="en-AU"/>
              </w:rPr>
              <w:t>Summary</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550786">
            <w:pPr>
              <w:pStyle w:val="In-tableHeading"/>
              <w:rPr>
                <w:lang w:val="en-AU"/>
              </w:rPr>
            </w:pPr>
            <w:r w:rsidRPr="001779EA">
              <w:rPr>
                <w:lang w:val="en-AU"/>
              </w:rPr>
              <w:t>Justification/comments</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Type of analysis</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pPr>
              <w:pStyle w:val="TableText0"/>
            </w:pPr>
            <w:r w:rsidRPr="001779EA">
              <w:t>Cost-utility analysis.</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rPr>
                <w:iCs/>
              </w:rPr>
              <w:t xml:space="preserve">This is reasonable, however the </w:t>
            </w:r>
            <w:r w:rsidR="00AD3287" w:rsidRPr="001779EA">
              <w:rPr>
                <w:iCs/>
              </w:rPr>
              <w:t xml:space="preserve">commentary and the ESC considered that the </w:t>
            </w:r>
            <w:r w:rsidRPr="001779EA">
              <w:rPr>
                <w:iCs/>
              </w:rPr>
              <w:t>clinical claim of superiority was not justified well.</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Outcomes</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pPr>
              <w:pStyle w:val="TableText0"/>
            </w:pPr>
            <w:r w:rsidRPr="001779EA">
              <w:t>Life-years gained (and quality adjusted life-years gained (QALY).</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rPr>
                <w:iCs/>
              </w:rPr>
              <w:t>This is appropriate.</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Time horizon</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pPr>
              <w:pStyle w:val="TableText0"/>
            </w:pPr>
            <w:r w:rsidRPr="001779EA">
              <w:t>10 years in the model base case</w:t>
            </w:r>
          </w:p>
          <w:p w:rsidR="00E43E9A" w:rsidRPr="001779EA" w:rsidRDefault="00E43E9A">
            <w:pPr>
              <w:pStyle w:val="TableText0"/>
            </w:pPr>
            <w:r w:rsidRPr="001779EA">
              <w:t>30 years in sensitivity analyses</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EF58DD">
            <w:pPr>
              <w:pStyle w:val="TableText0"/>
            </w:pPr>
            <w:r w:rsidRPr="001779EA">
              <w:t>The median follow-up time for PFS in the FALCON trial (13.82 months for fulvestrant; 13.24 for anastrozole) is short. The ICER is highly sensitive to a shorter time horizon of 5 years.</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Methods used to generate results</w:t>
            </w:r>
          </w:p>
        </w:tc>
        <w:tc>
          <w:tcPr>
            <w:tcW w:w="1884"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Partitioned survival model.</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This is appropriate.</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Health states</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pPr>
              <w:pStyle w:val="TableText0"/>
            </w:pPr>
            <w:r w:rsidRPr="001779EA">
              <w:rPr>
                <w:rFonts w:cs="Arial Narrow"/>
                <w:szCs w:val="22"/>
              </w:rPr>
              <w:t>Three health states:</w:t>
            </w:r>
          </w:p>
          <w:p w:rsidR="00E43E9A" w:rsidRPr="001779EA" w:rsidRDefault="00E43E9A">
            <w:pPr>
              <w:widowControl w:val="0"/>
              <w:jc w:val="left"/>
              <w:rPr>
                <w:rFonts w:ascii="Arial Narrow" w:eastAsia="Arial Narrow" w:hAnsi="Arial Narrow" w:cs="Arial Narrow"/>
                <w:sz w:val="20"/>
                <w:szCs w:val="22"/>
              </w:rPr>
            </w:pPr>
            <w:r w:rsidRPr="001779EA">
              <w:rPr>
                <w:rFonts w:ascii="Arial Narrow" w:eastAsia="Arial Narrow" w:hAnsi="Arial Narrow" w:cs="Arial Narrow"/>
                <w:sz w:val="20"/>
                <w:szCs w:val="22"/>
              </w:rPr>
              <w:t>Progression free survival (PFS):</w:t>
            </w:r>
          </w:p>
          <w:p w:rsidR="00E43E9A" w:rsidRPr="001779EA" w:rsidRDefault="00E43E9A" w:rsidP="007C1855">
            <w:pPr>
              <w:widowControl w:val="0"/>
              <w:numPr>
                <w:ilvl w:val="0"/>
                <w:numId w:val="12"/>
              </w:numPr>
              <w:ind w:left="714" w:hanging="357"/>
              <w:jc w:val="left"/>
              <w:rPr>
                <w:rFonts w:ascii="Arial Narrow" w:eastAsia="Arial Narrow" w:hAnsi="Arial Narrow" w:cs="Arial Narrow"/>
                <w:sz w:val="20"/>
                <w:szCs w:val="22"/>
              </w:rPr>
            </w:pPr>
            <w:r w:rsidRPr="001779EA">
              <w:rPr>
                <w:rFonts w:ascii="Arial Narrow" w:eastAsia="Arial Narrow" w:hAnsi="Arial Narrow" w:cs="Arial Narrow"/>
                <w:sz w:val="20"/>
                <w:szCs w:val="22"/>
              </w:rPr>
              <w:t>Complete response</w:t>
            </w:r>
          </w:p>
          <w:p w:rsidR="00E43E9A" w:rsidRPr="001779EA" w:rsidRDefault="00E43E9A" w:rsidP="007C1855">
            <w:pPr>
              <w:widowControl w:val="0"/>
              <w:numPr>
                <w:ilvl w:val="0"/>
                <w:numId w:val="12"/>
              </w:numPr>
              <w:ind w:left="714" w:hanging="357"/>
              <w:jc w:val="left"/>
              <w:rPr>
                <w:rFonts w:ascii="Arial Narrow" w:eastAsia="Arial Narrow" w:hAnsi="Arial Narrow" w:cs="Arial Narrow"/>
                <w:sz w:val="20"/>
                <w:szCs w:val="22"/>
              </w:rPr>
            </w:pPr>
            <w:r w:rsidRPr="001779EA">
              <w:rPr>
                <w:rFonts w:ascii="Arial Narrow" w:eastAsia="Arial Narrow" w:hAnsi="Arial Narrow" w:cs="Arial Narrow"/>
                <w:sz w:val="20"/>
                <w:szCs w:val="22"/>
              </w:rPr>
              <w:t>Partial response</w:t>
            </w:r>
          </w:p>
          <w:p w:rsidR="00E43E9A" w:rsidRPr="001779EA" w:rsidRDefault="00E43E9A" w:rsidP="007C1855">
            <w:pPr>
              <w:widowControl w:val="0"/>
              <w:numPr>
                <w:ilvl w:val="0"/>
                <w:numId w:val="12"/>
              </w:numPr>
              <w:ind w:left="714" w:hanging="357"/>
              <w:jc w:val="left"/>
              <w:rPr>
                <w:rFonts w:ascii="Arial Narrow" w:eastAsia="Arial Narrow" w:hAnsi="Arial Narrow" w:cs="Arial Narrow"/>
                <w:sz w:val="20"/>
                <w:szCs w:val="22"/>
              </w:rPr>
            </w:pPr>
            <w:r w:rsidRPr="001779EA">
              <w:rPr>
                <w:rFonts w:ascii="Arial Narrow" w:eastAsia="Arial Narrow" w:hAnsi="Arial Narrow" w:cs="Arial Narrow"/>
                <w:sz w:val="20"/>
                <w:szCs w:val="22"/>
              </w:rPr>
              <w:t>Stable disease</w:t>
            </w:r>
          </w:p>
          <w:p w:rsidR="00E43E9A" w:rsidRPr="001779EA" w:rsidRDefault="00E43E9A">
            <w:pPr>
              <w:widowControl w:val="0"/>
              <w:jc w:val="left"/>
              <w:rPr>
                <w:rFonts w:ascii="Arial Narrow" w:eastAsia="Arial Narrow" w:hAnsi="Arial Narrow" w:cs="Arial Narrow"/>
                <w:sz w:val="20"/>
                <w:szCs w:val="22"/>
              </w:rPr>
            </w:pPr>
            <w:r w:rsidRPr="001779EA">
              <w:rPr>
                <w:rFonts w:ascii="Arial Narrow" w:eastAsia="Arial Narrow" w:hAnsi="Arial Narrow" w:cs="Arial Narrow"/>
                <w:sz w:val="20"/>
                <w:szCs w:val="22"/>
              </w:rPr>
              <w:t>Progressive disease (PPS):</w:t>
            </w:r>
          </w:p>
          <w:p w:rsidR="00E43E9A" w:rsidRPr="001779EA" w:rsidRDefault="00E43E9A">
            <w:pPr>
              <w:pStyle w:val="TableText0"/>
            </w:pPr>
            <w:r w:rsidRPr="001779EA">
              <w:rPr>
                <w:rFonts w:eastAsia="Arial Narrow" w:cs="Arial Narrow"/>
                <w:bCs w:val="0"/>
                <w:szCs w:val="22"/>
              </w:rPr>
              <w:t>Death</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This model structure is reasonable.</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Cycle length</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pPr>
              <w:pStyle w:val="TableText0"/>
            </w:pPr>
            <w:r w:rsidRPr="001779EA">
              <w:t>4 weeks</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0F5B4C">
            <w:pPr>
              <w:pStyle w:val="TableText0"/>
            </w:pPr>
            <w:r w:rsidRPr="001779EA">
              <w:t>This is appropriate.</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Allocation to health states</w:t>
            </w:r>
          </w:p>
        </w:tc>
        <w:tc>
          <w:tcPr>
            <w:tcW w:w="1884" w:type="pct"/>
            <w:tcBorders>
              <w:top w:val="single" w:sz="4" w:space="0" w:color="auto"/>
              <w:left w:val="single" w:sz="4" w:space="0" w:color="auto"/>
              <w:bottom w:val="single" w:sz="4" w:space="0" w:color="auto"/>
              <w:right w:val="single" w:sz="4" w:space="0" w:color="auto"/>
            </w:tcBorders>
          </w:tcPr>
          <w:p w:rsidR="00E43E9A" w:rsidRPr="001779EA" w:rsidRDefault="00E43E9A">
            <w:pPr>
              <w:pStyle w:val="TableText0"/>
            </w:pPr>
            <w:r w:rsidRPr="001779EA">
              <w:t>No specific transition probabilities modelled.</w:t>
            </w:r>
          </w:p>
          <w:p w:rsidR="00E43E9A" w:rsidRPr="001779EA" w:rsidRDefault="00E43E9A">
            <w:pPr>
              <w:pStyle w:val="TableText0"/>
            </w:pPr>
            <w:r w:rsidRPr="001779EA">
              <w:t>Health state allocation over time determined by progression free and overall survival curves from the FALCON and FIRST trials</w:t>
            </w:r>
          </w:p>
          <w:p w:rsidR="00E43E9A" w:rsidRPr="001779EA" w:rsidRDefault="00E43E9A">
            <w:pPr>
              <w:pStyle w:val="TableText0"/>
            </w:pP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E67A71">
            <w:pPr>
              <w:pStyle w:val="TableText0"/>
              <w:rPr>
                <w:bCs w:val="0"/>
              </w:rPr>
            </w:pPr>
            <w:r w:rsidRPr="001779EA">
              <w:t>Model inputs PFS and OS were based on meta-analysis data from the FALCON and FIRST trials</w:t>
            </w:r>
            <w:r w:rsidR="00E67A71" w:rsidRPr="001779EA">
              <w:t xml:space="preserve"> for the endocrine naïve population only</w:t>
            </w:r>
            <w:r w:rsidRPr="001779EA">
              <w:t xml:space="preserve">. There were applicability issues with the FALCON and FIRST trials, as outlined in the comparative effectiveness section. </w:t>
            </w:r>
          </w:p>
        </w:tc>
      </w:tr>
      <w:tr w:rsidR="00E43E9A" w:rsidRPr="001779EA" w:rsidTr="00926CA3">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Extrapolation method</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pPr>
              <w:pStyle w:val="TableText0"/>
            </w:pPr>
            <w:r w:rsidRPr="001779EA">
              <w:t>The base-case model assumed a non-proportional hazards model and used a methodology that allowed the simultaneous extrapolation and meta-analysis of Kaplan-Meier curves from FALCON and FIRST. PFS was extrapolated using the generalised gamma distribution (the second best statistical fit) and OS extrapolated using Weibull (the best statistical fit).</w:t>
            </w:r>
          </w:p>
          <w:p w:rsidR="00E43E9A" w:rsidRPr="001779EA" w:rsidRDefault="00E43E9A">
            <w:pPr>
              <w:pStyle w:val="TableText0"/>
            </w:pPr>
            <w:r w:rsidRPr="001779EA">
              <w:t>Time to treatment discontinuation was based on the PFS from FALCON.</w:t>
            </w:r>
          </w:p>
          <w:p w:rsidR="00E43E9A" w:rsidRPr="001779EA" w:rsidRDefault="00E43E9A" w:rsidP="00677C8E">
            <w:pPr>
              <w:pStyle w:val="TableText0"/>
            </w:pPr>
            <w:r w:rsidRPr="001779EA">
              <w:t xml:space="preserve">Extrapolation </w:t>
            </w:r>
            <w:r w:rsidR="000F5B4C" w:rsidRPr="001779EA">
              <w:t>wa</w:t>
            </w:r>
            <w:r w:rsidRPr="001779EA">
              <w:t xml:space="preserve">s applied for the duration of the model; no observed trial data </w:t>
            </w:r>
            <w:r w:rsidR="000F5B4C" w:rsidRPr="001779EA">
              <w:t>w</w:t>
            </w:r>
            <w:r w:rsidR="00677C8E" w:rsidRPr="001779EA">
              <w:t>ere</w:t>
            </w:r>
            <w:r w:rsidRPr="001779EA">
              <w:t xml:space="preserve"> used in the base case.</w:t>
            </w:r>
          </w:p>
        </w:tc>
        <w:tc>
          <w:tcPr>
            <w:tcW w:w="2330" w:type="pct"/>
            <w:tcBorders>
              <w:top w:val="single" w:sz="4" w:space="0" w:color="auto"/>
              <w:left w:val="single" w:sz="4" w:space="0" w:color="auto"/>
              <w:bottom w:val="single" w:sz="4" w:space="0" w:color="auto"/>
              <w:right w:val="single" w:sz="4" w:space="0" w:color="auto"/>
            </w:tcBorders>
          </w:tcPr>
          <w:p w:rsidR="00677C8E" w:rsidRPr="001779EA" w:rsidRDefault="00AD3287" w:rsidP="00926CA3">
            <w:pPr>
              <w:pStyle w:val="TableText0"/>
            </w:pPr>
            <w:r w:rsidRPr="001779EA">
              <w:t>The commentary and the ESC considered that a</w:t>
            </w:r>
            <w:r w:rsidR="00E43E9A" w:rsidRPr="001779EA">
              <w:t xml:space="preserve"> meta-analysis using FALCON and FIRST data may not be appropriate given the issues with the FIRST trial and OS data from FALCON is immature. </w:t>
            </w:r>
            <w:r w:rsidR="00677C8E" w:rsidRPr="001779EA">
              <w:t>The ESC considered that the extrapolation likely over-predicted incremental efficacy. The</w:t>
            </w:r>
            <w:r w:rsidR="00B155B9" w:rsidRPr="001779EA">
              <w:t xml:space="preserve"> ESC noted that the</w:t>
            </w:r>
            <w:r w:rsidR="00677C8E" w:rsidRPr="001779EA">
              <w:t xml:space="preserve"> ICER is highly sensitive to the choice of extrapolation approach</w:t>
            </w:r>
            <w:r w:rsidR="00B155B9" w:rsidRPr="001779EA">
              <w:t xml:space="preserve"> (</w:t>
            </w:r>
            <w:r w:rsidR="00DD7FC2" w:rsidRPr="001779EA">
              <w:t xml:space="preserve">particularly </w:t>
            </w:r>
            <w:r w:rsidR="00B155B9" w:rsidRPr="001779EA">
              <w:t>proportional hazards versus non-proportional hazards)</w:t>
            </w:r>
            <w:r w:rsidR="00677C8E" w:rsidRPr="001779EA">
              <w:t>.</w:t>
            </w:r>
          </w:p>
          <w:p w:rsidR="00677C8E" w:rsidRPr="001779EA" w:rsidRDefault="00677C8E" w:rsidP="00926CA3">
            <w:pPr>
              <w:pStyle w:val="TableText0"/>
            </w:pPr>
          </w:p>
          <w:p w:rsidR="00677C8E" w:rsidRPr="001779EA" w:rsidRDefault="004F55BF" w:rsidP="00926CA3">
            <w:pPr>
              <w:pStyle w:val="TableText0"/>
              <w:rPr>
                <w:i/>
              </w:rPr>
            </w:pPr>
            <w:r w:rsidRPr="001779EA">
              <w:t>T</w:t>
            </w:r>
            <w:r w:rsidR="00E43E9A" w:rsidRPr="001779EA">
              <w:t xml:space="preserve">reatment duration should have been based on </w:t>
            </w:r>
            <w:r w:rsidRPr="001779EA">
              <w:t>ti</w:t>
            </w:r>
            <w:r w:rsidR="00E43E9A" w:rsidRPr="001779EA">
              <w:t>me to treatment d</w:t>
            </w:r>
            <w:r w:rsidRPr="001779EA">
              <w:t>iscontinuation</w:t>
            </w:r>
            <w:r w:rsidR="00E43E9A" w:rsidRPr="001779EA">
              <w:t xml:space="preserve"> from both FALCON and FIRST rather than being based on PFS from FALCON.</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Utilities</w:t>
            </w:r>
          </w:p>
        </w:tc>
        <w:tc>
          <w:tcPr>
            <w:tcW w:w="1884" w:type="pct"/>
            <w:tcBorders>
              <w:top w:val="single" w:sz="4" w:space="0" w:color="auto"/>
              <w:left w:val="single" w:sz="4" w:space="0" w:color="auto"/>
              <w:bottom w:val="single" w:sz="4" w:space="0" w:color="auto"/>
              <w:right w:val="single" w:sz="4" w:space="0" w:color="auto"/>
            </w:tcBorders>
          </w:tcPr>
          <w:p w:rsidR="00E43E9A" w:rsidRPr="001779EA" w:rsidRDefault="00E43E9A">
            <w:pPr>
              <w:pStyle w:val="TableText0"/>
            </w:pPr>
            <w:r w:rsidRPr="001779EA">
              <w:t xml:space="preserve">FALCON and Lloyd (2006) for PFS and PPS </w:t>
            </w:r>
          </w:p>
          <w:p w:rsidR="00E43E9A" w:rsidRPr="001779EA" w:rsidRDefault="00E43E9A">
            <w:pPr>
              <w:pStyle w:val="TableText0"/>
            </w:pPr>
          </w:p>
          <w:p w:rsidR="00E43E9A" w:rsidRPr="001779EA" w:rsidRDefault="00E43E9A">
            <w:pPr>
              <w:pStyle w:val="TableText0"/>
            </w:pPr>
            <w:r w:rsidRPr="001779EA">
              <w:t xml:space="preserve">Doyle (2006), Swinburn (2010) and Boehringer Ingelheim Ltd (2014) for disutilities. </w:t>
            </w:r>
          </w:p>
        </w:tc>
        <w:tc>
          <w:tcPr>
            <w:tcW w:w="2330" w:type="pct"/>
            <w:tcBorders>
              <w:top w:val="single" w:sz="4" w:space="0" w:color="auto"/>
              <w:left w:val="single" w:sz="4" w:space="0" w:color="auto"/>
              <w:bottom w:val="single" w:sz="4" w:space="0" w:color="auto"/>
              <w:right w:val="single" w:sz="4" w:space="0" w:color="auto"/>
            </w:tcBorders>
            <w:vAlign w:val="center"/>
          </w:tcPr>
          <w:p w:rsidR="00E43E9A" w:rsidRPr="001779EA" w:rsidRDefault="00E43E9A">
            <w:pPr>
              <w:pStyle w:val="TableText0"/>
            </w:pPr>
            <w:r w:rsidRPr="001779EA">
              <w:t>The submission did not test the use of the Australian scoring algorithm, which is also available for EQ-5D-3L.</w:t>
            </w:r>
          </w:p>
          <w:p w:rsidR="00E43E9A" w:rsidRPr="001779EA" w:rsidRDefault="00E43E9A">
            <w:pPr>
              <w:pStyle w:val="TableText0"/>
            </w:pPr>
          </w:p>
          <w:p w:rsidR="00E43E9A" w:rsidRPr="001779EA" w:rsidRDefault="00E43E9A">
            <w:pPr>
              <w:pStyle w:val="TableText0"/>
            </w:pPr>
            <w:r w:rsidRPr="001779EA">
              <w:t>The duration of the adverse events was based on studies in NICE UK manufacturer submissions and may not reflect the Australian clinical setting.</w:t>
            </w:r>
          </w:p>
        </w:tc>
      </w:tr>
      <w:tr w:rsidR="00E43E9A" w:rsidRPr="001779EA" w:rsidTr="00F049CE">
        <w:trPr>
          <w:cantSplit/>
        </w:trPr>
        <w:tc>
          <w:tcPr>
            <w:tcW w:w="785"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r w:rsidRPr="001779EA">
              <w:t>Software package</w:t>
            </w:r>
          </w:p>
        </w:tc>
        <w:tc>
          <w:tcPr>
            <w:tcW w:w="1884" w:type="pct"/>
            <w:tcBorders>
              <w:top w:val="single" w:sz="4" w:space="0" w:color="auto"/>
              <w:left w:val="single" w:sz="4" w:space="0" w:color="auto"/>
              <w:bottom w:val="single" w:sz="4" w:space="0" w:color="auto"/>
              <w:right w:val="single" w:sz="4" w:space="0" w:color="auto"/>
            </w:tcBorders>
            <w:hideMark/>
          </w:tcPr>
          <w:p w:rsidR="00E43E9A" w:rsidRPr="001779EA" w:rsidRDefault="00E43E9A">
            <w:pPr>
              <w:pStyle w:val="TableText0"/>
            </w:pPr>
            <w:r w:rsidRPr="001779EA">
              <w:t>Excel 2016</w:t>
            </w:r>
          </w:p>
        </w:tc>
        <w:tc>
          <w:tcPr>
            <w:tcW w:w="23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TableText0"/>
            </w:pPr>
          </w:p>
        </w:tc>
      </w:tr>
    </w:tbl>
    <w:p w:rsidR="00E43E9A" w:rsidRPr="001779EA" w:rsidRDefault="00E43E9A" w:rsidP="00E43E9A">
      <w:pPr>
        <w:pStyle w:val="TableFigureFooter"/>
      </w:pPr>
      <w:r w:rsidRPr="001779EA">
        <w:t>Source: Table 3.1, Table 3.12 and Table 3.15, pp127,148-149 of the submission and CEA Model workbook.</w:t>
      </w:r>
    </w:p>
    <w:p w:rsidR="00E43E9A" w:rsidRPr="001779EA" w:rsidRDefault="00E43E9A" w:rsidP="00E43E9A">
      <w:pPr>
        <w:pStyle w:val="TableFigureFooter"/>
      </w:pPr>
      <w:r w:rsidRPr="001779EA">
        <w:t xml:space="preserve">ITT = intention to treat; OS = overall survival; PFS = progression-free survival; PPS = progressive disease. </w:t>
      </w:r>
    </w:p>
    <w:p w:rsidR="007F535E" w:rsidRPr="001779EA" w:rsidRDefault="00E43E9A" w:rsidP="00E43E9A">
      <w:pPr>
        <w:pStyle w:val="3-BodyText"/>
        <w:snapToGrid w:val="0"/>
      </w:pPr>
      <w:r w:rsidRPr="001779EA">
        <w:lastRenderedPageBreak/>
        <w:t>In the base case analysis, a non-proportional hazards model was assumed with PFS and OS from the meta-analysis from FALCON</w:t>
      </w:r>
      <w:r w:rsidR="00767362" w:rsidRPr="001779EA">
        <w:t xml:space="preserve"> and FIRST for fulvestrant and </w:t>
      </w:r>
      <w:r w:rsidRPr="001779EA">
        <w:t xml:space="preserve">anastrozole modelled independently. </w:t>
      </w:r>
      <w:r w:rsidR="007F535E" w:rsidRPr="001779EA">
        <w:t>PFS and OS for fulvestrant and anastrozole were estimated by fitting parametric survival distributions to the PFS and OS trial data from FALCON and FIRST using a methodology that allowed a simultaneous extrapolation and meta-analysis of Kaplan-Meier curves from FALCON and FIRST trials. This was achieved by relating the Kaplan-Meier curves of each of the treatments directly to the parameters of each of the parametric distributions tested. The extrapolated curves were validated by clinicians as part of the NICE 2017 evaluation for the UK indication.</w:t>
      </w:r>
      <w:r w:rsidR="00F76456" w:rsidRPr="001779EA">
        <w:t xml:space="preserve"> The ESC considered that the approach to extrapolation was unnecessarily complicated</w:t>
      </w:r>
      <w:r w:rsidR="00330CE3" w:rsidRPr="001779EA">
        <w:t>.</w:t>
      </w:r>
    </w:p>
    <w:p w:rsidR="00642BB8" w:rsidRPr="001779EA" w:rsidRDefault="004C3904" w:rsidP="00642BB8">
      <w:pPr>
        <w:pStyle w:val="3-BodyText"/>
      </w:pPr>
      <w:r w:rsidRPr="001779EA">
        <w:t xml:space="preserve">In the base case, </w:t>
      </w:r>
      <w:r w:rsidR="00E43E9A" w:rsidRPr="001779EA">
        <w:t>PFS and OS data from FIRST w</w:t>
      </w:r>
      <w:r w:rsidR="00125FE8" w:rsidRPr="001779EA">
        <w:t>ere</w:t>
      </w:r>
      <w:r w:rsidR="00E43E9A" w:rsidRPr="001779EA">
        <w:t xml:space="preserve"> based on a subgroup </w:t>
      </w:r>
      <w:r w:rsidR="00125FE8" w:rsidRPr="001779EA">
        <w:t xml:space="preserve">of patients </w:t>
      </w:r>
      <w:r w:rsidR="00E43E9A" w:rsidRPr="001779EA">
        <w:t>who were naïve to endocrine therapy in line with the UK indication</w:t>
      </w:r>
      <w:r w:rsidR="00125FE8" w:rsidRPr="001779EA">
        <w:t>,</w:t>
      </w:r>
      <w:r w:rsidR="00E43E9A" w:rsidRPr="001779EA">
        <w:t xml:space="preserve"> however</w:t>
      </w:r>
      <w:r w:rsidR="00B155B9" w:rsidRPr="001779EA">
        <w:t xml:space="preserve"> t</w:t>
      </w:r>
      <w:r w:rsidR="00E43E9A" w:rsidRPr="001779EA">
        <w:t xml:space="preserve">he ITT population of FIRST is </w:t>
      </w:r>
      <w:r w:rsidR="00EF58DD" w:rsidRPr="001779EA">
        <w:t xml:space="preserve">more </w:t>
      </w:r>
      <w:r w:rsidR="00E43E9A" w:rsidRPr="001779EA">
        <w:t xml:space="preserve">applicable to the Australian setting </w:t>
      </w:r>
      <w:r w:rsidR="00E67A71" w:rsidRPr="001779EA">
        <w:t>w</w:t>
      </w:r>
      <w:r w:rsidR="007F535E" w:rsidRPr="001779EA">
        <w:t>hich includes pati</w:t>
      </w:r>
      <w:r w:rsidR="00E67A71" w:rsidRPr="001779EA">
        <w:t>e</w:t>
      </w:r>
      <w:r w:rsidR="007F535E" w:rsidRPr="001779EA">
        <w:t>n</w:t>
      </w:r>
      <w:r w:rsidR="00E67A71" w:rsidRPr="001779EA">
        <w:t>ts with prior endocrine therapy</w:t>
      </w:r>
      <w:r w:rsidR="007F535E" w:rsidRPr="001779EA">
        <w:t xml:space="preserve">. </w:t>
      </w:r>
    </w:p>
    <w:p w:rsidR="00E43E9A" w:rsidRPr="001779EA" w:rsidRDefault="00642BB8" w:rsidP="00106E94">
      <w:pPr>
        <w:pStyle w:val="3-BodyText"/>
        <w:snapToGrid w:val="0"/>
      </w:pPr>
      <w:r w:rsidRPr="001779EA">
        <w:t xml:space="preserve">The submission also presented a sensitivity analysis that used a proportional hazards model, in which the hazard ratios from the meta-analyses of FIRST and FALCON (incorporating the efficacy of fulvestrant in the ITT population of FIRST) are applied to the extrapolated PFS and OS curves from the anastrozole arm in FALCON. </w:t>
      </w:r>
      <w:r w:rsidR="00F0451B" w:rsidRPr="001779EA">
        <w:t xml:space="preserve">The PBAC considered that </w:t>
      </w:r>
      <w:r w:rsidRPr="001779EA">
        <w:t xml:space="preserve">use of </w:t>
      </w:r>
      <w:r w:rsidR="00F0451B" w:rsidRPr="001779EA">
        <w:t xml:space="preserve">the full ITT population from </w:t>
      </w:r>
      <w:r w:rsidR="00FD7ED7" w:rsidRPr="001779EA">
        <w:t>FIRST</w:t>
      </w:r>
      <w:r w:rsidR="00F0451B" w:rsidRPr="001779EA">
        <w:t xml:space="preserve"> </w:t>
      </w:r>
      <w:r w:rsidR="00FD7ED7" w:rsidRPr="001779EA">
        <w:t>was more appropriate</w:t>
      </w:r>
      <w:r w:rsidR="00F0451B" w:rsidRPr="001779EA">
        <w:t>, consistent with the requested listing</w:t>
      </w:r>
      <w:r w:rsidR="00FD7ED7" w:rsidRPr="001779EA">
        <w:t xml:space="preserve"> </w:t>
      </w:r>
      <w:r w:rsidR="0016254B" w:rsidRPr="001779EA">
        <w:t>and</w:t>
      </w:r>
      <w:r w:rsidR="00FD7ED7" w:rsidRPr="001779EA">
        <w:t xml:space="preserve"> noted that using this population </w:t>
      </w:r>
      <w:r w:rsidR="005C3C68" w:rsidRPr="001779EA">
        <w:t xml:space="preserve">(using a proportional hazards model) </w:t>
      </w:r>
      <w:r w:rsidR="00FD7ED7" w:rsidRPr="001779EA">
        <w:t>decreased the ICER slightly from $</w:t>
      </w:r>
      <w:r w:rsidR="005C1BF9">
        <w:t>55,000 to &lt; $75,000</w:t>
      </w:r>
      <w:r w:rsidR="00FD7ED7" w:rsidRPr="001779EA">
        <w:t xml:space="preserve"> to $</w:t>
      </w:r>
      <w:r w:rsidR="005C1BF9">
        <w:t>55,000 to &lt; $75,000</w:t>
      </w:r>
      <w:r w:rsidR="0016254B" w:rsidRPr="001779EA">
        <w:t>/QALY based on a pooled HR for OS of 0.78 which includes the unadjusted results from FIRST. If the adjusted results from FIRST were included in the pooled analysis (OS HR of 0.82), the ICER increased to $</w:t>
      </w:r>
      <w:r w:rsidR="005C1BF9">
        <w:t>55,000 to &lt; $75,000</w:t>
      </w:r>
      <w:r w:rsidR="0016254B" w:rsidRPr="001779EA">
        <w:t>/QALY.</w:t>
      </w:r>
    </w:p>
    <w:p w:rsidR="00E43E9A" w:rsidRPr="001779EA" w:rsidRDefault="00E43E9A" w:rsidP="00E43E9A">
      <w:pPr>
        <w:pStyle w:val="3-BodyText"/>
        <w:snapToGrid w:val="0"/>
      </w:pPr>
      <w:r w:rsidRPr="001779EA">
        <w:t xml:space="preserve">The </w:t>
      </w:r>
      <w:r w:rsidR="004C3904" w:rsidRPr="001779EA">
        <w:t xml:space="preserve">commentary and the ESC considered that </w:t>
      </w:r>
      <w:r w:rsidRPr="001779EA">
        <w:t xml:space="preserve">use of </w:t>
      </w:r>
      <w:r w:rsidR="00E26F9F" w:rsidRPr="001779EA">
        <w:t xml:space="preserve">the </w:t>
      </w:r>
      <w:r w:rsidRPr="001779EA">
        <w:t>meta-analysis may not have be</w:t>
      </w:r>
      <w:r w:rsidR="004C3904" w:rsidRPr="001779EA">
        <w:t>en the best approach given the</w:t>
      </w:r>
      <w:r w:rsidRPr="001779EA">
        <w:t xml:space="preserve"> differences </w:t>
      </w:r>
      <w:r w:rsidR="004C3904" w:rsidRPr="001779EA">
        <w:t>between</w:t>
      </w:r>
      <w:r w:rsidRPr="001779EA">
        <w:t xml:space="preserve"> FALCON and FIRST. </w:t>
      </w:r>
      <w:r w:rsidR="004C3904" w:rsidRPr="001779EA">
        <w:t>T</w:t>
      </w:r>
      <w:r w:rsidR="00E26F9F" w:rsidRPr="001779EA">
        <w:t xml:space="preserve">he ESC considered that the FALCON trial should be the basis of the economic evaluation because </w:t>
      </w:r>
      <w:r w:rsidR="00125FE8" w:rsidRPr="001779EA">
        <w:t xml:space="preserve">it </w:t>
      </w:r>
      <w:r w:rsidR="00E26F9F" w:rsidRPr="001779EA">
        <w:t xml:space="preserve">included </w:t>
      </w:r>
      <w:r w:rsidR="000F5B4C" w:rsidRPr="001779EA">
        <w:t xml:space="preserve">only </w:t>
      </w:r>
      <w:r w:rsidR="00E26F9F" w:rsidRPr="001779EA">
        <w:t xml:space="preserve">patients with HER2- disease. </w:t>
      </w:r>
      <w:r w:rsidR="00B155B9" w:rsidRPr="001779EA">
        <w:t xml:space="preserve">The ICER increases substantially when clinical data </w:t>
      </w:r>
      <w:r w:rsidR="00B70CD2" w:rsidRPr="001779EA">
        <w:t>are</w:t>
      </w:r>
      <w:r w:rsidR="00B155B9" w:rsidRPr="001779EA">
        <w:t xml:space="preserve"> taken only from FALCON.</w:t>
      </w:r>
      <w:r w:rsidR="00673E91">
        <w:t xml:space="preserve"> The pr</w:t>
      </w:r>
      <w:r w:rsidR="00F5335A" w:rsidRPr="001779EA">
        <w:t>e-PBAC response</w:t>
      </w:r>
      <w:r w:rsidR="004A7F85" w:rsidRPr="001779EA">
        <w:t xml:space="preserve"> </w:t>
      </w:r>
      <w:r w:rsidR="00F5335A" w:rsidRPr="001779EA">
        <w:t xml:space="preserve">stated that inclusion of the FIRST trial was </w:t>
      </w:r>
      <w:r w:rsidR="004A7F85" w:rsidRPr="001779EA">
        <w:t>reasonable</w:t>
      </w:r>
      <w:r w:rsidR="00F5335A" w:rsidRPr="001779EA">
        <w:t xml:space="preserve"> as it included patients with prior endocrine therapies</w:t>
      </w:r>
      <w:r w:rsidR="004A7F85" w:rsidRPr="001779EA">
        <w:t xml:space="preserve"> </w:t>
      </w:r>
      <w:r w:rsidR="00A86665" w:rsidRPr="001779EA">
        <w:t xml:space="preserve">(in the proportional hazards sensitivity analysis) </w:t>
      </w:r>
      <w:r w:rsidR="004A7F85" w:rsidRPr="001779EA">
        <w:t>and reported mature OS data. The PBAC considered that both trials had limited applicability and it was reasonable to include the pooled data in the economic model</w:t>
      </w:r>
      <w:r w:rsidR="004C3904" w:rsidRPr="001779EA">
        <w:t xml:space="preserve"> (including patients in FIRST who received prior endocrine therapies)</w:t>
      </w:r>
      <w:r w:rsidR="004A7F85" w:rsidRPr="001779EA">
        <w:t xml:space="preserve">. </w:t>
      </w:r>
    </w:p>
    <w:p w:rsidR="003528DA" w:rsidRPr="001779EA" w:rsidRDefault="003528DA" w:rsidP="00435C72">
      <w:pPr>
        <w:pStyle w:val="3-BodyText"/>
      </w:pPr>
      <w:r w:rsidRPr="001779EA">
        <w:t xml:space="preserve">Figure </w:t>
      </w:r>
      <w:r w:rsidR="000C72B2" w:rsidRPr="001779EA">
        <w:t>6</w:t>
      </w:r>
      <w:r w:rsidRPr="001779EA">
        <w:t xml:space="preserve"> compares the extrapolated PFS for fulvestrant and anastrozole based on the generalised gamma distribution with Kaplan-Meier data from the FALCON trial. While data from FIRST were also included </w:t>
      </w:r>
      <w:r w:rsidR="00023176" w:rsidRPr="001779EA">
        <w:t xml:space="preserve">in the base case of the model, the Kaplan-Meier data from FIRST is not included in the below figures (which were provided by the submission for model validation purposes). </w:t>
      </w:r>
      <w:r w:rsidRPr="001779EA">
        <w:t xml:space="preserve">The model did not extrapolate PFS using the distribution with the best statistical fit (log-logistic), but selected the distribution based on visual inspection and clinical expert opinion. This is reasonable, and the ICER is not sensitive to the choice of distribution. </w:t>
      </w:r>
    </w:p>
    <w:p w:rsidR="003528DA" w:rsidRDefault="003528DA" w:rsidP="00A628F6">
      <w:pPr>
        <w:pStyle w:val="3-BodyText"/>
        <w:keepNext/>
        <w:numPr>
          <w:ilvl w:val="0"/>
          <w:numId w:val="0"/>
        </w:numPr>
        <w:spacing w:after="0"/>
        <w:rPr>
          <w:rStyle w:val="CommentReference"/>
        </w:rPr>
      </w:pPr>
      <w:bookmarkStart w:id="49" w:name="_Hlk40624655"/>
      <w:r w:rsidRPr="001779EA">
        <w:rPr>
          <w:rStyle w:val="CommentReference"/>
        </w:rPr>
        <w:lastRenderedPageBreak/>
        <w:t>F</w:t>
      </w:r>
      <w:r w:rsidR="000C72B2" w:rsidRPr="001779EA">
        <w:rPr>
          <w:rStyle w:val="CommentReference"/>
        </w:rPr>
        <w:t>igure 6</w:t>
      </w:r>
      <w:r w:rsidRPr="001779EA">
        <w:rPr>
          <w:rStyle w:val="CommentReference"/>
        </w:rPr>
        <w:t>: Observed PFS from FALCON versus modelled PFS for patients treated with fulvestrant and anastrozole for first-line treatment</w:t>
      </w:r>
      <w:r w:rsidR="005C3C68" w:rsidRPr="001779EA">
        <w:rPr>
          <w:rStyle w:val="CommentReference"/>
        </w:rPr>
        <w:t xml:space="preserve"> (model base case using non-proportional hazards model)</w:t>
      </w:r>
    </w:p>
    <w:p w:rsidR="00A628F6" w:rsidRPr="001779EA" w:rsidRDefault="00A628F6" w:rsidP="00A628F6">
      <w:pPr>
        <w:pStyle w:val="3-BodyText"/>
        <w:keepNext/>
        <w:numPr>
          <w:ilvl w:val="0"/>
          <w:numId w:val="0"/>
        </w:numPr>
        <w:spacing w:after="0"/>
        <w:rPr>
          <w:rStyle w:val="CommentReference"/>
        </w:rPr>
      </w:pPr>
      <w:r w:rsidRPr="001779EA">
        <w:rPr>
          <w:rFonts w:ascii="Arial Narrow" w:hAnsi="Arial Narrow"/>
          <w:b/>
          <w:noProof/>
          <w:sz w:val="20"/>
          <w:szCs w:val="16"/>
        </w:rPr>
        <w:drawing>
          <wp:inline distT="0" distB="0" distL="0" distR="0" wp14:anchorId="020A43AA" wp14:editId="79A642F3">
            <wp:extent cx="5213445" cy="3771291"/>
            <wp:effectExtent l="0" t="0" r="6350" b="635"/>
            <wp:docPr id="19" name="Picture 19" title="Figure 6: Observed PFS from FALCON versus modelled PFS for patients treated with fulvestrant and anastrozole for first-line treatment (model base case using non-proportional hazard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7288" cy="3795772"/>
                    </a:xfrm>
                    <a:prstGeom prst="rect">
                      <a:avLst/>
                    </a:prstGeom>
                    <a:noFill/>
                    <a:ln>
                      <a:noFill/>
                    </a:ln>
                  </pic:spPr>
                </pic:pic>
              </a:graphicData>
            </a:graphic>
          </wp:inline>
        </w:drawing>
      </w:r>
    </w:p>
    <w:bookmarkEnd w:id="49"/>
    <w:p w:rsidR="003528DA" w:rsidRPr="001779EA" w:rsidRDefault="003528DA" w:rsidP="00A628F6">
      <w:pPr>
        <w:pStyle w:val="3-BodyText"/>
        <w:numPr>
          <w:ilvl w:val="0"/>
          <w:numId w:val="0"/>
        </w:numPr>
        <w:spacing w:after="0"/>
        <w:rPr>
          <w:rFonts w:ascii="Arial Narrow" w:hAnsi="Arial Narrow"/>
          <w:i/>
          <w:sz w:val="18"/>
          <w:szCs w:val="22"/>
        </w:rPr>
      </w:pPr>
      <w:r w:rsidRPr="001779EA">
        <w:rPr>
          <w:rFonts w:ascii="Arial Narrow" w:hAnsi="Arial Narrow"/>
          <w:sz w:val="18"/>
          <w:szCs w:val="22"/>
        </w:rPr>
        <w:t>Source: Figure 3-8, p154 of the submission. Formatted during evaluation to a ten-year time horizon instea</w:t>
      </w:r>
      <w:r w:rsidR="00A628F6">
        <w:rPr>
          <w:rFonts w:ascii="Arial Narrow" w:hAnsi="Arial Narrow"/>
          <w:sz w:val="18"/>
          <w:szCs w:val="22"/>
        </w:rPr>
        <w:t xml:space="preserve">d of 30-year time horizon using </w:t>
      </w:r>
      <w:r w:rsidRPr="001779EA">
        <w:rPr>
          <w:rFonts w:ascii="Arial Narrow" w:hAnsi="Arial Narrow"/>
          <w:sz w:val="18"/>
          <w:szCs w:val="22"/>
        </w:rPr>
        <w:t>‘Results_validation’ sheet in the submission Excel model.</w:t>
      </w:r>
    </w:p>
    <w:p w:rsidR="003528DA" w:rsidRPr="001779EA" w:rsidRDefault="003528DA" w:rsidP="00A628F6">
      <w:pPr>
        <w:pStyle w:val="3-BodyText"/>
        <w:numPr>
          <w:ilvl w:val="0"/>
          <w:numId w:val="0"/>
        </w:numPr>
        <w:spacing w:after="0"/>
        <w:ind w:left="720" w:hanging="720"/>
        <w:rPr>
          <w:rFonts w:ascii="Arial Narrow" w:hAnsi="Arial Narrow"/>
          <w:sz w:val="18"/>
          <w:szCs w:val="22"/>
        </w:rPr>
      </w:pPr>
      <w:r w:rsidRPr="001779EA">
        <w:rPr>
          <w:rFonts w:ascii="Arial Narrow" w:hAnsi="Arial Narrow"/>
          <w:sz w:val="18"/>
          <w:szCs w:val="22"/>
        </w:rPr>
        <w:t xml:space="preserve">KM = Kaplan Meier; PFS = progression free survival. </w:t>
      </w:r>
    </w:p>
    <w:p w:rsidR="003528DA" w:rsidRPr="001779EA" w:rsidRDefault="003528DA" w:rsidP="003528DA">
      <w:pPr>
        <w:pStyle w:val="3-BodyText"/>
        <w:numPr>
          <w:ilvl w:val="0"/>
          <w:numId w:val="0"/>
        </w:numPr>
        <w:spacing w:after="0"/>
        <w:ind w:left="720"/>
        <w:rPr>
          <w:rFonts w:ascii="Arial Narrow" w:hAnsi="Arial Narrow"/>
          <w:sz w:val="18"/>
          <w:szCs w:val="22"/>
        </w:rPr>
      </w:pPr>
    </w:p>
    <w:p w:rsidR="003528DA" w:rsidRPr="001779EA" w:rsidRDefault="003528DA" w:rsidP="003528DA">
      <w:pPr>
        <w:pStyle w:val="3-BodyText"/>
      </w:pPr>
      <w:r w:rsidRPr="001779EA">
        <w:t>The model appears to overestimate PFS for fulvestrant slightly. The median difference in PFS in FALCON was 2.8 months, however the modelled predicted median difference in PFS was 4.6 months.</w:t>
      </w:r>
    </w:p>
    <w:p w:rsidR="003528DA" w:rsidRPr="001779EA" w:rsidRDefault="003528DA" w:rsidP="00AF7894">
      <w:pPr>
        <w:pStyle w:val="3-BodyText"/>
      </w:pPr>
      <w:r w:rsidRPr="001779EA">
        <w:t xml:space="preserve">Figure </w:t>
      </w:r>
      <w:r w:rsidR="000C72B2" w:rsidRPr="001779EA">
        <w:t>7</w:t>
      </w:r>
      <w:r w:rsidRPr="001779EA">
        <w:t xml:space="preserve"> compares the extrapolated OS for fulvestrant and anastrozole based on the Weibull distribution with Kaplan-Meier data from the FALCON trial. </w:t>
      </w:r>
      <w:r w:rsidR="00023176" w:rsidRPr="001779EA">
        <w:t>While data from FIRST were also included in the base case of the model, the Kaplan-Meier data from FIRST is not included in the below figures (</w:t>
      </w:r>
      <w:r w:rsidR="00D10AAE" w:rsidRPr="001779EA">
        <w:t xml:space="preserve">the figures </w:t>
      </w:r>
      <w:r w:rsidR="00023176" w:rsidRPr="001779EA">
        <w:t xml:space="preserve">were provided by the submission for model validation purposes). </w:t>
      </w:r>
    </w:p>
    <w:p w:rsidR="003528DA" w:rsidRPr="001779EA" w:rsidRDefault="003528DA" w:rsidP="00A628F6">
      <w:pPr>
        <w:pStyle w:val="3-BodyText"/>
        <w:keepNext/>
        <w:numPr>
          <w:ilvl w:val="0"/>
          <w:numId w:val="0"/>
        </w:numPr>
        <w:rPr>
          <w:rStyle w:val="CommentReference"/>
        </w:rPr>
      </w:pPr>
      <w:r w:rsidRPr="001779EA">
        <w:rPr>
          <w:rStyle w:val="CommentReference"/>
        </w:rPr>
        <w:lastRenderedPageBreak/>
        <w:t xml:space="preserve">Figure </w:t>
      </w:r>
      <w:r w:rsidR="000C72B2" w:rsidRPr="001779EA">
        <w:rPr>
          <w:rStyle w:val="CommentReference"/>
        </w:rPr>
        <w:t>7</w:t>
      </w:r>
      <w:r w:rsidRPr="001779EA">
        <w:rPr>
          <w:rStyle w:val="CommentReference"/>
        </w:rPr>
        <w:t>: Observed OS from FALCON versus modelled OS for patients treated with fulvestrant and anastrozole for first-line treatment</w:t>
      </w:r>
      <w:r w:rsidR="005C3C68" w:rsidRPr="001779EA">
        <w:rPr>
          <w:rStyle w:val="CommentReference"/>
        </w:rPr>
        <w:t xml:space="preserve"> (model base case using non-proportional hazards model)</w:t>
      </w:r>
    </w:p>
    <w:p w:rsidR="003528DA" w:rsidRPr="001779EA" w:rsidRDefault="00A628F6" w:rsidP="00A628F6">
      <w:pPr>
        <w:pStyle w:val="3-BodyText"/>
        <w:numPr>
          <w:ilvl w:val="0"/>
          <w:numId w:val="0"/>
        </w:numPr>
        <w:spacing w:after="0"/>
        <w:rPr>
          <w:sz w:val="18"/>
          <w:szCs w:val="18"/>
        </w:rPr>
      </w:pPr>
      <w:r w:rsidRPr="001779EA">
        <w:rPr>
          <w:noProof/>
        </w:rPr>
        <w:drawing>
          <wp:inline distT="0" distB="0" distL="0" distR="0" wp14:anchorId="35C47D85" wp14:editId="4E102CE2">
            <wp:extent cx="4889500" cy="3086953"/>
            <wp:effectExtent l="0" t="0" r="6350" b="0"/>
            <wp:docPr id="14" name="Picture 14" title="Figure 7: Observed OS from FALCON versus modelled OS for patients treated with fulvestrant and anastrozole for first-line treatment (model base case using non-proportional hazards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2011" cy="3088538"/>
                    </a:xfrm>
                    <a:prstGeom prst="rect">
                      <a:avLst/>
                    </a:prstGeom>
                    <a:noFill/>
                    <a:ln>
                      <a:noFill/>
                    </a:ln>
                  </pic:spPr>
                </pic:pic>
              </a:graphicData>
            </a:graphic>
          </wp:inline>
        </w:drawing>
      </w:r>
    </w:p>
    <w:p w:rsidR="003528DA" w:rsidRPr="00A628F6" w:rsidRDefault="003528DA" w:rsidP="00A628F6">
      <w:pPr>
        <w:pStyle w:val="3-BodyText"/>
        <w:numPr>
          <w:ilvl w:val="0"/>
          <w:numId w:val="0"/>
        </w:numPr>
        <w:spacing w:after="0"/>
        <w:rPr>
          <w:rFonts w:ascii="Arial Narrow" w:hAnsi="Arial Narrow"/>
          <w:sz w:val="18"/>
          <w:szCs w:val="22"/>
        </w:rPr>
      </w:pPr>
      <w:r w:rsidRPr="001779EA">
        <w:rPr>
          <w:rFonts w:ascii="Arial Narrow" w:hAnsi="Arial Narrow"/>
          <w:sz w:val="18"/>
          <w:szCs w:val="22"/>
        </w:rPr>
        <w:t xml:space="preserve">Source: Figure 3-9, p155 of the submission. </w:t>
      </w:r>
      <w:r w:rsidRPr="00A628F6">
        <w:rPr>
          <w:rFonts w:ascii="Arial Narrow" w:hAnsi="Arial Narrow"/>
          <w:sz w:val="18"/>
          <w:szCs w:val="22"/>
        </w:rPr>
        <w:t>Formatted during evaluation to a ten-year time horizon instead of 30-year time horizon using ‘Results_validation’ sheet in the submission Excel model.</w:t>
      </w:r>
    </w:p>
    <w:p w:rsidR="003528DA" w:rsidRPr="001779EA" w:rsidRDefault="003528DA" w:rsidP="00A628F6">
      <w:pPr>
        <w:pStyle w:val="3-BodyText"/>
        <w:numPr>
          <w:ilvl w:val="0"/>
          <w:numId w:val="0"/>
        </w:numPr>
        <w:spacing w:after="0"/>
        <w:ind w:left="720" w:hanging="720"/>
        <w:rPr>
          <w:rFonts w:ascii="Arial Narrow" w:hAnsi="Arial Narrow"/>
          <w:sz w:val="18"/>
          <w:szCs w:val="22"/>
        </w:rPr>
      </w:pPr>
      <w:r w:rsidRPr="001779EA">
        <w:rPr>
          <w:rFonts w:ascii="Arial Narrow" w:hAnsi="Arial Narrow"/>
          <w:sz w:val="18"/>
          <w:szCs w:val="22"/>
        </w:rPr>
        <w:t xml:space="preserve">KM = Kaplan Meier; PFS = progression free survival. </w:t>
      </w:r>
    </w:p>
    <w:p w:rsidR="003528DA" w:rsidRPr="001779EA" w:rsidRDefault="003528DA" w:rsidP="003528DA">
      <w:pPr>
        <w:pStyle w:val="3-BodyText"/>
        <w:numPr>
          <w:ilvl w:val="0"/>
          <w:numId w:val="0"/>
        </w:numPr>
        <w:spacing w:after="0"/>
        <w:ind w:left="1440" w:hanging="720"/>
        <w:rPr>
          <w:rFonts w:ascii="Arial Narrow" w:hAnsi="Arial Narrow"/>
          <w:sz w:val="18"/>
          <w:szCs w:val="22"/>
        </w:rPr>
      </w:pPr>
    </w:p>
    <w:p w:rsidR="003528DA" w:rsidRPr="001779EA" w:rsidRDefault="00023176" w:rsidP="00023176">
      <w:pPr>
        <w:pStyle w:val="3-BodyText"/>
        <w:rPr>
          <w:rFonts w:eastAsia="Calibri"/>
          <w:lang w:eastAsia="en-US"/>
        </w:rPr>
      </w:pPr>
      <w:r w:rsidRPr="001779EA">
        <w:rPr>
          <w:rFonts w:eastAsia="Calibri"/>
          <w:lang w:eastAsia="en-US"/>
        </w:rPr>
        <w:t xml:space="preserve">The modelled results appear to underestimate OS for the anastrozole arm. The predicted difference in median OS between the fulvestrant and anastrozole arms was about 8.3 months in the model, whereas in the FIRST ITT population it was 5.7 months. In addition, OS data from the FALCON trial </w:t>
      </w:r>
      <w:r w:rsidR="00D10AAE" w:rsidRPr="001779EA">
        <w:rPr>
          <w:rFonts w:eastAsia="Calibri"/>
          <w:lang w:eastAsia="en-US"/>
        </w:rPr>
        <w:t>are</w:t>
      </w:r>
      <w:r w:rsidRPr="001779EA">
        <w:rPr>
          <w:rFonts w:eastAsia="Calibri"/>
          <w:lang w:eastAsia="en-US"/>
        </w:rPr>
        <w:t xml:space="preserve"> immature and therefore modelled OS is based mainly on OS data from FIRST </w:t>
      </w:r>
      <w:r w:rsidR="00E26F9F" w:rsidRPr="001779EA">
        <w:rPr>
          <w:rFonts w:eastAsia="Calibri"/>
          <w:lang w:eastAsia="en-US"/>
        </w:rPr>
        <w:t xml:space="preserve">which </w:t>
      </w:r>
      <w:r w:rsidRPr="001779EA">
        <w:rPr>
          <w:rFonts w:eastAsia="Calibri"/>
          <w:lang w:eastAsia="en-US"/>
        </w:rPr>
        <w:t xml:space="preserve">may not be applicable to the requested PBS population. </w:t>
      </w:r>
      <w:r w:rsidR="0047189B" w:rsidRPr="001779EA">
        <w:t>The ESC considered that the approach to extrapolation appears to overestimate the incremental effectiveness of fulvestrant.</w:t>
      </w:r>
    </w:p>
    <w:p w:rsidR="00E43E9A" w:rsidRPr="001779EA" w:rsidRDefault="00E43E9A" w:rsidP="00E43E9A">
      <w:pPr>
        <w:pStyle w:val="3-BodyText"/>
        <w:snapToGrid w:val="0"/>
        <w:rPr>
          <w:rFonts w:eastAsia="Calibri"/>
          <w:lang w:eastAsia="en-US"/>
        </w:rPr>
      </w:pPr>
      <w:r w:rsidRPr="001779EA">
        <w:rPr>
          <w:rFonts w:eastAsia="Calibri"/>
          <w:lang w:eastAsia="en-US"/>
        </w:rPr>
        <w:t>In the base case</w:t>
      </w:r>
      <w:r w:rsidR="005A2579" w:rsidRPr="001779EA">
        <w:rPr>
          <w:rFonts w:eastAsia="Calibri"/>
          <w:lang w:eastAsia="en-US"/>
        </w:rPr>
        <w:t xml:space="preserve"> (non-proportional hazards model)</w:t>
      </w:r>
      <w:r w:rsidRPr="001779EA">
        <w:rPr>
          <w:rFonts w:eastAsia="Calibri"/>
          <w:lang w:eastAsia="en-US"/>
        </w:rPr>
        <w:t>, time to treatment discontinuation (TTD) was based on PFS</w:t>
      </w:r>
      <w:r w:rsidR="0024353E" w:rsidRPr="001779EA">
        <w:rPr>
          <w:rFonts w:eastAsia="Calibri"/>
          <w:lang w:eastAsia="en-US"/>
        </w:rPr>
        <w:t xml:space="preserve"> from FALCON</w:t>
      </w:r>
      <w:r w:rsidRPr="001779EA">
        <w:rPr>
          <w:rFonts w:eastAsia="Calibri"/>
          <w:lang w:eastAsia="en-US"/>
        </w:rPr>
        <w:t>.</w:t>
      </w:r>
      <w:r w:rsidR="0024353E" w:rsidRPr="001779EA">
        <w:rPr>
          <w:rFonts w:eastAsia="Calibri"/>
          <w:lang w:eastAsia="en-US"/>
        </w:rPr>
        <w:t xml:space="preserve"> </w:t>
      </w:r>
      <w:r w:rsidR="00A95AD0" w:rsidRPr="001779EA">
        <w:rPr>
          <w:iCs/>
        </w:rPr>
        <w:t xml:space="preserve">The PSCR noted that </w:t>
      </w:r>
      <w:r w:rsidR="00A95AD0" w:rsidRPr="001779EA">
        <w:t>a sensitivity ana</w:t>
      </w:r>
      <w:r w:rsidR="000F5B4C" w:rsidRPr="001779EA">
        <w:t>lysis using trial based time-on-</w:t>
      </w:r>
      <w:r w:rsidR="00A95AD0" w:rsidRPr="001779EA">
        <w:t xml:space="preserve">treatment </w:t>
      </w:r>
      <w:r w:rsidR="00BE0E73" w:rsidRPr="001779EA">
        <w:t xml:space="preserve">measured in FALCON </w:t>
      </w:r>
      <w:r w:rsidR="00A95AD0" w:rsidRPr="001779EA">
        <w:t xml:space="preserve">resulted in </w:t>
      </w:r>
      <w:r w:rsidR="00F77BEE" w:rsidRPr="001779EA">
        <w:t xml:space="preserve">a </w:t>
      </w:r>
      <w:r w:rsidR="00A95AD0" w:rsidRPr="001779EA">
        <w:t>lower ICER than the base case ($</w:t>
      </w:r>
      <w:r w:rsidR="00D05CDC">
        <w:t>45,000 to &lt; $55,000</w:t>
      </w:r>
      <w:r w:rsidR="00A95AD0" w:rsidRPr="001779EA">
        <w:t xml:space="preserve"> per QALY)</w:t>
      </w:r>
      <w:r w:rsidR="0016254B" w:rsidRPr="001779EA">
        <w:t>. T</w:t>
      </w:r>
      <w:r w:rsidR="00BE0E73" w:rsidRPr="001779EA">
        <w:t xml:space="preserve">his </w:t>
      </w:r>
      <w:r w:rsidR="0016254B" w:rsidRPr="001779EA">
        <w:t xml:space="preserve">sensitivity analysis </w:t>
      </w:r>
      <w:r w:rsidR="00BE0E73" w:rsidRPr="001779EA">
        <w:t>was based on the proportional hazards model</w:t>
      </w:r>
      <w:r w:rsidR="0016254B" w:rsidRPr="001779EA">
        <w:t xml:space="preserve"> (as TTD could only be applied in the proportional hazards model</w:t>
      </w:r>
      <w:r w:rsidR="00BE0E73" w:rsidRPr="001779EA">
        <w:t>)</w:t>
      </w:r>
      <w:r w:rsidR="00A95AD0" w:rsidRPr="001779EA">
        <w:t xml:space="preserve">. </w:t>
      </w:r>
    </w:p>
    <w:p w:rsidR="00AF7894" w:rsidRPr="001779EA" w:rsidRDefault="00AF7894" w:rsidP="00435C72">
      <w:pPr>
        <w:pStyle w:val="3-BodyText"/>
        <w:rPr>
          <w:rFonts w:eastAsia="Calibri"/>
          <w:lang w:eastAsia="en-US"/>
        </w:rPr>
      </w:pPr>
      <w:r w:rsidRPr="001779EA">
        <w:rPr>
          <w:rFonts w:eastAsia="Calibri"/>
          <w:lang w:eastAsia="en-US"/>
        </w:rPr>
        <w:t>The ES</w:t>
      </w:r>
      <w:r w:rsidR="00F11283" w:rsidRPr="001779EA">
        <w:rPr>
          <w:rFonts w:eastAsia="Calibri"/>
          <w:lang w:eastAsia="en-US"/>
        </w:rPr>
        <w:t>C</w:t>
      </w:r>
      <w:r w:rsidRPr="001779EA">
        <w:rPr>
          <w:rFonts w:eastAsia="Calibri"/>
          <w:lang w:eastAsia="en-US"/>
        </w:rPr>
        <w:t xml:space="preserve"> noted that</w:t>
      </w:r>
      <w:r w:rsidR="00BE0E73" w:rsidRPr="001779EA">
        <w:rPr>
          <w:rFonts w:eastAsia="Calibri"/>
          <w:lang w:eastAsia="en-US"/>
        </w:rPr>
        <w:t>, in the base case,</w:t>
      </w:r>
      <w:r w:rsidRPr="001779EA">
        <w:rPr>
          <w:rFonts w:eastAsia="Calibri"/>
          <w:lang w:eastAsia="en-US"/>
        </w:rPr>
        <w:t xml:space="preserve"> the model used the extrapolated data for the full duration of the model. </w:t>
      </w:r>
      <w:r w:rsidR="00E918B2" w:rsidRPr="001779EA">
        <w:t xml:space="preserve">The ESC considered that the observed time to event data should have been used up to the </w:t>
      </w:r>
      <w:r w:rsidR="0002394A" w:rsidRPr="001779EA">
        <w:t>time point at which the observed data bec</w:t>
      </w:r>
      <w:r w:rsidR="00F11283" w:rsidRPr="001779EA">
        <w:t>a</w:t>
      </w:r>
      <w:r w:rsidR="0002394A" w:rsidRPr="001779EA">
        <w:t>me unreliable as a result of small numbers of patients remaining event-free</w:t>
      </w:r>
      <w:r w:rsidR="00E918B2" w:rsidRPr="001779EA">
        <w:t xml:space="preserve">, consistent with the PBAC Guidelines (paragraph 3A.4.3). </w:t>
      </w:r>
    </w:p>
    <w:p w:rsidR="00E43E9A" w:rsidRPr="001779EA" w:rsidRDefault="00E43E9A" w:rsidP="00E43E9A">
      <w:pPr>
        <w:pStyle w:val="3-BodyText"/>
        <w:snapToGrid w:val="0"/>
      </w:pPr>
      <w:r w:rsidRPr="001779EA">
        <w:t>Table 1</w:t>
      </w:r>
      <w:r w:rsidR="007A4DA3" w:rsidRPr="001779EA">
        <w:t>4</w:t>
      </w:r>
      <w:r w:rsidRPr="001779EA">
        <w:t xml:space="preserve"> presents the key drivers of the economic model.</w:t>
      </w:r>
    </w:p>
    <w:p w:rsidR="00E43E9A" w:rsidRPr="001779EA" w:rsidRDefault="00E43E9A" w:rsidP="00E43E9A">
      <w:pPr>
        <w:pStyle w:val="TableFigureHeading"/>
        <w:rPr>
          <w:rStyle w:val="CommentReference"/>
          <w:b/>
          <w:bCs w:val="0"/>
        </w:rPr>
      </w:pPr>
      <w:r w:rsidRPr="001779EA">
        <w:rPr>
          <w:rStyle w:val="CommentReference"/>
          <w:b/>
          <w:bCs w:val="0"/>
        </w:rPr>
        <w:lastRenderedPageBreak/>
        <w:t>Table 1</w:t>
      </w:r>
      <w:r w:rsidR="007A4DA3" w:rsidRPr="001779EA">
        <w:rPr>
          <w:rStyle w:val="CommentReference"/>
          <w:b/>
          <w:bCs w:val="0"/>
        </w:rPr>
        <w:t>4</w:t>
      </w:r>
      <w:r w:rsidRPr="001779EA">
        <w:rPr>
          <w:rStyle w:val="CommentReference"/>
          <w:b/>
          <w:bCs w:val="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5104"/>
        <w:gridCol w:w="2784"/>
      </w:tblGrid>
      <w:tr w:rsidR="00E43E9A" w:rsidRPr="001779EA" w:rsidTr="0090175C">
        <w:trPr>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In-tableHeading"/>
              <w:jc w:val="center"/>
              <w:rPr>
                <w:lang w:val="en-AU"/>
              </w:rPr>
            </w:pPr>
            <w:r w:rsidRPr="001779EA">
              <w:rPr>
                <w:lang w:val="en-AU"/>
              </w:rPr>
              <w:t>Description</w:t>
            </w:r>
          </w:p>
        </w:tc>
        <w:tc>
          <w:tcPr>
            <w:tcW w:w="28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In-tableHeading"/>
              <w:jc w:val="center"/>
              <w:rPr>
                <w:lang w:val="en-AU"/>
              </w:rPr>
            </w:pPr>
            <w:r w:rsidRPr="001779EA">
              <w:rPr>
                <w:lang w:val="en-AU"/>
              </w:rPr>
              <w:t>Method/Value</w:t>
            </w:r>
          </w:p>
        </w:tc>
        <w:tc>
          <w:tcPr>
            <w:tcW w:w="1544" w:type="pct"/>
            <w:tcBorders>
              <w:top w:val="single" w:sz="4" w:space="0" w:color="auto"/>
              <w:left w:val="single" w:sz="4" w:space="0" w:color="auto"/>
              <w:bottom w:val="single" w:sz="4" w:space="0" w:color="auto"/>
              <w:right w:val="single" w:sz="4" w:space="0" w:color="auto"/>
            </w:tcBorders>
            <w:vAlign w:val="center"/>
            <w:hideMark/>
          </w:tcPr>
          <w:p w:rsidR="00AF5A5E" w:rsidRPr="001779EA" w:rsidRDefault="00E43E9A" w:rsidP="00F11283">
            <w:pPr>
              <w:pStyle w:val="In-tableHeading"/>
              <w:jc w:val="center"/>
              <w:rPr>
                <w:lang w:val="en-AU"/>
              </w:rPr>
            </w:pPr>
            <w:r w:rsidRPr="001779EA">
              <w:rPr>
                <w:lang w:val="en-AU"/>
              </w:rPr>
              <w:t>Impact</w:t>
            </w:r>
          </w:p>
        </w:tc>
      </w:tr>
      <w:tr w:rsidR="00E43E9A" w:rsidRPr="001779EA" w:rsidTr="0090175C">
        <w:trPr>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In-tableHeading"/>
              <w:jc w:val="center"/>
              <w:rPr>
                <w:b w:val="0"/>
                <w:lang w:val="en-AU"/>
              </w:rPr>
            </w:pPr>
            <w:r w:rsidRPr="001779EA">
              <w:rPr>
                <w:b w:val="0"/>
                <w:lang w:val="en-AU"/>
              </w:rPr>
              <w:t>Time horizon</w:t>
            </w:r>
          </w:p>
        </w:tc>
        <w:tc>
          <w:tcPr>
            <w:tcW w:w="28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In-tableHeading"/>
              <w:rPr>
                <w:b w:val="0"/>
                <w:lang w:val="en-AU"/>
              </w:rPr>
            </w:pPr>
            <w:r w:rsidRPr="001779EA">
              <w:rPr>
                <w:b w:val="0"/>
                <w:lang w:val="en-AU"/>
              </w:rPr>
              <w:t>10 years; extrapolated from 40 months. Reducing the time horizon to 7 years or 5 years increases the ICER.</w:t>
            </w:r>
          </w:p>
        </w:tc>
        <w:tc>
          <w:tcPr>
            <w:tcW w:w="1544"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02394A">
            <w:pPr>
              <w:pStyle w:val="In-tableHeading"/>
              <w:jc w:val="center"/>
              <w:rPr>
                <w:b w:val="0"/>
                <w:lang w:val="en-AU"/>
              </w:rPr>
            </w:pPr>
            <w:r w:rsidRPr="001779EA">
              <w:rPr>
                <w:b w:val="0"/>
                <w:lang w:val="en-AU"/>
              </w:rPr>
              <w:t>High, favours fulvestrant.</w:t>
            </w:r>
          </w:p>
        </w:tc>
      </w:tr>
      <w:tr w:rsidR="00E43E9A" w:rsidRPr="001779EA" w:rsidTr="0090175C">
        <w:trPr>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In-tableHeading"/>
              <w:jc w:val="center"/>
              <w:rPr>
                <w:b w:val="0"/>
                <w:lang w:val="en-AU"/>
              </w:rPr>
            </w:pPr>
            <w:r w:rsidRPr="001779EA">
              <w:rPr>
                <w:b w:val="0"/>
                <w:lang w:val="en-AU"/>
              </w:rPr>
              <w:t>Extrapolation model</w:t>
            </w:r>
          </w:p>
        </w:tc>
        <w:tc>
          <w:tcPr>
            <w:tcW w:w="28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4C3904" w:rsidP="00F11283">
            <w:pPr>
              <w:pStyle w:val="In-tableHeading"/>
              <w:rPr>
                <w:b w:val="0"/>
                <w:lang w:val="en-AU"/>
              </w:rPr>
            </w:pPr>
            <w:r w:rsidRPr="001779EA">
              <w:rPr>
                <w:b w:val="0"/>
                <w:lang w:val="en-AU"/>
              </w:rPr>
              <w:t xml:space="preserve">In the base case, </w:t>
            </w:r>
            <w:r w:rsidR="00E43E9A" w:rsidRPr="001779EA">
              <w:rPr>
                <w:b w:val="0"/>
                <w:lang w:val="en-AU"/>
              </w:rPr>
              <w:t>PFS and OS for fulvestrant and anastrozole treatment arms were estimated by a non-proportional hazards model and fitting parametric survival distributions to the PFS and OS trial data from the FALCON and FIRST trials, using a methodology that allowed a simultaneous extrapolation and meta-analysis of Kaplan-Meier curves from FALCON and FIRST trials.</w:t>
            </w:r>
            <w:r w:rsidR="00F11283" w:rsidRPr="001779EA">
              <w:rPr>
                <w:b w:val="0"/>
                <w:lang w:val="en-AU"/>
              </w:rPr>
              <w:t xml:space="preserve"> The ESC considered that the approach to extrapolation was unnecessarily complicated and noted that the ICER is highly sensitive to the choice of extrapolation approach (proportional hazards versus non-proportional hazards).</w:t>
            </w:r>
          </w:p>
        </w:tc>
        <w:tc>
          <w:tcPr>
            <w:tcW w:w="1544"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In-tableHeading"/>
              <w:jc w:val="center"/>
              <w:rPr>
                <w:b w:val="0"/>
                <w:lang w:val="en-AU"/>
              </w:rPr>
            </w:pPr>
            <w:r w:rsidRPr="001779EA">
              <w:rPr>
                <w:b w:val="0"/>
                <w:lang w:val="en-AU"/>
              </w:rPr>
              <w:t xml:space="preserve">High, favours fulvestrant. </w:t>
            </w:r>
          </w:p>
        </w:tc>
      </w:tr>
      <w:tr w:rsidR="00E43E9A" w:rsidRPr="001779EA" w:rsidTr="0090175C">
        <w:trPr>
          <w:tblHeader/>
        </w:trPr>
        <w:tc>
          <w:tcPr>
            <w:tcW w:w="626"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pPr>
              <w:pStyle w:val="In-tableHeading"/>
              <w:jc w:val="center"/>
              <w:rPr>
                <w:b w:val="0"/>
                <w:lang w:val="en-AU"/>
              </w:rPr>
            </w:pPr>
            <w:r w:rsidRPr="001779EA">
              <w:rPr>
                <w:b w:val="0"/>
                <w:lang w:val="en-AU"/>
              </w:rPr>
              <w:t xml:space="preserve">Trial data </w:t>
            </w:r>
          </w:p>
        </w:tc>
        <w:tc>
          <w:tcPr>
            <w:tcW w:w="2830"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5C3C68">
            <w:pPr>
              <w:pStyle w:val="In-tableHeading"/>
              <w:rPr>
                <w:b w:val="0"/>
                <w:lang w:val="en-AU"/>
              </w:rPr>
            </w:pPr>
            <w:r w:rsidRPr="001779EA">
              <w:rPr>
                <w:b w:val="0"/>
                <w:lang w:val="en-AU"/>
              </w:rPr>
              <w:t>Modelled gains in PFS and OS are based on the FALCON and FIRST trials.</w:t>
            </w:r>
            <w:r w:rsidRPr="001779EA">
              <w:rPr>
                <w:lang w:val="en-AU"/>
              </w:rPr>
              <w:t xml:space="preserve"> </w:t>
            </w:r>
            <w:r w:rsidRPr="001779EA">
              <w:rPr>
                <w:b w:val="0"/>
                <w:lang w:val="en-AU"/>
              </w:rPr>
              <w:t xml:space="preserve">FIRST was open-label </w:t>
            </w:r>
            <w:r w:rsidR="00AF5A5E" w:rsidRPr="001779EA">
              <w:rPr>
                <w:b w:val="0"/>
                <w:lang w:val="en-AU"/>
              </w:rPr>
              <w:t>and</w:t>
            </w:r>
            <w:r w:rsidRPr="001779EA">
              <w:rPr>
                <w:b w:val="0"/>
                <w:lang w:val="en-AU"/>
              </w:rPr>
              <w:t xml:space="preserve"> </w:t>
            </w:r>
            <w:r w:rsidR="00AF5A5E" w:rsidRPr="001779EA">
              <w:rPr>
                <w:b w:val="0"/>
                <w:lang w:val="en-AU"/>
              </w:rPr>
              <w:t xml:space="preserve">lacked applicability to the proposed PBS population as it included patients with HER2+ (18%) and unknown HER2 status (34%). </w:t>
            </w:r>
          </w:p>
        </w:tc>
        <w:tc>
          <w:tcPr>
            <w:tcW w:w="1544" w:type="pct"/>
            <w:tcBorders>
              <w:top w:val="single" w:sz="4" w:space="0" w:color="auto"/>
              <w:left w:val="single" w:sz="4" w:space="0" w:color="auto"/>
              <w:bottom w:val="single" w:sz="4" w:space="0" w:color="auto"/>
              <w:right w:val="single" w:sz="4" w:space="0" w:color="auto"/>
            </w:tcBorders>
            <w:vAlign w:val="center"/>
            <w:hideMark/>
          </w:tcPr>
          <w:p w:rsidR="00E43E9A" w:rsidRPr="001779EA" w:rsidRDefault="0002394A">
            <w:pPr>
              <w:pStyle w:val="In-tableHeading"/>
              <w:jc w:val="center"/>
              <w:rPr>
                <w:b w:val="0"/>
                <w:lang w:val="en-AU"/>
              </w:rPr>
            </w:pPr>
            <w:r w:rsidRPr="001779EA">
              <w:rPr>
                <w:b w:val="0"/>
                <w:lang w:val="en-AU"/>
              </w:rPr>
              <w:t>High, favours fulvestrant.</w:t>
            </w:r>
          </w:p>
        </w:tc>
      </w:tr>
    </w:tbl>
    <w:p w:rsidR="00E43E9A" w:rsidRPr="001779EA" w:rsidRDefault="00E43E9A" w:rsidP="00E43E9A">
      <w:pPr>
        <w:pStyle w:val="TableFigureFooter"/>
      </w:pPr>
      <w:r w:rsidRPr="001779EA">
        <w:t>Source: Compiled during evaluation.</w:t>
      </w:r>
    </w:p>
    <w:p w:rsidR="00E43E9A" w:rsidRPr="001779EA" w:rsidRDefault="00E43E9A" w:rsidP="00E43E9A">
      <w:pPr>
        <w:pStyle w:val="TableFigureFooter"/>
      </w:pPr>
      <w:r w:rsidRPr="001779EA">
        <w:t>DPMQ = dispensed price maximum quantity; ICER = incremental cost effectiveness ratio; OS = overall survival; PFS = progression free survival.</w:t>
      </w:r>
    </w:p>
    <w:p w:rsidR="00E43E9A" w:rsidRPr="001779EA" w:rsidRDefault="00E43E9A" w:rsidP="00E43E9A">
      <w:pPr>
        <w:pStyle w:val="3-BodyText"/>
        <w:snapToGrid w:val="0"/>
      </w:pPr>
      <w:r w:rsidRPr="001779EA">
        <w:t>The submission did not present a stepped analysis. The results of the economic evaluation are presented in Table 1</w:t>
      </w:r>
      <w:r w:rsidR="007A4DA3" w:rsidRPr="001779EA">
        <w:t>5</w:t>
      </w:r>
      <w:r w:rsidRPr="001779EA">
        <w:t xml:space="preserve">. </w:t>
      </w:r>
    </w:p>
    <w:p w:rsidR="00E43E9A" w:rsidRPr="001779EA" w:rsidRDefault="00E43E9A" w:rsidP="00E43E9A">
      <w:pPr>
        <w:pStyle w:val="TableFigureHeading"/>
        <w:rPr>
          <w:b w:val="0"/>
          <w:bCs w:val="0"/>
        </w:rPr>
      </w:pPr>
      <w:r w:rsidRPr="001779EA">
        <w:rPr>
          <w:rStyle w:val="CommentReference"/>
          <w:b/>
          <w:bCs w:val="0"/>
        </w:rPr>
        <w:t>Table 1</w:t>
      </w:r>
      <w:r w:rsidR="007A4DA3" w:rsidRPr="001779EA">
        <w:rPr>
          <w:rStyle w:val="CommentReference"/>
          <w:b/>
          <w:bCs w:val="0"/>
        </w:rPr>
        <w:t>5</w:t>
      </w:r>
      <w:r w:rsidRPr="001779EA">
        <w:rPr>
          <w:rStyle w:val="CommentReference"/>
          <w:b/>
          <w:bCs w:val="0"/>
        </w:rPr>
        <w:t xml:space="preserve">: Results of the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81"/>
        <w:gridCol w:w="1843"/>
        <w:gridCol w:w="1560"/>
        <w:gridCol w:w="1933"/>
      </w:tblGrid>
      <w:tr w:rsidR="00E43E9A" w:rsidRPr="001779EA" w:rsidTr="00E43E9A">
        <w:trPr>
          <w:cantSplit/>
          <w:tblHeader/>
        </w:trPr>
        <w:tc>
          <w:tcPr>
            <w:tcW w:w="2041" w:type="pct"/>
            <w:tcBorders>
              <w:top w:val="single" w:sz="4" w:space="0" w:color="auto"/>
              <w:left w:val="single" w:sz="4" w:space="0" w:color="auto"/>
              <w:bottom w:val="single" w:sz="4" w:space="0" w:color="auto"/>
              <w:right w:val="single" w:sz="4" w:space="0" w:color="auto"/>
            </w:tcBorders>
            <w:shd w:val="clear" w:color="auto" w:fill="FFFFFF"/>
          </w:tcPr>
          <w:p w:rsidR="00E43E9A" w:rsidRPr="001779EA" w:rsidRDefault="00E43E9A">
            <w:pPr>
              <w:pStyle w:val="In-tableHeading"/>
              <w:jc w:val="center"/>
              <w:rPr>
                <w:lang w:val="en-AU"/>
              </w:rPr>
            </w:pPr>
          </w:p>
        </w:tc>
        <w:tc>
          <w:tcPr>
            <w:tcW w:w="1022" w:type="pct"/>
            <w:tcBorders>
              <w:top w:val="single" w:sz="4" w:space="0" w:color="auto"/>
              <w:left w:val="single" w:sz="4" w:space="0" w:color="auto"/>
              <w:bottom w:val="single" w:sz="4" w:space="0" w:color="auto"/>
              <w:right w:val="single" w:sz="4" w:space="0" w:color="auto"/>
            </w:tcBorders>
            <w:shd w:val="clear" w:color="auto" w:fill="FFFFFF"/>
            <w:hideMark/>
          </w:tcPr>
          <w:p w:rsidR="00E43E9A" w:rsidRPr="001779EA" w:rsidRDefault="00E43E9A">
            <w:pPr>
              <w:pStyle w:val="In-tableHeading"/>
              <w:jc w:val="center"/>
              <w:rPr>
                <w:lang w:val="en-AU"/>
              </w:rPr>
            </w:pPr>
            <w:r w:rsidRPr="001779EA">
              <w:rPr>
                <w:lang w:val="en-AU"/>
              </w:rPr>
              <w:t>Fulvestrant</w:t>
            </w:r>
          </w:p>
        </w:tc>
        <w:tc>
          <w:tcPr>
            <w:tcW w:w="865" w:type="pct"/>
            <w:tcBorders>
              <w:top w:val="single" w:sz="4" w:space="0" w:color="auto"/>
              <w:left w:val="single" w:sz="4" w:space="0" w:color="auto"/>
              <w:bottom w:val="single" w:sz="4" w:space="0" w:color="auto"/>
              <w:right w:val="single" w:sz="4" w:space="0" w:color="auto"/>
            </w:tcBorders>
            <w:shd w:val="clear" w:color="auto" w:fill="FFFFFF"/>
            <w:hideMark/>
          </w:tcPr>
          <w:p w:rsidR="00E43E9A" w:rsidRPr="001779EA" w:rsidRDefault="00E43E9A">
            <w:pPr>
              <w:pStyle w:val="In-tableHeading"/>
              <w:jc w:val="center"/>
              <w:rPr>
                <w:lang w:val="en-AU"/>
              </w:rPr>
            </w:pPr>
            <w:r w:rsidRPr="001779EA">
              <w:rPr>
                <w:lang w:val="en-AU"/>
              </w:rPr>
              <w:t>Anastrozole</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3E9A" w:rsidRPr="001779EA" w:rsidRDefault="00E43E9A">
            <w:pPr>
              <w:pStyle w:val="In-tableHeading"/>
              <w:jc w:val="center"/>
              <w:rPr>
                <w:lang w:val="en-AU"/>
              </w:rPr>
            </w:pPr>
            <w:r w:rsidRPr="001779EA">
              <w:rPr>
                <w:lang w:val="en-AU"/>
              </w:rPr>
              <w:t>Increment</w:t>
            </w:r>
          </w:p>
        </w:tc>
      </w:tr>
      <w:tr w:rsidR="00E43E9A" w:rsidRPr="001779EA" w:rsidTr="00E43E9A">
        <w:trPr>
          <w:cantSplit/>
          <w:tblHeader/>
        </w:trPr>
        <w:tc>
          <w:tcPr>
            <w:tcW w:w="2041" w:type="pct"/>
            <w:tcBorders>
              <w:top w:val="single" w:sz="4" w:space="0" w:color="auto"/>
              <w:left w:val="single" w:sz="4" w:space="0" w:color="auto"/>
              <w:bottom w:val="nil"/>
              <w:right w:val="single" w:sz="4" w:space="0" w:color="auto"/>
            </w:tcBorders>
            <w:shd w:val="clear" w:color="auto" w:fill="auto"/>
            <w:vAlign w:val="center"/>
            <w:hideMark/>
          </w:tcPr>
          <w:p w:rsidR="00E43E9A" w:rsidRPr="001779EA" w:rsidRDefault="00E43E9A">
            <w:pPr>
              <w:pStyle w:val="In-tableHeading"/>
              <w:rPr>
                <w:b w:val="0"/>
                <w:lang w:val="en-AU"/>
              </w:rPr>
            </w:pPr>
            <w:r w:rsidRPr="001779EA">
              <w:rPr>
                <w:b w:val="0"/>
                <w:lang w:val="en-AU"/>
              </w:rPr>
              <w:t>Costs</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In-tableHeading"/>
              <w:jc w:val="center"/>
              <w:rPr>
                <w:b w:val="0"/>
                <w:lang w:val="en-AU"/>
              </w:rPr>
            </w:pPr>
            <w:r w:rsidRPr="001779EA">
              <w:rPr>
                <w:b w:val="0"/>
                <w:lang w:val="en-AU"/>
              </w:rPr>
              <w:t>$</w:t>
            </w:r>
            <w:r w:rsidR="00D728FC">
              <w:rPr>
                <w:b w:val="0"/>
                <w:noProof/>
                <w:color w:val="000000"/>
                <w:highlight w:val="black"/>
                <w:lang w:val="en-AU"/>
              </w:rPr>
              <w:t>''''''''''''''''</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In-tableHeading"/>
              <w:jc w:val="center"/>
              <w:rPr>
                <w:b w:val="0"/>
                <w:lang w:val="en-AU"/>
              </w:rPr>
            </w:pPr>
            <w:r w:rsidRPr="001779EA">
              <w:rPr>
                <w:b w:val="0"/>
                <w:lang w:val="en-AU"/>
              </w:rPr>
              <w:t>$25,809</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In-tableHeading"/>
              <w:jc w:val="center"/>
              <w:rPr>
                <w:b w:val="0"/>
                <w:lang w:val="en-AU"/>
              </w:rPr>
            </w:pPr>
            <w:r w:rsidRPr="001779EA">
              <w:rPr>
                <w:b w:val="0"/>
                <w:lang w:val="en-AU"/>
              </w:rPr>
              <w:t>$</w:t>
            </w:r>
            <w:r w:rsidR="00D728FC">
              <w:rPr>
                <w:b w:val="0"/>
                <w:noProof/>
                <w:color w:val="000000"/>
                <w:highlight w:val="black"/>
                <w:lang w:val="en-AU"/>
              </w:rPr>
              <w:t>'''''''''''''''</w:t>
            </w:r>
          </w:p>
        </w:tc>
      </w:tr>
      <w:tr w:rsidR="00E43E9A" w:rsidRPr="001779EA" w:rsidTr="00E43E9A">
        <w:trPr>
          <w:cantSplit/>
        </w:trPr>
        <w:tc>
          <w:tcPr>
            <w:tcW w:w="2041" w:type="pct"/>
            <w:tcBorders>
              <w:top w:val="single" w:sz="4" w:space="0" w:color="auto"/>
              <w:left w:val="single" w:sz="4" w:space="0" w:color="auto"/>
              <w:bottom w:val="single" w:sz="4" w:space="0" w:color="auto"/>
              <w:right w:val="single" w:sz="4" w:space="0" w:color="auto"/>
            </w:tcBorders>
            <w:shd w:val="clear" w:color="auto" w:fill="auto"/>
            <w:hideMark/>
          </w:tcPr>
          <w:p w:rsidR="00E43E9A" w:rsidRPr="001779EA" w:rsidRDefault="00E43E9A">
            <w:pPr>
              <w:pStyle w:val="TableText0"/>
            </w:pPr>
            <w:r w:rsidRPr="001779EA">
              <w:t>Life years</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TableText0"/>
              <w:jc w:val="center"/>
            </w:pPr>
            <w:r w:rsidRPr="001779EA">
              <w:t>4.08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TableText0"/>
              <w:jc w:val="center"/>
            </w:pPr>
            <w:r w:rsidRPr="001779EA">
              <w:t>3.53</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TableText0"/>
              <w:jc w:val="center"/>
            </w:pPr>
            <w:r w:rsidRPr="001779EA">
              <w:t>0.56</w:t>
            </w:r>
          </w:p>
        </w:tc>
      </w:tr>
      <w:tr w:rsidR="00E43E9A" w:rsidRPr="001779EA" w:rsidTr="00E43E9A">
        <w:trPr>
          <w:cantSplit/>
        </w:trPr>
        <w:tc>
          <w:tcPr>
            <w:tcW w:w="2041" w:type="pct"/>
            <w:tcBorders>
              <w:top w:val="single" w:sz="4" w:space="0" w:color="auto"/>
              <w:left w:val="single" w:sz="4" w:space="0" w:color="auto"/>
              <w:bottom w:val="single" w:sz="4" w:space="0" w:color="auto"/>
              <w:right w:val="single" w:sz="4" w:space="0" w:color="auto"/>
            </w:tcBorders>
            <w:shd w:val="clear" w:color="auto" w:fill="auto"/>
            <w:hideMark/>
          </w:tcPr>
          <w:p w:rsidR="00E43E9A" w:rsidRPr="001779EA" w:rsidRDefault="00E43E9A">
            <w:pPr>
              <w:pStyle w:val="TableText0"/>
            </w:pPr>
            <w:r w:rsidRPr="001779EA">
              <w:t>QALYS</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TableText0"/>
              <w:jc w:val="center"/>
            </w:pPr>
            <w:r w:rsidRPr="001779EA">
              <w:t>2.95</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TableText0"/>
              <w:jc w:val="center"/>
            </w:pPr>
            <w:r w:rsidRPr="001779EA">
              <w:t>2.53</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TableText0"/>
              <w:jc w:val="center"/>
            </w:pPr>
            <w:r w:rsidRPr="001779EA">
              <w:t>0.42</w:t>
            </w:r>
          </w:p>
        </w:tc>
      </w:tr>
      <w:tr w:rsidR="00E43E9A" w:rsidRPr="001779EA" w:rsidTr="00E43E9A">
        <w:trPr>
          <w:cantSplit/>
        </w:trPr>
        <w:tc>
          <w:tcPr>
            <w:tcW w:w="3928" w:type="pct"/>
            <w:gridSpan w:val="3"/>
            <w:tcBorders>
              <w:top w:val="single" w:sz="4" w:space="0" w:color="auto"/>
              <w:left w:val="single" w:sz="4" w:space="0" w:color="auto"/>
              <w:bottom w:val="single" w:sz="4" w:space="0" w:color="auto"/>
              <w:right w:val="single" w:sz="4" w:space="0" w:color="auto"/>
            </w:tcBorders>
            <w:shd w:val="clear" w:color="auto" w:fill="auto"/>
            <w:hideMark/>
          </w:tcPr>
          <w:p w:rsidR="00E43E9A" w:rsidRPr="001779EA" w:rsidRDefault="00E43E9A">
            <w:pPr>
              <w:pStyle w:val="TableText0"/>
              <w:rPr>
                <w:b/>
              </w:rPr>
            </w:pPr>
            <w:r w:rsidRPr="001779EA">
              <w:rPr>
                <w:b/>
              </w:rPr>
              <w:t>Incremental cost per life year gained</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pStyle w:val="TableText0"/>
              <w:jc w:val="center"/>
              <w:rPr>
                <w:b/>
              </w:rPr>
            </w:pPr>
            <w:r w:rsidRPr="001779EA">
              <w:rPr>
                <w:b/>
              </w:rPr>
              <w:t>$</w:t>
            </w:r>
            <w:r w:rsidR="00D728FC">
              <w:rPr>
                <w:b/>
                <w:noProof/>
                <w:color w:val="000000"/>
                <w:highlight w:val="black"/>
              </w:rPr>
              <w:t>'''''''''''''</w:t>
            </w:r>
          </w:p>
        </w:tc>
      </w:tr>
      <w:tr w:rsidR="00E43E9A" w:rsidRPr="001779EA" w:rsidTr="00E43E9A">
        <w:trPr>
          <w:cantSplit/>
        </w:trPr>
        <w:tc>
          <w:tcPr>
            <w:tcW w:w="3928" w:type="pct"/>
            <w:gridSpan w:val="3"/>
            <w:tcBorders>
              <w:top w:val="single" w:sz="4" w:space="0" w:color="auto"/>
              <w:left w:val="single" w:sz="4" w:space="0" w:color="auto"/>
              <w:bottom w:val="single" w:sz="4" w:space="0" w:color="auto"/>
              <w:right w:val="single" w:sz="4" w:space="0" w:color="auto"/>
            </w:tcBorders>
            <w:shd w:val="clear" w:color="auto" w:fill="auto"/>
            <w:hideMark/>
          </w:tcPr>
          <w:p w:rsidR="00E43E9A" w:rsidRPr="001779EA" w:rsidRDefault="00E43E9A">
            <w:pPr>
              <w:pStyle w:val="In-tableHeading"/>
              <w:rPr>
                <w:lang w:val="en-AU"/>
              </w:rPr>
            </w:pPr>
            <w:r w:rsidRPr="001779EA">
              <w:rPr>
                <w:lang w:val="en-AU"/>
              </w:rPr>
              <w:t>Incremental cost per QALY gained</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E9A" w:rsidRPr="001779EA" w:rsidRDefault="00E43E9A">
            <w:pPr>
              <w:keepNext/>
              <w:keepLines/>
              <w:jc w:val="center"/>
              <w:rPr>
                <w:rFonts w:ascii="Arial Narrow" w:hAnsi="Arial Narrow"/>
                <w:b/>
                <w:sz w:val="20"/>
              </w:rPr>
            </w:pPr>
            <w:r w:rsidRPr="001779EA">
              <w:rPr>
                <w:rFonts w:ascii="Arial Narrow" w:hAnsi="Arial Narrow"/>
                <w:b/>
                <w:sz w:val="20"/>
              </w:rPr>
              <w:t>$</w:t>
            </w:r>
            <w:r w:rsidR="00D728FC">
              <w:rPr>
                <w:rFonts w:ascii="Arial Narrow" w:hAnsi="Arial Narrow"/>
                <w:b/>
                <w:noProof/>
                <w:color w:val="000000"/>
                <w:sz w:val="20"/>
                <w:highlight w:val="black"/>
              </w:rPr>
              <w:t>''''''''''''</w:t>
            </w:r>
          </w:p>
        </w:tc>
      </w:tr>
    </w:tbl>
    <w:p w:rsidR="00E43E9A" w:rsidRPr="001779EA" w:rsidRDefault="00E43E9A" w:rsidP="00E43E9A">
      <w:pPr>
        <w:pStyle w:val="TableFigureFooter"/>
        <w:rPr>
          <w:iCs/>
        </w:rPr>
      </w:pPr>
      <w:r w:rsidRPr="001779EA">
        <w:t>Source: Table 3-28, p156 of the submission. Added during evaluation from ‘Results’ sheet of the CEA excel model.</w:t>
      </w:r>
    </w:p>
    <w:p w:rsidR="00E43E9A" w:rsidRPr="001779EA" w:rsidRDefault="00E43E9A" w:rsidP="00E43E9A">
      <w:pPr>
        <w:pStyle w:val="TableFigureFooter"/>
      </w:pPr>
    </w:p>
    <w:p w:rsidR="00E43E9A" w:rsidRPr="001779EA" w:rsidRDefault="00E43E9A" w:rsidP="00E43E9A">
      <w:pPr>
        <w:pStyle w:val="3-BodyText"/>
        <w:snapToGrid w:val="0"/>
        <w:rPr>
          <w:i/>
        </w:rPr>
      </w:pPr>
      <w:r w:rsidRPr="001779EA">
        <w:t>The submission stated that following a</w:t>
      </w:r>
      <w:r w:rsidR="00FB588A">
        <w:t xml:space="preserve"> forecasted </w:t>
      </w:r>
      <w:r w:rsidRPr="001779EA">
        <w:t xml:space="preserve">move to the F2 </w:t>
      </w:r>
      <w:r w:rsidR="00555BB7" w:rsidRPr="001779EA">
        <w:t>formulary the</w:t>
      </w:r>
      <w:r w:rsidRPr="001779EA">
        <w:t xml:space="preserve"> cost of fulvestrant will reduce by 25% reducing the ICER to $</w:t>
      </w:r>
      <w:r w:rsidR="00D05CDC">
        <w:t>35,000 to &lt; 45,000</w:t>
      </w:r>
      <w:r w:rsidRPr="001779EA">
        <w:t xml:space="preserve"> per QALY.</w:t>
      </w:r>
      <w:r w:rsidRPr="001779EA">
        <w:rPr>
          <w:i/>
        </w:rPr>
        <w:t xml:space="preserve"> </w:t>
      </w:r>
      <w:r w:rsidR="00E26F9F" w:rsidRPr="001779EA">
        <w:t>The ESC considered that the entry of ge</w:t>
      </w:r>
      <w:r w:rsidR="00AF7894" w:rsidRPr="001779EA">
        <w:t xml:space="preserve">neric fulvestrant is not </w:t>
      </w:r>
      <w:r w:rsidR="00E26F9F" w:rsidRPr="001779EA">
        <w:t xml:space="preserve">certain and has a substantial bearing on the cost-effectiveness of fulvestrant. </w:t>
      </w:r>
    </w:p>
    <w:p w:rsidR="00E43E9A" w:rsidRPr="001779EA" w:rsidRDefault="00E43E9A" w:rsidP="00E43E9A">
      <w:pPr>
        <w:pStyle w:val="3-BodyText"/>
        <w:snapToGrid w:val="0"/>
      </w:pPr>
      <w:r w:rsidRPr="001779EA">
        <w:t>The results of key sensitivity analyses are summarised in Table 1</w:t>
      </w:r>
      <w:r w:rsidR="007A4DA3" w:rsidRPr="001779EA">
        <w:t>6</w:t>
      </w:r>
      <w:r w:rsidRPr="001779EA">
        <w:t xml:space="preserve">. </w:t>
      </w:r>
    </w:p>
    <w:p w:rsidR="00AF7894" w:rsidRPr="001779EA" w:rsidRDefault="00E43E9A" w:rsidP="00AF7894">
      <w:pPr>
        <w:pStyle w:val="3-BodyText"/>
        <w:snapToGrid w:val="0"/>
      </w:pPr>
      <w:r w:rsidRPr="001779EA">
        <w:t>The ICER is most sensitive to the model approach used to extrapolate PFS and OS data and the time horizon.</w:t>
      </w:r>
    </w:p>
    <w:p w:rsidR="00E43E9A" w:rsidRPr="001779EA" w:rsidRDefault="00E43E9A" w:rsidP="00F11283">
      <w:pPr>
        <w:pStyle w:val="TableFigureHeading"/>
        <w:keepLines/>
        <w:rPr>
          <w:rStyle w:val="CommentReference"/>
          <w:b/>
          <w:bCs w:val="0"/>
        </w:rPr>
      </w:pPr>
      <w:r w:rsidRPr="001779EA">
        <w:rPr>
          <w:rStyle w:val="CommentReference"/>
          <w:b/>
          <w:bCs w:val="0"/>
        </w:rPr>
        <w:lastRenderedPageBreak/>
        <w:t>Table 1</w:t>
      </w:r>
      <w:r w:rsidR="007A4DA3" w:rsidRPr="001779EA">
        <w:rPr>
          <w:rStyle w:val="CommentReference"/>
          <w:b/>
          <w:bCs w:val="0"/>
        </w:rPr>
        <w:t>6</w:t>
      </w:r>
      <w:r w:rsidRPr="001779EA">
        <w:rPr>
          <w:rStyle w:val="CommentReference"/>
          <w:b/>
          <w:bCs w:val="0"/>
        </w:rPr>
        <w:t>: Sensitivity analyses</w:t>
      </w:r>
    </w:p>
    <w:tbl>
      <w:tblPr>
        <w:tblW w:w="5000" w:type="pct"/>
        <w:tblLayout w:type="fixed"/>
        <w:tblLook w:val="04A0" w:firstRow="1" w:lastRow="0" w:firstColumn="1" w:lastColumn="0" w:noHBand="0" w:noVBand="1"/>
      </w:tblPr>
      <w:tblGrid>
        <w:gridCol w:w="4995"/>
        <w:gridCol w:w="1340"/>
        <w:gridCol w:w="1342"/>
        <w:gridCol w:w="1340"/>
      </w:tblGrid>
      <w:tr w:rsidR="00F11283" w:rsidRPr="001779EA" w:rsidTr="00170373">
        <w:trPr>
          <w:cantSplit/>
          <w:trHeight w:val="300"/>
          <w:tblHeader/>
        </w:trPr>
        <w:tc>
          <w:tcPr>
            <w:tcW w:w="2770" w:type="pct"/>
            <w:tcBorders>
              <w:top w:val="single" w:sz="4" w:space="0" w:color="auto"/>
              <w:left w:val="single" w:sz="4" w:space="0" w:color="auto"/>
              <w:bottom w:val="single" w:sz="4" w:space="0" w:color="auto"/>
              <w:right w:val="single" w:sz="4" w:space="0" w:color="auto"/>
            </w:tcBorders>
            <w:noWrap/>
            <w:vAlign w:val="center"/>
            <w:hideMark/>
          </w:tcPr>
          <w:p w:rsidR="00F11283" w:rsidRPr="001779EA" w:rsidRDefault="00F11283" w:rsidP="00F11283">
            <w:pPr>
              <w:keepNext/>
              <w:keepLines/>
              <w:widowControl w:val="0"/>
              <w:jc w:val="left"/>
              <w:rPr>
                <w:rFonts w:cs="Calibri"/>
                <w:b/>
                <w:color w:val="000000"/>
                <w:szCs w:val="20"/>
              </w:rPr>
            </w:pPr>
            <w:r w:rsidRPr="001779EA">
              <w:rPr>
                <w:rFonts w:ascii="Arial Narrow" w:hAnsi="Arial Narrow" w:cs="Calibri"/>
                <w:b/>
                <w:bCs/>
                <w:color w:val="000000"/>
                <w:sz w:val="20"/>
                <w:szCs w:val="20"/>
              </w:rPr>
              <w:t>Analyses</w:t>
            </w:r>
          </w:p>
        </w:tc>
        <w:tc>
          <w:tcPr>
            <w:tcW w:w="743" w:type="pct"/>
            <w:tcBorders>
              <w:top w:val="single" w:sz="4" w:space="0" w:color="auto"/>
              <w:left w:val="nil"/>
              <w:bottom w:val="single" w:sz="4" w:space="0" w:color="auto"/>
              <w:right w:val="single" w:sz="4" w:space="0" w:color="auto"/>
            </w:tcBorders>
            <w:noWrap/>
            <w:vAlign w:val="center"/>
            <w:hideMark/>
          </w:tcPr>
          <w:p w:rsidR="00F11283" w:rsidRPr="001779EA" w:rsidRDefault="00F11283" w:rsidP="00F11283">
            <w:pPr>
              <w:keepNext/>
              <w:keepLines/>
              <w:widowControl w:val="0"/>
              <w:jc w:val="center"/>
              <w:rPr>
                <w:rFonts w:ascii="Arial Narrow" w:hAnsi="Arial Narrow" w:cs="Calibri"/>
                <w:b/>
                <w:bCs/>
                <w:color w:val="000000"/>
                <w:sz w:val="20"/>
                <w:szCs w:val="20"/>
              </w:rPr>
            </w:pPr>
            <w:r w:rsidRPr="001779EA">
              <w:rPr>
                <w:rFonts w:ascii="Arial Narrow" w:hAnsi="Arial Narrow" w:cs="Calibri"/>
                <w:b/>
                <w:bCs/>
                <w:color w:val="000000"/>
                <w:sz w:val="20"/>
                <w:szCs w:val="20"/>
              </w:rPr>
              <w:t>Incremental cost</w:t>
            </w:r>
          </w:p>
        </w:tc>
        <w:tc>
          <w:tcPr>
            <w:tcW w:w="744" w:type="pct"/>
            <w:tcBorders>
              <w:top w:val="single" w:sz="4" w:space="0" w:color="auto"/>
              <w:left w:val="nil"/>
              <w:bottom w:val="single" w:sz="4" w:space="0" w:color="auto"/>
              <w:right w:val="single" w:sz="4" w:space="0" w:color="auto"/>
            </w:tcBorders>
            <w:noWrap/>
            <w:vAlign w:val="center"/>
            <w:hideMark/>
          </w:tcPr>
          <w:p w:rsidR="00F11283" w:rsidRPr="001779EA" w:rsidRDefault="00F11283" w:rsidP="00F11283">
            <w:pPr>
              <w:keepNext/>
              <w:keepLines/>
              <w:widowControl w:val="0"/>
              <w:jc w:val="center"/>
              <w:rPr>
                <w:rFonts w:ascii="Arial Narrow" w:hAnsi="Arial Narrow" w:cs="Calibri"/>
                <w:b/>
                <w:bCs/>
                <w:color w:val="000000"/>
                <w:sz w:val="20"/>
                <w:szCs w:val="20"/>
              </w:rPr>
            </w:pPr>
            <w:r w:rsidRPr="001779EA">
              <w:rPr>
                <w:rFonts w:ascii="Arial Narrow" w:hAnsi="Arial Narrow" w:cs="Calibri"/>
                <w:b/>
                <w:bCs/>
                <w:color w:val="000000"/>
                <w:sz w:val="20"/>
                <w:szCs w:val="20"/>
              </w:rPr>
              <w:t>Incremental QALY</w:t>
            </w:r>
          </w:p>
        </w:tc>
        <w:tc>
          <w:tcPr>
            <w:tcW w:w="743" w:type="pct"/>
            <w:tcBorders>
              <w:top w:val="single" w:sz="4" w:space="0" w:color="auto"/>
              <w:left w:val="nil"/>
              <w:bottom w:val="single" w:sz="4" w:space="0" w:color="auto"/>
              <w:right w:val="single" w:sz="4" w:space="0" w:color="auto"/>
            </w:tcBorders>
            <w:noWrap/>
            <w:vAlign w:val="center"/>
            <w:hideMark/>
          </w:tcPr>
          <w:p w:rsidR="00F11283" w:rsidRPr="001779EA" w:rsidRDefault="00F11283" w:rsidP="00F11283">
            <w:pPr>
              <w:keepNext/>
              <w:keepLines/>
              <w:widowControl w:val="0"/>
              <w:jc w:val="center"/>
              <w:rPr>
                <w:rFonts w:ascii="Arial Narrow" w:hAnsi="Arial Narrow" w:cs="Calibri"/>
                <w:b/>
                <w:bCs/>
                <w:color w:val="000000"/>
                <w:sz w:val="20"/>
                <w:szCs w:val="20"/>
              </w:rPr>
            </w:pPr>
            <w:r w:rsidRPr="001779EA">
              <w:rPr>
                <w:rFonts w:ascii="Arial Narrow" w:hAnsi="Arial Narrow" w:cs="Calibri"/>
                <w:b/>
                <w:bCs/>
                <w:color w:val="000000"/>
                <w:sz w:val="20"/>
                <w:szCs w:val="20"/>
              </w:rPr>
              <w:t>ICER</w:t>
            </w:r>
          </w:p>
        </w:tc>
      </w:tr>
      <w:tr w:rsidR="00F11283" w:rsidRPr="001779EA" w:rsidTr="00170373">
        <w:trPr>
          <w:cantSplit/>
          <w:trHeight w:val="20"/>
        </w:trPr>
        <w:tc>
          <w:tcPr>
            <w:tcW w:w="2770" w:type="pct"/>
            <w:tcBorders>
              <w:top w:val="nil"/>
              <w:left w:val="single" w:sz="4" w:space="0" w:color="auto"/>
              <w:bottom w:val="single" w:sz="4" w:space="0" w:color="auto"/>
              <w:right w:val="single" w:sz="4" w:space="0" w:color="auto"/>
            </w:tcBorders>
            <w:noWrap/>
            <w:vAlign w:val="center"/>
            <w:hideMark/>
          </w:tcPr>
          <w:p w:rsidR="00F11283" w:rsidRPr="001779EA" w:rsidRDefault="00F11283" w:rsidP="00F11283">
            <w:pPr>
              <w:keepNext/>
              <w:keepLines/>
              <w:widowControl w:val="0"/>
              <w:jc w:val="left"/>
              <w:rPr>
                <w:rFonts w:ascii="Arial Narrow" w:hAnsi="Arial Narrow" w:cs="Calibri"/>
                <w:b/>
                <w:bCs/>
                <w:color w:val="000000"/>
                <w:sz w:val="20"/>
                <w:szCs w:val="20"/>
              </w:rPr>
            </w:pPr>
            <w:r w:rsidRPr="001779EA">
              <w:rPr>
                <w:rFonts w:ascii="Arial Narrow" w:hAnsi="Arial Narrow" w:cs="Calibri"/>
                <w:b/>
                <w:bCs/>
                <w:color w:val="000000"/>
                <w:sz w:val="20"/>
                <w:szCs w:val="20"/>
              </w:rPr>
              <w:t xml:space="preserve">Base case </w:t>
            </w:r>
          </w:p>
        </w:tc>
        <w:tc>
          <w:tcPr>
            <w:tcW w:w="743" w:type="pct"/>
            <w:tcBorders>
              <w:top w:val="nil"/>
              <w:left w:val="nil"/>
              <w:bottom w:val="single" w:sz="4" w:space="0" w:color="auto"/>
              <w:right w:val="single" w:sz="4" w:space="0" w:color="auto"/>
            </w:tcBorders>
            <w:noWrap/>
            <w:vAlign w:val="center"/>
            <w:hideMark/>
          </w:tcPr>
          <w:p w:rsidR="00F11283" w:rsidRPr="001779EA" w:rsidRDefault="00F11283" w:rsidP="00F11283">
            <w:pPr>
              <w:keepNext/>
              <w:keepLines/>
              <w:widowControl w:val="0"/>
              <w:jc w:val="center"/>
              <w:rPr>
                <w:rFonts w:ascii="Arial Narrow" w:hAnsi="Arial Narrow" w:cs="Calibri"/>
                <w:b/>
                <w:bCs/>
                <w:iCs/>
                <w:color w:val="000000"/>
                <w:sz w:val="20"/>
                <w:szCs w:val="20"/>
              </w:rPr>
            </w:pPr>
            <w:r w:rsidRPr="001779EA">
              <w:rPr>
                <w:rFonts w:ascii="Arial Narrow" w:hAnsi="Arial Narrow" w:cs="Calibri"/>
                <w:b/>
                <w:bCs/>
                <w:iCs/>
                <w:color w:val="000000"/>
                <w:sz w:val="20"/>
                <w:szCs w:val="20"/>
              </w:rPr>
              <w:t>$</w:t>
            </w:r>
            <w:r w:rsidR="00D728FC">
              <w:rPr>
                <w:rFonts w:ascii="Arial Narrow" w:hAnsi="Arial Narrow" w:cs="Calibri"/>
                <w:b/>
                <w:bCs/>
                <w:iCs/>
                <w:noProof/>
                <w:color w:val="000000"/>
                <w:sz w:val="20"/>
                <w:szCs w:val="20"/>
                <w:highlight w:val="black"/>
              </w:rPr>
              <w:t>''''''''''''</w:t>
            </w:r>
          </w:p>
        </w:tc>
        <w:tc>
          <w:tcPr>
            <w:tcW w:w="744" w:type="pct"/>
            <w:tcBorders>
              <w:top w:val="nil"/>
              <w:left w:val="nil"/>
              <w:bottom w:val="single" w:sz="4" w:space="0" w:color="auto"/>
              <w:right w:val="single" w:sz="4" w:space="0" w:color="auto"/>
            </w:tcBorders>
            <w:noWrap/>
            <w:vAlign w:val="center"/>
            <w:hideMark/>
          </w:tcPr>
          <w:p w:rsidR="00F11283" w:rsidRPr="001779EA" w:rsidRDefault="00F11283" w:rsidP="00F11283">
            <w:pPr>
              <w:keepNext/>
              <w:keepLines/>
              <w:widowControl w:val="0"/>
              <w:jc w:val="center"/>
              <w:rPr>
                <w:rFonts w:ascii="Arial Narrow" w:hAnsi="Arial Narrow" w:cs="Calibri"/>
                <w:b/>
                <w:bCs/>
                <w:color w:val="000000"/>
                <w:sz w:val="20"/>
                <w:szCs w:val="20"/>
              </w:rPr>
            </w:pPr>
            <w:r w:rsidRPr="001779EA">
              <w:rPr>
                <w:rFonts w:ascii="Arial Narrow" w:hAnsi="Arial Narrow" w:cs="Calibri"/>
                <w:b/>
                <w:bCs/>
                <w:color w:val="000000"/>
                <w:sz w:val="20"/>
                <w:szCs w:val="20"/>
              </w:rPr>
              <w:t>0.42</w:t>
            </w:r>
          </w:p>
        </w:tc>
        <w:tc>
          <w:tcPr>
            <w:tcW w:w="743" w:type="pct"/>
            <w:tcBorders>
              <w:top w:val="nil"/>
              <w:left w:val="nil"/>
              <w:bottom w:val="single" w:sz="4" w:space="0" w:color="auto"/>
              <w:right w:val="single" w:sz="4" w:space="0" w:color="auto"/>
            </w:tcBorders>
            <w:noWrap/>
            <w:vAlign w:val="center"/>
            <w:hideMark/>
          </w:tcPr>
          <w:p w:rsidR="00F11283" w:rsidRPr="001779EA" w:rsidRDefault="00F11283" w:rsidP="00F11283">
            <w:pPr>
              <w:keepNext/>
              <w:keepLines/>
              <w:widowControl w:val="0"/>
              <w:jc w:val="center"/>
              <w:rPr>
                <w:rFonts w:ascii="Arial Narrow" w:hAnsi="Arial Narrow" w:cs="Calibri"/>
                <w:b/>
                <w:bCs/>
                <w:iCs/>
                <w:color w:val="000000"/>
                <w:sz w:val="20"/>
                <w:szCs w:val="20"/>
              </w:rPr>
            </w:pPr>
            <w:r w:rsidRPr="001779EA">
              <w:rPr>
                <w:rFonts w:ascii="Arial Narrow" w:hAnsi="Arial Narrow" w:cs="Calibri"/>
                <w:b/>
                <w:bCs/>
                <w:iCs/>
                <w:color w:val="000000"/>
                <w:sz w:val="20"/>
                <w:szCs w:val="20"/>
              </w:rPr>
              <w:t>$</w:t>
            </w:r>
            <w:r w:rsidR="00D728FC">
              <w:rPr>
                <w:rFonts w:ascii="Arial Narrow" w:hAnsi="Arial Narrow" w:cs="Calibri"/>
                <w:b/>
                <w:bCs/>
                <w:iCs/>
                <w:noProof/>
                <w:color w:val="000000"/>
                <w:sz w:val="20"/>
                <w:szCs w:val="20"/>
                <w:highlight w:val="black"/>
              </w:rPr>
              <w:t>'''''''''''''</w:t>
            </w:r>
          </w:p>
        </w:tc>
      </w:tr>
      <w:tr w:rsidR="00F11283" w:rsidRPr="001779EA" w:rsidTr="00170373">
        <w:trPr>
          <w:cantSplit/>
          <w:trHeight w:val="20"/>
        </w:trPr>
        <w:tc>
          <w:tcPr>
            <w:tcW w:w="2770" w:type="pct"/>
            <w:tcBorders>
              <w:top w:val="single" w:sz="4" w:space="0" w:color="auto"/>
              <w:left w:val="single" w:sz="4" w:space="0" w:color="auto"/>
              <w:bottom w:val="nil"/>
              <w:right w:val="single" w:sz="4" w:space="0" w:color="auto"/>
            </w:tcBorders>
            <w:vAlign w:val="center"/>
            <w:hideMark/>
          </w:tcPr>
          <w:p w:rsidR="00F11283" w:rsidRPr="001779EA" w:rsidRDefault="00F11283" w:rsidP="00F11283">
            <w:pPr>
              <w:keepNext/>
              <w:keepLines/>
              <w:widowControl w:val="0"/>
              <w:jc w:val="left"/>
              <w:rPr>
                <w:rFonts w:ascii="Arial Narrow" w:hAnsi="Arial Narrow" w:cs="Calibri"/>
                <w:color w:val="000000"/>
                <w:sz w:val="20"/>
                <w:szCs w:val="20"/>
              </w:rPr>
            </w:pPr>
            <w:r w:rsidRPr="001779EA">
              <w:rPr>
                <w:rFonts w:ascii="Arial Narrow" w:hAnsi="Arial Narrow" w:cs="Calibri"/>
                <w:color w:val="000000"/>
                <w:sz w:val="20"/>
                <w:szCs w:val="20"/>
              </w:rPr>
              <w:t>Time horizon (base case 10 years)</w:t>
            </w:r>
          </w:p>
        </w:tc>
        <w:tc>
          <w:tcPr>
            <w:tcW w:w="743" w:type="pct"/>
            <w:tcBorders>
              <w:top w:val="single" w:sz="4" w:space="0" w:color="auto"/>
              <w:left w:val="nil"/>
              <w:bottom w:val="nil"/>
              <w:right w:val="single" w:sz="4" w:space="0" w:color="auto"/>
            </w:tcBorders>
            <w:vAlign w:val="center"/>
            <w:hideMark/>
          </w:tcPr>
          <w:p w:rsidR="00F11283" w:rsidRPr="001779EA" w:rsidRDefault="00F11283" w:rsidP="00F11283">
            <w:pPr>
              <w:keepNext/>
              <w:keepLines/>
              <w:widowControl w:val="0"/>
              <w:jc w:val="left"/>
              <w:rPr>
                <w:rFonts w:ascii="Arial Narrow" w:hAnsi="Arial Narrow" w:cs="Calibri"/>
                <w:color w:val="000000"/>
                <w:sz w:val="20"/>
                <w:szCs w:val="20"/>
              </w:rPr>
            </w:pPr>
            <w:r w:rsidRPr="001779EA">
              <w:rPr>
                <w:rFonts w:ascii="Arial Narrow" w:hAnsi="Arial Narrow" w:cs="Calibri"/>
                <w:color w:val="000000"/>
                <w:sz w:val="20"/>
                <w:szCs w:val="20"/>
              </w:rPr>
              <w:t> </w:t>
            </w:r>
          </w:p>
        </w:tc>
        <w:tc>
          <w:tcPr>
            <w:tcW w:w="744" w:type="pct"/>
            <w:tcBorders>
              <w:top w:val="single" w:sz="4" w:space="0" w:color="auto"/>
              <w:left w:val="nil"/>
              <w:bottom w:val="nil"/>
              <w:right w:val="single" w:sz="4" w:space="0" w:color="auto"/>
            </w:tcBorders>
            <w:vAlign w:val="center"/>
            <w:hideMark/>
          </w:tcPr>
          <w:p w:rsidR="00F11283" w:rsidRPr="001779EA" w:rsidRDefault="00F11283" w:rsidP="00F11283">
            <w:pPr>
              <w:keepNext/>
              <w:keepLines/>
              <w:widowControl w:val="0"/>
              <w:jc w:val="left"/>
              <w:rPr>
                <w:rFonts w:ascii="Arial Narrow" w:hAnsi="Arial Narrow" w:cs="Calibri"/>
                <w:color w:val="000000"/>
                <w:sz w:val="20"/>
                <w:szCs w:val="20"/>
              </w:rPr>
            </w:pPr>
            <w:r w:rsidRPr="001779EA">
              <w:rPr>
                <w:rFonts w:ascii="Arial Narrow" w:hAnsi="Arial Narrow" w:cs="Calibri"/>
                <w:color w:val="000000"/>
                <w:sz w:val="20"/>
                <w:szCs w:val="20"/>
              </w:rPr>
              <w:t> </w:t>
            </w:r>
          </w:p>
        </w:tc>
        <w:tc>
          <w:tcPr>
            <w:tcW w:w="743" w:type="pct"/>
            <w:tcBorders>
              <w:top w:val="single" w:sz="4" w:space="0" w:color="auto"/>
              <w:left w:val="nil"/>
              <w:bottom w:val="nil"/>
              <w:right w:val="single" w:sz="4" w:space="0" w:color="auto"/>
            </w:tcBorders>
            <w:vAlign w:val="center"/>
            <w:hideMark/>
          </w:tcPr>
          <w:p w:rsidR="00F11283" w:rsidRPr="001779EA" w:rsidRDefault="00F11283" w:rsidP="00F11283">
            <w:pPr>
              <w:keepNext/>
              <w:keepLines/>
              <w:widowControl w:val="0"/>
              <w:jc w:val="left"/>
              <w:rPr>
                <w:rFonts w:ascii="Arial Narrow" w:hAnsi="Arial Narrow" w:cs="Calibri"/>
                <w:color w:val="000000"/>
                <w:sz w:val="20"/>
                <w:szCs w:val="20"/>
              </w:rPr>
            </w:pPr>
            <w:r w:rsidRPr="001779EA">
              <w:rPr>
                <w:rFonts w:ascii="Arial Narrow" w:hAnsi="Arial Narrow" w:cs="Calibri"/>
                <w:color w:val="000000"/>
                <w:sz w:val="20"/>
                <w:szCs w:val="20"/>
              </w:rPr>
              <w:t> </w:t>
            </w:r>
          </w:p>
        </w:tc>
      </w:tr>
      <w:tr w:rsidR="00F11283" w:rsidRPr="001779EA" w:rsidTr="00170373">
        <w:trPr>
          <w:cantSplit/>
          <w:trHeight w:val="20"/>
        </w:trPr>
        <w:tc>
          <w:tcPr>
            <w:tcW w:w="2770" w:type="pct"/>
            <w:tcBorders>
              <w:top w:val="nil"/>
              <w:left w:val="single" w:sz="4" w:space="0" w:color="auto"/>
              <w:bottom w:val="nil"/>
              <w:right w:val="single" w:sz="4" w:space="0" w:color="auto"/>
            </w:tcBorders>
            <w:vAlign w:val="center"/>
            <w:hideMark/>
          </w:tcPr>
          <w:p w:rsidR="00F11283" w:rsidRPr="001779EA" w:rsidRDefault="00F11283" w:rsidP="007C1855">
            <w:pPr>
              <w:pStyle w:val="ListParagraph"/>
              <w:keepNext/>
              <w:keepLines/>
              <w:widowControl w:val="0"/>
              <w:numPr>
                <w:ilvl w:val="0"/>
                <w:numId w:val="14"/>
              </w:numPr>
              <w:snapToGrid w:val="0"/>
              <w:spacing w:after="0"/>
              <w:ind w:left="357" w:hanging="357"/>
              <w:jc w:val="left"/>
              <w:rPr>
                <w:rFonts w:ascii="Arial Narrow" w:hAnsi="Arial Narrow" w:cs="Calibri"/>
                <w:color w:val="000000"/>
                <w:sz w:val="20"/>
                <w:szCs w:val="20"/>
              </w:rPr>
            </w:pPr>
            <w:r w:rsidRPr="001779EA">
              <w:rPr>
                <w:rFonts w:ascii="Arial Narrow" w:hAnsi="Arial Narrow" w:cs="Calibri"/>
                <w:color w:val="000000"/>
                <w:sz w:val="20"/>
                <w:szCs w:val="20"/>
              </w:rPr>
              <w:t>5 years</w:t>
            </w:r>
          </w:p>
        </w:tc>
        <w:tc>
          <w:tcPr>
            <w:tcW w:w="743" w:type="pct"/>
            <w:tcBorders>
              <w:top w:val="nil"/>
              <w:left w:val="nil"/>
              <w:bottom w:val="nil"/>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nil"/>
              <w:left w:val="nil"/>
              <w:bottom w:val="nil"/>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color w:val="000000"/>
                <w:sz w:val="20"/>
                <w:szCs w:val="20"/>
              </w:rPr>
            </w:pPr>
            <w:r w:rsidRPr="001779EA">
              <w:rPr>
                <w:rFonts w:ascii="Arial Narrow" w:hAnsi="Arial Narrow" w:cs="Calibri"/>
                <w:color w:val="000000"/>
                <w:sz w:val="20"/>
                <w:szCs w:val="20"/>
              </w:rPr>
              <w:t>0.21</w:t>
            </w:r>
          </w:p>
        </w:tc>
        <w:tc>
          <w:tcPr>
            <w:tcW w:w="743" w:type="pct"/>
            <w:tcBorders>
              <w:top w:val="nil"/>
              <w:left w:val="nil"/>
              <w:bottom w:val="nil"/>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F11283" w:rsidRPr="001779EA" w:rsidTr="00FD7ED7">
        <w:trPr>
          <w:cantSplit/>
          <w:trHeight w:val="20"/>
        </w:trPr>
        <w:tc>
          <w:tcPr>
            <w:tcW w:w="2770" w:type="pct"/>
            <w:tcBorders>
              <w:top w:val="nil"/>
              <w:left w:val="single" w:sz="4" w:space="0" w:color="auto"/>
              <w:bottom w:val="single" w:sz="4" w:space="0" w:color="auto"/>
              <w:right w:val="single" w:sz="4" w:space="0" w:color="auto"/>
            </w:tcBorders>
            <w:vAlign w:val="center"/>
            <w:hideMark/>
          </w:tcPr>
          <w:p w:rsidR="00F11283" w:rsidRPr="001779EA" w:rsidRDefault="00F11283" w:rsidP="007C1855">
            <w:pPr>
              <w:pStyle w:val="ListParagraph"/>
              <w:keepNext/>
              <w:keepLines/>
              <w:widowControl w:val="0"/>
              <w:numPr>
                <w:ilvl w:val="0"/>
                <w:numId w:val="14"/>
              </w:numPr>
              <w:snapToGrid w:val="0"/>
              <w:spacing w:after="0"/>
              <w:ind w:left="357" w:hanging="357"/>
              <w:jc w:val="left"/>
              <w:rPr>
                <w:rFonts w:ascii="Arial Narrow" w:hAnsi="Arial Narrow" w:cs="Calibri"/>
                <w:color w:val="000000"/>
                <w:sz w:val="20"/>
                <w:szCs w:val="20"/>
              </w:rPr>
            </w:pPr>
            <w:r w:rsidRPr="001779EA">
              <w:rPr>
                <w:rFonts w:ascii="Arial Narrow" w:hAnsi="Arial Narrow" w:cs="Calibri"/>
                <w:color w:val="000000"/>
                <w:sz w:val="20"/>
                <w:szCs w:val="20"/>
              </w:rPr>
              <w:t>7 years</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color w:val="000000"/>
                <w:sz w:val="20"/>
                <w:szCs w:val="20"/>
              </w:rPr>
            </w:pPr>
            <w:r w:rsidRPr="001779EA">
              <w:rPr>
                <w:rFonts w:ascii="Arial Narrow" w:hAnsi="Arial Narrow" w:cs="Calibri"/>
                <w:color w:val="000000"/>
                <w:sz w:val="20"/>
                <w:szCs w:val="20"/>
              </w:rPr>
              <w:t>0.32</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FD7ED7" w:rsidRPr="001779EA" w:rsidTr="00FD7ED7">
        <w:trPr>
          <w:cantSplit/>
          <w:trHeight w:val="20"/>
        </w:trPr>
        <w:tc>
          <w:tcPr>
            <w:tcW w:w="2770" w:type="pct"/>
            <w:tcBorders>
              <w:top w:val="nil"/>
              <w:left w:val="single" w:sz="4" w:space="0" w:color="auto"/>
              <w:bottom w:val="single" w:sz="4" w:space="0" w:color="auto"/>
              <w:right w:val="single" w:sz="4" w:space="0" w:color="auto"/>
            </w:tcBorders>
            <w:vAlign w:val="center"/>
          </w:tcPr>
          <w:p w:rsidR="00FD7ED7" w:rsidRPr="001779EA" w:rsidRDefault="00FD7ED7" w:rsidP="00275EBC">
            <w:pPr>
              <w:keepNext/>
              <w:keepLines/>
              <w:widowControl w:val="0"/>
              <w:snapToGrid w:val="0"/>
              <w:jc w:val="left"/>
              <w:rPr>
                <w:rFonts w:ascii="Arial Narrow" w:hAnsi="Arial Narrow" w:cs="Calibri"/>
                <w:color w:val="000000"/>
                <w:sz w:val="20"/>
                <w:szCs w:val="20"/>
              </w:rPr>
            </w:pPr>
            <w:r w:rsidRPr="001779EA">
              <w:rPr>
                <w:rFonts w:ascii="Arial Narrow" w:hAnsi="Arial Narrow" w:cs="Calibri"/>
                <w:sz w:val="20"/>
                <w:szCs w:val="20"/>
              </w:rPr>
              <w:t>PH model</w:t>
            </w:r>
            <w:r w:rsidR="00642BB8" w:rsidRPr="001779EA">
              <w:rPr>
                <w:rFonts w:ascii="Arial Narrow" w:hAnsi="Arial Narrow" w:cs="Calibri"/>
                <w:sz w:val="20"/>
                <w:szCs w:val="20"/>
              </w:rPr>
              <w:t xml:space="preserve"> (using </w:t>
            </w:r>
            <w:r w:rsidR="004C3904" w:rsidRPr="001779EA">
              <w:rPr>
                <w:rFonts w:ascii="Arial Narrow" w:hAnsi="Arial Narrow" w:cs="Calibri"/>
                <w:sz w:val="20"/>
                <w:szCs w:val="20"/>
              </w:rPr>
              <w:t xml:space="preserve">OS </w:t>
            </w:r>
            <w:r w:rsidR="00642BB8" w:rsidRPr="001779EA">
              <w:rPr>
                <w:rFonts w:ascii="Arial Narrow" w:hAnsi="Arial Narrow" w:cs="Calibri"/>
                <w:sz w:val="20"/>
                <w:szCs w:val="20"/>
              </w:rPr>
              <w:t xml:space="preserve">HR of </w:t>
            </w:r>
            <w:r w:rsidR="00275EBC" w:rsidRPr="001779EA">
              <w:rPr>
                <w:rFonts w:ascii="Arial Narrow" w:hAnsi="Arial Narrow" w:cs="Calibri"/>
                <w:sz w:val="20"/>
                <w:szCs w:val="20"/>
              </w:rPr>
              <w:t>0.78, pooled data, unadjusted FIRST</w:t>
            </w:r>
            <w:r w:rsidR="004C3904" w:rsidRPr="001779EA">
              <w:rPr>
                <w:rFonts w:ascii="Arial Narrow" w:hAnsi="Arial Narrow" w:cs="Calibri"/>
                <w:sz w:val="20"/>
                <w:szCs w:val="20"/>
              </w:rPr>
              <w:t>)</w:t>
            </w:r>
          </w:p>
        </w:tc>
        <w:tc>
          <w:tcPr>
            <w:tcW w:w="743" w:type="pct"/>
            <w:tcBorders>
              <w:top w:val="nil"/>
              <w:left w:val="nil"/>
              <w:bottom w:val="single" w:sz="4" w:space="0" w:color="auto"/>
              <w:right w:val="single" w:sz="4" w:space="0" w:color="auto"/>
            </w:tcBorders>
            <w:noWrap/>
            <w:vAlign w:val="bottom"/>
          </w:tcPr>
          <w:p w:rsidR="00FD7ED7" w:rsidRPr="001779EA" w:rsidRDefault="00FD7ED7" w:rsidP="00FD7ED7">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nil"/>
              <w:left w:val="nil"/>
              <w:bottom w:val="single" w:sz="4" w:space="0" w:color="auto"/>
              <w:right w:val="single" w:sz="4" w:space="0" w:color="auto"/>
            </w:tcBorders>
            <w:noWrap/>
            <w:vAlign w:val="bottom"/>
          </w:tcPr>
          <w:p w:rsidR="00FD7ED7" w:rsidRPr="001779EA" w:rsidRDefault="00FD7ED7" w:rsidP="00FD7ED7">
            <w:pPr>
              <w:keepNext/>
              <w:keepLines/>
              <w:widowControl w:val="0"/>
              <w:jc w:val="center"/>
              <w:rPr>
                <w:rFonts w:ascii="Arial Narrow" w:hAnsi="Arial Narrow" w:cs="Calibri"/>
                <w:color w:val="000000"/>
                <w:sz w:val="20"/>
                <w:szCs w:val="20"/>
              </w:rPr>
            </w:pPr>
            <w:r w:rsidRPr="001779EA">
              <w:rPr>
                <w:rFonts w:ascii="Arial Narrow" w:hAnsi="Arial Narrow" w:cs="Calibri"/>
                <w:color w:val="000000"/>
                <w:sz w:val="20"/>
                <w:szCs w:val="20"/>
              </w:rPr>
              <w:t>0.40</w:t>
            </w:r>
          </w:p>
        </w:tc>
        <w:tc>
          <w:tcPr>
            <w:tcW w:w="743" w:type="pct"/>
            <w:tcBorders>
              <w:top w:val="nil"/>
              <w:left w:val="nil"/>
              <w:bottom w:val="single" w:sz="4" w:space="0" w:color="auto"/>
              <w:right w:val="single" w:sz="4" w:space="0" w:color="auto"/>
            </w:tcBorders>
            <w:noWrap/>
            <w:vAlign w:val="bottom"/>
          </w:tcPr>
          <w:p w:rsidR="00FD7ED7" w:rsidRPr="001779EA" w:rsidRDefault="00FD7ED7" w:rsidP="00FD7ED7">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BE0E73" w:rsidRPr="001779EA" w:rsidTr="00FD7ED7">
        <w:trPr>
          <w:cantSplit/>
          <w:trHeight w:val="20"/>
        </w:trPr>
        <w:tc>
          <w:tcPr>
            <w:tcW w:w="2770" w:type="pct"/>
            <w:tcBorders>
              <w:top w:val="nil"/>
              <w:left w:val="single" w:sz="4" w:space="0" w:color="auto"/>
              <w:bottom w:val="single" w:sz="4" w:space="0" w:color="auto"/>
              <w:right w:val="single" w:sz="4" w:space="0" w:color="auto"/>
            </w:tcBorders>
            <w:vAlign w:val="center"/>
          </w:tcPr>
          <w:p w:rsidR="00BE0E73" w:rsidRPr="001779EA" w:rsidRDefault="00BE0E73" w:rsidP="00275EBC">
            <w:pPr>
              <w:keepNext/>
              <w:keepLines/>
              <w:widowControl w:val="0"/>
              <w:snapToGrid w:val="0"/>
              <w:jc w:val="left"/>
              <w:rPr>
                <w:rFonts w:ascii="Arial Narrow" w:hAnsi="Arial Narrow" w:cs="Calibri"/>
                <w:sz w:val="20"/>
                <w:szCs w:val="20"/>
              </w:rPr>
            </w:pPr>
            <w:r w:rsidRPr="001779EA">
              <w:rPr>
                <w:rFonts w:ascii="Arial Narrow" w:hAnsi="Arial Narrow" w:cs="Calibri"/>
                <w:sz w:val="20"/>
                <w:szCs w:val="20"/>
              </w:rPr>
              <w:t>PH model (using OS HR of 0.82</w:t>
            </w:r>
            <w:r w:rsidR="00275EBC" w:rsidRPr="001779EA">
              <w:rPr>
                <w:rFonts w:ascii="Arial Narrow" w:hAnsi="Arial Narrow" w:cs="Calibri"/>
                <w:sz w:val="20"/>
                <w:szCs w:val="20"/>
              </w:rPr>
              <w:t xml:space="preserve"> pooled data, adjusted FIRST)</w:t>
            </w:r>
            <w:r w:rsidRPr="001779EA">
              <w:rPr>
                <w:rFonts w:ascii="Arial Narrow" w:hAnsi="Arial Narrow" w:cs="Calibri"/>
                <w:sz w:val="20"/>
                <w:szCs w:val="20"/>
              </w:rPr>
              <w:t>)</w:t>
            </w:r>
          </w:p>
        </w:tc>
        <w:tc>
          <w:tcPr>
            <w:tcW w:w="743" w:type="pct"/>
            <w:tcBorders>
              <w:top w:val="nil"/>
              <w:left w:val="nil"/>
              <w:bottom w:val="single" w:sz="4" w:space="0" w:color="auto"/>
              <w:right w:val="single" w:sz="4" w:space="0" w:color="auto"/>
            </w:tcBorders>
            <w:noWrap/>
            <w:vAlign w:val="bottom"/>
          </w:tcPr>
          <w:p w:rsidR="00BE0E73" w:rsidRPr="001779EA" w:rsidRDefault="00275EBC" w:rsidP="00FD7ED7">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nil"/>
              <w:left w:val="nil"/>
              <w:bottom w:val="single" w:sz="4" w:space="0" w:color="auto"/>
              <w:right w:val="single" w:sz="4" w:space="0" w:color="auto"/>
            </w:tcBorders>
            <w:noWrap/>
            <w:vAlign w:val="bottom"/>
          </w:tcPr>
          <w:p w:rsidR="00BE0E73" w:rsidRPr="001779EA" w:rsidRDefault="00275EBC" w:rsidP="00FD7ED7">
            <w:pPr>
              <w:keepNext/>
              <w:keepLines/>
              <w:widowControl w:val="0"/>
              <w:jc w:val="center"/>
              <w:rPr>
                <w:rFonts w:ascii="Arial Narrow" w:hAnsi="Arial Narrow" w:cs="Calibri"/>
                <w:color w:val="000000"/>
                <w:sz w:val="20"/>
                <w:szCs w:val="20"/>
              </w:rPr>
            </w:pPr>
            <w:r w:rsidRPr="001779EA">
              <w:rPr>
                <w:rFonts w:ascii="Arial Narrow" w:hAnsi="Arial Narrow" w:cs="Calibri"/>
                <w:color w:val="000000"/>
                <w:sz w:val="20"/>
                <w:szCs w:val="20"/>
              </w:rPr>
              <w:t>0.32</w:t>
            </w:r>
          </w:p>
        </w:tc>
        <w:tc>
          <w:tcPr>
            <w:tcW w:w="743" w:type="pct"/>
            <w:tcBorders>
              <w:top w:val="nil"/>
              <w:left w:val="nil"/>
              <w:bottom w:val="single" w:sz="4" w:space="0" w:color="auto"/>
              <w:right w:val="single" w:sz="4" w:space="0" w:color="auto"/>
            </w:tcBorders>
            <w:noWrap/>
            <w:vAlign w:val="bottom"/>
          </w:tcPr>
          <w:p w:rsidR="00BE0E73" w:rsidRPr="001779EA" w:rsidRDefault="00275EBC" w:rsidP="00FD7ED7">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F11283" w:rsidRPr="001779EA" w:rsidTr="00FD7ED7">
        <w:trPr>
          <w:cantSplit/>
          <w:trHeight w:val="20"/>
        </w:trPr>
        <w:tc>
          <w:tcPr>
            <w:tcW w:w="2770" w:type="pct"/>
            <w:tcBorders>
              <w:top w:val="single" w:sz="4" w:space="0" w:color="auto"/>
              <w:left w:val="single" w:sz="4" w:space="0" w:color="auto"/>
              <w:bottom w:val="single" w:sz="4" w:space="0" w:color="auto"/>
              <w:right w:val="single" w:sz="4" w:space="0" w:color="auto"/>
            </w:tcBorders>
            <w:vAlign w:val="center"/>
            <w:hideMark/>
          </w:tcPr>
          <w:p w:rsidR="00F11283" w:rsidRPr="001779EA" w:rsidRDefault="00F11283" w:rsidP="00FD7ED7">
            <w:pPr>
              <w:keepNext/>
              <w:keepLines/>
              <w:widowControl w:val="0"/>
              <w:snapToGrid w:val="0"/>
              <w:jc w:val="left"/>
              <w:rPr>
                <w:rFonts w:ascii="Arial Narrow" w:hAnsi="Arial Narrow" w:cs="Calibri"/>
                <w:iCs/>
                <w:sz w:val="20"/>
                <w:szCs w:val="20"/>
              </w:rPr>
            </w:pPr>
            <w:r w:rsidRPr="001779EA">
              <w:rPr>
                <w:rFonts w:ascii="Arial Narrow" w:hAnsi="Arial Narrow" w:cs="Calibri"/>
                <w:iCs/>
                <w:sz w:val="20"/>
                <w:szCs w:val="20"/>
              </w:rPr>
              <w:t>Non-PH model using best statistical fit and TTD (FALCON)</w:t>
            </w:r>
          </w:p>
        </w:tc>
        <w:tc>
          <w:tcPr>
            <w:tcW w:w="743" w:type="pct"/>
            <w:tcBorders>
              <w:top w:val="single" w:sz="4" w:space="0" w:color="auto"/>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single" w:sz="4" w:space="0" w:color="auto"/>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0.03</w:t>
            </w:r>
          </w:p>
        </w:tc>
        <w:tc>
          <w:tcPr>
            <w:tcW w:w="743" w:type="pct"/>
            <w:tcBorders>
              <w:top w:val="single" w:sz="4" w:space="0" w:color="auto"/>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r w:rsidRPr="001779EA">
              <w:rPr>
                <w:rFonts w:ascii="Arial Narrow" w:hAnsi="Arial Narrow" w:cs="Calibri"/>
                <w:iCs/>
                <w:color w:val="000000"/>
                <w:sz w:val="20"/>
                <w:szCs w:val="20"/>
              </w:rPr>
              <w:t xml:space="preserve"> </w:t>
            </w:r>
          </w:p>
        </w:tc>
      </w:tr>
      <w:tr w:rsidR="00F11283" w:rsidRPr="001779EA" w:rsidTr="00170373">
        <w:trPr>
          <w:cantSplit/>
          <w:trHeight w:val="20"/>
        </w:trPr>
        <w:tc>
          <w:tcPr>
            <w:tcW w:w="2770" w:type="pct"/>
            <w:tcBorders>
              <w:top w:val="nil"/>
              <w:left w:val="single" w:sz="4" w:space="0" w:color="auto"/>
              <w:bottom w:val="single" w:sz="4" w:space="0" w:color="auto"/>
              <w:right w:val="single" w:sz="4" w:space="0" w:color="auto"/>
            </w:tcBorders>
            <w:vAlign w:val="center"/>
            <w:hideMark/>
          </w:tcPr>
          <w:p w:rsidR="00F11283" w:rsidRPr="001779EA" w:rsidRDefault="00F11283" w:rsidP="00FD7ED7">
            <w:pPr>
              <w:keepNext/>
              <w:keepLines/>
              <w:widowControl w:val="0"/>
              <w:snapToGrid w:val="0"/>
              <w:jc w:val="left"/>
              <w:rPr>
                <w:rFonts w:ascii="Arial Narrow" w:hAnsi="Arial Narrow" w:cs="Calibri"/>
                <w:iCs/>
                <w:sz w:val="20"/>
                <w:szCs w:val="20"/>
              </w:rPr>
            </w:pPr>
            <w:r w:rsidRPr="001779EA">
              <w:rPr>
                <w:rFonts w:ascii="Arial Narrow" w:hAnsi="Arial Narrow" w:cs="Calibri"/>
                <w:iCs/>
                <w:sz w:val="20"/>
                <w:szCs w:val="20"/>
              </w:rPr>
              <w:t>Non-PH model using best statistical fit (FALCON)</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0.03</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F11283" w:rsidRPr="001779EA" w:rsidTr="00170373">
        <w:trPr>
          <w:cantSplit/>
          <w:trHeight w:val="20"/>
        </w:trPr>
        <w:tc>
          <w:tcPr>
            <w:tcW w:w="2770" w:type="pct"/>
            <w:tcBorders>
              <w:top w:val="nil"/>
              <w:left w:val="single" w:sz="4" w:space="0" w:color="auto"/>
              <w:bottom w:val="single" w:sz="4" w:space="0" w:color="auto"/>
              <w:right w:val="single" w:sz="4" w:space="0" w:color="auto"/>
            </w:tcBorders>
            <w:vAlign w:val="center"/>
            <w:hideMark/>
          </w:tcPr>
          <w:p w:rsidR="00F11283" w:rsidRPr="001779EA" w:rsidRDefault="00F11283" w:rsidP="00FD7ED7">
            <w:pPr>
              <w:keepNext/>
              <w:keepLines/>
              <w:widowControl w:val="0"/>
              <w:snapToGrid w:val="0"/>
              <w:jc w:val="left"/>
              <w:rPr>
                <w:rFonts w:ascii="Arial Narrow" w:hAnsi="Arial Narrow" w:cs="Calibri"/>
                <w:iCs/>
                <w:sz w:val="20"/>
                <w:szCs w:val="20"/>
              </w:rPr>
            </w:pPr>
            <w:r w:rsidRPr="001779EA">
              <w:rPr>
                <w:rFonts w:ascii="Arial Narrow" w:hAnsi="Arial Narrow" w:cs="Calibri"/>
                <w:iCs/>
                <w:sz w:val="20"/>
                <w:szCs w:val="20"/>
              </w:rPr>
              <w:t>PH model using best statistical fit and TTD (FALCON)</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0.18</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F11283" w:rsidRPr="001779EA" w:rsidTr="004C3904">
        <w:trPr>
          <w:cantSplit/>
          <w:trHeight w:val="20"/>
        </w:trPr>
        <w:tc>
          <w:tcPr>
            <w:tcW w:w="2770" w:type="pct"/>
            <w:tcBorders>
              <w:top w:val="nil"/>
              <w:left w:val="single" w:sz="4" w:space="0" w:color="auto"/>
              <w:bottom w:val="single" w:sz="4" w:space="0" w:color="auto"/>
              <w:right w:val="single" w:sz="4" w:space="0" w:color="auto"/>
            </w:tcBorders>
            <w:vAlign w:val="center"/>
            <w:hideMark/>
          </w:tcPr>
          <w:p w:rsidR="00F11283" w:rsidRPr="001779EA" w:rsidRDefault="00F11283" w:rsidP="00FD7ED7">
            <w:pPr>
              <w:keepNext/>
              <w:keepLines/>
              <w:widowControl w:val="0"/>
              <w:snapToGrid w:val="0"/>
              <w:jc w:val="left"/>
              <w:rPr>
                <w:rFonts w:ascii="Arial Narrow" w:hAnsi="Arial Narrow" w:cs="Calibri"/>
                <w:iCs/>
                <w:sz w:val="20"/>
                <w:szCs w:val="20"/>
              </w:rPr>
            </w:pPr>
            <w:r w:rsidRPr="001779EA">
              <w:rPr>
                <w:rFonts w:ascii="Arial Narrow" w:hAnsi="Arial Narrow" w:cs="Calibri"/>
                <w:iCs/>
                <w:sz w:val="20"/>
                <w:szCs w:val="20"/>
              </w:rPr>
              <w:t>PH model using best statistical fit (FALCON)</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0.18</w:t>
            </w:r>
          </w:p>
        </w:tc>
        <w:tc>
          <w:tcPr>
            <w:tcW w:w="743" w:type="pct"/>
            <w:tcBorders>
              <w:top w:val="nil"/>
              <w:left w:val="nil"/>
              <w:bottom w:val="single" w:sz="4" w:space="0" w:color="auto"/>
              <w:right w:val="single" w:sz="4" w:space="0" w:color="auto"/>
            </w:tcBorders>
            <w:noWrap/>
            <w:vAlign w:val="bottom"/>
            <w:hideMark/>
          </w:tcPr>
          <w:p w:rsidR="00F11283" w:rsidRPr="001779EA" w:rsidRDefault="00F11283"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4C3904" w:rsidRPr="001779EA" w:rsidTr="005C3C68">
        <w:trPr>
          <w:cantSplit/>
          <w:trHeight w:val="20"/>
        </w:trPr>
        <w:tc>
          <w:tcPr>
            <w:tcW w:w="1" w:type="pct"/>
            <w:gridSpan w:val="4"/>
            <w:tcBorders>
              <w:top w:val="single" w:sz="4" w:space="0" w:color="auto"/>
              <w:left w:val="single" w:sz="4" w:space="0" w:color="auto"/>
              <w:bottom w:val="single" w:sz="4" w:space="0" w:color="auto"/>
              <w:right w:val="single" w:sz="4" w:space="0" w:color="auto"/>
            </w:tcBorders>
            <w:vAlign w:val="center"/>
          </w:tcPr>
          <w:p w:rsidR="004C3904" w:rsidRPr="001779EA" w:rsidRDefault="004C3904" w:rsidP="004C3904">
            <w:pPr>
              <w:keepNext/>
              <w:keepLines/>
              <w:widowControl w:val="0"/>
              <w:jc w:val="left"/>
              <w:rPr>
                <w:rFonts w:ascii="Arial Narrow" w:hAnsi="Arial Narrow" w:cs="Calibri"/>
                <w:b/>
                <w:iCs/>
                <w:color w:val="000000"/>
                <w:sz w:val="20"/>
                <w:szCs w:val="20"/>
              </w:rPr>
            </w:pPr>
            <w:r w:rsidRPr="001779EA">
              <w:rPr>
                <w:rFonts w:ascii="Arial Narrow" w:hAnsi="Arial Narrow" w:cs="Calibri"/>
                <w:b/>
                <w:iCs/>
                <w:color w:val="000000"/>
                <w:sz w:val="20"/>
                <w:szCs w:val="20"/>
              </w:rPr>
              <w:t>Multivariate sensitivity analysis</w:t>
            </w:r>
          </w:p>
        </w:tc>
      </w:tr>
      <w:tr w:rsidR="004C3904" w:rsidRPr="001779EA" w:rsidTr="004C3904">
        <w:trPr>
          <w:cantSplit/>
          <w:trHeight w:val="20"/>
        </w:trPr>
        <w:tc>
          <w:tcPr>
            <w:tcW w:w="2770" w:type="pct"/>
            <w:tcBorders>
              <w:top w:val="single" w:sz="4" w:space="0" w:color="auto"/>
              <w:left w:val="single" w:sz="4" w:space="0" w:color="auto"/>
              <w:bottom w:val="single" w:sz="4" w:space="0" w:color="auto"/>
              <w:right w:val="single" w:sz="4" w:space="0" w:color="auto"/>
            </w:tcBorders>
            <w:vAlign w:val="center"/>
          </w:tcPr>
          <w:p w:rsidR="004C3904" w:rsidRPr="001779EA" w:rsidRDefault="004C3904" w:rsidP="00FD7ED7">
            <w:pPr>
              <w:keepNext/>
              <w:keepLines/>
              <w:widowControl w:val="0"/>
              <w:snapToGrid w:val="0"/>
              <w:jc w:val="left"/>
              <w:rPr>
                <w:rFonts w:ascii="Arial Narrow" w:hAnsi="Arial Narrow" w:cs="Calibri"/>
                <w:sz w:val="20"/>
                <w:szCs w:val="20"/>
              </w:rPr>
            </w:pPr>
            <w:r w:rsidRPr="001779EA">
              <w:rPr>
                <w:rFonts w:ascii="Arial Narrow" w:hAnsi="Arial Narrow" w:cs="Calibri"/>
                <w:sz w:val="20"/>
                <w:szCs w:val="20"/>
              </w:rPr>
              <w:t>PH model (using OS HR of 0.82); PLUS</w:t>
            </w:r>
          </w:p>
          <w:p w:rsidR="004C3904" w:rsidRPr="001779EA" w:rsidRDefault="004C3904" w:rsidP="00FD7ED7">
            <w:pPr>
              <w:keepNext/>
              <w:keepLines/>
              <w:widowControl w:val="0"/>
              <w:snapToGrid w:val="0"/>
              <w:jc w:val="left"/>
              <w:rPr>
                <w:rFonts w:ascii="Arial Narrow" w:hAnsi="Arial Narrow" w:cs="Calibri"/>
                <w:iCs/>
                <w:sz w:val="20"/>
                <w:szCs w:val="20"/>
              </w:rPr>
            </w:pPr>
            <w:r w:rsidRPr="001779EA">
              <w:rPr>
                <w:rFonts w:ascii="Arial Narrow" w:hAnsi="Arial Narrow" w:cs="Calibri"/>
                <w:sz w:val="20"/>
                <w:szCs w:val="20"/>
              </w:rPr>
              <w:t>TTD</w:t>
            </w:r>
            <w:r w:rsidR="00BE0E73" w:rsidRPr="001779EA">
              <w:rPr>
                <w:rFonts w:ascii="Arial Narrow" w:hAnsi="Arial Narrow" w:cs="Calibri"/>
                <w:sz w:val="20"/>
                <w:szCs w:val="20"/>
              </w:rPr>
              <w:t xml:space="preserve"> based on trial</w:t>
            </w:r>
          </w:p>
        </w:tc>
        <w:tc>
          <w:tcPr>
            <w:tcW w:w="743" w:type="pct"/>
            <w:tcBorders>
              <w:top w:val="single" w:sz="4" w:space="0" w:color="auto"/>
              <w:left w:val="nil"/>
              <w:bottom w:val="single" w:sz="4" w:space="0" w:color="auto"/>
              <w:right w:val="single" w:sz="4" w:space="0" w:color="auto"/>
            </w:tcBorders>
            <w:noWrap/>
            <w:vAlign w:val="bottom"/>
          </w:tcPr>
          <w:p w:rsidR="004C3904" w:rsidRPr="001779EA" w:rsidRDefault="00275EBC" w:rsidP="00275EBC">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single" w:sz="4" w:space="0" w:color="auto"/>
              <w:left w:val="nil"/>
              <w:bottom w:val="single" w:sz="4" w:space="0" w:color="auto"/>
              <w:right w:val="single" w:sz="4" w:space="0" w:color="auto"/>
            </w:tcBorders>
            <w:noWrap/>
            <w:vAlign w:val="bottom"/>
          </w:tcPr>
          <w:p w:rsidR="004C3904" w:rsidRPr="001779EA" w:rsidRDefault="00275EBC"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0.32</w:t>
            </w:r>
          </w:p>
        </w:tc>
        <w:tc>
          <w:tcPr>
            <w:tcW w:w="743" w:type="pct"/>
            <w:tcBorders>
              <w:top w:val="single" w:sz="4" w:space="0" w:color="auto"/>
              <w:left w:val="nil"/>
              <w:bottom w:val="single" w:sz="4" w:space="0" w:color="auto"/>
              <w:right w:val="single" w:sz="4" w:space="0" w:color="auto"/>
            </w:tcBorders>
            <w:noWrap/>
            <w:vAlign w:val="bottom"/>
          </w:tcPr>
          <w:p w:rsidR="004C3904" w:rsidRPr="001779EA" w:rsidRDefault="00275EBC" w:rsidP="00275EBC">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r w:rsidR="00BE0E73" w:rsidRPr="001779EA" w:rsidTr="004C3904">
        <w:trPr>
          <w:cantSplit/>
          <w:trHeight w:val="20"/>
        </w:trPr>
        <w:tc>
          <w:tcPr>
            <w:tcW w:w="2770" w:type="pct"/>
            <w:tcBorders>
              <w:top w:val="single" w:sz="4" w:space="0" w:color="auto"/>
              <w:left w:val="single" w:sz="4" w:space="0" w:color="auto"/>
              <w:bottom w:val="single" w:sz="4" w:space="0" w:color="auto"/>
              <w:right w:val="single" w:sz="4" w:space="0" w:color="auto"/>
            </w:tcBorders>
            <w:vAlign w:val="center"/>
          </w:tcPr>
          <w:p w:rsidR="00BE0E73" w:rsidRPr="001779EA" w:rsidRDefault="00BE0E73" w:rsidP="00BE0E73">
            <w:pPr>
              <w:keepNext/>
              <w:keepLines/>
              <w:widowControl w:val="0"/>
              <w:snapToGrid w:val="0"/>
              <w:jc w:val="left"/>
              <w:rPr>
                <w:rFonts w:ascii="Arial Narrow" w:hAnsi="Arial Narrow" w:cs="Calibri"/>
                <w:sz w:val="20"/>
                <w:szCs w:val="20"/>
              </w:rPr>
            </w:pPr>
            <w:r w:rsidRPr="001779EA">
              <w:rPr>
                <w:rFonts w:ascii="Arial Narrow" w:hAnsi="Arial Narrow" w:cs="Calibri"/>
                <w:sz w:val="20"/>
                <w:szCs w:val="20"/>
              </w:rPr>
              <w:t>PH model (using OS HR of 0.82); PLUS</w:t>
            </w:r>
          </w:p>
          <w:p w:rsidR="00BE0E73" w:rsidRPr="001779EA" w:rsidRDefault="00BE0E73" w:rsidP="00BE0E73">
            <w:pPr>
              <w:keepNext/>
              <w:keepLines/>
              <w:widowControl w:val="0"/>
              <w:snapToGrid w:val="0"/>
              <w:jc w:val="left"/>
              <w:rPr>
                <w:rFonts w:ascii="Arial Narrow" w:hAnsi="Arial Narrow" w:cs="Calibri"/>
                <w:sz w:val="20"/>
                <w:szCs w:val="20"/>
              </w:rPr>
            </w:pPr>
            <w:r w:rsidRPr="001779EA">
              <w:rPr>
                <w:rFonts w:ascii="Arial Narrow" w:hAnsi="Arial Narrow" w:cs="Calibri"/>
                <w:sz w:val="20"/>
                <w:szCs w:val="20"/>
              </w:rPr>
              <w:t>Time horizon of 7 years, PLUS</w:t>
            </w:r>
          </w:p>
          <w:p w:rsidR="00BE0E73" w:rsidRPr="001779EA" w:rsidRDefault="00BE0E73" w:rsidP="00BE0E73">
            <w:pPr>
              <w:keepNext/>
              <w:keepLines/>
              <w:widowControl w:val="0"/>
              <w:snapToGrid w:val="0"/>
              <w:jc w:val="left"/>
              <w:rPr>
                <w:rFonts w:ascii="Arial Narrow" w:hAnsi="Arial Narrow" w:cs="Calibri"/>
                <w:sz w:val="20"/>
                <w:szCs w:val="20"/>
              </w:rPr>
            </w:pPr>
            <w:r w:rsidRPr="001779EA">
              <w:rPr>
                <w:rFonts w:ascii="Arial Narrow" w:hAnsi="Arial Narrow" w:cs="Calibri"/>
                <w:sz w:val="20"/>
                <w:szCs w:val="20"/>
              </w:rPr>
              <w:t>TTD based on trial</w:t>
            </w:r>
          </w:p>
        </w:tc>
        <w:tc>
          <w:tcPr>
            <w:tcW w:w="743" w:type="pct"/>
            <w:tcBorders>
              <w:top w:val="single" w:sz="4" w:space="0" w:color="auto"/>
              <w:left w:val="nil"/>
              <w:bottom w:val="single" w:sz="4" w:space="0" w:color="auto"/>
              <w:right w:val="single" w:sz="4" w:space="0" w:color="auto"/>
            </w:tcBorders>
            <w:noWrap/>
            <w:vAlign w:val="bottom"/>
          </w:tcPr>
          <w:p w:rsidR="00BE0E73" w:rsidRPr="001779EA" w:rsidRDefault="00275EBC"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c>
          <w:tcPr>
            <w:tcW w:w="744" w:type="pct"/>
            <w:tcBorders>
              <w:top w:val="single" w:sz="4" w:space="0" w:color="auto"/>
              <w:left w:val="nil"/>
              <w:bottom w:val="single" w:sz="4" w:space="0" w:color="auto"/>
              <w:right w:val="single" w:sz="4" w:space="0" w:color="auto"/>
            </w:tcBorders>
            <w:noWrap/>
            <w:vAlign w:val="bottom"/>
          </w:tcPr>
          <w:p w:rsidR="00BE0E73" w:rsidRPr="001779EA" w:rsidRDefault="00275EBC"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0.24</w:t>
            </w:r>
          </w:p>
        </w:tc>
        <w:tc>
          <w:tcPr>
            <w:tcW w:w="743" w:type="pct"/>
            <w:tcBorders>
              <w:top w:val="single" w:sz="4" w:space="0" w:color="auto"/>
              <w:left w:val="nil"/>
              <w:bottom w:val="single" w:sz="4" w:space="0" w:color="auto"/>
              <w:right w:val="single" w:sz="4" w:space="0" w:color="auto"/>
            </w:tcBorders>
            <w:noWrap/>
            <w:vAlign w:val="bottom"/>
          </w:tcPr>
          <w:p w:rsidR="00BE0E73" w:rsidRPr="001779EA" w:rsidRDefault="00275EBC" w:rsidP="00F11283">
            <w:pPr>
              <w:keepNext/>
              <w:keepLines/>
              <w:widowControl w:val="0"/>
              <w:jc w:val="center"/>
              <w:rPr>
                <w:rFonts w:ascii="Arial Narrow" w:hAnsi="Arial Narrow" w:cs="Calibri"/>
                <w:iCs/>
                <w:color w:val="000000"/>
                <w:sz w:val="20"/>
                <w:szCs w:val="20"/>
              </w:rPr>
            </w:pPr>
            <w:r w:rsidRPr="001779EA">
              <w:rPr>
                <w:rFonts w:ascii="Arial Narrow" w:hAnsi="Arial Narrow" w:cs="Calibri"/>
                <w:iCs/>
                <w:color w:val="000000"/>
                <w:sz w:val="20"/>
                <w:szCs w:val="20"/>
              </w:rPr>
              <w:t>$</w:t>
            </w:r>
            <w:r w:rsidR="00D728FC">
              <w:rPr>
                <w:rFonts w:ascii="Arial Narrow" w:hAnsi="Arial Narrow" w:cs="Calibri"/>
                <w:iCs/>
                <w:noProof/>
                <w:color w:val="000000"/>
                <w:sz w:val="20"/>
                <w:szCs w:val="20"/>
                <w:highlight w:val="black"/>
              </w:rPr>
              <w:t>''''''''''''''''</w:t>
            </w:r>
          </w:p>
        </w:tc>
      </w:tr>
    </w:tbl>
    <w:p w:rsidR="00E43E9A" w:rsidRPr="001779EA" w:rsidRDefault="00E43E9A" w:rsidP="00F11283">
      <w:pPr>
        <w:pStyle w:val="TableFigureFooter"/>
        <w:keepNext/>
        <w:keepLines/>
      </w:pPr>
      <w:r w:rsidRPr="001779EA">
        <w:t>Source: Table 3-25, pp214-216 of the submission. Conducted during the evaluation.</w:t>
      </w:r>
    </w:p>
    <w:p w:rsidR="00E43E9A" w:rsidRPr="001779EA" w:rsidRDefault="00E43E9A" w:rsidP="00F11283">
      <w:pPr>
        <w:pStyle w:val="TableFigureFooter"/>
        <w:keepNext/>
        <w:keepLines/>
      </w:pPr>
      <w:r w:rsidRPr="001779EA">
        <w:t>ICER = incremental cost-effectiveness ratio; MMRM = mixed models with repeated measurements; OS = overall survival; PFS = progression free survival; PH = proportional hazards; QALY = quality-adjusted life-year; TTD = time to treatment discontinuation.</w:t>
      </w:r>
    </w:p>
    <w:p w:rsidR="00E43E9A" w:rsidRDefault="00E43E9A" w:rsidP="00E43E9A">
      <w:pPr>
        <w:pStyle w:val="TableFigureFooter"/>
      </w:pPr>
    </w:p>
    <w:p w:rsidR="00D05CDC" w:rsidRPr="00D05CDC" w:rsidRDefault="00D05CDC" w:rsidP="00E43E9A">
      <w:pPr>
        <w:pStyle w:val="TableFigureFooter"/>
        <w:rPr>
          <w:rFonts w:asciiTheme="minorHAnsi" w:hAnsiTheme="minorHAnsi" w:cstheme="minorHAnsi"/>
          <w:i/>
          <w:sz w:val="24"/>
          <w:szCs w:val="24"/>
        </w:rPr>
      </w:pPr>
      <w:r>
        <w:rPr>
          <w:rFonts w:asciiTheme="minorHAnsi" w:hAnsiTheme="minorHAnsi" w:cstheme="minorHAnsi"/>
          <w:i/>
          <w:sz w:val="24"/>
          <w:szCs w:val="24"/>
        </w:rPr>
        <w:t xml:space="preserve">The redacted table shows ICERs in the range of $55,000 to &lt; $75,000 per QALY, to $555,000 to $655,000 per QALY. </w:t>
      </w:r>
    </w:p>
    <w:p w:rsidR="00AF7894" w:rsidRPr="001779EA" w:rsidRDefault="00AF7894" w:rsidP="00AF7894">
      <w:pPr>
        <w:pStyle w:val="3-BodyText"/>
        <w:snapToGrid w:val="0"/>
      </w:pPr>
      <w:r w:rsidRPr="001779EA">
        <w:t>The ESC considered that the base case ICER appear</w:t>
      </w:r>
      <w:r w:rsidR="005C3C68" w:rsidRPr="001779EA">
        <w:t>ed</w:t>
      </w:r>
      <w:r w:rsidRPr="001779EA">
        <w:t xml:space="preserve"> to </w:t>
      </w:r>
      <w:r w:rsidR="005C3C68" w:rsidRPr="001779EA">
        <w:t xml:space="preserve">have </w:t>
      </w:r>
      <w:r w:rsidRPr="001779EA">
        <w:t>be</w:t>
      </w:r>
      <w:r w:rsidR="005C3C68" w:rsidRPr="001779EA">
        <w:t>en</w:t>
      </w:r>
      <w:r w:rsidRPr="001779EA">
        <w:t xml:space="preserve"> underestimated for the following reasons:</w:t>
      </w:r>
    </w:p>
    <w:p w:rsidR="00926CA3" w:rsidRPr="001779EA" w:rsidRDefault="00AF7894" w:rsidP="007C1855">
      <w:pPr>
        <w:pStyle w:val="3-BodyText"/>
        <w:numPr>
          <w:ilvl w:val="0"/>
          <w:numId w:val="13"/>
        </w:numPr>
        <w:snapToGrid w:val="0"/>
      </w:pPr>
      <w:r w:rsidRPr="001779EA">
        <w:t>The FALCON trial is more applicable to the requested population</w:t>
      </w:r>
      <w:r w:rsidR="00926CA3" w:rsidRPr="001779EA">
        <w:t>.</w:t>
      </w:r>
      <w:r w:rsidR="00926CA3" w:rsidRPr="001779EA">
        <w:rPr>
          <w:iCs/>
        </w:rPr>
        <w:t xml:space="preserve"> The ICER was </w:t>
      </w:r>
      <w:r w:rsidR="00926CA3" w:rsidRPr="00AC4EC5">
        <w:rPr>
          <w:iCs/>
        </w:rPr>
        <w:t>greater than $100,000 per QALY</w:t>
      </w:r>
      <w:r w:rsidR="00926CA3" w:rsidRPr="001779EA">
        <w:rPr>
          <w:iCs/>
        </w:rPr>
        <w:t xml:space="preserve"> for all reasonable scenario analyses that used clinical data only from FALCON.</w:t>
      </w:r>
    </w:p>
    <w:p w:rsidR="00926CA3" w:rsidRPr="001779EA" w:rsidRDefault="0047189B" w:rsidP="007C1855">
      <w:pPr>
        <w:pStyle w:val="3-BodyText"/>
        <w:numPr>
          <w:ilvl w:val="0"/>
          <w:numId w:val="13"/>
        </w:numPr>
        <w:snapToGrid w:val="0"/>
      </w:pPr>
      <w:r w:rsidRPr="001779EA">
        <w:t>The median follow-up in FALCON was 13.8 months (in the fulvestrant arm), at which point 69% of patients were still alive. The extrapolation of relatively immature trial data to 10 years increased the inherent uncertainty in the model. The ESC considered that the 10 year time horizon may be too long, given the lack of high quality, long term data available and given that the HR for OS hazard ratio in FALCON was not statistically significant (HR: 0.875 (95% CI: 0.629, 1.217)).</w:t>
      </w:r>
      <w:r w:rsidRPr="001779EA" w:rsidDel="00926CA3">
        <w:t xml:space="preserve"> </w:t>
      </w:r>
    </w:p>
    <w:p w:rsidR="00AF7894" w:rsidRPr="001779EA" w:rsidRDefault="00AF7894" w:rsidP="007C1855">
      <w:pPr>
        <w:pStyle w:val="3-BodyText"/>
        <w:numPr>
          <w:ilvl w:val="0"/>
          <w:numId w:val="13"/>
        </w:numPr>
        <w:snapToGrid w:val="0"/>
      </w:pPr>
      <w:r w:rsidRPr="001779EA">
        <w:t xml:space="preserve">The ICER was highly sensitive to the approaches used to estimate PFS and OS. The base-case model used the non-proportional hazards model and data from the meta-analysis of FALCON and FIRST and did not use the best statistical fit for extrapolating PFS. </w:t>
      </w:r>
    </w:p>
    <w:p w:rsidR="00AF7894" w:rsidRPr="001779EA" w:rsidRDefault="00AF7894" w:rsidP="007C1855">
      <w:pPr>
        <w:pStyle w:val="3-BodyText"/>
        <w:numPr>
          <w:ilvl w:val="1"/>
          <w:numId w:val="13"/>
        </w:numPr>
        <w:snapToGrid w:val="0"/>
      </w:pPr>
      <w:r w:rsidRPr="001779EA">
        <w:t>Selecting the non-proportional hazards model and using FALCON data, the best statistical fit and TTD, the ICER increased from $</w:t>
      </w:r>
      <w:r w:rsidR="00D05CDC">
        <w:t>55,000 to &lt; $75,000 per QALY</w:t>
      </w:r>
      <w:r w:rsidRPr="001779EA">
        <w:t xml:space="preserve"> to $</w:t>
      </w:r>
      <w:r w:rsidR="00D05CDC">
        <w:t>555,000 to &lt; $655,000</w:t>
      </w:r>
      <w:r w:rsidRPr="001779EA">
        <w:t xml:space="preserve"> per QALY.</w:t>
      </w:r>
    </w:p>
    <w:p w:rsidR="00AF7894" w:rsidRPr="001779EA" w:rsidRDefault="00AF7894" w:rsidP="007C1855">
      <w:pPr>
        <w:pStyle w:val="3-BodyText"/>
        <w:numPr>
          <w:ilvl w:val="1"/>
          <w:numId w:val="13"/>
        </w:numPr>
        <w:snapToGrid w:val="0"/>
      </w:pPr>
      <w:r w:rsidRPr="001779EA">
        <w:lastRenderedPageBreak/>
        <w:t>Selecting the proportional hazards model and using FALCON data, the best statistical fit and TTD the ICER increased from $</w:t>
      </w:r>
      <w:r w:rsidR="004C411E">
        <w:t>55,000 to &lt; $75,000 per QALY</w:t>
      </w:r>
      <w:r w:rsidRPr="001779EA">
        <w:t xml:space="preserve"> to $</w:t>
      </w:r>
      <w:r w:rsidR="004C411E">
        <w:t>95,000 to &lt; $115,000</w:t>
      </w:r>
      <w:r w:rsidRPr="001779EA">
        <w:t xml:space="preserve"> per QALY.</w:t>
      </w:r>
      <w:r w:rsidR="00F76456" w:rsidRPr="001779EA">
        <w:t xml:space="preserve"> The ESC considered the proportional hazards model, using FALCON and the best statistical fit</w:t>
      </w:r>
      <w:r w:rsidR="00330CE3" w:rsidRPr="001779EA">
        <w:t xml:space="preserve"> (with or without TTD)</w:t>
      </w:r>
      <w:r w:rsidR="00F76456" w:rsidRPr="001779EA">
        <w:t xml:space="preserve"> was the most reasonable approach.</w:t>
      </w:r>
    </w:p>
    <w:p w:rsidR="00E43E9A" w:rsidRPr="001779EA" w:rsidRDefault="00E43E9A" w:rsidP="00E43E9A">
      <w:pPr>
        <w:pStyle w:val="4-SubsectionHeading"/>
      </w:pPr>
      <w:bookmarkStart w:id="50" w:name="_Toc40935324"/>
      <w:r w:rsidRPr="001779EA">
        <w:t>Economic analysis (second-line)</w:t>
      </w:r>
      <w:bookmarkEnd w:id="50"/>
    </w:p>
    <w:p w:rsidR="00E43E9A" w:rsidRPr="001779EA" w:rsidRDefault="00E43E9A" w:rsidP="00E43E9A">
      <w:pPr>
        <w:pStyle w:val="3-BodyText"/>
        <w:snapToGrid w:val="0"/>
        <w:rPr>
          <w:bCs/>
        </w:rPr>
      </w:pPr>
      <w:r w:rsidRPr="001779EA">
        <w:rPr>
          <w:bCs/>
        </w:rPr>
        <w:t xml:space="preserve">The submission presented a cost-minimisation analysis </w:t>
      </w:r>
      <w:r w:rsidRPr="001779EA">
        <w:t xml:space="preserve">comparing fulvestrant to </w:t>
      </w:r>
      <w:r w:rsidR="00B10DD2" w:rsidRPr="001779EA">
        <w:t>EVE+EXE</w:t>
      </w:r>
      <w:r w:rsidRPr="001779EA">
        <w:t xml:space="preserve"> as second-line treatment for HR+ HER2- advanced breast cancer. </w:t>
      </w:r>
    </w:p>
    <w:p w:rsidR="00E43E9A" w:rsidRPr="001779EA" w:rsidRDefault="00B10DD2" w:rsidP="00E43E9A">
      <w:pPr>
        <w:pStyle w:val="3-BodyText"/>
        <w:snapToGrid w:val="0"/>
      </w:pPr>
      <w:r w:rsidRPr="001779EA">
        <w:rPr>
          <w:iCs/>
        </w:rPr>
        <w:t>The ESC considered the clinical claim of non-inferiority was not supported by the evidence and t</w:t>
      </w:r>
      <w:r w:rsidR="00E43E9A" w:rsidRPr="001779EA">
        <w:rPr>
          <w:iCs/>
        </w:rPr>
        <w:t xml:space="preserve">herefore, a cost-minimisation analysis </w:t>
      </w:r>
      <w:r w:rsidR="00DD7FC2" w:rsidRPr="001779EA">
        <w:rPr>
          <w:iCs/>
        </w:rPr>
        <w:t xml:space="preserve">was unlikely </w:t>
      </w:r>
      <w:r w:rsidR="00F524B7" w:rsidRPr="001779EA">
        <w:rPr>
          <w:iCs/>
        </w:rPr>
        <w:t>to be</w:t>
      </w:r>
      <w:r w:rsidR="00E43E9A" w:rsidRPr="001779EA">
        <w:rPr>
          <w:iCs/>
        </w:rPr>
        <w:t xml:space="preserve"> appropriate. </w:t>
      </w:r>
    </w:p>
    <w:p w:rsidR="00B10DD2" w:rsidRPr="001779EA" w:rsidRDefault="0016254B" w:rsidP="00E43E9A">
      <w:pPr>
        <w:pStyle w:val="3-BodyText"/>
        <w:snapToGrid w:val="0"/>
      </w:pPr>
      <w:r w:rsidRPr="001779EA">
        <w:rPr>
          <w:iCs/>
        </w:rPr>
        <w:t>The ESC also considered</w:t>
      </w:r>
      <w:r w:rsidR="00B10DD2" w:rsidRPr="001779EA">
        <w:rPr>
          <w:iCs/>
        </w:rPr>
        <w:t xml:space="preserve"> that other treatment options are available in the second/subsequent-line setting</w:t>
      </w:r>
      <w:r w:rsidR="008226D4" w:rsidRPr="001779EA">
        <w:rPr>
          <w:iCs/>
        </w:rPr>
        <w:t xml:space="preserve"> (e.g. tamoxifen and capecitabine)</w:t>
      </w:r>
      <w:r w:rsidR="00B10DD2" w:rsidRPr="001779EA">
        <w:rPr>
          <w:iCs/>
        </w:rPr>
        <w:t xml:space="preserve">, and therefore </w:t>
      </w:r>
      <w:r w:rsidRPr="001779EA">
        <w:rPr>
          <w:iCs/>
        </w:rPr>
        <w:t xml:space="preserve">a </w:t>
      </w:r>
      <w:r w:rsidR="00B10DD2" w:rsidRPr="001779EA">
        <w:rPr>
          <w:iCs/>
        </w:rPr>
        <w:t xml:space="preserve">cost-minimisation </w:t>
      </w:r>
      <w:r w:rsidRPr="001779EA">
        <w:rPr>
          <w:iCs/>
        </w:rPr>
        <w:t>analysis versus</w:t>
      </w:r>
      <w:r w:rsidR="00B10DD2" w:rsidRPr="001779EA">
        <w:rPr>
          <w:iCs/>
        </w:rPr>
        <w:t xml:space="preserve"> EVE+EXE may not be appropriate. </w:t>
      </w:r>
    </w:p>
    <w:p w:rsidR="004D0300" w:rsidRPr="001779EA" w:rsidRDefault="00E43E9A" w:rsidP="00E43E9A">
      <w:pPr>
        <w:pStyle w:val="3-BodyText"/>
        <w:snapToGrid w:val="0"/>
      </w:pPr>
      <w:r w:rsidRPr="001779EA">
        <w:t xml:space="preserve">The proposed equi-effective doses were based on the dose frequency and median duration of treatment in the pivotal clinical trials (CONFIRM and BOLERO-2). The </w:t>
      </w:r>
      <w:r w:rsidR="004D0300" w:rsidRPr="001779EA">
        <w:t xml:space="preserve">submission estimated the </w:t>
      </w:r>
      <w:r w:rsidRPr="001779EA">
        <w:t>equi-effective doses as</w:t>
      </w:r>
      <w:r w:rsidR="004D0300" w:rsidRPr="001779EA">
        <w:t>:</w:t>
      </w:r>
    </w:p>
    <w:p w:rsidR="004D0300" w:rsidRPr="001779EA" w:rsidRDefault="00E43E9A" w:rsidP="004D0300">
      <w:pPr>
        <w:pStyle w:val="Bulletpoints"/>
        <w:ind w:left="1134" w:hanging="283"/>
      </w:pPr>
      <w:r w:rsidRPr="001779EA">
        <w:t>fulvestrant 500 mg per month over 5.70 months</w:t>
      </w:r>
      <w:r w:rsidR="004D0300" w:rsidRPr="001779EA">
        <w:t xml:space="preserve"> plus an additional loading dose of fulvestrant in the first month</w:t>
      </w:r>
      <w:r w:rsidRPr="001779EA">
        <w:t xml:space="preserve">, </w:t>
      </w:r>
      <w:r w:rsidR="004D0300" w:rsidRPr="001779EA">
        <w:t>is equivalent to</w:t>
      </w:r>
    </w:p>
    <w:p w:rsidR="00E43E9A" w:rsidRPr="001779EA" w:rsidRDefault="00E43E9A" w:rsidP="004D0300">
      <w:pPr>
        <w:pStyle w:val="Bulletpoints"/>
        <w:ind w:left="1134" w:hanging="283"/>
      </w:pPr>
      <w:r w:rsidRPr="001779EA">
        <w:t xml:space="preserve">everolimus 8.6 mg daily over 5.50 months </w:t>
      </w:r>
      <w:r w:rsidR="004D0300" w:rsidRPr="001779EA">
        <w:t>plus</w:t>
      </w:r>
      <w:r w:rsidRPr="001779EA">
        <w:t xml:space="preserve"> exemestane 25 mg daily over 6.78 months. </w:t>
      </w:r>
    </w:p>
    <w:p w:rsidR="00E43E9A" w:rsidRPr="001779EA" w:rsidRDefault="00E43E9A" w:rsidP="00E43E9A">
      <w:pPr>
        <w:pStyle w:val="3-BodyText"/>
        <w:snapToGrid w:val="0"/>
      </w:pPr>
      <w:r w:rsidRPr="001779EA">
        <w:t xml:space="preserve">The submission included </w:t>
      </w:r>
      <w:r w:rsidR="008226D4" w:rsidRPr="001779EA">
        <w:t xml:space="preserve">the </w:t>
      </w:r>
      <w:r w:rsidRPr="001779EA">
        <w:t>cost of administration and costs of adverse events. Table 1</w:t>
      </w:r>
      <w:r w:rsidR="00382635" w:rsidRPr="001779EA">
        <w:t>7</w:t>
      </w:r>
      <w:r w:rsidRPr="001779EA">
        <w:t xml:space="preserve"> presents the results of the cost-minimisation analysis.</w:t>
      </w:r>
    </w:p>
    <w:p w:rsidR="00E43E9A" w:rsidRPr="001779EA" w:rsidRDefault="00E43E9A" w:rsidP="00107F9F">
      <w:pPr>
        <w:keepNext/>
        <w:keepLines/>
        <w:jc w:val="left"/>
        <w:rPr>
          <w:rFonts w:ascii="Arial Narrow" w:eastAsiaTheme="majorEastAsia" w:hAnsi="Arial Narrow" w:cstheme="majorBidi"/>
          <w:b/>
          <w:bCs/>
          <w:sz w:val="20"/>
          <w:szCs w:val="16"/>
        </w:rPr>
      </w:pPr>
      <w:r w:rsidRPr="001779EA">
        <w:rPr>
          <w:rFonts w:ascii="Arial Narrow" w:eastAsiaTheme="majorEastAsia" w:hAnsi="Arial Narrow" w:cstheme="majorBidi"/>
          <w:b/>
          <w:bCs/>
          <w:sz w:val="20"/>
          <w:szCs w:val="16"/>
        </w:rPr>
        <w:lastRenderedPageBreak/>
        <w:t>Table 1</w:t>
      </w:r>
      <w:r w:rsidR="00382635" w:rsidRPr="001779EA">
        <w:rPr>
          <w:rFonts w:ascii="Arial Narrow" w:eastAsiaTheme="majorEastAsia" w:hAnsi="Arial Narrow" w:cstheme="majorBidi"/>
          <w:b/>
          <w:bCs/>
          <w:sz w:val="20"/>
          <w:szCs w:val="16"/>
        </w:rPr>
        <w:t>7</w:t>
      </w:r>
      <w:r w:rsidRPr="001779EA">
        <w:rPr>
          <w:rFonts w:ascii="Arial Narrow" w:eastAsiaTheme="majorEastAsia" w:hAnsi="Arial Narrow" w:cstheme="majorBidi"/>
          <w:b/>
          <w:bCs/>
          <w:sz w:val="20"/>
          <w:szCs w:val="16"/>
        </w:rPr>
        <w:t>: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701"/>
        <w:gridCol w:w="1416"/>
        <w:gridCol w:w="1652"/>
      </w:tblGrid>
      <w:tr w:rsidR="00E43E9A" w:rsidRPr="001779EA" w:rsidTr="00A628F6">
        <w:tc>
          <w:tcPr>
            <w:tcW w:w="2356" w:type="pct"/>
            <w:vMerge w:val="restar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b/>
                <w:sz w:val="20"/>
              </w:rPr>
            </w:pPr>
            <w:r w:rsidRPr="001779EA">
              <w:rPr>
                <w:rFonts w:ascii="Arial Narrow" w:eastAsiaTheme="majorEastAsia" w:hAnsi="Arial Narrow" w:cs="Times New Roman"/>
                <w:b/>
                <w:sz w:val="20"/>
              </w:rPr>
              <w:t>Component</w:t>
            </w:r>
          </w:p>
        </w:tc>
        <w:tc>
          <w:tcPr>
            <w:tcW w:w="943" w:type="pct"/>
            <w:vMerge w:val="restar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center"/>
              <w:rPr>
                <w:rFonts w:ascii="Arial Narrow" w:eastAsiaTheme="majorEastAsia" w:hAnsi="Arial Narrow" w:cs="Times New Roman"/>
                <w:b/>
                <w:sz w:val="20"/>
              </w:rPr>
            </w:pPr>
            <w:r w:rsidRPr="001779EA">
              <w:rPr>
                <w:rFonts w:ascii="Arial Narrow" w:eastAsiaTheme="majorEastAsia" w:hAnsi="Arial Narrow" w:cs="Times New Roman"/>
                <w:b/>
                <w:sz w:val="20"/>
              </w:rPr>
              <w:t>Fulvestrant</w:t>
            </w:r>
          </w:p>
        </w:tc>
        <w:tc>
          <w:tcPr>
            <w:tcW w:w="1701" w:type="pct"/>
            <w:gridSpan w:val="2"/>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center"/>
              <w:rPr>
                <w:rFonts w:ascii="Arial Narrow" w:eastAsiaTheme="majorEastAsia" w:hAnsi="Arial Narrow" w:cs="Times New Roman"/>
                <w:b/>
                <w:sz w:val="20"/>
              </w:rPr>
            </w:pPr>
            <w:r w:rsidRPr="001779EA">
              <w:rPr>
                <w:rFonts w:ascii="Arial Narrow" w:eastAsiaTheme="majorEastAsia" w:hAnsi="Arial Narrow" w:cs="Times New Roman"/>
                <w:b/>
                <w:sz w:val="20"/>
              </w:rPr>
              <w:t>EVE + EXE</w:t>
            </w:r>
          </w:p>
        </w:tc>
      </w:tr>
      <w:tr w:rsidR="00E43E9A" w:rsidRPr="001779EA" w:rsidTr="00A628F6">
        <w:tc>
          <w:tcPr>
            <w:tcW w:w="2356" w:type="pct"/>
            <w:vMerge/>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107F9F">
            <w:pPr>
              <w:keepNext/>
              <w:keepLines/>
              <w:jc w:val="left"/>
              <w:rPr>
                <w:rFonts w:ascii="Arial Narrow" w:eastAsiaTheme="majorEastAsia" w:hAnsi="Arial Narrow" w:cs="Times New Roman"/>
                <w:b/>
                <w:sz w:val="20"/>
              </w:rPr>
            </w:pPr>
          </w:p>
        </w:tc>
        <w:tc>
          <w:tcPr>
            <w:tcW w:w="943" w:type="pct"/>
            <w:vMerge/>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107F9F">
            <w:pPr>
              <w:keepNext/>
              <w:keepLines/>
              <w:jc w:val="left"/>
              <w:rPr>
                <w:rFonts w:ascii="Arial Narrow" w:eastAsiaTheme="majorEastAsia" w:hAnsi="Arial Narrow" w:cs="Times New Roman"/>
                <w:b/>
                <w:sz w:val="20"/>
              </w:rPr>
            </w:pPr>
          </w:p>
        </w:tc>
        <w:tc>
          <w:tcPr>
            <w:tcW w:w="785"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center"/>
              <w:rPr>
                <w:rFonts w:ascii="Arial Narrow" w:eastAsiaTheme="majorEastAsia" w:hAnsi="Arial Narrow" w:cs="Times New Roman"/>
                <w:b/>
                <w:sz w:val="20"/>
              </w:rPr>
            </w:pPr>
            <w:r w:rsidRPr="001779EA">
              <w:rPr>
                <w:rFonts w:ascii="Arial Narrow" w:eastAsiaTheme="majorEastAsia" w:hAnsi="Arial Narrow" w:cs="Times New Roman"/>
                <w:b/>
                <w:sz w:val="20"/>
              </w:rPr>
              <w:t>EVE</w:t>
            </w:r>
          </w:p>
        </w:tc>
        <w:tc>
          <w:tcPr>
            <w:tcW w:w="91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center"/>
              <w:rPr>
                <w:rFonts w:ascii="Arial Narrow" w:eastAsiaTheme="majorEastAsia" w:hAnsi="Arial Narrow" w:cs="Times New Roman"/>
                <w:b/>
                <w:sz w:val="20"/>
              </w:rPr>
            </w:pPr>
            <w:r w:rsidRPr="001779EA">
              <w:rPr>
                <w:rFonts w:ascii="Arial Narrow" w:eastAsiaTheme="majorEastAsia" w:hAnsi="Arial Narrow" w:cs="Times New Roman"/>
                <w:b/>
                <w:sz w:val="20"/>
              </w:rPr>
              <w:t>EXE</w:t>
            </w:r>
          </w:p>
        </w:tc>
      </w:tr>
      <w:tr w:rsidR="00E43E9A" w:rsidRPr="001779EA" w:rsidTr="00E43E9A">
        <w:tc>
          <w:tcPr>
            <w:tcW w:w="5000" w:type="pct"/>
            <w:gridSpan w:val="4"/>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b/>
                <w:sz w:val="20"/>
              </w:rPr>
            </w:pPr>
            <w:r w:rsidRPr="001779EA">
              <w:rPr>
                <w:rFonts w:ascii="Arial Narrow" w:eastAsiaTheme="majorEastAsia" w:hAnsi="Arial Narrow" w:cs="Times New Roman"/>
                <w:b/>
                <w:sz w:val="20"/>
              </w:rPr>
              <w:t xml:space="preserve">Medicine costs </w:t>
            </w: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sz w:val="20"/>
              </w:rPr>
            </w:pPr>
            <w:r w:rsidRPr="001779EA">
              <w:rPr>
                <w:rFonts w:ascii="Arial Narrow" w:eastAsiaTheme="majorEastAsia" w:hAnsi="Arial Narrow" w:cs="Times New Roman"/>
                <w:sz w:val="20"/>
              </w:rPr>
              <w:t>PBS item</w:t>
            </w:r>
          </w:p>
        </w:tc>
        <w:tc>
          <w:tcPr>
            <w:tcW w:w="943"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imes New Roman"/>
                <w:sz w:val="20"/>
              </w:rPr>
            </w:pPr>
            <w:r w:rsidRPr="001779EA">
              <w:rPr>
                <w:rFonts w:ascii="Arial Narrow" w:hAnsi="Arial Narrow" w:cs="Calibri"/>
                <w:color w:val="000000"/>
                <w:sz w:val="20"/>
                <w:szCs w:val="20"/>
              </w:rPr>
              <w:t>N/A</w:t>
            </w:r>
          </w:p>
        </w:tc>
        <w:tc>
          <w:tcPr>
            <w:tcW w:w="785"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2985D</w:t>
            </w:r>
          </w:p>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2819J</w:t>
            </w:r>
          </w:p>
        </w:tc>
        <w:tc>
          <w:tcPr>
            <w:tcW w:w="916" w:type="pct"/>
            <w:tcBorders>
              <w:top w:val="nil"/>
              <w:left w:val="nil"/>
              <w:bottom w:val="single" w:sz="4" w:space="0" w:color="auto"/>
              <w:right w:val="single" w:sz="4" w:space="0" w:color="auto"/>
            </w:tcBorders>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10103R</w:t>
            </w:r>
          </w:p>
        </w:tc>
      </w:tr>
      <w:tr w:rsidR="00E43E9A" w:rsidRPr="001779EA" w:rsidTr="00A628F6">
        <w:tc>
          <w:tcPr>
            <w:tcW w:w="2356" w:type="pct"/>
            <w:vMerge w:val="restar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sz w:val="20"/>
                <w:vertAlign w:val="superscript"/>
              </w:rPr>
            </w:pPr>
            <w:r w:rsidRPr="001779EA">
              <w:rPr>
                <w:rFonts w:ascii="Arial Narrow" w:eastAsiaTheme="majorEastAsia" w:hAnsi="Arial Narrow" w:cs="Times New Roman"/>
                <w:sz w:val="20"/>
              </w:rPr>
              <w:t xml:space="preserve">DPMQ </w:t>
            </w:r>
            <w:r w:rsidRPr="001779EA">
              <w:rPr>
                <w:rFonts w:ascii="Arial Narrow" w:eastAsiaTheme="majorEastAsia" w:hAnsi="Arial Narrow" w:cs="Times New Roman"/>
                <w:sz w:val="20"/>
                <w:vertAlign w:val="superscript"/>
              </w:rPr>
              <w:t>b</w:t>
            </w:r>
            <w:r w:rsidR="00DE29D2" w:rsidRPr="001779EA">
              <w:rPr>
                <w:rFonts w:ascii="Arial Narrow" w:eastAsiaTheme="majorEastAsia" w:hAnsi="Arial Narrow" w:cs="Times New Roman"/>
                <w:sz w:val="20"/>
                <w:vertAlign w:val="superscript"/>
              </w:rPr>
              <w:t xml:space="preserve"> </w:t>
            </w:r>
          </w:p>
        </w:tc>
        <w:tc>
          <w:tcPr>
            <w:tcW w:w="943" w:type="pct"/>
            <w:tcBorders>
              <w:top w:val="single" w:sz="4" w:space="0" w:color="auto"/>
              <w:left w:val="nil"/>
              <w:bottom w:val="nil"/>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imes New Roman"/>
                <w:sz w:val="20"/>
                <w:vertAlign w:val="superscript"/>
              </w:rPr>
            </w:pPr>
            <w:r w:rsidRPr="001779EA">
              <w:rPr>
                <w:rFonts w:ascii="Arial Narrow" w:eastAsiaTheme="majorEastAsia" w:hAnsi="Arial Narrow" w:cs="Times New Roman"/>
                <w:sz w:val="20"/>
              </w:rPr>
              <w:t>$</w:t>
            </w:r>
            <w:r w:rsidR="00D728FC">
              <w:rPr>
                <w:rFonts w:ascii="Arial Narrow" w:eastAsiaTheme="majorEastAsia" w:hAnsi="Arial Narrow" w:cs="Times New Roman"/>
                <w:noProof/>
                <w:color w:val="000000"/>
                <w:sz w:val="20"/>
                <w:highlight w:val="black"/>
              </w:rPr>
              <w:t>''''''''''</w:t>
            </w:r>
            <w:r w:rsidRPr="001779EA">
              <w:rPr>
                <w:rFonts w:ascii="Arial Narrow" w:eastAsiaTheme="majorEastAsia" w:hAnsi="Arial Narrow" w:cs="Times New Roman"/>
                <w:sz w:val="20"/>
                <w:vertAlign w:val="superscript"/>
              </w:rPr>
              <w:t>a</w:t>
            </w:r>
          </w:p>
        </w:tc>
        <w:tc>
          <w:tcPr>
            <w:tcW w:w="785" w:type="pct"/>
            <w:tcBorders>
              <w:top w:val="single" w:sz="4" w:space="0" w:color="auto"/>
              <w:left w:val="nil"/>
              <w:bottom w:val="nil"/>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imes New Roman"/>
                <w:sz w:val="20"/>
              </w:rPr>
            </w:pPr>
            <w:r w:rsidRPr="001779EA">
              <w:rPr>
                <w:rFonts w:ascii="Arial Narrow" w:hAnsi="Arial Narrow" w:cs="Calibri"/>
                <w:color w:val="000000"/>
                <w:sz w:val="20"/>
                <w:szCs w:val="20"/>
              </w:rPr>
              <w:t>$1,727 (10</w:t>
            </w:r>
            <w:r w:rsidR="00E67164" w:rsidRPr="001779EA">
              <w:rPr>
                <w:rFonts w:ascii="Arial Narrow" w:hAnsi="Arial Narrow" w:cs="Calibri"/>
                <w:color w:val="000000"/>
                <w:sz w:val="20"/>
                <w:szCs w:val="20"/>
              </w:rPr>
              <w:t xml:space="preserve"> </w:t>
            </w:r>
            <w:r w:rsidRPr="001779EA">
              <w:rPr>
                <w:rFonts w:ascii="Arial Narrow" w:hAnsi="Arial Narrow" w:cs="Calibri"/>
                <w:color w:val="000000"/>
                <w:sz w:val="20"/>
                <w:szCs w:val="20"/>
              </w:rPr>
              <w:t>mg)</w:t>
            </w:r>
          </w:p>
        </w:tc>
        <w:tc>
          <w:tcPr>
            <w:tcW w:w="916" w:type="pct"/>
            <w:vMerge w:val="restart"/>
            <w:tcBorders>
              <w:top w:val="single" w:sz="4" w:space="0" w:color="auto"/>
              <w:left w:val="nil"/>
              <w:bottom w:val="single" w:sz="4" w:space="0" w:color="auto"/>
              <w:right w:val="single" w:sz="4" w:space="0" w:color="auto"/>
            </w:tcBorders>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$67</w:t>
            </w:r>
          </w:p>
        </w:tc>
      </w:tr>
      <w:tr w:rsidR="00E43E9A" w:rsidRPr="001779EA" w:rsidTr="00A628F6">
        <w:tc>
          <w:tcPr>
            <w:tcW w:w="2356" w:type="pct"/>
            <w:vMerge/>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107F9F">
            <w:pPr>
              <w:keepNext/>
              <w:keepLines/>
              <w:jc w:val="left"/>
              <w:rPr>
                <w:rFonts w:ascii="Arial Narrow" w:eastAsiaTheme="majorEastAsia" w:hAnsi="Arial Narrow" w:cs="Times New Roman"/>
                <w:sz w:val="20"/>
                <w:vertAlign w:val="superscript"/>
              </w:rPr>
            </w:pPr>
          </w:p>
        </w:tc>
        <w:tc>
          <w:tcPr>
            <w:tcW w:w="943" w:type="pct"/>
            <w:tcBorders>
              <w:top w:val="nil"/>
              <w:left w:val="nil"/>
              <w:bottom w:val="single" w:sz="4" w:space="0" w:color="auto"/>
              <w:right w:val="single" w:sz="4" w:space="0" w:color="auto"/>
            </w:tcBorders>
            <w:vAlign w:val="bottom"/>
          </w:tcPr>
          <w:p w:rsidR="00E43E9A" w:rsidRPr="001779EA" w:rsidRDefault="00E43E9A" w:rsidP="00107F9F">
            <w:pPr>
              <w:keepNext/>
              <w:keepLines/>
              <w:jc w:val="center"/>
              <w:rPr>
                <w:rFonts w:ascii="Arial Narrow" w:hAnsi="Arial Narrow" w:cs="Calibri"/>
                <w:color w:val="000000"/>
                <w:sz w:val="20"/>
                <w:szCs w:val="20"/>
              </w:rPr>
            </w:pPr>
          </w:p>
        </w:tc>
        <w:tc>
          <w:tcPr>
            <w:tcW w:w="785"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eastAsiaTheme="majorEastAsia" w:hAnsi="Arial Narrow" w:cs="Times New Roman"/>
                <w:sz w:val="20"/>
              </w:rPr>
              <w:t>$892 (5</w:t>
            </w:r>
            <w:r w:rsidR="00E67164" w:rsidRPr="001779EA">
              <w:rPr>
                <w:rFonts w:ascii="Arial Narrow" w:eastAsiaTheme="majorEastAsia" w:hAnsi="Arial Narrow" w:cs="Times New Roman"/>
                <w:sz w:val="20"/>
              </w:rPr>
              <w:t xml:space="preserve"> </w:t>
            </w:r>
            <w:r w:rsidRPr="001779EA">
              <w:rPr>
                <w:rFonts w:ascii="Arial Narrow" w:eastAsiaTheme="majorEastAsia" w:hAnsi="Arial Narrow" w:cs="Times New Roman"/>
                <w:sz w:val="20"/>
              </w:rPr>
              <w:t>mg)</w:t>
            </w:r>
          </w:p>
        </w:tc>
        <w:tc>
          <w:tcPr>
            <w:tcW w:w="916" w:type="pct"/>
            <w:vMerge/>
            <w:tcBorders>
              <w:top w:val="single" w:sz="4" w:space="0" w:color="auto"/>
              <w:left w:val="nil"/>
              <w:bottom w:val="single" w:sz="4" w:space="0" w:color="auto"/>
              <w:right w:val="single" w:sz="4" w:space="0" w:color="auto"/>
            </w:tcBorders>
            <w:vAlign w:val="center"/>
            <w:hideMark/>
          </w:tcPr>
          <w:p w:rsidR="00E43E9A" w:rsidRPr="001779EA" w:rsidRDefault="00E43E9A" w:rsidP="00107F9F">
            <w:pPr>
              <w:keepNext/>
              <w:keepLines/>
              <w:jc w:val="left"/>
              <w:rPr>
                <w:rFonts w:ascii="Arial Narrow" w:hAnsi="Arial Narrow" w:cs="Calibri"/>
                <w:color w:val="000000"/>
                <w:sz w:val="20"/>
                <w:szCs w:val="20"/>
              </w:rPr>
            </w:pP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sz w:val="20"/>
              </w:rPr>
            </w:pPr>
            <w:r w:rsidRPr="001779EA">
              <w:rPr>
                <w:rFonts w:ascii="Arial Narrow" w:eastAsiaTheme="majorEastAsia" w:hAnsi="Arial Narrow" w:cs="Times New Roman"/>
                <w:sz w:val="20"/>
              </w:rPr>
              <w:t>Duration of treatment*</w:t>
            </w:r>
          </w:p>
        </w:tc>
        <w:tc>
          <w:tcPr>
            <w:tcW w:w="943"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imes New Roman"/>
                <w:sz w:val="20"/>
              </w:rPr>
            </w:pPr>
            <w:r w:rsidRPr="001779EA">
              <w:rPr>
                <w:rFonts w:ascii="Arial Narrow" w:hAnsi="Arial Narrow" w:cs="Calibri"/>
                <w:color w:val="000000"/>
                <w:sz w:val="20"/>
                <w:szCs w:val="20"/>
              </w:rPr>
              <w:t>5.7 months</w:t>
            </w:r>
          </w:p>
        </w:tc>
        <w:tc>
          <w:tcPr>
            <w:tcW w:w="785"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imes New Roman"/>
                <w:sz w:val="20"/>
              </w:rPr>
            </w:pPr>
            <w:r w:rsidRPr="001779EA">
              <w:rPr>
                <w:rFonts w:ascii="Arial Narrow" w:hAnsi="Arial Narrow" w:cs="Calibri"/>
                <w:color w:val="000000"/>
                <w:sz w:val="20"/>
                <w:szCs w:val="20"/>
              </w:rPr>
              <w:t>5.50 months</w:t>
            </w:r>
          </w:p>
        </w:tc>
        <w:tc>
          <w:tcPr>
            <w:tcW w:w="916" w:type="pct"/>
            <w:tcBorders>
              <w:top w:val="single" w:sz="4" w:space="0" w:color="auto"/>
              <w:left w:val="nil"/>
              <w:bottom w:val="single" w:sz="4" w:space="0" w:color="auto"/>
              <w:right w:val="single" w:sz="4" w:space="0" w:color="auto"/>
            </w:tcBorders>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6.78 months</w:t>
            </w: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sz w:val="20"/>
              </w:rPr>
            </w:pPr>
            <w:r w:rsidRPr="001779EA">
              <w:rPr>
                <w:rFonts w:ascii="Arial Narrow" w:eastAsiaTheme="majorEastAsia" w:hAnsi="Arial Narrow" w:cs="Times New Roman"/>
                <w:sz w:val="20"/>
              </w:rPr>
              <w:t>Packs per course of treatment</w:t>
            </w:r>
          </w:p>
        </w:tc>
        <w:tc>
          <w:tcPr>
            <w:tcW w:w="943"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6.70</w:t>
            </w:r>
          </w:p>
        </w:tc>
        <w:tc>
          <w:tcPr>
            <w:tcW w:w="785"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5.58</w:t>
            </w:r>
          </w:p>
        </w:tc>
        <w:tc>
          <w:tcPr>
            <w:tcW w:w="916" w:type="pct"/>
            <w:tcBorders>
              <w:top w:val="single" w:sz="4" w:space="0" w:color="auto"/>
              <w:left w:val="nil"/>
              <w:bottom w:val="single" w:sz="4" w:space="0" w:color="auto"/>
              <w:right w:val="single" w:sz="4" w:space="0" w:color="auto"/>
            </w:tcBorders>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6.88</w:t>
            </w:r>
          </w:p>
        </w:tc>
      </w:tr>
      <w:tr w:rsidR="00E43E9A" w:rsidRPr="001779EA" w:rsidTr="00A628F6">
        <w:tc>
          <w:tcPr>
            <w:tcW w:w="2356" w:type="pct"/>
            <w:vMerge w:val="restar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b/>
                <w:sz w:val="20"/>
              </w:rPr>
            </w:pPr>
            <w:r w:rsidRPr="001779EA">
              <w:rPr>
                <w:rFonts w:ascii="Arial Narrow" w:eastAsiaTheme="majorEastAsia" w:hAnsi="Arial Narrow" w:cs="Times New Roman"/>
                <w:b/>
                <w:sz w:val="20"/>
              </w:rPr>
              <w:t>Total cost per course of treatment</w:t>
            </w:r>
          </w:p>
        </w:tc>
        <w:tc>
          <w:tcPr>
            <w:tcW w:w="943" w:type="pct"/>
            <w:vMerge w:val="restar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imes New Roman"/>
                <w:sz w:val="20"/>
              </w:rPr>
            </w:pPr>
            <w:r w:rsidRPr="001779EA">
              <w:rPr>
                <w:rFonts w:ascii="Arial Narrow" w:eastAsiaTheme="majorEastAsia" w:hAnsi="Arial Narrow" w:cstheme="majorBidi"/>
                <w:b/>
                <w:bCs/>
                <w:sz w:val="20"/>
              </w:rPr>
              <w:t>$</w:t>
            </w:r>
            <w:r w:rsidR="00D728FC">
              <w:rPr>
                <w:rFonts w:ascii="Arial Narrow" w:eastAsiaTheme="majorEastAsia" w:hAnsi="Arial Narrow" w:cstheme="majorBidi"/>
                <w:b/>
                <w:bCs/>
                <w:noProof/>
                <w:color w:val="000000"/>
                <w:sz w:val="20"/>
                <w:highlight w:val="black"/>
              </w:rPr>
              <w:t>'''''''''''</w:t>
            </w:r>
          </w:p>
        </w:tc>
        <w:tc>
          <w:tcPr>
            <w:tcW w:w="785"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imes New Roman"/>
                <w:sz w:val="20"/>
              </w:rPr>
            </w:pPr>
            <w:r w:rsidRPr="001779EA">
              <w:rPr>
                <w:rFonts w:ascii="Arial Narrow" w:hAnsi="Arial Narrow" w:cs="Calibri"/>
                <w:color w:val="000000"/>
                <w:sz w:val="20"/>
                <w:szCs w:val="20"/>
              </w:rPr>
              <w:t>$8,325.68</w:t>
            </w:r>
          </w:p>
        </w:tc>
        <w:tc>
          <w:tcPr>
            <w:tcW w:w="916" w:type="pct"/>
            <w:tcBorders>
              <w:top w:val="single" w:sz="4" w:space="0" w:color="auto"/>
              <w:left w:val="nil"/>
              <w:bottom w:val="single" w:sz="4" w:space="0" w:color="auto"/>
              <w:right w:val="single" w:sz="4" w:space="0" w:color="auto"/>
            </w:tcBorders>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$461.05</w:t>
            </w:r>
          </w:p>
        </w:tc>
      </w:tr>
      <w:tr w:rsidR="00E43E9A" w:rsidRPr="001779EA" w:rsidTr="00A628F6">
        <w:tc>
          <w:tcPr>
            <w:tcW w:w="2356" w:type="pct"/>
            <w:vMerge/>
            <w:tcBorders>
              <w:top w:val="single" w:sz="4" w:space="0" w:color="auto"/>
              <w:left w:val="single" w:sz="4" w:space="0" w:color="auto"/>
              <w:bottom w:val="single" w:sz="4" w:space="0" w:color="auto"/>
              <w:right w:val="single" w:sz="4" w:space="0" w:color="auto"/>
            </w:tcBorders>
            <w:vAlign w:val="center"/>
            <w:hideMark/>
          </w:tcPr>
          <w:p w:rsidR="00E43E9A" w:rsidRPr="001779EA" w:rsidRDefault="00E43E9A" w:rsidP="00107F9F">
            <w:pPr>
              <w:keepNext/>
              <w:keepLines/>
              <w:jc w:val="left"/>
              <w:rPr>
                <w:rFonts w:ascii="Arial Narrow" w:eastAsiaTheme="majorEastAsia" w:hAnsi="Arial Narrow" w:cs="Times New Roman"/>
                <w:b/>
                <w:sz w:val="20"/>
              </w:rPr>
            </w:pPr>
          </w:p>
        </w:tc>
        <w:tc>
          <w:tcPr>
            <w:tcW w:w="943" w:type="pct"/>
            <w:vMerge/>
            <w:tcBorders>
              <w:top w:val="nil"/>
              <w:left w:val="nil"/>
              <w:bottom w:val="single" w:sz="4" w:space="0" w:color="auto"/>
              <w:right w:val="single" w:sz="4" w:space="0" w:color="auto"/>
            </w:tcBorders>
            <w:vAlign w:val="center"/>
            <w:hideMark/>
          </w:tcPr>
          <w:p w:rsidR="00E43E9A" w:rsidRPr="001779EA" w:rsidRDefault="00E43E9A" w:rsidP="00107F9F">
            <w:pPr>
              <w:keepNext/>
              <w:keepLines/>
              <w:jc w:val="left"/>
              <w:rPr>
                <w:rFonts w:ascii="Arial Narrow" w:eastAsiaTheme="majorEastAsia" w:hAnsi="Arial Narrow" w:cs="Times New Roman"/>
                <w:sz w:val="20"/>
              </w:rPr>
            </w:pPr>
          </w:p>
        </w:tc>
        <w:tc>
          <w:tcPr>
            <w:tcW w:w="1701" w:type="pct"/>
            <w:gridSpan w:val="2"/>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eastAsiaTheme="majorEastAsia" w:hAnsi="Arial Narrow" w:cstheme="majorBidi"/>
                <w:b/>
                <w:bCs/>
                <w:sz w:val="20"/>
              </w:rPr>
            </w:pPr>
            <w:r w:rsidRPr="001779EA">
              <w:rPr>
                <w:rFonts w:ascii="Arial Narrow" w:eastAsiaTheme="majorEastAsia" w:hAnsi="Arial Narrow" w:cstheme="majorBidi"/>
                <w:b/>
                <w:bCs/>
                <w:sz w:val="20"/>
              </w:rPr>
              <w:t>$8,787</w:t>
            </w:r>
          </w:p>
        </w:tc>
      </w:tr>
      <w:tr w:rsidR="00E43E9A" w:rsidRPr="001779EA" w:rsidTr="00E43E9A">
        <w:tc>
          <w:tcPr>
            <w:tcW w:w="5000" w:type="pct"/>
            <w:gridSpan w:val="4"/>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hAnsi="Arial Narrow" w:cs="Calibri"/>
                <w:b/>
                <w:color w:val="000000"/>
                <w:sz w:val="20"/>
                <w:szCs w:val="20"/>
              </w:rPr>
            </w:pPr>
            <w:r w:rsidRPr="001779EA">
              <w:rPr>
                <w:rFonts w:ascii="Arial Narrow" w:hAnsi="Arial Narrow" w:cs="Calibri"/>
                <w:b/>
                <w:color w:val="000000"/>
                <w:sz w:val="20"/>
                <w:szCs w:val="20"/>
              </w:rPr>
              <w:t xml:space="preserve">Additional costs </w:t>
            </w: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sz w:val="20"/>
                <w:vertAlign w:val="superscript"/>
              </w:rPr>
            </w:pPr>
            <w:r w:rsidRPr="001779EA">
              <w:rPr>
                <w:rFonts w:ascii="Arial Narrow" w:eastAsiaTheme="majorEastAsia" w:hAnsi="Arial Narrow" w:cs="Times New Roman"/>
                <w:sz w:val="20"/>
              </w:rPr>
              <w:t>Administration</w:t>
            </w:r>
            <w:r w:rsidRPr="001779EA">
              <w:rPr>
                <w:rFonts w:ascii="Arial Narrow" w:eastAsiaTheme="majorEastAsia" w:hAnsi="Arial Narrow" w:cs="Times New Roman"/>
                <w:sz w:val="20"/>
                <w:vertAlign w:val="superscript"/>
              </w:rPr>
              <w:t>c</w:t>
            </w:r>
          </w:p>
        </w:tc>
        <w:tc>
          <w:tcPr>
            <w:tcW w:w="943"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$65.33</w:t>
            </w:r>
          </w:p>
        </w:tc>
        <w:tc>
          <w:tcPr>
            <w:tcW w:w="1701" w:type="pct"/>
            <w:gridSpan w:val="2"/>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$0.00</w:t>
            </w: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imes New Roman"/>
                <w:sz w:val="20"/>
                <w:vertAlign w:val="superscript"/>
              </w:rPr>
            </w:pPr>
            <w:r w:rsidRPr="001779EA">
              <w:rPr>
                <w:rFonts w:ascii="Arial Narrow" w:eastAsiaTheme="majorEastAsia" w:hAnsi="Arial Narrow" w:cs="Times New Roman"/>
                <w:sz w:val="20"/>
              </w:rPr>
              <w:t>Adverse events</w:t>
            </w:r>
            <w:r w:rsidRPr="001779EA">
              <w:rPr>
                <w:rFonts w:ascii="Arial Narrow" w:eastAsiaTheme="majorEastAsia" w:hAnsi="Arial Narrow" w:cs="Times New Roman"/>
                <w:sz w:val="20"/>
                <w:vertAlign w:val="superscript"/>
              </w:rPr>
              <w:t>d</w:t>
            </w:r>
          </w:p>
        </w:tc>
        <w:tc>
          <w:tcPr>
            <w:tcW w:w="943" w:type="pct"/>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$0.00</w:t>
            </w:r>
          </w:p>
        </w:tc>
        <w:tc>
          <w:tcPr>
            <w:tcW w:w="1701" w:type="pct"/>
            <w:gridSpan w:val="2"/>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color w:val="000000"/>
                <w:sz w:val="20"/>
                <w:szCs w:val="20"/>
              </w:rPr>
            </w:pPr>
            <w:r w:rsidRPr="001779EA">
              <w:rPr>
                <w:rFonts w:ascii="Arial Narrow" w:hAnsi="Arial Narrow" w:cs="Calibri"/>
                <w:color w:val="000000"/>
                <w:sz w:val="20"/>
                <w:szCs w:val="20"/>
              </w:rPr>
              <w:t>$1,477</w:t>
            </w: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heme="majorBidi"/>
                <w:b/>
                <w:bCs/>
                <w:sz w:val="20"/>
              </w:rPr>
            </w:pPr>
            <w:r w:rsidRPr="001779EA">
              <w:rPr>
                <w:rFonts w:ascii="Arial Narrow" w:eastAsiaTheme="majorEastAsia" w:hAnsi="Arial Narrow" w:cstheme="majorBidi"/>
                <w:b/>
                <w:bCs/>
                <w:sz w:val="20"/>
              </w:rPr>
              <w:t>Total cost per patient</w:t>
            </w:r>
          </w:p>
        </w:tc>
        <w:tc>
          <w:tcPr>
            <w:tcW w:w="943"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center"/>
              <w:rPr>
                <w:rFonts w:ascii="Arial Narrow" w:eastAsiaTheme="majorEastAsia" w:hAnsi="Arial Narrow" w:cstheme="majorBidi"/>
                <w:b/>
                <w:bCs/>
                <w:sz w:val="20"/>
              </w:rPr>
            </w:pPr>
            <w:r w:rsidRPr="001779EA">
              <w:rPr>
                <w:rFonts w:ascii="Arial Narrow" w:eastAsiaTheme="majorEastAsia" w:hAnsi="Arial Narrow" w:cstheme="majorBidi"/>
                <w:b/>
                <w:bCs/>
                <w:sz w:val="20"/>
              </w:rPr>
              <w:t>$</w:t>
            </w:r>
            <w:r w:rsidR="00D728FC">
              <w:rPr>
                <w:rFonts w:ascii="Arial Narrow" w:eastAsiaTheme="majorEastAsia" w:hAnsi="Arial Narrow" w:cstheme="majorBidi"/>
                <w:b/>
                <w:bCs/>
                <w:noProof/>
                <w:color w:val="000000"/>
                <w:sz w:val="20"/>
                <w:highlight w:val="black"/>
              </w:rPr>
              <w:t>''''''''''''</w:t>
            </w:r>
            <w:r w:rsidRPr="001779EA">
              <w:rPr>
                <w:rFonts w:ascii="Arial Narrow" w:eastAsiaTheme="majorEastAsia" w:hAnsi="Arial Narrow" w:cstheme="majorBidi"/>
                <w:b/>
                <w:bCs/>
                <w:sz w:val="20"/>
                <w:vertAlign w:val="superscript"/>
              </w:rPr>
              <w:t>a</w:t>
            </w:r>
          </w:p>
        </w:tc>
        <w:tc>
          <w:tcPr>
            <w:tcW w:w="1701" w:type="pct"/>
            <w:gridSpan w:val="2"/>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center"/>
              <w:rPr>
                <w:rFonts w:ascii="Arial Narrow" w:eastAsiaTheme="majorEastAsia" w:hAnsi="Arial Narrow" w:cstheme="majorBidi"/>
                <w:b/>
                <w:bCs/>
                <w:sz w:val="20"/>
              </w:rPr>
            </w:pPr>
            <w:r w:rsidRPr="001779EA">
              <w:rPr>
                <w:rFonts w:ascii="Arial Narrow" w:eastAsiaTheme="majorEastAsia" w:hAnsi="Arial Narrow" w:cstheme="majorBidi"/>
                <w:b/>
                <w:bCs/>
                <w:sz w:val="20"/>
              </w:rPr>
              <w:t>$10,264</w:t>
            </w: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heme="majorBidi"/>
                <w:b/>
                <w:bCs/>
                <w:sz w:val="20"/>
              </w:rPr>
            </w:pPr>
            <w:r w:rsidRPr="001779EA">
              <w:rPr>
                <w:rFonts w:ascii="Arial Narrow" w:eastAsiaTheme="majorEastAsia" w:hAnsi="Arial Narrow" w:cstheme="majorBidi"/>
                <w:b/>
                <w:bCs/>
                <w:sz w:val="20"/>
              </w:rPr>
              <w:t>Cost saving per patient to PBS</w:t>
            </w:r>
          </w:p>
        </w:tc>
        <w:tc>
          <w:tcPr>
            <w:tcW w:w="2644" w:type="pct"/>
            <w:gridSpan w:val="3"/>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center"/>
              <w:rPr>
                <w:rFonts w:ascii="Arial Narrow" w:eastAsiaTheme="majorEastAsia" w:hAnsi="Arial Narrow" w:cstheme="majorBidi"/>
                <w:b/>
                <w:bCs/>
                <w:sz w:val="20"/>
              </w:rPr>
            </w:pPr>
            <w:r w:rsidRPr="001779EA">
              <w:rPr>
                <w:rFonts w:ascii="Arial Narrow" w:eastAsiaTheme="majorEastAsia" w:hAnsi="Arial Narrow" w:cstheme="majorBidi"/>
                <w:b/>
                <w:bCs/>
                <w:sz w:val="20"/>
              </w:rPr>
              <w:t>$</w:t>
            </w:r>
            <w:r w:rsidR="00D728FC">
              <w:rPr>
                <w:rFonts w:ascii="Arial Narrow" w:eastAsiaTheme="majorEastAsia" w:hAnsi="Arial Narrow" w:cstheme="majorBidi"/>
                <w:b/>
                <w:bCs/>
                <w:noProof/>
                <w:color w:val="000000"/>
                <w:sz w:val="20"/>
                <w:highlight w:val="black"/>
              </w:rPr>
              <w:t>''''''''''''</w:t>
            </w:r>
          </w:p>
        </w:tc>
      </w:tr>
      <w:tr w:rsidR="00E43E9A" w:rsidRPr="001779EA" w:rsidTr="00A628F6">
        <w:tc>
          <w:tcPr>
            <w:tcW w:w="2356" w:type="pct"/>
            <w:tcBorders>
              <w:top w:val="single" w:sz="4" w:space="0" w:color="auto"/>
              <w:left w:val="single" w:sz="4" w:space="0" w:color="auto"/>
              <w:bottom w:val="single" w:sz="4" w:space="0" w:color="auto"/>
              <w:right w:val="single" w:sz="4" w:space="0" w:color="auto"/>
            </w:tcBorders>
            <w:hideMark/>
          </w:tcPr>
          <w:p w:rsidR="00E43E9A" w:rsidRPr="001779EA" w:rsidRDefault="00E43E9A" w:rsidP="00107F9F">
            <w:pPr>
              <w:keepNext/>
              <w:keepLines/>
              <w:jc w:val="left"/>
              <w:rPr>
                <w:rFonts w:ascii="Arial Narrow" w:eastAsiaTheme="majorEastAsia" w:hAnsi="Arial Narrow" w:cstheme="majorBidi"/>
                <w:b/>
                <w:bCs/>
                <w:sz w:val="20"/>
              </w:rPr>
            </w:pPr>
            <w:r w:rsidRPr="001779EA">
              <w:rPr>
                <w:rFonts w:ascii="Arial Narrow" w:eastAsiaTheme="majorEastAsia" w:hAnsi="Arial Narrow" w:cstheme="majorBidi"/>
                <w:b/>
                <w:bCs/>
                <w:sz w:val="20"/>
              </w:rPr>
              <w:t>Overall cost saving per patient (including administration and adverse events)</w:t>
            </w:r>
          </w:p>
        </w:tc>
        <w:tc>
          <w:tcPr>
            <w:tcW w:w="2644" w:type="pct"/>
            <w:gridSpan w:val="3"/>
            <w:tcBorders>
              <w:top w:val="nil"/>
              <w:left w:val="nil"/>
              <w:bottom w:val="single" w:sz="4" w:space="0" w:color="auto"/>
              <w:right w:val="single" w:sz="4" w:space="0" w:color="auto"/>
            </w:tcBorders>
            <w:vAlign w:val="bottom"/>
            <w:hideMark/>
          </w:tcPr>
          <w:p w:rsidR="00E43E9A" w:rsidRPr="001779EA" w:rsidRDefault="00E43E9A" w:rsidP="00107F9F">
            <w:pPr>
              <w:keepNext/>
              <w:keepLines/>
              <w:jc w:val="center"/>
              <w:rPr>
                <w:rFonts w:ascii="Arial Narrow" w:hAnsi="Arial Narrow" w:cs="Calibri"/>
                <w:b/>
                <w:bCs/>
                <w:color w:val="000000"/>
                <w:sz w:val="20"/>
                <w:szCs w:val="20"/>
              </w:rPr>
            </w:pPr>
            <w:r w:rsidRPr="001779EA">
              <w:rPr>
                <w:rFonts w:ascii="Arial Narrow" w:eastAsiaTheme="majorEastAsia" w:hAnsi="Arial Narrow" w:cstheme="majorBidi"/>
                <w:b/>
                <w:bCs/>
                <w:sz w:val="20"/>
              </w:rPr>
              <w:t>$</w:t>
            </w:r>
            <w:r w:rsidR="00D728FC">
              <w:rPr>
                <w:rFonts w:ascii="Arial Narrow" w:eastAsiaTheme="majorEastAsia" w:hAnsi="Arial Narrow" w:cstheme="majorBidi"/>
                <w:b/>
                <w:bCs/>
                <w:noProof/>
                <w:color w:val="000000"/>
                <w:sz w:val="20"/>
                <w:highlight w:val="black"/>
              </w:rPr>
              <w:t>''''''''''</w:t>
            </w:r>
          </w:p>
        </w:tc>
      </w:tr>
    </w:tbl>
    <w:p w:rsidR="00E43E9A" w:rsidRPr="001779EA" w:rsidRDefault="00E43E9A" w:rsidP="00107F9F">
      <w:pPr>
        <w:keepNext/>
        <w:keepLines/>
        <w:spacing w:after="120"/>
        <w:contextualSpacing/>
        <w:rPr>
          <w:rFonts w:ascii="Arial Narrow" w:hAnsi="Arial Narrow"/>
          <w:snapToGrid w:val="0"/>
          <w:sz w:val="18"/>
          <w:szCs w:val="22"/>
        </w:rPr>
      </w:pPr>
      <w:r w:rsidRPr="001779EA">
        <w:rPr>
          <w:rFonts w:ascii="Arial Narrow" w:hAnsi="Arial Narrow"/>
          <w:snapToGrid w:val="0"/>
          <w:sz w:val="18"/>
          <w:szCs w:val="22"/>
        </w:rPr>
        <w:t>Source: Table 3-35 to 3-36, p164-165 of the submission.</w:t>
      </w:r>
    </w:p>
    <w:p w:rsidR="00E43E9A" w:rsidRPr="001779EA" w:rsidRDefault="00E43E9A" w:rsidP="00107F9F">
      <w:pPr>
        <w:keepNext/>
        <w:keepLines/>
        <w:spacing w:after="120"/>
        <w:contextualSpacing/>
        <w:rPr>
          <w:rFonts w:ascii="Arial Narrow" w:hAnsi="Arial Narrow"/>
          <w:snapToGrid w:val="0"/>
          <w:sz w:val="18"/>
          <w:szCs w:val="22"/>
        </w:rPr>
      </w:pPr>
      <w:r w:rsidRPr="001779EA">
        <w:rPr>
          <w:rFonts w:ascii="Arial Narrow" w:hAnsi="Arial Narrow"/>
          <w:snapToGrid w:val="0"/>
          <w:sz w:val="18"/>
          <w:szCs w:val="22"/>
        </w:rPr>
        <w:t>EVE = everolimus; EXE = exemestane</w:t>
      </w:r>
    </w:p>
    <w:p w:rsidR="00E43E9A" w:rsidRPr="001779EA" w:rsidRDefault="00E43E9A" w:rsidP="00107F9F">
      <w:pPr>
        <w:keepNext/>
        <w:keepLines/>
        <w:spacing w:after="120"/>
        <w:contextualSpacing/>
        <w:rPr>
          <w:rFonts w:ascii="Arial Narrow" w:hAnsi="Arial Narrow"/>
          <w:snapToGrid w:val="0"/>
          <w:sz w:val="18"/>
          <w:szCs w:val="22"/>
        </w:rPr>
      </w:pPr>
      <w:r w:rsidRPr="001779EA">
        <w:rPr>
          <w:rFonts w:ascii="Arial Narrow" w:hAnsi="Arial Narrow"/>
          <w:snapToGrid w:val="0"/>
          <w:sz w:val="18"/>
          <w:szCs w:val="22"/>
        </w:rPr>
        <w:t>*Duration of treatment was based on median duration of exposure. CONFIRM trial is still ongoing and expected to end in December 2020.</w:t>
      </w:r>
    </w:p>
    <w:p w:rsidR="00E43E9A" w:rsidRPr="001779EA" w:rsidRDefault="00E43E9A" w:rsidP="00107F9F">
      <w:pPr>
        <w:keepNext/>
        <w:keepLines/>
        <w:spacing w:after="120"/>
        <w:contextualSpacing/>
        <w:rPr>
          <w:rFonts w:ascii="Arial Narrow" w:hAnsi="Arial Narrow"/>
          <w:snapToGrid w:val="0"/>
          <w:sz w:val="18"/>
          <w:szCs w:val="22"/>
        </w:rPr>
      </w:pPr>
      <w:r w:rsidRPr="001779EA">
        <w:rPr>
          <w:rFonts w:ascii="Arial Narrow" w:hAnsi="Arial Narrow"/>
          <w:snapToGrid w:val="0"/>
          <w:sz w:val="18"/>
          <w:szCs w:val="22"/>
          <w:vertAlign w:val="superscript"/>
        </w:rPr>
        <w:t>a</w:t>
      </w:r>
      <w:r w:rsidRPr="001779EA">
        <w:rPr>
          <w:rFonts w:ascii="Arial Narrow" w:hAnsi="Arial Narrow"/>
          <w:snapToGrid w:val="0"/>
          <w:sz w:val="18"/>
          <w:szCs w:val="22"/>
        </w:rPr>
        <w:t xml:space="preserve"> </w:t>
      </w:r>
      <w:r w:rsidR="001E3FDD" w:rsidRPr="001779EA">
        <w:rPr>
          <w:rFonts w:ascii="Arial Narrow" w:hAnsi="Arial Narrow"/>
          <w:snapToGrid w:val="0"/>
          <w:sz w:val="18"/>
          <w:szCs w:val="22"/>
        </w:rPr>
        <w:t>The submission stated that the p</w:t>
      </w:r>
      <w:r w:rsidRPr="001779EA">
        <w:rPr>
          <w:rFonts w:ascii="Arial Narrow" w:hAnsi="Arial Narrow"/>
          <w:snapToGrid w:val="0"/>
          <w:sz w:val="18"/>
          <w:szCs w:val="22"/>
        </w:rPr>
        <w:t>rice of fulvestrant would reduce to AEMP $584.96 following a move to the F2 formulary. In this case, the overall cost of fulvestrant would be $4,461.53, which equates to a cost saving per patient of $4,390.52 to the PBS and $5,802.06 overall if fulvestrant were to be used in place of everolimus plus exemestane.</w:t>
      </w:r>
    </w:p>
    <w:p w:rsidR="00E43E9A" w:rsidRPr="001779EA" w:rsidRDefault="00E43E9A" w:rsidP="00107F9F">
      <w:pPr>
        <w:keepNext/>
        <w:keepLines/>
        <w:spacing w:after="120"/>
        <w:contextualSpacing/>
        <w:rPr>
          <w:rFonts w:ascii="Arial Narrow" w:hAnsi="Arial Narrow"/>
          <w:snapToGrid w:val="0"/>
          <w:sz w:val="18"/>
          <w:szCs w:val="22"/>
        </w:rPr>
      </w:pPr>
      <w:r w:rsidRPr="001779EA">
        <w:rPr>
          <w:rFonts w:ascii="Arial Narrow" w:hAnsi="Arial Narrow"/>
          <w:snapToGrid w:val="0"/>
          <w:sz w:val="18"/>
          <w:szCs w:val="22"/>
          <w:vertAlign w:val="superscript"/>
        </w:rPr>
        <w:t>b</w:t>
      </w:r>
      <w:r w:rsidRPr="001779EA">
        <w:rPr>
          <w:rFonts w:ascii="Arial Narrow" w:hAnsi="Arial Narrow"/>
          <w:snapToGrid w:val="0"/>
          <w:sz w:val="18"/>
          <w:szCs w:val="22"/>
        </w:rPr>
        <w:t xml:space="preserve"> The cost-minimisation analysis was conducted at the DMPQ level. However, cost-minimisation analyses should be conducted at the AEMP level. </w:t>
      </w:r>
    </w:p>
    <w:p w:rsidR="00E43E9A" w:rsidRPr="001779EA" w:rsidRDefault="00E43E9A" w:rsidP="00107F9F">
      <w:pPr>
        <w:keepNext/>
        <w:keepLines/>
        <w:spacing w:after="120"/>
        <w:contextualSpacing/>
        <w:rPr>
          <w:rFonts w:ascii="Arial Narrow" w:hAnsi="Arial Narrow"/>
          <w:snapToGrid w:val="0"/>
          <w:sz w:val="18"/>
          <w:szCs w:val="22"/>
        </w:rPr>
      </w:pPr>
      <w:r w:rsidRPr="001779EA">
        <w:rPr>
          <w:rFonts w:ascii="Arial Narrow" w:hAnsi="Arial Narrow"/>
          <w:snapToGrid w:val="0"/>
          <w:sz w:val="18"/>
          <w:szCs w:val="22"/>
          <w:vertAlign w:val="superscript"/>
        </w:rPr>
        <w:t xml:space="preserve">c </w:t>
      </w:r>
      <w:r w:rsidRPr="001779EA">
        <w:rPr>
          <w:rFonts w:ascii="Arial Narrow" w:hAnsi="Arial Narrow"/>
          <w:snapToGrid w:val="0"/>
          <w:sz w:val="18"/>
          <w:szCs w:val="22"/>
        </w:rPr>
        <w:t>Based on expert clinical advice, fulvestrant would be administered by a nurse. The cost of a nurse practitioner visit (MBS item 82200: $9.75) is included in the analysis as an administration cost for fulvestrant (twice in the first cycle and then once per subsequent cycles). This was multiplied by the packs per course of treatment for fulvestrant (6.70).</w:t>
      </w:r>
    </w:p>
    <w:p w:rsidR="00E43E9A" w:rsidRPr="001779EA" w:rsidRDefault="00E43E9A" w:rsidP="00107F9F">
      <w:pPr>
        <w:keepNext/>
        <w:keepLines/>
        <w:spacing w:after="120"/>
        <w:contextualSpacing/>
        <w:rPr>
          <w:rFonts w:ascii="Arial Narrow" w:hAnsi="Arial Narrow"/>
          <w:snapToGrid w:val="0"/>
          <w:sz w:val="18"/>
          <w:szCs w:val="22"/>
        </w:rPr>
      </w:pPr>
      <w:r w:rsidRPr="001779EA">
        <w:rPr>
          <w:rFonts w:ascii="Arial Narrow" w:hAnsi="Arial Narrow"/>
          <w:snapToGrid w:val="0"/>
          <w:sz w:val="18"/>
          <w:szCs w:val="22"/>
          <w:vertAlign w:val="superscript"/>
        </w:rPr>
        <w:t>d</w:t>
      </w:r>
      <w:r w:rsidRPr="001779EA">
        <w:rPr>
          <w:rFonts w:ascii="Arial Narrow" w:hAnsi="Arial Narrow"/>
          <w:snapToGrid w:val="0"/>
          <w:sz w:val="18"/>
          <w:szCs w:val="22"/>
        </w:rPr>
        <w:t xml:space="preserve"> Grade 3/4 adverse events </w:t>
      </w:r>
      <w:r w:rsidR="00767362" w:rsidRPr="001779EA">
        <w:rPr>
          <w:rFonts w:ascii="Arial Narrow" w:hAnsi="Arial Narrow"/>
          <w:snapToGrid w:val="0"/>
          <w:sz w:val="18"/>
          <w:szCs w:val="22"/>
        </w:rPr>
        <w:t>occurring</w:t>
      </w:r>
      <w:r w:rsidRPr="001779EA">
        <w:rPr>
          <w:rFonts w:ascii="Arial Narrow" w:hAnsi="Arial Narrow"/>
          <w:snapToGrid w:val="0"/>
          <w:sz w:val="18"/>
          <w:szCs w:val="22"/>
        </w:rPr>
        <w:t xml:space="preserve"> in ≥5% patients. Adverse events included stomatitis, fatigue, dyspnoea, anaemia, hyperglycaemia and gamma-glutamyl transferase. Unit costs based on Australian Refined Diagnosis Related Groups (AR-DRGs) for all adverse events except anaemia. Anaemia unit costs based on MBS and PBS items. </w:t>
      </w:r>
    </w:p>
    <w:p w:rsidR="00E43E9A" w:rsidRPr="001779EA" w:rsidRDefault="00E43E9A" w:rsidP="00E43E9A">
      <w:pPr>
        <w:pStyle w:val="3-BodyText"/>
        <w:snapToGrid w:val="0"/>
        <w:rPr>
          <w:snapToGrid/>
        </w:rPr>
      </w:pPr>
      <w:r w:rsidRPr="001779EA">
        <w:t xml:space="preserve">For second-line treatment, the overall cost of fulvestrant per patient was </w:t>
      </w:r>
      <w:r w:rsidR="007B4240" w:rsidRPr="001779EA">
        <w:t xml:space="preserve">estimated to be </w:t>
      </w:r>
      <w:r w:rsidRPr="001779EA">
        <w:t>$</w:t>
      </w:r>
      <w:r w:rsidR="00D728FC">
        <w:rPr>
          <w:noProof/>
          <w:color w:val="000000"/>
          <w:highlight w:val="black"/>
        </w:rPr>
        <w:t>''''''''''''</w:t>
      </w:r>
      <w:r w:rsidRPr="001779EA">
        <w:t xml:space="preserve"> </w:t>
      </w:r>
      <w:r w:rsidR="002634AF" w:rsidRPr="001779EA">
        <w:t xml:space="preserve">based on </w:t>
      </w:r>
      <w:r w:rsidRPr="001779EA">
        <w:t>the proposed effective DPMQ (see Table 1</w:t>
      </w:r>
      <w:r w:rsidR="00382635" w:rsidRPr="001779EA">
        <w:t>7</w:t>
      </w:r>
      <w:r w:rsidRPr="001779EA">
        <w:t xml:space="preserve">). The submission stated that following a </w:t>
      </w:r>
      <w:r w:rsidR="00FB588A">
        <w:t xml:space="preserve">forecasted </w:t>
      </w:r>
      <w:r w:rsidRPr="001779EA">
        <w:t>move to the F2 formulary</w:t>
      </w:r>
      <w:r w:rsidR="007B4240" w:rsidRPr="001779EA">
        <w:t>, which would trigger</w:t>
      </w:r>
      <w:r w:rsidRPr="001779EA">
        <w:t xml:space="preserve"> a 25% </w:t>
      </w:r>
      <w:r w:rsidR="007B4240" w:rsidRPr="001779EA">
        <w:t>reduction</w:t>
      </w:r>
      <w:r w:rsidRPr="001779EA">
        <w:t xml:space="preserve"> to the fulvestrant price, the overall cost of fulvestrant per patient would be $</w:t>
      </w:r>
      <w:r w:rsidR="00D728FC">
        <w:rPr>
          <w:noProof/>
          <w:color w:val="000000"/>
          <w:highlight w:val="black"/>
        </w:rPr>
        <w:t>'''''''''''</w:t>
      </w:r>
      <w:r w:rsidRPr="001779EA">
        <w:t>.</w:t>
      </w:r>
    </w:p>
    <w:p w:rsidR="00ED7A11" w:rsidRPr="001779EA" w:rsidRDefault="00ED7A11" w:rsidP="00ED7A11">
      <w:pPr>
        <w:pStyle w:val="3-BodyText"/>
        <w:rPr>
          <w:rFonts w:ascii="Calibri" w:hAnsi="Calibri"/>
          <w:i/>
          <w:szCs w:val="22"/>
          <w:lang w:eastAsia="en-US"/>
        </w:rPr>
      </w:pPr>
      <w:r w:rsidRPr="001779EA">
        <w:rPr>
          <w:rFonts w:ascii="Calibri" w:hAnsi="Calibri"/>
          <w:szCs w:val="22"/>
          <w:lang w:eastAsia="en-US"/>
        </w:rPr>
        <w:t>The treatment durations of fulvestrant and EVE+EXE were compared naively. Instead, the commentary considered that an adjusted indirect comparison of treatment durations should have been performed, using the evidence network connecting the two treatments. The PSCR argued that the approach used in the submission was conservative and presented the results of an adjusted comparison of treatment durations, which resulted in an increased duration of treatment with EVE+EXE, which would increase the cost savings in the cost-minimisation analysis (from a cost saving per patient to the PBS of $</w:t>
      </w:r>
      <w:r w:rsidR="00D728FC">
        <w:rPr>
          <w:rFonts w:ascii="Calibri" w:hAnsi="Calibri"/>
          <w:noProof/>
          <w:color w:val="000000"/>
          <w:szCs w:val="22"/>
          <w:highlight w:val="black"/>
          <w:lang w:eastAsia="en-US"/>
        </w:rPr>
        <w:t>'''''''''''</w:t>
      </w:r>
      <w:r w:rsidRPr="001779EA">
        <w:rPr>
          <w:rFonts w:ascii="Calibri" w:hAnsi="Calibri"/>
          <w:szCs w:val="22"/>
          <w:lang w:eastAsia="en-US"/>
        </w:rPr>
        <w:t xml:space="preserve"> to $</w:t>
      </w:r>
      <w:r w:rsidR="00D728FC">
        <w:rPr>
          <w:rFonts w:ascii="Calibri" w:hAnsi="Calibri"/>
          <w:noProof/>
          <w:color w:val="000000"/>
          <w:szCs w:val="22"/>
          <w:highlight w:val="black"/>
          <w:lang w:eastAsia="en-US"/>
        </w:rPr>
        <w:t>''''''''''</w:t>
      </w:r>
      <w:r w:rsidRPr="001779EA">
        <w:rPr>
          <w:rFonts w:ascii="Calibri" w:hAnsi="Calibri"/>
          <w:szCs w:val="22"/>
          <w:lang w:eastAsia="en-US"/>
        </w:rPr>
        <w:t>).</w:t>
      </w:r>
      <w:r w:rsidRPr="001779EA">
        <w:rPr>
          <w:rFonts w:ascii="Calibri" w:hAnsi="Calibri"/>
          <w:i/>
          <w:szCs w:val="22"/>
          <w:lang w:eastAsia="en-US"/>
        </w:rPr>
        <w:t xml:space="preserve"> </w:t>
      </w:r>
    </w:p>
    <w:p w:rsidR="00E43E9A" w:rsidRPr="001779EA" w:rsidRDefault="00E43E9A" w:rsidP="005C3D13">
      <w:pPr>
        <w:widowControl w:val="0"/>
        <w:numPr>
          <w:ilvl w:val="1"/>
          <w:numId w:val="3"/>
        </w:numPr>
        <w:spacing w:before="120" w:after="160"/>
        <w:rPr>
          <w:snapToGrid w:val="0"/>
          <w:szCs w:val="22"/>
          <w:lang w:eastAsia="en-US"/>
        </w:rPr>
      </w:pPr>
      <w:r w:rsidRPr="001779EA">
        <w:rPr>
          <w:snapToGrid w:val="0"/>
          <w:szCs w:val="22"/>
          <w:lang w:eastAsia="en-US"/>
        </w:rPr>
        <w:t xml:space="preserve">The </w:t>
      </w:r>
      <w:r w:rsidR="008226D4" w:rsidRPr="001779EA">
        <w:rPr>
          <w:snapToGrid w:val="0"/>
          <w:szCs w:val="22"/>
          <w:lang w:eastAsia="en-US"/>
        </w:rPr>
        <w:t xml:space="preserve">commentary and ESC considered that the </w:t>
      </w:r>
      <w:r w:rsidR="00E67164" w:rsidRPr="001779EA">
        <w:rPr>
          <w:snapToGrid w:val="0"/>
          <w:szCs w:val="22"/>
          <w:lang w:eastAsia="en-US"/>
        </w:rPr>
        <w:t>calculated cost-savin</w:t>
      </w:r>
      <w:r w:rsidR="00382635" w:rsidRPr="001779EA">
        <w:rPr>
          <w:snapToGrid w:val="0"/>
          <w:szCs w:val="22"/>
          <w:lang w:eastAsia="en-US"/>
        </w:rPr>
        <w:t>gs per patient shown in Table 17</w:t>
      </w:r>
      <w:r w:rsidR="00E67164" w:rsidRPr="001779EA">
        <w:rPr>
          <w:snapToGrid w:val="0"/>
          <w:szCs w:val="22"/>
          <w:lang w:eastAsia="en-US"/>
        </w:rPr>
        <w:t xml:space="preserve"> </w:t>
      </w:r>
      <w:r w:rsidRPr="001779EA">
        <w:rPr>
          <w:snapToGrid w:val="0"/>
          <w:szCs w:val="22"/>
          <w:lang w:eastAsia="en-US"/>
        </w:rPr>
        <w:t xml:space="preserve">should be considered with caution due to the following: </w:t>
      </w:r>
    </w:p>
    <w:p w:rsidR="00E43E9A" w:rsidRPr="001779EA" w:rsidRDefault="00E43E9A" w:rsidP="000C6FC3">
      <w:pPr>
        <w:widowControl w:val="0"/>
        <w:numPr>
          <w:ilvl w:val="0"/>
          <w:numId w:val="15"/>
        </w:numPr>
        <w:ind w:left="1134" w:hanging="357"/>
        <w:rPr>
          <w:snapToGrid w:val="0"/>
          <w:szCs w:val="22"/>
          <w:lang w:eastAsia="en-US"/>
        </w:rPr>
      </w:pPr>
      <w:r w:rsidRPr="001779EA">
        <w:rPr>
          <w:snapToGrid w:val="0"/>
          <w:szCs w:val="22"/>
          <w:lang w:eastAsia="en-US"/>
        </w:rPr>
        <w:t>Only median treatment durations were considered</w:t>
      </w:r>
      <w:r w:rsidR="008226D4" w:rsidRPr="001779EA">
        <w:rPr>
          <w:snapToGrid w:val="0"/>
          <w:szCs w:val="22"/>
          <w:lang w:eastAsia="en-US"/>
        </w:rPr>
        <w:t xml:space="preserve">; it would have been more </w:t>
      </w:r>
      <w:r w:rsidR="008226D4" w:rsidRPr="001779EA">
        <w:rPr>
          <w:snapToGrid w:val="0"/>
          <w:szCs w:val="22"/>
          <w:lang w:eastAsia="en-US"/>
        </w:rPr>
        <w:lastRenderedPageBreak/>
        <w:t xml:space="preserve">appropriate to model </w:t>
      </w:r>
      <w:r w:rsidRPr="001779EA">
        <w:rPr>
          <w:snapToGrid w:val="0"/>
          <w:szCs w:val="22"/>
          <w:lang w:eastAsia="en-US"/>
        </w:rPr>
        <w:t>full time on treatment distributions.</w:t>
      </w:r>
    </w:p>
    <w:p w:rsidR="00E43E9A" w:rsidRPr="001779EA" w:rsidRDefault="00562B61" w:rsidP="000C6FC3">
      <w:pPr>
        <w:widowControl w:val="0"/>
        <w:numPr>
          <w:ilvl w:val="0"/>
          <w:numId w:val="15"/>
        </w:numPr>
        <w:ind w:left="1134" w:hanging="357"/>
        <w:rPr>
          <w:snapToGrid w:val="0"/>
          <w:szCs w:val="22"/>
          <w:lang w:eastAsia="en-US"/>
        </w:rPr>
      </w:pPr>
      <w:r w:rsidRPr="001779EA">
        <w:rPr>
          <w:snapToGrid w:val="0"/>
          <w:szCs w:val="22"/>
          <w:lang w:eastAsia="en-US"/>
        </w:rPr>
        <w:t>T</w:t>
      </w:r>
      <w:r w:rsidR="00E43E9A" w:rsidRPr="001779EA">
        <w:rPr>
          <w:snapToGrid w:val="0"/>
          <w:szCs w:val="22"/>
          <w:lang w:eastAsia="en-US"/>
        </w:rPr>
        <w:t xml:space="preserve">he cost-minimisation analysis assumed different treatment durations for </w:t>
      </w:r>
      <w:r w:rsidR="00477D09" w:rsidRPr="001779EA">
        <w:rPr>
          <w:snapToGrid w:val="0"/>
          <w:szCs w:val="22"/>
          <w:lang w:eastAsia="en-US"/>
        </w:rPr>
        <w:t>EVE+EXE</w:t>
      </w:r>
      <w:r w:rsidR="00E43E9A" w:rsidRPr="001779EA">
        <w:rPr>
          <w:snapToGrid w:val="0"/>
          <w:szCs w:val="22"/>
          <w:lang w:eastAsia="en-US"/>
        </w:rPr>
        <w:t xml:space="preserve">. Wastage for </w:t>
      </w:r>
      <w:r w:rsidR="00477D09" w:rsidRPr="001779EA">
        <w:t>EVE+EXE</w:t>
      </w:r>
      <w:r w:rsidR="00E43E9A" w:rsidRPr="001779EA">
        <w:rPr>
          <w:snapToGrid w:val="0"/>
          <w:szCs w:val="22"/>
          <w:lang w:eastAsia="en-US"/>
        </w:rPr>
        <w:t xml:space="preserve"> was also not considered.</w:t>
      </w:r>
    </w:p>
    <w:p w:rsidR="00E43E9A" w:rsidRPr="001779EA" w:rsidRDefault="00E43E9A" w:rsidP="000C6FC3">
      <w:pPr>
        <w:widowControl w:val="0"/>
        <w:numPr>
          <w:ilvl w:val="0"/>
          <w:numId w:val="15"/>
        </w:numPr>
        <w:ind w:left="1134" w:hanging="357"/>
        <w:rPr>
          <w:snapToGrid w:val="0"/>
          <w:szCs w:val="22"/>
          <w:lang w:eastAsia="en-US"/>
        </w:rPr>
      </w:pPr>
      <w:r w:rsidRPr="001779EA">
        <w:rPr>
          <w:snapToGrid w:val="0"/>
          <w:szCs w:val="22"/>
          <w:lang w:eastAsia="en-US"/>
        </w:rPr>
        <w:t>The</w:t>
      </w:r>
      <w:r w:rsidRPr="001779EA">
        <w:rPr>
          <w:rFonts w:cstheme="minorHAnsi"/>
          <w:b/>
        </w:rPr>
        <w:t xml:space="preserve"> </w:t>
      </w:r>
      <w:r w:rsidRPr="001779EA">
        <w:rPr>
          <w:snapToGrid w:val="0"/>
          <w:szCs w:val="22"/>
          <w:lang w:eastAsia="en-US"/>
        </w:rPr>
        <w:t>adverse events costs for fulvestrant are uncertain given CONFIRM did not report results for some AEs reported by BOLERO-2 trial.</w:t>
      </w:r>
    </w:p>
    <w:p w:rsidR="00562B61" w:rsidRPr="001779EA" w:rsidRDefault="00562B61" w:rsidP="000C6FC3">
      <w:pPr>
        <w:widowControl w:val="0"/>
        <w:numPr>
          <w:ilvl w:val="0"/>
          <w:numId w:val="15"/>
        </w:numPr>
        <w:ind w:left="1134" w:hanging="357"/>
        <w:rPr>
          <w:snapToGrid w:val="0"/>
          <w:szCs w:val="22"/>
          <w:lang w:eastAsia="en-US"/>
        </w:rPr>
      </w:pPr>
      <w:r w:rsidRPr="001779EA">
        <w:rPr>
          <w:snapToGrid w:val="0"/>
          <w:szCs w:val="22"/>
          <w:lang w:eastAsia="en-US"/>
        </w:rPr>
        <w:t>The ESC considered that the nurse administration item (MBS item 82200: $9.75) is not appropriate and underestimates the administration costs for fulvestrant.</w:t>
      </w:r>
    </w:p>
    <w:p w:rsidR="00E43E9A" w:rsidRPr="001779EA" w:rsidRDefault="00E43E9A" w:rsidP="003A3468">
      <w:pPr>
        <w:pStyle w:val="4-SubsectionHeading"/>
        <w:spacing w:before="240" w:after="240"/>
      </w:pPr>
      <w:bookmarkStart w:id="51" w:name="_Toc40935325"/>
      <w:r w:rsidRPr="001779EA">
        <w:rPr>
          <w:lang w:eastAsia="en-US"/>
        </w:rPr>
        <w:t>Drug cost/patient/course</w:t>
      </w:r>
      <w:bookmarkEnd w:id="51"/>
    </w:p>
    <w:p w:rsidR="00E43E9A" w:rsidRPr="001779EA" w:rsidRDefault="00E43E9A" w:rsidP="00757C9D">
      <w:pPr>
        <w:pStyle w:val="3-BodyText"/>
        <w:snapToGrid w:val="0"/>
        <w:rPr>
          <w:i/>
        </w:rPr>
      </w:pPr>
      <w:r w:rsidRPr="001779EA">
        <w:t xml:space="preserve">The drug cost per patient </w:t>
      </w:r>
      <w:r w:rsidR="008226D4" w:rsidRPr="001779EA">
        <w:t xml:space="preserve">per course </w:t>
      </w:r>
      <w:r w:rsidRPr="001779EA">
        <w:t xml:space="preserve">for fulvestrant monotherapy </w:t>
      </w:r>
      <w:r w:rsidR="008226D4" w:rsidRPr="001779EA">
        <w:t xml:space="preserve">in the second-line setting </w:t>
      </w:r>
      <w:r w:rsidRPr="001779EA">
        <w:t>was estimated to be $</w:t>
      </w:r>
      <w:r w:rsidR="00D728FC">
        <w:rPr>
          <w:noProof/>
          <w:color w:val="000000"/>
          <w:highlight w:val="black"/>
        </w:rPr>
        <w:t>'''''''''''</w:t>
      </w:r>
      <w:r w:rsidRPr="001779EA">
        <w:t xml:space="preserve"> (see Table 1</w:t>
      </w:r>
      <w:r w:rsidR="00382635" w:rsidRPr="001779EA">
        <w:t>7</w:t>
      </w:r>
      <w:r w:rsidRPr="001779EA">
        <w:t xml:space="preserve">). </w:t>
      </w:r>
    </w:p>
    <w:p w:rsidR="00E43E9A" w:rsidRPr="001779EA" w:rsidRDefault="00E43E9A" w:rsidP="003A3468">
      <w:pPr>
        <w:pStyle w:val="4-SubsectionHeading"/>
        <w:spacing w:before="240" w:after="240"/>
      </w:pPr>
      <w:bookmarkStart w:id="52" w:name="_Toc40935326"/>
      <w:r w:rsidRPr="001779EA">
        <w:t>Estimated PBS usage &amp; financial implications</w:t>
      </w:r>
      <w:bookmarkEnd w:id="52"/>
    </w:p>
    <w:p w:rsidR="004E5354" w:rsidRPr="001779EA" w:rsidRDefault="004E5354" w:rsidP="004E5354">
      <w:pPr>
        <w:pStyle w:val="3-BodyText"/>
        <w:numPr>
          <w:ilvl w:val="1"/>
          <w:numId w:val="1"/>
        </w:numPr>
        <w:snapToGrid w:val="0"/>
        <w:rPr>
          <w:rFonts w:ascii="Calibri" w:hAnsi="Calibri"/>
          <w:szCs w:val="22"/>
          <w:lang w:eastAsia="en-US"/>
        </w:rPr>
      </w:pPr>
      <w:r w:rsidRPr="001779EA">
        <w:t xml:space="preserve">This submission </w:t>
      </w:r>
      <w:r w:rsidR="001B6C3D" w:rsidRPr="001779EA">
        <w:t xml:space="preserve">was </w:t>
      </w:r>
      <w:r w:rsidRPr="001779EA">
        <w:t xml:space="preserve">considered by DUSC. </w:t>
      </w:r>
      <w:r w:rsidRPr="001779EA">
        <w:rPr>
          <w:rFonts w:ascii="Calibri" w:hAnsi="Calibri"/>
          <w:szCs w:val="22"/>
          <w:lang w:eastAsia="en-US"/>
        </w:rPr>
        <w:t xml:space="preserve">The submission </w:t>
      </w:r>
      <w:r w:rsidR="00115EE5" w:rsidRPr="001779EA">
        <w:rPr>
          <w:rFonts w:ascii="Calibri" w:hAnsi="Calibri"/>
          <w:szCs w:val="22"/>
          <w:lang w:eastAsia="en-US"/>
        </w:rPr>
        <w:t>used</w:t>
      </w:r>
      <w:r w:rsidRPr="001779EA">
        <w:rPr>
          <w:rFonts w:ascii="Calibri" w:hAnsi="Calibri"/>
          <w:szCs w:val="22"/>
          <w:lang w:eastAsia="en-US"/>
        </w:rPr>
        <w:t xml:space="preserve"> an epidemiological approach. The submission presented an aggregated budget impact for both first-line and second-line treatment, and did not present results separately for each line. </w:t>
      </w:r>
      <w:r w:rsidR="00382635" w:rsidRPr="001779EA">
        <w:rPr>
          <w:rFonts w:ascii="Calibri" w:hAnsi="Calibri"/>
          <w:szCs w:val="22"/>
          <w:lang w:eastAsia="en-US"/>
        </w:rPr>
        <w:t>Table 18</w:t>
      </w:r>
      <w:r w:rsidRPr="001779EA">
        <w:rPr>
          <w:rFonts w:ascii="Calibri" w:hAnsi="Calibri"/>
          <w:szCs w:val="22"/>
          <w:lang w:eastAsia="en-US"/>
        </w:rPr>
        <w:t xml:space="preserve"> outlines the key inputs in the financial estimates. </w:t>
      </w:r>
    </w:p>
    <w:p w:rsidR="004E5354" w:rsidRPr="001779EA" w:rsidRDefault="004E5354" w:rsidP="004E5354">
      <w:pPr>
        <w:pStyle w:val="TableFigureHeading"/>
        <w:rPr>
          <w:rStyle w:val="CommentReference"/>
          <w:b/>
          <w:bCs w:val="0"/>
        </w:rPr>
      </w:pPr>
      <w:r w:rsidRPr="001779EA">
        <w:rPr>
          <w:rStyle w:val="CommentReference"/>
          <w:b/>
          <w:bCs w:val="0"/>
        </w:rPr>
        <w:t>Table 1</w:t>
      </w:r>
      <w:r w:rsidR="00382635" w:rsidRPr="001779EA">
        <w:rPr>
          <w:rStyle w:val="CommentReference"/>
          <w:b/>
          <w:bCs w:val="0"/>
        </w:rPr>
        <w:t>8</w:t>
      </w:r>
      <w:r w:rsidRPr="001779EA">
        <w:rPr>
          <w:rStyle w:val="CommentReference"/>
          <w:b/>
          <w:bCs w:val="0"/>
        </w:rPr>
        <w:t>: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2"/>
        <w:gridCol w:w="1843"/>
        <w:gridCol w:w="3777"/>
      </w:tblGrid>
      <w:tr w:rsidR="00DA33B1" w:rsidRPr="001779EA" w:rsidTr="00DA33B1">
        <w:trPr>
          <w:tblHeader/>
        </w:trPr>
        <w:tc>
          <w:tcPr>
            <w:tcW w:w="2405"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Next w:val="0"/>
              <w:rPr>
                <w:lang w:val="en-AU"/>
              </w:rPr>
            </w:pPr>
            <w:r w:rsidRPr="001779EA">
              <w:rPr>
                <w:lang w:val="en-AU"/>
              </w:rPr>
              <w:t>Data</w:t>
            </w:r>
          </w:p>
        </w:tc>
        <w:tc>
          <w:tcPr>
            <w:tcW w:w="992"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Next w:val="0"/>
              <w:rPr>
                <w:lang w:val="en-AU"/>
              </w:rPr>
            </w:pPr>
            <w:r w:rsidRPr="001779EA">
              <w:rPr>
                <w:lang w:val="en-AU"/>
              </w:rPr>
              <w:t>Value</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Next w:val="0"/>
              <w:rPr>
                <w:lang w:val="en-AU"/>
              </w:rPr>
            </w:pPr>
            <w:r w:rsidRPr="001779EA">
              <w:rPr>
                <w:lang w:val="en-AU"/>
              </w:rPr>
              <w:t>Source</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Next w:val="0"/>
              <w:rPr>
                <w:lang w:val="en-AU"/>
              </w:rPr>
            </w:pPr>
            <w:r w:rsidRPr="001779EA">
              <w:rPr>
                <w:lang w:val="en-AU"/>
              </w:rPr>
              <w:t>Comment</w:t>
            </w:r>
          </w:p>
        </w:tc>
      </w:tr>
      <w:tr w:rsidR="004E5354" w:rsidRPr="001779EA" w:rsidTr="00DA33B1">
        <w:tc>
          <w:tcPr>
            <w:tcW w:w="901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354" w:rsidRPr="001779EA" w:rsidRDefault="004E5354" w:rsidP="001B6C3D">
            <w:pPr>
              <w:pStyle w:val="In-tableHeading"/>
              <w:keepNext w:val="0"/>
              <w:rPr>
                <w:lang w:val="en-AU"/>
              </w:rPr>
            </w:pPr>
            <w:r w:rsidRPr="001779EA">
              <w:rPr>
                <w:lang w:val="en-AU"/>
              </w:rPr>
              <w:t xml:space="preserve">Eligible population </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In-tableHeading"/>
              <w:keepNext w:val="0"/>
              <w:rPr>
                <w:rFonts w:cstheme="majorBidi"/>
                <w:b w:val="0"/>
                <w:bCs/>
                <w:lang w:val="en-AU"/>
              </w:rPr>
            </w:pPr>
            <w:r w:rsidRPr="001779EA">
              <w:rPr>
                <w:rFonts w:cstheme="majorBidi"/>
                <w:b w:val="0"/>
                <w:bCs/>
                <w:lang w:val="en-AU"/>
              </w:rPr>
              <w:t>Estimated incidence of breast cancer in women Australia, 2019</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19,371</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AIHW Cancer in Australia 2019 Chapter 5 Incidence. Table S5.3</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571E0C" w:rsidP="00571E0C">
            <w:pPr>
              <w:pStyle w:val="In-tableHeading"/>
              <w:keepNext w:val="0"/>
              <w:rPr>
                <w:b w:val="0"/>
                <w:lang w:val="en-AU"/>
              </w:rPr>
            </w:pPr>
            <w:r w:rsidRPr="001779EA">
              <w:rPr>
                <w:b w:val="0"/>
                <w:lang w:val="en-AU"/>
              </w:rPr>
              <w:t>The commentary considered that this was reasonable.</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In-tableHeading"/>
              <w:keepNext w:val="0"/>
              <w:rPr>
                <w:rFonts w:cstheme="majorBidi"/>
                <w:b w:val="0"/>
                <w:bCs/>
                <w:lang w:val="en-AU"/>
              </w:rPr>
            </w:pPr>
            <w:r w:rsidRPr="001779EA">
              <w:rPr>
                <w:rFonts w:cstheme="majorBidi"/>
                <w:b w:val="0"/>
                <w:bCs/>
                <w:lang w:val="en-AU"/>
              </w:rPr>
              <w:t>Estimated incident growth rate</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3.52%</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AIHW 2019 ACIM data book</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571E0C" w:rsidP="001B6C3D">
            <w:pPr>
              <w:pStyle w:val="In-tableHeading"/>
              <w:keepNext w:val="0"/>
              <w:rPr>
                <w:b w:val="0"/>
                <w:lang w:val="en-AU"/>
              </w:rPr>
            </w:pPr>
            <w:r w:rsidRPr="001779EA">
              <w:rPr>
                <w:b w:val="0"/>
                <w:lang w:val="en-AU"/>
              </w:rPr>
              <w:t>The commentary considered that this was reasonable</w:t>
            </w:r>
            <w:r w:rsidRPr="001779EA">
              <w:rPr>
                <w:lang w:val="en-AU"/>
              </w:rPr>
              <w:t>.</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In-tableHeading"/>
              <w:keepNext w:val="0"/>
              <w:rPr>
                <w:rFonts w:cstheme="majorBidi"/>
                <w:b w:val="0"/>
                <w:bCs/>
                <w:lang w:val="en-AU"/>
              </w:rPr>
            </w:pPr>
            <w:r w:rsidRPr="001779EA">
              <w:rPr>
                <w:rFonts w:cstheme="majorBidi"/>
                <w:b w:val="0"/>
                <w:bCs/>
                <w:lang w:val="en-AU"/>
              </w:rPr>
              <w:t>Proportion of incident cases in females ≥40 years</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95%</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AIHW Cancer in Australia 2019, Table S5.3</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152462" w:rsidP="00152462">
            <w:pPr>
              <w:pStyle w:val="In-tableHeading"/>
              <w:keepNext w:val="0"/>
              <w:rPr>
                <w:b w:val="0"/>
                <w:lang w:val="en-AU"/>
              </w:rPr>
            </w:pPr>
            <w:r w:rsidRPr="001779EA">
              <w:rPr>
                <w:b w:val="0"/>
                <w:lang w:val="en-AU"/>
              </w:rPr>
              <w:t>DUSC considered it was not reasonable to</w:t>
            </w:r>
            <w:r w:rsidR="004E5354" w:rsidRPr="001779EA">
              <w:rPr>
                <w:b w:val="0"/>
                <w:lang w:val="en-AU"/>
              </w:rPr>
              <w:t xml:space="preserve"> exclude patients </w:t>
            </w:r>
            <w:r w:rsidR="00115EE5" w:rsidRPr="001779EA">
              <w:rPr>
                <w:b w:val="0"/>
                <w:lang w:val="en-AU"/>
              </w:rPr>
              <w:t xml:space="preserve">aged </w:t>
            </w:r>
            <w:r w:rsidR="004E5354" w:rsidRPr="001779EA">
              <w:rPr>
                <w:b w:val="0"/>
                <w:lang w:val="en-AU"/>
              </w:rPr>
              <w:t>≤40 years who may be induced into menopause.</w:t>
            </w:r>
          </w:p>
        </w:tc>
      </w:tr>
      <w:tr w:rsidR="00DA33B1" w:rsidRPr="001779EA" w:rsidTr="00DA33B1">
        <w:trPr>
          <w:cantSplit/>
        </w:trPr>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In-tableHeading"/>
              <w:keepNext w:val="0"/>
              <w:rPr>
                <w:rFonts w:cstheme="majorBidi"/>
                <w:b w:val="0"/>
                <w:bCs/>
                <w:lang w:val="en-AU"/>
              </w:rPr>
            </w:pPr>
            <w:r w:rsidRPr="001779EA">
              <w:rPr>
                <w:rFonts w:cstheme="majorBidi"/>
                <w:b w:val="0"/>
                <w:bCs/>
                <w:lang w:val="en-AU"/>
              </w:rPr>
              <w:t>Proportion of breast cancers in women 40 years and above with ABC (stage 3 (advanced) or stage 4 (metastatic)) in Australia</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17%</w:t>
            </w:r>
          </w:p>
        </w:tc>
        <w:tc>
          <w:tcPr>
            <w:tcW w:w="1843" w:type="dxa"/>
            <w:tcBorders>
              <w:top w:val="single" w:sz="4" w:space="0" w:color="auto"/>
              <w:left w:val="single" w:sz="4" w:space="0" w:color="auto"/>
              <w:bottom w:val="single" w:sz="4" w:space="0" w:color="auto"/>
              <w:right w:val="single" w:sz="4" w:space="0" w:color="auto"/>
            </w:tcBorders>
          </w:tcPr>
          <w:p w:rsidR="004E5354" w:rsidRPr="001779EA" w:rsidRDefault="004E5354" w:rsidP="001B6C3D">
            <w:pPr>
              <w:pStyle w:val="TableText0"/>
              <w:keepNext w:val="0"/>
            </w:pPr>
            <w:r w:rsidRPr="001779EA">
              <w:t>AIHW Cancer in Australia 2019, Table S3.1</w:t>
            </w:r>
          </w:p>
          <w:p w:rsidR="004E5354" w:rsidRPr="001779EA" w:rsidRDefault="004E5354" w:rsidP="001B6C3D">
            <w:pPr>
              <w:pStyle w:val="In-tableHeading"/>
              <w:keepNext w:val="0"/>
              <w:rPr>
                <w:rFonts w:cstheme="majorBidi"/>
                <w:b w:val="0"/>
                <w:bCs/>
                <w:lang w:val="en-AU"/>
              </w:rPr>
            </w:pP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1B6C3D" w:rsidP="004C0ABC">
            <w:pPr>
              <w:pStyle w:val="In-tableHeading"/>
              <w:keepNext w:val="0"/>
              <w:rPr>
                <w:b w:val="0"/>
                <w:lang w:val="en-AU"/>
              </w:rPr>
            </w:pPr>
            <w:r w:rsidRPr="001779EA">
              <w:rPr>
                <w:b w:val="0"/>
                <w:lang w:val="en-AU"/>
              </w:rPr>
              <w:t xml:space="preserve">The PBAC noted that this </w:t>
            </w:r>
            <w:r w:rsidR="004C0ABC" w:rsidRPr="001779EA">
              <w:rPr>
                <w:b w:val="0"/>
                <w:lang w:val="en-AU"/>
              </w:rPr>
              <w:t xml:space="preserve">was not consistent with DUSC and ESC advice that only patients with unresectable (inoperable) stage 3 and stage 4 patients should be included in the listing. </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In-tableHeading"/>
              <w:keepNext w:val="0"/>
              <w:rPr>
                <w:rFonts w:cstheme="majorBidi"/>
                <w:b w:val="0"/>
                <w:bCs/>
                <w:lang w:val="en-AU"/>
              </w:rPr>
            </w:pPr>
            <w:r w:rsidRPr="001779EA">
              <w:rPr>
                <w:rFonts w:cstheme="majorBidi"/>
                <w:b w:val="0"/>
                <w:bCs/>
                <w:lang w:val="en-AU"/>
              </w:rPr>
              <w:t xml:space="preserve">Proportion of all breast cancers that are HR+ and human epidermal growth factor receptor 2 negative (HER2-) </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70%</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Boyle et al. 2018</w:t>
            </w:r>
          </w:p>
        </w:tc>
        <w:tc>
          <w:tcPr>
            <w:tcW w:w="3777" w:type="dxa"/>
            <w:tcBorders>
              <w:top w:val="single" w:sz="4" w:space="0" w:color="auto"/>
              <w:left w:val="single" w:sz="4" w:space="0" w:color="auto"/>
              <w:bottom w:val="single" w:sz="4" w:space="0" w:color="auto"/>
              <w:right w:val="single" w:sz="4" w:space="0" w:color="auto"/>
            </w:tcBorders>
            <w:vAlign w:val="center"/>
          </w:tcPr>
          <w:p w:rsidR="004E5354" w:rsidRPr="001779EA" w:rsidRDefault="004E5354" w:rsidP="001B6C3D">
            <w:pPr>
              <w:pStyle w:val="In-tableHeading"/>
              <w:keepNext w:val="0"/>
              <w:rPr>
                <w:b w:val="0"/>
                <w:lang w:val="en-AU"/>
              </w:rPr>
            </w:pP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In-tableHeading"/>
              <w:keepNext w:val="0"/>
              <w:rPr>
                <w:rFonts w:cstheme="majorBidi"/>
                <w:b w:val="0"/>
                <w:bCs/>
                <w:lang w:val="en-AU"/>
              </w:rPr>
            </w:pPr>
            <w:r w:rsidRPr="001779EA">
              <w:rPr>
                <w:rFonts w:cstheme="majorBidi"/>
                <w:b w:val="0"/>
                <w:bCs/>
                <w:lang w:val="en-AU"/>
              </w:rPr>
              <w:t>Proportion of patients receiving first-line treatment</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100%</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Assumption</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571E0C" w:rsidP="001B6C3D">
            <w:pPr>
              <w:pStyle w:val="In-tableHeading"/>
              <w:keepNext w:val="0"/>
              <w:rPr>
                <w:b w:val="0"/>
                <w:lang w:val="en-AU"/>
              </w:rPr>
            </w:pPr>
            <w:r w:rsidRPr="001779EA">
              <w:rPr>
                <w:b w:val="0"/>
                <w:lang w:val="en-AU"/>
              </w:rPr>
              <w:t>The commentary considered that this was reasonable.</w:t>
            </w:r>
          </w:p>
        </w:tc>
      </w:tr>
      <w:tr w:rsidR="004E5354" w:rsidRPr="001779EA" w:rsidTr="00DA33B1">
        <w:tc>
          <w:tcPr>
            <w:tcW w:w="9017" w:type="dxa"/>
            <w:gridSpan w:val="4"/>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Lines/>
              <w:rPr>
                <w:lang w:val="en-AU"/>
              </w:rPr>
            </w:pPr>
            <w:r w:rsidRPr="001779EA">
              <w:rPr>
                <w:lang w:val="en-AU"/>
              </w:rPr>
              <w:lastRenderedPageBreak/>
              <w:t>First-line treatment</w:t>
            </w:r>
          </w:p>
        </w:tc>
      </w:tr>
      <w:tr w:rsidR="00DA33B1" w:rsidRPr="001779EA" w:rsidTr="00DA33B1">
        <w:tc>
          <w:tcPr>
            <w:tcW w:w="2405" w:type="dxa"/>
            <w:tcBorders>
              <w:top w:val="single" w:sz="4" w:space="0" w:color="auto"/>
              <w:left w:val="single" w:sz="4" w:space="0" w:color="auto"/>
              <w:bottom w:val="nil"/>
              <w:right w:val="single" w:sz="4" w:space="0" w:color="auto"/>
            </w:tcBorders>
            <w:vAlign w:val="center"/>
            <w:hideMark/>
          </w:tcPr>
          <w:p w:rsidR="004E5354" w:rsidRPr="001779EA" w:rsidRDefault="004E5354" w:rsidP="001B6C3D">
            <w:pPr>
              <w:pStyle w:val="TableText0"/>
              <w:keepLines/>
            </w:pPr>
            <w:r w:rsidRPr="001779EA">
              <w:t>Proportion of first-line patients treated with:</w:t>
            </w:r>
          </w:p>
        </w:tc>
        <w:tc>
          <w:tcPr>
            <w:tcW w:w="992" w:type="dxa"/>
            <w:tcBorders>
              <w:top w:val="single" w:sz="4" w:space="0" w:color="auto"/>
              <w:left w:val="single" w:sz="4" w:space="0" w:color="auto"/>
              <w:bottom w:val="nil"/>
              <w:right w:val="single" w:sz="4" w:space="0" w:color="auto"/>
            </w:tcBorders>
            <w:vAlign w:val="center"/>
          </w:tcPr>
          <w:p w:rsidR="004E5354" w:rsidRPr="001779EA" w:rsidRDefault="004E5354" w:rsidP="001B6C3D">
            <w:pPr>
              <w:pStyle w:val="TableText0"/>
              <w:keepLines/>
            </w:pPr>
          </w:p>
        </w:tc>
        <w:tc>
          <w:tcPr>
            <w:tcW w:w="1843" w:type="dxa"/>
            <w:tcBorders>
              <w:top w:val="single" w:sz="4" w:space="0" w:color="auto"/>
              <w:left w:val="single" w:sz="4" w:space="0" w:color="auto"/>
              <w:bottom w:val="nil"/>
              <w:right w:val="single" w:sz="4" w:space="0" w:color="auto"/>
            </w:tcBorders>
            <w:vAlign w:val="center"/>
          </w:tcPr>
          <w:p w:rsidR="004E5354" w:rsidRPr="001779EA" w:rsidRDefault="004E5354" w:rsidP="001B6C3D">
            <w:pPr>
              <w:pStyle w:val="TableText0"/>
              <w:keepLines/>
            </w:pPr>
          </w:p>
        </w:tc>
        <w:tc>
          <w:tcPr>
            <w:tcW w:w="3777" w:type="dxa"/>
            <w:vMerge w:val="restart"/>
            <w:tcBorders>
              <w:top w:val="single" w:sz="4" w:space="0" w:color="auto"/>
              <w:left w:val="single" w:sz="4" w:space="0" w:color="auto"/>
              <w:bottom w:val="single" w:sz="4" w:space="0" w:color="auto"/>
              <w:right w:val="single" w:sz="4" w:space="0" w:color="auto"/>
            </w:tcBorders>
            <w:vAlign w:val="center"/>
          </w:tcPr>
          <w:p w:rsidR="004C0ABC" w:rsidRPr="001779EA" w:rsidRDefault="004C0ABC" w:rsidP="001B6C3D">
            <w:pPr>
              <w:pStyle w:val="TableText0"/>
              <w:keepNext w:val="0"/>
            </w:pPr>
          </w:p>
          <w:p w:rsidR="00115EE5" w:rsidRPr="001779EA" w:rsidRDefault="00115EE5" w:rsidP="001B6C3D">
            <w:pPr>
              <w:pStyle w:val="TableText0"/>
              <w:keepNext w:val="0"/>
            </w:pPr>
          </w:p>
          <w:p w:rsidR="00115EE5" w:rsidRPr="001779EA" w:rsidRDefault="00115EE5" w:rsidP="001B6C3D">
            <w:pPr>
              <w:pStyle w:val="TableText0"/>
              <w:keepNext w:val="0"/>
            </w:pPr>
          </w:p>
          <w:p w:rsidR="00115EE5" w:rsidRPr="001779EA" w:rsidRDefault="004E5354" w:rsidP="001B6C3D">
            <w:pPr>
              <w:pStyle w:val="TableText0"/>
              <w:keepNext w:val="0"/>
            </w:pPr>
            <w:r w:rsidRPr="001779EA">
              <w:t>Palbociclib was listed in May 2019 so the data w</w:t>
            </w:r>
            <w:r w:rsidR="001E3FDD" w:rsidRPr="001779EA">
              <w:t>ere</w:t>
            </w:r>
            <w:r w:rsidRPr="001779EA">
              <w:t xml:space="preserve"> still immature</w:t>
            </w:r>
            <w:r w:rsidR="00EE48C7" w:rsidRPr="001779EA">
              <w:t>. The commentary considered that</w:t>
            </w:r>
            <w:r w:rsidRPr="001779EA">
              <w:t xml:space="preserve"> data for ri</w:t>
            </w:r>
            <w:r w:rsidR="00107F9F">
              <w:t>bociclib should have been used.</w:t>
            </w:r>
          </w:p>
          <w:p w:rsidR="004E5354" w:rsidRPr="001779EA" w:rsidRDefault="004E5354" w:rsidP="001B6C3D">
            <w:pPr>
              <w:pStyle w:val="TableText0"/>
              <w:keepNext w:val="0"/>
            </w:pPr>
            <w:r w:rsidRPr="001779EA">
              <w:t xml:space="preserve">It is uncertain whether these estimates </w:t>
            </w:r>
            <w:r w:rsidR="004C0ABC" w:rsidRPr="001779EA">
              <w:t xml:space="preserve">from a UK cohort study </w:t>
            </w:r>
            <w:r w:rsidRPr="001779EA">
              <w:t xml:space="preserve">apply to the Australian setting. </w:t>
            </w:r>
          </w:p>
          <w:p w:rsidR="004C0ABC" w:rsidRPr="001779EA" w:rsidRDefault="004C0ABC" w:rsidP="001B6C3D">
            <w:pPr>
              <w:pStyle w:val="TableText0"/>
              <w:keepNext w:val="0"/>
            </w:pPr>
          </w:p>
          <w:p w:rsidR="004C0ABC" w:rsidRPr="001779EA" w:rsidRDefault="004C0ABC" w:rsidP="00EE48C7">
            <w:pPr>
              <w:pStyle w:val="TableText0"/>
              <w:keepNext w:val="0"/>
            </w:pPr>
            <w:r w:rsidRPr="001779EA">
              <w:t xml:space="preserve">DUSC considered the proportion of patients treated with first line endocrine monotherapy </w:t>
            </w:r>
            <w:r w:rsidR="002C6927" w:rsidRPr="001779EA">
              <w:t xml:space="preserve">(4%) </w:t>
            </w:r>
            <w:r w:rsidRPr="001779EA">
              <w:t>was underestimated</w:t>
            </w:r>
            <w:r w:rsidR="002C6927" w:rsidRPr="001779EA">
              <w:t>; DUSC estimated it to be 10 to 15%. However DUSC considered this underestimate was more than cancelled out by the overestimate of the fulvestrant uptake rate.</w:t>
            </w:r>
          </w:p>
        </w:tc>
      </w:tr>
      <w:tr w:rsidR="00DA33B1" w:rsidRPr="001779EA" w:rsidTr="00DA33B1">
        <w:tc>
          <w:tcPr>
            <w:tcW w:w="2405" w:type="dxa"/>
            <w:tcBorders>
              <w:top w:val="nil"/>
              <w:left w:val="single" w:sz="4" w:space="0" w:color="auto"/>
              <w:bottom w:val="nil"/>
              <w:right w:val="single" w:sz="4" w:space="0" w:color="auto"/>
            </w:tcBorders>
            <w:vAlign w:val="center"/>
            <w:hideMark/>
          </w:tcPr>
          <w:p w:rsidR="004E5354" w:rsidRPr="001779EA" w:rsidRDefault="004E5354" w:rsidP="00E34A2F">
            <w:pPr>
              <w:pStyle w:val="TableText0"/>
              <w:keepLines/>
            </w:pPr>
            <w:r w:rsidRPr="001779EA">
              <w:t>CDK4/6 inhibitors + NSAI</w:t>
            </w:r>
          </w:p>
        </w:tc>
        <w:tc>
          <w:tcPr>
            <w:tcW w:w="992"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keepLines/>
            </w:pPr>
            <w:r w:rsidRPr="001779EA">
              <w:t>80.39%</w:t>
            </w:r>
          </w:p>
        </w:tc>
        <w:tc>
          <w:tcPr>
            <w:tcW w:w="1843" w:type="dxa"/>
            <w:tcBorders>
              <w:top w:val="nil"/>
              <w:left w:val="single" w:sz="4" w:space="0" w:color="auto"/>
              <w:bottom w:val="nil"/>
              <w:right w:val="single" w:sz="4" w:space="0" w:color="auto"/>
            </w:tcBorders>
            <w:vAlign w:val="center"/>
            <w:hideMark/>
          </w:tcPr>
          <w:p w:rsidR="004E5354" w:rsidRPr="001779EA" w:rsidRDefault="004E5354" w:rsidP="00115EE5">
            <w:pPr>
              <w:pStyle w:val="TableText0"/>
              <w:keepLines/>
            </w:pPr>
            <w:r w:rsidRPr="001779EA">
              <w:t xml:space="preserve">PBS </w:t>
            </w:r>
            <w:r w:rsidR="00115EE5" w:rsidRPr="001779EA">
              <w:t>data for palbociclib (M</w:t>
            </w:r>
            <w:r w:rsidRPr="001779EA">
              <w:t>ay 2019 to Dec 2019</w:t>
            </w:r>
            <w:r w:rsidR="00115EE5" w:rsidRPr="001779EA">
              <w:t>)</w:t>
            </w:r>
            <w:r w:rsidRPr="001779EA">
              <w:t xml:space="preserve"> to project CDK4/6 inhibitor utilisation as a proportion of eligible patients in 2020</w:t>
            </w: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DA33B1" w:rsidRPr="001779EA" w:rsidTr="00DA33B1">
        <w:tc>
          <w:tcPr>
            <w:tcW w:w="2405"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keepLines/>
            </w:pPr>
            <w:r w:rsidRPr="001779EA">
              <w:t>Chemotherapy (patients with visceral metastases)</w:t>
            </w:r>
          </w:p>
        </w:tc>
        <w:tc>
          <w:tcPr>
            <w:tcW w:w="992"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keepLines/>
            </w:pPr>
            <w:r w:rsidRPr="001779EA">
              <w:t>16%</w:t>
            </w:r>
          </w:p>
        </w:tc>
        <w:tc>
          <w:tcPr>
            <w:tcW w:w="1843"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keepLines/>
            </w:pPr>
            <w:r w:rsidRPr="001779EA">
              <w:t>Assumption from Twelves 2020</w:t>
            </w: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DA33B1" w:rsidRPr="001779EA" w:rsidTr="00DA33B1">
        <w:tc>
          <w:tcPr>
            <w:tcW w:w="2405" w:type="dxa"/>
            <w:tcBorders>
              <w:top w:val="nil"/>
              <w:left w:val="single" w:sz="4" w:space="0" w:color="auto"/>
              <w:bottom w:val="single" w:sz="4" w:space="0" w:color="auto"/>
              <w:right w:val="single" w:sz="4" w:space="0" w:color="auto"/>
            </w:tcBorders>
            <w:vAlign w:val="center"/>
            <w:hideMark/>
          </w:tcPr>
          <w:p w:rsidR="004E5354" w:rsidRPr="001779EA" w:rsidRDefault="004E5354" w:rsidP="001B6C3D">
            <w:pPr>
              <w:pStyle w:val="TableText0"/>
              <w:keepLines/>
            </w:pPr>
            <w:r w:rsidRPr="001779EA">
              <w:t>Endocrine monotherapy</w:t>
            </w:r>
          </w:p>
        </w:tc>
        <w:tc>
          <w:tcPr>
            <w:tcW w:w="992" w:type="dxa"/>
            <w:tcBorders>
              <w:top w:val="nil"/>
              <w:left w:val="single" w:sz="4" w:space="0" w:color="auto"/>
              <w:bottom w:val="single" w:sz="4" w:space="0" w:color="auto"/>
              <w:right w:val="single" w:sz="4" w:space="0" w:color="auto"/>
            </w:tcBorders>
            <w:vAlign w:val="center"/>
            <w:hideMark/>
          </w:tcPr>
          <w:p w:rsidR="004E5354" w:rsidRPr="001779EA" w:rsidRDefault="004E5354" w:rsidP="001B6C3D">
            <w:pPr>
              <w:pStyle w:val="TableText0"/>
              <w:keepLines/>
            </w:pPr>
            <w:r w:rsidRPr="001779EA">
              <w:t>4%</w:t>
            </w:r>
          </w:p>
        </w:tc>
        <w:tc>
          <w:tcPr>
            <w:tcW w:w="1843" w:type="dxa"/>
            <w:tcBorders>
              <w:top w:val="nil"/>
              <w:left w:val="single" w:sz="4" w:space="0" w:color="auto"/>
              <w:bottom w:val="single" w:sz="4" w:space="0" w:color="auto"/>
              <w:right w:val="single" w:sz="4" w:space="0" w:color="auto"/>
            </w:tcBorders>
            <w:vAlign w:val="center"/>
            <w:hideMark/>
          </w:tcPr>
          <w:p w:rsidR="004E5354" w:rsidRPr="001779EA" w:rsidRDefault="004E5354" w:rsidP="00E34A2F">
            <w:pPr>
              <w:pStyle w:val="TableText0"/>
              <w:keepLines/>
            </w:pPr>
            <w:r w:rsidRPr="001779EA">
              <w:t>Calculated as remaining patients not treated with either CDK4/6 inhibitor +NSAI or chemotherapy</w:t>
            </w: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DA33B1" w:rsidRPr="001779EA" w:rsidTr="00DA33B1">
        <w:tc>
          <w:tcPr>
            <w:tcW w:w="2405" w:type="dxa"/>
            <w:tcBorders>
              <w:top w:val="nil"/>
              <w:left w:val="single" w:sz="4" w:space="0" w:color="auto"/>
              <w:bottom w:val="single" w:sz="4" w:space="0" w:color="auto"/>
              <w:right w:val="single" w:sz="4" w:space="0" w:color="auto"/>
            </w:tcBorders>
            <w:vAlign w:val="center"/>
          </w:tcPr>
          <w:p w:rsidR="00B92A01" w:rsidRPr="001779EA" w:rsidRDefault="00B92A01" w:rsidP="001B6C3D">
            <w:pPr>
              <w:pStyle w:val="TableText0"/>
              <w:keepLines/>
            </w:pPr>
            <w:r w:rsidRPr="001779EA">
              <w:t>Fulvestrant uptake rate (from endocrine monotherapy population only)</w:t>
            </w:r>
          </w:p>
        </w:tc>
        <w:tc>
          <w:tcPr>
            <w:tcW w:w="992" w:type="dxa"/>
            <w:tcBorders>
              <w:top w:val="nil"/>
              <w:left w:val="single" w:sz="4" w:space="0" w:color="auto"/>
              <w:bottom w:val="single" w:sz="4" w:space="0" w:color="auto"/>
              <w:right w:val="single" w:sz="4" w:space="0" w:color="auto"/>
            </w:tcBorders>
            <w:vAlign w:val="center"/>
          </w:tcPr>
          <w:p w:rsidR="00B92A01" w:rsidRPr="001779EA" w:rsidRDefault="00B92A01" w:rsidP="001B6C3D">
            <w:pPr>
              <w:pStyle w:val="TableText0"/>
              <w:keepLines/>
            </w:pPr>
            <w:r w:rsidRPr="001779EA">
              <w:t>Yr</w:t>
            </w:r>
            <w:r w:rsidR="00CD3D14" w:rsidRPr="001779EA">
              <w:t xml:space="preserve"> 1 50</w:t>
            </w:r>
            <w:r w:rsidRPr="001779EA">
              <w:t>%</w:t>
            </w:r>
          </w:p>
          <w:p w:rsidR="00B92A01" w:rsidRPr="001779EA" w:rsidRDefault="00CD3D14" w:rsidP="001B6C3D">
            <w:pPr>
              <w:pStyle w:val="TableText0"/>
              <w:keepLines/>
            </w:pPr>
            <w:r w:rsidRPr="001779EA">
              <w:t>Yr 2 60</w:t>
            </w:r>
            <w:r w:rsidR="00B92A01" w:rsidRPr="001779EA">
              <w:t>%</w:t>
            </w:r>
          </w:p>
          <w:p w:rsidR="00B92A01" w:rsidRPr="001779EA" w:rsidRDefault="00B92A01" w:rsidP="00DA33B1">
            <w:pPr>
              <w:pStyle w:val="TableText0"/>
              <w:keepLines/>
            </w:pPr>
            <w:r w:rsidRPr="001779EA">
              <w:t>Yr 3</w:t>
            </w:r>
            <w:r w:rsidR="009030A4" w:rsidRPr="001779EA">
              <w:t>+</w:t>
            </w:r>
            <w:r w:rsidRPr="001779EA">
              <w:t xml:space="preserve"> 70%</w:t>
            </w:r>
          </w:p>
        </w:tc>
        <w:tc>
          <w:tcPr>
            <w:tcW w:w="1843" w:type="dxa"/>
            <w:tcBorders>
              <w:top w:val="nil"/>
              <w:left w:val="single" w:sz="4" w:space="0" w:color="auto"/>
              <w:bottom w:val="single" w:sz="4" w:space="0" w:color="auto"/>
              <w:right w:val="single" w:sz="4" w:space="0" w:color="auto"/>
            </w:tcBorders>
            <w:vAlign w:val="center"/>
          </w:tcPr>
          <w:p w:rsidR="00B92A01" w:rsidRPr="001779EA" w:rsidRDefault="00B92A01" w:rsidP="00E34A2F">
            <w:pPr>
              <w:pStyle w:val="TableText0"/>
              <w:keepLines/>
            </w:pPr>
            <w:r w:rsidRPr="001779EA">
              <w:t>Unclear</w:t>
            </w:r>
          </w:p>
        </w:tc>
        <w:tc>
          <w:tcPr>
            <w:tcW w:w="3777" w:type="dxa"/>
            <w:tcBorders>
              <w:top w:val="single" w:sz="4" w:space="0" w:color="auto"/>
              <w:left w:val="single" w:sz="4" w:space="0" w:color="auto"/>
              <w:bottom w:val="single" w:sz="4" w:space="0" w:color="auto"/>
              <w:right w:val="single" w:sz="4" w:space="0" w:color="auto"/>
            </w:tcBorders>
            <w:vAlign w:val="center"/>
          </w:tcPr>
          <w:p w:rsidR="00B92A01" w:rsidRPr="001779EA" w:rsidRDefault="00B92A01" w:rsidP="00B92A01">
            <w:pPr>
              <w:jc w:val="left"/>
              <w:rPr>
                <w:rFonts w:ascii="Arial Narrow" w:eastAsiaTheme="majorEastAsia" w:hAnsi="Arial Narrow" w:cstheme="majorBidi"/>
                <w:bCs/>
                <w:sz w:val="20"/>
              </w:rPr>
            </w:pPr>
            <w:r w:rsidRPr="001779EA">
              <w:rPr>
                <w:rFonts w:ascii="Arial Narrow" w:eastAsiaTheme="majorEastAsia" w:hAnsi="Arial Narrow" w:cstheme="majorBidi"/>
                <w:bCs/>
                <w:sz w:val="20"/>
              </w:rPr>
              <w:t>DUSC considered that patients treated with single agent NSAI in the first line setting, who are considered to be too frail to tolerate the additional toxicity of CDK4/6 inhibitors, are less likely to elect to have a parenteral therapy as their initial treatment. Thus, the fulvestrant uptake of 70% by year 3 is significantly overestimated.</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Fulvestrant first-line scripts per course of treatment</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22.89</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Calculated from Section 3A based on FALCON – extrapolated time to treatment discontinuation</w:t>
            </w:r>
          </w:p>
        </w:tc>
        <w:tc>
          <w:tcPr>
            <w:tcW w:w="3777" w:type="dxa"/>
            <w:vMerge w:val="restart"/>
            <w:tcBorders>
              <w:top w:val="single" w:sz="4" w:space="0" w:color="auto"/>
              <w:left w:val="single" w:sz="4" w:space="0" w:color="auto"/>
              <w:bottom w:val="single" w:sz="4" w:space="0" w:color="auto"/>
              <w:right w:val="single" w:sz="4" w:space="0" w:color="auto"/>
            </w:tcBorders>
            <w:vAlign w:val="center"/>
            <w:hideMark/>
          </w:tcPr>
          <w:p w:rsidR="00CF4EC2" w:rsidRPr="001779EA" w:rsidRDefault="00CF4EC2" w:rsidP="00CF4EC2">
            <w:pPr>
              <w:pStyle w:val="TableText0"/>
            </w:pPr>
            <w:r w:rsidRPr="001779EA">
              <w:t xml:space="preserve">The submission assumed that every initiating patient receives 22.89 scripts per year, </w:t>
            </w:r>
            <w:r w:rsidR="00EE48C7" w:rsidRPr="001779EA">
              <w:t xml:space="preserve">however </w:t>
            </w:r>
            <w:r w:rsidRPr="001779EA">
              <w:t>t</w:t>
            </w:r>
            <w:r w:rsidR="00DA33B1" w:rsidRPr="001779EA">
              <w:t xml:space="preserve">he commentary considered that the number of </w:t>
            </w:r>
            <w:r w:rsidR="005F26FA" w:rsidRPr="001779EA">
              <w:t xml:space="preserve">scripts per patient should have been </w:t>
            </w:r>
            <w:r w:rsidRPr="001779EA">
              <w:t>distributed over the actual years in which scripts would be required</w:t>
            </w:r>
            <w:r w:rsidR="00EE48C7" w:rsidRPr="001779EA">
              <w:t xml:space="preserve">. </w:t>
            </w:r>
          </w:p>
          <w:p w:rsidR="004E5354" w:rsidRPr="001779EA" w:rsidRDefault="00B92A01" w:rsidP="00CF4EC2">
            <w:pPr>
              <w:pStyle w:val="TableText0"/>
            </w:pPr>
            <w:r w:rsidRPr="001779EA">
              <w:t xml:space="preserve">DUSC considered the duration of treatment was overestimated as </w:t>
            </w:r>
            <w:r w:rsidR="004E5354" w:rsidRPr="001779EA">
              <w:t>FALCON included patients who had no prior endocrine therapy</w:t>
            </w:r>
            <w:r w:rsidR="00E905F5" w:rsidRPr="001779EA">
              <w:t xml:space="preserve"> who are more likely to have a prolonged response than those with prior treatment</w:t>
            </w:r>
            <w:r w:rsidRPr="001779EA">
              <w:t xml:space="preserve"> for early breast cancer</w:t>
            </w:r>
            <w:r w:rsidR="004E5354" w:rsidRPr="001779EA">
              <w:t>.</w:t>
            </w:r>
            <w:r w:rsidRPr="001779EA">
              <w:t xml:space="preserve"> </w:t>
            </w:r>
            <w:r w:rsidR="008A1FEF" w:rsidRPr="001779EA">
              <w:t>DUSC further noted that the treatment duration was calculated from time to discontinuation rather than the mean number of treatments.</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NSAI first-line scripts per course of treatment</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17.98</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Calculated from Section 3A based on FALCON - extrapolated time to treatment discontinuation</w:t>
            </w: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4E5354" w:rsidRPr="001779EA" w:rsidTr="00DA33B1">
        <w:tc>
          <w:tcPr>
            <w:tcW w:w="9017" w:type="dxa"/>
            <w:gridSpan w:val="4"/>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TableText0"/>
              <w:keepNext w:val="0"/>
              <w:rPr>
                <w:b/>
              </w:rPr>
            </w:pPr>
            <w:r w:rsidRPr="001779EA">
              <w:rPr>
                <w:b/>
              </w:rPr>
              <w:t>Second-line treatment</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Proportion of patients receiving second-line treatment</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89%</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AIHW 2018, Cancer data Table 7b</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571E0C" w:rsidP="001B6C3D">
            <w:pPr>
              <w:pStyle w:val="TableText0"/>
              <w:keepNext w:val="0"/>
            </w:pPr>
            <w:r w:rsidRPr="001779EA">
              <w:t>The commentary considered that this was reasonable.</w:t>
            </w:r>
            <w:r w:rsidR="00972AB1" w:rsidRPr="001779EA">
              <w:t xml:space="preserve"> </w:t>
            </w:r>
          </w:p>
        </w:tc>
      </w:tr>
      <w:tr w:rsidR="00DA33B1" w:rsidRPr="001779EA" w:rsidTr="00DA33B1">
        <w:trPr>
          <w:cantSplit/>
        </w:trPr>
        <w:tc>
          <w:tcPr>
            <w:tcW w:w="2405" w:type="dxa"/>
            <w:tcBorders>
              <w:top w:val="single" w:sz="4" w:space="0" w:color="auto"/>
              <w:left w:val="single" w:sz="4" w:space="0" w:color="auto"/>
              <w:bottom w:val="nil"/>
              <w:right w:val="single" w:sz="4" w:space="0" w:color="auto"/>
            </w:tcBorders>
            <w:vAlign w:val="center"/>
            <w:hideMark/>
          </w:tcPr>
          <w:p w:rsidR="004E5354" w:rsidRPr="001779EA" w:rsidRDefault="004E5354" w:rsidP="001B6C3D">
            <w:pPr>
              <w:pStyle w:val="TableText0"/>
            </w:pPr>
            <w:r w:rsidRPr="001779EA">
              <w:t>Proportion of second-line patients treated with:</w:t>
            </w:r>
          </w:p>
        </w:tc>
        <w:tc>
          <w:tcPr>
            <w:tcW w:w="992" w:type="dxa"/>
            <w:tcBorders>
              <w:top w:val="single" w:sz="4" w:space="0" w:color="auto"/>
              <w:left w:val="single" w:sz="4" w:space="0" w:color="auto"/>
              <w:bottom w:val="nil"/>
              <w:right w:val="single" w:sz="4" w:space="0" w:color="auto"/>
            </w:tcBorders>
            <w:vAlign w:val="center"/>
          </w:tcPr>
          <w:p w:rsidR="004E5354" w:rsidRPr="001779EA" w:rsidRDefault="004E5354" w:rsidP="001B6C3D">
            <w:pPr>
              <w:pStyle w:val="TableText0"/>
              <w:keepNext w:val="0"/>
            </w:pPr>
          </w:p>
        </w:tc>
        <w:tc>
          <w:tcPr>
            <w:tcW w:w="1843" w:type="dxa"/>
            <w:tcBorders>
              <w:top w:val="single" w:sz="4" w:space="0" w:color="auto"/>
              <w:left w:val="single" w:sz="4" w:space="0" w:color="auto"/>
              <w:bottom w:val="nil"/>
              <w:right w:val="single" w:sz="4" w:space="0" w:color="auto"/>
            </w:tcBorders>
            <w:vAlign w:val="center"/>
          </w:tcPr>
          <w:p w:rsidR="004E5354" w:rsidRPr="001779EA" w:rsidRDefault="004E5354" w:rsidP="001B6C3D">
            <w:pPr>
              <w:pStyle w:val="TableText0"/>
              <w:keepNext w:val="0"/>
            </w:pPr>
          </w:p>
        </w:tc>
        <w:tc>
          <w:tcPr>
            <w:tcW w:w="3777" w:type="dxa"/>
            <w:vMerge w:val="restart"/>
            <w:tcBorders>
              <w:top w:val="single" w:sz="4" w:space="0" w:color="auto"/>
              <w:left w:val="single" w:sz="4" w:space="0" w:color="auto"/>
              <w:bottom w:val="single" w:sz="4" w:space="0" w:color="auto"/>
              <w:right w:val="single" w:sz="4" w:space="0" w:color="auto"/>
            </w:tcBorders>
            <w:vAlign w:val="center"/>
          </w:tcPr>
          <w:p w:rsidR="004E5354" w:rsidRPr="001779EA" w:rsidRDefault="004E5354" w:rsidP="001B6C3D">
            <w:pPr>
              <w:pStyle w:val="TableText0"/>
              <w:keepNext w:val="0"/>
            </w:pPr>
            <w:r w:rsidRPr="001779EA">
              <w:t xml:space="preserve">Since the DUSC 2017 report other medications such as CDK4/6 inhibitors have entered the market. Given the adverse events associated with </w:t>
            </w:r>
            <w:r w:rsidR="00E02F86" w:rsidRPr="001779EA">
              <w:t>EVE+EXE</w:t>
            </w:r>
            <w:r w:rsidRPr="001779EA">
              <w:t xml:space="preserve"> and entry of CDK4/6 inhibitors, the number of patients on </w:t>
            </w:r>
            <w:r w:rsidR="00E02F86" w:rsidRPr="001779EA">
              <w:t>EVE+EXE</w:t>
            </w:r>
            <w:r w:rsidRPr="001779EA">
              <w:t xml:space="preserve"> may be overestimated. </w:t>
            </w:r>
            <w:r w:rsidR="00E02F86" w:rsidRPr="001779EA">
              <w:t xml:space="preserve">DUSC considered </w:t>
            </w:r>
            <w:r w:rsidR="00DA33B1" w:rsidRPr="001779EA">
              <w:t xml:space="preserve">use of EVE has declined over time and the </w:t>
            </w:r>
            <w:r w:rsidR="00E02F86" w:rsidRPr="001779EA">
              <w:t>estimates of current EVE use are overestimated.</w:t>
            </w:r>
          </w:p>
          <w:p w:rsidR="004E5354" w:rsidRPr="001779EA" w:rsidRDefault="004E5354" w:rsidP="001B6C3D">
            <w:pPr>
              <w:pStyle w:val="TableText0"/>
              <w:keepNext w:val="0"/>
            </w:pPr>
          </w:p>
          <w:p w:rsidR="004E5354" w:rsidRPr="001779EA" w:rsidRDefault="004E5354" w:rsidP="001B6C3D">
            <w:pPr>
              <w:pStyle w:val="TableText0"/>
              <w:keepNext w:val="0"/>
            </w:pPr>
            <w:r w:rsidRPr="001779EA">
              <w:lastRenderedPageBreak/>
              <w:t>The submission assumed the remaining proportion (17%) would be treated with endocrine monotherapy without any justification.</w:t>
            </w:r>
          </w:p>
        </w:tc>
      </w:tr>
      <w:tr w:rsidR="00DA33B1" w:rsidRPr="001779EA" w:rsidTr="00DA33B1">
        <w:tc>
          <w:tcPr>
            <w:tcW w:w="2405" w:type="dxa"/>
            <w:tcBorders>
              <w:top w:val="nil"/>
              <w:left w:val="single" w:sz="4" w:space="0" w:color="auto"/>
              <w:bottom w:val="nil"/>
              <w:right w:val="single" w:sz="4" w:space="0" w:color="auto"/>
            </w:tcBorders>
            <w:vAlign w:val="center"/>
            <w:hideMark/>
          </w:tcPr>
          <w:p w:rsidR="004E5354" w:rsidRPr="001779EA" w:rsidRDefault="00DA33B1" w:rsidP="001B6C3D">
            <w:pPr>
              <w:pStyle w:val="TableText0"/>
              <w:keepNext w:val="0"/>
              <w:rPr>
                <w:u w:val="single"/>
              </w:rPr>
            </w:pPr>
            <w:r w:rsidRPr="001779EA">
              <w:t>EVE+EXE</w:t>
            </w:r>
          </w:p>
        </w:tc>
        <w:tc>
          <w:tcPr>
            <w:tcW w:w="992"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keepNext w:val="0"/>
            </w:pPr>
            <w:r w:rsidRPr="001779EA">
              <w:t>46%</w:t>
            </w:r>
          </w:p>
        </w:tc>
        <w:tc>
          <w:tcPr>
            <w:tcW w:w="1843"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keepNext w:val="0"/>
            </w:pPr>
            <w:r w:rsidRPr="001779EA">
              <w:t>Everolimus DUSC 2017; Kursoky 2018, p. e533 Figure 1</w:t>
            </w: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DA33B1" w:rsidRPr="001779EA" w:rsidTr="00DA33B1">
        <w:tc>
          <w:tcPr>
            <w:tcW w:w="2405" w:type="dxa"/>
            <w:tcBorders>
              <w:top w:val="nil"/>
              <w:left w:val="single" w:sz="4" w:space="0" w:color="auto"/>
              <w:bottom w:val="nil"/>
              <w:right w:val="single" w:sz="4" w:space="0" w:color="auto"/>
            </w:tcBorders>
            <w:vAlign w:val="center"/>
          </w:tcPr>
          <w:p w:rsidR="004E5354" w:rsidRPr="001779EA" w:rsidRDefault="004E5354" w:rsidP="001B6C3D">
            <w:pPr>
              <w:pStyle w:val="TableText0"/>
              <w:keepNext w:val="0"/>
            </w:pPr>
          </w:p>
        </w:tc>
        <w:tc>
          <w:tcPr>
            <w:tcW w:w="992" w:type="dxa"/>
            <w:tcBorders>
              <w:top w:val="nil"/>
              <w:left w:val="single" w:sz="4" w:space="0" w:color="auto"/>
              <w:bottom w:val="nil"/>
              <w:right w:val="single" w:sz="4" w:space="0" w:color="auto"/>
            </w:tcBorders>
            <w:vAlign w:val="center"/>
          </w:tcPr>
          <w:p w:rsidR="004E5354" w:rsidRPr="001779EA" w:rsidRDefault="004E5354" w:rsidP="001B6C3D">
            <w:pPr>
              <w:pStyle w:val="TableText0"/>
              <w:keepNext w:val="0"/>
            </w:pPr>
          </w:p>
        </w:tc>
        <w:tc>
          <w:tcPr>
            <w:tcW w:w="1843" w:type="dxa"/>
            <w:tcBorders>
              <w:top w:val="nil"/>
              <w:left w:val="single" w:sz="4" w:space="0" w:color="auto"/>
              <w:bottom w:val="nil"/>
              <w:right w:val="single" w:sz="4" w:space="0" w:color="auto"/>
            </w:tcBorders>
            <w:vAlign w:val="center"/>
          </w:tcPr>
          <w:p w:rsidR="004E5354" w:rsidRPr="001779EA" w:rsidRDefault="004E5354" w:rsidP="001B6C3D">
            <w:pPr>
              <w:pStyle w:val="TableText0"/>
              <w:keepNext w:val="0"/>
            </w:pP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DA33B1" w:rsidRPr="001779EA" w:rsidTr="00DA33B1">
        <w:tc>
          <w:tcPr>
            <w:tcW w:w="2405" w:type="dxa"/>
            <w:tcBorders>
              <w:top w:val="nil"/>
              <w:left w:val="single" w:sz="4" w:space="0" w:color="auto"/>
              <w:bottom w:val="single" w:sz="4" w:space="0" w:color="auto"/>
              <w:right w:val="single" w:sz="4" w:space="0" w:color="auto"/>
            </w:tcBorders>
            <w:vAlign w:val="center"/>
          </w:tcPr>
          <w:p w:rsidR="004E5354" w:rsidRPr="001779EA" w:rsidRDefault="004E5354" w:rsidP="001B6C3D">
            <w:pPr>
              <w:pStyle w:val="TableText0"/>
              <w:keepNext w:val="0"/>
            </w:pPr>
            <w:r w:rsidRPr="001779EA">
              <w:t xml:space="preserve">Chemotherapy </w:t>
            </w:r>
          </w:p>
          <w:p w:rsidR="004E5354" w:rsidRPr="001779EA" w:rsidRDefault="004E5354" w:rsidP="001B6C3D">
            <w:pPr>
              <w:pStyle w:val="TableText0"/>
              <w:keepNext w:val="0"/>
            </w:pPr>
          </w:p>
          <w:p w:rsidR="004E5354" w:rsidRPr="001779EA" w:rsidRDefault="004E5354" w:rsidP="001B6C3D">
            <w:pPr>
              <w:pStyle w:val="TableText0"/>
              <w:keepNext w:val="0"/>
            </w:pPr>
          </w:p>
          <w:p w:rsidR="004E5354" w:rsidRPr="001779EA" w:rsidRDefault="004E5354" w:rsidP="001B6C3D">
            <w:pPr>
              <w:pStyle w:val="TableText0"/>
              <w:keepNext w:val="0"/>
            </w:pPr>
            <w:r w:rsidRPr="001779EA">
              <w:lastRenderedPageBreak/>
              <w:t>Endocrine monotherapy</w:t>
            </w:r>
          </w:p>
        </w:tc>
        <w:tc>
          <w:tcPr>
            <w:tcW w:w="992" w:type="dxa"/>
            <w:tcBorders>
              <w:top w:val="nil"/>
              <w:left w:val="single" w:sz="4" w:space="0" w:color="auto"/>
              <w:bottom w:val="single" w:sz="4" w:space="0" w:color="auto"/>
              <w:right w:val="single" w:sz="4" w:space="0" w:color="auto"/>
            </w:tcBorders>
            <w:vAlign w:val="center"/>
          </w:tcPr>
          <w:p w:rsidR="004E5354" w:rsidRPr="001779EA" w:rsidRDefault="004E5354" w:rsidP="001B6C3D">
            <w:pPr>
              <w:pStyle w:val="TableText0"/>
              <w:keepNext w:val="0"/>
            </w:pPr>
            <w:r w:rsidRPr="001779EA">
              <w:lastRenderedPageBreak/>
              <w:t>37%</w:t>
            </w:r>
          </w:p>
          <w:p w:rsidR="004E5354" w:rsidRPr="001779EA" w:rsidRDefault="004E5354" w:rsidP="001B6C3D">
            <w:pPr>
              <w:pStyle w:val="TableText0"/>
              <w:keepNext w:val="0"/>
            </w:pPr>
          </w:p>
          <w:p w:rsidR="004E5354" w:rsidRPr="001779EA" w:rsidRDefault="004E5354" w:rsidP="001B6C3D">
            <w:pPr>
              <w:pStyle w:val="TableText0"/>
              <w:keepNext w:val="0"/>
            </w:pPr>
          </w:p>
          <w:p w:rsidR="004E5354" w:rsidRPr="001779EA" w:rsidRDefault="004E5354" w:rsidP="001B6C3D">
            <w:pPr>
              <w:pStyle w:val="TableText0"/>
              <w:keepNext w:val="0"/>
            </w:pPr>
            <w:r w:rsidRPr="001779EA">
              <w:t>17%</w:t>
            </w:r>
          </w:p>
        </w:tc>
        <w:tc>
          <w:tcPr>
            <w:tcW w:w="1843" w:type="dxa"/>
            <w:tcBorders>
              <w:top w:val="nil"/>
              <w:left w:val="single" w:sz="4" w:space="0" w:color="auto"/>
              <w:bottom w:val="single" w:sz="4" w:space="0" w:color="auto"/>
              <w:right w:val="single" w:sz="4" w:space="0" w:color="auto"/>
            </w:tcBorders>
            <w:vAlign w:val="center"/>
          </w:tcPr>
          <w:p w:rsidR="004E5354" w:rsidRPr="001779EA" w:rsidRDefault="004E5354" w:rsidP="001B6C3D">
            <w:pPr>
              <w:pStyle w:val="TableText0"/>
              <w:keepNext w:val="0"/>
            </w:pPr>
            <w:r w:rsidRPr="001779EA">
              <w:lastRenderedPageBreak/>
              <w:t xml:space="preserve">Kurosky 2018, p.e533 Figure 1 </w:t>
            </w:r>
          </w:p>
          <w:p w:rsidR="004E5354" w:rsidRPr="001779EA" w:rsidRDefault="004E5354" w:rsidP="001B6C3D">
            <w:pPr>
              <w:pStyle w:val="TableText0"/>
              <w:keepNext w:val="0"/>
            </w:pPr>
          </w:p>
          <w:p w:rsidR="004E5354" w:rsidRPr="001779EA" w:rsidRDefault="004E5354" w:rsidP="001B6C3D">
            <w:pPr>
              <w:pStyle w:val="TableText0"/>
              <w:keepNext w:val="0"/>
            </w:pPr>
            <w:r w:rsidRPr="001779EA">
              <w:t>Assumption</w:t>
            </w: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B92A01" w:rsidRPr="001779EA" w:rsidTr="00DA33B1">
        <w:tc>
          <w:tcPr>
            <w:tcW w:w="2405" w:type="dxa"/>
            <w:tcBorders>
              <w:top w:val="nil"/>
              <w:left w:val="single" w:sz="4" w:space="0" w:color="auto"/>
              <w:bottom w:val="single" w:sz="4" w:space="0" w:color="auto"/>
              <w:right w:val="single" w:sz="4" w:space="0" w:color="auto"/>
            </w:tcBorders>
            <w:vAlign w:val="center"/>
          </w:tcPr>
          <w:p w:rsidR="00B92A01" w:rsidRPr="001779EA" w:rsidRDefault="00B92A01" w:rsidP="001B6C3D">
            <w:pPr>
              <w:pStyle w:val="TableText0"/>
              <w:keepNext w:val="0"/>
            </w:pPr>
            <w:r w:rsidRPr="001779EA">
              <w:t>Uptake rates</w:t>
            </w:r>
            <w:r w:rsidR="009030A4" w:rsidRPr="001779EA">
              <w:t xml:space="preserve"> (displacement of EVE+EXE)</w:t>
            </w:r>
          </w:p>
        </w:tc>
        <w:tc>
          <w:tcPr>
            <w:tcW w:w="992" w:type="dxa"/>
            <w:tcBorders>
              <w:top w:val="nil"/>
              <w:left w:val="single" w:sz="4" w:space="0" w:color="auto"/>
              <w:bottom w:val="single" w:sz="4" w:space="0" w:color="auto"/>
              <w:right w:val="single" w:sz="4" w:space="0" w:color="auto"/>
            </w:tcBorders>
            <w:vAlign w:val="center"/>
          </w:tcPr>
          <w:p w:rsidR="009030A4" w:rsidRPr="001779EA" w:rsidRDefault="009030A4" w:rsidP="001B6C3D">
            <w:pPr>
              <w:pStyle w:val="TableText0"/>
              <w:keepNext w:val="0"/>
            </w:pPr>
            <w:r w:rsidRPr="001779EA">
              <w:t>Yr 1 50%</w:t>
            </w:r>
          </w:p>
          <w:p w:rsidR="00B92A01" w:rsidRPr="001779EA" w:rsidRDefault="009030A4" w:rsidP="009030A4">
            <w:pPr>
              <w:pStyle w:val="TableText0"/>
              <w:keepNext w:val="0"/>
            </w:pPr>
            <w:r w:rsidRPr="001779EA">
              <w:t>Yr 4+ 80%</w:t>
            </w:r>
          </w:p>
        </w:tc>
        <w:tc>
          <w:tcPr>
            <w:tcW w:w="1843" w:type="dxa"/>
            <w:tcBorders>
              <w:top w:val="nil"/>
              <w:left w:val="single" w:sz="4" w:space="0" w:color="auto"/>
              <w:bottom w:val="single" w:sz="4" w:space="0" w:color="auto"/>
              <w:right w:val="single" w:sz="4" w:space="0" w:color="auto"/>
            </w:tcBorders>
            <w:vAlign w:val="center"/>
          </w:tcPr>
          <w:p w:rsidR="00B92A01" w:rsidRPr="001779EA" w:rsidRDefault="00E02F86" w:rsidP="001B6C3D">
            <w:pPr>
              <w:pStyle w:val="TableText0"/>
              <w:keepNext w:val="0"/>
            </w:pPr>
            <w:r w:rsidRPr="001779EA">
              <w:t>Unclear</w:t>
            </w:r>
          </w:p>
        </w:tc>
        <w:tc>
          <w:tcPr>
            <w:tcW w:w="3777" w:type="dxa"/>
            <w:tcBorders>
              <w:top w:val="single" w:sz="4" w:space="0" w:color="auto"/>
              <w:left w:val="single" w:sz="4" w:space="0" w:color="auto"/>
              <w:bottom w:val="single" w:sz="4" w:space="0" w:color="auto"/>
              <w:right w:val="single" w:sz="4" w:space="0" w:color="auto"/>
            </w:tcBorders>
            <w:vAlign w:val="center"/>
          </w:tcPr>
          <w:p w:rsidR="00B92A01" w:rsidRPr="001779EA" w:rsidRDefault="00E02F86" w:rsidP="00E02F86">
            <w:pPr>
              <w:jc w:val="left"/>
              <w:rPr>
                <w:rFonts w:ascii="Arial Narrow" w:eastAsiaTheme="majorEastAsia" w:hAnsi="Arial Narrow" w:cstheme="majorBidi"/>
                <w:bCs/>
                <w:sz w:val="20"/>
              </w:rPr>
            </w:pPr>
            <w:r w:rsidRPr="001779EA">
              <w:rPr>
                <w:rFonts w:ascii="Arial Narrow" w:eastAsiaTheme="majorEastAsia" w:hAnsi="Arial Narrow" w:cstheme="majorBidi"/>
                <w:bCs/>
                <w:sz w:val="20"/>
              </w:rPr>
              <w:t>DUSC considered that the assumption that fulvestrant would displace 80% of EVE+EXE use by year 4 is significantly overestimated and not justified in the submission</w:t>
            </w: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Fulvestrant second-line scripts per course of treatment</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6.7</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Section 3B. CONFIRM median duration of treatment + loading dose</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571E0C" w:rsidP="001B6C3D">
            <w:pPr>
              <w:pStyle w:val="TableText0"/>
              <w:keepNext w:val="0"/>
            </w:pPr>
            <w:r w:rsidRPr="001779EA">
              <w:t>The commentary considered that this was reasonable.</w:t>
            </w:r>
          </w:p>
        </w:tc>
      </w:tr>
      <w:tr w:rsidR="00DA33B1" w:rsidRPr="001779EA" w:rsidTr="00DA33B1">
        <w:tc>
          <w:tcPr>
            <w:tcW w:w="2405" w:type="dxa"/>
            <w:tcBorders>
              <w:top w:val="single" w:sz="4" w:space="0" w:color="auto"/>
              <w:left w:val="single" w:sz="4" w:space="0" w:color="auto"/>
              <w:bottom w:val="nil"/>
              <w:right w:val="single" w:sz="4" w:space="0" w:color="auto"/>
            </w:tcBorders>
            <w:vAlign w:val="center"/>
            <w:hideMark/>
          </w:tcPr>
          <w:p w:rsidR="004E5354" w:rsidRPr="001779EA" w:rsidRDefault="00DA33B1" w:rsidP="001B6C3D">
            <w:pPr>
              <w:pStyle w:val="TableText0"/>
              <w:keepNext w:val="0"/>
            </w:pPr>
            <w:r w:rsidRPr="001779EA">
              <w:t>EVE+EXE</w:t>
            </w:r>
            <w:r w:rsidR="004E5354" w:rsidRPr="001779EA">
              <w:t xml:space="preserve"> scripts per course of treatment:</w:t>
            </w:r>
          </w:p>
        </w:tc>
        <w:tc>
          <w:tcPr>
            <w:tcW w:w="992" w:type="dxa"/>
            <w:tcBorders>
              <w:top w:val="single" w:sz="4" w:space="0" w:color="auto"/>
              <w:left w:val="single" w:sz="4" w:space="0" w:color="auto"/>
              <w:bottom w:val="nil"/>
              <w:right w:val="single" w:sz="4" w:space="0" w:color="auto"/>
            </w:tcBorders>
            <w:vAlign w:val="center"/>
          </w:tcPr>
          <w:p w:rsidR="004E5354" w:rsidRPr="001779EA" w:rsidRDefault="004E5354" w:rsidP="001B6C3D">
            <w:pPr>
              <w:pStyle w:val="TableText0"/>
              <w:keepNext w:val="0"/>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TableText0"/>
              <w:keepNext w:val="0"/>
            </w:pPr>
            <w:r w:rsidRPr="001779EA">
              <w:t>Section 3B. BOLERO-2 (Yardley 2013)</w:t>
            </w:r>
          </w:p>
        </w:tc>
        <w:tc>
          <w:tcPr>
            <w:tcW w:w="3777" w:type="dxa"/>
            <w:vMerge w:val="restar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DA33B1">
            <w:pPr>
              <w:pStyle w:val="TableText0"/>
              <w:keepNext w:val="0"/>
            </w:pPr>
            <w:r w:rsidRPr="001779EA">
              <w:t xml:space="preserve">This is inconsistent with Section 3A where patients receive targeted second-line treatment of </w:t>
            </w:r>
            <w:r w:rsidR="00DA33B1" w:rsidRPr="001779EA">
              <w:t>EVE+EXE</w:t>
            </w:r>
            <w:r w:rsidRPr="001779EA">
              <w:t xml:space="preserve"> for 23.90 weeks (5.58 months). It is not clear why the submission split the treatment duration on EVE and EXE in Section 3B and Section 4.</w:t>
            </w:r>
          </w:p>
        </w:tc>
      </w:tr>
      <w:tr w:rsidR="00DA33B1" w:rsidRPr="001779EA" w:rsidTr="00DA33B1">
        <w:tc>
          <w:tcPr>
            <w:tcW w:w="2405"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rPr>
                <w:rFonts w:cs="Arial"/>
                <w:szCs w:val="20"/>
              </w:rPr>
            </w:pPr>
            <w:r w:rsidRPr="001779EA">
              <w:t>Everolimus</w:t>
            </w:r>
          </w:p>
        </w:tc>
        <w:tc>
          <w:tcPr>
            <w:tcW w:w="992" w:type="dxa"/>
            <w:tcBorders>
              <w:top w:val="nil"/>
              <w:left w:val="single" w:sz="4" w:space="0" w:color="auto"/>
              <w:bottom w:val="nil"/>
              <w:right w:val="single" w:sz="4" w:space="0" w:color="auto"/>
            </w:tcBorders>
            <w:vAlign w:val="center"/>
            <w:hideMark/>
          </w:tcPr>
          <w:p w:rsidR="004E5354" w:rsidRPr="001779EA" w:rsidRDefault="004E5354" w:rsidP="001B6C3D">
            <w:pPr>
              <w:pStyle w:val="TableText0"/>
              <w:keepNext w:val="0"/>
            </w:pPr>
            <w:r w:rsidRPr="001779EA">
              <w:t>5.58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DA33B1" w:rsidRPr="001779EA" w:rsidTr="00DA33B1">
        <w:tc>
          <w:tcPr>
            <w:tcW w:w="2405" w:type="dxa"/>
            <w:tcBorders>
              <w:top w:val="nil"/>
              <w:left w:val="single" w:sz="4" w:space="0" w:color="auto"/>
              <w:bottom w:val="single" w:sz="4" w:space="0" w:color="auto"/>
              <w:right w:val="single" w:sz="4" w:space="0" w:color="auto"/>
            </w:tcBorders>
            <w:vAlign w:val="center"/>
            <w:hideMark/>
          </w:tcPr>
          <w:p w:rsidR="004E5354" w:rsidRPr="001779EA" w:rsidRDefault="004E5354" w:rsidP="001B6C3D">
            <w:pPr>
              <w:pStyle w:val="TableText0"/>
              <w:keepNext w:val="0"/>
            </w:pPr>
            <w:r w:rsidRPr="001779EA">
              <w:t>Exemestane</w:t>
            </w:r>
          </w:p>
        </w:tc>
        <w:tc>
          <w:tcPr>
            <w:tcW w:w="992" w:type="dxa"/>
            <w:tcBorders>
              <w:top w:val="nil"/>
              <w:left w:val="single" w:sz="4" w:space="0" w:color="auto"/>
              <w:bottom w:val="single" w:sz="4" w:space="0" w:color="auto"/>
              <w:right w:val="single" w:sz="4" w:space="0" w:color="auto"/>
            </w:tcBorders>
            <w:vAlign w:val="center"/>
            <w:hideMark/>
          </w:tcPr>
          <w:p w:rsidR="004E5354" w:rsidRPr="001779EA" w:rsidRDefault="004E5354" w:rsidP="001B6C3D">
            <w:pPr>
              <w:pStyle w:val="TableText0"/>
              <w:keepNext w:val="0"/>
            </w:pPr>
            <w:r w:rsidRPr="001779EA">
              <w:t>6.88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c>
          <w:tcPr>
            <w:tcW w:w="3777" w:type="dxa"/>
            <w:vMerge/>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jc w:val="left"/>
              <w:rPr>
                <w:rFonts w:ascii="Arial Narrow" w:eastAsiaTheme="majorEastAsia" w:hAnsi="Arial Narrow" w:cstheme="majorBidi"/>
                <w:bCs/>
                <w:sz w:val="20"/>
              </w:rPr>
            </w:pP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Chemotherapy second-line scripts per course of treatment (assumed capecitabine)</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6.73</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Kurosky 2018</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EE48C7">
            <w:pPr>
              <w:pStyle w:val="TableText0"/>
              <w:keepNext w:val="0"/>
            </w:pPr>
          </w:p>
        </w:tc>
      </w:tr>
      <w:tr w:rsidR="00DA33B1" w:rsidRPr="001779EA" w:rsidTr="00DA33B1">
        <w:tc>
          <w:tcPr>
            <w:tcW w:w="2405"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NSAI second-line scripts per course of treatment</w:t>
            </w:r>
          </w:p>
        </w:tc>
        <w:tc>
          <w:tcPr>
            <w:tcW w:w="992"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5.78</w:t>
            </w:r>
          </w:p>
        </w:tc>
        <w:tc>
          <w:tcPr>
            <w:tcW w:w="1843" w:type="dxa"/>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TableText0"/>
              <w:keepNext w:val="0"/>
            </w:pPr>
            <w:r w:rsidRPr="001779EA">
              <w:t>Assumed same median duration of treatment as fulvestrant second-line (CONFIRM)</w:t>
            </w:r>
          </w:p>
        </w:tc>
        <w:tc>
          <w:tcPr>
            <w:tcW w:w="3777" w:type="dxa"/>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571E0C">
            <w:pPr>
              <w:pStyle w:val="TableText0"/>
              <w:keepNext w:val="0"/>
            </w:pPr>
            <w:r w:rsidRPr="001779EA">
              <w:t>Th</w:t>
            </w:r>
            <w:r w:rsidR="00571E0C" w:rsidRPr="001779EA">
              <w:t>e commentary considered that this was</w:t>
            </w:r>
            <w:r w:rsidRPr="001779EA">
              <w:t xml:space="preserve"> reasonable.</w:t>
            </w:r>
          </w:p>
        </w:tc>
      </w:tr>
    </w:tbl>
    <w:p w:rsidR="004E5354" w:rsidRPr="001779EA" w:rsidRDefault="004E5354" w:rsidP="004E5354">
      <w:pPr>
        <w:pStyle w:val="TableFigureFooter"/>
      </w:pPr>
      <w:r w:rsidRPr="001779EA">
        <w:t>Source: Tables 4.1, &amp; 4.10, pp166-167 &amp; 175 of the submission; Fulvestrant financial estimates workbook, ‘Registry population’ worksheet.</w:t>
      </w:r>
    </w:p>
    <w:p w:rsidR="004E5354" w:rsidRPr="001779EA" w:rsidRDefault="004E5354" w:rsidP="004E5354">
      <w:pPr>
        <w:pStyle w:val="TableFigureFooter"/>
      </w:pPr>
      <w:r w:rsidRPr="001779EA">
        <w:t>ABC = advanced breast cancer; ACIM = Australia Cancer Incidence and Mortality; AEMP = average ex-manufacturer price; AIHW = Australian Institute of Health and Welfare; CDK4/6 = cyclin dependant kinase 4/6; DPMQ = dispensed price maximum quantity; DUSC = Drug Utilisation Sub Committee; HR+ = hormone receptor positive; HER2- = human epidermal growth factor receptor 2 negative; IV = intravenous; NSAI = non-steroidal aromatase inhibitor; PBS = pharmaceutical benefits scheme; PO = oral administration.</w:t>
      </w:r>
    </w:p>
    <w:p w:rsidR="004E5354" w:rsidRPr="001779EA" w:rsidRDefault="004E5354" w:rsidP="004E5354">
      <w:pPr>
        <w:pStyle w:val="3-BodyText"/>
        <w:numPr>
          <w:ilvl w:val="1"/>
          <w:numId w:val="1"/>
        </w:numPr>
        <w:snapToGrid w:val="0"/>
      </w:pPr>
      <w:r w:rsidRPr="001779EA">
        <w:t>The estimated use and financial implications for a first-line and second-line listing of fulve</w:t>
      </w:r>
      <w:r w:rsidR="00D673A5" w:rsidRPr="001779EA">
        <w:t>strant are presented in Table 19</w:t>
      </w:r>
      <w:r w:rsidRPr="001779EA">
        <w:t>.</w:t>
      </w:r>
    </w:p>
    <w:p w:rsidR="004E5354" w:rsidRPr="001779EA" w:rsidRDefault="00D673A5" w:rsidP="004E5354">
      <w:pPr>
        <w:pStyle w:val="3-BodyText"/>
        <w:keepNext/>
        <w:keepLines/>
        <w:numPr>
          <w:ilvl w:val="0"/>
          <w:numId w:val="0"/>
        </w:numPr>
        <w:spacing w:after="0"/>
        <w:rPr>
          <w:rStyle w:val="CommentReference"/>
        </w:rPr>
      </w:pPr>
      <w:r w:rsidRPr="001779EA">
        <w:rPr>
          <w:rStyle w:val="CommentReference"/>
        </w:rPr>
        <w:lastRenderedPageBreak/>
        <w:t>Table 19</w:t>
      </w:r>
      <w:r w:rsidR="004E5354" w:rsidRPr="001779EA">
        <w:rPr>
          <w:rStyle w:val="CommentReference"/>
        </w:rPr>
        <w:t>: Estimated use and financial implications first- and second-line treatment combined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4"/>
        <w:gridCol w:w="944"/>
        <w:gridCol w:w="965"/>
        <w:gridCol w:w="944"/>
        <w:gridCol w:w="945"/>
        <w:gridCol w:w="945"/>
        <w:gridCol w:w="965"/>
        <w:gridCol w:w="1375"/>
      </w:tblGrid>
      <w:tr w:rsidR="004E5354" w:rsidRPr="001779EA" w:rsidTr="001B6C3D">
        <w:trPr>
          <w:tblHeader/>
        </w:trPr>
        <w:tc>
          <w:tcPr>
            <w:tcW w:w="1076" w:type="pct"/>
            <w:tcBorders>
              <w:top w:val="single" w:sz="4" w:space="0" w:color="auto"/>
              <w:left w:val="single" w:sz="4" w:space="0" w:color="auto"/>
              <w:bottom w:val="single" w:sz="4" w:space="0" w:color="auto"/>
              <w:right w:val="single" w:sz="4" w:space="0" w:color="auto"/>
            </w:tcBorders>
            <w:vAlign w:val="center"/>
          </w:tcPr>
          <w:p w:rsidR="004E5354" w:rsidRPr="001779EA" w:rsidRDefault="004E5354" w:rsidP="001B6C3D">
            <w:pPr>
              <w:pStyle w:val="In-tableHeading"/>
              <w:keepLines/>
              <w:widowControl w:val="0"/>
              <w:rPr>
                <w:lang w:val="en-AU"/>
              </w:rPr>
            </w:pPr>
          </w:p>
        </w:tc>
        <w:tc>
          <w:tcPr>
            <w:tcW w:w="526" w:type="pc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Lines/>
              <w:widowControl w:val="0"/>
              <w:rPr>
                <w:lang w:val="en-AU"/>
              </w:rPr>
            </w:pPr>
            <w:r w:rsidRPr="001779EA">
              <w:rPr>
                <w:lang w:val="en-AU"/>
              </w:rPr>
              <w:t>Year 1</w:t>
            </w:r>
          </w:p>
          <w:p w:rsidR="004E5354" w:rsidRPr="001779EA" w:rsidRDefault="004E5354" w:rsidP="001B6C3D">
            <w:pPr>
              <w:pStyle w:val="In-tableHeading"/>
              <w:keepLines/>
              <w:widowControl w:val="0"/>
              <w:rPr>
                <w:lang w:val="en-AU"/>
              </w:rPr>
            </w:pPr>
            <w:r w:rsidRPr="001779EA">
              <w:rPr>
                <w:lang w:val="en-AU"/>
              </w:rPr>
              <w:t>2021</w:t>
            </w:r>
          </w:p>
        </w:tc>
        <w:tc>
          <w:tcPr>
            <w:tcW w:w="526" w:type="pc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Lines/>
              <w:widowControl w:val="0"/>
              <w:rPr>
                <w:lang w:val="en-AU"/>
              </w:rPr>
            </w:pPr>
            <w:r w:rsidRPr="001779EA">
              <w:rPr>
                <w:lang w:val="en-AU"/>
              </w:rPr>
              <w:t>Year 2</w:t>
            </w:r>
          </w:p>
          <w:p w:rsidR="004E5354" w:rsidRPr="001779EA" w:rsidRDefault="004E5354" w:rsidP="001B6C3D">
            <w:pPr>
              <w:pStyle w:val="In-tableHeading"/>
              <w:keepLines/>
              <w:widowControl w:val="0"/>
              <w:rPr>
                <w:lang w:val="en-AU"/>
              </w:rPr>
            </w:pPr>
            <w:r w:rsidRPr="001779EA">
              <w:rPr>
                <w:lang w:val="en-AU"/>
              </w:rPr>
              <w:t>2022</w:t>
            </w:r>
          </w:p>
        </w:tc>
        <w:tc>
          <w:tcPr>
            <w:tcW w:w="526" w:type="pc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Lines/>
              <w:widowControl w:val="0"/>
              <w:rPr>
                <w:lang w:val="en-AU"/>
              </w:rPr>
            </w:pPr>
            <w:r w:rsidRPr="001779EA">
              <w:rPr>
                <w:lang w:val="en-AU"/>
              </w:rPr>
              <w:t>Year 3</w:t>
            </w:r>
          </w:p>
          <w:p w:rsidR="004E5354" w:rsidRPr="001779EA" w:rsidRDefault="004E5354" w:rsidP="001B6C3D">
            <w:pPr>
              <w:pStyle w:val="In-tableHeading"/>
              <w:keepLines/>
              <w:widowControl w:val="0"/>
              <w:rPr>
                <w:lang w:val="en-AU"/>
              </w:rPr>
            </w:pPr>
            <w:r w:rsidRPr="001779EA">
              <w:rPr>
                <w:lang w:val="en-AU"/>
              </w:rPr>
              <w:t>2023</w:t>
            </w:r>
          </w:p>
        </w:tc>
        <w:tc>
          <w:tcPr>
            <w:tcW w:w="527" w:type="pc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Lines/>
              <w:widowControl w:val="0"/>
              <w:rPr>
                <w:lang w:val="en-AU"/>
              </w:rPr>
            </w:pPr>
            <w:r w:rsidRPr="001779EA">
              <w:rPr>
                <w:lang w:val="en-AU"/>
              </w:rPr>
              <w:t>Year 4</w:t>
            </w:r>
          </w:p>
          <w:p w:rsidR="004E5354" w:rsidRPr="001779EA" w:rsidRDefault="004E5354" w:rsidP="001B6C3D">
            <w:pPr>
              <w:pStyle w:val="In-tableHeading"/>
              <w:keepLines/>
              <w:widowControl w:val="0"/>
              <w:rPr>
                <w:lang w:val="en-AU"/>
              </w:rPr>
            </w:pPr>
            <w:r w:rsidRPr="001779EA">
              <w:rPr>
                <w:lang w:val="en-AU"/>
              </w:rPr>
              <w:t>2024</w:t>
            </w:r>
          </w:p>
        </w:tc>
        <w:tc>
          <w:tcPr>
            <w:tcW w:w="527" w:type="pc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Lines/>
              <w:widowControl w:val="0"/>
              <w:rPr>
                <w:lang w:val="en-AU"/>
              </w:rPr>
            </w:pPr>
            <w:r w:rsidRPr="001779EA">
              <w:rPr>
                <w:lang w:val="en-AU"/>
              </w:rPr>
              <w:t>Year 5</w:t>
            </w:r>
          </w:p>
          <w:p w:rsidR="004E5354" w:rsidRPr="001779EA" w:rsidRDefault="004E5354" w:rsidP="001B6C3D">
            <w:pPr>
              <w:pStyle w:val="In-tableHeading"/>
              <w:keepLines/>
              <w:widowControl w:val="0"/>
              <w:rPr>
                <w:lang w:val="en-AU"/>
              </w:rPr>
            </w:pPr>
            <w:r w:rsidRPr="001779EA">
              <w:rPr>
                <w:lang w:val="en-AU"/>
              </w:rPr>
              <w:t>2025</w:t>
            </w:r>
          </w:p>
        </w:tc>
        <w:tc>
          <w:tcPr>
            <w:tcW w:w="527" w:type="pct"/>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In-tableHeading"/>
              <w:keepLines/>
              <w:widowControl w:val="0"/>
              <w:rPr>
                <w:lang w:val="en-AU"/>
              </w:rPr>
            </w:pPr>
            <w:r w:rsidRPr="001779EA">
              <w:rPr>
                <w:lang w:val="en-AU"/>
              </w:rPr>
              <w:t>Year 6</w:t>
            </w:r>
          </w:p>
          <w:p w:rsidR="004E5354" w:rsidRPr="001779EA" w:rsidRDefault="004E5354" w:rsidP="001B6C3D">
            <w:pPr>
              <w:pStyle w:val="In-tableHeading"/>
              <w:keepLines/>
              <w:widowControl w:val="0"/>
              <w:rPr>
                <w:lang w:val="en-AU"/>
              </w:rPr>
            </w:pPr>
            <w:r w:rsidRPr="001779EA">
              <w:rPr>
                <w:lang w:val="en-AU"/>
              </w:rPr>
              <w:t>2026</w:t>
            </w:r>
          </w:p>
        </w:tc>
        <w:tc>
          <w:tcPr>
            <w:tcW w:w="765" w:type="pct"/>
            <w:tcBorders>
              <w:top w:val="single" w:sz="4" w:space="0" w:color="auto"/>
              <w:left w:val="single" w:sz="4" w:space="0" w:color="auto"/>
              <w:bottom w:val="single" w:sz="4" w:space="0" w:color="auto"/>
              <w:right w:val="single" w:sz="4" w:space="0" w:color="auto"/>
            </w:tcBorders>
            <w:hideMark/>
          </w:tcPr>
          <w:p w:rsidR="004E5354" w:rsidRPr="001779EA" w:rsidRDefault="004E5354" w:rsidP="001B6C3D">
            <w:pPr>
              <w:pStyle w:val="In-tableHeading"/>
              <w:keepLines/>
              <w:widowControl w:val="0"/>
              <w:rPr>
                <w:lang w:val="en-AU"/>
              </w:rPr>
            </w:pPr>
            <w:r w:rsidRPr="001779EA">
              <w:rPr>
                <w:lang w:val="en-AU"/>
              </w:rPr>
              <w:t>Total</w:t>
            </w:r>
          </w:p>
        </w:tc>
      </w:tr>
      <w:tr w:rsidR="004E5354" w:rsidRPr="001779EA" w:rsidTr="001B6C3D">
        <w:tc>
          <w:tcPr>
            <w:tcW w:w="1076" w:type="pct"/>
            <w:tcBorders>
              <w:top w:val="single" w:sz="4" w:space="0" w:color="auto"/>
              <w:left w:val="single" w:sz="4" w:space="0" w:color="auto"/>
              <w:bottom w:val="nil"/>
              <w:right w:val="single" w:sz="4" w:space="0" w:color="auto"/>
            </w:tcBorders>
            <w:vAlign w:val="bottom"/>
            <w:hideMark/>
          </w:tcPr>
          <w:p w:rsidR="004E5354" w:rsidRPr="001779EA" w:rsidRDefault="004E5354" w:rsidP="001B6C3D">
            <w:pPr>
              <w:pStyle w:val="TableText0"/>
              <w:keepLines/>
              <w:widowControl w:val="0"/>
            </w:pPr>
            <w:r w:rsidRPr="001779EA">
              <w:rPr>
                <w:color w:val="000000"/>
                <w:szCs w:val="20"/>
              </w:rPr>
              <w:t>Total fulvestrant patients for first-line and second-line</w:t>
            </w:r>
          </w:p>
        </w:tc>
        <w:tc>
          <w:tcPr>
            <w:tcW w:w="526" w:type="pct"/>
            <w:tcBorders>
              <w:top w:val="nil"/>
              <w:left w:val="nil"/>
              <w:bottom w:val="single" w:sz="4" w:space="0" w:color="auto"/>
              <w:right w:val="single" w:sz="4" w:space="0" w:color="auto"/>
            </w:tcBorders>
            <w:vAlign w:val="center"/>
            <w:hideMark/>
          </w:tcPr>
          <w:p w:rsidR="004E5354" w:rsidRPr="00D728FC" w:rsidRDefault="00D728FC" w:rsidP="00EE48C7">
            <w:pPr>
              <w:pStyle w:val="TableText0"/>
              <w:keepLines/>
              <w:widowControl w:val="0"/>
              <w:jc w:val="center"/>
              <w:rPr>
                <w:rFonts w:cs="Arial"/>
                <w:color w:val="000000"/>
                <w:highlight w:val="black"/>
              </w:rPr>
            </w:pPr>
            <w:r>
              <w:rPr>
                <w:noProof/>
                <w:color w:val="000000"/>
                <w:highlight w:val="black"/>
              </w:rPr>
              <w:t>'''''''''''''</w:t>
            </w:r>
          </w:p>
        </w:tc>
        <w:tc>
          <w:tcPr>
            <w:tcW w:w="526" w:type="pct"/>
            <w:tcBorders>
              <w:top w:val="nil"/>
              <w:left w:val="nil"/>
              <w:bottom w:val="single" w:sz="4" w:space="0" w:color="auto"/>
              <w:right w:val="single" w:sz="4" w:space="0" w:color="auto"/>
            </w:tcBorders>
            <w:vAlign w:val="center"/>
            <w:hideMark/>
          </w:tcPr>
          <w:p w:rsidR="004E5354" w:rsidRPr="00D728FC" w:rsidRDefault="00D728FC" w:rsidP="00EE48C7">
            <w:pPr>
              <w:pStyle w:val="TableText0"/>
              <w:keepLines/>
              <w:widowControl w:val="0"/>
              <w:jc w:val="center"/>
              <w:rPr>
                <w:rFonts w:cs="Arial"/>
                <w:color w:val="000000"/>
                <w:highlight w:val="black"/>
              </w:rPr>
            </w:pPr>
            <w:r>
              <w:rPr>
                <w:noProof/>
                <w:color w:val="000000"/>
                <w:highlight w:val="black"/>
              </w:rPr>
              <w:t>''''''''</w:t>
            </w:r>
          </w:p>
        </w:tc>
        <w:tc>
          <w:tcPr>
            <w:tcW w:w="526" w:type="pct"/>
            <w:tcBorders>
              <w:top w:val="nil"/>
              <w:left w:val="nil"/>
              <w:bottom w:val="single" w:sz="4" w:space="0" w:color="auto"/>
              <w:right w:val="single" w:sz="4" w:space="0" w:color="auto"/>
            </w:tcBorders>
            <w:vAlign w:val="center"/>
            <w:hideMark/>
          </w:tcPr>
          <w:p w:rsidR="004E5354" w:rsidRPr="00D728FC" w:rsidRDefault="00D728FC" w:rsidP="00EE48C7">
            <w:pPr>
              <w:pStyle w:val="TableText0"/>
              <w:keepLines/>
              <w:widowControl w:val="0"/>
              <w:jc w:val="center"/>
              <w:rPr>
                <w:rFonts w:cs="Arial"/>
                <w:color w:val="000000"/>
                <w:highlight w:val="black"/>
              </w:rPr>
            </w:pPr>
            <w:r>
              <w:rPr>
                <w:noProof/>
                <w:color w:val="000000"/>
                <w:highlight w:val="black"/>
              </w:rPr>
              <w:t>'''''''''''''</w:t>
            </w:r>
          </w:p>
        </w:tc>
        <w:tc>
          <w:tcPr>
            <w:tcW w:w="527" w:type="pct"/>
            <w:tcBorders>
              <w:top w:val="nil"/>
              <w:left w:val="nil"/>
              <w:bottom w:val="single" w:sz="4" w:space="0" w:color="auto"/>
              <w:right w:val="single" w:sz="4" w:space="0" w:color="auto"/>
            </w:tcBorders>
            <w:vAlign w:val="center"/>
            <w:hideMark/>
          </w:tcPr>
          <w:p w:rsidR="004E5354" w:rsidRPr="00D728FC" w:rsidRDefault="00D728FC" w:rsidP="00EE48C7">
            <w:pPr>
              <w:pStyle w:val="TableText0"/>
              <w:keepLines/>
              <w:widowControl w:val="0"/>
              <w:jc w:val="center"/>
              <w:rPr>
                <w:rFonts w:cs="Arial"/>
                <w:color w:val="000000"/>
                <w:highlight w:val="black"/>
              </w:rPr>
            </w:pPr>
            <w:r>
              <w:rPr>
                <w:noProof/>
                <w:color w:val="000000"/>
                <w:highlight w:val="black"/>
              </w:rPr>
              <w:t>''''''''''''''</w:t>
            </w:r>
          </w:p>
        </w:tc>
        <w:tc>
          <w:tcPr>
            <w:tcW w:w="527" w:type="pct"/>
            <w:tcBorders>
              <w:top w:val="nil"/>
              <w:left w:val="nil"/>
              <w:bottom w:val="single" w:sz="4" w:space="0" w:color="auto"/>
              <w:right w:val="single" w:sz="4" w:space="0" w:color="auto"/>
            </w:tcBorders>
            <w:vAlign w:val="center"/>
            <w:hideMark/>
          </w:tcPr>
          <w:p w:rsidR="004E5354" w:rsidRPr="00D728FC" w:rsidRDefault="00D728FC" w:rsidP="00EE48C7">
            <w:pPr>
              <w:pStyle w:val="TableText0"/>
              <w:keepLines/>
              <w:widowControl w:val="0"/>
              <w:jc w:val="center"/>
              <w:rPr>
                <w:rFonts w:cs="Arial"/>
                <w:color w:val="000000"/>
                <w:highlight w:val="black"/>
              </w:rPr>
            </w:pPr>
            <w:r>
              <w:rPr>
                <w:noProof/>
                <w:color w:val="000000"/>
                <w:highlight w:val="black"/>
              </w:rPr>
              <w:t>''''''''''''''</w:t>
            </w:r>
          </w:p>
        </w:tc>
        <w:tc>
          <w:tcPr>
            <w:tcW w:w="527" w:type="pct"/>
            <w:tcBorders>
              <w:top w:val="nil"/>
              <w:left w:val="nil"/>
              <w:bottom w:val="single" w:sz="4" w:space="0" w:color="auto"/>
              <w:right w:val="single" w:sz="4" w:space="0" w:color="auto"/>
            </w:tcBorders>
            <w:vAlign w:val="center"/>
            <w:hideMark/>
          </w:tcPr>
          <w:p w:rsidR="004E5354" w:rsidRPr="00D728FC" w:rsidRDefault="00D728FC" w:rsidP="00EE48C7">
            <w:pPr>
              <w:pStyle w:val="TableText0"/>
              <w:keepLines/>
              <w:widowControl w:val="0"/>
              <w:jc w:val="center"/>
              <w:rPr>
                <w:rFonts w:cs="Arial"/>
                <w:color w:val="000000"/>
                <w:highlight w:val="black"/>
              </w:rPr>
            </w:pPr>
            <w:r>
              <w:rPr>
                <w:noProof/>
                <w:color w:val="000000"/>
                <w:highlight w:val="black"/>
              </w:rPr>
              <w:t>''''''''''''</w:t>
            </w:r>
          </w:p>
        </w:tc>
        <w:tc>
          <w:tcPr>
            <w:tcW w:w="765" w:type="pct"/>
            <w:tcBorders>
              <w:top w:val="single" w:sz="4" w:space="0" w:color="auto"/>
              <w:left w:val="nil"/>
              <w:bottom w:val="nil"/>
              <w:right w:val="single" w:sz="4" w:space="0" w:color="auto"/>
            </w:tcBorders>
            <w:vAlign w:val="center"/>
            <w:hideMark/>
          </w:tcPr>
          <w:p w:rsidR="004E5354" w:rsidRPr="00D728FC" w:rsidRDefault="00D728FC" w:rsidP="00EE48C7">
            <w:pPr>
              <w:pStyle w:val="TableText0"/>
              <w:keepLines/>
              <w:widowControl w:val="0"/>
              <w:jc w:val="center"/>
              <w:rPr>
                <w:highlight w:val="black"/>
              </w:rPr>
            </w:pPr>
            <w:r>
              <w:rPr>
                <w:rFonts w:cs="Arial"/>
                <w:iCs/>
                <w:noProof/>
                <w:color w:val="000000"/>
                <w:szCs w:val="20"/>
                <w:highlight w:val="black"/>
              </w:rPr>
              <w:t>'''''''''''''</w:t>
            </w:r>
          </w:p>
        </w:tc>
      </w:tr>
      <w:tr w:rsidR="005B6576" w:rsidRPr="001779EA" w:rsidTr="001B6C3D">
        <w:tc>
          <w:tcPr>
            <w:tcW w:w="1076" w:type="pct"/>
            <w:tcBorders>
              <w:top w:val="single" w:sz="4" w:space="0" w:color="auto"/>
              <w:left w:val="single" w:sz="4" w:space="0" w:color="auto"/>
              <w:bottom w:val="nil"/>
              <w:right w:val="single" w:sz="4" w:space="0" w:color="auto"/>
            </w:tcBorders>
            <w:vAlign w:val="bottom"/>
            <w:hideMark/>
          </w:tcPr>
          <w:p w:rsidR="005B6576" w:rsidRPr="001779EA" w:rsidRDefault="005B6576" w:rsidP="005B6576">
            <w:pPr>
              <w:pStyle w:val="TableText0"/>
              <w:keepLines/>
              <w:widowControl w:val="0"/>
            </w:pPr>
            <w:r w:rsidRPr="001779EA">
              <w:t>Total fulvestrant prescriptions for first-line and second-line (PBS/RPBS)</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5B6576" w:rsidRPr="00D728FC" w:rsidRDefault="00D728FC" w:rsidP="005B6576">
            <w:pPr>
              <w:pStyle w:val="TableText0"/>
              <w:keepLines/>
              <w:widowControl w:val="0"/>
              <w:jc w:val="center"/>
              <w:rPr>
                <w:highlight w:val="black"/>
              </w:rPr>
            </w:pPr>
            <w:r>
              <w:rPr>
                <w:noProof/>
                <w:color w:val="000000"/>
                <w:highlight w:val="black"/>
              </w:rPr>
              <w:t>''''''''''''''</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76" w:rsidRPr="00D728FC" w:rsidRDefault="00D728FC" w:rsidP="005B6576">
            <w:pPr>
              <w:pStyle w:val="TableText0"/>
              <w:keepLines/>
              <w:widowControl w:val="0"/>
              <w:jc w:val="center"/>
              <w:rPr>
                <w:highlight w:val="black"/>
              </w:rPr>
            </w:pPr>
            <w:r>
              <w:rPr>
                <w:noProof/>
                <w:color w:val="000000"/>
                <w:highlight w:val="black"/>
              </w:rPr>
              <w:t>'''''''''''''</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76" w:rsidRPr="00D728FC" w:rsidRDefault="00D728FC" w:rsidP="005B6576">
            <w:pPr>
              <w:pStyle w:val="TableText0"/>
              <w:keepLines/>
              <w:widowControl w:val="0"/>
              <w:jc w:val="center"/>
              <w:rPr>
                <w:highlight w:val="black"/>
              </w:rPr>
            </w:pPr>
            <w:r>
              <w:rPr>
                <w:noProof/>
                <w:color w:val="000000"/>
                <w:highlight w:val="black"/>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76" w:rsidRPr="00D728FC" w:rsidRDefault="00D728FC" w:rsidP="005B6576">
            <w:pPr>
              <w:pStyle w:val="TableText0"/>
              <w:keepLines/>
              <w:widowControl w:val="0"/>
              <w:jc w:val="center"/>
              <w:rPr>
                <w:highlight w:val="black"/>
              </w:rPr>
            </w:pPr>
            <w:r>
              <w:rPr>
                <w:noProof/>
                <w:color w:val="000000"/>
                <w:highlight w:val="black"/>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76" w:rsidRPr="00D728FC" w:rsidRDefault="00D728FC" w:rsidP="005B6576">
            <w:pPr>
              <w:pStyle w:val="TableText0"/>
              <w:keepLines/>
              <w:widowControl w:val="0"/>
              <w:jc w:val="center"/>
              <w:rPr>
                <w:highlight w:val="black"/>
              </w:rPr>
            </w:pPr>
            <w:r>
              <w:rPr>
                <w:noProof/>
                <w:color w:val="000000"/>
                <w:highlight w:val="black"/>
              </w:rPr>
              <w:t>''''''''''''''</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6576" w:rsidRPr="00D728FC" w:rsidRDefault="00D728FC" w:rsidP="005B6576">
            <w:pPr>
              <w:pStyle w:val="TableText0"/>
              <w:keepLines/>
              <w:widowControl w:val="0"/>
              <w:jc w:val="center"/>
              <w:rPr>
                <w:highlight w:val="black"/>
              </w:rPr>
            </w:pPr>
            <w:r>
              <w:rPr>
                <w:noProof/>
                <w:color w:val="000000"/>
                <w:highlight w:val="black"/>
              </w:rPr>
              <w:t>''''''''''''''</w:t>
            </w:r>
          </w:p>
        </w:tc>
        <w:tc>
          <w:tcPr>
            <w:tcW w:w="765" w:type="pct"/>
            <w:tcBorders>
              <w:top w:val="nil"/>
              <w:left w:val="single" w:sz="4" w:space="0" w:color="auto"/>
              <w:bottom w:val="single" w:sz="4" w:space="0" w:color="auto"/>
              <w:right w:val="single" w:sz="4" w:space="0" w:color="auto"/>
            </w:tcBorders>
            <w:vAlign w:val="center"/>
            <w:hideMark/>
          </w:tcPr>
          <w:p w:rsidR="005B6576" w:rsidRPr="00D728FC" w:rsidRDefault="00D728FC" w:rsidP="005B6576">
            <w:pPr>
              <w:pStyle w:val="TableText0"/>
              <w:keepLines/>
              <w:widowControl w:val="0"/>
              <w:jc w:val="center"/>
              <w:rPr>
                <w:highlight w:val="black"/>
              </w:rPr>
            </w:pPr>
            <w:r>
              <w:rPr>
                <w:noProof/>
                <w:color w:val="000000"/>
                <w:highlight w:val="black"/>
              </w:rPr>
              <w:t>''''''''''''''''</w:t>
            </w:r>
          </w:p>
        </w:tc>
      </w:tr>
      <w:tr w:rsidR="004E5354" w:rsidRPr="001779EA" w:rsidTr="001B6C3D">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4E5354" w:rsidRPr="001779EA" w:rsidRDefault="004E5354" w:rsidP="001B6C3D">
            <w:pPr>
              <w:pStyle w:val="TableText0"/>
              <w:keepLines/>
              <w:widowControl w:val="0"/>
              <w:rPr>
                <w:rFonts w:cs="Arial"/>
                <w:b/>
                <w:color w:val="000000"/>
              </w:rPr>
            </w:pPr>
            <w:r w:rsidRPr="001779EA">
              <w:rPr>
                <w:rFonts w:cs="Arial"/>
                <w:b/>
                <w:color w:val="000000"/>
              </w:rPr>
              <w:t>Estimated total cost of fulvestrant to the PBS/RPBS (using effective DPMQ of $</w:t>
            </w:r>
            <w:r w:rsidR="00D728FC">
              <w:rPr>
                <w:rFonts w:cs="Arial"/>
                <w:b/>
                <w:noProof/>
                <w:color w:val="000000"/>
                <w:highlight w:val="black"/>
              </w:rPr>
              <w:t>'''''''''''''</w:t>
            </w:r>
            <w:r w:rsidRPr="001779EA">
              <w:rPr>
                <w:rFonts w:cs="Arial"/>
                <w:b/>
                <w:color w:val="000000"/>
              </w:rPr>
              <w:t xml:space="preserve">) </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AE7319" w:rsidRDefault="00AE7319" w:rsidP="00AE7319">
            <w:pPr>
              <w:pStyle w:val="TableText0"/>
              <w:keepLines/>
              <w:rPr>
                <w:bCs w:val="0"/>
              </w:rPr>
            </w:pPr>
            <w:r w:rsidRPr="00AE7319">
              <w:rPr>
                <w:rFonts w:eastAsia="Yu Gothic Light"/>
                <w:szCs w:val="20"/>
                <w:lang w:bidi="en-US"/>
              </w:rPr>
              <w:t>Cost of fulvestrant to PBS</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E7319" w:rsidRDefault="00AE7319" w:rsidP="00AE7319">
            <w:pPr>
              <w:pStyle w:val="TableText0"/>
              <w:keepLines/>
              <w:widowControl w:val="0"/>
              <w:jc w:val="center"/>
              <w:rPr>
                <w:rFonts w:eastAsia="Yu Gothic Light"/>
                <w:szCs w:val="20"/>
                <w:lang w:bidi="en-US"/>
              </w:rPr>
            </w:pPr>
            <w:r w:rsidRPr="00AE7319">
              <w:rPr>
                <w:rFonts w:eastAsia="Yu Gothic Light"/>
                <w:szCs w:val="20"/>
                <w:lang w:bidi="en-US"/>
              </w:rPr>
              <w:t>$</w:t>
            </w:r>
            <w:r w:rsidR="00D728FC">
              <w:rPr>
                <w:rFonts w:eastAsia="Yu Gothic Light"/>
                <w:noProof/>
                <w:color w:val="000000"/>
                <w:szCs w:val="20"/>
                <w:highlight w:val="black"/>
                <w:lang w:bidi="en-US"/>
              </w:rPr>
              <w:t>''''''''''''''''''''''''</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AE7319" w:rsidRDefault="00AE7319" w:rsidP="00AE7319">
            <w:pPr>
              <w:pStyle w:val="TableText0"/>
              <w:keepLines/>
              <w:rPr>
                <w:bCs w:val="0"/>
              </w:rPr>
            </w:pPr>
            <w:r w:rsidRPr="00AE7319">
              <w:rPr>
                <w:rFonts w:eastAsia="Yu Gothic Light"/>
                <w:szCs w:val="20"/>
                <w:lang w:bidi="en-US"/>
              </w:rPr>
              <w:t>Cost of changed PBS medicines</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E7319" w:rsidRDefault="00AE7319" w:rsidP="00AE7319">
            <w:pPr>
              <w:pStyle w:val="TableText0"/>
              <w:keepLines/>
              <w:widowControl w:val="0"/>
              <w:jc w:val="center"/>
              <w:rPr>
                <w:rFonts w:eastAsia="Yu Gothic Light"/>
                <w:szCs w:val="20"/>
                <w:lang w:bidi="en-US"/>
              </w:rPr>
            </w:pPr>
            <w:r w:rsidRPr="00AE7319">
              <w:rPr>
                <w:rFonts w:eastAsia="Yu Gothic Light"/>
                <w:szCs w:val="20"/>
                <w:lang w:bidi="en-US"/>
              </w:rPr>
              <w:t>-$</w:t>
            </w:r>
            <w:r w:rsidR="00D728FC">
              <w:rPr>
                <w:rFonts w:eastAsia="Yu Gothic Light"/>
                <w:noProof/>
                <w:color w:val="000000"/>
                <w:szCs w:val="20"/>
                <w:highlight w:val="black"/>
                <w:lang w:bidi="en-US"/>
              </w:rPr>
              <w:t>''''''''''''''''''''''''''''</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AE7319" w:rsidRDefault="00AE7319" w:rsidP="00AE7319">
            <w:pPr>
              <w:pStyle w:val="TableText0"/>
              <w:keepLines/>
              <w:rPr>
                <w:bCs w:val="0"/>
              </w:rPr>
            </w:pPr>
            <w:r w:rsidRPr="00AE7319">
              <w:rPr>
                <w:rFonts w:eastAsia="Yu Gothic Light"/>
                <w:szCs w:val="20"/>
                <w:lang w:bidi="en-US"/>
              </w:rPr>
              <w:t>Net cost to PBS</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E7319" w:rsidRDefault="00AE7319" w:rsidP="00AE7319">
            <w:pPr>
              <w:pStyle w:val="TableText0"/>
              <w:keepLines/>
              <w:widowControl w:val="0"/>
              <w:jc w:val="center"/>
              <w:rPr>
                <w:rFonts w:eastAsia="Yu Gothic Light"/>
                <w:szCs w:val="20"/>
                <w:lang w:bidi="en-US"/>
              </w:rPr>
            </w:pPr>
            <w:r w:rsidRPr="00AE7319">
              <w:rPr>
                <w:rFonts w:eastAsia="Yu Gothic Light"/>
                <w:szCs w:val="20"/>
                <w:lang w:bidi="en-US"/>
              </w:rPr>
              <w:t>$</w:t>
            </w:r>
            <w:r w:rsidR="00D728FC">
              <w:rPr>
                <w:rFonts w:eastAsia="Yu Gothic Light"/>
                <w:noProof/>
                <w:color w:val="000000"/>
                <w:szCs w:val="20"/>
                <w:highlight w:val="black"/>
                <w:lang w:bidi="en-US"/>
              </w:rPr>
              <w:t>'''''''''''''''''''''''''</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AE7319" w:rsidRDefault="00AE7319" w:rsidP="00AE7319">
            <w:pPr>
              <w:pStyle w:val="TableText0"/>
              <w:keepLines/>
              <w:rPr>
                <w:bCs w:val="0"/>
              </w:rPr>
            </w:pPr>
            <w:r w:rsidRPr="00AE7319">
              <w:rPr>
                <w:rFonts w:eastAsia="Yu Gothic Light"/>
                <w:szCs w:val="20"/>
                <w:lang w:bidi="en-US"/>
              </w:rPr>
              <w:t>Cost of fulvestrant to the RPBS</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E7319" w:rsidRDefault="00AE7319" w:rsidP="00AE7319">
            <w:pPr>
              <w:pStyle w:val="TableText0"/>
              <w:keepLines/>
              <w:widowControl w:val="0"/>
              <w:jc w:val="center"/>
              <w:rPr>
                <w:rFonts w:eastAsia="Yu Gothic Light"/>
                <w:szCs w:val="20"/>
                <w:lang w:bidi="en-US"/>
              </w:rPr>
            </w:pPr>
            <w:r w:rsidRPr="00AE7319">
              <w:rPr>
                <w:rFonts w:eastAsia="Yu Gothic Light"/>
                <w:szCs w:val="20"/>
                <w:lang w:bidi="en-US"/>
              </w:rPr>
              <w:t>$</w:t>
            </w:r>
            <w:r w:rsidR="00D728FC">
              <w:rPr>
                <w:rFonts w:eastAsia="Yu Gothic Light"/>
                <w:noProof/>
                <w:color w:val="000000"/>
                <w:szCs w:val="20"/>
                <w:highlight w:val="black"/>
                <w:lang w:bidi="en-US"/>
              </w:rPr>
              <w:t>''''''''''''''''''''</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AE7319" w:rsidRDefault="00AE7319" w:rsidP="00AE7319">
            <w:pPr>
              <w:pStyle w:val="TableText0"/>
              <w:keepLines/>
              <w:rPr>
                <w:bCs w:val="0"/>
              </w:rPr>
            </w:pPr>
            <w:r w:rsidRPr="00AE7319">
              <w:rPr>
                <w:rFonts w:eastAsia="Yu Gothic Light"/>
                <w:szCs w:val="20"/>
                <w:lang w:bidi="en-US"/>
              </w:rPr>
              <w:t>Cost of changed medicines</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E7319" w:rsidRDefault="00AE7319" w:rsidP="00AE7319">
            <w:pPr>
              <w:pStyle w:val="TableText0"/>
              <w:keepLines/>
              <w:widowControl w:val="0"/>
              <w:jc w:val="center"/>
              <w:rPr>
                <w:rFonts w:eastAsia="Yu Gothic Light"/>
                <w:szCs w:val="20"/>
                <w:lang w:bidi="en-US"/>
              </w:rPr>
            </w:pPr>
            <w:r w:rsidRPr="00AE7319">
              <w:rPr>
                <w:rFonts w:eastAsia="Yu Gothic Light"/>
                <w:szCs w:val="20"/>
                <w:lang w:bidi="en-US"/>
              </w:rPr>
              <w:t>-$</w:t>
            </w:r>
            <w:r w:rsidR="00D728FC">
              <w:rPr>
                <w:rFonts w:eastAsia="Yu Gothic Light"/>
                <w:noProof/>
                <w:color w:val="000000"/>
                <w:szCs w:val="20"/>
                <w:highlight w:val="black"/>
                <w:lang w:bidi="en-US"/>
              </w:rPr>
              <w:t>''''''''''''''''''''</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AE7319" w:rsidRDefault="00AE7319" w:rsidP="00AE7319">
            <w:pPr>
              <w:pStyle w:val="TableText0"/>
              <w:keepLines/>
              <w:rPr>
                <w:bCs w:val="0"/>
              </w:rPr>
            </w:pPr>
            <w:r w:rsidRPr="00AE7319">
              <w:rPr>
                <w:rFonts w:eastAsia="Yu Gothic Light"/>
                <w:szCs w:val="20"/>
                <w:lang w:bidi="en-US"/>
              </w:rPr>
              <w:t>Net cost to RPBS</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E7319" w:rsidRDefault="00AE7319" w:rsidP="00AE7319">
            <w:pPr>
              <w:pStyle w:val="TableText0"/>
              <w:keepLines/>
              <w:widowControl w:val="0"/>
              <w:jc w:val="center"/>
              <w:rPr>
                <w:rFonts w:eastAsia="Yu Gothic Light"/>
                <w:szCs w:val="20"/>
                <w:lang w:bidi="en-US"/>
              </w:rPr>
            </w:pPr>
            <w:r w:rsidRPr="00AE7319">
              <w:rPr>
                <w:rFonts w:eastAsia="Yu Gothic Light"/>
                <w:szCs w:val="20"/>
                <w:lang w:bidi="en-US"/>
              </w:rPr>
              <w:t>-$</w:t>
            </w:r>
            <w:r w:rsidR="00D728FC">
              <w:rPr>
                <w:rFonts w:eastAsia="Yu Gothic Light"/>
                <w:noProof/>
                <w:color w:val="000000"/>
                <w:szCs w:val="20"/>
                <w:highlight w:val="black"/>
                <w:lang w:bidi="en-US"/>
              </w:rPr>
              <w:t>'''''''''''''''''</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AE7319" w:rsidRDefault="00AE7319" w:rsidP="00AE7319">
            <w:pPr>
              <w:pStyle w:val="TableText0"/>
              <w:keepLines/>
              <w:rPr>
                <w:bCs w:val="0"/>
              </w:rPr>
            </w:pPr>
            <w:r w:rsidRPr="00AE7319">
              <w:rPr>
                <w:rFonts w:eastAsia="Yu Gothic Light"/>
                <w:szCs w:val="20"/>
                <w:lang w:bidi="en-US"/>
              </w:rPr>
              <w:t>Net cost PBS/RPBS</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1779EA" w:rsidRDefault="00AE7319" w:rsidP="00AE7319">
            <w:pPr>
              <w:pStyle w:val="TableText0"/>
              <w:keepLines/>
              <w:widowControl w:val="0"/>
              <w:jc w:val="center"/>
              <w:rPr>
                <w:rFonts w:cs="Arial"/>
                <w:color w:val="000000"/>
                <w:szCs w:val="20"/>
              </w:rPr>
            </w:pPr>
            <w:r w:rsidRPr="002D0BF3">
              <w:rPr>
                <w:rFonts w:eastAsia="Yu Gothic Light"/>
                <w:szCs w:val="20"/>
                <w:lang w:bidi="en-US"/>
              </w:rPr>
              <w:t>$</w:t>
            </w:r>
            <w:r w:rsidR="00D728FC">
              <w:rPr>
                <w:rFonts w:eastAsia="Yu Gothic Light"/>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E7319" w:rsidRDefault="00AE7319" w:rsidP="00AE7319">
            <w:pPr>
              <w:pStyle w:val="TableText0"/>
              <w:keepLines/>
              <w:widowControl w:val="0"/>
              <w:jc w:val="center"/>
              <w:rPr>
                <w:rFonts w:eastAsia="Yu Gothic Light"/>
                <w:szCs w:val="20"/>
                <w:lang w:bidi="en-US"/>
              </w:rPr>
            </w:pPr>
            <w:r w:rsidRPr="00AE7319">
              <w:rPr>
                <w:rFonts w:eastAsia="Yu Gothic Light"/>
                <w:szCs w:val="20"/>
                <w:lang w:bidi="en-US"/>
              </w:rPr>
              <w:t>$</w:t>
            </w:r>
            <w:r w:rsidR="00D728FC">
              <w:rPr>
                <w:rFonts w:eastAsia="Yu Gothic Light"/>
                <w:noProof/>
                <w:color w:val="000000"/>
                <w:szCs w:val="20"/>
                <w:highlight w:val="black"/>
                <w:lang w:bidi="en-US"/>
              </w:rPr>
              <w:t>''''''''''''''''''''''''''</w:t>
            </w:r>
          </w:p>
        </w:tc>
      </w:tr>
      <w:tr w:rsidR="00AE7319" w:rsidRPr="001779EA" w:rsidTr="00AE7319">
        <w:tc>
          <w:tcPr>
            <w:tcW w:w="1076" w:type="pct"/>
            <w:tcBorders>
              <w:top w:val="single" w:sz="4" w:space="0" w:color="auto"/>
              <w:left w:val="single" w:sz="4" w:space="0" w:color="auto"/>
              <w:bottom w:val="single" w:sz="4" w:space="0" w:color="auto"/>
              <w:right w:val="single" w:sz="4" w:space="0" w:color="auto"/>
            </w:tcBorders>
            <w:vAlign w:val="center"/>
          </w:tcPr>
          <w:p w:rsidR="00AE7319" w:rsidRPr="001779EA" w:rsidRDefault="00AE7319" w:rsidP="00AE7319">
            <w:pPr>
              <w:pStyle w:val="TableText0"/>
              <w:keepLines/>
              <w:rPr>
                <w:b/>
                <w:bCs w:val="0"/>
              </w:rPr>
            </w:pPr>
            <w:r w:rsidRPr="002D0BF3">
              <w:rPr>
                <w:rFonts w:eastAsia="Yu Gothic Light"/>
                <w:b/>
                <w:szCs w:val="20"/>
                <w:lang w:bidi="en-US"/>
              </w:rPr>
              <w:t>Net cost to Government (effective)</w:t>
            </w:r>
          </w:p>
        </w:tc>
        <w:tc>
          <w:tcPr>
            <w:tcW w:w="526" w:type="pct"/>
            <w:tcBorders>
              <w:top w:val="single" w:sz="4" w:space="0" w:color="auto"/>
              <w:left w:val="nil"/>
              <w:bottom w:val="single" w:sz="4" w:space="0" w:color="auto"/>
              <w:right w:val="single" w:sz="4" w:space="0" w:color="auto"/>
            </w:tcBorders>
            <w:shd w:val="clear" w:color="000000" w:fill="FFFFFF"/>
            <w:vAlign w:val="center"/>
          </w:tcPr>
          <w:p w:rsidR="00AE7319" w:rsidRPr="00A628F6" w:rsidRDefault="00AE7319" w:rsidP="00AE7319">
            <w:pPr>
              <w:pStyle w:val="TableText0"/>
              <w:keepLines/>
              <w:widowControl w:val="0"/>
              <w:jc w:val="center"/>
              <w:rPr>
                <w:rFonts w:cs="Arial"/>
                <w:b/>
                <w:color w:val="000000"/>
                <w:szCs w:val="20"/>
              </w:rPr>
            </w:pPr>
            <w:r w:rsidRPr="00A628F6">
              <w:rPr>
                <w:rFonts w:eastAsia="Yu Gothic Light"/>
                <w:b/>
                <w:szCs w:val="20"/>
                <w:lang w:bidi="en-US"/>
              </w:rPr>
              <w:t>$</w:t>
            </w:r>
            <w:r w:rsidR="00D728FC">
              <w:rPr>
                <w:rFonts w:eastAsia="Yu Gothic Light"/>
                <w:b/>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628F6" w:rsidRDefault="00AE7319" w:rsidP="00AE7319">
            <w:pPr>
              <w:pStyle w:val="TableText0"/>
              <w:keepLines/>
              <w:widowControl w:val="0"/>
              <w:jc w:val="center"/>
              <w:rPr>
                <w:rFonts w:cs="Arial"/>
                <w:b/>
                <w:color w:val="000000"/>
                <w:szCs w:val="20"/>
              </w:rPr>
            </w:pPr>
            <w:r w:rsidRPr="00A628F6">
              <w:rPr>
                <w:rFonts w:eastAsia="Yu Gothic Light"/>
                <w:b/>
                <w:szCs w:val="20"/>
                <w:lang w:bidi="en-US"/>
              </w:rPr>
              <w:t>$</w:t>
            </w:r>
            <w:r w:rsidR="00D728FC">
              <w:rPr>
                <w:rFonts w:eastAsia="Yu Gothic Light"/>
                <w:b/>
                <w:noProof/>
                <w:color w:val="000000"/>
                <w:szCs w:val="20"/>
                <w:highlight w:val="black"/>
                <w:lang w:bidi="en-US"/>
              </w:rPr>
              <w:t>'''''''''''''''''</w:t>
            </w:r>
          </w:p>
        </w:tc>
        <w:tc>
          <w:tcPr>
            <w:tcW w:w="526"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628F6" w:rsidRDefault="00AE7319" w:rsidP="00AE7319">
            <w:pPr>
              <w:pStyle w:val="TableText0"/>
              <w:keepLines/>
              <w:widowControl w:val="0"/>
              <w:jc w:val="center"/>
              <w:rPr>
                <w:rFonts w:cs="Arial"/>
                <w:b/>
                <w:color w:val="000000"/>
                <w:szCs w:val="20"/>
              </w:rPr>
            </w:pPr>
            <w:r w:rsidRPr="00A628F6">
              <w:rPr>
                <w:rFonts w:eastAsia="Yu Gothic Light"/>
                <w:b/>
                <w:szCs w:val="20"/>
                <w:lang w:bidi="en-US"/>
              </w:rPr>
              <w:t>$</w:t>
            </w:r>
            <w:r w:rsidR="00D728FC">
              <w:rPr>
                <w:rFonts w:eastAsia="Yu Gothic Light"/>
                <w:b/>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628F6" w:rsidRDefault="00AE7319" w:rsidP="00AE7319">
            <w:pPr>
              <w:pStyle w:val="TableText0"/>
              <w:keepLines/>
              <w:widowControl w:val="0"/>
              <w:jc w:val="center"/>
              <w:rPr>
                <w:rFonts w:cs="Arial"/>
                <w:b/>
                <w:color w:val="000000"/>
                <w:szCs w:val="20"/>
              </w:rPr>
            </w:pPr>
            <w:r w:rsidRPr="00A628F6">
              <w:rPr>
                <w:rFonts w:eastAsia="Yu Gothic Light"/>
                <w:b/>
                <w:szCs w:val="20"/>
                <w:lang w:bidi="en-US"/>
              </w:rPr>
              <w:t>$</w:t>
            </w:r>
            <w:r w:rsidR="00D728FC">
              <w:rPr>
                <w:rFonts w:eastAsia="Yu Gothic Light"/>
                <w:b/>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628F6" w:rsidRDefault="00AE7319" w:rsidP="00AE7319">
            <w:pPr>
              <w:pStyle w:val="TableText0"/>
              <w:keepLines/>
              <w:widowControl w:val="0"/>
              <w:jc w:val="center"/>
              <w:rPr>
                <w:rFonts w:cs="Arial"/>
                <w:b/>
                <w:color w:val="000000"/>
                <w:szCs w:val="20"/>
              </w:rPr>
            </w:pPr>
            <w:r w:rsidRPr="00A628F6">
              <w:rPr>
                <w:rFonts w:eastAsia="Yu Gothic Light"/>
                <w:b/>
                <w:szCs w:val="20"/>
                <w:lang w:bidi="en-US"/>
              </w:rPr>
              <w:t>$</w:t>
            </w:r>
            <w:r w:rsidR="00D728FC">
              <w:rPr>
                <w:rFonts w:eastAsia="Yu Gothic Light"/>
                <w:b/>
                <w:noProof/>
                <w:color w:val="000000"/>
                <w:szCs w:val="20"/>
                <w:highlight w:val="black"/>
                <w:lang w:bidi="en-US"/>
              </w:rPr>
              <w:t>''''''''''''''''</w:t>
            </w:r>
          </w:p>
        </w:tc>
        <w:tc>
          <w:tcPr>
            <w:tcW w:w="527"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628F6" w:rsidRDefault="00AE7319" w:rsidP="00AE7319">
            <w:pPr>
              <w:pStyle w:val="TableText0"/>
              <w:keepLines/>
              <w:widowControl w:val="0"/>
              <w:jc w:val="center"/>
              <w:rPr>
                <w:rFonts w:cs="Arial"/>
                <w:b/>
                <w:color w:val="000000"/>
                <w:szCs w:val="20"/>
              </w:rPr>
            </w:pPr>
            <w:r w:rsidRPr="00A628F6">
              <w:rPr>
                <w:rFonts w:eastAsia="Yu Gothic Light"/>
                <w:b/>
                <w:szCs w:val="20"/>
                <w:lang w:bidi="en-US"/>
              </w:rPr>
              <w:t>$</w:t>
            </w:r>
            <w:r w:rsidR="00D728FC">
              <w:rPr>
                <w:rFonts w:eastAsia="Yu Gothic Light"/>
                <w:b/>
                <w:noProof/>
                <w:color w:val="000000"/>
                <w:szCs w:val="20"/>
                <w:highlight w:val="black"/>
                <w:lang w:bidi="en-US"/>
              </w:rPr>
              <w:t>'''''''''''''''</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AE7319" w:rsidRPr="00A628F6" w:rsidRDefault="00AE7319" w:rsidP="00AE7319">
            <w:pPr>
              <w:pStyle w:val="TableText0"/>
              <w:keepLines/>
              <w:widowControl w:val="0"/>
              <w:jc w:val="center"/>
              <w:rPr>
                <w:rFonts w:eastAsia="Yu Gothic Light"/>
                <w:b/>
                <w:szCs w:val="20"/>
                <w:lang w:bidi="en-US"/>
              </w:rPr>
            </w:pPr>
            <w:r w:rsidRPr="00A628F6">
              <w:rPr>
                <w:rFonts w:eastAsia="Yu Gothic Light"/>
                <w:b/>
                <w:szCs w:val="20"/>
                <w:lang w:bidi="en-US"/>
              </w:rPr>
              <w:t>$</w:t>
            </w:r>
            <w:r w:rsidR="00D728FC">
              <w:rPr>
                <w:rFonts w:eastAsia="Yu Gothic Light"/>
                <w:b/>
                <w:noProof/>
                <w:color w:val="000000"/>
                <w:szCs w:val="20"/>
                <w:highlight w:val="black"/>
                <w:lang w:bidi="en-US"/>
              </w:rPr>
              <w:t>'''''''''''''''''''''</w:t>
            </w:r>
          </w:p>
        </w:tc>
      </w:tr>
    </w:tbl>
    <w:p w:rsidR="00AE7319" w:rsidRDefault="00AE7319" w:rsidP="00AE7319">
      <w:pPr>
        <w:jc w:val="left"/>
        <w:rPr>
          <w:rFonts w:ascii="Arial Narrow" w:eastAsia="Calibri" w:hAnsi="Arial Narrow"/>
          <w:sz w:val="18"/>
          <w:szCs w:val="18"/>
        </w:rPr>
      </w:pPr>
      <w:r w:rsidRPr="002D0BF3">
        <w:rPr>
          <w:rFonts w:ascii="Arial Narrow" w:eastAsia="Calibri" w:hAnsi="Arial Narrow"/>
          <w:sz w:val="18"/>
          <w:szCs w:val="18"/>
        </w:rPr>
        <w:t>Source: Table ES 10 of executive summary which is inclusive of the MBS costs for administering injections</w:t>
      </w:r>
    </w:p>
    <w:p w:rsidR="004E5354" w:rsidRDefault="004E5354" w:rsidP="004E5354">
      <w:pPr>
        <w:pStyle w:val="TableFigureFooter"/>
        <w:keepNext/>
        <w:keepLines/>
      </w:pPr>
      <w:r w:rsidRPr="001779EA">
        <w:t>PBS = pharmaceutical benefits scheme; RPBS = repatriation pharmaceutical benefits scheme.</w:t>
      </w:r>
    </w:p>
    <w:p w:rsidR="004C411E" w:rsidRDefault="004C411E" w:rsidP="004E5354">
      <w:pPr>
        <w:pStyle w:val="TableFigureFooter"/>
        <w:keepNext/>
        <w:keepLines/>
      </w:pPr>
    </w:p>
    <w:p w:rsidR="004C411E" w:rsidRPr="004C411E" w:rsidRDefault="004C411E" w:rsidP="004E5354">
      <w:pPr>
        <w:pStyle w:val="TableFigureFooter"/>
        <w:keepNext/>
        <w:keepLines/>
        <w:rPr>
          <w:rFonts w:asciiTheme="minorHAnsi" w:hAnsiTheme="minorHAnsi" w:cstheme="minorHAnsi"/>
          <w:i/>
          <w:sz w:val="24"/>
          <w:szCs w:val="24"/>
        </w:rPr>
      </w:pPr>
      <w:r>
        <w:rPr>
          <w:rFonts w:asciiTheme="minorHAnsi" w:hAnsiTheme="minorHAnsi" w:cstheme="minorHAnsi"/>
          <w:i/>
          <w:sz w:val="24"/>
          <w:szCs w:val="24"/>
        </w:rPr>
        <w:t xml:space="preserve">The redacted table shows that at Year 6, the estimated number of patients was </w:t>
      </w:r>
      <w:r w:rsidR="0067010F">
        <w:rPr>
          <w:rFonts w:asciiTheme="minorHAnsi" w:hAnsiTheme="minorHAnsi" w:cstheme="minorHAnsi"/>
          <w:i/>
          <w:sz w:val="24"/>
          <w:szCs w:val="24"/>
        </w:rPr>
        <w:t xml:space="preserve">5,000 to &lt; 10,000, and the estimated number of prescriptions was 40,000 &lt; 50,000.  </w:t>
      </w:r>
    </w:p>
    <w:p w:rsidR="004E5354" w:rsidRDefault="004E5354" w:rsidP="004E5354">
      <w:pPr>
        <w:pStyle w:val="3-BodyText"/>
        <w:numPr>
          <w:ilvl w:val="1"/>
          <w:numId w:val="1"/>
        </w:numPr>
        <w:snapToGrid w:val="0"/>
      </w:pPr>
      <w:r w:rsidRPr="001779EA">
        <w:t>The total cost to the PBS/RPBS of fulvestrant, at the effective DPMQ</w:t>
      </w:r>
      <w:r w:rsidR="002637FF" w:rsidRPr="001779EA">
        <w:t xml:space="preserve"> proposed in the submission</w:t>
      </w:r>
      <w:r w:rsidRPr="001779EA">
        <w:t>, was estimated to be $</w:t>
      </w:r>
      <w:r w:rsidR="002A08FE">
        <w:t>40 million to &lt; $50</w:t>
      </w:r>
      <w:r w:rsidRPr="001779EA">
        <w:t xml:space="preserve"> million in the first 6 years of listing. </w:t>
      </w:r>
      <w:r w:rsidR="00571E0C" w:rsidRPr="001779EA">
        <w:t>Including offsets, the net cost to the PBS/RPBS/MBS was estimated to be $</w:t>
      </w:r>
      <w:r w:rsidR="002A08FE">
        <w:t>0 to &lt; $10</w:t>
      </w:r>
      <w:r w:rsidR="00571E0C" w:rsidRPr="001779EA">
        <w:t xml:space="preserve"> million over 6 years.</w:t>
      </w:r>
    </w:p>
    <w:p w:rsidR="005B6576" w:rsidRDefault="005B6576" w:rsidP="004E5354">
      <w:pPr>
        <w:pStyle w:val="3-BodyText"/>
        <w:numPr>
          <w:ilvl w:val="1"/>
          <w:numId w:val="1"/>
        </w:numPr>
        <w:snapToGrid w:val="0"/>
      </w:pPr>
      <w:r>
        <w:t>The commentary noted that s</w:t>
      </w:r>
      <w:r w:rsidRPr="001779EA">
        <w:t>cript numbers for fulvestrant assum</w:t>
      </w:r>
      <w:r>
        <w:t>ed</w:t>
      </w:r>
      <w:r w:rsidRPr="001779EA">
        <w:t xml:space="preserve"> that every initiating patient receives 22.89 scripts per year</w:t>
      </w:r>
      <w:r>
        <w:t>, which may not be reasonable</w:t>
      </w:r>
      <w:r w:rsidRPr="001779EA">
        <w:t xml:space="preserve">. </w:t>
      </w:r>
    </w:p>
    <w:p w:rsidR="007D5441" w:rsidRPr="001779EA" w:rsidRDefault="007D5441" w:rsidP="004E5354">
      <w:pPr>
        <w:pStyle w:val="3-BodyText"/>
        <w:numPr>
          <w:ilvl w:val="1"/>
          <w:numId w:val="1"/>
        </w:numPr>
        <w:snapToGrid w:val="0"/>
      </w:pPr>
      <w:r>
        <w:t>The PBAC considered that the estimated cost-offsets were not likely to be realised because for most patients fulvestrant would add an additional line of therapy.</w:t>
      </w:r>
    </w:p>
    <w:p w:rsidR="004E5354" w:rsidRPr="001779EA" w:rsidRDefault="004E5354" w:rsidP="004E5354">
      <w:pPr>
        <w:pStyle w:val="3-BodyText"/>
        <w:numPr>
          <w:ilvl w:val="1"/>
          <w:numId w:val="1"/>
        </w:numPr>
        <w:snapToGrid w:val="0"/>
      </w:pPr>
      <w:r w:rsidRPr="001779EA">
        <w:t xml:space="preserve">The submission included </w:t>
      </w:r>
      <w:r w:rsidR="002A08FE">
        <w:t>&lt; 500</w:t>
      </w:r>
      <w:r w:rsidRPr="001779EA">
        <w:t xml:space="preserve"> grandfathered patients who would transition from the Access Program to PBS supply of fulvestrant and assumed all patients would require the same number of scripts as incident patients using second-line treatment (p173 of the submission). The submission did not provide any information on the Patient Access Program so the number of patients using first-line or second-line fulvestrant therapy is not clear, and the number of scripts required for first-line and second-line treatment for grandfathered patients is uncertain.</w:t>
      </w:r>
      <w:r w:rsidR="00E905F5" w:rsidRPr="001779EA">
        <w:t xml:space="preserve"> The PBAC also </w:t>
      </w:r>
      <w:r w:rsidR="00CF7F80" w:rsidRPr="001779EA">
        <w:t xml:space="preserve">considered </w:t>
      </w:r>
      <w:r w:rsidR="00E905F5" w:rsidRPr="001779EA">
        <w:t xml:space="preserve">that it </w:t>
      </w:r>
      <w:r w:rsidR="00CF7F80" w:rsidRPr="001779EA">
        <w:t>wa</w:t>
      </w:r>
      <w:r w:rsidR="00E905F5" w:rsidRPr="001779EA">
        <w:t>s unclear how many of these grandfathered patients may have been receiving fulvestrant in combination with ribociclib or other CDK4/6 inhibitors.</w:t>
      </w:r>
      <w:r w:rsidRPr="001779EA">
        <w:rPr>
          <w:i/>
        </w:rPr>
        <w:t xml:space="preserve"> </w:t>
      </w:r>
    </w:p>
    <w:p w:rsidR="004E5354" w:rsidRPr="001779EA" w:rsidRDefault="004E5354" w:rsidP="004E5354">
      <w:pPr>
        <w:pStyle w:val="3-BodyText"/>
      </w:pPr>
      <w:r w:rsidRPr="001779EA">
        <w:lastRenderedPageBreak/>
        <w:t>DUSC considered that overall there was a net overestimate of fulvestrant utilisation. However if the restriction is changed to include “The condition must be inoperable”, as suggested by DUSC</w:t>
      </w:r>
      <w:r w:rsidR="00E905F5" w:rsidRPr="001779EA">
        <w:t xml:space="preserve"> and ESC</w:t>
      </w:r>
      <w:r w:rsidRPr="001779EA">
        <w:t>, the first line overestimate becomes smaller and the second and subsequent line use of fulvestrant will mean there is a net underestimate.</w:t>
      </w:r>
      <w:r w:rsidR="00E905F5" w:rsidRPr="001779EA">
        <w:t xml:space="preserve"> A disaggregated budget impact for the first-line and second-line treatment of fulvestrant would be </w:t>
      </w:r>
      <w:r w:rsidR="00165D04">
        <w:t>required</w:t>
      </w:r>
      <w:r w:rsidR="00165D04" w:rsidRPr="001779EA">
        <w:t xml:space="preserve"> </w:t>
      </w:r>
      <w:r w:rsidR="00E905F5" w:rsidRPr="001779EA">
        <w:t>to assess the impact of listing fulvestrant monotherapy for the two different settings.</w:t>
      </w:r>
    </w:p>
    <w:p w:rsidR="004E5354" w:rsidRPr="001779EA" w:rsidRDefault="004E5354" w:rsidP="004E5354">
      <w:pPr>
        <w:pStyle w:val="3-BodyText"/>
      </w:pPr>
      <w:r w:rsidRPr="001779EA">
        <w:t xml:space="preserve">In the first line setting, DUSC considered that the uptake of fulvestrant was overestimated driven primarily by the large </w:t>
      </w:r>
      <w:r w:rsidRPr="000074B7">
        <w:t xml:space="preserve">resectable </w:t>
      </w:r>
      <w:r w:rsidRPr="001779EA">
        <w:t>stage III population who would be eligible under the proposed restriction but this population was excluded from the key FALCON trial. DUSC further considered that patients unable to tolerate CDK4/6 inhibitor treatment were less likely to elect a parenteral therapy as their initial treatment.</w:t>
      </w:r>
      <w:r w:rsidR="00F47F90" w:rsidRPr="001779EA">
        <w:t xml:space="preserve"> Thus, DUSC considered that uptake of 70% by </w:t>
      </w:r>
      <w:r w:rsidR="002C6927" w:rsidRPr="001779EA">
        <w:t>Y</w:t>
      </w:r>
      <w:r w:rsidR="00F47F90" w:rsidRPr="001779EA">
        <w:t>ear 3 was significantly overestimated.</w:t>
      </w:r>
    </w:p>
    <w:p w:rsidR="004E5354" w:rsidRPr="001779EA" w:rsidRDefault="00590A42" w:rsidP="004E5354">
      <w:pPr>
        <w:pStyle w:val="3-BodyText"/>
      </w:pPr>
      <w:r w:rsidRPr="001779EA">
        <w:t>DUSC considered t</w:t>
      </w:r>
      <w:r w:rsidR="004E5354" w:rsidRPr="001779EA">
        <w:t>he duration of treatment (17.98 scripts per course) was overestimated. DUSC noted that the FALCON trial included only hormonal therapy naïve patients who are more likely to have a prolonged response than those with prior treatment for early breast cancer. DUSC further noted that the treatment duration was calculated from time to discontinuation rather than the mean number of treatments.</w:t>
      </w:r>
    </w:p>
    <w:p w:rsidR="004E5354" w:rsidRPr="001779EA" w:rsidRDefault="004E5354" w:rsidP="00CF7F80">
      <w:pPr>
        <w:pStyle w:val="3-BodyText"/>
      </w:pPr>
      <w:r w:rsidRPr="001779EA">
        <w:t>In the second (and subsequent) line setting</w:t>
      </w:r>
      <w:r w:rsidR="00F47F90" w:rsidRPr="001779EA">
        <w:t>, DUSC considered the financial impact was</w:t>
      </w:r>
      <w:r w:rsidRPr="001779EA">
        <w:t xml:space="preserve"> underestimate</w:t>
      </w:r>
      <w:r w:rsidR="00F47F90" w:rsidRPr="001779EA">
        <w:t>d</w:t>
      </w:r>
      <w:r w:rsidRPr="001779EA">
        <w:t xml:space="preserve"> </w:t>
      </w:r>
      <w:r w:rsidR="00F47F90" w:rsidRPr="001779EA">
        <w:t xml:space="preserve">as </w:t>
      </w:r>
      <w:r w:rsidRPr="001779EA">
        <w:t xml:space="preserve">the estimates </w:t>
      </w:r>
      <w:r w:rsidR="00F47F90" w:rsidRPr="001779EA">
        <w:t>assumed</w:t>
      </w:r>
      <w:r w:rsidRPr="001779EA">
        <w:t xml:space="preserve"> that patients receiving chemotherapy and endocrine therapy will not then su</w:t>
      </w:r>
      <w:r w:rsidR="00EE48C7" w:rsidRPr="001779EA">
        <w:t xml:space="preserve">bsequently receive fulvestrant. </w:t>
      </w:r>
      <w:r w:rsidR="00F47F90" w:rsidRPr="001779EA">
        <w:t>DUSC considered that</w:t>
      </w:r>
      <w:r w:rsidRPr="001779EA">
        <w:t xml:space="preserve"> fulvestrant may add an additional line of treatment rather than substituting existing listings.</w:t>
      </w:r>
      <w:r w:rsidR="00CF7F80" w:rsidRPr="001779EA">
        <w:t xml:space="preserve"> Further, DUSC noted that the utilisation of everolimus had declined over time, and as such, the submission had overestimated cost offsets from substitution of everolimus.</w:t>
      </w:r>
    </w:p>
    <w:p w:rsidR="004E5354" w:rsidRPr="001779EA" w:rsidRDefault="004E5354" w:rsidP="004E5354">
      <w:pPr>
        <w:pStyle w:val="4-SubsectionHeading"/>
      </w:pPr>
      <w:r w:rsidRPr="001779EA">
        <w:t>Quality Use of Medicines</w:t>
      </w:r>
    </w:p>
    <w:p w:rsidR="004E5354" w:rsidRPr="001779EA" w:rsidRDefault="00F47F90" w:rsidP="004E5354">
      <w:pPr>
        <w:pStyle w:val="3-BodyText"/>
      </w:pPr>
      <w:r w:rsidRPr="001779EA">
        <w:t>DUSC considered that, w</w:t>
      </w:r>
      <w:r w:rsidR="004E5354" w:rsidRPr="001779EA">
        <w:t>hilst toxicities observed in clinical trials were similar between aromatase inhibitors and fulvestrant, additional adverse events including injection site pain and liver function test abnormalities can result from fulvestrant</w:t>
      </w:r>
      <w:r w:rsidR="004E5354" w:rsidRPr="001779EA">
        <w:rPr>
          <w:rFonts w:eastAsia="MS Gothic"/>
          <w:color w:val="000000"/>
        </w:rPr>
        <w:t>. The submission did not detail a recommended liver function monitoring schedule.</w:t>
      </w:r>
    </w:p>
    <w:p w:rsidR="00065B7D" w:rsidRPr="001779EA" w:rsidRDefault="00065B7D" w:rsidP="00065B7D">
      <w:pPr>
        <w:pStyle w:val="3-BodyText"/>
        <w:numPr>
          <w:ilvl w:val="0"/>
          <w:numId w:val="0"/>
        </w:numPr>
        <w:ind w:left="720"/>
        <w:rPr>
          <w:i/>
        </w:rPr>
      </w:pPr>
      <w:r w:rsidRPr="001779EA">
        <w:rPr>
          <w:i/>
        </w:rPr>
        <w:t>For more detail on PBAC’s view, see section 7 PBAC outcome.</w:t>
      </w:r>
    </w:p>
    <w:p w:rsidR="004E5354" w:rsidRPr="001779EA" w:rsidRDefault="004E5354" w:rsidP="001B6C3D">
      <w:pPr>
        <w:pStyle w:val="2-SectionHeading"/>
      </w:pPr>
      <w:r w:rsidRPr="001779EA">
        <w:t>PBAC Outcome</w:t>
      </w:r>
    </w:p>
    <w:p w:rsidR="004E5354" w:rsidRPr="001779EA" w:rsidRDefault="004E5354" w:rsidP="004964D5">
      <w:pPr>
        <w:pStyle w:val="3-BodyText"/>
        <w:rPr>
          <w:bCs/>
        </w:rPr>
      </w:pPr>
      <w:r w:rsidRPr="001779EA">
        <w:rPr>
          <w:bCs/>
        </w:rPr>
        <w:t xml:space="preserve">The PBAC recommended </w:t>
      </w:r>
      <w:r w:rsidR="004964D5" w:rsidRPr="001779EA">
        <w:rPr>
          <w:bCs/>
        </w:rPr>
        <w:t xml:space="preserve">the </w:t>
      </w:r>
      <w:r w:rsidRPr="001779EA">
        <w:rPr>
          <w:bCs/>
        </w:rPr>
        <w:t>listing of</w:t>
      </w:r>
      <w:r w:rsidR="00696627" w:rsidRPr="001779EA">
        <w:rPr>
          <w:bCs/>
        </w:rPr>
        <w:t xml:space="preserve"> fulvestrant</w:t>
      </w:r>
      <w:r w:rsidR="002B5FF1" w:rsidRPr="001779EA">
        <w:rPr>
          <w:bCs/>
        </w:rPr>
        <w:t xml:space="preserve"> </w:t>
      </w:r>
      <w:r w:rsidR="004964D5" w:rsidRPr="001779EA">
        <w:rPr>
          <w:bCs/>
        </w:rPr>
        <w:t>for the treatment of patients with hormone receptor positive (HR+) and human epidermal growth factor receptor 2 negative (HER2-) unresectable advanced or metastatic breast cancer (ABC). The PBAC was</w:t>
      </w:r>
      <w:r w:rsidR="002B5FF1" w:rsidRPr="001779EA">
        <w:rPr>
          <w:bCs/>
        </w:rPr>
        <w:t xml:space="preserve"> satisfied </w:t>
      </w:r>
      <w:r w:rsidR="004964D5" w:rsidRPr="001779EA">
        <w:rPr>
          <w:bCs/>
        </w:rPr>
        <w:t xml:space="preserve">that </w:t>
      </w:r>
      <w:r w:rsidR="00154E80" w:rsidRPr="001779EA">
        <w:rPr>
          <w:bCs/>
        </w:rPr>
        <w:t xml:space="preserve">first line </w:t>
      </w:r>
      <w:r w:rsidR="002B5FF1" w:rsidRPr="001779EA">
        <w:rPr>
          <w:bCs/>
        </w:rPr>
        <w:t>treatment with fulvestrant provides, for some patients, a</w:t>
      </w:r>
      <w:r w:rsidR="007D5441">
        <w:rPr>
          <w:bCs/>
        </w:rPr>
        <w:t>n</w:t>
      </w:r>
      <w:r w:rsidR="002B5FF1" w:rsidRPr="001779EA">
        <w:rPr>
          <w:bCs/>
        </w:rPr>
        <w:t xml:space="preserve"> improvement in efficacy over NSAIs</w:t>
      </w:r>
      <w:r w:rsidR="00154E80" w:rsidRPr="001779EA">
        <w:rPr>
          <w:bCs/>
        </w:rPr>
        <w:t>. The PBAC also considered</w:t>
      </w:r>
      <w:r w:rsidR="00100162" w:rsidRPr="001779EA">
        <w:rPr>
          <w:bCs/>
        </w:rPr>
        <w:t>, on balance,</w:t>
      </w:r>
      <w:r w:rsidR="00154E80" w:rsidRPr="001779EA">
        <w:rPr>
          <w:bCs/>
        </w:rPr>
        <w:t xml:space="preserve"> fulvestrant </w:t>
      </w:r>
      <w:r w:rsidR="00154E80" w:rsidRPr="001779EA">
        <w:rPr>
          <w:bCs/>
        </w:rPr>
        <w:lastRenderedPageBreak/>
        <w:t xml:space="preserve">provides acceptable effectiveness </w:t>
      </w:r>
      <w:r w:rsidR="000D2A80" w:rsidRPr="001779EA">
        <w:rPr>
          <w:bCs/>
        </w:rPr>
        <w:t xml:space="preserve">and </w:t>
      </w:r>
      <w:r w:rsidR="004777BC" w:rsidRPr="001779EA">
        <w:rPr>
          <w:bCs/>
        </w:rPr>
        <w:t xml:space="preserve">potentially increased </w:t>
      </w:r>
      <w:r w:rsidR="000D2A80" w:rsidRPr="001779EA">
        <w:rPr>
          <w:bCs/>
        </w:rPr>
        <w:t xml:space="preserve">safety </w:t>
      </w:r>
      <w:r w:rsidR="004777BC" w:rsidRPr="001779EA">
        <w:rPr>
          <w:bCs/>
        </w:rPr>
        <w:t xml:space="preserve">and tolerability </w:t>
      </w:r>
      <w:r w:rsidR="00447203" w:rsidRPr="001779EA">
        <w:rPr>
          <w:bCs/>
        </w:rPr>
        <w:t xml:space="preserve">versus EVE+EXE </w:t>
      </w:r>
      <w:r w:rsidR="00154E80" w:rsidRPr="001779EA">
        <w:rPr>
          <w:bCs/>
        </w:rPr>
        <w:t>in subsequent lines of therapy</w:t>
      </w:r>
      <w:r w:rsidR="002B5FF1" w:rsidRPr="001779EA">
        <w:rPr>
          <w:bCs/>
        </w:rPr>
        <w:t>.</w:t>
      </w:r>
      <w:r w:rsidR="000D2A80" w:rsidRPr="001779EA">
        <w:rPr>
          <w:bCs/>
        </w:rPr>
        <w:t xml:space="preserve"> The PBAC </w:t>
      </w:r>
      <w:r w:rsidR="004777BC" w:rsidRPr="001779EA">
        <w:rPr>
          <w:bCs/>
        </w:rPr>
        <w:t xml:space="preserve">considered that the magnitude of benefit for first line treatment with fulvestrant was uncertain due to limitations in the trial data and its applicability to the PBS population. This resulted in uncertainty in the ICER presented, which the PBAC considered could be addressed </w:t>
      </w:r>
      <w:r w:rsidR="000D2A80" w:rsidRPr="001779EA">
        <w:rPr>
          <w:bCs/>
        </w:rPr>
        <w:t xml:space="preserve">through </w:t>
      </w:r>
      <w:r w:rsidR="004777BC" w:rsidRPr="001779EA">
        <w:rPr>
          <w:bCs/>
        </w:rPr>
        <w:t xml:space="preserve">a </w:t>
      </w:r>
      <w:r w:rsidR="000D2A80" w:rsidRPr="001779EA">
        <w:rPr>
          <w:bCs/>
        </w:rPr>
        <w:t>price reduction</w:t>
      </w:r>
      <w:r w:rsidR="004777BC" w:rsidRPr="001779EA">
        <w:rPr>
          <w:bCs/>
        </w:rPr>
        <w:t xml:space="preserve"> to achieve an ICER </w:t>
      </w:r>
      <w:r w:rsidR="00447203" w:rsidRPr="001779EA">
        <w:rPr>
          <w:bCs/>
        </w:rPr>
        <w:t xml:space="preserve">in the range of </w:t>
      </w:r>
      <w:r w:rsidR="004777BC" w:rsidRPr="00AC4EC5">
        <w:rPr>
          <w:bCs/>
        </w:rPr>
        <w:t>$4</w:t>
      </w:r>
      <w:r w:rsidR="00447203" w:rsidRPr="00AC4EC5">
        <w:rPr>
          <w:bCs/>
        </w:rPr>
        <w:t>5</w:t>
      </w:r>
      <w:r w:rsidR="004777BC" w:rsidRPr="00AC4EC5">
        <w:rPr>
          <w:bCs/>
        </w:rPr>
        <w:t>,000/QALY</w:t>
      </w:r>
      <w:r w:rsidR="00447203" w:rsidRPr="00AC4EC5">
        <w:rPr>
          <w:bCs/>
        </w:rPr>
        <w:t xml:space="preserve"> to $5</w:t>
      </w:r>
      <w:r w:rsidR="00E6056F">
        <w:rPr>
          <w:bCs/>
        </w:rPr>
        <w:t>0</w:t>
      </w:r>
      <w:r w:rsidR="00447203" w:rsidRPr="00AC4EC5">
        <w:rPr>
          <w:bCs/>
        </w:rPr>
        <w:t>,000/QALY</w:t>
      </w:r>
      <w:r w:rsidR="004777BC" w:rsidRPr="00AC4EC5">
        <w:rPr>
          <w:bCs/>
        </w:rPr>
        <w:t xml:space="preserve">. </w:t>
      </w:r>
      <w:r w:rsidR="00693F89" w:rsidRPr="00AC4EC5">
        <w:rPr>
          <w:bCs/>
        </w:rPr>
        <w:t>T</w:t>
      </w:r>
      <w:r w:rsidR="00693F89" w:rsidRPr="001779EA">
        <w:rPr>
          <w:bCs/>
        </w:rPr>
        <w:t xml:space="preserve">he PBAC considered that a </w:t>
      </w:r>
      <w:r w:rsidR="002058AE" w:rsidRPr="001779EA">
        <w:rPr>
          <w:bCs/>
        </w:rPr>
        <w:t xml:space="preserve">corresponding </w:t>
      </w:r>
      <w:r w:rsidR="00693F89" w:rsidRPr="001779EA">
        <w:rPr>
          <w:bCs/>
        </w:rPr>
        <w:t xml:space="preserve">reduction in price for subsequent line use was also appropriate, given the high level of uncertainty in the clinical evidence presented. </w:t>
      </w:r>
    </w:p>
    <w:p w:rsidR="002F66F8" w:rsidRPr="001779EA" w:rsidRDefault="003A722F" w:rsidP="004E5354">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The PBAC recalled that it</w:t>
      </w:r>
      <w:r w:rsidR="000D7A52" w:rsidRPr="001779EA">
        <w:rPr>
          <w:rFonts w:asciiTheme="minorHAnsi" w:hAnsiTheme="minorHAnsi"/>
          <w:bCs/>
          <w:snapToGrid w:val="0"/>
        </w:rPr>
        <w:t>, along with the</w:t>
      </w:r>
      <w:r w:rsidRPr="001779EA">
        <w:rPr>
          <w:rFonts w:asciiTheme="minorHAnsi" w:hAnsiTheme="minorHAnsi"/>
          <w:bCs/>
          <w:snapToGrid w:val="0"/>
        </w:rPr>
        <w:t xml:space="preserve"> </w:t>
      </w:r>
      <w:r w:rsidR="000D7A52" w:rsidRPr="001779EA">
        <w:rPr>
          <w:rFonts w:asciiTheme="minorHAnsi" w:hAnsiTheme="minorHAnsi"/>
          <w:bCs/>
          <w:snapToGrid w:val="0"/>
        </w:rPr>
        <w:t xml:space="preserve">BCNA and MOGA Breast Cancer Expert Group, had </w:t>
      </w:r>
      <w:r w:rsidRPr="001779EA">
        <w:rPr>
          <w:rFonts w:asciiTheme="minorHAnsi" w:hAnsiTheme="minorHAnsi"/>
          <w:bCs/>
          <w:snapToGrid w:val="0"/>
        </w:rPr>
        <w:t xml:space="preserve">requested </w:t>
      </w:r>
      <w:r w:rsidR="00E47B8A" w:rsidRPr="001779EA">
        <w:rPr>
          <w:rFonts w:asciiTheme="minorHAnsi" w:hAnsiTheme="minorHAnsi"/>
          <w:bCs/>
          <w:snapToGrid w:val="0"/>
        </w:rPr>
        <w:t xml:space="preserve">that the sponsor </w:t>
      </w:r>
      <w:r w:rsidR="000D7A52" w:rsidRPr="001779EA">
        <w:rPr>
          <w:rFonts w:asciiTheme="minorHAnsi" w:hAnsiTheme="minorHAnsi"/>
          <w:bCs/>
          <w:snapToGrid w:val="0"/>
        </w:rPr>
        <w:t xml:space="preserve">provide a submission </w:t>
      </w:r>
      <w:r w:rsidR="002058AE" w:rsidRPr="001779EA">
        <w:rPr>
          <w:rFonts w:asciiTheme="minorHAnsi" w:hAnsiTheme="minorHAnsi"/>
          <w:bCs/>
          <w:snapToGrid w:val="0"/>
        </w:rPr>
        <w:t>for</w:t>
      </w:r>
      <w:r w:rsidR="000D7A52" w:rsidRPr="001779EA">
        <w:rPr>
          <w:rFonts w:asciiTheme="minorHAnsi" w:hAnsiTheme="minorHAnsi"/>
          <w:bCs/>
          <w:snapToGrid w:val="0"/>
        </w:rPr>
        <w:t xml:space="preserve"> fulvestrant</w:t>
      </w:r>
      <w:r w:rsidR="00E47B8A" w:rsidRPr="001779EA">
        <w:rPr>
          <w:rFonts w:asciiTheme="minorHAnsi" w:hAnsiTheme="minorHAnsi"/>
          <w:bCs/>
          <w:snapToGrid w:val="0"/>
        </w:rPr>
        <w:t xml:space="preserve">. </w:t>
      </w:r>
      <w:r w:rsidR="00154E80" w:rsidRPr="001779EA">
        <w:rPr>
          <w:rFonts w:asciiTheme="minorHAnsi" w:hAnsiTheme="minorHAnsi"/>
          <w:bCs/>
          <w:snapToGrid w:val="0"/>
        </w:rPr>
        <w:t>The PBAC considered that the</w:t>
      </w:r>
      <w:r w:rsidR="0088327E" w:rsidRPr="001779EA">
        <w:rPr>
          <w:rFonts w:asciiTheme="minorHAnsi" w:hAnsiTheme="minorHAnsi"/>
          <w:bCs/>
          <w:snapToGrid w:val="0"/>
        </w:rPr>
        <w:t xml:space="preserve"> main</w:t>
      </w:r>
      <w:r w:rsidR="00154E80" w:rsidRPr="001779EA">
        <w:rPr>
          <w:rFonts w:asciiTheme="minorHAnsi" w:hAnsiTheme="minorHAnsi"/>
          <w:bCs/>
          <w:snapToGrid w:val="0"/>
        </w:rPr>
        <w:t xml:space="preserve"> c</w:t>
      </w:r>
      <w:r w:rsidR="004E5354" w:rsidRPr="001779EA">
        <w:rPr>
          <w:rFonts w:asciiTheme="minorHAnsi" w:hAnsiTheme="minorHAnsi"/>
          <w:bCs/>
          <w:snapToGrid w:val="0"/>
        </w:rPr>
        <w:t>linical need</w:t>
      </w:r>
      <w:r w:rsidR="00154E80" w:rsidRPr="001779EA">
        <w:rPr>
          <w:rFonts w:asciiTheme="minorHAnsi" w:hAnsiTheme="minorHAnsi"/>
          <w:bCs/>
          <w:snapToGrid w:val="0"/>
        </w:rPr>
        <w:t xml:space="preserve"> for fulvestrant monotherapy was</w:t>
      </w:r>
      <w:r w:rsidR="002F66F8" w:rsidRPr="001779EA">
        <w:rPr>
          <w:rFonts w:asciiTheme="minorHAnsi" w:hAnsiTheme="minorHAnsi"/>
          <w:bCs/>
          <w:snapToGrid w:val="0"/>
        </w:rPr>
        <w:t>:</w:t>
      </w:r>
    </w:p>
    <w:p w:rsidR="002F66F8" w:rsidRPr="001779EA" w:rsidRDefault="002F66F8" w:rsidP="000D7A52">
      <w:pPr>
        <w:pStyle w:val="Bulletpoints"/>
        <w:ind w:left="1276" w:hanging="284"/>
        <w:rPr>
          <w:bCs/>
        </w:rPr>
      </w:pPr>
      <w:r w:rsidRPr="001779EA">
        <w:t>In</w:t>
      </w:r>
      <w:r w:rsidRPr="001779EA">
        <w:rPr>
          <w:bCs/>
        </w:rPr>
        <w:t xml:space="preserve"> the first-line setting:</w:t>
      </w:r>
      <w:r w:rsidR="007E06A7" w:rsidRPr="001779EA">
        <w:rPr>
          <w:bCs/>
        </w:rPr>
        <w:t xml:space="preserve"> older or </w:t>
      </w:r>
      <w:r w:rsidR="009B6F6B" w:rsidRPr="001779EA">
        <w:rPr>
          <w:bCs/>
        </w:rPr>
        <w:t xml:space="preserve">frail </w:t>
      </w:r>
      <w:r w:rsidR="0088327E" w:rsidRPr="001779EA">
        <w:rPr>
          <w:bCs/>
        </w:rPr>
        <w:t xml:space="preserve">patients who wish to avoid CDK4/6 inhibitors </w:t>
      </w:r>
      <w:r w:rsidR="00AB0DC2" w:rsidRPr="001779EA">
        <w:rPr>
          <w:bCs/>
        </w:rPr>
        <w:t xml:space="preserve">or who are intolerant to CDK4/6 inhibitors, </w:t>
      </w:r>
      <w:r w:rsidR="000D7A52" w:rsidRPr="001779EA">
        <w:rPr>
          <w:bCs/>
        </w:rPr>
        <w:t xml:space="preserve">or </w:t>
      </w:r>
      <w:r w:rsidR="00AB0DC2" w:rsidRPr="001779EA">
        <w:rPr>
          <w:bCs/>
        </w:rPr>
        <w:t xml:space="preserve">patients who progressed on NSAIs in the adjuvant setting, </w:t>
      </w:r>
      <w:r w:rsidR="009B6F6B" w:rsidRPr="001779EA">
        <w:rPr>
          <w:bCs/>
        </w:rPr>
        <w:t xml:space="preserve">and </w:t>
      </w:r>
    </w:p>
    <w:p w:rsidR="002F66F8" w:rsidRPr="001779EA" w:rsidRDefault="002F66F8" w:rsidP="000D7A52">
      <w:pPr>
        <w:pStyle w:val="Bulletpoints"/>
        <w:ind w:left="1276" w:hanging="284"/>
        <w:rPr>
          <w:bCs/>
        </w:rPr>
      </w:pPr>
      <w:r w:rsidRPr="001779EA">
        <w:rPr>
          <w:bCs/>
        </w:rPr>
        <w:t xml:space="preserve">In the </w:t>
      </w:r>
      <w:r w:rsidR="000D7A52" w:rsidRPr="001779EA">
        <w:rPr>
          <w:bCs/>
        </w:rPr>
        <w:t xml:space="preserve">second-line and </w:t>
      </w:r>
      <w:r w:rsidR="009B6F6B" w:rsidRPr="001779EA">
        <w:rPr>
          <w:bCs/>
        </w:rPr>
        <w:t>subsequent</w:t>
      </w:r>
      <w:r w:rsidRPr="001779EA">
        <w:rPr>
          <w:bCs/>
        </w:rPr>
        <w:t>-</w:t>
      </w:r>
      <w:r w:rsidR="009B6F6B" w:rsidRPr="001779EA">
        <w:rPr>
          <w:bCs/>
        </w:rPr>
        <w:t>line</w:t>
      </w:r>
      <w:r w:rsidR="000D7A52" w:rsidRPr="001779EA">
        <w:rPr>
          <w:bCs/>
        </w:rPr>
        <w:t xml:space="preserve"> setting</w:t>
      </w:r>
      <w:r w:rsidRPr="001779EA">
        <w:rPr>
          <w:bCs/>
        </w:rPr>
        <w:t xml:space="preserve">: </w:t>
      </w:r>
      <w:r w:rsidR="009B6F6B" w:rsidRPr="001779EA">
        <w:rPr>
          <w:bCs/>
        </w:rPr>
        <w:t>patients who received CDK4/6 inhibitors in combination with NSAIs</w:t>
      </w:r>
      <w:r w:rsidR="000D7A52" w:rsidRPr="001779EA">
        <w:rPr>
          <w:bCs/>
        </w:rPr>
        <w:t xml:space="preserve"> in first-line</w:t>
      </w:r>
      <w:r w:rsidR="009B6F6B" w:rsidRPr="001779EA">
        <w:rPr>
          <w:bCs/>
        </w:rPr>
        <w:t xml:space="preserve">. </w:t>
      </w:r>
    </w:p>
    <w:p w:rsidR="001D036D" w:rsidRPr="001779EA" w:rsidRDefault="00693F89" w:rsidP="002F66F8">
      <w:pPr>
        <w:pStyle w:val="ListParagraph"/>
        <w:widowControl w:val="0"/>
        <w:ind w:left="720"/>
        <w:rPr>
          <w:bCs/>
        </w:rPr>
      </w:pPr>
      <w:r w:rsidRPr="001779EA">
        <w:rPr>
          <w:bCs/>
        </w:rPr>
        <w:t>The PBAC considered that ther</w:t>
      </w:r>
      <w:r w:rsidR="00AB0DC2" w:rsidRPr="001779EA">
        <w:rPr>
          <w:bCs/>
        </w:rPr>
        <w:t xml:space="preserve">e would be relatively few patients in each of these groups. </w:t>
      </w:r>
    </w:p>
    <w:p w:rsidR="004E5354" w:rsidRPr="001779EA" w:rsidRDefault="007E06A7" w:rsidP="001D036D">
      <w:pPr>
        <w:pStyle w:val="3-BodyText"/>
        <w:rPr>
          <w:bCs/>
        </w:rPr>
      </w:pPr>
      <w:r w:rsidRPr="001779EA">
        <w:rPr>
          <w:bCs/>
        </w:rPr>
        <w:t xml:space="preserve">The PBAC considered that, although there is a clinical place for fulvestrant monotherapy, </w:t>
      </w:r>
      <w:r w:rsidR="002058AE" w:rsidRPr="001779EA">
        <w:rPr>
          <w:bCs/>
        </w:rPr>
        <w:t xml:space="preserve">the clinical need for </w:t>
      </w:r>
      <w:r w:rsidR="00F76102" w:rsidRPr="001779EA">
        <w:rPr>
          <w:bCs/>
        </w:rPr>
        <w:t xml:space="preserve">its use in combination </w:t>
      </w:r>
      <w:r w:rsidR="002058AE" w:rsidRPr="001779EA">
        <w:rPr>
          <w:bCs/>
        </w:rPr>
        <w:t xml:space="preserve">with CDK4/6 inhibitors </w:t>
      </w:r>
      <w:r w:rsidR="00F76102" w:rsidRPr="001779EA">
        <w:rPr>
          <w:bCs/>
        </w:rPr>
        <w:t xml:space="preserve">is </w:t>
      </w:r>
      <w:r w:rsidR="002058AE" w:rsidRPr="001779EA">
        <w:rPr>
          <w:bCs/>
        </w:rPr>
        <w:t>higher</w:t>
      </w:r>
      <w:r w:rsidR="00F76102" w:rsidRPr="001779EA">
        <w:rPr>
          <w:bCs/>
        </w:rPr>
        <w:t xml:space="preserve"> as </w:t>
      </w:r>
      <w:r w:rsidR="00AB0DC2" w:rsidRPr="001779EA">
        <w:rPr>
          <w:bCs/>
        </w:rPr>
        <w:t>combination therapy</w:t>
      </w:r>
      <w:r w:rsidR="002058AE" w:rsidRPr="001779EA">
        <w:rPr>
          <w:bCs/>
        </w:rPr>
        <w:t xml:space="preserve"> </w:t>
      </w:r>
      <w:r w:rsidR="00AB0DC2" w:rsidRPr="001779EA">
        <w:rPr>
          <w:bCs/>
        </w:rPr>
        <w:t xml:space="preserve">is preferred for patients </w:t>
      </w:r>
      <w:r w:rsidR="00011C8D" w:rsidRPr="001779EA">
        <w:rPr>
          <w:bCs/>
        </w:rPr>
        <w:t xml:space="preserve">who are </w:t>
      </w:r>
      <w:r w:rsidR="002F66F8" w:rsidRPr="001779EA">
        <w:rPr>
          <w:bCs/>
        </w:rPr>
        <w:t>able to</w:t>
      </w:r>
      <w:r w:rsidR="00AB0DC2" w:rsidRPr="001779EA">
        <w:rPr>
          <w:bCs/>
        </w:rPr>
        <w:t xml:space="preserve"> tolerate it</w:t>
      </w:r>
      <w:r w:rsidRPr="001779EA">
        <w:rPr>
          <w:bCs/>
        </w:rPr>
        <w:t xml:space="preserve">. This was </w:t>
      </w:r>
      <w:r w:rsidR="009B6F6B" w:rsidRPr="001779EA">
        <w:rPr>
          <w:bCs/>
        </w:rPr>
        <w:t xml:space="preserve">consistent with comments received from </w:t>
      </w:r>
      <w:r w:rsidR="002058AE" w:rsidRPr="001779EA">
        <w:rPr>
          <w:bCs/>
        </w:rPr>
        <w:t xml:space="preserve">the </w:t>
      </w:r>
      <w:r w:rsidR="009B6F6B" w:rsidRPr="001779EA">
        <w:rPr>
          <w:bCs/>
        </w:rPr>
        <w:t>BCNA and MOGA Breast Cancer Expert Group</w:t>
      </w:r>
      <w:r w:rsidR="00D402C8" w:rsidRPr="001779EA">
        <w:rPr>
          <w:bCs/>
        </w:rPr>
        <w:t xml:space="preserve"> regarding the clinical need for fulvestrant</w:t>
      </w:r>
      <w:r w:rsidR="009B6F6B" w:rsidRPr="001779EA">
        <w:rPr>
          <w:bCs/>
        </w:rPr>
        <w:t xml:space="preserve">. </w:t>
      </w:r>
    </w:p>
    <w:p w:rsidR="00F76102" w:rsidRPr="001779EA" w:rsidRDefault="00F76102" w:rsidP="00F76102">
      <w:pPr>
        <w:pStyle w:val="3-BodyText"/>
      </w:pPr>
      <w:r w:rsidRPr="001779EA">
        <w:t>While the evidence presented was for use of fulvestrant as monotherapy, the proposed listing would not specifically prohibit use in combination with other medicines, such as CDK4/6 inhibitors</w:t>
      </w:r>
      <w:r w:rsidR="008B751F">
        <w:t xml:space="preserve"> and this use would be consistent with the TGA indications for some CDK4/6 inhibitors</w:t>
      </w:r>
      <w:r w:rsidRPr="001779EA">
        <w:t xml:space="preserve">. However, such use is prohibited in the </w:t>
      </w:r>
      <w:r w:rsidR="00D673A5" w:rsidRPr="001779EA">
        <w:t xml:space="preserve">current </w:t>
      </w:r>
      <w:r w:rsidRPr="001779EA">
        <w:t xml:space="preserve">CDK4/6 inhibitor restrictions, which state ‘treatment must be in combination with anastrozole or letrozole’. The PBAC reiterated the </w:t>
      </w:r>
      <w:r w:rsidR="00184061">
        <w:t>main</w:t>
      </w:r>
      <w:r w:rsidR="00184061" w:rsidRPr="001779EA">
        <w:t xml:space="preserve"> </w:t>
      </w:r>
      <w:r w:rsidRPr="001779EA">
        <w:t xml:space="preserve">clinical need for fulvestrant </w:t>
      </w:r>
      <w:r w:rsidR="00184061">
        <w:t xml:space="preserve">was </w:t>
      </w:r>
      <w:r w:rsidRPr="001779EA">
        <w:t>in combination with CDK4/6 inhibitors but noted that the clinical evidence, cost-effectiveness and financial impacts of combination use were not presented in this submission. The combination of ribociclib plus fulvestrant was considered as part of ‘Agenda Item 6.06 ribociclib’ at the same meeting.</w:t>
      </w:r>
    </w:p>
    <w:p w:rsidR="003D122B" w:rsidRPr="001779EA" w:rsidRDefault="003D122B" w:rsidP="00D121B4">
      <w:pPr>
        <w:pStyle w:val="3-BodyText"/>
      </w:pPr>
      <w:r w:rsidRPr="001779EA">
        <w:rPr>
          <w:bCs/>
        </w:rPr>
        <w:t>The PBAC considered that the proposed line-agnostic listing for fulvestrant was appropriate</w:t>
      </w:r>
      <w:r w:rsidRPr="001779EA">
        <w:t xml:space="preserve">, given the clinical need </w:t>
      </w:r>
      <w:r w:rsidR="00917E59" w:rsidRPr="001779EA">
        <w:t>across the settings</w:t>
      </w:r>
      <w:r w:rsidRPr="001779EA">
        <w:t xml:space="preserve">. </w:t>
      </w:r>
      <w:r w:rsidR="00D121B4" w:rsidRPr="001779EA">
        <w:t>While broader than the current and requested TGA indications, the PBAC considered</w:t>
      </w:r>
      <w:r w:rsidR="00F76102" w:rsidRPr="001779EA">
        <w:t xml:space="preserve"> that</w:t>
      </w:r>
      <w:r w:rsidR="00D121B4" w:rsidRPr="001779EA">
        <w:t xml:space="preserve"> </w:t>
      </w:r>
      <w:r w:rsidR="00F76102" w:rsidRPr="001779EA">
        <w:t xml:space="preserve">a line-agnostic listing </w:t>
      </w:r>
      <w:r w:rsidR="00D121B4" w:rsidRPr="001779EA">
        <w:t xml:space="preserve">was appropriate in this particular case given clinician familiarity with fulvestrant in these settings, </w:t>
      </w:r>
      <w:r w:rsidRPr="001779EA">
        <w:t xml:space="preserve">and </w:t>
      </w:r>
      <w:r w:rsidR="0016532F" w:rsidRPr="001779EA">
        <w:t xml:space="preserve">would be </w:t>
      </w:r>
      <w:r w:rsidRPr="001779EA">
        <w:t>consistent with National Comprehensive Cancer Network (NCCN) and European Society of Medical Oncology (ESMO) guidelines</w:t>
      </w:r>
      <w:r w:rsidR="0016532F" w:rsidRPr="001779EA">
        <w:t>,</w:t>
      </w:r>
      <w:r w:rsidRPr="001779EA">
        <w:t xml:space="preserve"> and consistent with the PBS listing for exemestane. </w:t>
      </w:r>
      <w:r w:rsidR="00D121B4" w:rsidRPr="001779EA">
        <w:t xml:space="preserve">The PBAC further noted that the </w:t>
      </w:r>
      <w:r w:rsidR="00D121B4" w:rsidRPr="001779EA">
        <w:lastRenderedPageBreak/>
        <w:t xml:space="preserve">requested TGA indication would not </w:t>
      </w:r>
      <w:r w:rsidR="0016532F" w:rsidRPr="001779EA">
        <w:t>cover</w:t>
      </w:r>
      <w:r w:rsidR="00D121B4" w:rsidRPr="001779EA">
        <w:t xml:space="preserve"> all the off-label </w:t>
      </w:r>
      <w:r w:rsidR="0016532F" w:rsidRPr="001779EA">
        <w:t>settings in which listing was requested (i.e. it would not include use in progressive disease following therapies other than tamoxifen)</w:t>
      </w:r>
      <w:r w:rsidR="00D121B4" w:rsidRPr="001779EA">
        <w:t>.</w:t>
      </w:r>
    </w:p>
    <w:p w:rsidR="007B1B96" w:rsidRPr="001779EA" w:rsidRDefault="00606601" w:rsidP="007E06A7">
      <w:pPr>
        <w:pStyle w:val="3-BodyText"/>
      </w:pPr>
      <w:r w:rsidRPr="001779EA">
        <w:t xml:space="preserve">The PBAC agreed with the ESC </w:t>
      </w:r>
      <w:r w:rsidR="0016532F" w:rsidRPr="001779EA">
        <w:t xml:space="preserve">and DUSC </w:t>
      </w:r>
      <w:r w:rsidRPr="001779EA">
        <w:t xml:space="preserve">that the </w:t>
      </w:r>
      <w:r w:rsidR="0016532F" w:rsidRPr="001779EA">
        <w:t>listing</w:t>
      </w:r>
      <w:r w:rsidRPr="001779EA">
        <w:t xml:space="preserve"> should require the condition </w:t>
      </w:r>
      <w:r w:rsidR="007B1B96" w:rsidRPr="001779EA">
        <w:t>to be</w:t>
      </w:r>
      <w:r w:rsidRPr="001779EA">
        <w:t xml:space="preserve"> unresectable, consistent with the patient population included in the clinical evidence presented. </w:t>
      </w:r>
    </w:p>
    <w:p w:rsidR="004E5354" w:rsidRPr="001779EA" w:rsidRDefault="007E06A7" w:rsidP="00E01B38">
      <w:pPr>
        <w:pStyle w:val="3-BodyText"/>
      </w:pPr>
      <w:r w:rsidRPr="001779EA">
        <w:t xml:space="preserve">The submission estimated that </w:t>
      </w:r>
      <w:r w:rsidR="002A08FE">
        <w:t>&lt; 500</w:t>
      </w:r>
      <w:r w:rsidRPr="001779EA">
        <w:t xml:space="preserve"> patients on a Patient Access Program would be eligible to receive PBS-funded treatment and requested a grandfather listing for these patients. </w:t>
      </w:r>
      <w:r w:rsidR="008B48B6" w:rsidRPr="001779EA">
        <w:t>However,</w:t>
      </w:r>
      <w:r w:rsidR="00606601" w:rsidRPr="001779EA">
        <w:t xml:space="preserve"> it was not clear whether this estimate included patients treated with fulvestrant in combination with CDK4/6 inhibitors</w:t>
      </w:r>
      <w:r w:rsidR="00341EAB" w:rsidRPr="001779EA">
        <w:t xml:space="preserve"> (who would not be eligible </w:t>
      </w:r>
      <w:r w:rsidR="00106E94" w:rsidRPr="001779EA">
        <w:t>for PBS-subsidised fulvestrant</w:t>
      </w:r>
      <w:r w:rsidR="00341EAB" w:rsidRPr="001779EA">
        <w:t>)</w:t>
      </w:r>
      <w:r w:rsidR="00606601" w:rsidRPr="001779EA">
        <w:t xml:space="preserve">. </w:t>
      </w:r>
      <w:r w:rsidR="00606601" w:rsidRPr="001779EA">
        <w:rPr>
          <w:bCs/>
          <w:iCs/>
          <w:lang w:eastAsia="en-US"/>
        </w:rPr>
        <w:t xml:space="preserve">The PBAC noted that there are no criteria in the </w:t>
      </w:r>
      <w:r w:rsidR="00106E94" w:rsidRPr="001779EA">
        <w:rPr>
          <w:bCs/>
          <w:iCs/>
          <w:lang w:eastAsia="en-US"/>
        </w:rPr>
        <w:t xml:space="preserve">recommended restrictions </w:t>
      </w:r>
      <w:r w:rsidR="00606601" w:rsidRPr="001779EA">
        <w:rPr>
          <w:bCs/>
          <w:iCs/>
          <w:lang w:eastAsia="en-US"/>
        </w:rPr>
        <w:t xml:space="preserve">that would prevent patients treated </w:t>
      </w:r>
      <w:r w:rsidR="00106E94" w:rsidRPr="001779EA">
        <w:rPr>
          <w:bCs/>
          <w:iCs/>
          <w:lang w:eastAsia="en-US"/>
        </w:rPr>
        <w:t xml:space="preserve">with fulvestrant monotherapy </w:t>
      </w:r>
      <w:r w:rsidR="00606601" w:rsidRPr="001779EA">
        <w:rPr>
          <w:bCs/>
          <w:iCs/>
          <w:lang w:eastAsia="en-US"/>
        </w:rPr>
        <w:t xml:space="preserve">under the patient access program from accessing </w:t>
      </w:r>
      <w:r w:rsidR="00106E94" w:rsidRPr="001779EA">
        <w:rPr>
          <w:bCs/>
          <w:iCs/>
          <w:lang w:eastAsia="en-US"/>
        </w:rPr>
        <w:t xml:space="preserve">PBS-subsidised </w:t>
      </w:r>
      <w:r w:rsidR="00606601" w:rsidRPr="001779EA">
        <w:rPr>
          <w:bCs/>
          <w:iCs/>
          <w:lang w:eastAsia="en-US"/>
        </w:rPr>
        <w:t>treatment, therefore a separate grandfather listing is not required.</w:t>
      </w:r>
    </w:p>
    <w:p w:rsidR="004E5354" w:rsidRPr="001779EA" w:rsidRDefault="006C17DB" w:rsidP="004E5354">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The PBAC considered that in the first line setting anastrozole was the appropriate comparator</w:t>
      </w:r>
      <w:r w:rsidR="004F7EEA" w:rsidRPr="001779EA">
        <w:rPr>
          <w:rFonts w:asciiTheme="minorHAnsi" w:hAnsiTheme="minorHAnsi"/>
          <w:bCs/>
          <w:snapToGrid w:val="0"/>
        </w:rPr>
        <w:t xml:space="preserve">. </w:t>
      </w:r>
      <w:r w:rsidR="00577E77" w:rsidRPr="001779EA">
        <w:rPr>
          <w:rFonts w:asciiTheme="minorHAnsi" w:hAnsiTheme="minorHAnsi"/>
          <w:bCs/>
          <w:snapToGrid w:val="0"/>
        </w:rPr>
        <w:t>T</w:t>
      </w:r>
      <w:r w:rsidR="004F7EEA" w:rsidRPr="001779EA">
        <w:rPr>
          <w:rFonts w:asciiTheme="minorHAnsi" w:hAnsiTheme="minorHAnsi"/>
          <w:bCs/>
          <w:snapToGrid w:val="0"/>
        </w:rPr>
        <w:t>he PBAC considered that in subsequent lines</w:t>
      </w:r>
      <w:r w:rsidR="00D22C0E" w:rsidRPr="001779EA">
        <w:rPr>
          <w:rFonts w:asciiTheme="minorHAnsi" w:hAnsiTheme="minorHAnsi"/>
          <w:bCs/>
          <w:snapToGrid w:val="0"/>
        </w:rPr>
        <w:t xml:space="preserve"> of treatment</w:t>
      </w:r>
      <w:r w:rsidR="004F7EEA" w:rsidRPr="001779EA">
        <w:rPr>
          <w:rFonts w:asciiTheme="minorHAnsi" w:hAnsiTheme="minorHAnsi"/>
          <w:bCs/>
          <w:snapToGrid w:val="0"/>
        </w:rPr>
        <w:t xml:space="preserve"> EVE+EXE was </w:t>
      </w:r>
      <w:r w:rsidR="00011C8D" w:rsidRPr="001779EA">
        <w:rPr>
          <w:rFonts w:asciiTheme="minorHAnsi" w:hAnsiTheme="minorHAnsi"/>
          <w:bCs/>
          <w:snapToGrid w:val="0"/>
        </w:rPr>
        <w:t>the</w:t>
      </w:r>
      <w:r w:rsidR="004F7EEA" w:rsidRPr="001779EA">
        <w:rPr>
          <w:rFonts w:asciiTheme="minorHAnsi" w:hAnsiTheme="minorHAnsi"/>
          <w:bCs/>
          <w:snapToGrid w:val="0"/>
        </w:rPr>
        <w:t xml:space="preserve"> </w:t>
      </w:r>
      <w:r w:rsidR="00577E77" w:rsidRPr="001779EA">
        <w:rPr>
          <w:rFonts w:asciiTheme="minorHAnsi" w:hAnsiTheme="minorHAnsi"/>
          <w:bCs/>
          <w:snapToGrid w:val="0"/>
        </w:rPr>
        <w:t xml:space="preserve">most appropriate comparator, while acknowledging that there </w:t>
      </w:r>
      <w:r w:rsidR="008B48B6" w:rsidRPr="001779EA">
        <w:rPr>
          <w:rFonts w:asciiTheme="minorHAnsi" w:hAnsiTheme="minorHAnsi"/>
          <w:bCs/>
          <w:snapToGrid w:val="0"/>
        </w:rPr>
        <w:t>a</w:t>
      </w:r>
      <w:r w:rsidR="00577E77" w:rsidRPr="001779EA">
        <w:rPr>
          <w:rFonts w:asciiTheme="minorHAnsi" w:hAnsiTheme="minorHAnsi"/>
          <w:bCs/>
          <w:snapToGrid w:val="0"/>
        </w:rPr>
        <w:t>re other treatments used in this setting, such as tamoxifen and chemotherapy.</w:t>
      </w:r>
    </w:p>
    <w:p w:rsidR="00100162" w:rsidRPr="001779EA" w:rsidRDefault="004F7EEA" w:rsidP="001D036D">
      <w:pPr>
        <w:pStyle w:val="3-BodyText"/>
        <w:rPr>
          <w:i/>
        </w:rPr>
      </w:pPr>
      <w:r w:rsidRPr="001779EA">
        <w:t xml:space="preserve">The clinical evidence in the first line setting was based on two trials: FALCON and FIRST. </w:t>
      </w:r>
      <w:r w:rsidR="00DF1BC9" w:rsidRPr="001779EA">
        <w:t>While t</w:t>
      </w:r>
      <w:r w:rsidRPr="001779EA">
        <w:t xml:space="preserve">he FIRST trial </w:t>
      </w:r>
      <w:r w:rsidR="00DF1BC9" w:rsidRPr="001779EA">
        <w:t>demonstrated a statistically significant improvement in OS</w:t>
      </w:r>
      <w:r w:rsidR="000E57A9" w:rsidRPr="001779EA">
        <w:t xml:space="preserve"> (unadjusted</w:t>
      </w:r>
      <w:r w:rsidR="007C1855" w:rsidRPr="001779EA">
        <w:t xml:space="preserve"> results</w:t>
      </w:r>
      <w:r w:rsidR="000E57A9" w:rsidRPr="001779EA">
        <w:t>)</w:t>
      </w:r>
      <w:r w:rsidR="00DF1BC9" w:rsidRPr="001779EA">
        <w:t xml:space="preserve">, it </w:t>
      </w:r>
      <w:r w:rsidR="007C1855" w:rsidRPr="001779EA">
        <w:t xml:space="preserve">was open-label </w:t>
      </w:r>
      <w:r w:rsidRPr="001779EA">
        <w:t xml:space="preserve">and </w:t>
      </w:r>
      <w:r w:rsidR="00A05442" w:rsidRPr="001779EA">
        <w:t xml:space="preserve">the PBAC considered that it </w:t>
      </w:r>
      <w:r w:rsidRPr="001779EA">
        <w:t>lacked applicability to the proposed PBS population as it included patients with HER2+ (18</w:t>
      </w:r>
      <w:r w:rsidR="00255C70" w:rsidRPr="001779EA">
        <w:t>.5</w:t>
      </w:r>
      <w:r w:rsidRPr="001779EA">
        <w:t>%) and unknown HER2 status (34%)</w:t>
      </w:r>
      <w:r w:rsidR="00882B5B" w:rsidRPr="001779EA">
        <w:rPr>
          <w:i/>
        </w:rPr>
        <w:t>.</w:t>
      </w:r>
      <w:r w:rsidR="00882B5B" w:rsidRPr="001779EA">
        <w:t xml:space="preserve"> </w:t>
      </w:r>
      <w:r w:rsidR="00CA089F" w:rsidRPr="001779EA">
        <w:t xml:space="preserve">While the pre-PBAC response </w:t>
      </w:r>
      <w:r w:rsidR="00F5335A" w:rsidRPr="001779EA">
        <w:t xml:space="preserve">claimed </w:t>
      </w:r>
      <w:r w:rsidR="00CA089F" w:rsidRPr="001779EA">
        <w:t xml:space="preserve">that </w:t>
      </w:r>
      <w:r w:rsidR="00F5335A" w:rsidRPr="001779EA">
        <w:t xml:space="preserve">HER2 is not a treatment effect modifier (based on trials </w:t>
      </w:r>
      <w:r w:rsidR="001D036D" w:rsidRPr="001779EA">
        <w:t>that did not include</w:t>
      </w:r>
      <w:r w:rsidR="00F5335A" w:rsidRPr="001779EA">
        <w:t xml:space="preserve"> fulvestrant)</w:t>
      </w:r>
      <w:r w:rsidR="008B48B6" w:rsidRPr="001779EA">
        <w:t>,</w:t>
      </w:r>
      <w:r w:rsidR="00F5335A" w:rsidRPr="001779EA">
        <w:t xml:space="preserve"> </w:t>
      </w:r>
      <w:r w:rsidR="00CA089F" w:rsidRPr="001779EA">
        <w:t xml:space="preserve">the PBAC considered that this </w:t>
      </w:r>
      <w:r w:rsidR="00F5335A" w:rsidRPr="001779EA">
        <w:t xml:space="preserve">increased uncertainty in the </w:t>
      </w:r>
      <w:r w:rsidR="00DF1BC9" w:rsidRPr="001779EA">
        <w:t xml:space="preserve">applicability </w:t>
      </w:r>
      <w:r w:rsidR="002F5F2E" w:rsidRPr="001779EA">
        <w:t xml:space="preserve">of the </w:t>
      </w:r>
      <w:r w:rsidR="00F5335A" w:rsidRPr="001779EA">
        <w:t>outcomes.</w:t>
      </w:r>
      <w:r w:rsidR="00882B5B" w:rsidRPr="001779EA">
        <w:t xml:space="preserve"> </w:t>
      </w:r>
      <w:r w:rsidR="00D20F9D" w:rsidRPr="001779EA">
        <w:t xml:space="preserve">The PBAC </w:t>
      </w:r>
      <w:r w:rsidRPr="001779EA">
        <w:t xml:space="preserve">noted that the FALCON trial </w:t>
      </w:r>
      <w:r w:rsidR="00382365" w:rsidRPr="001779EA">
        <w:t>was larger and more recent and only included HER2- patients, consistent with the proposed listing. However, the OS data were immature</w:t>
      </w:r>
      <w:r w:rsidR="008B48B6" w:rsidRPr="001779EA">
        <w:t xml:space="preserve"> (</w:t>
      </w:r>
      <w:r w:rsidR="00382365" w:rsidRPr="001779EA">
        <w:t>with 69% of patients still alive at the data cut</w:t>
      </w:r>
      <w:r w:rsidR="008B48B6" w:rsidRPr="001779EA">
        <w:t>)</w:t>
      </w:r>
      <w:r w:rsidR="00382365" w:rsidRPr="001779EA">
        <w:t xml:space="preserve"> and the OS hazard ratio was not statistically significant, 0.875 (95% CI: 0.629, 1.217). </w:t>
      </w:r>
      <w:r w:rsidR="006146A4" w:rsidRPr="001779EA">
        <w:t>However</w:t>
      </w:r>
      <w:r w:rsidR="00382365" w:rsidRPr="001779EA">
        <w:t xml:space="preserve">, FALCON excluded patients who had prior endocrine therapy and therefore was only applicable to patients with de novo advanced or metastatic disease; </w:t>
      </w:r>
      <w:r w:rsidR="00D22C0E" w:rsidRPr="001779EA">
        <w:t>whereas</w:t>
      </w:r>
      <w:r w:rsidR="00382365" w:rsidRPr="001779EA">
        <w:t xml:space="preserve"> in the Australian setting only around one-third of patients with metastatic breast cancer present with de novo metastatic disease. </w:t>
      </w:r>
      <w:r w:rsidR="001D036D" w:rsidRPr="001779EA">
        <w:t xml:space="preserve">As such, the PBAC considered that both trials had limited applicability to the requested PBS population and noted that the pooled OS hazard ratio from the meta-analysis of FALCON and FIRST (with the FIRST results adjusted for baseline characteristics in a Cox proportional hazards model) resulted in a HR of 0.82 (95% CI: 0.65, 1.04). </w:t>
      </w:r>
    </w:p>
    <w:p w:rsidR="001831A9" w:rsidRPr="001779EA" w:rsidRDefault="00A60A48" w:rsidP="007256B1">
      <w:pPr>
        <w:pStyle w:val="3-BodyText"/>
        <w:rPr>
          <w:lang w:eastAsia="en-US"/>
        </w:rPr>
      </w:pPr>
      <w:r w:rsidRPr="001779EA">
        <w:t xml:space="preserve">The PBAC noted that patients with visceral disease are less likely to be treated with fulvestrant (or any endocrine treatment) and more likely to be treated with chemotherapy, but these patients were included in both FALCON and FIRST trials. The PBAC noted that subgroup results presented in the </w:t>
      </w:r>
      <w:r w:rsidR="001831A9" w:rsidRPr="001779EA">
        <w:t xml:space="preserve">PSCR suggested that fulvestrant </w:t>
      </w:r>
      <w:r w:rsidR="001831A9" w:rsidRPr="001779EA">
        <w:lastRenderedPageBreak/>
        <w:t>had a greater relative treatment effect in patients with non-visceral disease compared with visceral disease.</w:t>
      </w:r>
      <w:r w:rsidRPr="001779EA">
        <w:t xml:space="preserve"> </w:t>
      </w:r>
    </w:p>
    <w:p w:rsidR="00100162" w:rsidRPr="001779EA" w:rsidRDefault="001D036D" w:rsidP="00A66BEF">
      <w:pPr>
        <w:pStyle w:val="3-BodyText"/>
        <w:rPr>
          <w:lang w:eastAsia="en-US"/>
        </w:rPr>
      </w:pPr>
      <w:r w:rsidRPr="001779EA">
        <w:rPr>
          <w:lang w:eastAsia="en-US"/>
        </w:rPr>
        <w:t>T</w:t>
      </w:r>
      <w:r w:rsidR="00100162" w:rsidRPr="001779EA">
        <w:rPr>
          <w:lang w:eastAsia="en-US"/>
        </w:rPr>
        <w:t xml:space="preserve">he PBAC considered that the claim of superior comparative effectiveness compared with anastrozole in first line treatment was reasonable, however </w:t>
      </w:r>
      <w:r w:rsidR="00100162" w:rsidRPr="001779EA">
        <w:t xml:space="preserve">a robust conclusion regarding the magnitude of benefit </w:t>
      </w:r>
      <w:r w:rsidR="00100162" w:rsidRPr="001779EA">
        <w:rPr>
          <w:lang w:eastAsia="en-US"/>
        </w:rPr>
        <w:t>for fulvestrant compared with anastrozole</w:t>
      </w:r>
      <w:r w:rsidR="00100162" w:rsidRPr="001779EA">
        <w:t xml:space="preserve"> was complicated by </w:t>
      </w:r>
      <w:r w:rsidR="00100162" w:rsidRPr="001779EA">
        <w:rPr>
          <w:lang w:eastAsia="en-US"/>
        </w:rPr>
        <w:t>the limited applicability of both the trials</w:t>
      </w:r>
      <w:r w:rsidR="007C1855" w:rsidRPr="001779EA">
        <w:rPr>
          <w:lang w:eastAsia="en-US"/>
        </w:rPr>
        <w:t>, the risk of bias in the FIRST trial (due to the open-label design) and the immaturity of the FALCON trial</w:t>
      </w:r>
      <w:r w:rsidR="00100162" w:rsidRPr="001779EA">
        <w:rPr>
          <w:lang w:eastAsia="en-US"/>
        </w:rPr>
        <w:t xml:space="preserve">. The PBAC considered that the claim of non-inferior safety compared with anastrozole may be reasonable, </w:t>
      </w:r>
      <w:r w:rsidR="00D02BEE" w:rsidRPr="001779EA">
        <w:rPr>
          <w:lang w:eastAsia="en-US"/>
        </w:rPr>
        <w:t>based on the limited data available.</w:t>
      </w:r>
      <w:r w:rsidR="00A66BEF" w:rsidRPr="001779EA">
        <w:rPr>
          <w:lang w:eastAsia="en-US"/>
        </w:rPr>
        <w:t xml:space="preserve"> </w:t>
      </w:r>
    </w:p>
    <w:p w:rsidR="00457217" w:rsidRPr="001779EA" w:rsidRDefault="00E049BB" w:rsidP="00100162">
      <w:pPr>
        <w:pStyle w:val="3-BodyText"/>
      </w:pPr>
      <w:r w:rsidRPr="001779EA">
        <w:rPr>
          <w:rFonts w:eastAsia="Calibri"/>
        </w:rPr>
        <w:t>The PBAC noted that the comparison of fulvestrant with EVE+EXE</w:t>
      </w:r>
      <w:r w:rsidR="00CA58AA" w:rsidRPr="001779EA">
        <w:rPr>
          <w:rFonts w:eastAsia="Calibri"/>
        </w:rPr>
        <w:t xml:space="preserve"> in </w:t>
      </w:r>
      <w:r w:rsidR="0050565C" w:rsidRPr="001779EA">
        <w:rPr>
          <w:rFonts w:eastAsia="Calibri"/>
        </w:rPr>
        <w:t xml:space="preserve">second and </w:t>
      </w:r>
      <w:r w:rsidR="00CA58AA" w:rsidRPr="001779EA">
        <w:rPr>
          <w:rFonts w:eastAsia="Calibri"/>
        </w:rPr>
        <w:t xml:space="preserve">subsequent line treatment was based on an </w:t>
      </w:r>
      <w:r w:rsidRPr="001779EA">
        <w:rPr>
          <w:rFonts w:eastAsia="Calibri"/>
        </w:rPr>
        <w:t xml:space="preserve">informal indirect comparison, </w:t>
      </w:r>
      <w:r w:rsidR="00CA58AA" w:rsidRPr="001779EA">
        <w:rPr>
          <w:rFonts w:eastAsia="Calibri"/>
        </w:rPr>
        <w:t xml:space="preserve">using five separate studies. The PBAC noted that a formal comparison was not presented </w:t>
      </w:r>
      <w:r w:rsidR="00D27DB1" w:rsidRPr="001779EA">
        <w:rPr>
          <w:rFonts w:eastAsia="Calibri"/>
        </w:rPr>
        <w:t xml:space="preserve">as the primary evidence </w:t>
      </w:r>
      <w:r w:rsidR="00CA58AA" w:rsidRPr="001779EA">
        <w:rPr>
          <w:rFonts w:eastAsia="Calibri"/>
        </w:rPr>
        <w:t xml:space="preserve">due to significant </w:t>
      </w:r>
      <w:r w:rsidRPr="001779EA">
        <w:t>heterogeneity between the studies in the second-line setting</w:t>
      </w:r>
      <w:r w:rsidR="0050565C" w:rsidRPr="001779EA">
        <w:t xml:space="preserve">, particularly in terms of </w:t>
      </w:r>
      <w:r w:rsidR="002C131C" w:rsidRPr="001779EA">
        <w:t xml:space="preserve">HER2 status and </w:t>
      </w:r>
      <w:r w:rsidR="0050565C" w:rsidRPr="001779EA">
        <w:t xml:space="preserve">the </w:t>
      </w:r>
      <w:r w:rsidR="003E3074" w:rsidRPr="001779EA">
        <w:t xml:space="preserve">number of </w:t>
      </w:r>
      <w:r w:rsidR="002C131C" w:rsidRPr="001779EA">
        <w:t xml:space="preserve">prior therapies, and there was </w:t>
      </w:r>
      <w:r w:rsidR="007644BC" w:rsidRPr="001779EA">
        <w:t>variability in PFS and OS</w:t>
      </w:r>
      <w:r w:rsidR="004D0300" w:rsidRPr="001779EA">
        <w:t xml:space="preserve"> results</w:t>
      </w:r>
      <w:r w:rsidR="007644BC" w:rsidRPr="001779EA">
        <w:t xml:space="preserve"> in the control arms of the trials</w:t>
      </w:r>
      <w:r w:rsidR="0050565C" w:rsidRPr="001779EA">
        <w:t>. The PBAC also considered</w:t>
      </w:r>
      <w:r w:rsidRPr="001779EA">
        <w:t xml:space="preserve"> the applicability was limited given that many of the trials included </w:t>
      </w:r>
      <w:r w:rsidR="00334E4D" w:rsidRPr="001779EA">
        <w:t xml:space="preserve">patients </w:t>
      </w:r>
      <w:r w:rsidRPr="001779EA">
        <w:t>who were not HER2-</w:t>
      </w:r>
      <w:r w:rsidR="007644BC" w:rsidRPr="001779EA">
        <w:t>. The PBAC also noted that the results of the BOLERO-2 trial (EXE vs EVE+EXE) were difficult to interpret as there was no statistically significant improvement in OS and many patients discontinued from combination therapy due to toxicity.</w:t>
      </w:r>
      <w:r w:rsidR="0050565C" w:rsidRPr="001779EA">
        <w:t xml:space="preserve"> Overall, the PBAC considered that the </w:t>
      </w:r>
      <w:r w:rsidR="0050565C" w:rsidRPr="001779EA">
        <w:rPr>
          <w:rFonts w:eastAsia="Calibri"/>
          <w:iCs/>
        </w:rPr>
        <w:t>informal indirect comparison did not allow a meaningful comparison of outcomes with fulvestrant versus EVE+EXE.</w:t>
      </w:r>
    </w:p>
    <w:p w:rsidR="00100162" w:rsidRPr="001779EA" w:rsidRDefault="00D02BEE" w:rsidP="00100162">
      <w:pPr>
        <w:pStyle w:val="3-BodyText"/>
      </w:pPr>
      <w:r w:rsidRPr="001779EA">
        <w:t xml:space="preserve">The PBAC noted that </w:t>
      </w:r>
      <w:r w:rsidR="003E3074" w:rsidRPr="001779EA">
        <w:t>a</w:t>
      </w:r>
      <w:r w:rsidR="00D27DB1" w:rsidRPr="001779EA">
        <w:t>n</w:t>
      </w:r>
      <w:r w:rsidRPr="001779EA">
        <w:t xml:space="preserve"> </w:t>
      </w:r>
      <w:r w:rsidR="00D27DB1" w:rsidRPr="001779EA">
        <w:t xml:space="preserve">adjusted indirect comparison </w:t>
      </w:r>
      <w:r w:rsidR="003E3074" w:rsidRPr="001779EA">
        <w:t xml:space="preserve">was also presented which </w:t>
      </w:r>
      <w:r w:rsidRPr="001779EA">
        <w:t>suggested that fulvestrant may be inferior to EVE+EXE in terms of PFS whereas there was a trend to superior OS for fulvestrant</w:t>
      </w:r>
      <w:r w:rsidR="003E3074" w:rsidRPr="001779EA">
        <w:t>. Overall</w:t>
      </w:r>
      <w:r w:rsidRPr="001779EA">
        <w:t xml:space="preserve">, </w:t>
      </w:r>
      <w:r w:rsidR="00F91C6E" w:rsidRPr="001779EA">
        <w:t>the PBAC considered</w:t>
      </w:r>
      <w:r w:rsidR="00916633" w:rsidRPr="001779EA">
        <w:t xml:space="preserve"> that </w:t>
      </w:r>
      <w:r w:rsidR="003E3074" w:rsidRPr="001779EA">
        <w:t>the</w:t>
      </w:r>
      <w:r w:rsidR="00457217" w:rsidRPr="001779EA">
        <w:t xml:space="preserve"> adjusted indirect comparison was difficult to interpret as the</w:t>
      </w:r>
      <w:r w:rsidR="003E3074" w:rsidRPr="001779EA">
        <w:t xml:space="preserve"> </w:t>
      </w:r>
      <w:r w:rsidR="00916633" w:rsidRPr="001779EA">
        <w:t xml:space="preserve">transitivity assumption </w:t>
      </w:r>
      <w:r w:rsidR="003E3074" w:rsidRPr="001779EA">
        <w:t>was</w:t>
      </w:r>
      <w:r w:rsidR="00916633" w:rsidRPr="001779EA">
        <w:t xml:space="preserve"> likely to </w:t>
      </w:r>
      <w:r w:rsidR="003E3074" w:rsidRPr="001779EA">
        <w:t xml:space="preserve">have </w:t>
      </w:r>
      <w:r w:rsidR="00916633" w:rsidRPr="001779EA">
        <w:t>be</w:t>
      </w:r>
      <w:r w:rsidR="003E3074" w:rsidRPr="001779EA">
        <w:t>en</w:t>
      </w:r>
      <w:r w:rsidR="00916633" w:rsidRPr="001779EA">
        <w:t xml:space="preserve"> violated</w:t>
      </w:r>
      <w:r w:rsidRPr="001779EA">
        <w:t xml:space="preserve">. </w:t>
      </w:r>
    </w:p>
    <w:p w:rsidR="00D02BEE" w:rsidRPr="001779EA" w:rsidRDefault="007644BC" w:rsidP="004D0300">
      <w:pPr>
        <w:pStyle w:val="3-BodyText"/>
      </w:pPr>
      <w:r w:rsidRPr="001779EA">
        <w:t xml:space="preserve">The PBAC considered that fulvestrant appears to </w:t>
      </w:r>
      <w:r w:rsidR="00F00747" w:rsidRPr="001779EA">
        <w:t>have superior safety compared with</w:t>
      </w:r>
      <w:r w:rsidRPr="001779EA">
        <w:t xml:space="preserve"> EVE+EXE, </w:t>
      </w:r>
      <w:r w:rsidR="004D0300" w:rsidRPr="001779EA">
        <w:t xml:space="preserve">noting the interpretation of the safety data was difficult due to the limitations of the clinical trial data and the incomplete reporting of adverse events in the trials. </w:t>
      </w:r>
      <w:r w:rsidR="0050565C" w:rsidRPr="001779EA">
        <w:t xml:space="preserve">The PBAC considered that the claim of non-inferior comparative effectiveness compared with EVE+EXE was not well-supported </w:t>
      </w:r>
      <w:r w:rsidR="0050565C" w:rsidRPr="001779EA">
        <w:rPr>
          <w:lang w:eastAsia="en-US"/>
        </w:rPr>
        <w:t>by the data given the differences between the trials. However, overall, the PBAC considered that, in light of the superior comparative safety</w:t>
      </w:r>
      <w:r w:rsidR="008226D4" w:rsidRPr="001779EA">
        <w:rPr>
          <w:lang w:eastAsia="en-US"/>
        </w:rPr>
        <w:t xml:space="preserve"> and </w:t>
      </w:r>
      <w:r w:rsidR="009937DA" w:rsidRPr="001779EA">
        <w:rPr>
          <w:lang w:eastAsia="en-US"/>
        </w:rPr>
        <w:t>likel</w:t>
      </w:r>
      <w:r w:rsidR="008226D4" w:rsidRPr="001779EA">
        <w:rPr>
          <w:lang w:eastAsia="en-US"/>
        </w:rPr>
        <w:t>y similar efficacy to EVE+EXE</w:t>
      </w:r>
      <w:r w:rsidR="0050565C" w:rsidRPr="001779EA">
        <w:rPr>
          <w:lang w:eastAsia="en-US"/>
        </w:rPr>
        <w:t>, there was likely a clinical benefit to fulvestrant in particular groups of patients</w:t>
      </w:r>
      <w:r w:rsidR="00447203" w:rsidRPr="001779EA">
        <w:rPr>
          <w:lang w:eastAsia="en-US"/>
        </w:rPr>
        <w:t>. The PBAC came to this conclusion</w:t>
      </w:r>
      <w:r w:rsidR="008226D4" w:rsidRPr="001779EA">
        <w:rPr>
          <w:lang w:eastAsia="en-US"/>
        </w:rPr>
        <w:t xml:space="preserve"> in the context of the lower price tha</w:t>
      </w:r>
      <w:r w:rsidR="00AB2348" w:rsidRPr="001779EA">
        <w:rPr>
          <w:lang w:eastAsia="en-US"/>
        </w:rPr>
        <w:t>n</w:t>
      </w:r>
      <w:r w:rsidR="008226D4" w:rsidRPr="001779EA">
        <w:rPr>
          <w:lang w:eastAsia="en-US"/>
        </w:rPr>
        <w:t xml:space="preserve"> EVE+EXE and</w:t>
      </w:r>
      <w:r w:rsidR="00AB2348" w:rsidRPr="001779EA">
        <w:rPr>
          <w:lang w:eastAsia="en-US"/>
        </w:rPr>
        <w:t xml:space="preserve"> the likely</w:t>
      </w:r>
      <w:r w:rsidR="008226D4" w:rsidRPr="001779EA">
        <w:rPr>
          <w:lang w:eastAsia="en-US"/>
        </w:rPr>
        <w:t xml:space="preserve"> limited use in this setting</w:t>
      </w:r>
      <w:r w:rsidR="0050565C" w:rsidRPr="001779EA">
        <w:rPr>
          <w:lang w:eastAsia="en-US"/>
        </w:rPr>
        <w:t>.</w:t>
      </w:r>
    </w:p>
    <w:p w:rsidR="004A7F85" w:rsidRPr="001779EA" w:rsidRDefault="00A66BEF" w:rsidP="00882B5B">
      <w:pPr>
        <w:pStyle w:val="3-BodyText"/>
      </w:pPr>
      <w:r w:rsidRPr="001779EA">
        <w:t>In the</w:t>
      </w:r>
      <w:r w:rsidR="009937DA" w:rsidRPr="001779EA">
        <w:t xml:space="preserve"> economic model in the</w:t>
      </w:r>
      <w:r w:rsidRPr="001779EA">
        <w:t xml:space="preserve"> first-line setting, t</w:t>
      </w:r>
      <w:r w:rsidR="00205D0E" w:rsidRPr="001779EA">
        <w:t xml:space="preserve">he PBAC </w:t>
      </w:r>
      <w:r w:rsidR="00A86665" w:rsidRPr="001779EA">
        <w:t xml:space="preserve">noted that the ICER was high </w:t>
      </w:r>
      <w:r w:rsidR="00A86665" w:rsidRPr="00AC4EC5">
        <w:t>(above $100,000/QALY)</w:t>
      </w:r>
      <w:r w:rsidR="00A86665" w:rsidRPr="001779EA">
        <w:t xml:space="preserve"> when only data from FALCON were </w:t>
      </w:r>
      <w:r w:rsidR="009937DA" w:rsidRPr="001779EA">
        <w:t>applied</w:t>
      </w:r>
      <w:r w:rsidR="00AD3287" w:rsidRPr="001779EA">
        <w:t>, but</w:t>
      </w:r>
      <w:r w:rsidR="00A86665" w:rsidRPr="001779EA">
        <w:t xml:space="preserve"> considered </w:t>
      </w:r>
      <w:r w:rsidR="00AD3287" w:rsidRPr="001779EA">
        <w:t xml:space="preserve">it was reasonable to include the pooled data in the economic model given </w:t>
      </w:r>
      <w:r w:rsidR="00A86665" w:rsidRPr="001779EA">
        <w:t>that both trials had limited applicability to the requested PBS population</w:t>
      </w:r>
      <w:r w:rsidR="00AD3287" w:rsidRPr="001779EA">
        <w:t>.</w:t>
      </w:r>
      <w:r w:rsidR="00A86665" w:rsidRPr="001779EA">
        <w:t xml:space="preserve"> </w:t>
      </w:r>
      <w:r w:rsidR="00205D0E" w:rsidRPr="001779EA">
        <w:t xml:space="preserve">The PBAC </w:t>
      </w:r>
      <w:r w:rsidR="00A86665" w:rsidRPr="001779EA">
        <w:t xml:space="preserve">noted that </w:t>
      </w:r>
      <w:r w:rsidR="00A86665" w:rsidRPr="001779EA">
        <w:lastRenderedPageBreak/>
        <w:t xml:space="preserve">the base case of the economic model excluded </w:t>
      </w:r>
      <w:r w:rsidR="00205D0E" w:rsidRPr="001779EA">
        <w:t xml:space="preserve">the clinical data </w:t>
      </w:r>
      <w:r w:rsidR="00A86665" w:rsidRPr="001779EA">
        <w:t>for the</w:t>
      </w:r>
      <w:r w:rsidR="00205D0E" w:rsidRPr="001779EA">
        <w:t xml:space="preserve"> 25% of patients in FIRST who had received prior therapy</w:t>
      </w:r>
      <w:r w:rsidR="00AD3287" w:rsidRPr="001779EA">
        <w:t xml:space="preserve"> for early disease</w:t>
      </w:r>
      <w:r w:rsidR="00A86665" w:rsidRPr="001779EA">
        <w:t xml:space="preserve">, and considered this was not reasonable as </w:t>
      </w:r>
      <w:r w:rsidR="009B2E93" w:rsidRPr="001779EA">
        <w:t xml:space="preserve">these </w:t>
      </w:r>
      <w:r w:rsidR="00A86665" w:rsidRPr="001779EA">
        <w:t>patients would be eligible for</w:t>
      </w:r>
      <w:r w:rsidR="001D036D" w:rsidRPr="001779EA">
        <w:t xml:space="preserve"> PBS-subsidised</w:t>
      </w:r>
      <w:r w:rsidR="00A86665" w:rsidRPr="001779EA">
        <w:t xml:space="preserve"> fulvestrant. As such, the PBAC considered it would be more reasonable to </w:t>
      </w:r>
      <w:r w:rsidR="009B2E93" w:rsidRPr="001779EA">
        <w:t xml:space="preserve">use the ITT results from FIRST, which would require </w:t>
      </w:r>
      <w:r w:rsidR="00A86665" w:rsidRPr="001779EA">
        <w:t xml:space="preserve">use </w:t>
      </w:r>
      <w:r w:rsidR="009B2E93" w:rsidRPr="001779EA">
        <w:t xml:space="preserve">of </w:t>
      </w:r>
      <w:r w:rsidR="00A86665" w:rsidRPr="001779EA">
        <w:t>the proportional hazard</w:t>
      </w:r>
      <w:r w:rsidR="005C3C68" w:rsidRPr="001779EA">
        <w:t>s</w:t>
      </w:r>
      <w:r w:rsidR="00A86665" w:rsidRPr="001779EA">
        <w:t xml:space="preserve"> model</w:t>
      </w:r>
      <w:r w:rsidR="009B2E93" w:rsidRPr="001779EA">
        <w:t xml:space="preserve"> that was</w:t>
      </w:r>
      <w:r w:rsidR="00A86665" w:rsidRPr="001779EA">
        <w:t xml:space="preserve"> provided as a sensitivity analysis in the submission. </w:t>
      </w:r>
    </w:p>
    <w:p w:rsidR="001831A9" w:rsidRPr="001779EA" w:rsidRDefault="002772D9" w:rsidP="00882B5B">
      <w:pPr>
        <w:pStyle w:val="3-BodyText"/>
      </w:pPr>
      <w:r w:rsidRPr="001779EA">
        <w:t>The base case ICER</w:t>
      </w:r>
      <w:r w:rsidR="0036181B" w:rsidRPr="001779EA">
        <w:t xml:space="preserve"> </w:t>
      </w:r>
      <w:r w:rsidR="00AD3287" w:rsidRPr="001779EA">
        <w:t xml:space="preserve">presented in the submission </w:t>
      </w:r>
      <w:r w:rsidR="0036181B" w:rsidRPr="001779EA">
        <w:t>was $</w:t>
      </w:r>
      <w:r w:rsidR="002A08FE">
        <w:t>55,000 to &lt; $75,000</w:t>
      </w:r>
      <w:r w:rsidR="0036181B" w:rsidRPr="001779EA">
        <w:t xml:space="preserve">/QALY, however </w:t>
      </w:r>
      <w:r w:rsidR="00AD3287" w:rsidRPr="001779EA">
        <w:t xml:space="preserve">the PBAC </w:t>
      </w:r>
      <w:r w:rsidR="0036181B" w:rsidRPr="001779EA">
        <w:t xml:space="preserve">considered that there was substantial uncertainty in this ICER due to limitations </w:t>
      </w:r>
      <w:r w:rsidR="008C25CC" w:rsidRPr="001779EA">
        <w:t>with</w:t>
      </w:r>
      <w:r w:rsidR="0036181B" w:rsidRPr="001779EA">
        <w:t xml:space="preserve"> the clinical data as outlined above. </w:t>
      </w:r>
      <w:r w:rsidR="000A6E04" w:rsidRPr="001779EA">
        <w:t xml:space="preserve">Given </w:t>
      </w:r>
      <w:r w:rsidR="00A60A48" w:rsidRPr="001779EA">
        <w:t xml:space="preserve">this uncertainty, </w:t>
      </w:r>
      <w:r w:rsidR="000A6E04" w:rsidRPr="001779EA">
        <w:t xml:space="preserve">the </w:t>
      </w:r>
      <w:r w:rsidR="00A60A48" w:rsidRPr="001779EA">
        <w:t>PBAC</w:t>
      </w:r>
      <w:r w:rsidR="000A6E04" w:rsidRPr="001779EA">
        <w:t xml:space="preserve"> considered an ICER </w:t>
      </w:r>
      <w:r w:rsidR="00AD3287" w:rsidRPr="001779EA">
        <w:t xml:space="preserve">in the range </w:t>
      </w:r>
      <w:r w:rsidR="000A6E04" w:rsidRPr="001779EA">
        <w:t xml:space="preserve">of </w:t>
      </w:r>
      <w:r w:rsidR="0044789F" w:rsidRPr="00AC4EC5">
        <w:t>$45,000/QALY to $5</w:t>
      </w:r>
      <w:r w:rsidR="00E6056F">
        <w:t>0</w:t>
      </w:r>
      <w:r w:rsidR="0044789F" w:rsidRPr="00AC4EC5">
        <w:t>,000/QALY</w:t>
      </w:r>
      <w:r w:rsidR="000A6E04" w:rsidRPr="00AC4EC5">
        <w:t xml:space="preserve"> would be </w:t>
      </w:r>
      <w:r w:rsidR="001831A9" w:rsidRPr="00AC4EC5">
        <w:t>acceptably cost-effective</w:t>
      </w:r>
      <w:r w:rsidR="000A6E04" w:rsidRPr="00AC4EC5">
        <w:t xml:space="preserve">. </w:t>
      </w:r>
      <w:r w:rsidR="00B27DD6" w:rsidRPr="00AC4EC5">
        <w:t>Further, the PBAC considered that a time horizon of 7</w:t>
      </w:r>
      <w:r w:rsidR="00B27DD6" w:rsidRPr="001779EA">
        <w:t xml:space="preserve"> years would be more appropriate given the extrapolation of relatively immature trial data from FALCON to 10 years increased the inherent uncertainty in the model. Further, a time horizon of 7 years would be consistent with the Committee’s consideration of other treatments in a similar patient population. </w:t>
      </w:r>
    </w:p>
    <w:p w:rsidR="004E5354" w:rsidRPr="001779EA" w:rsidRDefault="001831A9" w:rsidP="00882B5B">
      <w:pPr>
        <w:pStyle w:val="3-BodyText"/>
      </w:pPr>
      <w:r w:rsidRPr="001779EA">
        <w:t xml:space="preserve">The PBAC considered that the </w:t>
      </w:r>
      <w:r w:rsidR="00B27DD6" w:rsidRPr="001779EA">
        <w:t>most appropriate base case for the economic model would use</w:t>
      </w:r>
      <w:r w:rsidRPr="001779EA">
        <w:t xml:space="preserve">: </w:t>
      </w:r>
      <w:r w:rsidR="006D3DA5" w:rsidRPr="001779EA">
        <w:t>pooled data from FALCON and</w:t>
      </w:r>
      <w:r w:rsidR="00B27DD6" w:rsidRPr="001779EA">
        <w:t xml:space="preserve"> </w:t>
      </w:r>
      <w:r w:rsidR="006D3DA5" w:rsidRPr="001779EA">
        <w:t xml:space="preserve">FIRST </w:t>
      </w:r>
      <w:r w:rsidR="00AD3287" w:rsidRPr="001779EA">
        <w:t xml:space="preserve">(ITT of FIRST </w:t>
      </w:r>
      <w:r w:rsidR="00B27DD6" w:rsidRPr="001779EA">
        <w:rPr>
          <w:color w:val="000000" w:themeColor="text1"/>
        </w:rPr>
        <w:t>adjusted for baseline characteristics</w:t>
      </w:r>
      <w:r w:rsidR="00AD3287" w:rsidRPr="001779EA">
        <w:rPr>
          <w:color w:val="000000" w:themeColor="text1"/>
        </w:rPr>
        <w:t xml:space="preserve">) which resulted in an </w:t>
      </w:r>
      <w:r w:rsidR="00B27DD6" w:rsidRPr="001779EA">
        <w:t xml:space="preserve">OS </w:t>
      </w:r>
      <w:r w:rsidR="00AD3287" w:rsidRPr="001779EA">
        <w:t>HR of 0</w:t>
      </w:r>
      <w:r w:rsidR="006D3DA5" w:rsidRPr="001779EA">
        <w:t>.82</w:t>
      </w:r>
      <w:r w:rsidR="00B27DD6" w:rsidRPr="001779EA">
        <w:t xml:space="preserve"> (which required use of the proportional hazards approach);</w:t>
      </w:r>
      <w:r w:rsidR="006D3DA5" w:rsidRPr="001779EA">
        <w:t xml:space="preserve"> treatment duration based on the</w:t>
      </w:r>
      <w:r w:rsidR="001C3EB4" w:rsidRPr="001779EA">
        <w:t xml:space="preserve"> trial</w:t>
      </w:r>
      <w:r w:rsidR="006D3DA5" w:rsidRPr="001779EA">
        <w:t xml:space="preserve"> ti</w:t>
      </w:r>
      <w:r w:rsidR="001C3EB4" w:rsidRPr="001779EA">
        <w:t>me to treatment discontinuation</w:t>
      </w:r>
      <w:r w:rsidR="00B27DD6" w:rsidRPr="001779EA">
        <w:t>;</w:t>
      </w:r>
      <w:r w:rsidR="006D3DA5" w:rsidRPr="001779EA">
        <w:t xml:space="preserve"> and a 7 year time horizon. </w:t>
      </w:r>
      <w:r w:rsidR="000A6E04" w:rsidRPr="001779EA">
        <w:t xml:space="preserve">The PBAC noted that a reduction in the price of fulvestrant </w:t>
      </w:r>
      <w:r w:rsidRPr="001779EA">
        <w:t>would be required</w:t>
      </w:r>
      <w:r w:rsidR="006D3DA5" w:rsidRPr="001779EA">
        <w:t xml:space="preserve"> to achieve an acceptable</w:t>
      </w:r>
      <w:r w:rsidRPr="001779EA">
        <w:t xml:space="preserve"> </w:t>
      </w:r>
      <w:r w:rsidR="006D3DA5" w:rsidRPr="001779EA">
        <w:t>ICER</w:t>
      </w:r>
      <w:r w:rsidR="002D4DBA" w:rsidRPr="001779EA">
        <w:t xml:space="preserve"> of </w:t>
      </w:r>
      <w:r w:rsidR="002D4DBA" w:rsidRPr="00AC4EC5">
        <w:t>$4</w:t>
      </w:r>
      <w:r w:rsidR="00B27DD6" w:rsidRPr="00AC4EC5">
        <w:t>5</w:t>
      </w:r>
      <w:r w:rsidR="002D4DBA" w:rsidRPr="00AC4EC5">
        <w:t>,000/QALY</w:t>
      </w:r>
      <w:r w:rsidR="00B27DD6" w:rsidRPr="00AC4EC5">
        <w:t xml:space="preserve"> to $5</w:t>
      </w:r>
      <w:r w:rsidR="00E6056F">
        <w:t>0</w:t>
      </w:r>
      <w:r w:rsidR="00B27DD6" w:rsidRPr="00AC4EC5">
        <w:t>,000/QALY</w:t>
      </w:r>
      <w:r w:rsidR="001779EA" w:rsidRPr="00AC4EC5">
        <w:t>.</w:t>
      </w:r>
      <w:r w:rsidR="004E5354" w:rsidRPr="001779EA">
        <w:t xml:space="preserve"> </w:t>
      </w:r>
    </w:p>
    <w:p w:rsidR="00484E68" w:rsidRPr="001779EA" w:rsidRDefault="008226D4" w:rsidP="007644BC">
      <w:pPr>
        <w:pStyle w:val="3-BodyText"/>
      </w:pPr>
      <w:r w:rsidRPr="001779EA">
        <w:t xml:space="preserve">In the </w:t>
      </w:r>
      <w:r w:rsidR="004D0300" w:rsidRPr="001779EA">
        <w:t xml:space="preserve">cost-minimisation analysis presented for the </w:t>
      </w:r>
      <w:r w:rsidRPr="001779EA">
        <w:t>second-line setting, t</w:t>
      </w:r>
      <w:r w:rsidR="00825B8B" w:rsidRPr="001779EA">
        <w:t xml:space="preserve">he PBAC noted that the cost for fulvestrant was lower than </w:t>
      </w:r>
      <w:r w:rsidR="00484E68" w:rsidRPr="001779EA">
        <w:t>EVE+EXE. The PBAC considered it was appropriate that the cost for fulvestrant should be substantially lower than EVE+EXE, given the uncertain claim of non-inferior effectiveness but in the context of a potential safety advantage</w:t>
      </w:r>
      <w:r w:rsidR="000C6FC3" w:rsidRPr="001779EA">
        <w:t xml:space="preserve">, and in this context, the PBAC considered that it would be appropriate to list fulvestrant at the same price as considered cost-effective in the first-line setting (refer to Paragraph 7.17). </w:t>
      </w:r>
      <w:r w:rsidR="00484E68" w:rsidRPr="001779EA">
        <w:t>The PBAC noted that DUSC considered that fulvestrant would not necessarily replace EVE+EXE, which is likely to be used in later lines of therapy</w:t>
      </w:r>
      <w:r w:rsidR="00521230" w:rsidRPr="001779EA">
        <w:t xml:space="preserve"> and as such the cost-savings estimated in the cost-minimisation are unlikely to be realised.</w:t>
      </w:r>
      <w:r w:rsidR="000C6FC3" w:rsidRPr="001779EA">
        <w:t xml:space="preserve"> </w:t>
      </w:r>
    </w:p>
    <w:p w:rsidR="007B0A84" w:rsidRPr="001779EA" w:rsidRDefault="007B0A84" w:rsidP="007B0A84">
      <w:pPr>
        <w:pStyle w:val="3-BodyText"/>
      </w:pPr>
      <w:r w:rsidRPr="001779EA">
        <w:t>The PBAC considered that the submission had overestimated the likely utilisation of fulvestrant, in particular t</w:t>
      </w:r>
      <w:r w:rsidR="00994226" w:rsidRPr="001779EA">
        <w:t>he PBAC agreed with DUSC that</w:t>
      </w:r>
      <w:r w:rsidRPr="001779EA">
        <w:t>:</w:t>
      </w:r>
    </w:p>
    <w:p w:rsidR="007B0A84" w:rsidRPr="001779EA" w:rsidRDefault="00994226" w:rsidP="000D7A52">
      <w:pPr>
        <w:pStyle w:val="Bulletpoints"/>
        <w:ind w:left="1276" w:hanging="284"/>
      </w:pPr>
      <w:r w:rsidRPr="001779EA">
        <w:t>utilisation of fulvestrant in the first line was overestimated driven primarily by the large resectable stage III population who the PBAC considered should be excluded</w:t>
      </w:r>
      <w:r w:rsidR="000C6FC3" w:rsidRPr="001779EA">
        <w:t>;</w:t>
      </w:r>
      <w:r w:rsidRPr="001779EA">
        <w:t xml:space="preserve"> </w:t>
      </w:r>
    </w:p>
    <w:p w:rsidR="007B0A84" w:rsidRPr="001779EA" w:rsidRDefault="00994226" w:rsidP="000D7A52">
      <w:pPr>
        <w:pStyle w:val="Bulletpoints"/>
        <w:ind w:left="1276" w:hanging="284"/>
      </w:pPr>
      <w:r w:rsidRPr="001779EA">
        <w:t>patients unable to tolerate CDK4/6 inhibitor treatment were less likely to elect a parenteral the</w:t>
      </w:r>
      <w:r w:rsidR="00A40047" w:rsidRPr="001779EA">
        <w:t>rapy as their initial treatment</w:t>
      </w:r>
      <w:r w:rsidR="000C6FC3" w:rsidRPr="001779EA">
        <w:t>;</w:t>
      </w:r>
      <w:r w:rsidR="00A40047" w:rsidRPr="001779EA">
        <w:t xml:space="preserve"> </w:t>
      </w:r>
    </w:p>
    <w:p w:rsidR="00994226" w:rsidRPr="001779EA" w:rsidRDefault="00A40047" w:rsidP="000D7A52">
      <w:pPr>
        <w:pStyle w:val="Bulletpoints"/>
        <w:ind w:left="1276" w:hanging="284"/>
      </w:pPr>
      <w:r w:rsidRPr="001779EA">
        <w:t xml:space="preserve">the duration of treatment (17.98 scripts per course) was overestimated </w:t>
      </w:r>
      <w:r w:rsidR="007B0A84" w:rsidRPr="001779EA">
        <w:t xml:space="preserve">as it was based on the FALCON trial which included only hormonal therapy naïve patients </w:t>
      </w:r>
      <w:r w:rsidR="007B0A84" w:rsidRPr="001779EA">
        <w:lastRenderedPageBreak/>
        <w:t>who are more likely to have a prolonged response than those with prior treatment for early breast cancer.</w:t>
      </w:r>
      <w:r w:rsidRPr="001779EA">
        <w:t xml:space="preserve"> </w:t>
      </w:r>
    </w:p>
    <w:p w:rsidR="007B0A84" w:rsidRPr="001779EA" w:rsidRDefault="00A40047" w:rsidP="00AB2348">
      <w:pPr>
        <w:pStyle w:val="3-BodyText"/>
        <w:numPr>
          <w:ilvl w:val="1"/>
          <w:numId w:val="1"/>
        </w:numPr>
        <w:rPr>
          <w:bCs/>
          <w:lang w:eastAsia="en-US"/>
        </w:rPr>
      </w:pPr>
      <w:r w:rsidRPr="001779EA">
        <w:t xml:space="preserve">The PBAC agreed with DUSC that in the second (and subsequent) line setting </w:t>
      </w:r>
      <w:r w:rsidR="00CF7F80" w:rsidRPr="001779EA">
        <w:t>the financial impact was</w:t>
      </w:r>
      <w:r w:rsidRPr="001779EA">
        <w:t xml:space="preserve"> underestimated as </w:t>
      </w:r>
      <w:r w:rsidR="000C6FC3" w:rsidRPr="001779EA">
        <w:t>the submission had</w:t>
      </w:r>
      <w:r w:rsidRPr="001779EA">
        <w:t xml:space="preserve"> assumed that patients receiving chemotherapy and endocrine therapy will not then subsequently receive fulvestrant. </w:t>
      </w:r>
      <w:r w:rsidR="007B0A84" w:rsidRPr="001779EA">
        <w:t>The PBAC considered that</w:t>
      </w:r>
      <w:r w:rsidR="003A722F" w:rsidRPr="001779EA">
        <w:t xml:space="preserve"> w</w:t>
      </w:r>
      <w:r w:rsidRPr="001779EA">
        <w:t>here fulvestrant adds a line of therapy</w:t>
      </w:r>
      <w:r w:rsidR="00A62549" w:rsidRPr="001779EA">
        <w:t>,</w:t>
      </w:r>
      <w:r w:rsidRPr="001779EA">
        <w:t xml:space="preserve"> cost-offsets will be less than was estimated</w:t>
      </w:r>
      <w:r w:rsidR="003A722F" w:rsidRPr="001779EA">
        <w:t xml:space="preserve"> in the submission</w:t>
      </w:r>
      <w:r w:rsidR="007B0A84" w:rsidRPr="001779EA">
        <w:t>. Further, DUSC noted that the utilisation of everolimus had declined over time, and as such, the submission had overestimated cost offsets from substitution of everolimus</w:t>
      </w:r>
      <w:r w:rsidR="003A722F" w:rsidRPr="001779EA">
        <w:rPr>
          <w:bCs/>
          <w:lang w:eastAsia="en-US"/>
        </w:rPr>
        <w:t xml:space="preserve">. </w:t>
      </w:r>
    </w:p>
    <w:p w:rsidR="004E5354" w:rsidRPr="001779EA" w:rsidRDefault="007B0A84" w:rsidP="00B74EAD">
      <w:pPr>
        <w:pStyle w:val="3-BodyText"/>
        <w:numPr>
          <w:ilvl w:val="1"/>
          <w:numId w:val="1"/>
        </w:numPr>
        <w:snapToGrid w:val="0"/>
        <w:rPr>
          <w:lang w:eastAsia="en-US"/>
        </w:rPr>
      </w:pPr>
      <w:r w:rsidRPr="001779EA">
        <w:rPr>
          <w:lang w:eastAsia="en-US"/>
        </w:rPr>
        <w:t>O</w:t>
      </w:r>
      <w:r w:rsidR="00822DF6" w:rsidRPr="001779EA">
        <w:rPr>
          <w:lang w:eastAsia="en-US"/>
        </w:rPr>
        <w:t>n balance</w:t>
      </w:r>
      <w:r w:rsidRPr="001779EA">
        <w:rPr>
          <w:lang w:eastAsia="en-US"/>
        </w:rPr>
        <w:t xml:space="preserve">, </w:t>
      </w:r>
      <w:r w:rsidR="00822DF6" w:rsidRPr="008227CA">
        <w:rPr>
          <w:bCs/>
          <w:lang w:eastAsia="en-US"/>
        </w:rPr>
        <w:t xml:space="preserve">the PBAC considered that the submission had overestimated the utilisation of listing fulvestrant as the impacts outlined in Paragraph 7.19 would outweigh those outlined in Paragraph 7.20. </w:t>
      </w:r>
      <w:r w:rsidR="008227CA">
        <w:t xml:space="preserve">The PBAC considered that the estimated cost-offsets were not likely to be realised because for most patients fulvestrant would be an additional line of therapy. </w:t>
      </w:r>
      <w:r w:rsidR="00822DF6" w:rsidRPr="008227CA">
        <w:rPr>
          <w:bCs/>
          <w:lang w:eastAsia="en-US"/>
        </w:rPr>
        <w:t xml:space="preserve">Overall, </w:t>
      </w:r>
      <w:r w:rsidRPr="001779EA">
        <w:rPr>
          <w:lang w:eastAsia="en-US"/>
        </w:rPr>
        <w:t>t</w:t>
      </w:r>
      <w:r w:rsidR="003A722F" w:rsidRPr="001779EA">
        <w:rPr>
          <w:lang w:eastAsia="en-US"/>
        </w:rPr>
        <w:t>he PBAC considered that the</w:t>
      </w:r>
      <w:r w:rsidR="00822DF6" w:rsidRPr="001779EA">
        <w:rPr>
          <w:lang w:eastAsia="en-US"/>
        </w:rPr>
        <w:t xml:space="preserve"> net</w:t>
      </w:r>
      <w:r w:rsidR="003A722F" w:rsidRPr="001779EA">
        <w:rPr>
          <w:lang w:eastAsia="en-US"/>
        </w:rPr>
        <w:t xml:space="preserve"> financial impact is likely to be relatively small. The PBAC also noted that financial estimates for fulvestrant would be impacted if combination therapy with </w:t>
      </w:r>
      <w:r w:rsidR="00AB2348" w:rsidRPr="001779EA">
        <w:rPr>
          <w:lang w:eastAsia="en-US"/>
        </w:rPr>
        <w:t xml:space="preserve">CDK4/6 inhibitors </w:t>
      </w:r>
      <w:r w:rsidR="003A722F" w:rsidRPr="001779EA">
        <w:rPr>
          <w:lang w:eastAsia="en-US"/>
        </w:rPr>
        <w:t>becomes available on the PBS.</w:t>
      </w:r>
    </w:p>
    <w:p w:rsidR="000C6FC3" w:rsidRPr="001779EA" w:rsidRDefault="004E5354" w:rsidP="004E5354">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 xml:space="preserve">The PBAC recommended that </w:t>
      </w:r>
      <w:r w:rsidR="007A62B1" w:rsidRPr="001779EA">
        <w:rPr>
          <w:rFonts w:asciiTheme="minorHAnsi" w:hAnsiTheme="minorHAnsi"/>
          <w:bCs/>
          <w:snapToGrid w:val="0"/>
        </w:rPr>
        <w:t>fulvestrant</w:t>
      </w:r>
      <w:r w:rsidRPr="001779EA">
        <w:rPr>
          <w:rFonts w:asciiTheme="minorHAnsi" w:hAnsiTheme="minorHAnsi"/>
          <w:bCs/>
          <w:snapToGrid w:val="0"/>
        </w:rPr>
        <w:t xml:space="preserve"> should not be treated as interchangeable with any other drugs</w:t>
      </w:r>
      <w:r w:rsidR="007A62B1" w:rsidRPr="001779EA">
        <w:rPr>
          <w:rFonts w:asciiTheme="minorHAnsi" w:hAnsiTheme="minorHAnsi"/>
          <w:bCs/>
          <w:snapToGrid w:val="0"/>
        </w:rPr>
        <w:t xml:space="preserve">. </w:t>
      </w:r>
    </w:p>
    <w:p w:rsidR="004E5354" w:rsidRPr="001779EA" w:rsidRDefault="004E5354" w:rsidP="004E5354">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 xml:space="preserve">The PBAC advised that </w:t>
      </w:r>
      <w:r w:rsidR="00E47B8A" w:rsidRPr="001779EA">
        <w:rPr>
          <w:rFonts w:asciiTheme="minorHAnsi" w:hAnsiTheme="minorHAnsi"/>
          <w:bCs/>
          <w:snapToGrid w:val="0"/>
        </w:rPr>
        <w:t>fulvestrant</w:t>
      </w:r>
      <w:r w:rsidRPr="001779EA">
        <w:rPr>
          <w:rFonts w:asciiTheme="minorHAnsi" w:hAnsiTheme="minorHAnsi"/>
          <w:bCs/>
          <w:snapToGrid w:val="0"/>
        </w:rPr>
        <w:t xml:space="preserve"> is not suitable for prescribing by nurse practitioners</w:t>
      </w:r>
      <w:r w:rsidR="001779EA">
        <w:rPr>
          <w:rFonts w:asciiTheme="minorHAnsi" w:hAnsiTheme="minorHAnsi"/>
          <w:bCs/>
          <w:snapToGrid w:val="0"/>
        </w:rPr>
        <w:t xml:space="preserve">. </w:t>
      </w:r>
    </w:p>
    <w:p w:rsidR="004E5354" w:rsidRDefault="004E5354" w:rsidP="004E5354">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 xml:space="preserve">The PBAC recommended that the Early Supply Rule should not apply. </w:t>
      </w:r>
    </w:p>
    <w:p w:rsidR="000074B7" w:rsidRPr="001779EA" w:rsidRDefault="000074B7" w:rsidP="000074B7">
      <w:pPr>
        <w:pStyle w:val="3-BodyText"/>
        <w:rPr>
          <w:bCs/>
        </w:rPr>
      </w:pPr>
      <w:r w:rsidRPr="001779EA">
        <w:rPr>
          <w:bCs/>
        </w:rPr>
        <w:t>The PBAC found that the criteria prescribed by the National Health (Pharmaceutical and Vaccines – Cost Recovery) Regulations 2009 for Pricing Pathway A were not met. Specifically, the PBAC found that in the circumstances of its recommendation for fulvestrant:</w:t>
      </w:r>
    </w:p>
    <w:p w:rsidR="000074B7" w:rsidRPr="001779EA" w:rsidRDefault="000074B7" w:rsidP="000074B7">
      <w:pPr>
        <w:pStyle w:val="3-BodyText"/>
        <w:numPr>
          <w:ilvl w:val="1"/>
          <w:numId w:val="19"/>
        </w:numPr>
        <w:ind w:left="1134" w:hanging="283"/>
      </w:pPr>
      <w:r w:rsidRPr="001779EA">
        <w:t>The treatment is not expected to provide a substantial and clinically relevant improvement in efficacy over NSAIs. The PBAC considered this criteria was not met as the available data did not allow a reliable assessment of the magnitude of the incremental benefit;</w:t>
      </w:r>
    </w:p>
    <w:p w:rsidR="000074B7" w:rsidRDefault="000074B7" w:rsidP="000074B7">
      <w:pPr>
        <w:pStyle w:val="3-BodyText"/>
        <w:numPr>
          <w:ilvl w:val="1"/>
          <w:numId w:val="19"/>
        </w:numPr>
        <w:ind w:left="1134" w:hanging="283"/>
      </w:pPr>
      <w:r w:rsidRPr="001779EA">
        <w:t xml:space="preserve">The treatment is not expected to address a high and urgent unmet clinical need; and </w:t>
      </w:r>
    </w:p>
    <w:p w:rsidR="000074B7" w:rsidRPr="000074B7" w:rsidRDefault="000074B7" w:rsidP="000074B7">
      <w:pPr>
        <w:pStyle w:val="3-BodyText"/>
        <w:numPr>
          <w:ilvl w:val="1"/>
          <w:numId w:val="19"/>
        </w:numPr>
        <w:ind w:left="1134" w:hanging="283"/>
      </w:pPr>
      <w:r w:rsidRPr="001779EA">
        <w:t>It was not necessary to make a finding in relation to whether it would be in the public interest for the subsequent pricing application to be progressed under Pricing Pathway A because one or more of the preceding tests had failed.</w:t>
      </w:r>
    </w:p>
    <w:p w:rsidR="00447203" w:rsidRPr="000074B7" w:rsidRDefault="004E5354" w:rsidP="000074B7">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The PBAC noted that this submission is not eligible for an Independent Review</w:t>
      </w:r>
      <w:r w:rsidR="00E47B8A" w:rsidRPr="001779EA">
        <w:rPr>
          <w:rFonts w:asciiTheme="minorHAnsi" w:hAnsiTheme="minorHAnsi"/>
          <w:bCs/>
          <w:snapToGrid w:val="0"/>
        </w:rPr>
        <w:t xml:space="preserve"> as it is a positive recommendation</w:t>
      </w:r>
      <w:r w:rsidRPr="001779EA">
        <w:rPr>
          <w:rFonts w:asciiTheme="minorHAnsi" w:hAnsiTheme="minorHAnsi"/>
          <w:bCs/>
          <w:snapToGrid w:val="0"/>
        </w:rPr>
        <w:t>.</w:t>
      </w:r>
    </w:p>
    <w:p w:rsidR="004E5354" w:rsidRPr="001779EA" w:rsidRDefault="004E5354" w:rsidP="004E5354">
      <w:pPr>
        <w:spacing w:before="240"/>
        <w:rPr>
          <w:rFonts w:asciiTheme="minorHAnsi" w:hAnsiTheme="minorHAnsi"/>
          <w:b/>
          <w:bCs/>
          <w:snapToGrid w:val="0"/>
        </w:rPr>
      </w:pPr>
      <w:r w:rsidRPr="001779EA">
        <w:rPr>
          <w:rFonts w:asciiTheme="minorHAnsi" w:hAnsiTheme="minorHAnsi"/>
          <w:b/>
          <w:bCs/>
          <w:snapToGrid w:val="0"/>
        </w:rPr>
        <w:t>Outcome:</w:t>
      </w:r>
    </w:p>
    <w:p w:rsidR="004E5354" w:rsidRPr="000074B7" w:rsidRDefault="004E5354" w:rsidP="000074B7">
      <w:pPr>
        <w:rPr>
          <w:rFonts w:asciiTheme="minorHAnsi" w:hAnsiTheme="minorHAnsi"/>
          <w:bCs/>
          <w:snapToGrid w:val="0"/>
        </w:rPr>
      </w:pPr>
      <w:r w:rsidRPr="001779EA">
        <w:rPr>
          <w:rFonts w:asciiTheme="minorHAnsi" w:hAnsiTheme="minorHAnsi"/>
          <w:bCs/>
          <w:snapToGrid w:val="0"/>
        </w:rPr>
        <w:t>Recommended</w:t>
      </w:r>
    </w:p>
    <w:p w:rsidR="004E5354" w:rsidRPr="001779EA" w:rsidRDefault="004E5354" w:rsidP="00F23773">
      <w:pPr>
        <w:widowControl w:val="0"/>
        <w:numPr>
          <w:ilvl w:val="0"/>
          <w:numId w:val="1"/>
        </w:numPr>
        <w:spacing w:before="240" w:after="120"/>
        <w:outlineLvl w:val="0"/>
        <w:rPr>
          <w:rFonts w:asciiTheme="minorHAnsi" w:hAnsiTheme="minorHAnsi"/>
          <w:b/>
          <w:bCs/>
          <w:i/>
          <w:snapToGrid w:val="0"/>
          <w:sz w:val="32"/>
        </w:rPr>
      </w:pPr>
      <w:r w:rsidRPr="001779EA">
        <w:rPr>
          <w:rFonts w:asciiTheme="minorHAnsi" w:hAnsiTheme="minorHAnsi"/>
          <w:b/>
          <w:bCs/>
          <w:snapToGrid w:val="0"/>
          <w:sz w:val="32"/>
        </w:rPr>
        <w:lastRenderedPageBreak/>
        <w:t>Recommended listing</w:t>
      </w:r>
    </w:p>
    <w:p w:rsidR="004E5354" w:rsidRPr="001779EA" w:rsidRDefault="006F3B81" w:rsidP="006F3B81">
      <w:pPr>
        <w:widowControl w:val="0"/>
        <w:numPr>
          <w:ilvl w:val="1"/>
          <w:numId w:val="1"/>
        </w:numPr>
        <w:spacing w:after="120"/>
        <w:rPr>
          <w:rFonts w:asciiTheme="minorHAnsi" w:hAnsiTheme="minorHAnsi"/>
          <w:bCs/>
          <w:snapToGrid w:val="0"/>
        </w:rPr>
      </w:pPr>
      <w:r w:rsidRPr="001779EA">
        <w:rPr>
          <w:rFonts w:asciiTheme="minorHAnsi" w:hAnsiTheme="minorHAnsi"/>
          <w:bCs/>
          <w:snapToGrid w:val="0"/>
        </w:rPr>
        <w:t>A</w:t>
      </w:r>
      <w:r w:rsidR="004E5354" w:rsidRPr="001779EA">
        <w:rPr>
          <w:rFonts w:asciiTheme="minorHAnsi" w:hAnsiTheme="minorHAnsi"/>
          <w:bCs/>
          <w:snapToGrid w:val="0"/>
        </w:rPr>
        <w:t xml:space="preserve">dd new </w:t>
      </w:r>
      <w:r w:rsidR="00AA1E32">
        <w:rPr>
          <w:rFonts w:asciiTheme="minorHAnsi" w:hAnsiTheme="minorHAnsi"/>
          <w:bCs/>
          <w:snapToGrid w:val="0"/>
        </w:rPr>
        <w:t>medicinal product</w:t>
      </w:r>
      <w:r w:rsidR="004E5354" w:rsidRPr="001779EA">
        <w:rPr>
          <w:rFonts w:asciiTheme="minorHAnsi" w:hAnsiTheme="minorHAnsi"/>
          <w:bCs/>
          <w:snapToGrid w:val="0"/>
        </w:rPr>
        <w:t>:</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851"/>
        <w:gridCol w:w="708"/>
        <w:gridCol w:w="708"/>
        <w:gridCol w:w="3121"/>
      </w:tblGrid>
      <w:tr w:rsidR="00AA1E32" w:rsidRPr="00D128F7" w:rsidTr="00B74EAD">
        <w:trPr>
          <w:cantSplit/>
          <w:trHeight w:val="471"/>
        </w:trPr>
        <w:tc>
          <w:tcPr>
            <w:tcW w:w="2689" w:type="dxa"/>
          </w:tcPr>
          <w:p w:rsidR="00AA1E32" w:rsidRPr="00D128F7" w:rsidRDefault="00AA1E32" w:rsidP="00B74EAD">
            <w:pPr>
              <w:keepNext/>
              <w:ind w:left="-108"/>
              <w:rPr>
                <w:rFonts w:ascii="Arial Narrow" w:eastAsia="Calibri" w:hAnsi="Arial Narrow"/>
                <w:b/>
                <w:sz w:val="18"/>
                <w:szCs w:val="18"/>
                <w:lang w:eastAsia="en-US"/>
              </w:rPr>
            </w:pPr>
            <w:r w:rsidRPr="00D128F7">
              <w:rPr>
                <w:rFonts w:ascii="Arial Narrow" w:eastAsia="Calibri" w:hAnsi="Arial Narrow"/>
                <w:b/>
                <w:sz w:val="18"/>
                <w:szCs w:val="18"/>
                <w:lang w:eastAsia="en-US"/>
              </w:rPr>
              <w:t>Name, Restriction,</w:t>
            </w:r>
          </w:p>
          <w:p w:rsidR="00AA1E32" w:rsidRPr="00D128F7" w:rsidRDefault="00AA1E32" w:rsidP="00B74EAD">
            <w:pPr>
              <w:keepNext/>
              <w:ind w:left="-108"/>
              <w:rPr>
                <w:rFonts w:ascii="Arial Narrow" w:eastAsia="Calibri" w:hAnsi="Arial Narrow"/>
                <w:b/>
                <w:sz w:val="18"/>
                <w:szCs w:val="18"/>
                <w:lang w:eastAsia="en-US"/>
              </w:rPr>
            </w:pPr>
            <w:r w:rsidRPr="00D128F7">
              <w:rPr>
                <w:rFonts w:ascii="Arial Narrow" w:eastAsia="Calibri" w:hAnsi="Arial Narrow"/>
                <w:b/>
                <w:sz w:val="18"/>
                <w:szCs w:val="18"/>
                <w:lang w:eastAsia="en-US"/>
              </w:rPr>
              <w:t>Manner of administration and form</w:t>
            </w:r>
          </w:p>
        </w:tc>
        <w:tc>
          <w:tcPr>
            <w:tcW w:w="850" w:type="dxa"/>
          </w:tcPr>
          <w:p w:rsidR="00AA1E32" w:rsidRPr="00D128F7" w:rsidRDefault="00AA1E32" w:rsidP="00B74EAD">
            <w:pPr>
              <w:keepNext/>
              <w:ind w:left="-108"/>
              <w:jc w:val="center"/>
              <w:rPr>
                <w:rFonts w:ascii="Arial Narrow" w:eastAsia="Calibri" w:hAnsi="Arial Narrow"/>
                <w:b/>
                <w:sz w:val="18"/>
                <w:szCs w:val="18"/>
                <w:lang w:eastAsia="en-US"/>
              </w:rPr>
            </w:pPr>
            <w:r w:rsidRPr="00D128F7">
              <w:rPr>
                <w:rFonts w:ascii="Arial Narrow" w:eastAsia="Calibri" w:hAnsi="Arial Narrow"/>
                <w:b/>
                <w:sz w:val="18"/>
                <w:szCs w:val="18"/>
                <w:lang w:eastAsia="en-US"/>
              </w:rPr>
              <w:t>PBS item code</w:t>
            </w:r>
          </w:p>
        </w:tc>
        <w:tc>
          <w:tcPr>
            <w:tcW w:w="851" w:type="dxa"/>
          </w:tcPr>
          <w:p w:rsidR="00AA1E32" w:rsidRPr="00D128F7" w:rsidRDefault="00AA1E32" w:rsidP="00B74EAD">
            <w:pPr>
              <w:keepNext/>
              <w:ind w:left="-108"/>
              <w:jc w:val="center"/>
              <w:rPr>
                <w:rFonts w:ascii="Arial Narrow" w:eastAsia="Calibri" w:hAnsi="Arial Narrow"/>
                <w:b/>
                <w:sz w:val="18"/>
                <w:szCs w:val="18"/>
                <w:lang w:eastAsia="en-US"/>
              </w:rPr>
            </w:pPr>
            <w:r w:rsidRPr="00D128F7">
              <w:rPr>
                <w:rFonts w:ascii="Arial Narrow" w:eastAsia="Calibri" w:hAnsi="Arial Narrow"/>
                <w:b/>
                <w:sz w:val="18"/>
                <w:szCs w:val="18"/>
                <w:lang w:eastAsia="en-US"/>
              </w:rPr>
              <w:t>Max. qty packs</w:t>
            </w:r>
          </w:p>
        </w:tc>
        <w:tc>
          <w:tcPr>
            <w:tcW w:w="708" w:type="dxa"/>
          </w:tcPr>
          <w:p w:rsidR="00AA1E32" w:rsidRPr="00D128F7" w:rsidRDefault="00AA1E32" w:rsidP="00B74EAD">
            <w:pPr>
              <w:keepNext/>
              <w:ind w:left="-108"/>
              <w:jc w:val="center"/>
              <w:rPr>
                <w:rFonts w:ascii="Arial Narrow" w:eastAsia="Calibri" w:hAnsi="Arial Narrow"/>
                <w:b/>
                <w:sz w:val="18"/>
                <w:szCs w:val="18"/>
                <w:lang w:eastAsia="en-US"/>
              </w:rPr>
            </w:pPr>
            <w:r w:rsidRPr="00D128F7">
              <w:rPr>
                <w:rFonts w:ascii="Arial Narrow" w:eastAsia="Calibri" w:hAnsi="Arial Narrow"/>
                <w:b/>
                <w:sz w:val="18"/>
                <w:szCs w:val="18"/>
                <w:lang w:eastAsia="en-US"/>
              </w:rPr>
              <w:t>Max. qty units</w:t>
            </w:r>
          </w:p>
        </w:tc>
        <w:tc>
          <w:tcPr>
            <w:tcW w:w="708" w:type="dxa"/>
          </w:tcPr>
          <w:p w:rsidR="00AA1E32" w:rsidRPr="00D128F7" w:rsidRDefault="00AA1E32" w:rsidP="00B74EAD">
            <w:pPr>
              <w:keepNext/>
              <w:ind w:left="-108"/>
              <w:jc w:val="center"/>
              <w:rPr>
                <w:rFonts w:ascii="Arial Narrow" w:eastAsia="Calibri" w:hAnsi="Arial Narrow"/>
                <w:b/>
                <w:sz w:val="18"/>
                <w:szCs w:val="18"/>
                <w:lang w:eastAsia="en-US"/>
              </w:rPr>
            </w:pPr>
            <w:r w:rsidRPr="00D128F7">
              <w:rPr>
                <w:rFonts w:ascii="Arial Narrow" w:eastAsia="Calibri" w:hAnsi="Arial Narrow"/>
                <w:b/>
                <w:sz w:val="18"/>
                <w:szCs w:val="18"/>
                <w:lang w:eastAsia="en-US"/>
              </w:rPr>
              <w:t>№.of</w:t>
            </w:r>
          </w:p>
          <w:p w:rsidR="00AA1E32" w:rsidRPr="00D128F7" w:rsidRDefault="00AA1E32" w:rsidP="00B74EAD">
            <w:pPr>
              <w:keepNext/>
              <w:ind w:left="-108"/>
              <w:jc w:val="center"/>
              <w:rPr>
                <w:rFonts w:ascii="Arial Narrow" w:eastAsia="Calibri" w:hAnsi="Arial Narrow"/>
                <w:b/>
                <w:sz w:val="18"/>
                <w:szCs w:val="18"/>
                <w:lang w:eastAsia="en-US"/>
              </w:rPr>
            </w:pPr>
            <w:r w:rsidRPr="00D128F7">
              <w:rPr>
                <w:rFonts w:ascii="Arial Narrow" w:eastAsia="Calibri" w:hAnsi="Arial Narrow"/>
                <w:b/>
                <w:sz w:val="18"/>
                <w:szCs w:val="18"/>
                <w:lang w:eastAsia="en-US"/>
              </w:rPr>
              <w:t>Rpts</w:t>
            </w:r>
          </w:p>
        </w:tc>
        <w:tc>
          <w:tcPr>
            <w:tcW w:w="3121" w:type="dxa"/>
          </w:tcPr>
          <w:p w:rsidR="00AA1E32" w:rsidRPr="00D128F7" w:rsidRDefault="00AA1E32" w:rsidP="00B74EAD">
            <w:pPr>
              <w:keepNext/>
              <w:jc w:val="left"/>
              <w:rPr>
                <w:rFonts w:ascii="Arial Narrow" w:eastAsia="Calibri" w:hAnsi="Arial Narrow"/>
                <w:b/>
                <w:sz w:val="18"/>
                <w:szCs w:val="18"/>
                <w:lang w:val="fr-FR" w:eastAsia="en-US"/>
              </w:rPr>
            </w:pPr>
            <w:r>
              <w:rPr>
                <w:rFonts w:ascii="Arial Narrow" w:eastAsia="Calibri" w:hAnsi="Arial Narrow"/>
                <w:b/>
                <w:sz w:val="18"/>
                <w:szCs w:val="18"/>
                <w:lang w:eastAsia="en-US"/>
              </w:rPr>
              <w:t>Available brands</w:t>
            </w:r>
          </w:p>
        </w:tc>
      </w:tr>
      <w:tr w:rsidR="00AA1E32" w:rsidRPr="00D128F7" w:rsidTr="00B74EAD">
        <w:trPr>
          <w:cantSplit/>
          <w:trHeight w:val="761"/>
        </w:trPr>
        <w:tc>
          <w:tcPr>
            <w:tcW w:w="2689" w:type="dxa"/>
          </w:tcPr>
          <w:p w:rsidR="00AA1E32" w:rsidRPr="00D128F7" w:rsidRDefault="00AA1E32" w:rsidP="00B74EAD">
            <w:pPr>
              <w:keepNext/>
              <w:ind w:left="-108"/>
              <w:jc w:val="left"/>
              <w:rPr>
                <w:rFonts w:ascii="Arial Narrow" w:eastAsia="Calibri" w:hAnsi="Arial Narrow"/>
                <w:sz w:val="18"/>
                <w:szCs w:val="18"/>
                <w:lang w:eastAsia="en-US"/>
              </w:rPr>
            </w:pPr>
            <w:r w:rsidRPr="00D128F7">
              <w:rPr>
                <w:rFonts w:ascii="Arial Narrow" w:eastAsia="Calibri" w:hAnsi="Arial Narrow"/>
                <w:sz w:val="18"/>
                <w:szCs w:val="18"/>
                <w:lang w:eastAsia="en-US"/>
              </w:rPr>
              <w:t>FULVESTRANT</w:t>
            </w:r>
          </w:p>
          <w:p w:rsidR="00AA1E32" w:rsidRPr="00D128F7" w:rsidRDefault="00AA1E32" w:rsidP="00B74EAD">
            <w:pPr>
              <w:keepNext/>
              <w:ind w:left="-108"/>
              <w:rPr>
                <w:rFonts w:ascii="Arial Narrow" w:eastAsia="Calibri" w:hAnsi="Arial Narrow"/>
                <w:sz w:val="18"/>
                <w:szCs w:val="18"/>
                <w:lang w:eastAsia="en-US"/>
              </w:rPr>
            </w:pPr>
          </w:p>
          <w:p w:rsidR="00AA1E32" w:rsidRPr="00D128F7" w:rsidRDefault="00AA1E32" w:rsidP="00B74EAD">
            <w:pPr>
              <w:keepNext/>
              <w:ind w:left="-108"/>
              <w:jc w:val="left"/>
              <w:rPr>
                <w:rFonts w:ascii="Arial Narrow" w:eastAsia="Calibri" w:hAnsi="Arial Narrow"/>
                <w:sz w:val="18"/>
                <w:szCs w:val="18"/>
                <w:vertAlign w:val="superscript"/>
                <w:lang w:eastAsia="en-US"/>
              </w:rPr>
            </w:pPr>
            <w:r>
              <w:rPr>
                <w:rFonts w:ascii="Arial Narrow" w:eastAsia="Calibri" w:hAnsi="Arial Narrow"/>
                <w:sz w:val="18"/>
                <w:szCs w:val="18"/>
                <w:lang w:eastAsia="en-US"/>
              </w:rPr>
              <w:t xml:space="preserve">fulvestrant </w:t>
            </w:r>
            <w:r w:rsidRPr="00D128F7">
              <w:rPr>
                <w:rFonts w:ascii="Arial Narrow" w:eastAsia="Calibri" w:hAnsi="Arial Narrow"/>
                <w:sz w:val="18"/>
                <w:szCs w:val="18"/>
                <w:lang w:eastAsia="en-US"/>
              </w:rPr>
              <w:t>250</w:t>
            </w:r>
            <w:r>
              <w:rPr>
                <w:rFonts w:ascii="Arial Narrow" w:eastAsia="Calibri" w:hAnsi="Arial Narrow"/>
                <w:sz w:val="18"/>
                <w:szCs w:val="18"/>
                <w:lang w:eastAsia="en-US"/>
              </w:rPr>
              <w:t xml:space="preserve"> </w:t>
            </w:r>
            <w:r w:rsidRPr="00D128F7">
              <w:rPr>
                <w:rFonts w:ascii="Arial Narrow" w:eastAsia="Calibri" w:hAnsi="Arial Narrow"/>
                <w:sz w:val="18"/>
                <w:szCs w:val="18"/>
                <w:lang w:eastAsia="en-US"/>
              </w:rPr>
              <w:t>mg/5</w:t>
            </w:r>
            <w:r>
              <w:rPr>
                <w:rFonts w:ascii="Arial Narrow" w:eastAsia="Calibri" w:hAnsi="Arial Narrow"/>
                <w:sz w:val="18"/>
                <w:szCs w:val="18"/>
                <w:lang w:eastAsia="en-US"/>
              </w:rPr>
              <w:t xml:space="preserve"> </w:t>
            </w:r>
            <w:r w:rsidRPr="00D128F7">
              <w:rPr>
                <w:rFonts w:ascii="Arial Narrow" w:eastAsia="Calibri" w:hAnsi="Arial Narrow"/>
                <w:sz w:val="18"/>
                <w:szCs w:val="18"/>
                <w:lang w:eastAsia="en-US"/>
              </w:rPr>
              <w:t>mL</w:t>
            </w:r>
            <w:r>
              <w:rPr>
                <w:rFonts w:ascii="Arial Narrow" w:eastAsia="Calibri" w:hAnsi="Arial Narrow"/>
                <w:sz w:val="18"/>
                <w:szCs w:val="18"/>
                <w:lang w:eastAsia="en-US"/>
              </w:rPr>
              <w:t xml:space="preserve"> pre-filled syringe, 2</w:t>
            </w:r>
            <w:r w:rsidRPr="00D128F7">
              <w:rPr>
                <w:rFonts w:ascii="Arial Narrow" w:eastAsia="Calibri" w:hAnsi="Arial Narrow"/>
                <w:sz w:val="18"/>
                <w:szCs w:val="18"/>
                <w:lang w:eastAsia="en-US"/>
              </w:rPr>
              <w:t xml:space="preserve"> </w:t>
            </w:r>
          </w:p>
        </w:tc>
        <w:tc>
          <w:tcPr>
            <w:tcW w:w="850" w:type="dxa"/>
          </w:tcPr>
          <w:p w:rsidR="00AA1E32" w:rsidRPr="00D128F7" w:rsidRDefault="00AA1E32" w:rsidP="00B74EAD">
            <w:pPr>
              <w:keepNext/>
              <w:ind w:left="-108"/>
              <w:jc w:val="center"/>
              <w:rPr>
                <w:rFonts w:ascii="Arial Narrow" w:eastAsia="Calibri" w:hAnsi="Arial Narrow"/>
                <w:sz w:val="18"/>
                <w:szCs w:val="18"/>
                <w:lang w:eastAsia="en-US"/>
              </w:rPr>
            </w:pPr>
          </w:p>
          <w:p w:rsidR="00AA1E32" w:rsidRPr="00D128F7" w:rsidRDefault="00AA1E32" w:rsidP="00B74EAD">
            <w:pPr>
              <w:keepNext/>
              <w:ind w:left="-108"/>
              <w:jc w:val="center"/>
              <w:rPr>
                <w:rFonts w:ascii="Arial Narrow" w:eastAsia="Calibri" w:hAnsi="Arial Narrow"/>
                <w:sz w:val="18"/>
                <w:szCs w:val="18"/>
                <w:lang w:eastAsia="en-US"/>
              </w:rPr>
            </w:pPr>
          </w:p>
          <w:p w:rsidR="00AA1E32" w:rsidRPr="00D128F7" w:rsidRDefault="00AA1E32" w:rsidP="00B74EAD">
            <w:pPr>
              <w:keepNext/>
              <w:ind w:left="-108"/>
              <w:jc w:val="center"/>
              <w:rPr>
                <w:rFonts w:ascii="Arial Narrow" w:eastAsia="Calibri" w:hAnsi="Arial Narrow"/>
                <w:sz w:val="18"/>
                <w:szCs w:val="18"/>
                <w:lang w:eastAsia="en-US"/>
              </w:rPr>
            </w:pPr>
            <w:r w:rsidRPr="00D128F7">
              <w:rPr>
                <w:rFonts w:ascii="Arial Narrow" w:eastAsia="Calibri" w:hAnsi="Arial Narrow"/>
                <w:sz w:val="18"/>
                <w:szCs w:val="18"/>
                <w:lang w:eastAsia="en-US"/>
              </w:rPr>
              <w:t>NEW</w:t>
            </w:r>
          </w:p>
        </w:tc>
        <w:tc>
          <w:tcPr>
            <w:tcW w:w="851" w:type="dxa"/>
          </w:tcPr>
          <w:p w:rsidR="00AA1E32" w:rsidRPr="00D128F7" w:rsidRDefault="00AA1E32" w:rsidP="00B74EAD">
            <w:pPr>
              <w:keepNext/>
              <w:jc w:val="center"/>
              <w:rPr>
                <w:rFonts w:ascii="Arial Narrow" w:eastAsia="Calibri" w:hAnsi="Arial Narrow"/>
                <w:sz w:val="18"/>
                <w:szCs w:val="18"/>
                <w:lang w:eastAsia="en-US"/>
              </w:rPr>
            </w:pPr>
          </w:p>
          <w:p w:rsidR="00AA1E32" w:rsidRPr="00D128F7" w:rsidRDefault="00AA1E32" w:rsidP="00B74EAD">
            <w:pPr>
              <w:keepNext/>
              <w:ind w:left="-108"/>
              <w:jc w:val="center"/>
              <w:rPr>
                <w:rFonts w:ascii="Arial Narrow" w:eastAsia="Calibri" w:hAnsi="Arial Narrow"/>
                <w:sz w:val="18"/>
                <w:szCs w:val="18"/>
                <w:lang w:eastAsia="en-US"/>
              </w:rPr>
            </w:pPr>
          </w:p>
          <w:p w:rsidR="00AA1E32" w:rsidRPr="00D128F7" w:rsidRDefault="00AA1E32" w:rsidP="00B74EAD">
            <w:pPr>
              <w:keepNext/>
              <w:jc w:val="center"/>
              <w:rPr>
                <w:rFonts w:ascii="Arial Narrow" w:eastAsia="Calibri" w:hAnsi="Arial Narrow"/>
                <w:sz w:val="18"/>
                <w:szCs w:val="18"/>
                <w:lang w:eastAsia="en-US"/>
              </w:rPr>
            </w:pPr>
            <w:r w:rsidRPr="00D128F7">
              <w:rPr>
                <w:rFonts w:ascii="Arial Narrow" w:eastAsia="Calibri" w:hAnsi="Arial Narrow"/>
                <w:sz w:val="18"/>
                <w:szCs w:val="18"/>
                <w:lang w:eastAsia="en-US"/>
              </w:rPr>
              <w:t>1</w:t>
            </w:r>
          </w:p>
        </w:tc>
        <w:tc>
          <w:tcPr>
            <w:tcW w:w="708" w:type="dxa"/>
          </w:tcPr>
          <w:p w:rsidR="00AA1E32" w:rsidRPr="00D128F7" w:rsidRDefault="00AA1E32" w:rsidP="00B74EAD">
            <w:pPr>
              <w:keepNext/>
              <w:ind w:left="-108"/>
              <w:jc w:val="center"/>
              <w:rPr>
                <w:rFonts w:ascii="Arial Narrow" w:eastAsia="Calibri" w:hAnsi="Arial Narrow"/>
                <w:sz w:val="18"/>
                <w:szCs w:val="18"/>
                <w:lang w:eastAsia="en-US"/>
              </w:rPr>
            </w:pPr>
          </w:p>
          <w:p w:rsidR="00AA1E32" w:rsidRPr="00D128F7" w:rsidRDefault="00AA1E32" w:rsidP="00B74EAD">
            <w:pPr>
              <w:keepNext/>
              <w:ind w:left="-108"/>
              <w:jc w:val="center"/>
              <w:rPr>
                <w:rFonts w:ascii="Arial Narrow" w:eastAsia="Calibri" w:hAnsi="Arial Narrow"/>
                <w:sz w:val="18"/>
                <w:szCs w:val="18"/>
                <w:lang w:eastAsia="en-US"/>
              </w:rPr>
            </w:pPr>
          </w:p>
          <w:p w:rsidR="00AA1E32" w:rsidRPr="00D128F7" w:rsidRDefault="00AA1E32" w:rsidP="00B74EAD">
            <w:pPr>
              <w:keepNext/>
              <w:ind w:left="-108"/>
              <w:jc w:val="center"/>
              <w:rPr>
                <w:rFonts w:ascii="Arial Narrow" w:eastAsia="Calibri" w:hAnsi="Arial Narrow"/>
                <w:sz w:val="18"/>
                <w:szCs w:val="18"/>
                <w:lang w:eastAsia="en-US"/>
              </w:rPr>
            </w:pPr>
            <w:r>
              <w:rPr>
                <w:rFonts w:ascii="Arial Narrow" w:eastAsia="Calibri" w:hAnsi="Arial Narrow"/>
                <w:sz w:val="18"/>
                <w:szCs w:val="18"/>
                <w:lang w:eastAsia="en-US"/>
              </w:rPr>
              <w:t>1</w:t>
            </w:r>
          </w:p>
        </w:tc>
        <w:tc>
          <w:tcPr>
            <w:tcW w:w="708" w:type="dxa"/>
          </w:tcPr>
          <w:p w:rsidR="00AA1E32" w:rsidRPr="00D128F7" w:rsidRDefault="00AA1E32" w:rsidP="00B74EAD">
            <w:pPr>
              <w:keepNext/>
              <w:ind w:left="-108"/>
              <w:jc w:val="center"/>
              <w:rPr>
                <w:rFonts w:ascii="Arial Narrow" w:eastAsia="Calibri" w:hAnsi="Arial Narrow"/>
                <w:sz w:val="18"/>
                <w:szCs w:val="18"/>
                <w:lang w:eastAsia="en-US"/>
              </w:rPr>
            </w:pPr>
          </w:p>
          <w:p w:rsidR="00AA1E32" w:rsidRPr="00D128F7" w:rsidRDefault="00AA1E32" w:rsidP="00B74EAD">
            <w:pPr>
              <w:keepNext/>
              <w:ind w:left="-108"/>
              <w:jc w:val="center"/>
              <w:rPr>
                <w:rFonts w:ascii="Arial Narrow" w:eastAsia="Calibri" w:hAnsi="Arial Narrow"/>
                <w:sz w:val="18"/>
                <w:szCs w:val="18"/>
                <w:lang w:eastAsia="en-US"/>
              </w:rPr>
            </w:pPr>
          </w:p>
          <w:p w:rsidR="00AA1E32" w:rsidRPr="00D128F7" w:rsidRDefault="00AA1E32" w:rsidP="00B74EAD">
            <w:pPr>
              <w:keepNext/>
              <w:ind w:left="-108"/>
              <w:jc w:val="center"/>
              <w:rPr>
                <w:rFonts w:ascii="Arial Narrow" w:eastAsia="Calibri" w:hAnsi="Arial Narrow"/>
                <w:strike/>
                <w:sz w:val="18"/>
                <w:szCs w:val="18"/>
                <w:lang w:eastAsia="en-US"/>
              </w:rPr>
            </w:pPr>
            <w:r>
              <w:rPr>
                <w:rFonts w:ascii="Arial Narrow" w:eastAsia="Calibri" w:hAnsi="Arial Narrow"/>
                <w:sz w:val="18"/>
                <w:szCs w:val="18"/>
                <w:lang w:eastAsia="en-US"/>
              </w:rPr>
              <w:t>5</w:t>
            </w:r>
          </w:p>
          <w:p w:rsidR="00AA1E32" w:rsidRPr="00D128F7" w:rsidRDefault="00AA1E32" w:rsidP="00B74EAD">
            <w:pPr>
              <w:keepNext/>
              <w:jc w:val="left"/>
              <w:rPr>
                <w:rFonts w:ascii="Arial Narrow" w:eastAsia="Calibri" w:hAnsi="Arial Narrow"/>
                <w:sz w:val="18"/>
                <w:szCs w:val="18"/>
                <w:lang w:eastAsia="en-US"/>
              </w:rPr>
            </w:pPr>
          </w:p>
        </w:tc>
        <w:tc>
          <w:tcPr>
            <w:tcW w:w="3121" w:type="dxa"/>
          </w:tcPr>
          <w:p w:rsidR="00AA1E32" w:rsidRPr="00D128F7" w:rsidRDefault="00AA1E32" w:rsidP="00B74EAD">
            <w:pPr>
              <w:keepNext/>
              <w:rPr>
                <w:rFonts w:ascii="Arial Narrow" w:eastAsia="Calibri" w:hAnsi="Arial Narrow"/>
                <w:sz w:val="18"/>
                <w:szCs w:val="18"/>
                <w:lang w:eastAsia="en-US"/>
              </w:rPr>
            </w:pPr>
          </w:p>
          <w:p w:rsidR="00AA1E32" w:rsidRPr="00D128F7" w:rsidRDefault="00AA1E32" w:rsidP="00B74EAD">
            <w:pPr>
              <w:keepNext/>
              <w:rPr>
                <w:rFonts w:ascii="Arial Narrow" w:eastAsia="Calibri" w:hAnsi="Arial Narrow"/>
                <w:sz w:val="18"/>
                <w:szCs w:val="18"/>
                <w:lang w:eastAsia="en-US"/>
              </w:rPr>
            </w:pPr>
          </w:p>
          <w:p w:rsidR="00AA1E32" w:rsidRPr="00D128F7" w:rsidRDefault="00AA1E32" w:rsidP="00B74EAD">
            <w:pPr>
              <w:keepNext/>
              <w:jc w:val="left"/>
              <w:rPr>
                <w:rFonts w:ascii="Arial Narrow" w:eastAsia="Calibri" w:hAnsi="Arial Narrow"/>
                <w:sz w:val="18"/>
                <w:szCs w:val="18"/>
                <w:lang w:eastAsia="en-US"/>
              </w:rPr>
            </w:pPr>
            <w:r w:rsidRPr="00D128F7">
              <w:rPr>
                <w:rFonts w:ascii="Arial Narrow" w:eastAsia="Calibri" w:hAnsi="Arial Narrow"/>
                <w:sz w:val="18"/>
                <w:szCs w:val="18"/>
                <w:lang w:eastAsia="en-US"/>
              </w:rPr>
              <w:t>Faslodex</w:t>
            </w:r>
          </w:p>
          <w:p w:rsidR="00AA1E32" w:rsidRPr="00D128F7" w:rsidRDefault="00AA1E32" w:rsidP="00B74EAD">
            <w:pPr>
              <w:keepNext/>
              <w:jc w:val="left"/>
              <w:rPr>
                <w:rFonts w:ascii="Arial Narrow" w:eastAsia="Calibri" w:hAnsi="Arial Narrow"/>
                <w:sz w:val="18"/>
                <w:szCs w:val="18"/>
                <w:lang w:eastAsia="en-US"/>
              </w:rPr>
            </w:pP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single" w:sz="4" w:space="0" w:color="auto"/>
              <w:left w:val="single" w:sz="4" w:space="0" w:color="auto"/>
              <w:bottom w:val="single" w:sz="4" w:space="0" w:color="auto"/>
              <w:right w:val="single" w:sz="4" w:space="0" w:color="auto"/>
            </w:tcBorders>
          </w:tcPr>
          <w:p w:rsidR="001655E3" w:rsidRPr="00D128F7" w:rsidRDefault="001655E3" w:rsidP="00B74EAD">
            <w:pPr>
              <w:rPr>
                <w:rFonts w:ascii="Arial Narrow" w:eastAsia="Calibri" w:hAnsi="Arial Narrow"/>
                <w:sz w:val="18"/>
                <w:szCs w:val="18"/>
                <w:lang w:eastAsia="en-US"/>
              </w:rPr>
            </w:pPr>
            <w:r w:rsidRPr="00D128F7">
              <w:rPr>
                <w:rFonts w:ascii="Arial Narrow" w:eastAsia="Calibri" w:hAnsi="Arial Narrow"/>
                <w:b/>
                <w:sz w:val="18"/>
                <w:szCs w:val="18"/>
                <w:lang w:eastAsia="en-US"/>
              </w:rPr>
              <w:t xml:space="preserve">Category / Program:   </w:t>
            </w:r>
            <w:r w:rsidRPr="00D128F7">
              <w:rPr>
                <w:rFonts w:ascii="Arial Narrow" w:eastAsia="Calibri" w:hAnsi="Arial Narrow"/>
                <w:sz w:val="18"/>
                <w:szCs w:val="18"/>
                <w:lang w:eastAsia="en-US"/>
              </w:rPr>
              <w:t>GENERAL – General Schedule (Code GE)</w:t>
            </w:r>
          </w:p>
        </w:tc>
      </w:tr>
      <w:tr w:rsidR="001655E3" w:rsidRPr="00D128F7" w:rsidTr="00555BB7">
        <w:tblPrEx>
          <w:tblCellMar>
            <w:top w:w="15" w:type="dxa"/>
            <w:left w:w="15" w:type="dxa"/>
            <w:bottom w:w="15" w:type="dxa"/>
            <w:right w:w="15" w:type="dxa"/>
          </w:tblCellMar>
          <w:tblLook w:val="04A0" w:firstRow="1" w:lastRow="0" w:firstColumn="1" w:lastColumn="0" w:noHBand="0" w:noVBand="1"/>
        </w:tblPrEx>
        <w:trPr>
          <w:trHeight w:val="48"/>
        </w:trPr>
        <w:tc>
          <w:tcPr>
            <w:tcW w:w="8927" w:type="dxa"/>
            <w:gridSpan w:val="6"/>
            <w:tcBorders>
              <w:top w:val="single" w:sz="4" w:space="0" w:color="auto"/>
              <w:left w:val="single" w:sz="4" w:space="0" w:color="auto"/>
              <w:bottom w:val="single" w:sz="4" w:space="0" w:color="auto"/>
              <w:right w:val="single" w:sz="4" w:space="0" w:color="auto"/>
            </w:tcBorders>
          </w:tcPr>
          <w:p w:rsidR="001655E3" w:rsidRPr="00D128F7" w:rsidRDefault="001655E3" w:rsidP="00B74EAD">
            <w:pPr>
              <w:rPr>
                <w:rFonts w:ascii="Arial Narrow" w:eastAsia="Calibri" w:hAnsi="Arial Narrow"/>
                <w:sz w:val="18"/>
                <w:szCs w:val="18"/>
                <w:lang w:eastAsia="en-US"/>
              </w:rPr>
            </w:pPr>
            <w:r w:rsidRPr="00D128F7">
              <w:rPr>
                <w:rFonts w:ascii="Arial Narrow" w:eastAsia="Calibri" w:hAnsi="Arial Narrow"/>
                <w:b/>
                <w:sz w:val="18"/>
                <w:szCs w:val="18"/>
                <w:lang w:eastAsia="en-US"/>
              </w:rPr>
              <w:t xml:space="preserve">Prescriber type:  </w:t>
            </w:r>
            <w:r w:rsidRPr="00D128F7">
              <w:rPr>
                <w:rFonts w:ascii="Arial Narrow" w:eastAsia="Calibri" w:hAnsi="Arial Narrow"/>
                <w:sz w:val="18"/>
                <w:szCs w:val="18"/>
                <w:lang w:eastAsia="en-US"/>
              </w:rPr>
              <w:fldChar w:fldCharType="begin">
                <w:ffData>
                  <w:name w:val=""/>
                  <w:enabled/>
                  <w:calcOnExit w:val="0"/>
                  <w:checkBox>
                    <w:sizeAuto/>
                    <w:default w:val="1"/>
                  </w:checkBox>
                </w:ffData>
              </w:fldChar>
            </w:r>
            <w:r w:rsidRPr="00D128F7">
              <w:rPr>
                <w:rFonts w:ascii="Arial Narrow" w:eastAsia="Calibri" w:hAnsi="Arial Narrow"/>
                <w:sz w:val="18"/>
                <w:szCs w:val="18"/>
                <w:lang w:eastAsia="en-US"/>
              </w:rPr>
              <w:instrText xml:space="preserve"> FORMCHECKBOX </w:instrText>
            </w:r>
            <w:r w:rsidR="00C428BE">
              <w:rPr>
                <w:rFonts w:ascii="Arial Narrow" w:eastAsia="Calibri" w:hAnsi="Arial Narrow"/>
                <w:sz w:val="18"/>
                <w:szCs w:val="18"/>
                <w:lang w:eastAsia="en-US"/>
              </w:rPr>
            </w:r>
            <w:r w:rsidR="00C428BE">
              <w:rPr>
                <w:rFonts w:ascii="Arial Narrow" w:eastAsia="Calibri" w:hAnsi="Arial Narrow"/>
                <w:sz w:val="18"/>
                <w:szCs w:val="18"/>
                <w:lang w:eastAsia="en-US"/>
              </w:rPr>
              <w:fldChar w:fldCharType="separate"/>
            </w:r>
            <w:r w:rsidRPr="00D128F7">
              <w:rPr>
                <w:rFonts w:ascii="Arial Narrow" w:eastAsia="Calibri" w:hAnsi="Arial Narrow"/>
                <w:sz w:val="18"/>
                <w:szCs w:val="18"/>
                <w:lang w:eastAsia="en-US"/>
              </w:rPr>
              <w:fldChar w:fldCharType="end"/>
            </w:r>
            <w:r w:rsidRPr="00D128F7">
              <w:rPr>
                <w:rFonts w:ascii="Arial Narrow" w:eastAsia="Calibri" w:hAnsi="Arial Narrow"/>
                <w:sz w:val="18"/>
                <w:szCs w:val="18"/>
                <w:lang w:eastAsia="en-US"/>
              </w:rPr>
              <w:t xml:space="preserve">Medical Practitioners  </w:t>
            </w:r>
          </w:p>
        </w:tc>
      </w:tr>
      <w:tr w:rsidR="001655E3" w:rsidRPr="00D128F7" w:rsidTr="00555BB7">
        <w:tblPrEx>
          <w:tblCellMar>
            <w:top w:w="15" w:type="dxa"/>
            <w:left w:w="15" w:type="dxa"/>
            <w:bottom w:w="15" w:type="dxa"/>
            <w:right w:w="15" w:type="dxa"/>
          </w:tblCellMar>
          <w:tblLook w:val="04A0" w:firstRow="1" w:lastRow="0" w:firstColumn="1" w:lastColumn="0" w:noHBand="0" w:noVBand="1"/>
        </w:tblPrEx>
        <w:trPr>
          <w:trHeight w:val="68"/>
        </w:trPr>
        <w:tc>
          <w:tcPr>
            <w:tcW w:w="8927" w:type="dxa"/>
            <w:gridSpan w:val="6"/>
            <w:tcBorders>
              <w:top w:val="single" w:sz="4" w:space="0" w:color="auto"/>
              <w:left w:val="single" w:sz="4" w:space="0" w:color="auto"/>
              <w:bottom w:val="single" w:sz="4" w:space="0" w:color="auto"/>
              <w:right w:val="single" w:sz="4" w:space="0" w:color="auto"/>
            </w:tcBorders>
          </w:tcPr>
          <w:p w:rsidR="001655E3" w:rsidRPr="00D128F7" w:rsidRDefault="001655E3" w:rsidP="00B74EAD">
            <w:pPr>
              <w:rPr>
                <w:rFonts w:ascii="Arial Narrow" w:eastAsia="Calibri" w:hAnsi="Arial Narrow"/>
                <w:sz w:val="18"/>
                <w:szCs w:val="18"/>
                <w:lang w:eastAsia="en-US"/>
              </w:rPr>
            </w:pPr>
            <w:r w:rsidRPr="00D128F7">
              <w:rPr>
                <w:rFonts w:ascii="Arial Narrow" w:eastAsia="Calibri" w:hAnsi="Arial Narrow"/>
                <w:b/>
                <w:sz w:val="18"/>
                <w:szCs w:val="18"/>
                <w:lang w:eastAsia="en-US"/>
              </w:rPr>
              <w:t xml:space="preserve">Restriction </w:t>
            </w:r>
            <w:r>
              <w:rPr>
                <w:rFonts w:ascii="Arial Narrow" w:eastAsia="Calibri" w:hAnsi="Arial Narrow"/>
                <w:b/>
                <w:sz w:val="18"/>
                <w:szCs w:val="18"/>
                <w:lang w:eastAsia="en-US"/>
              </w:rPr>
              <w:t>Type</w:t>
            </w:r>
            <w:r w:rsidRPr="00D128F7">
              <w:rPr>
                <w:rFonts w:ascii="Arial Narrow" w:eastAsia="Calibri" w:hAnsi="Arial Narrow"/>
                <w:b/>
                <w:sz w:val="18"/>
                <w:szCs w:val="18"/>
                <w:lang w:eastAsia="en-US"/>
              </w:rPr>
              <w:t xml:space="preserve"> / Method:  </w:t>
            </w:r>
            <w:r w:rsidRPr="00D128F7">
              <w:rPr>
                <w:rFonts w:ascii="Arial Narrow" w:eastAsia="Calibri" w:hAnsi="Arial Narrow"/>
                <w:sz w:val="18"/>
                <w:szCs w:val="18"/>
                <w:lang w:eastAsia="en-US"/>
              </w:rPr>
              <w:fldChar w:fldCharType="begin">
                <w:ffData>
                  <w:name w:val=""/>
                  <w:enabled/>
                  <w:calcOnExit w:val="0"/>
                  <w:checkBox>
                    <w:sizeAuto/>
                    <w:default w:val="1"/>
                  </w:checkBox>
                </w:ffData>
              </w:fldChar>
            </w:r>
            <w:r w:rsidRPr="00D128F7">
              <w:rPr>
                <w:rFonts w:ascii="Arial Narrow" w:eastAsia="Calibri" w:hAnsi="Arial Narrow"/>
                <w:sz w:val="18"/>
                <w:szCs w:val="18"/>
                <w:lang w:eastAsia="en-US"/>
              </w:rPr>
              <w:instrText xml:space="preserve"> FORMCHECKBOX </w:instrText>
            </w:r>
            <w:r w:rsidR="00C428BE">
              <w:rPr>
                <w:rFonts w:ascii="Arial Narrow" w:eastAsia="Calibri" w:hAnsi="Arial Narrow"/>
                <w:sz w:val="18"/>
                <w:szCs w:val="18"/>
                <w:lang w:eastAsia="en-US"/>
              </w:rPr>
            </w:r>
            <w:r w:rsidR="00C428BE">
              <w:rPr>
                <w:rFonts w:ascii="Arial Narrow" w:eastAsia="Calibri" w:hAnsi="Arial Narrow"/>
                <w:sz w:val="18"/>
                <w:szCs w:val="18"/>
                <w:lang w:eastAsia="en-US"/>
              </w:rPr>
              <w:fldChar w:fldCharType="separate"/>
            </w:r>
            <w:r w:rsidRPr="00D128F7">
              <w:rPr>
                <w:rFonts w:ascii="Arial Narrow" w:eastAsia="Calibri" w:hAnsi="Arial Narrow"/>
                <w:sz w:val="18"/>
                <w:szCs w:val="18"/>
                <w:lang w:eastAsia="en-US"/>
              </w:rPr>
              <w:fldChar w:fldCharType="end"/>
            </w:r>
            <w:r w:rsidRPr="00D128F7">
              <w:rPr>
                <w:rFonts w:ascii="Arial Narrow" w:eastAsia="Calibri" w:hAnsi="Arial Narrow"/>
                <w:sz w:val="18"/>
                <w:szCs w:val="18"/>
                <w:lang w:eastAsia="en-US"/>
              </w:rPr>
              <w:t xml:space="preserve">Authority Required – Streamlined (new code) </w:t>
            </w: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bottom w:val="single" w:sz="4" w:space="0" w:color="auto"/>
            </w:tcBorders>
            <w:vAlign w:val="center"/>
            <w:hideMark/>
          </w:tcPr>
          <w:p w:rsidR="001655E3" w:rsidRPr="00D128F7" w:rsidRDefault="001655E3" w:rsidP="00B74EAD">
            <w:pPr>
              <w:jc w:val="left"/>
              <w:rPr>
                <w:rFonts w:ascii="Arial Narrow" w:hAnsi="Arial Narrow" w:cs="Times New Roman"/>
                <w:sz w:val="18"/>
                <w:szCs w:val="18"/>
              </w:rPr>
            </w:pPr>
            <w:r w:rsidRPr="00D128F7">
              <w:rPr>
                <w:rFonts w:ascii="Arial Narrow" w:hAnsi="Arial Narrow" w:cs="Times New Roman"/>
                <w:b/>
                <w:bCs/>
                <w:sz w:val="18"/>
                <w:szCs w:val="18"/>
              </w:rPr>
              <w:t>Indication:</w:t>
            </w:r>
            <w:r w:rsidRPr="00D128F7">
              <w:rPr>
                <w:rFonts w:ascii="Arial Narrow" w:hAnsi="Arial Narrow" w:cs="Times New Roman"/>
                <w:sz w:val="18"/>
                <w:szCs w:val="18"/>
              </w:rPr>
              <w:t xml:space="preserve"> Locally advanced or metastatic breast cancer</w:t>
            </w: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bottom w:val="nil"/>
            </w:tcBorders>
            <w:vAlign w:val="center"/>
            <w:hideMark/>
          </w:tcPr>
          <w:p w:rsidR="001655E3" w:rsidRPr="00D128F7" w:rsidRDefault="001655E3" w:rsidP="00B74EAD">
            <w:pPr>
              <w:jc w:val="left"/>
              <w:rPr>
                <w:rFonts w:ascii="Arial Narrow" w:hAnsi="Arial Narrow" w:cs="Times New Roman"/>
                <w:sz w:val="18"/>
                <w:szCs w:val="18"/>
              </w:rPr>
            </w:pPr>
            <w:r w:rsidRPr="00D128F7">
              <w:rPr>
                <w:rFonts w:ascii="Arial Narrow" w:hAnsi="Arial Narrow" w:cs="Times New Roman"/>
                <w:b/>
                <w:bCs/>
                <w:sz w:val="18"/>
                <w:szCs w:val="18"/>
              </w:rPr>
              <w:t>Clinical criteria:</w:t>
            </w: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nil"/>
              <w:bottom w:val="nil"/>
            </w:tcBorders>
            <w:vAlign w:val="center"/>
            <w:hideMark/>
          </w:tcPr>
          <w:p w:rsidR="001655E3" w:rsidRPr="00D128F7" w:rsidRDefault="001655E3" w:rsidP="00B74EAD">
            <w:pPr>
              <w:spacing w:before="20" w:after="20" w:line="276" w:lineRule="auto"/>
              <w:rPr>
                <w:rFonts w:ascii="Arial Narrow" w:hAnsi="Arial Narrow"/>
                <w:sz w:val="20"/>
                <w:szCs w:val="20"/>
                <w:lang w:eastAsia="en-US" w:bidi="en-US"/>
              </w:rPr>
            </w:pPr>
            <w:r w:rsidRPr="00D128F7">
              <w:rPr>
                <w:rFonts w:ascii="Arial Narrow" w:hAnsi="Arial Narrow" w:cs="Times New Roman"/>
                <w:sz w:val="18"/>
                <w:szCs w:val="18"/>
              </w:rPr>
              <w:t>The condition must be hormone receptor positive</w:t>
            </w:r>
          </w:p>
        </w:tc>
      </w:tr>
      <w:tr w:rsidR="001655E3" w:rsidRPr="001655E3"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nil"/>
              <w:bottom w:val="nil"/>
            </w:tcBorders>
            <w:vAlign w:val="center"/>
            <w:hideMark/>
          </w:tcPr>
          <w:p w:rsidR="001655E3" w:rsidRPr="001655E3" w:rsidRDefault="001655E3" w:rsidP="00B74EAD">
            <w:pPr>
              <w:jc w:val="left"/>
              <w:rPr>
                <w:rFonts w:ascii="Arial Narrow" w:hAnsi="Arial Narrow" w:cs="Times New Roman"/>
                <w:sz w:val="18"/>
                <w:szCs w:val="18"/>
              </w:rPr>
            </w:pPr>
            <w:r w:rsidRPr="001655E3">
              <w:rPr>
                <w:rFonts w:ascii="Arial Narrow" w:hAnsi="Arial Narrow" w:cs="Times New Roman"/>
                <w:bCs/>
                <w:sz w:val="18"/>
                <w:szCs w:val="18"/>
              </w:rPr>
              <w:t>AND</w:t>
            </w:r>
          </w:p>
        </w:tc>
      </w:tr>
      <w:tr w:rsidR="001655E3" w:rsidRPr="001655E3"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nil"/>
              <w:bottom w:val="nil"/>
            </w:tcBorders>
            <w:vAlign w:val="center"/>
            <w:hideMark/>
          </w:tcPr>
          <w:p w:rsidR="001655E3" w:rsidRPr="001655E3" w:rsidRDefault="001655E3" w:rsidP="00B74EAD">
            <w:pPr>
              <w:spacing w:before="20" w:after="20" w:line="276" w:lineRule="auto"/>
              <w:rPr>
                <w:rFonts w:ascii="Arial Narrow" w:hAnsi="Arial Narrow" w:cs="Times New Roman"/>
                <w:sz w:val="18"/>
                <w:szCs w:val="18"/>
              </w:rPr>
            </w:pPr>
            <w:r w:rsidRPr="001655E3">
              <w:rPr>
                <w:rFonts w:ascii="Arial Narrow" w:hAnsi="Arial Narrow" w:cs="Times New Roman"/>
                <w:sz w:val="18"/>
                <w:szCs w:val="18"/>
              </w:rPr>
              <w:t>The condition must be human epidermal growth factor receptor 2 (HER2) negative</w:t>
            </w:r>
          </w:p>
        </w:tc>
      </w:tr>
      <w:tr w:rsidR="001655E3" w:rsidRPr="001655E3" w:rsidTr="001655E3">
        <w:tblPrEx>
          <w:tblCellMar>
            <w:top w:w="15" w:type="dxa"/>
            <w:left w:w="15" w:type="dxa"/>
            <w:bottom w:w="15" w:type="dxa"/>
            <w:right w:w="15" w:type="dxa"/>
          </w:tblCellMar>
          <w:tblLook w:val="04A0" w:firstRow="1" w:lastRow="0" w:firstColumn="1" w:lastColumn="0" w:noHBand="0" w:noVBand="1"/>
        </w:tblPrEx>
        <w:trPr>
          <w:trHeight w:val="160"/>
        </w:trPr>
        <w:tc>
          <w:tcPr>
            <w:tcW w:w="8927" w:type="dxa"/>
            <w:gridSpan w:val="6"/>
            <w:tcBorders>
              <w:top w:val="nil"/>
              <w:bottom w:val="nil"/>
            </w:tcBorders>
            <w:vAlign w:val="center"/>
          </w:tcPr>
          <w:p w:rsidR="001655E3" w:rsidRPr="001655E3" w:rsidRDefault="001655E3" w:rsidP="00B74EAD">
            <w:pPr>
              <w:spacing w:before="20" w:after="20" w:line="276" w:lineRule="auto"/>
              <w:rPr>
                <w:rFonts w:ascii="Arial Narrow" w:hAnsi="Arial Narrow" w:cs="Times New Roman"/>
                <w:sz w:val="18"/>
                <w:szCs w:val="18"/>
              </w:rPr>
            </w:pPr>
            <w:r w:rsidRPr="001655E3">
              <w:rPr>
                <w:rFonts w:ascii="Arial Narrow" w:hAnsi="Arial Narrow" w:cs="Times New Roman"/>
                <w:bCs/>
                <w:sz w:val="18"/>
                <w:szCs w:val="18"/>
              </w:rPr>
              <w:t>AND</w:t>
            </w:r>
          </w:p>
        </w:tc>
      </w:tr>
      <w:tr w:rsidR="001655E3" w:rsidRPr="001655E3"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nil"/>
              <w:bottom w:val="nil"/>
            </w:tcBorders>
            <w:vAlign w:val="center"/>
          </w:tcPr>
          <w:p w:rsidR="001655E3" w:rsidRPr="001655E3" w:rsidRDefault="001655E3" w:rsidP="00B74EAD">
            <w:pPr>
              <w:spacing w:before="20" w:after="20" w:line="276" w:lineRule="auto"/>
              <w:rPr>
                <w:rFonts w:ascii="Arial Narrow" w:hAnsi="Arial Narrow" w:cs="Times New Roman"/>
                <w:sz w:val="18"/>
                <w:szCs w:val="18"/>
              </w:rPr>
            </w:pPr>
            <w:r w:rsidRPr="001655E3">
              <w:rPr>
                <w:rFonts w:ascii="Arial Narrow" w:hAnsi="Arial Narrow" w:cs="Times New Roman"/>
                <w:sz w:val="18"/>
                <w:szCs w:val="18"/>
              </w:rPr>
              <w:t>The condition must be unresectable</w:t>
            </w:r>
          </w:p>
        </w:tc>
      </w:tr>
      <w:tr w:rsidR="001655E3" w:rsidRPr="001655E3"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nil"/>
              <w:bottom w:val="single" w:sz="4" w:space="0" w:color="auto"/>
            </w:tcBorders>
            <w:vAlign w:val="center"/>
          </w:tcPr>
          <w:p w:rsidR="001655E3" w:rsidRPr="001655E3" w:rsidRDefault="001655E3" w:rsidP="00B74EAD">
            <w:pPr>
              <w:spacing w:before="20" w:after="20" w:line="276" w:lineRule="auto"/>
              <w:rPr>
                <w:rFonts w:ascii="Arial Narrow" w:hAnsi="Arial Narrow" w:cs="Times New Roman"/>
                <w:sz w:val="18"/>
                <w:szCs w:val="18"/>
              </w:rPr>
            </w:pPr>
            <w:r w:rsidRPr="001655E3">
              <w:rPr>
                <w:rFonts w:ascii="Arial Narrow" w:hAnsi="Arial Narrow" w:cs="Times New Roman"/>
                <w:sz w:val="18"/>
                <w:szCs w:val="18"/>
              </w:rPr>
              <w:t>AND</w:t>
            </w: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bottom w:val="nil"/>
            </w:tcBorders>
            <w:vAlign w:val="center"/>
          </w:tcPr>
          <w:p w:rsidR="001655E3" w:rsidRPr="00C02F7E" w:rsidRDefault="001655E3" w:rsidP="00B74EAD">
            <w:pPr>
              <w:spacing w:before="20" w:after="20" w:line="276" w:lineRule="auto"/>
              <w:rPr>
                <w:rFonts w:ascii="Arial Narrow" w:hAnsi="Arial Narrow" w:cs="Times New Roman"/>
                <w:b/>
                <w:sz w:val="18"/>
                <w:szCs w:val="18"/>
              </w:rPr>
            </w:pPr>
            <w:r>
              <w:rPr>
                <w:rFonts w:ascii="Arial Narrow" w:hAnsi="Arial Narrow" w:cs="Times New Roman"/>
                <w:b/>
                <w:sz w:val="18"/>
                <w:szCs w:val="18"/>
              </w:rPr>
              <w:t xml:space="preserve">Population </w:t>
            </w:r>
            <w:r w:rsidRPr="00C02F7E">
              <w:rPr>
                <w:rFonts w:ascii="Arial Narrow" w:hAnsi="Arial Narrow" w:cs="Times New Roman"/>
                <w:b/>
                <w:sz w:val="18"/>
                <w:szCs w:val="18"/>
              </w:rPr>
              <w:t>criteria:</w:t>
            </w: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nil"/>
            </w:tcBorders>
            <w:vAlign w:val="center"/>
            <w:hideMark/>
          </w:tcPr>
          <w:p w:rsidR="001655E3" w:rsidRPr="00D128F7" w:rsidRDefault="001655E3" w:rsidP="00B74EAD">
            <w:pPr>
              <w:spacing w:before="20" w:after="20" w:line="276" w:lineRule="auto"/>
              <w:rPr>
                <w:rFonts w:ascii="Arial Narrow" w:hAnsi="Arial Narrow"/>
                <w:sz w:val="20"/>
                <w:szCs w:val="20"/>
                <w:lang w:eastAsia="en-US" w:bidi="en-US"/>
              </w:rPr>
            </w:pPr>
            <w:r w:rsidRPr="00D128F7">
              <w:rPr>
                <w:rFonts w:ascii="Arial Narrow" w:eastAsia="Calibri" w:hAnsi="Arial Narrow" w:cs="Arial Narrow"/>
                <w:iCs/>
                <w:sz w:val="18"/>
                <w:szCs w:val="18"/>
                <w:lang w:eastAsia="en-US"/>
              </w:rPr>
              <w:t>Patient must not be pre-menopausal.</w:t>
            </w: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vAlign w:val="center"/>
            <w:hideMark/>
          </w:tcPr>
          <w:p w:rsidR="001655E3" w:rsidRPr="00D128F7" w:rsidRDefault="001655E3" w:rsidP="00B74EAD">
            <w:pPr>
              <w:jc w:val="left"/>
              <w:rPr>
                <w:rFonts w:ascii="Arial Narrow" w:hAnsi="Arial Narrow" w:cs="Times New Roman"/>
                <w:b/>
                <w:bCs/>
                <w:sz w:val="18"/>
                <w:szCs w:val="18"/>
              </w:rPr>
            </w:pPr>
            <w:r w:rsidRPr="00D128F7">
              <w:rPr>
                <w:rFonts w:ascii="Arial Narrow" w:hAnsi="Arial Narrow" w:cs="Times New Roman"/>
                <w:b/>
                <w:bCs/>
                <w:sz w:val="18"/>
                <w:szCs w:val="18"/>
              </w:rPr>
              <w:t xml:space="preserve">Prescribing Instructions: </w:t>
            </w:r>
          </w:p>
          <w:p w:rsidR="001655E3" w:rsidRPr="00D128F7" w:rsidRDefault="001655E3" w:rsidP="00B74EAD">
            <w:pPr>
              <w:jc w:val="left"/>
              <w:rPr>
                <w:rFonts w:ascii="Arial Narrow" w:hAnsi="Arial Narrow" w:cs="Times New Roman"/>
                <w:sz w:val="18"/>
                <w:szCs w:val="18"/>
              </w:rPr>
            </w:pPr>
            <w:r w:rsidRPr="00D128F7">
              <w:rPr>
                <w:rFonts w:ascii="Arial Narrow" w:eastAsia="Calibri" w:hAnsi="Arial Narrow" w:cs="Arial Narrow"/>
                <w:iCs/>
                <w:sz w:val="18"/>
                <w:szCs w:val="18"/>
                <w:lang w:eastAsia="en-US"/>
              </w:rPr>
              <w:t>A patient who has progressive disease when treated with this drug is no longer eligible for PBS-subsidised treatment with this drug.</w:t>
            </w:r>
          </w:p>
        </w:tc>
      </w:tr>
      <w:tr w:rsidR="001655E3" w:rsidRPr="00D128F7" w:rsidTr="001655E3">
        <w:tblPrEx>
          <w:tblCellMar>
            <w:top w:w="15" w:type="dxa"/>
            <w:left w:w="15" w:type="dxa"/>
            <w:bottom w:w="15" w:type="dxa"/>
            <w:right w:w="15" w:type="dxa"/>
          </w:tblCellMar>
          <w:tblLook w:val="04A0" w:firstRow="1" w:lastRow="0" w:firstColumn="1" w:lastColumn="0" w:noHBand="0" w:noVBand="1"/>
        </w:tblPrEx>
        <w:tc>
          <w:tcPr>
            <w:tcW w:w="8927" w:type="dxa"/>
            <w:gridSpan w:val="6"/>
            <w:tcBorders>
              <w:top w:val="single" w:sz="4" w:space="0" w:color="auto"/>
              <w:left w:val="single" w:sz="4" w:space="0" w:color="auto"/>
              <w:bottom w:val="single" w:sz="4" w:space="0" w:color="auto"/>
              <w:right w:val="single" w:sz="4" w:space="0" w:color="auto"/>
            </w:tcBorders>
            <w:vAlign w:val="center"/>
          </w:tcPr>
          <w:p w:rsidR="001655E3" w:rsidRPr="00D128F7" w:rsidRDefault="001655E3" w:rsidP="00B74EAD">
            <w:pPr>
              <w:jc w:val="left"/>
              <w:rPr>
                <w:rFonts w:ascii="Arial Narrow" w:hAnsi="Arial Narrow" w:cs="Times New Roman"/>
                <w:b/>
                <w:bCs/>
                <w:sz w:val="18"/>
                <w:szCs w:val="18"/>
              </w:rPr>
            </w:pPr>
            <w:r w:rsidRPr="00D128F7">
              <w:rPr>
                <w:rFonts w:ascii="Arial Narrow" w:hAnsi="Arial Narrow" w:cs="Times New Roman"/>
                <w:bCs/>
                <w:sz w:val="18"/>
                <w:szCs w:val="18"/>
              </w:rPr>
              <w:t>Special pricing arrangements apply</w:t>
            </w:r>
          </w:p>
        </w:tc>
      </w:tr>
    </w:tbl>
    <w:p w:rsidR="00184061" w:rsidRDefault="00184061" w:rsidP="00184061">
      <w:pPr>
        <w:pStyle w:val="Bodytextitalics"/>
        <w:rPr>
          <w:b/>
        </w:rPr>
      </w:pPr>
    </w:p>
    <w:p w:rsidR="004E5354" w:rsidRDefault="00184061" w:rsidP="00673E91">
      <w:pPr>
        <w:pStyle w:val="Bodytextitalics"/>
        <w:rPr>
          <w:b/>
        </w:rPr>
      </w:pPr>
      <w:r w:rsidRPr="00C9316D">
        <w:rPr>
          <w:b/>
        </w:rPr>
        <w:t>This restriction may be subject to further review. Should there be any changes made to the restriction the Sponsor will be informed.</w:t>
      </w:r>
      <w:bookmarkEnd w:id="6"/>
      <w:bookmarkEnd w:id="7"/>
      <w:bookmarkEnd w:id="8"/>
    </w:p>
    <w:p w:rsidR="00C316D8" w:rsidRPr="00673E91" w:rsidRDefault="00C316D8" w:rsidP="00673E91">
      <w:pPr>
        <w:pStyle w:val="Bodytextitalics"/>
        <w:rPr>
          <w:b/>
          <w:color w:val="1F497D"/>
          <w:sz w:val="22"/>
        </w:rPr>
      </w:pPr>
    </w:p>
    <w:p w:rsidR="00673E91" w:rsidRDefault="00673E91" w:rsidP="00673E91">
      <w:pPr>
        <w:pStyle w:val="2Sections"/>
        <w:numPr>
          <w:ilvl w:val="0"/>
          <w:numId w:val="1"/>
        </w:numPr>
        <w:rPr>
          <w:color w:val="1F497D"/>
        </w:rPr>
      </w:pPr>
      <w:r w:rsidRPr="00C07617">
        <w:t>Context for Decision</w:t>
      </w:r>
    </w:p>
    <w:p w:rsidR="00673E91" w:rsidRDefault="00673E91" w:rsidP="00673E91">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bCs/>
          <w:lang w:val="en-GB"/>
        </w:rPr>
        <w:t>medicines</w:t>
      </w:r>
      <w:r w:rsidRPr="007129F2">
        <w:rPr>
          <w:rFonts w:asciiTheme="minorHAnsi" w:hAnsiTheme="minorHAnsi"/>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673E91" w:rsidRPr="007129F2" w:rsidRDefault="00673E91" w:rsidP="00673E91">
      <w:pPr>
        <w:rPr>
          <w:rFonts w:asciiTheme="minorHAnsi" w:hAnsiTheme="minorHAnsi"/>
          <w:bCs/>
          <w:lang w:val="en-GB"/>
        </w:rPr>
      </w:pPr>
    </w:p>
    <w:p w:rsidR="00673E91" w:rsidRPr="00C07617" w:rsidRDefault="00673E91" w:rsidP="00673E91">
      <w:pPr>
        <w:pStyle w:val="2Sections"/>
        <w:numPr>
          <w:ilvl w:val="0"/>
          <w:numId w:val="1"/>
        </w:numPr>
        <w:rPr>
          <w:b w:val="0"/>
        </w:rPr>
      </w:pPr>
      <w:r>
        <w:t>Sponsor’s Comment</w:t>
      </w:r>
    </w:p>
    <w:p w:rsidR="00673E91" w:rsidRPr="00673E91" w:rsidRDefault="00673E91" w:rsidP="00673E91">
      <w:pPr>
        <w:spacing w:after="120"/>
        <w:rPr>
          <w:rFonts w:asciiTheme="minorHAnsi" w:hAnsiTheme="minorHAnsi"/>
          <w:bCs/>
        </w:rPr>
      </w:pPr>
      <w:r w:rsidRPr="00C07617">
        <w:rPr>
          <w:rFonts w:asciiTheme="minorHAnsi" w:hAnsiTheme="minorHAnsi"/>
          <w:bCs/>
        </w:rPr>
        <w:t>The sponsor had no comment.</w:t>
      </w:r>
    </w:p>
    <w:sectPr w:rsidR="00673E91" w:rsidRPr="00673E91" w:rsidSect="003A3468">
      <w:headerReference w:type="default" r:id="rId15"/>
      <w:footerReference w:type="default" r:id="rId16"/>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88C6" w16cex:dateUtc="2020-07-24T06:20:00Z"/>
  <w16cex:commentExtensible w16cex:durableId="22C589F1" w16cex:dateUtc="2020-07-24T06:25:00Z"/>
  <w16cex:commentExtensible w16cex:durableId="22C86773" w16cex:dateUtc="2020-07-26T10:34:00Z"/>
  <w16cex:commentExtensible w16cex:durableId="22C8679B" w16cex:dateUtc="2020-07-26T10:35:00Z"/>
  <w16cex:commentExtensible w16cex:durableId="22C86AC8" w16cex:dateUtc="2020-07-26T10:49:00Z"/>
  <w16cex:commentExtensible w16cex:durableId="22C86B7A" w16cex:dateUtc="2020-07-26T10:52:00Z"/>
  <w16cex:commentExtensible w16cex:durableId="22C86D35" w16cex:dateUtc="2020-07-26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2B92DC" w16cid:durableId="22C588C6"/>
  <w16cid:commentId w16cid:paraId="496F939A" w16cid:durableId="22C5889C"/>
  <w16cid:commentId w16cid:paraId="4495191D" w16cid:durableId="22C589F1"/>
  <w16cid:commentId w16cid:paraId="01C2D1FD" w16cid:durableId="22C86773"/>
  <w16cid:commentId w16cid:paraId="0AA845B7" w16cid:durableId="22C8679B"/>
  <w16cid:commentId w16cid:paraId="28428F63" w16cid:durableId="22C86AC8"/>
  <w16cid:commentId w16cid:paraId="4D2CBFBB" w16cid:durableId="22C86B7A"/>
  <w16cid:commentId w16cid:paraId="0FF9B359" w16cid:durableId="22C86D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8BE" w:rsidRDefault="00C428BE" w:rsidP="00124A51">
      <w:r>
        <w:separator/>
      </w:r>
    </w:p>
    <w:p w:rsidR="00C428BE" w:rsidRDefault="00C428BE"/>
  </w:endnote>
  <w:endnote w:type="continuationSeparator" w:id="0">
    <w:p w:rsidR="00C428BE" w:rsidRDefault="00C428BE" w:rsidP="00124A51">
      <w:r>
        <w:continuationSeparator/>
      </w:r>
    </w:p>
    <w:p w:rsidR="00C428BE" w:rsidRDefault="00C428BE"/>
  </w:endnote>
  <w:endnote w:type="continuationNotice" w:id="1">
    <w:p w:rsidR="00C428BE" w:rsidRDefault="00C42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00"/>
    <w:family w:val="roman"/>
    <w:notTrueType/>
    <w:pitch w:val="default"/>
    <w:sig w:usb0="00000003" w:usb1="08070000" w:usb2="00000010" w:usb3="00000000" w:csb0="00020001" w:csb1="00000000"/>
  </w:font>
  <w:font w:name="AdvOT1ef757c0">
    <w:altName w:val="Calibri"/>
    <w:panose1 w:val="00000000000000000000"/>
    <w:charset w:val="00"/>
    <w:family w:val="auto"/>
    <w:notTrueType/>
    <w:pitch w:val="default"/>
    <w:sig w:usb0="00000003" w:usb1="00000000" w:usb2="00000000" w:usb3="00000000" w:csb0="00000001" w:csb1="00000000"/>
  </w:font>
  <w:font w:name="AdvOT7d6df7ab.I">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15121"/>
      <w:docPartObj>
        <w:docPartGallery w:val="Page Numbers (Bottom of Page)"/>
        <w:docPartUnique/>
      </w:docPartObj>
    </w:sdtPr>
    <w:sdtEndPr>
      <w:rPr>
        <w:b/>
        <w:noProof/>
      </w:rPr>
    </w:sdtEndPr>
    <w:sdtContent>
      <w:p w:rsidR="00C428BE" w:rsidRDefault="00C428BE">
        <w:pPr>
          <w:pStyle w:val="Footer"/>
          <w:jc w:val="center"/>
        </w:pPr>
      </w:p>
      <w:p w:rsidR="00C428BE" w:rsidRPr="00CD0AEE" w:rsidRDefault="00C428BE" w:rsidP="00115EE5">
        <w:pPr>
          <w:pStyle w:val="Footer"/>
          <w:jc w:val="center"/>
          <w:rPr>
            <w:b/>
          </w:rPr>
        </w:pPr>
        <w:r w:rsidRPr="00CD0AEE">
          <w:rPr>
            <w:b/>
          </w:rPr>
          <w:fldChar w:fldCharType="begin"/>
        </w:r>
        <w:r w:rsidRPr="00CD0AEE">
          <w:rPr>
            <w:b/>
          </w:rPr>
          <w:instrText xml:space="preserve"> PAGE   \* MERGEFORMAT </w:instrText>
        </w:r>
        <w:r w:rsidRPr="00CD0AEE">
          <w:rPr>
            <w:b/>
          </w:rPr>
          <w:fldChar w:fldCharType="separate"/>
        </w:r>
        <w:r w:rsidR="00F658D6">
          <w:rPr>
            <w:b/>
            <w:noProof/>
          </w:rPr>
          <w:t>20</w:t>
        </w:r>
        <w:r w:rsidRPr="00CD0AEE">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8BE" w:rsidRDefault="00C428BE" w:rsidP="00124A51">
      <w:r>
        <w:separator/>
      </w:r>
    </w:p>
    <w:p w:rsidR="00C428BE" w:rsidRDefault="00C428BE"/>
  </w:footnote>
  <w:footnote w:type="continuationSeparator" w:id="0">
    <w:p w:rsidR="00C428BE" w:rsidRDefault="00C428BE" w:rsidP="00124A51">
      <w:r>
        <w:continuationSeparator/>
      </w:r>
    </w:p>
    <w:p w:rsidR="00C428BE" w:rsidRDefault="00C428BE"/>
  </w:footnote>
  <w:footnote w:type="continuationNotice" w:id="1">
    <w:p w:rsidR="00C428BE" w:rsidRDefault="00C428BE"/>
  </w:footnote>
  <w:footnote w:id="2">
    <w:p w:rsidR="00C428BE" w:rsidRPr="00E12629" w:rsidRDefault="00C428BE" w:rsidP="0079059D">
      <w:pPr>
        <w:pStyle w:val="FootnoteText"/>
        <w:rPr>
          <w:lang w:val="en-US"/>
        </w:rPr>
      </w:pPr>
      <w:r>
        <w:rPr>
          <w:rStyle w:val="FootnoteReference"/>
          <w:rFonts w:eastAsiaTheme="majorEastAsia"/>
        </w:rPr>
        <w:footnoteRef/>
      </w:r>
      <w:r>
        <w:t xml:space="preserve"> </w:t>
      </w:r>
      <w:r w:rsidRPr="00B14B07">
        <w:t xml:space="preserve">Bray, F., </w:t>
      </w:r>
      <w:r>
        <w:t>et al</w:t>
      </w:r>
      <w:r w:rsidRPr="00B14B07">
        <w:t xml:space="preserve">. </w:t>
      </w:r>
      <w:r w:rsidRPr="00331B90">
        <w:t>Global cancer statistics 2018: GLOBOCAN estimates of incidence and mortality worldwide for 36 cancers in 185 countries. CA: a cancer journal for clinicians. 2018 Nov;68(6):394-424.</w:t>
      </w:r>
    </w:p>
  </w:footnote>
  <w:footnote w:id="3">
    <w:p w:rsidR="00C428BE" w:rsidRPr="0025007C" w:rsidRDefault="00C428BE">
      <w:pPr>
        <w:pStyle w:val="FootnoteText"/>
      </w:pPr>
      <w:r w:rsidRPr="0025007C">
        <w:rPr>
          <w:rStyle w:val="FootnoteReference"/>
        </w:rPr>
        <w:footnoteRef/>
      </w:r>
      <w:r w:rsidRPr="0025007C">
        <w:t xml:space="preserve"> No published data for Australian clinical practice were identified, however rates are likely to be similar to those in the UK as reported in Twelves et al. (2020) Systemic treatment of hormone receptor positive, human epidermal growth factor 2 negative metastatic breast cancer: retrospective analysis from Leeds Cancer Centre. BMC Cancer 20, Article number: 53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BE" w:rsidRDefault="00C428BE" w:rsidP="00115EE5">
    <w:pPr>
      <w:tabs>
        <w:tab w:val="center" w:pos="4153"/>
        <w:tab w:val="right" w:pos="8306"/>
      </w:tabs>
      <w:autoSpaceDE w:val="0"/>
      <w:autoSpaceDN w:val="0"/>
      <w:adjustRightInd w:val="0"/>
      <w:jc w:val="center"/>
      <w:rPr>
        <w:i/>
      </w:rPr>
    </w:pPr>
    <w:r>
      <w:rPr>
        <w:i/>
      </w:rPr>
      <w:t>Public Summary Document</w:t>
    </w:r>
    <w:r w:rsidRPr="00966288">
      <w:rPr>
        <w:i/>
      </w:rPr>
      <w:t xml:space="preserve"> – </w:t>
    </w:r>
    <w:r>
      <w:rPr>
        <w:i/>
      </w:rPr>
      <w:t xml:space="preserve">July </w:t>
    </w:r>
    <w:r w:rsidRPr="00966288">
      <w:rPr>
        <w:i/>
      </w:rPr>
      <w:t>2020 PBAC Meeting</w:t>
    </w:r>
  </w:p>
  <w:p w:rsidR="00C428BE" w:rsidRDefault="00C428BE" w:rsidP="00115EE5">
    <w:pPr>
      <w:tabs>
        <w:tab w:val="center" w:pos="4153"/>
        <w:tab w:val="right" w:pos="8306"/>
      </w:tabs>
      <w:autoSpaceDE w:val="0"/>
      <w:autoSpaceDN w:val="0"/>
      <w:adjustRightInd w:val="0"/>
      <w:jc w:val="center"/>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C7F"/>
    <w:multiLevelType w:val="hybridMultilevel"/>
    <w:tmpl w:val="D4208D6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B9348E"/>
    <w:multiLevelType w:val="multilevel"/>
    <w:tmpl w:val="F9143E06"/>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986CC5"/>
    <w:multiLevelType w:val="multilevel"/>
    <w:tmpl w:val="42260E50"/>
    <w:styleLink w:val="HeadingListStyle"/>
    <w:lvl w:ilvl="0">
      <w:start w:val="1"/>
      <w:numFmt w:val="decimal"/>
      <w:lvlText w:val="Section %1"/>
      <w:lvlJc w:val="left"/>
      <w:pPr>
        <w:ind w:left="2268" w:hanging="2268"/>
      </w:pPr>
      <w:rPr>
        <w:rFonts w:hint="default"/>
      </w:rPr>
    </w:lvl>
    <w:lvl w:ilvl="1">
      <w:start w:val="1"/>
      <w:numFmt w:val="upperLetter"/>
      <w:lvlText w:val="Section %1%2"/>
      <w:lvlJc w:val="left"/>
      <w:pPr>
        <w:ind w:left="2268" w:hanging="2268"/>
      </w:pPr>
      <w:rPr>
        <w:rFonts w:hint="default"/>
      </w:rPr>
    </w:lvl>
    <w:lvl w:ilvl="2">
      <w:start w:val="1"/>
      <w:numFmt w:val="decimal"/>
      <w:lvlRestart w:val="1"/>
      <w:lvlText w:val="%1.%3"/>
      <w:lvlJc w:val="left"/>
      <w:pPr>
        <w:ind w:left="1134" w:hanging="1134"/>
      </w:pPr>
      <w:rPr>
        <w:rFonts w:hint="default"/>
      </w:rPr>
    </w:lvl>
    <w:lvl w:ilvl="3">
      <w:start w:val="1"/>
      <w:numFmt w:val="decimal"/>
      <w:lvlRestart w:val="2"/>
      <w:lvlText w:val="%1%2.%4"/>
      <w:lvlJc w:val="left"/>
      <w:pPr>
        <w:ind w:left="1134" w:hanging="1134"/>
      </w:pPr>
      <w:rPr>
        <w:rFonts w:hint="default"/>
      </w:rPr>
    </w:lvl>
    <w:lvl w:ilvl="4">
      <w:start w:val="1"/>
      <w:numFmt w:val="decimal"/>
      <w:lvlRestart w:val="3"/>
      <w:lvlText w:val="%1.%3.%5"/>
      <w:lvlJc w:val="left"/>
      <w:pPr>
        <w:ind w:left="1134" w:hanging="1134"/>
      </w:pPr>
      <w:rPr>
        <w:rFonts w:hint="default"/>
      </w:rPr>
    </w:lvl>
    <w:lvl w:ilvl="5">
      <w:start w:val="1"/>
      <w:numFmt w:val="decimal"/>
      <w:lvlRestart w:val="4"/>
      <w:lvlText w:val="%1%2.%4.%6"/>
      <w:lvlJc w:val="left"/>
      <w:pPr>
        <w:ind w:left="1134" w:hanging="113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451298D"/>
    <w:multiLevelType w:val="hybridMultilevel"/>
    <w:tmpl w:val="A5B8F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D80D77"/>
    <w:multiLevelType w:val="multilevel"/>
    <w:tmpl w:val="DBB89C34"/>
    <w:lvl w:ilvl="0">
      <w:start w:val="1"/>
      <w:numFmt w:val="upperLetter"/>
      <w:pStyle w:val="Alternative1"/>
      <w:lvlText w:val="3.%1."/>
      <w:lvlJc w:val="left"/>
      <w:pPr>
        <w:ind w:left="1418" w:hanging="1418"/>
      </w:pPr>
      <w:rPr>
        <w:rFonts w:ascii="Verdana" w:hAnsi="Verdana" w:hint="default"/>
        <w:b/>
        <w:bCs w:val="0"/>
        <w:i w:val="0"/>
        <w:iCs w:val="0"/>
        <w:caps w:val="0"/>
        <w:smallCaps w:val="0"/>
        <w:strike w:val="0"/>
        <w:dstrike w:val="0"/>
        <w:vanish w:val="0"/>
        <w:color w:val="000000"/>
        <w:kern w:val="0"/>
        <w:position w:val="0"/>
        <w:sz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Alternative2"/>
      <w:lvlText w:val="3.%1.%2."/>
      <w:lvlJc w:val="left"/>
      <w:pPr>
        <w:ind w:left="1418" w:hanging="1418"/>
      </w:pPr>
      <w:rPr>
        <w:rFonts w:ascii="Verdana" w:hAnsi="Verdana" w:hint="default"/>
        <w:b/>
        <w:sz w:val="28"/>
      </w:rPr>
    </w:lvl>
    <w:lvl w:ilvl="2">
      <w:start w:val="1"/>
      <w:numFmt w:val="decimal"/>
      <w:pStyle w:val="Alternative3"/>
      <w:lvlText w:val="3.%1.%2.%3."/>
      <w:lvlJc w:val="left"/>
      <w:pPr>
        <w:ind w:left="1418" w:hanging="1418"/>
      </w:pPr>
      <w:rPr>
        <w:rFonts w:hint="default"/>
      </w:rPr>
    </w:lvl>
    <w:lvl w:ilvl="3">
      <w:start w:val="1"/>
      <w:numFmt w:val="decimal"/>
      <w:pStyle w:val="Alternative4"/>
      <w:lvlText w:val="3.%1.%2.%3.%4."/>
      <w:lvlJc w:val="left"/>
      <w:pPr>
        <w:ind w:left="1418" w:hanging="1418"/>
      </w:pPr>
      <w:rPr>
        <w:rFonts w:ascii="Verdana" w:hAnsi="Verdana" w:hint="default"/>
        <w:b/>
        <w:i w:val="0"/>
        <w:sz w:val="22"/>
      </w:rPr>
    </w:lvl>
    <w:lvl w:ilvl="4">
      <w:start w:val="1"/>
      <w:numFmt w:val="lowerLetter"/>
      <w:lvlText w:val="%5."/>
      <w:lvlJc w:val="left"/>
      <w:pPr>
        <w:ind w:left="1418" w:hanging="1418"/>
      </w:pPr>
      <w:rPr>
        <w:rFonts w:hint="default"/>
      </w:rPr>
    </w:lvl>
    <w:lvl w:ilvl="5">
      <w:start w:val="1"/>
      <w:numFmt w:val="lowerRoman"/>
      <w:lvlText w:val="%6."/>
      <w:lvlJc w:val="righ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right"/>
      <w:pPr>
        <w:ind w:left="1418" w:hanging="1418"/>
      </w:pPr>
      <w:rPr>
        <w:rFonts w:hint="default"/>
      </w:rPr>
    </w:lvl>
  </w:abstractNum>
  <w:abstractNum w:abstractNumId="5" w15:restartNumberingAfterBreak="0">
    <w:nsid w:val="420B6ECC"/>
    <w:multiLevelType w:val="hybridMultilevel"/>
    <w:tmpl w:val="560095D8"/>
    <w:lvl w:ilvl="0" w:tplc="ED1E5F1E">
      <w:start w:val="1"/>
      <w:numFmt w:val="bullet"/>
      <w:pStyle w:val="NormalBullets"/>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E4D1D6">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56830"/>
    <w:multiLevelType w:val="hybridMultilevel"/>
    <w:tmpl w:val="E326EDAC"/>
    <w:lvl w:ilvl="0" w:tplc="75E07DAE">
      <w:start w:val="2"/>
      <w:numFmt w:val="bullet"/>
      <w:lvlText w:val="-"/>
      <w:lvlJc w:val="left"/>
      <w:pPr>
        <w:ind w:left="720" w:hanging="360"/>
      </w:pPr>
      <w:rPr>
        <w:rFonts w:ascii="Arial Narrow" w:eastAsia="Arial Narrow" w:hAnsi="Arial Narrow" w:cs="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F449BC"/>
    <w:multiLevelType w:val="hybridMultilevel"/>
    <w:tmpl w:val="D8E67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C6591"/>
    <w:multiLevelType w:val="hybridMultilevel"/>
    <w:tmpl w:val="595232F2"/>
    <w:lvl w:ilvl="0" w:tplc="4D68F7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CC0A99"/>
    <w:multiLevelType w:val="hybridMultilevel"/>
    <w:tmpl w:val="52805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AF50B1"/>
    <w:multiLevelType w:val="hybridMultilevel"/>
    <w:tmpl w:val="9E7C70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FBC4DF4"/>
    <w:multiLevelType w:val="hybridMultilevel"/>
    <w:tmpl w:val="B19A18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15967A9E"/>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674CEB"/>
    <w:multiLevelType w:val="hybridMultilevel"/>
    <w:tmpl w:val="1A92930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6"/>
  </w:num>
  <w:num w:numId="3">
    <w:abstractNumId w:val="15"/>
  </w:num>
  <w:num w:numId="4">
    <w:abstractNumId w:val="4"/>
  </w:num>
  <w:num w:numId="5">
    <w:abstractNumId w:val="2"/>
  </w:num>
  <w:num w:numId="6">
    <w:abstractNumId w:val="9"/>
  </w:num>
  <w:num w:numId="7">
    <w:abstractNumId w:val="0"/>
  </w:num>
  <w:num w:numId="8">
    <w:abstractNumId w:val="16"/>
  </w:num>
  <w:num w:numId="9">
    <w:abstractNumId w:val="3"/>
  </w:num>
  <w:num w:numId="10">
    <w:abstractNumId w:val="5"/>
  </w:num>
  <w:num w:numId="11">
    <w:abstractNumId w:val="14"/>
  </w:num>
  <w:num w:numId="12">
    <w:abstractNumId w:val="8"/>
  </w:num>
  <w:num w:numId="13">
    <w:abstractNumId w:val="13"/>
  </w:num>
  <w:num w:numId="14">
    <w:abstractNumId w:val="12"/>
  </w:num>
  <w:num w:numId="15">
    <w:abstractNumId w:val="10"/>
  </w:num>
  <w:num w:numId="16">
    <w:abstractNumId w:val="15"/>
  </w:num>
  <w:num w:numId="17">
    <w:abstractNumId w:val="11"/>
  </w:num>
  <w:num w:numId="18">
    <w:abstractNumId w:val="7"/>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0NDM2NzI2MjBV0lEKTi0uzszPAykwNa8FAI/UWZMtAAAA"/>
  </w:docVars>
  <w:rsids>
    <w:rsidRoot w:val="00E65E79"/>
    <w:rsid w:val="00000130"/>
    <w:rsid w:val="00000790"/>
    <w:rsid w:val="0000110B"/>
    <w:rsid w:val="00003499"/>
    <w:rsid w:val="000039B7"/>
    <w:rsid w:val="00005968"/>
    <w:rsid w:val="0000639A"/>
    <w:rsid w:val="00006EB2"/>
    <w:rsid w:val="000074B7"/>
    <w:rsid w:val="00010470"/>
    <w:rsid w:val="00011C8D"/>
    <w:rsid w:val="000129C8"/>
    <w:rsid w:val="00013122"/>
    <w:rsid w:val="00013247"/>
    <w:rsid w:val="00013F98"/>
    <w:rsid w:val="000142AD"/>
    <w:rsid w:val="0001517E"/>
    <w:rsid w:val="00015269"/>
    <w:rsid w:val="00015886"/>
    <w:rsid w:val="00015FF4"/>
    <w:rsid w:val="000162EF"/>
    <w:rsid w:val="00017DA3"/>
    <w:rsid w:val="0002018F"/>
    <w:rsid w:val="000207C9"/>
    <w:rsid w:val="000211F4"/>
    <w:rsid w:val="00021CB9"/>
    <w:rsid w:val="0002225F"/>
    <w:rsid w:val="000226A1"/>
    <w:rsid w:val="00022974"/>
    <w:rsid w:val="00023176"/>
    <w:rsid w:val="0002339D"/>
    <w:rsid w:val="00023763"/>
    <w:rsid w:val="0002394A"/>
    <w:rsid w:val="000247B5"/>
    <w:rsid w:val="0002495E"/>
    <w:rsid w:val="00024DF2"/>
    <w:rsid w:val="00025F23"/>
    <w:rsid w:val="000264BD"/>
    <w:rsid w:val="000274B8"/>
    <w:rsid w:val="00027D14"/>
    <w:rsid w:val="000315EF"/>
    <w:rsid w:val="000316E1"/>
    <w:rsid w:val="00031CF5"/>
    <w:rsid w:val="00032708"/>
    <w:rsid w:val="00032D8A"/>
    <w:rsid w:val="00033863"/>
    <w:rsid w:val="00035DC0"/>
    <w:rsid w:val="00036483"/>
    <w:rsid w:val="00036829"/>
    <w:rsid w:val="000376EA"/>
    <w:rsid w:val="00037715"/>
    <w:rsid w:val="0004004F"/>
    <w:rsid w:val="00040069"/>
    <w:rsid w:val="00040895"/>
    <w:rsid w:val="0004313E"/>
    <w:rsid w:val="000435EE"/>
    <w:rsid w:val="00043B33"/>
    <w:rsid w:val="00043C37"/>
    <w:rsid w:val="00045017"/>
    <w:rsid w:val="00045A2B"/>
    <w:rsid w:val="00046510"/>
    <w:rsid w:val="0004697B"/>
    <w:rsid w:val="0004698F"/>
    <w:rsid w:val="00047205"/>
    <w:rsid w:val="0005011B"/>
    <w:rsid w:val="00051324"/>
    <w:rsid w:val="000539D0"/>
    <w:rsid w:val="00053E6D"/>
    <w:rsid w:val="000542FD"/>
    <w:rsid w:val="00054621"/>
    <w:rsid w:val="000546D7"/>
    <w:rsid w:val="00054C9E"/>
    <w:rsid w:val="00056ECF"/>
    <w:rsid w:val="00057E7A"/>
    <w:rsid w:val="000604DF"/>
    <w:rsid w:val="0006057E"/>
    <w:rsid w:val="00061071"/>
    <w:rsid w:val="000618AF"/>
    <w:rsid w:val="00062632"/>
    <w:rsid w:val="00062C11"/>
    <w:rsid w:val="00063FF4"/>
    <w:rsid w:val="0006497C"/>
    <w:rsid w:val="000653B5"/>
    <w:rsid w:val="00065B7D"/>
    <w:rsid w:val="00066360"/>
    <w:rsid w:val="00066AF8"/>
    <w:rsid w:val="00066B40"/>
    <w:rsid w:val="00066CC4"/>
    <w:rsid w:val="00071248"/>
    <w:rsid w:val="000720B9"/>
    <w:rsid w:val="00072911"/>
    <w:rsid w:val="00073735"/>
    <w:rsid w:val="000737F7"/>
    <w:rsid w:val="00074436"/>
    <w:rsid w:val="00074C25"/>
    <w:rsid w:val="00075E21"/>
    <w:rsid w:val="00075F88"/>
    <w:rsid w:val="0007672F"/>
    <w:rsid w:val="00076B54"/>
    <w:rsid w:val="00076D2D"/>
    <w:rsid w:val="0007710C"/>
    <w:rsid w:val="000774F0"/>
    <w:rsid w:val="00080909"/>
    <w:rsid w:val="000812CA"/>
    <w:rsid w:val="00081D91"/>
    <w:rsid w:val="00081E63"/>
    <w:rsid w:val="0008258D"/>
    <w:rsid w:val="00083E99"/>
    <w:rsid w:val="00084FA8"/>
    <w:rsid w:val="000856C5"/>
    <w:rsid w:val="00085C31"/>
    <w:rsid w:val="00086F36"/>
    <w:rsid w:val="000902D9"/>
    <w:rsid w:val="00090C7E"/>
    <w:rsid w:val="00092600"/>
    <w:rsid w:val="0009262B"/>
    <w:rsid w:val="00092794"/>
    <w:rsid w:val="000931DF"/>
    <w:rsid w:val="00093310"/>
    <w:rsid w:val="0009445C"/>
    <w:rsid w:val="00094C0D"/>
    <w:rsid w:val="00095200"/>
    <w:rsid w:val="0009530E"/>
    <w:rsid w:val="00095468"/>
    <w:rsid w:val="00095FE5"/>
    <w:rsid w:val="00096284"/>
    <w:rsid w:val="00096299"/>
    <w:rsid w:val="00096F5B"/>
    <w:rsid w:val="00097813"/>
    <w:rsid w:val="000A0383"/>
    <w:rsid w:val="000A056E"/>
    <w:rsid w:val="000A0A24"/>
    <w:rsid w:val="000A1BC0"/>
    <w:rsid w:val="000A2A13"/>
    <w:rsid w:val="000A3ECC"/>
    <w:rsid w:val="000A4355"/>
    <w:rsid w:val="000A5F68"/>
    <w:rsid w:val="000A6039"/>
    <w:rsid w:val="000A6E04"/>
    <w:rsid w:val="000A7453"/>
    <w:rsid w:val="000A765B"/>
    <w:rsid w:val="000A7D08"/>
    <w:rsid w:val="000B0121"/>
    <w:rsid w:val="000B0670"/>
    <w:rsid w:val="000B0E75"/>
    <w:rsid w:val="000B0ED4"/>
    <w:rsid w:val="000B2DCB"/>
    <w:rsid w:val="000B4322"/>
    <w:rsid w:val="000B47E2"/>
    <w:rsid w:val="000B4D79"/>
    <w:rsid w:val="000B503B"/>
    <w:rsid w:val="000B5CE0"/>
    <w:rsid w:val="000B63DF"/>
    <w:rsid w:val="000B6CAC"/>
    <w:rsid w:val="000B7612"/>
    <w:rsid w:val="000B77CB"/>
    <w:rsid w:val="000B78AE"/>
    <w:rsid w:val="000C0C23"/>
    <w:rsid w:val="000C24B5"/>
    <w:rsid w:val="000C2612"/>
    <w:rsid w:val="000C3690"/>
    <w:rsid w:val="000C3DD4"/>
    <w:rsid w:val="000C3DF9"/>
    <w:rsid w:val="000C4055"/>
    <w:rsid w:val="000C4D9B"/>
    <w:rsid w:val="000C4E0C"/>
    <w:rsid w:val="000C4EB6"/>
    <w:rsid w:val="000C4EE8"/>
    <w:rsid w:val="000C50F4"/>
    <w:rsid w:val="000C6713"/>
    <w:rsid w:val="000C6FC3"/>
    <w:rsid w:val="000C7020"/>
    <w:rsid w:val="000C72B2"/>
    <w:rsid w:val="000C7628"/>
    <w:rsid w:val="000D02C4"/>
    <w:rsid w:val="000D163C"/>
    <w:rsid w:val="000D193B"/>
    <w:rsid w:val="000D1BFC"/>
    <w:rsid w:val="000D1D5D"/>
    <w:rsid w:val="000D20B1"/>
    <w:rsid w:val="000D240D"/>
    <w:rsid w:val="000D281A"/>
    <w:rsid w:val="000D2848"/>
    <w:rsid w:val="000D2A80"/>
    <w:rsid w:val="000D326A"/>
    <w:rsid w:val="000D44F7"/>
    <w:rsid w:val="000D51FB"/>
    <w:rsid w:val="000D69F3"/>
    <w:rsid w:val="000D7614"/>
    <w:rsid w:val="000D7A52"/>
    <w:rsid w:val="000E0640"/>
    <w:rsid w:val="000E096E"/>
    <w:rsid w:val="000E135D"/>
    <w:rsid w:val="000E4326"/>
    <w:rsid w:val="000E4E51"/>
    <w:rsid w:val="000E57A9"/>
    <w:rsid w:val="000F00BA"/>
    <w:rsid w:val="000F1221"/>
    <w:rsid w:val="000F14DB"/>
    <w:rsid w:val="000F2A44"/>
    <w:rsid w:val="000F3152"/>
    <w:rsid w:val="000F316A"/>
    <w:rsid w:val="000F3C74"/>
    <w:rsid w:val="000F3E34"/>
    <w:rsid w:val="000F48B5"/>
    <w:rsid w:val="000F4BB8"/>
    <w:rsid w:val="000F4FA9"/>
    <w:rsid w:val="000F53FB"/>
    <w:rsid w:val="000F5B4C"/>
    <w:rsid w:val="000F7127"/>
    <w:rsid w:val="000F7831"/>
    <w:rsid w:val="000F7B54"/>
    <w:rsid w:val="000F7F26"/>
    <w:rsid w:val="00100162"/>
    <w:rsid w:val="00100390"/>
    <w:rsid w:val="00100F57"/>
    <w:rsid w:val="00100F8A"/>
    <w:rsid w:val="00101694"/>
    <w:rsid w:val="00102008"/>
    <w:rsid w:val="00102078"/>
    <w:rsid w:val="001020F3"/>
    <w:rsid w:val="00102F24"/>
    <w:rsid w:val="00103026"/>
    <w:rsid w:val="00104474"/>
    <w:rsid w:val="001044DA"/>
    <w:rsid w:val="0010452E"/>
    <w:rsid w:val="00105AE2"/>
    <w:rsid w:val="00105DAB"/>
    <w:rsid w:val="001060C6"/>
    <w:rsid w:val="00106199"/>
    <w:rsid w:val="00106B80"/>
    <w:rsid w:val="00106E94"/>
    <w:rsid w:val="00107080"/>
    <w:rsid w:val="00107F9F"/>
    <w:rsid w:val="0011032E"/>
    <w:rsid w:val="00111579"/>
    <w:rsid w:val="00111825"/>
    <w:rsid w:val="001119A6"/>
    <w:rsid w:val="0011348B"/>
    <w:rsid w:val="00113A08"/>
    <w:rsid w:val="00113C3D"/>
    <w:rsid w:val="001140BA"/>
    <w:rsid w:val="0011506B"/>
    <w:rsid w:val="00115982"/>
    <w:rsid w:val="00115EE5"/>
    <w:rsid w:val="00116018"/>
    <w:rsid w:val="00116C53"/>
    <w:rsid w:val="001171FA"/>
    <w:rsid w:val="00121349"/>
    <w:rsid w:val="00121799"/>
    <w:rsid w:val="00121BDB"/>
    <w:rsid w:val="00121D8B"/>
    <w:rsid w:val="00121FF9"/>
    <w:rsid w:val="001222FC"/>
    <w:rsid w:val="00122812"/>
    <w:rsid w:val="00122A62"/>
    <w:rsid w:val="00122D16"/>
    <w:rsid w:val="00123902"/>
    <w:rsid w:val="00124939"/>
    <w:rsid w:val="00124A51"/>
    <w:rsid w:val="00125FE8"/>
    <w:rsid w:val="00126621"/>
    <w:rsid w:val="00126B1D"/>
    <w:rsid w:val="00127B5A"/>
    <w:rsid w:val="001301E9"/>
    <w:rsid w:val="00131D82"/>
    <w:rsid w:val="00132B22"/>
    <w:rsid w:val="001330AA"/>
    <w:rsid w:val="00133D36"/>
    <w:rsid w:val="0013436A"/>
    <w:rsid w:val="001356C2"/>
    <w:rsid w:val="0013697E"/>
    <w:rsid w:val="00137645"/>
    <w:rsid w:val="00137D4B"/>
    <w:rsid w:val="0014001F"/>
    <w:rsid w:val="0014015A"/>
    <w:rsid w:val="00140E99"/>
    <w:rsid w:val="00141952"/>
    <w:rsid w:val="0014245D"/>
    <w:rsid w:val="001433F1"/>
    <w:rsid w:val="00143F67"/>
    <w:rsid w:val="00145540"/>
    <w:rsid w:val="001456B0"/>
    <w:rsid w:val="00150587"/>
    <w:rsid w:val="00150612"/>
    <w:rsid w:val="0015092B"/>
    <w:rsid w:val="00151E3D"/>
    <w:rsid w:val="00152022"/>
    <w:rsid w:val="00152462"/>
    <w:rsid w:val="00154652"/>
    <w:rsid w:val="00154E80"/>
    <w:rsid w:val="00155147"/>
    <w:rsid w:val="00155148"/>
    <w:rsid w:val="00155A90"/>
    <w:rsid w:val="00156F8F"/>
    <w:rsid w:val="00157130"/>
    <w:rsid w:val="00157145"/>
    <w:rsid w:val="001576B1"/>
    <w:rsid w:val="0016047B"/>
    <w:rsid w:val="001606F0"/>
    <w:rsid w:val="00160A4C"/>
    <w:rsid w:val="0016168F"/>
    <w:rsid w:val="0016254B"/>
    <w:rsid w:val="00162913"/>
    <w:rsid w:val="0016347F"/>
    <w:rsid w:val="00163B3B"/>
    <w:rsid w:val="00163EFF"/>
    <w:rsid w:val="00163F66"/>
    <w:rsid w:val="001642A3"/>
    <w:rsid w:val="001646DB"/>
    <w:rsid w:val="0016532F"/>
    <w:rsid w:val="001655E3"/>
    <w:rsid w:val="00165D04"/>
    <w:rsid w:val="001661FB"/>
    <w:rsid w:val="001663EC"/>
    <w:rsid w:val="00166E51"/>
    <w:rsid w:val="001671A0"/>
    <w:rsid w:val="0016767F"/>
    <w:rsid w:val="00167C4F"/>
    <w:rsid w:val="00170373"/>
    <w:rsid w:val="001711A9"/>
    <w:rsid w:val="001711B0"/>
    <w:rsid w:val="00171C33"/>
    <w:rsid w:val="00173565"/>
    <w:rsid w:val="00173888"/>
    <w:rsid w:val="00173B07"/>
    <w:rsid w:val="00174FBB"/>
    <w:rsid w:val="001751FA"/>
    <w:rsid w:val="0017625A"/>
    <w:rsid w:val="0017657B"/>
    <w:rsid w:val="00176A95"/>
    <w:rsid w:val="00176BC9"/>
    <w:rsid w:val="00176E3A"/>
    <w:rsid w:val="001775F4"/>
    <w:rsid w:val="001779EA"/>
    <w:rsid w:val="00177B10"/>
    <w:rsid w:val="00177DD0"/>
    <w:rsid w:val="001810F1"/>
    <w:rsid w:val="0018144B"/>
    <w:rsid w:val="001816BD"/>
    <w:rsid w:val="00181D9C"/>
    <w:rsid w:val="001820C4"/>
    <w:rsid w:val="001831A9"/>
    <w:rsid w:val="001838A8"/>
    <w:rsid w:val="00184061"/>
    <w:rsid w:val="00184B0E"/>
    <w:rsid w:val="001853EF"/>
    <w:rsid w:val="00185A24"/>
    <w:rsid w:val="001862A0"/>
    <w:rsid w:val="0018752F"/>
    <w:rsid w:val="00191AC2"/>
    <w:rsid w:val="001920B5"/>
    <w:rsid w:val="00193838"/>
    <w:rsid w:val="00193E53"/>
    <w:rsid w:val="00193FD4"/>
    <w:rsid w:val="00194AD8"/>
    <w:rsid w:val="00195222"/>
    <w:rsid w:val="00196B69"/>
    <w:rsid w:val="00196D9D"/>
    <w:rsid w:val="001975D8"/>
    <w:rsid w:val="001A0281"/>
    <w:rsid w:val="001A178E"/>
    <w:rsid w:val="001A19D5"/>
    <w:rsid w:val="001A35B9"/>
    <w:rsid w:val="001A3726"/>
    <w:rsid w:val="001A43FA"/>
    <w:rsid w:val="001A47C5"/>
    <w:rsid w:val="001A501B"/>
    <w:rsid w:val="001A50B4"/>
    <w:rsid w:val="001A59FB"/>
    <w:rsid w:val="001A5E9E"/>
    <w:rsid w:val="001A5FA2"/>
    <w:rsid w:val="001A6354"/>
    <w:rsid w:val="001A6366"/>
    <w:rsid w:val="001A666B"/>
    <w:rsid w:val="001A7319"/>
    <w:rsid w:val="001A73D1"/>
    <w:rsid w:val="001A7AE8"/>
    <w:rsid w:val="001A7C83"/>
    <w:rsid w:val="001A7FA7"/>
    <w:rsid w:val="001B13DE"/>
    <w:rsid w:val="001B1BD7"/>
    <w:rsid w:val="001B204E"/>
    <w:rsid w:val="001B21C7"/>
    <w:rsid w:val="001B220A"/>
    <w:rsid w:val="001B2372"/>
    <w:rsid w:val="001B2E5E"/>
    <w:rsid w:val="001B33C3"/>
    <w:rsid w:val="001B3443"/>
    <w:rsid w:val="001B4292"/>
    <w:rsid w:val="001B4D20"/>
    <w:rsid w:val="001B509E"/>
    <w:rsid w:val="001B65C5"/>
    <w:rsid w:val="001B67DD"/>
    <w:rsid w:val="001B6BE2"/>
    <w:rsid w:val="001B6C3D"/>
    <w:rsid w:val="001B71E4"/>
    <w:rsid w:val="001B7635"/>
    <w:rsid w:val="001C2A9B"/>
    <w:rsid w:val="001C2E01"/>
    <w:rsid w:val="001C3882"/>
    <w:rsid w:val="001C3DBA"/>
    <w:rsid w:val="001C3EB4"/>
    <w:rsid w:val="001C4299"/>
    <w:rsid w:val="001C4874"/>
    <w:rsid w:val="001C5F94"/>
    <w:rsid w:val="001C6AF1"/>
    <w:rsid w:val="001C6E66"/>
    <w:rsid w:val="001D015C"/>
    <w:rsid w:val="001D036D"/>
    <w:rsid w:val="001D051B"/>
    <w:rsid w:val="001D0C25"/>
    <w:rsid w:val="001D1100"/>
    <w:rsid w:val="001D1391"/>
    <w:rsid w:val="001D13AA"/>
    <w:rsid w:val="001D25D7"/>
    <w:rsid w:val="001D2DC7"/>
    <w:rsid w:val="001D2F04"/>
    <w:rsid w:val="001D50B2"/>
    <w:rsid w:val="001D5828"/>
    <w:rsid w:val="001D6DD5"/>
    <w:rsid w:val="001D7645"/>
    <w:rsid w:val="001E1E86"/>
    <w:rsid w:val="001E238E"/>
    <w:rsid w:val="001E2483"/>
    <w:rsid w:val="001E262A"/>
    <w:rsid w:val="001E2B1E"/>
    <w:rsid w:val="001E2B3A"/>
    <w:rsid w:val="001E2CFF"/>
    <w:rsid w:val="001E2F24"/>
    <w:rsid w:val="001E30D4"/>
    <w:rsid w:val="001E3454"/>
    <w:rsid w:val="001E34DF"/>
    <w:rsid w:val="001E393A"/>
    <w:rsid w:val="001E3D79"/>
    <w:rsid w:val="001E3FDD"/>
    <w:rsid w:val="001E4756"/>
    <w:rsid w:val="001E52EB"/>
    <w:rsid w:val="001E54FD"/>
    <w:rsid w:val="001E61D2"/>
    <w:rsid w:val="001E740C"/>
    <w:rsid w:val="001F1159"/>
    <w:rsid w:val="001F1235"/>
    <w:rsid w:val="001F18EA"/>
    <w:rsid w:val="001F1CB3"/>
    <w:rsid w:val="001F1D47"/>
    <w:rsid w:val="001F3573"/>
    <w:rsid w:val="001F38B5"/>
    <w:rsid w:val="001F3CC0"/>
    <w:rsid w:val="001F4081"/>
    <w:rsid w:val="001F53FF"/>
    <w:rsid w:val="001F58A9"/>
    <w:rsid w:val="001F6068"/>
    <w:rsid w:val="001F6BAF"/>
    <w:rsid w:val="001F7361"/>
    <w:rsid w:val="00200500"/>
    <w:rsid w:val="00201102"/>
    <w:rsid w:val="002011B0"/>
    <w:rsid w:val="00201443"/>
    <w:rsid w:val="00201A08"/>
    <w:rsid w:val="00203181"/>
    <w:rsid w:val="00203783"/>
    <w:rsid w:val="0020385F"/>
    <w:rsid w:val="0020458B"/>
    <w:rsid w:val="002058AE"/>
    <w:rsid w:val="00205D0E"/>
    <w:rsid w:val="002068A0"/>
    <w:rsid w:val="00207021"/>
    <w:rsid w:val="0020707C"/>
    <w:rsid w:val="0020732F"/>
    <w:rsid w:val="002076F6"/>
    <w:rsid w:val="00207D00"/>
    <w:rsid w:val="00210261"/>
    <w:rsid w:val="002105C1"/>
    <w:rsid w:val="00210F1E"/>
    <w:rsid w:val="002113B9"/>
    <w:rsid w:val="0021277C"/>
    <w:rsid w:val="00212893"/>
    <w:rsid w:val="00212E32"/>
    <w:rsid w:val="00213796"/>
    <w:rsid w:val="00213EF5"/>
    <w:rsid w:val="0021436F"/>
    <w:rsid w:val="00214D3F"/>
    <w:rsid w:val="00215057"/>
    <w:rsid w:val="00216BF5"/>
    <w:rsid w:val="002177D0"/>
    <w:rsid w:val="00220953"/>
    <w:rsid w:val="002219FD"/>
    <w:rsid w:val="0022279C"/>
    <w:rsid w:val="00222943"/>
    <w:rsid w:val="00222F23"/>
    <w:rsid w:val="00223A3C"/>
    <w:rsid w:val="00223B49"/>
    <w:rsid w:val="00223D5A"/>
    <w:rsid w:val="00223D84"/>
    <w:rsid w:val="00224DD4"/>
    <w:rsid w:val="002255FF"/>
    <w:rsid w:val="00226721"/>
    <w:rsid w:val="00226968"/>
    <w:rsid w:val="00226E4C"/>
    <w:rsid w:val="002278A0"/>
    <w:rsid w:val="00227FF1"/>
    <w:rsid w:val="002309CC"/>
    <w:rsid w:val="00230A65"/>
    <w:rsid w:val="00230F0D"/>
    <w:rsid w:val="0023197B"/>
    <w:rsid w:val="0023198D"/>
    <w:rsid w:val="0023198F"/>
    <w:rsid w:val="00231B5F"/>
    <w:rsid w:val="00232064"/>
    <w:rsid w:val="0023209F"/>
    <w:rsid w:val="00232700"/>
    <w:rsid w:val="00232836"/>
    <w:rsid w:val="00233C01"/>
    <w:rsid w:val="0023413C"/>
    <w:rsid w:val="0023454E"/>
    <w:rsid w:val="002346F0"/>
    <w:rsid w:val="002353B0"/>
    <w:rsid w:val="0023629D"/>
    <w:rsid w:val="0023673E"/>
    <w:rsid w:val="00237255"/>
    <w:rsid w:val="0023729B"/>
    <w:rsid w:val="002374D6"/>
    <w:rsid w:val="00237F06"/>
    <w:rsid w:val="002410B4"/>
    <w:rsid w:val="00241E18"/>
    <w:rsid w:val="002424AF"/>
    <w:rsid w:val="0024353E"/>
    <w:rsid w:val="002439DC"/>
    <w:rsid w:val="002441D2"/>
    <w:rsid w:val="00244DC8"/>
    <w:rsid w:val="002458BA"/>
    <w:rsid w:val="00245CE9"/>
    <w:rsid w:val="0024627D"/>
    <w:rsid w:val="0024636C"/>
    <w:rsid w:val="002476D9"/>
    <w:rsid w:val="00247925"/>
    <w:rsid w:val="00247C59"/>
    <w:rsid w:val="00247EDC"/>
    <w:rsid w:val="0025007C"/>
    <w:rsid w:val="00251006"/>
    <w:rsid w:val="002524D5"/>
    <w:rsid w:val="00253B1D"/>
    <w:rsid w:val="00253B57"/>
    <w:rsid w:val="002549C2"/>
    <w:rsid w:val="00254DCF"/>
    <w:rsid w:val="0025534B"/>
    <w:rsid w:val="002555EC"/>
    <w:rsid w:val="00255A0C"/>
    <w:rsid w:val="00255BB7"/>
    <w:rsid w:val="00255C70"/>
    <w:rsid w:val="00255CAD"/>
    <w:rsid w:val="00256EEC"/>
    <w:rsid w:val="00257541"/>
    <w:rsid w:val="00257A39"/>
    <w:rsid w:val="00257AC4"/>
    <w:rsid w:val="00257D01"/>
    <w:rsid w:val="00257ECD"/>
    <w:rsid w:val="002616E5"/>
    <w:rsid w:val="00261AE2"/>
    <w:rsid w:val="00261EEF"/>
    <w:rsid w:val="00262A1A"/>
    <w:rsid w:val="00262A87"/>
    <w:rsid w:val="002631D7"/>
    <w:rsid w:val="002634AF"/>
    <w:rsid w:val="0026375E"/>
    <w:rsid w:val="002637FF"/>
    <w:rsid w:val="0026425B"/>
    <w:rsid w:val="00264416"/>
    <w:rsid w:val="002649B8"/>
    <w:rsid w:val="00264D02"/>
    <w:rsid w:val="00264D26"/>
    <w:rsid w:val="00265545"/>
    <w:rsid w:val="00267231"/>
    <w:rsid w:val="00267578"/>
    <w:rsid w:val="00267642"/>
    <w:rsid w:val="00267AEA"/>
    <w:rsid w:val="002700E6"/>
    <w:rsid w:val="002712FB"/>
    <w:rsid w:val="0027226B"/>
    <w:rsid w:val="0027269C"/>
    <w:rsid w:val="0027294B"/>
    <w:rsid w:val="00273B64"/>
    <w:rsid w:val="00273EB4"/>
    <w:rsid w:val="00274682"/>
    <w:rsid w:val="00274A85"/>
    <w:rsid w:val="00275C5A"/>
    <w:rsid w:val="00275EBC"/>
    <w:rsid w:val="00276EFD"/>
    <w:rsid w:val="002772D9"/>
    <w:rsid w:val="0027783C"/>
    <w:rsid w:val="00280435"/>
    <w:rsid w:val="00280A39"/>
    <w:rsid w:val="00280A6F"/>
    <w:rsid w:val="00280B23"/>
    <w:rsid w:val="00280D90"/>
    <w:rsid w:val="00281014"/>
    <w:rsid w:val="0028115E"/>
    <w:rsid w:val="00282C6C"/>
    <w:rsid w:val="00283B3F"/>
    <w:rsid w:val="0028425C"/>
    <w:rsid w:val="002847AF"/>
    <w:rsid w:val="002849EC"/>
    <w:rsid w:val="0028665D"/>
    <w:rsid w:val="002867AF"/>
    <w:rsid w:val="002876AC"/>
    <w:rsid w:val="0028792A"/>
    <w:rsid w:val="00287930"/>
    <w:rsid w:val="002879E8"/>
    <w:rsid w:val="00287E1F"/>
    <w:rsid w:val="00293B99"/>
    <w:rsid w:val="00293D19"/>
    <w:rsid w:val="002968CA"/>
    <w:rsid w:val="002A0259"/>
    <w:rsid w:val="002A050B"/>
    <w:rsid w:val="002A08FE"/>
    <w:rsid w:val="002A0B0A"/>
    <w:rsid w:val="002A0CDF"/>
    <w:rsid w:val="002A14AB"/>
    <w:rsid w:val="002A1CC1"/>
    <w:rsid w:val="002A25A9"/>
    <w:rsid w:val="002A2ADE"/>
    <w:rsid w:val="002A2F50"/>
    <w:rsid w:val="002A4596"/>
    <w:rsid w:val="002A6865"/>
    <w:rsid w:val="002B01AD"/>
    <w:rsid w:val="002B04C7"/>
    <w:rsid w:val="002B05A1"/>
    <w:rsid w:val="002B094D"/>
    <w:rsid w:val="002B09A4"/>
    <w:rsid w:val="002B1491"/>
    <w:rsid w:val="002B1C1F"/>
    <w:rsid w:val="002B2DB7"/>
    <w:rsid w:val="002B432F"/>
    <w:rsid w:val="002B44B2"/>
    <w:rsid w:val="002B5779"/>
    <w:rsid w:val="002B5FF1"/>
    <w:rsid w:val="002B62B3"/>
    <w:rsid w:val="002B6754"/>
    <w:rsid w:val="002B6CCE"/>
    <w:rsid w:val="002B7598"/>
    <w:rsid w:val="002B7C25"/>
    <w:rsid w:val="002B7CF3"/>
    <w:rsid w:val="002C0742"/>
    <w:rsid w:val="002C120B"/>
    <w:rsid w:val="002C131C"/>
    <w:rsid w:val="002C2510"/>
    <w:rsid w:val="002C2775"/>
    <w:rsid w:val="002C27C1"/>
    <w:rsid w:val="002C2DC4"/>
    <w:rsid w:val="002C3020"/>
    <w:rsid w:val="002C343C"/>
    <w:rsid w:val="002C36E0"/>
    <w:rsid w:val="002C5099"/>
    <w:rsid w:val="002C5889"/>
    <w:rsid w:val="002C5964"/>
    <w:rsid w:val="002C5E35"/>
    <w:rsid w:val="002C5EB2"/>
    <w:rsid w:val="002C62B6"/>
    <w:rsid w:val="002C62BB"/>
    <w:rsid w:val="002C666E"/>
    <w:rsid w:val="002C6927"/>
    <w:rsid w:val="002C71CE"/>
    <w:rsid w:val="002C7B30"/>
    <w:rsid w:val="002D0806"/>
    <w:rsid w:val="002D08F8"/>
    <w:rsid w:val="002D0C76"/>
    <w:rsid w:val="002D4DBA"/>
    <w:rsid w:val="002D553C"/>
    <w:rsid w:val="002D577C"/>
    <w:rsid w:val="002D723C"/>
    <w:rsid w:val="002E01C6"/>
    <w:rsid w:val="002E1071"/>
    <w:rsid w:val="002E15B9"/>
    <w:rsid w:val="002E2158"/>
    <w:rsid w:val="002E2341"/>
    <w:rsid w:val="002E28A6"/>
    <w:rsid w:val="002E33E0"/>
    <w:rsid w:val="002E3FED"/>
    <w:rsid w:val="002E425F"/>
    <w:rsid w:val="002E4F02"/>
    <w:rsid w:val="002E5806"/>
    <w:rsid w:val="002E6361"/>
    <w:rsid w:val="002E7722"/>
    <w:rsid w:val="002F0242"/>
    <w:rsid w:val="002F07BA"/>
    <w:rsid w:val="002F0DA9"/>
    <w:rsid w:val="002F1014"/>
    <w:rsid w:val="002F1284"/>
    <w:rsid w:val="002F20BF"/>
    <w:rsid w:val="002F2978"/>
    <w:rsid w:val="002F4314"/>
    <w:rsid w:val="002F4635"/>
    <w:rsid w:val="002F5412"/>
    <w:rsid w:val="002F591E"/>
    <w:rsid w:val="002F5F2E"/>
    <w:rsid w:val="002F635B"/>
    <w:rsid w:val="002F643C"/>
    <w:rsid w:val="002F66BF"/>
    <w:rsid w:val="002F66F8"/>
    <w:rsid w:val="002F71C0"/>
    <w:rsid w:val="002F7474"/>
    <w:rsid w:val="002F74F1"/>
    <w:rsid w:val="002F7D95"/>
    <w:rsid w:val="00300276"/>
    <w:rsid w:val="003002E5"/>
    <w:rsid w:val="00300E75"/>
    <w:rsid w:val="00301017"/>
    <w:rsid w:val="0030155F"/>
    <w:rsid w:val="00302250"/>
    <w:rsid w:val="003027E2"/>
    <w:rsid w:val="00302D14"/>
    <w:rsid w:val="00303736"/>
    <w:rsid w:val="00303789"/>
    <w:rsid w:val="003042D8"/>
    <w:rsid w:val="00304558"/>
    <w:rsid w:val="0030587B"/>
    <w:rsid w:val="00305E5D"/>
    <w:rsid w:val="003068BA"/>
    <w:rsid w:val="00306D98"/>
    <w:rsid w:val="00306E7E"/>
    <w:rsid w:val="00307462"/>
    <w:rsid w:val="0030786C"/>
    <w:rsid w:val="0031031A"/>
    <w:rsid w:val="003103CD"/>
    <w:rsid w:val="00310565"/>
    <w:rsid w:val="00310981"/>
    <w:rsid w:val="00311957"/>
    <w:rsid w:val="003124D9"/>
    <w:rsid w:val="00312594"/>
    <w:rsid w:val="003144B4"/>
    <w:rsid w:val="003149FD"/>
    <w:rsid w:val="00314E8B"/>
    <w:rsid w:val="00315328"/>
    <w:rsid w:val="00315498"/>
    <w:rsid w:val="003159AA"/>
    <w:rsid w:val="003161C7"/>
    <w:rsid w:val="00316474"/>
    <w:rsid w:val="003176B4"/>
    <w:rsid w:val="00317A0B"/>
    <w:rsid w:val="00317E0D"/>
    <w:rsid w:val="00322107"/>
    <w:rsid w:val="00322307"/>
    <w:rsid w:val="00322355"/>
    <w:rsid w:val="00322846"/>
    <w:rsid w:val="003232A3"/>
    <w:rsid w:val="0032330F"/>
    <w:rsid w:val="003233D4"/>
    <w:rsid w:val="0032603A"/>
    <w:rsid w:val="003269FD"/>
    <w:rsid w:val="00326DA7"/>
    <w:rsid w:val="00326EDD"/>
    <w:rsid w:val="003270E4"/>
    <w:rsid w:val="00330769"/>
    <w:rsid w:val="00330CE3"/>
    <w:rsid w:val="00330DAA"/>
    <w:rsid w:val="00330F5C"/>
    <w:rsid w:val="00331A9F"/>
    <w:rsid w:val="003327DD"/>
    <w:rsid w:val="00332C88"/>
    <w:rsid w:val="00333F94"/>
    <w:rsid w:val="0033490C"/>
    <w:rsid w:val="00334E4D"/>
    <w:rsid w:val="00335CF0"/>
    <w:rsid w:val="003366C9"/>
    <w:rsid w:val="00336C48"/>
    <w:rsid w:val="00336F75"/>
    <w:rsid w:val="00336FE4"/>
    <w:rsid w:val="003371B0"/>
    <w:rsid w:val="00337412"/>
    <w:rsid w:val="00340436"/>
    <w:rsid w:val="00340DF1"/>
    <w:rsid w:val="00341EAB"/>
    <w:rsid w:val="00342E61"/>
    <w:rsid w:val="00343675"/>
    <w:rsid w:val="00346D83"/>
    <w:rsid w:val="00347020"/>
    <w:rsid w:val="00350075"/>
    <w:rsid w:val="0035009E"/>
    <w:rsid w:val="0035013A"/>
    <w:rsid w:val="003515B4"/>
    <w:rsid w:val="003517F9"/>
    <w:rsid w:val="00351BA9"/>
    <w:rsid w:val="00352727"/>
    <w:rsid w:val="003528DA"/>
    <w:rsid w:val="00352A86"/>
    <w:rsid w:val="00352C79"/>
    <w:rsid w:val="00354A75"/>
    <w:rsid w:val="00354F64"/>
    <w:rsid w:val="0035620E"/>
    <w:rsid w:val="00356406"/>
    <w:rsid w:val="00356600"/>
    <w:rsid w:val="00356C64"/>
    <w:rsid w:val="00360345"/>
    <w:rsid w:val="00360B14"/>
    <w:rsid w:val="0036181B"/>
    <w:rsid w:val="00361A05"/>
    <w:rsid w:val="003624C4"/>
    <w:rsid w:val="00362969"/>
    <w:rsid w:val="00363B00"/>
    <w:rsid w:val="00364623"/>
    <w:rsid w:val="003654AC"/>
    <w:rsid w:val="00365D4F"/>
    <w:rsid w:val="00366982"/>
    <w:rsid w:val="00367E78"/>
    <w:rsid w:val="00367FEB"/>
    <w:rsid w:val="0037026C"/>
    <w:rsid w:val="00370DF5"/>
    <w:rsid w:val="00370EDE"/>
    <w:rsid w:val="0037107F"/>
    <w:rsid w:val="003710CF"/>
    <w:rsid w:val="00371693"/>
    <w:rsid w:val="00371885"/>
    <w:rsid w:val="00371D08"/>
    <w:rsid w:val="0037358A"/>
    <w:rsid w:val="00374344"/>
    <w:rsid w:val="0037486E"/>
    <w:rsid w:val="003750F6"/>
    <w:rsid w:val="00375A97"/>
    <w:rsid w:val="003760FC"/>
    <w:rsid w:val="003767AB"/>
    <w:rsid w:val="00380AE1"/>
    <w:rsid w:val="00382365"/>
    <w:rsid w:val="00382635"/>
    <w:rsid w:val="0038365C"/>
    <w:rsid w:val="0038369B"/>
    <w:rsid w:val="0038390D"/>
    <w:rsid w:val="00383B0D"/>
    <w:rsid w:val="00383B78"/>
    <w:rsid w:val="00384605"/>
    <w:rsid w:val="00385A9D"/>
    <w:rsid w:val="003902B1"/>
    <w:rsid w:val="00391554"/>
    <w:rsid w:val="0039179C"/>
    <w:rsid w:val="00391A04"/>
    <w:rsid w:val="00392462"/>
    <w:rsid w:val="003924EF"/>
    <w:rsid w:val="0039370C"/>
    <w:rsid w:val="003946F4"/>
    <w:rsid w:val="003949F8"/>
    <w:rsid w:val="00394CB1"/>
    <w:rsid w:val="003955BA"/>
    <w:rsid w:val="00396896"/>
    <w:rsid w:val="00396FD0"/>
    <w:rsid w:val="003A0A07"/>
    <w:rsid w:val="003A0FD6"/>
    <w:rsid w:val="003A1864"/>
    <w:rsid w:val="003A1A7A"/>
    <w:rsid w:val="003A21DE"/>
    <w:rsid w:val="003A2392"/>
    <w:rsid w:val="003A2831"/>
    <w:rsid w:val="003A2DF6"/>
    <w:rsid w:val="003A3336"/>
    <w:rsid w:val="003A33C3"/>
    <w:rsid w:val="003A3468"/>
    <w:rsid w:val="003A3CB6"/>
    <w:rsid w:val="003A3ED1"/>
    <w:rsid w:val="003A44DB"/>
    <w:rsid w:val="003A5FB1"/>
    <w:rsid w:val="003A7053"/>
    <w:rsid w:val="003A722F"/>
    <w:rsid w:val="003B1C30"/>
    <w:rsid w:val="003B1E3D"/>
    <w:rsid w:val="003B20F7"/>
    <w:rsid w:val="003B28A5"/>
    <w:rsid w:val="003B3971"/>
    <w:rsid w:val="003B420A"/>
    <w:rsid w:val="003B48BA"/>
    <w:rsid w:val="003B55D1"/>
    <w:rsid w:val="003B5B61"/>
    <w:rsid w:val="003B5CE6"/>
    <w:rsid w:val="003B75F0"/>
    <w:rsid w:val="003B7F21"/>
    <w:rsid w:val="003C01BE"/>
    <w:rsid w:val="003C1430"/>
    <w:rsid w:val="003C1486"/>
    <w:rsid w:val="003C1654"/>
    <w:rsid w:val="003C1B1C"/>
    <w:rsid w:val="003C2D70"/>
    <w:rsid w:val="003C5542"/>
    <w:rsid w:val="003C5938"/>
    <w:rsid w:val="003C6D80"/>
    <w:rsid w:val="003C7231"/>
    <w:rsid w:val="003C7D19"/>
    <w:rsid w:val="003C7D2F"/>
    <w:rsid w:val="003D0054"/>
    <w:rsid w:val="003D122B"/>
    <w:rsid w:val="003D1828"/>
    <w:rsid w:val="003D194B"/>
    <w:rsid w:val="003D1DE4"/>
    <w:rsid w:val="003D1E9A"/>
    <w:rsid w:val="003D217B"/>
    <w:rsid w:val="003D2401"/>
    <w:rsid w:val="003D2422"/>
    <w:rsid w:val="003D2998"/>
    <w:rsid w:val="003D312F"/>
    <w:rsid w:val="003D39A1"/>
    <w:rsid w:val="003D3B06"/>
    <w:rsid w:val="003D3FBF"/>
    <w:rsid w:val="003D4A30"/>
    <w:rsid w:val="003D4E1A"/>
    <w:rsid w:val="003D5259"/>
    <w:rsid w:val="003D5618"/>
    <w:rsid w:val="003D5F9D"/>
    <w:rsid w:val="003D62EA"/>
    <w:rsid w:val="003D7452"/>
    <w:rsid w:val="003D79BB"/>
    <w:rsid w:val="003D7A60"/>
    <w:rsid w:val="003D7C98"/>
    <w:rsid w:val="003D7D9D"/>
    <w:rsid w:val="003E0543"/>
    <w:rsid w:val="003E1307"/>
    <w:rsid w:val="003E2A46"/>
    <w:rsid w:val="003E2EE2"/>
    <w:rsid w:val="003E3074"/>
    <w:rsid w:val="003E359D"/>
    <w:rsid w:val="003E3A74"/>
    <w:rsid w:val="003E3F27"/>
    <w:rsid w:val="003E44C3"/>
    <w:rsid w:val="003E4B8F"/>
    <w:rsid w:val="003E50E8"/>
    <w:rsid w:val="003E52CB"/>
    <w:rsid w:val="003E5412"/>
    <w:rsid w:val="003E5598"/>
    <w:rsid w:val="003E5617"/>
    <w:rsid w:val="003E5806"/>
    <w:rsid w:val="003E5E1F"/>
    <w:rsid w:val="003E6420"/>
    <w:rsid w:val="003E6469"/>
    <w:rsid w:val="003E65F0"/>
    <w:rsid w:val="003E6AFA"/>
    <w:rsid w:val="003E7252"/>
    <w:rsid w:val="003E749E"/>
    <w:rsid w:val="003F2188"/>
    <w:rsid w:val="003F3245"/>
    <w:rsid w:val="003F385D"/>
    <w:rsid w:val="003F39B1"/>
    <w:rsid w:val="003F3D04"/>
    <w:rsid w:val="003F4156"/>
    <w:rsid w:val="003F5ADF"/>
    <w:rsid w:val="003F5EB4"/>
    <w:rsid w:val="003F6B5B"/>
    <w:rsid w:val="003F7420"/>
    <w:rsid w:val="00400B29"/>
    <w:rsid w:val="00401B96"/>
    <w:rsid w:val="00402639"/>
    <w:rsid w:val="00403A4B"/>
    <w:rsid w:val="00403FD8"/>
    <w:rsid w:val="004046D5"/>
    <w:rsid w:val="0040504B"/>
    <w:rsid w:val="00405093"/>
    <w:rsid w:val="004059F4"/>
    <w:rsid w:val="00406DA8"/>
    <w:rsid w:val="00407FE5"/>
    <w:rsid w:val="004101B0"/>
    <w:rsid w:val="00410326"/>
    <w:rsid w:val="004106AF"/>
    <w:rsid w:val="00410708"/>
    <w:rsid w:val="00410EC7"/>
    <w:rsid w:val="00410FEC"/>
    <w:rsid w:val="00411B39"/>
    <w:rsid w:val="004127A7"/>
    <w:rsid w:val="00413A1E"/>
    <w:rsid w:val="00414476"/>
    <w:rsid w:val="00414C2E"/>
    <w:rsid w:val="004151CF"/>
    <w:rsid w:val="00415413"/>
    <w:rsid w:val="00416364"/>
    <w:rsid w:val="00417C72"/>
    <w:rsid w:val="00417FE5"/>
    <w:rsid w:val="0042047F"/>
    <w:rsid w:val="00420AA6"/>
    <w:rsid w:val="00420B9F"/>
    <w:rsid w:val="0042155F"/>
    <w:rsid w:val="0042192C"/>
    <w:rsid w:val="00422260"/>
    <w:rsid w:val="0042413F"/>
    <w:rsid w:val="00424B8A"/>
    <w:rsid w:val="00424F55"/>
    <w:rsid w:val="00426535"/>
    <w:rsid w:val="004274DD"/>
    <w:rsid w:val="00427642"/>
    <w:rsid w:val="00430A9F"/>
    <w:rsid w:val="00430CF0"/>
    <w:rsid w:val="004319F8"/>
    <w:rsid w:val="00431A7A"/>
    <w:rsid w:val="00431A97"/>
    <w:rsid w:val="00431E55"/>
    <w:rsid w:val="004321F6"/>
    <w:rsid w:val="00432797"/>
    <w:rsid w:val="00433044"/>
    <w:rsid w:val="00434088"/>
    <w:rsid w:val="00434828"/>
    <w:rsid w:val="00434B2F"/>
    <w:rsid w:val="00435C72"/>
    <w:rsid w:val="00435E60"/>
    <w:rsid w:val="004362D9"/>
    <w:rsid w:val="0043639E"/>
    <w:rsid w:val="004375B9"/>
    <w:rsid w:val="00440E20"/>
    <w:rsid w:val="00442831"/>
    <w:rsid w:val="004428D0"/>
    <w:rsid w:val="00442D94"/>
    <w:rsid w:val="00444185"/>
    <w:rsid w:val="004443A7"/>
    <w:rsid w:val="0044442C"/>
    <w:rsid w:val="00444892"/>
    <w:rsid w:val="0044512B"/>
    <w:rsid w:val="00445941"/>
    <w:rsid w:val="00446328"/>
    <w:rsid w:val="004464EB"/>
    <w:rsid w:val="00446582"/>
    <w:rsid w:val="004470A0"/>
    <w:rsid w:val="004470BF"/>
    <w:rsid w:val="00447203"/>
    <w:rsid w:val="0044789F"/>
    <w:rsid w:val="00447D26"/>
    <w:rsid w:val="00447DFC"/>
    <w:rsid w:val="00447E7E"/>
    <w:rsid w:val="0045050B"/>
    <w:rsid w:val="00451DD9"/>
    <w:rsid w:val="00453AA6"/>
    <w:rsid w:val="00455D45"/>
    <w:rsid w:val="004561BB"/>
    <w:rsid w:val="00456DB0"/>
    <w:rsid w:val="00456DD7"/>
    <w:rsid w:val="00457217"/>
    <w:rsid w:val="00457995"/>
    <w:rsid w:val="00457D01"/>
    <w:rsid w:val="00460B90"/>
    <w:rsid w:val="00461D40"/>
    <w:rsid w:val="0046273A"/>
    <w:rsid w:val="00463155"/>
    <w:rsid w:val="00464595"/>
    <w:rsid w:val="00464775"/>
    <w:rsid w:val="004653D5"/>
    <w:rsid w:val="004658B5"/>
    <w:rsid w:val="00465FD5"/>
    <w:rsid w:val="004703FF"/>
    <w:rsid w:val="004704AA"/>
    <w:rsid w:val="0047189B"/>
    <w:rsid w:val="00471A28"/>
    <w:rsid w:val="00471EA5"/>
    <w:rsid w:val="0047257A"/>
    <w:rsid w:val="00472867"/>
    <w:rsid w:val="00472A79"/>
    <w:rsid w:val="00472ED4"/>
    <w:rsid w:val="004738FE"/>
    <w:rsid w:val="00473DB2"/>
    <w:rsid w:val="00473F19"/>
    <w:rsid w:val="0047529B"/>
    <w:rsid w:val="00475E22"/>
    <w:rsid w:val="00476E78"/>
    <w:rsid w:val="004777BC"/>
    <w:rsid w:val="00477D09"/>
    <w:rsid w:val="004800B4"/>
    <w:rsid w:val="0048088E"/>
    <w:rsid w:val="00480AAE"/>
    <w:rsid w:val="00480DBD"/>
    <w:rsid w:val="00480F2B"/>
    <w:rsid w:val="00482720"/>
    <w:rsid w:val="0048272E"/>
    <w:rsid w:val="004827D7"/>
    <w:rsid w:val="004835E7"/>
    <w:rsid w:val="004843FE"/>
    <w:rsid w:val="00484E68"/>
    <w:rsid w:val="004867E2"/>
    <w:rsid w:val="00490B17"/>
    <w:rsid w:val="00490F86"/>
    <w:rsid w:val="0049149D"/>
    <w:rsid w:val="00491B3A"/>
    <w:rsid w:val="0049248B"/>
    <w:rsid w:val="00492889"/>
    <w:rsid w:val="00492CFD"/>
    <w:rsid w:val="004937D2"/>
    <w:rsid w:val="00494207"/>
    <w:rsid w:val="0049431E"/>
    <w:rsid w:val="00494DD5"/>
    <w:rsid w:val="00495096"/>
    <w:rsid w:val="00495230"/>
    <w:rsid w:val="004962D2"/>
    <w:rsid w:val="004964D5"/>
    <w:rsid w:val="00496E71"/>
    <w:rsid w:val="0049757F"/>
    <w:rsid w:val="004A0211"/>
    <w:rsid w:val="004A0DA1"/>
    <w:rsid w:val="004A13D6"/>
    <w:rsid w:val="004A22F8"/>
    <w:rsid w:val="004A2717"/>
    <w:rsid w:val="004A312B"/>
    <w:rsid w:val="004A3CD2"/>
    <w:rsid w:val="004A52E9"/>
    <w:rsid w:val="004A56CF"/>
    <w:rsid w:val="004A6040"/>
    <w:rsid w:val="004A654E"/>
    <w:rsid w:val="004A6597"/>
    <w:rsid w:val="004A6D36"/>
    <w:rsid w:val="004A6DDD"/>
    <w:rsid w:val="004A7848"/>
    <w:rsid w:val="004A7F85"/>
    <w:rsid w:val="004B186E"/>
    <w:rsid w:val="004B1CB4"/>
    <w:rsid w:val="004B2604"/>
    <w:rsid w:val="004B2F18"/>
    <w:rsid w:val="004B308D"/>
    <w:rsid w:val="004B392B"/>
    <w:rsid w:val="004B3DDB"/>
    <w:rsid w:val="004B44FD"/>
    <w:rsid w:val="004B4AC1"/>
    <w:rsid w:val="004B5CFC"/>
    <w:rsid w:val="004B6588"/>
    <w:rsid w:val="004B6F79"/>
    <w:rsid w:val="004B73B1"/>
    <w:rsid w:val="004B774D"/>
    <w:rsid w:val="004B7B73"/>
    <w:rsid w:val="004C0ABC"/>
    <w:rsid w:val="004C1C4D"/>
    <w:rsid w:val="004C30BE"/>
    <w:rsid w:val="004C3904"/>
    <w:rsid w:val="004C3EF7"/>
    <w:rsid w:val="004C411E"/>
    <w:rsid w:val="004C49CB"/>
    <w:rsid w:val="004C4AED"/>
    <w:rsid w:val="004C510D"/>
    <w:rsid w:val="004C6560"/>
    <w:rsid w:val="004C65B3"/>
    <w:rsid w:val="004C7727"/>
    <w:rsid w:val="004C7C58"/>
    <w:rsid w:val="004D01B4"/>
    <w:rsid w:val="004D0300"/>
    <w:rsid w:val="004D1E7D"/>
    <w:rsid w:val="004D2218"/>
    <w:rsid w:val="004D2C2D"/>
    <w:rsid w:val="004D3D0C"/>
    <w:rsid w:val="004D4ADB"/>
    <w:rsid w:val="004D53FE"/>
    <w:rsid w:val="004D69B5"/>
    <w:rsid w:val="004D7227"/>
    <w:rsid w:val="004E0868"/>
    <w:rsid w:val="004E0CD4"/>
    <w:rsid w:val="004E0E7F"/>
    <w:rsid w:val="004E0EB8"/>
    <w:rsid w:val="004E18E9"/>
    <w:rsid w:val="004E1F16"/>
    <w:rsid w:val="004E2AC8"/>
    <w:rsid w:val="004E2ADC"/>
    <w:rsid w:val="004E3610"/>
    <w:rsid w:val="004E43B2"/>
    <w:rsid w:val="004E4748"/>
    <w:rsid w:val="004E5354"/>
    <w:rsid w:val="004E5D72"/>
    <w:rsid w:val="004E770E"/>
    <w:rsid w:val="004F05F1"/>
    <w:rsid w:val="004F0E34"/>
    <w:rsid w:val="004F1364"/>
    <w:rsid w:val="004F176A"/>
    <w:rsid w:val="004F1B42"/>
    <w:rsid w:val="004F1CA1"/>
    <w:rsid w:val="004F1D02"/>
    <w:rsid w:val="004F2679"/>
    <w:rsid w:val="004F2F21"/>
    <w:rsid w:val="004F3DBF"/>
    <w:rsid w:val="004F3DE5"/>
    <w:rsid w:val="004F4659"/>
    <w:rsid w:val="004F4704"/>
    <w:rsid w:val="004F48A2"/>
    <w:rsid w:val="004F55BF"/>
    <w:rsid w:val="004F6057"/>
    <w:rsid w:val="004F674D"/>
    <w:rsid w:val="004F6913"/>
    <w:rsid w:val="004F759F"/>
    <w:rsid w:val="004F7865"/>
    <w:rsid w:val="004F7EEA"/>
    <w:rsid w:val="0050051B"/>
    <w:rsid w:val="00500694"/>
    <w:rsid w:val="005015F6"/>
    <w:rsid w:val="00501661"/>
    <w:rsid w:val="0050174E"/>
    <w:rsid w:val="00501854"/>
    <w:rsid w:val="0050219B"/>
    <w:rsid w:val="0050264E"/>
    <w:rsid w:val="00502EFD"/>
    <w:rsid w:val="005030D8"/>
    <w:rsid w:val="005039A6"/>
    <w:rsid w:val="00503B0E"/>
    <w:rsid w:val="00503F17"/>
    <w:rsid w:val="0050424D"/>
    <w:rsid w:val="00504331"/>
    <w:rsid w:val="0050565C"/>
    <w:rsid w:val="00505BCB"/>
    <w:rsid w:val="00506928"/>
    <w:rsid w:val="00506FCE"/>
    <w:rsid w:val="005077EF"/>
    <w:rsid w:val="00510A53"/>
    <w:rsid w:val="00511003"/>
    <w:rsid w:val="00511604"/>
    <w:rsid w:val="00511AD5"/>
    <w:rsid w:val="00511DC7"/>
    <w:rsid w:val="0051209D"/>
    <w:rsid w:val="00512185"/>
    <w:rsid w:val="00513E49"/>
    <w:rsid w:val="005142C5"/>
    <w:rsid w:val="00514452"/>
    <w:rsid w:val="0051501B"/>
    <w:rsid w:val="005152B5"/>
    <w:rsid w:val="00521230"/>
    <w:rsid w:val="0052123C"/>
    <w:rsid w:val="005212F7"/>
    <w:rsid w:val="00521319"/>
    <w:rsid w:val="00521344"/>
    <w:rsid w:val="005221B9"/>
    <w:rsid w:val="00522BC8"/>
    <w:rsid w:val="0052337E"/>
    <w:rsid w:val="00523C28"/>
    <w:rsid w:val="00524378"/>
    <w:rsid w:val="005261B3"/>
    <w:rsid w:val="00526507"/>
    <w:rsid w:val="00526723"/>
    <w:rsid w:val="005270A9"/>
    <w:rsid w:val="00530F86"/>
    <w:rsid w:val="0053176B"/>
    <w:rsid w:val="00531FBA"/>
    <w:rsid w:val="00531FFB"/>
    <w:rsid w:val="005326DC"/>
    <w:rsid w:val="00532FD3"/>
    <w:rsid w:val="005332BD"/>
    <w:rsid w:val="00533BDE"/>
    <w:rsid w:val="00536B40"/>
    <w:rsid w:val="00536F42"/>
    <w:rsid w:val="00537182"/>
    <w:rsid w:val="00537266"/>
    <w:rsid w:val="0053728D"/>
    <w:rsid w:val="00540124"/>
    <w:rsid w:val="00540418"/>
    <w:rsid w:val="0054068D"/>
    <w:rsid w:val="00540AB4"/>
    <w:rsid w:val="00541EDD"/>
    <w:rsid w:val="00542743"/>
    <w:rsid w:val="00542C2D"/>
    <w:rsid w:val="005435CD"/>
    <w:rsid w:val="00543FE9"/>
    <w:rsid w:val="00545025"/>
    <w:rsid w:val="0054519B"/>
    <w:rsid w:val="00546A6B"/>
    <w:rsid w:val="00546EA3"/>
    <w:rsid w:val="00546EF1"/>
    <w:rsid w:val="005478BD"/>
    <w:rsid w:val="005479E3"/>
    <w:rsid w:val="00547A4F"/>
    <w:rsid w:val="00550786"/>
    <w:rsid w:val="0055166C"/>
    <w:rsid w:val="00551985"/>
    <w:rsid w:val="00552BD3"/>
    <w:rsid w:val="005532A0"/>
    <w:rsid w:val="0055475B"/>
    <w:rsid w:val="005547C9"/>
    <w:rsid w:val="00554A8C"/>
    <w:rsid w:val="00555109"/>
    <w:rsid w:val="00555BB7"/>
    <w:rsid w:val="005562F6"/>
    <w:rsid w:val="0055637E"/>
    <w:rsid w:val="00556B35"/>
    <w:rsid w:val="0055741A"/>
    <w:rsid w:val="00560DBB"/>
    <w:rsid w:val="005611B7"/>
    <w:rsid w:val="005618D4"/>
    <w:rsid w:val="00561C39"/>
    <w:rsid w:val="0056252D"/>
    <w:rsid w:val="005626CD"/>
    <w:rsid w:val="00562B61"/>
    <w:rsid w:val="00565A1A"/>
    <w:rsid w:val="00565B3F"/>
    <w:rsid w:val="00565DCC"/>
    <w:rsid w:val="00565DF0"/>
    <w:rsid w:val="00566015"/>
    <w:rsid w:val="0056696F"/>
    <w:rsid w:val="005704DA"/>
    <w:rsid w:val="00571E0C"/>
    <w:rsid w:val="00571EE3"/>
    <w:rsid w:val="00571F3E"/>
    <w:rsid w:val="00572157"/>
    <w:rsid w:val="00572269"/>
    <w:rsid w:val="0057244A"/>
    <w:rsid w:val="00572F26"/>
    <w:rsid w:val="005749AF"/>
    <w:rsid w:val="005750C5"/>
    <w:rsid w:val="005752DE"/>
    <w:rsid w:val="00575D8D"/>
    <w:rsid w:val="00576030"/>
    <w:rsid w:val="00576972"/>
    <w:rsid w:val="005778DF"/>
    <w:rsid w:val="00577E77"/>
    <w:rsid w:val="00580230"/>
    <w:rsid w:val="005802B6"/>
    <w:rsid w:val="00583657"/>
    <w:rsid w:val="00583699"/>
    <w:rsid w:val="00585CDD"/>
    <w:rsid w:val="00586BCD"/>
    <w:rsid w:val="00587058"/>
    <w:rsid w:val="005872C7"/>
    <w:rsid w:val="005904A3"/>
    <w:rsid w:val="00590A42"/>
    <w:rsid w:val="00590EC9"/>
    <w:rsid w:val="00591957"/>
    <w:rsid w:val="00591A56"/>
    <w:rsid w:val="00592464"/>
    <w:rsid w:val="00592773"/>
    <w:rsid w:val="005937B7"/>
    <w:rsid w:val="005959DB"/>
    <w:rsid w:val="00595F1A"/>
    <w:rsid w:val="00596FA7"/>
    <w:rsid w:val="00597BF9"/>
    <w:rsid w:val="005A0261"/>
    <w:rsid w:val="005A04A0"/>
    <w:rsid w:val="005A0B4C"/>
    <w:rsid w:val="005A2579"/>
    <w:rsid w:val="005A309A"/>
    <w:rsid w:val="005A373D"/>
    <w:rsid w:val="005A4F5D"/>
    <w:rsid w:val="005A6069"/>
    <w:rsid w:val="005A6324"/>
    <w:rsid w:val="005A6C44"/>
    <w:rsid w:val="005A6E60"/>
    <w:rsid w:val="005A6F30"/>
    <w:rsid w:val="005A7D71"/>
    <w:rsid w:val="005B06F6"/>
    <w:rsid w:val="005B0826"/>
    <w:rsid w:val="005B0B58"/>
    <w:rsid w:val="005B16B9"/>
    <w:rsid w:val="005B2C3D"/>
    <w:rsid w:val="005B2D79"/>
    <w:rsid w:val="005B2E96"/>
    <w:rsid w:val="005B479F"/>
    <w:rsid w:val="005B4D44"/>
    <w:rsid w:val="005B4E53"/>
    <w:rsid w:val="005B5857"/>
    <w:rsid w:val="005B6349"/>
    <w:rsid w:val="005B6576"/>
    <w:rsid w:val="005B7859"/>
    <w:rsid w:val="005C016A"/>
    <w:rsid w:val="005C0BC4"/>
    <w:rsid w:val="005C123E"/>
    <w:rsid w:val="005C1276"/>
    <w:rsid w:val="005C1B83"/>
    <w:rsid w:val="005C1BF9"/>
    <w:rsid w:val="005C25FF"/>
    <w:rsid w:val="005C2D55"/>
    <w:rsid w:val="005C346B"/>
    <w:rsid w:val="005C3C68"/>
    <w:rsid w:val="005C3CCA"/>
    <w:rsid w:val="005C3CE6"/>
    <w:rsid w:val="005C3D13"/>
    <w:rsid w:val="005C3EEF"/>
    <w:rsid w:val="005C53C3"/>
    <w:rsid w:val="005C61F0"/>
    <w:rsid w:val="005C695E"/>
    <w:rsid w:val="005C70F2"/>
    <w:rsid w:val="005C7E2E"/>
    <w:rsid w:val="005D044D"/>
    <w:rsid w:val="005D0809"/>
    <w:rsid w:val="005D0ABD"/>
    <w:rsid w:val="005D0DB4"/>
    <w:rsid w:val="005D1036"/>
    <w:rsid w:val="005D107B"/>
    <w:rsid w:val="005D18AD"/>
    <w:rsid w:val="005D2029"/>
    <w:rsid w:val="005D2606"/>
    <w:rsid w:val="005D26B4"/>
    <w:rsid w:val="005D4546"/>
    <w:rsid w:val="005D45CC"/>
    <w:rsid w:val="005D66EE"/>
    <w:rsid w:val="005D6B63"/>
    <w:rsid w:val="005D7FA3"/>
    <w:rsid w:val="005E0557"/>
    <w:rsid w:val="005E0BF7"/>
    <w:rsid w:val="005E0C02"/>
    <w:rsid w:val="005E1C07"/>
    <w:rsid w:val="005E1EB2"/>
    <w:rsid w:val="005E36E5"/>
    <w:rsid w:val="005E4F09"/>
    <w:rsid w:val="005E4FD7"/>
    <w:rsid w:val="005E528F"/>
    <w:rsid w:val="005E6CBC"/>
    <w:rsid w:val="005E70B4"/>
    <w:rsid w:val="005E724F"/>
    <w:rsid w:val="005E72FF"/>
    <w:rsid w:val="005E73C0"/>
    <w:rsid w:val="005E7FEB"/>
    <w:rsid w:val="005F099A"/>
    <w:rsid w:val="005F20CE"/>
    <w:rsid w:val="005F26FA"/>
    <w:rsid w:val="005F2706"/>
    <w:rsid w:val="005F358F"/>
    <w:rsid w:val="005F5448"/>
    <w:rsid w:val="005F6A8F"/>
    <w:rsid w:val="005F6BB7"/>
    <w:rsid w:val="005F7588"/>
    <w:rsid w:val="005F7C9A"/>
    <w:rsid w:val="006006B0"/>
    <w:rsid w:val="006011B4"/>
    <w:rsid w:val="00601C09"/>
    <w:rsid w:val="00601EDA"/>
    <w:rsid w:val="006028B7"/>
    <w:rsid w:val="006035A8"/>
    <w:rsid w:val="00603DB9"/>
    <w:rsid w:val="006043C4"/>
    <w:rsid w:val="006051D9"/>
    <w:rsid w:val="00605B90"/>
    <w:rsid w:val="00606601"/>
    <w:rsid w:val="0060667D"/>
    <w:rsid w:val="00606E1E"/>
    <w:rsid w:val="00606FBA"/>
    <w:rsid w:val="00607669"/>
    <w:rsid w:val="006076F4"/>
    <w:rsid w:val="00607995"/>
    <w:rsid w:val="00607AFD"/>
    <w:rsid w:val="00610499"/>
    <w:rsid w:val="006113B4"/>
    <w:rsid w:val="00611434"/>
    <w:rsid w:val="00612F97"/>
    <w:rsid w:val="0061345D"/>
    <w:rsid w:val="00613FF1"/>
    <w:rsid w:val="0061467D"/>
    <w:rsid w:val="006146A4"/>
    <w:rsid w:val="00614A25"/>
    <w:rsid w:val="0061549B"/>
    <w:rsid w:val="00616802"/>
    <w:rsid w:val="0061694E"/>
    <w:rsid w:val="00616EE7"/>
    <w:rsid w:val="0061711A"/>
    <w:rsid w:val="006179B7"/>
    <w:rsid w:val="00617E12"/>
    <w:rsid w:val="0062073F"/>
    <w:rsid w:val="006208E4"/>
    <w:rsid w:val="0062095F"/>
    <w:rsid w:val="00620C25"/>
    <w:rsid w:val="00621477"/>
    <w:rsid w:val="00621ADA"/>
    <w:rsid w:val="00622586"/>
    <w:rsid w:val="00622726"/>
    <w:rsid w:val="00623D7C"/>
    <w:rsid w:val="00623E07"/>
    <w:rsid w:val="00623F60"/>
    <w:rsid w:val="00623F7B"/>
    <w:rsid w:val="00625A04"/>
    <w:rsid w:val="006261E4"/>
    <w:rsid w:val="0062656B"/>
    <w:rsid w:val="00627592"/>
    <w:rsid w:val="0063057D"/>
    <w:rsid w:val="00630E1B"/>
    <w:rsid w:val="0063158F"/>
    <w:rsid w:val="00631D6B"/>
    <w:rsid w:val="00632183"/>
    <w:rsid w:val="006329AF"/>
    <w:rsid w:val="006330A1"/>
    <w:rsid w:val="006333A6"/>
    <w:rsid w:val="0063479F"/>
    <w:rsid w:val="006348F3"/>
    <w:rsid w:val="006352B4"/>
    <w:rsid w:val="006353F0"/>
    <w:rsid w:val="006357B5"/>
    <w:rsid w:val="00635869"/>
    <w:rsid w:val="006364A1"/>
    <w:rsid w:val="0063678E"/>
    <w:rsid w:val="00637BFD"/>
    <w:rsid w:val="00640155"/>
    <w:rsid w:val="00641513"/>
    <w:rsid w:val="006419ED"/>
    <w:rsid w:val="00641C4E"/>
    <w:rsid w:val="00641CDF"/>
    <w:rsid w:val="00641FB3"/>
    <w:rsid w:val="006424C3"/>
    <w:rsid w:val="00642BB8"/>
    <w:rsid w:val="00644274"/>
    <w:rsid w:val="0064434C"/>
    <w:rsid w:val="00645FEA"/>
    <w:rsid w:val="00646278"/>
    <w:rsid w:val="006471CC"/>
    <w:rsid w:val="00647362"/>
    <w:rsid w:val="00647A29"/>
    <w:rsid w:val="00647D91"/>
    <w:rsid w:val="00650742"/>
    <w:rsid w:val="0065079F"/>
    <w:rsid w:val="00651912"/>
    <w:rsid w:val="00651B4C"/>
    <w:rsid w:val="00652841"/>
    <w:rsid w:val="00652A28"/>
    <w:rsid w:val="00652FCE"/>
    <w:rsid w:val="006531BC"/>
    <w:rsid w:val="006536FA"/>
    <w:rsid w:val="0065379F"/>
    <w:rsid w:val="00653E06"/>
    <w:rsid w:val="006555ED"/>
    <w:rsid w:val="00656188"/>
    <w:rsid w:val="0065715A"/>
    <w:rsid w:val="006578B5"/>
    <w:rsid w:val="00657A7E"/>
    <w:rsid w:val="006610F1"/>
    <w:rsid w:val="006615E5"/>
    <w:rsid w:val="00661C6B"/>
    <w:rsid w:val="00663334"/>
    <w:rsid w:val="00665228"/>
    <w:rsid w:val="00665F4D"/>
    <w:rsid w:val="00667442"/>
    <w:rsid w:val="0067010F"/>
    <w:rsid w:val="00670886"/>
    <w:rsid w:val="00670AE3"/>
    <w:rsid w:val="00671004"/>
    <w:rsid w:val="00672646"/>
    <w:rsid w:val="00672A0B"/>
    <w:rsid w:val="00672B24"/>
    <w:rsid w:val="00672C5F"/>
    <w:rsid w:val="00672CB0"/>
    <w:rsid w:val="00672DBD"/>
    <w:rsid w:val="006738E7"/>
    <w:rsid w:val="00673DCA"/>
    <w:rsid w:val="00673E91"/>
    <w:rsid w:val="00674051"/>
    <w:rsid w:val="00674E42"/>
    <w:rsid w:val="006769EB"/>
    <w:rsid w:val="00676B16"/>
    <w:rsid w:val="00677193"/>
    <w:rsid w:val="0067795E"/>
    <w:rsid w:val="00677C8E"/>
    <w:rsid w:val="006813F8"/>
    <w:rsid w:val="00681C57"/>
    <w:rsid w:val="00682112"/>
    <w:rsid w:val="00682BA6"/>
    <w:rsid w:val="00683412"/>
    <w:rsid w:val="00683E4D"/>
    <w:rsid w:val="00683FAB"/>
    <w:rsid w:val="00684505"/>
    <w:rsid w:val="006856A1"/>
    <w:rsid w:val="00685919"/>
    <w:rsid w:val="006862C6"/>
    <w:rsid w:val="00686957"/>
    <w:rsid w:val="006872BA"/>
    <w:rsid w:val="006878D8"/>
    <w:rsid w:val="00687E7A"/>
    <w:rsid w:val="00690795"/>
    <w:rsid w:val="00691648"/>
    <w:rsid w:val="006917D7"/>
    <w:rsid w:val="00692314"/>
    <w:rsid w:val="00693F89"/>
    <w:rsid w:val="0069434C"/>
    <w:rsid w:val="00694F44"/>
    <w:rsid w:val="0069564E"/>
    <w:rsid w:val="00696627"/>
    <w:rsid w:val="00696D25"/>
    <w:rsid w:val="00696F51"/>
    <w:rsid w:val="006979A5"/>
    <w:rsid w:val="006A20DD"/>
    <w:rsid w:val="006A2526"/>
    <w:rsid w:val="006A3557"/>
    <w:rsid w:val="006A540A"/>
    <w:rsid w:val="006A5FFB"/>
    <w:rsid w:val="006A6801"/>
    <w:rsid w:val="006A68B9"/>
    <w:rsid w:val="006A6B99"/>
    <w:rsid w:val="006A6E41"/>
    <w:rsid w:val="006A71EE"/>
    <w:rsid w:val="006A7E5F"/>
    <w:rsid w:val="006B0355"/>
    <w:rsid w:val="006B1686"/>
    <w:rsid w:val="006B194D"/>
    <w:rsid w:val="006B2091"/>
    <w:rsid w:val="006B247E"/>
    <w:rsid w:val="006B261B"/>
    <w:rsid w:val="006B2C90"/>
    <w:rsid w:val="006B35E6"/>
    <w:rsid w:val="006B465A"/>
    <w:rsid w:val="006B4C63"/>
    <w:rsid w:val="006B6822"/>
    <w:rsid w:val="006B6A59"/>
    <w:rsid w:val="006B6DD0"/>
    <w:rsid w:val="006C0399"/>
    <w:rsid w:val="006C0FC9"/>
    <w:rsid w:val="006C17DB"/>
    <w:rsid w:val="006C18E0"/>
    <w:rsid w:val="006C1C56"/>
    <w:rsid w:val="006C2A8E"/>
    <w:rsid w:val="006C3111"/>
    <w:rsid w:val="006C315C"/>
    <w:rsid w:val="006C3255"/>
    <w:rsid w:val="006C32BD"/>
    <w:rsid w:val="006C361C"/>
    <w:rsid w:val="006C3C41"/>
    <w:rsid w:val="006C3DE0"/>
    <w:rsid w:val="006C3F26"/>
    <w:rsid w:val="006C4043"/>
    <w:rsid w:val="006C41E7"/>
    <w:rsid w:val="006C4EBA"/>
    <w:rsid w:val="006C53E4"/>
    <w:rsid w:val="006C57BA"/>
    <w:rsid w:val="006C5BFB"/>
    <w:rsid w:val="006C653B"/>
    <w:rsid w:val="006D0D17"/>
    <w:rsid w:val="006D27B0"/>
    <w:rsid w:val="006D3C7D"/>
    <w:rsid w:val="006D3D63"/>
    <w:rsid w:val="006D3DA5"/>
    <w:rsid w:val="006D4659"/>
    <w:rsid w:val="006D58C3"/>
    <w:rsid w:val="006D5D5F"/>
    <w:rsid w:val="006D6325"/>
    <w:rsid w:val="006D68FB"/>
    <w:rsid w:val="006D7602"/>
    <w:rsid w:val="006D772B"/>
    <w:rsid w:val="006D793A"/>
    <w:rsid w:val="006D7B98"/>
    <w:rsid w:val="006E05D9"/>
    <w:rsid w:val="006E12CF"/>
    <w:rsid w:val="006E2178"/>
    <w:rsid w:val="006E2868"/>
    <w:rsid w:val="006E2B81"/>
    <w:rsid w:val="006E55BE"/>
    <w:rsid w:val="006E5725"/>
    <w:rsid w:val="006E5AD7"/>
    <w:rsid w:val="006E5ADA"/>
    <w:rsid w:val="006E6A93"/>
    <w:rsid w:val="006F037F"/>
    <w:rsid w:val="006F1CEA"/>
    <w:rsid w:val="006F203E"/>
    <w:rsid w:val="006F306C"/>
    <w:rsid w:val="006F325D"/>
    <w:rsid w:val="006F3948"/>
    <w:rsid w:val="006F3B81"/>
    <w:rsid w:val="006F415B"/>
    <w:rsid w:val="006F5F79"/>
    <w:rsid w:val="006F604E"/>
    <w:rsid w:val="006F63A5"/>
    <w:rsid w:val="006F66E0"/>
    <w:rsid w:val="006F754A"/>
    <w:rsid w:val="0070027D"/>
    <w:rsid w:val="0070032E"/>
    <w:rsid w:val="00700366"/>
    <w:rsid w:val="0070142B"/>
    <w:rsid w:val="007015CA"/>
    <w:rsid w:val="00701F9F"/>
    <w:rsid w:val="0070276E"/>
    <w:rsid w:val="00702F8F"/>
    <w:rsid w:val="00703DD4"/>
    <w:rsid w:val="007063BC"/>
    <w:rsid w:val="007079FC"/>
    <w:rsid w:val="00707A91"/>
    <w:rsid w:val="00711A36"/>
    <w:rsid w:val="00711D53"/>
    <w:rsid w:val="00714C26"/>
    <w:rsid w:val="0071529C"/>
    <w:rsid w:val="00715660"/>
    <w:rsid w:val="007157BB"/>
    <w:rsid w:val="007170DA"/>
    <w:rsid w:val="007172AD"/>
    <w:rsid w:val="00717398"/>
    <w:rsid w:val="007174EB"/>
    <w:rsid w:val="00717549"/>
    <w:rsid w:val="00717581"/>
    <w:rsid w:val="00720370"/>
    <w:rsid w:val="00720627"/>
    <w:rsid w:val="00720801"/>
    <w:rsid w:val="00721589"/>
    <w:rsid w:val="00722B1B"/>
    <w:rsid w:val="00723287"/>
    <w:rsid w:val="00723C15"/>
    <w:rsid w:val="00723E30"/>
    <w:rsid w:val="00723E3E"/>
    <w:rsid w:val="00723E77"/>
    <w:rsid w:val="0072416F"/>
    <w:rsid w:val="00724181"/>
    <w:rsid w:val="00725692"/>
    <w:rsid w:val="007256B1"/>
    <w:rsid w:val="007257C6"/>
    <w:rsid w:val="0072642D"/>
    <w:rsid w:val="0072719C"/>
    <w:rsid w:val="00727507"/>
    <w:rsid w:val="0072770C"/>
    <w:rsid w:val="00727C94"/>
    <w:rsid w:val="00730DCC"/>
    <w:rsid w:val="007311BD"/>
    <w:rsid w:val="00731B0A"/>
    <w:rsid w:val="00731EAE"/>
    <w:rsid w:val="0073222C"/>
    <w:rsid w:val="00732BB4"/>
    <w:rsid w:val="00733073"/>
    <w:rsid w:val="00733BC5"/>
    <w:rsid w:val="00734560"/>
    <w:rsid w:val="00735033"/>
    <w:rsid w:val="00735035"/>
    <w:rsid w:val="00735328"/>
    <w:rsid w:val="00735461"/>
    <w:rsid w:val="00735663"/>
    <w:rsid w:val="0073637A"/>
    <w:rsid w:val="00736410"/>
    <w:rsid w:val="0073685B"/>
    <w:rsid w:val="007368D1"/>
    <w:rsid w:val="0073716F"/>
    <w:rsid w:val="007373AD"/>
    <w:rsid w:val="00740475"/>
    <w:rsid w:val="00740A48"/>
    <w:rsid w:val="00740BFC"/>
    <w:rsid w:val="00740F75"/>
    <w:rsid w:val="00741467"/>
    <w:rsid w:val="00741DAE"/>
    <w:rsid w:val="007449BF"/>
    <w:rsid w:val="007452BA"/>
    <w:rsid w:val="00746BC0"/>
    <w:rsid w:val="00747C89"/>
    <w:rsid w:val="00750617"/>
    <w:rsid w:val="007510B4"/>
    <w:rsid w:val="00751967"/>
    <w:rsid w:val="00752142"/>
    <w:rsid w:val="007523F9"/>
    <w:rsid w:val="007529FC"/>
    <w:rsid w:val="0075357E"/>
    <w:rsid w:val="00754A77"/>
    <w:rsid w:val="00754D46"/>
    <w:rsid w:val="00756413"/>
    <w:rsid w:val="007573E8"/>
    <w:rsid w:val="00757871"/>
    <w:rsid w:val="00757970"/>
    <w:rsid w:val="00757B03"/>
    <w:rsid w:val="00757C9D"/>
    <w:rsid w:val="007603E2"/>
    <w:rsid w:val="00760C02"/>
    <w:rsid w:val="00760C4E"/>
    <w:rsid w:val="00760F9E"/>
    <w:rsid w:val="007627BE"/>
    <w:rsid w:val="00762F80"/>
    <w:rsid w:val="007644BC"/>
    <w:rsid w:val="00764709"/>
    <w:rsid w:val="00764F03"/>
    <w:rsid w:val="007651BB"/>
    <w:rsid w:val="00765503"/>
    <w:rsid w:val="00765AF9"/>
    <w:rsid w:val="00765B1A"/>
    <w:rsid w:val="00765F9B"/>
    <w:rsid w:val="0076607A"/>
    <w:rsid w:val="0076679C"/>
    <w:rsid w:val="00766E0C"/>
    <w:rsid w:val="00767362"/>
    <w:rsid w:val="00767975"/>
    <w:rsid w:val="00771592"/>
    <w:rsid w:val="007716FA"/>
    <w:rsid w:val="00773414"/>
    <w:rsid w:val="00773AE1"/>
    <w:rsid w:val="007747BC"/>
    <w:rsid w:val="00774D65"/>
    <w:rsid w:val="00775444"/>
    <w:rsid w:val="0077668F"/>
    <w:rsid w:val="00777242"/>
    <w:rsid w:val="00777335"/>
    <w:rsid w:val="00780C06"/>
    <w:rsid w:val="00780E5F"/>
    <w:rsid w:val="0078200A"/>
    <w:rsid w:val="007843F2"/>
    <w:rsid w:val="007859ED"/>
    <w:rsid w:val="00785A9F"/>
    <w:rsid w:val="00785B37"/>
    <w:rsid w:val="00787032"/>
    <w:rsid w:val="00790425"/>
    <w:rsid w:val="0079059D"/>
    <w:rsid w:val="007925DF"/>
    <w:rsid w:val="00792CE2"/>
    <w:rsid w:val="0079456A"/>
    <w:rsid w:val="0079596C"/>
    <w:rsid w:val="00796825"/>
    <w:rsid w:val="00796DED"/>
    <w:rsid w:val="007A08AA"/>
    <w:rsid w:val="007A0A12"/>
    <w:rsid w:val="007A132D"/>
    <w:rsid w:val="007A1345"/>
    <w:rsid w:val="007A2BDE"/>
    <w:rsid w:val="007A2C4C"/>
    <w:rsid w:val="007A2DDB"/>
    <w:rsid w:val="007A3134"/>
    <w:rsid w:val="007A31C3"/>
    <w:rsid w:val="007A371A"/>
    <w:rsid w:val="007A4A23"/>
    <w:rsid w:val="007A4DA3"/>
    <w:rsid w:val="007A51D2"/>
    <w:rsid w:val="007A5A12"/>
    <w:rsid w:val="007A5E9D"/>
    <w:rsid w:val="007A62B1"/>
    <w:rsid w:val="007A6508"/>
    <w:rsid w:val="007A70BA"/>
    <w:rsid w:val="007A7159"/>
    <w:rsid w:val="007A7E7C"/>
    <w:rsid w:val="007B0A84"/>
    <w:rsid w:val="007B0D68"/>
    <w:rsid w:val="007B118D"/>
    <w:rsid w:val="007B14F0"/>
    <w:rsid w:val="007B1566"/>
    <w:rsid w:val="007B1B96"/>
    <w:rsid w:val="007B251D"/>
    <w:rsid w:val="007B4240"/>
    <w:rsid w:val="007B49D7"/>
    <w:rsid w:val="007B4F36"/>
    <w:rsid w:val="007B4F58"/>
    <w:rsid w:val="007B50AE"/>
    <w:rsid w:val="007B528D"/>
    <w:rsid w:val="007B6021"/>
    <w:rsid w:val="007B63CA"/>
    <w:rsid w:val="007B77D1"/>
    <w:rsid w:val="007C07C7"/>
    <w:rsid w:val="007C0E0E"/>
    <w:rsid w:val="007C105C"/>
    <w:rsid w:val="007C106C"/>
    <w:rsid w:val="007C1307"/>
    <w:rsid w:val="007C1855"/>
    <w:rsid w:val="007C194A"/>
    <w:rsid w:val="007C1CD9"/>
    <w:rsid w:val="007C28EB"/>
    <w:rsid w:val="007C2D5B"/>
    <w:rsid w:val="007C32EF"/>
    <w:rsid w:val="007C361D"/>
    <w:rsid w:val="007C40F9"/>
    <w:rsid w:val="007C4B84"/>
    <w:rsid w:val="007C69A1"/>
    <w:rsid w:val="007C70FF"/>
    <w:rsid w:val="007C7C25"/>
    <w:rsid w:val="007C7C76"/>
    <w:rsid w:val="007D004F"/>
    <w:rsid w:val="007D01AF"/>
    <w:rsid w:val="007D0B38"/>
    <w:rsid w:val="007D0F35"/>
    <w:rsid w:val="007D1A1A"/>
    <w:rsid w:val="007D216E"/>
    <w:rsid w:val="007D405D"/>
    <w:rsid w:val="007D5440"/>
    <w:rsid w:val="007D5441"/>
    <w:rsid w:val="007D5513"/>
    <w:rsid w:val="007D6724"/>
    <w:rsid w:val="007D69EB"/>
    <w:rsid w:val="007D6A87"/>
    <w:rsid w:val="007D7A5C"/>
    <w:rsid w:val="007E0383"/>
    <w:rsid w:val="007E06A7"/>
    <w:rsid w:val="007E093D"/>
    <w:rsid w:val="007E128F"/>
    <w:rsid w:val="007E2460"/>
    <w:rsid w:val="007E37B5"/>
    <w:rsid w:val="007E5BCE"/>
    <w:rsid w:val="007E5F24"/>
    <w:rsid w:val="007E76C4"/>
    <w:rsid w:val="007F1017"/>
    <w:rsid w:val="007F1446"/>
    <w:rsid w:val="007F1EE0"/>
    <w:rsid w:val="007F1F99"/>
    <w:rsid w:val="007F254D"/>
    <w:rsid w:val="007F39E1"/>
    <w:rsid w:val="007F4A3F"/>
    <w:rsid w:val="007F4A61"/>
    <w:rsid w:val="007F4CB8"/>
    <w:rsid w:val="007F4DFD"/>
    <w:rsid w:val="007F5255"/>
    <w:rsid w:val="007F535E"/>
    <w:rsid w:val="007F54EF"/>
    <w:rsid w:val="007F56CC"/>
    <w:rsid w:val="007F61C2"/>
    <w:rsid w:val="00801ACE"/>
    <w:rsid w:val="00802BE4"/>
    <w:rsid w:val="00804FA4"/>
    <w:rsid w:val="00805142"/>
    <w:rsid w:val="008051D8"/>
    <w:rsid w:val="00805FCE"/>
    <w:rsid w:val="00806D97"/>
    <w:rsid w:val="00807149"/>
    <w:rsid w:val="00807A8B"/>
    <w:rsid w:val="00807BDE"/>
    <w:rsid w:val="008104A3"/>
    <w:rsid w:val="00811383"/>
    <w:rsid w:val="00812149"/>
    <w:rsid w:val="0081238C"/>
    <w:rsid w:val="00812CAC"/>
    <w:rsid w:val="008131BA"/>
    <w:rsid w:val="008136AA"/>
    <w:rsid w:val="00813DC3"/>
    <w:rsid w:val="00814BCE"/>
    <w:rsid w:val="00815BD0"/>
    <w:rsid w:val="00815DB2"/>
    <w:rsid w:val="00815E06"/>
    <w:rsid w:val="00816205"/>
    <w:rsid w:val="00816361"/>
    <w:rsid w:val="008166EF"/>
    <w:rsid w:val="00816D6A"/>
    <w:rsid w:val="00816F95"/>
    <w:rsid w:val="00816FEF"/>
    <w:rsid w:val="008177EA"/>
    <w:rsid w:val="00817AE4"/>
    <w:rsid w:val="00817C19"/>
    <w:rsid w:val="00817EEB"/>
    <w:rsid w:val="00820A8C"/>
    <w:rsid w:val="008215FB"/>
    <w:rsid w:val="008226D4"/>
    <w:rsid w:val="008227CA"/>
    <w:rsid w:val="00822DF6"/>
    <w:rsid w:val="00822F02"/>
    <w:rsid w:val="00822F18"/>
    <w:rsid w:val="00823174"/>
    <w:rsid w:val="0082352B"/>
    <w:rsid w:val="008245B7"/>
    <w:rsid w:val="00824956"/>
    <w:rsid w:val="00824A25"/>
    <w:rsid w:val="008253C1"/>
    <w:rsid w:val="00825751"/>
    <w:rsid w:val="008257DF"/>
    <w:rsid w:val="00825B8B"/>
    <w:rsid w:val="00825D2A"/>
    <w:rsid w:val="00825D74"/>
    <w:rsid w:val="00826140"/>
    <w:rsid w:val="008264EB"/>
    <w:rsid w:val="0083005C"/>
    <w:rsid w:val="00831002"/>
    <w:rsid w:val="008328DA"/>
    <w:rsid w:val="00833B05"/>
    <w:rsid w:val="0083515C"/>
    <w:rsid w:val="008351F0"/>
    <w:rsid w:val="008353A9"/>
    <w:rsid w:val="008362B4"/>
    <w:rsid w:val="008365D7"/>
    <w:rsid w:val="0083695F"/>
    <w:rsid w:val="00836DD3"/>
    <w:rsid w:val="00840CA2"/>
    <w:rsid w:val="00842EBC"/>
    <w:rsid w:val="008432BA"/>
    <w:rsid w:val="00843303"/>
    <w:rsid w:val="0084374F"/>
    <w:rsid w:val="00843B21"/>
    <w:rsid w:val="00844160"/>
    <w:rsid w:val="00844A22"/>
    <w:rsid w:val="008458EA"/>
    <w:rsid w:val="0084606C"/>
    <w:rsid w:val="00847703"/>
    <w:rsid w:val="00847DF5"/>
    <w:rsid w:val="0085039F"/>
    <w:rsid w:val="00850546"/>
    <w:rsid w:val="00851E48"/>
    <w:rsid w:val="00852E1E"/>
    <w:rsid w:val="0085309D"/>
    <w:rsid w:val="00853AE3"/>
    <w:rsid w:val="008547BA"/>
    <w:rsid w:val="00856388"/>
    <w:rsid w:val="00856897"/>
    <w:rsid w:val="00856E9A"/>
    <w:rsid w:val="0085791D"/>
    <w:rsid w:val="008600C1"/>
    <w:rsid w:val="008604A3"/>
    <w:rsid w:val="0086075D"/>
    <w:rsid w:val="00860B78"/>
    <w:rsid w:val="00860F55"/>
    <w:rsid w:val="00862502"/>
    <w:rsid w:val="0086273E"/>
    <w:rsid w:val="00862CC1"/>
    <w:rsid w:val="0086314B"/>
    <w:rsid w:val="00864A38"/>
    <w:rsid w:val="0086561A"/>
    <w:rsid w:val="00865EE8"/>
    <w:rsid w:val="008660D4"/>
    <w:rsid w:val="00866A16"/>
    <w:rsid w:val="0086727F"/>
    <w:rsid w:val="00867C1C"/>
    <w:rsid w:val="00867F09"/>
    <w:rsid w:val="008707B9"/>
    <w:rsid w:val="00871416"/>
    <w:rsid w:val="00871C2F"/>
    <w:rsid w:val="00871FA9"/>
    <w:rsid w:val="008728E9"/>
    <w:rsid w:val="00872AD7"/>
    <w:rsid w:val="00872D62"/>
    <w:rsid w:val="00872EFF"/>
    <w:rsid w:val="00874D82"/>
    <w:rsid w:val="00875636"/>
    <w:rsid w:val="008803B7"/>
    <w:rsid w:val="008804D1"/>
    <w:rsid w:val="00882874"/>
    <w:rsid w:val="00882B5B"/>
    <w:rsid w:val="00882E3C"/>
    <w:rsid w:val="0088327E"/>
    <w:rsid w:val="008832CC"/>
    <w:rsid w:val="00883787"/>
    <w:rsid w:val="008841F4"/>
    <w:rsid w:val="008849E0"/>
    <w:rsid w:val="00884C86"/>
    <w:rsid w:val="008855E4"/>
    <w:rsid w:val="008864BE"/>
    <w:rsid w:val="00886CD2"/>
    <w:rsid w:val="00886D3B"/>
    <w:rsid w:val="00886D8B"/>
    <w:rsid w:val="0089021F"/>
    <w:rsid w:val="00890C34"/>
    <w:rsid w:val="00890E89"/>
    <w:rsid w:val="008919D3"/>
    <w:rsid w:val="00891E6F"/>
    <w:rsid w:val="0089275D"/>
    <w:rsid w:val="00892A36"/>
    <w:rsid w:val="008931D4"/>
    <w:rsid w:val="00893239"/>
    <w:rsid w:val="008939F5"/>
    <w:rsid w:val="00894489"/>
    <w:rsid w:val="00894C88"/>
    <w:rsid w:val="00894FBE"/>
    <w:rsid w:val="008963A5"/>
    <w:rsid w:val="00896D5D"/>
    <w:rsid w:val="00897456"/>
    <w:rsid w:val="008974DF"/>
    <w:rsid w:val="008A1FEF"/>
    <w:rsid w:val="008A2154"/>
    <w:rsid w:val="008A3041"/>
    <w:rsid w:val="008A314D"/>
    <w:rsid w:val="008A3363"/>
    <w:rsid w:val="008A3371"/>
    <w:rsid w:val="008A3C3E"/>
    <w:rsid w:val="008A5552"/>
    <w:rsid w:val="008A5C23"/>
    <w:rsid w:val="008A79DE"/>
    <w:rsid w:val="008A7FDD"/>
    <w:rsid w:val="008B0025"/>
    <w:rsid w:val="008B0F85"/>
    <w:rsid w:val="008B1550"/>
    <w:rsid w:val="008B1757"/>
    <w:rsid w:val="008B2BA7"/>
    <w:rsid w:val="008B4494"/>
    <w:rsid w:val="008B48B6"/>
    <w:rsid w:val="008B6185"/>
    <w:rsid w:val="008B61BC"/>
    <w:rsid w:val="008B751F"/>
    <w:rsid w:val="008B7992"/>
    <w:rsid w:val="008B7D7E"/>
    <w:rsid w:val="008C05B1"/>
    <w:rsid w:val="008C0E18"/>
    <w:rsid w:val="008C12F6"/>
    <w:rsid w:val="008C2343"/>
    <w:rsid w:val="008C2568"/>
    <w:rsid w:val="008C25CC"/>
    <w:rsid w:val="008C35F2"/>
    <w:rsid w:val="008C4127"/>
    <w:rsid w:val="008C5610"/>
    <w:rsid w:val="008C5739"/>
    <w:rsid w:val="008C6D68"/>
    <w:rsid w:val="008C700F"/>
    <w:rsid w:val="008C71B3"/>
    <w:rsid w:val="008C72C8"/>
    <w:rsid w:val="008C7ECB"/>
    <w:rsid w:val="008D046A"/>
    <w:rsid w:val="008D0C53"/>
    <w:rsid w:val="008D1478"/>
    <w:rsid w:val="008D32A3"/>
    <w:rsid w:val="008D3B55"/>
    <w:rsid w:val="008D3B86"/>
    <w:rsid w:val="008D4755"/>
    <w:rsid w:val="008D4C3D"/>
    <w:rsid w:val="008D4D4D"/>
    <w:rsid w:val="008D4E50"/>
    <w:rsid w:val="008D6967"/>
    <w:rsid w:val="008D743C"/>
    <w:rsid w:val="008D76C0"/>
    <w:rsid w:val="008D7B70"/>
    <w:rsid w:val="008E010B"/>
    <w:rsid w:val="008E0970"/>
    <w:rsid w:val="008E0D3C"/>
    <w:rsid w:val="008E1B9E"/>
    <w:rsid w:val="008E396E"/>
    <w:rsid w:val="008E52F2"/>
    <w:rsid w:val="008E55AB"/>
    <w:rsid w:val="008F1157"/>
    <w:rsid w:val="008F120A"/>
    <w:rsid w:val="008F27A0"/>
    <w:rsid w:val="008F27E0"/>
    <w:rsid w:val="008F2BEB"/>
    <w:rsid w:val="008F4594"/>
    <w:rsid w:val="008F48EB"/>
    <w:rsid w:val="008F4F0B"/>
    <w:rsid w:val="008F7A39"/>
    <w:rsid w:val="008F7CB0"/>
    <w:rsid w:val="00900C80"/>
    <w:rsid w:val="00901397"/>
    <w:rsid w:val="0090175C"/>
    <w:rsid w:val="009030A4"/>
    <w:rsid w:val="009035D0"/>
    <w:rsid w:val="009046C4"/>
    <w:rsid w:val="00905043"/>
    <w:rsid w:val="00906283"/>
    <w:rsid w:val="009062A5"/>
    <w:rsid w:val="00906309"/>
    <w:rsid w:val="00906734"/>
    <w:rsid w:val="0090676F"/>
    <w:rsid w:val="009105F9"/>
    <w:rsid w:val="00910790"/>
    <w:rsid w:val="00910F77"/>
    <w:rsid w:val="00910FA7"/>
    <w:rsid w:val="00911272"/>
    <w:rsid w:val="00912EE2"/>
    <w:rsid w:val="00912FE1"/>
    <w:rsid w:val="009131A5"/>
    <w:rsid w:val="009135D6"/>
    <w:rsid w:val="00913E04"/>
    <w:rsid w:val="00914121"/>
    <w:rsid w:val="00914C77"/>
    <w:rsid w:val="00916633"/>
    <w:rsid w:val="00916CF7"/>
    <w:rsid w:val="009173CE"/>
    <w:rsid w:val="00917554"/>
    <w:rsid w:val="00917E59"/>
    <w:rsid w:val="00920EF1"/>
    <w:rsid w:val="0092122F"/>
    <w:rsid w:val="00921881"/>
    <w:rsid w:val="00921ACB"/>
    <w:rsid w:val="00921F0D"/>
    <w:rsid w:val="00922D14"/>
    <w:rsid w:val="0092369B"/>
    <w:rsid w:val="0092490A"/>
    <w:rsid w:val="00925971"/>
    <w:rsid w:val="00925A28"/>
    <w:rsid w:val="00926272"/>
    <w:rsid w:val="0092638E"/>
    <w:rsid w:val="00926CA3"/>
    <w:rsid w:val="009302F3"/>
    <w:rsid w:val="00931479"/>
    <w:rsid w:val="00932FF1"/>
    <w:rsid w:val="00934988"/>
    <w:rsid w:val="00935E2C"/>
    <w:rsid w:val="00936591"/>
    <w:rsid w:val="00936A8E"/>
    <w:rsid w:val="00936B5F"/>
    <w:rsid w:val="00937089"/>
    <w:rsid w:val="009405C2"/>
    <w:rsid w:val="00941E05"/>
    <w:rsid w:val="00943D06"/>
    <w:rsid w:val="00944747"/>
    <w:rsid w:val="00944E19"/>
    <w:rsid w:val="00944F8A"/>
    <w:rsid w:val="00945532"/>
    <w:rsid w:val="00946922"/>
    <w:rsid w:val="00946BB6"/>
    <w:rsid w:val="00947657"/>
    <w:rsid w:val="00947F66"/>
    <w:rsid w:val="009510A2"/>
    <w:rsid w:val="00953257"/>
    <w:rsid w:val="00953418"/>
    <w:rsid w:val="00953AB6"/>
    <w:rsid w:val="00954190"/>
    <w:rsid w:val="0095426C"/>
    <w:rsid w:val="0095474C"/>
    <w:rsid w:val="009551A2"/>
    <w:rsid w:val="009559A3"/>
    <w:rsid w:val="00955CDB"/>
    <w:rsid w:val="00956331"/>
    <w:rsid w:val="009563DA"/>
    <w:rsid w:val="009565F7"/>
    <w:rsid w:val="00957002"/>
    <w:rsid w:val="009601FB"/>
    <w:rsid w:val="00960706"/>
    <w:rsid w:val="009617FB"/>
    <w:rsid w:val="00961C8C"/>
    <w:rsid w:val="00962CB9"/>
    <w:rsid w:val="00964312"/>
    <w:rsid w:val="0096453B"/>
    <w:rsid w:val="00965B8A"/>
    <w:rsid w:val="00966666"/>
    <w:rsid w:val="0096798E"/>
    <w:rsid w:val="00967AC0"/>
    <w:rsid w:val="0097071F"/>
    <w:rsid w:val="00970839"/>
    <w:rsid w:val="009717AC"/>
    <w:rsid w:val="00971D8D"/>
    <w:rsid w:val="0097219D"/>
    <w:rsid w:val="00972299"/>
    <w:rsid w:val="00972A47"/>
    <w:rsid w:val="00972AB1"/>
    <w:rsid w:val="00973CF9"/>
    <w:rsid w:val="009751C1"/>
    <w:rsid w:val="0097663D"/>
    <w:rsid w:val="00976EAC"/>
    <w:rsid w:val="00977763"/>
    <w:rsid w:val="00977C58"/>
    <w:rsid w:val="00980F0F"/>
    <w:rsid w:val="00980F60"/>
    <w:rsid w:val="009811F1"/>
    <w:rsid w:val="009815C1"/>
    <w:rsid w:val="00982984"/>
    <w:rsid w:val="00983007"/>
    <w:rsid w:val="00983E57"/>
    <w:rsid w:val="00983F48"/>
    <w:rsid w:val="00984372"/>
    <w:rsid w:val="00985DE2"/>
    <w:rsid w:val="0098675D"/>
    <w:rsid w:val="009871F5"/>
    <w:rsid w:val="00987F7D"/>
    <w:rsid w:val="009904BA"/>
    <w:rsid w:val="00990B03"/>
    <w:rsid w:val="00990DC1"/>
    <w:rsid w:val="00990F20"/>
    <w:rsid w:val="00991AF4"/>
    <w:rsid w:val="009926E0"/>
    <w:rsid w:val="009937DA"/>
    <w:rsid w:val="00994226"/>
    <w:rsid w:val="0099442D"/>
    <w:rsid w:val="0099451E"/>
    <w:rsid w:val="00995696"/>
    <w:rsid w:val="00996B1A"/>
    <w:rsid w:val="009A16C2"/>
    <w:rsid w:val="009A1D47"/>
    <w:rsid w:val="009A2DCC"/>
    <w:rsid w:val="009A3DE1"/>
    <w:rsid w:val="009A5ABC"/>
    <w:rsid w:val="009A6EA0"/>
    <w:rsid w:val="009A7721"/>
    <w:rsid w:val="009A7F10"/>
    <w:rsid w:val="009B002D"/>
    <w:rsid w:val="009B0267"/>
    <w:rsid w:val="009B0779"/>
    <w:rsid w:val="009B2AAC"/>
    <w:rsid w:val="009B2AAD"/>
    <w:rsid w:val="009B2E93"/>
    <w:rsid w:val="009B3386"/>
    <w:rsid w:val="009B3E26"/>
    <w:rsid w:val="009B5333"/>
    <w:rsid w:val="009B559F"/>
    <w:rsid w:val="009B6177"/>
    <w:rsid w:val="009B6F6B"/>
    <w:rsid w:val="009C00B5"/>
    <w:rsid w:val="009C0EB7"/>
    <w:rsid w:val="009C1D52"/>
    <w:rsid w:val="009C23F6"/>
    <w:rsid w:val="009C3706"/>
    <w:rsid w:val="009C387F"/>
    <w:rsid w:val="009C3A3A"/>
    <w:rsid w:val="009C4BAB"/>
    <w:rsid w:val="009C4C38"/>
    <w:rsid w:val="009C607D"/>
    <w:rsid w:val="009C61D2"/>
    <w:rsid w:val="009C6CEA"/>
    <w:rsid w:val="009C742D"/>
    <w:rsid w:val="009C7873"/>
    <w:rsid w:val="009C7B85"/>
    <w:rsid w:val="009D0254"/>
    <w:rsid w:val="009D1756"/>
    <w:rsid w:val="009D1948"/>
    <w:rsid w:val="009D1A64"/>
    <w:rsid w:val="009D1D69"/>
    <w:rsid w:val="009D2277"/>
    <w:rsid w:val="009D4935"/>
    <w:rsid w:val="009D508C"/>
    <w:rsid w:val="009D5B91"/>
    <w:rsid w:val="009D7139"/>
    <w:rsid w:val="009D7369"/>
    <w:rsid w:val="009D792E"/>
    <w:rsid w:val="009D7DCA"/>
    <w:rsid w:val="009E0BD3"/>
    <w:rsid w:val="009E0C36"/>
    <w:rsid w:val="009E0DFE"/>
    <w:rsid w:val="009E108B"/>
    <w:rsid w:val="009E22F7"/>
    <w:rsid w:val="009E30D3"/>
    <w:rsid w:val="009E31F6"/>
    <w:rsid w:val="009E48B3"/>
    <w:rsid w:val="009E4C07"/>
    <w:rsid w:val="009E5854"/>
    <w:rsid w:val="009E59C0"/>
    <w:rsid w:val="009E6604"/>
    <w:rsid w:val="009E665F"/>
    <w:rsid w:val="009E69FF"/>
    <w:rsid w:val="009F15B5"/>
    <w:rsid w:val="009F1933"/>
    <w:rsid w:val="009F1F70"/>
    <w:rsid w:val="009F3BAE"/>
    <w:rsid w:val="009F458A"/>
    <w:rsid w:val="009F5088"/>
    <w:rsid w:val="009F5FA9"/>
    <w:rsid w:val="009F7111"/>
    <w:rsid w:val="009F79EF"/>
    <w:rsid w:val="00A00D80"/>
    <w:rsid w:val="00A01184"/>
    <w:rsid w:val="00A01B7D"/>
    <w:rsid w:val="00A02260"/>
    <w:rsid w:val="00A02E21"/>
    <w:rsid w:val="00A037C2"/>
    <w:rsid w:val="00A03D43"/>
    <w:rsid w:val="00A04380"/>
    <w:rsid w:val="00A05442"/>
    <w:rsid w:val="00A05472"/>
    <w:rsid w:val="00A05AFF"/>
    <w:rsid w:val="00A05C32"/>
    <w:rsid w:val="00A06197"/>
    <w:rsid w:val="00A06299"/>
    <w:rsid w:val="00A0653F"/>
    <w:rsid w:val="00A07B1A"/>
    <w:rsid w:val="00A10B41"/>
    <w:rsid w:val="00A10DD9"/>
    <w:rsid w:val="00A11CD0"/>
    <w:rsid w:val="00A12FD0"/>
    <w:rsid w:val="00A130E9"/>
    <w:rsid w:val="00A13948"/>
    <w:rsid w:val="00A139B7"/>
    <w:rsid w:val="00A1488E"/>
    <w:rsid w:val="00A1555B"/>
    <w:rsid w:val="00A155C5"/>
    <w:rsid w:val="00A166FD"/>
    <w:rsid w:val="00A16AD8"/>
    <w:rsid w:val="00A17B7F"/>
    <w:rsid w:val="00A17D43"/>
    <w:rsid w:val="00A21149"/>
    <w:rsid w:val="00A21153"/>
    <w:rsid w:val="00A21C95"/>
    <w:rsid w:val="00A21CF3"/>
    <w:rsid w:val="00A2381D"/>
    <w:rsid w:val="00A24813"/>
    <w:rsid w:val="00A259B8"/>
    <w:rsid w:val="00A25E5B"/>
    <w:rsid w:val="00A26446"/>
    <w:rsid w:val="00A264C3"/>
    <w:rsid w:val="00A2654B"/>
    <w:rsid w:val="00A2685B"/>
    <w:rsid w:val="00A270AE"/>
    <w:rsid w:val="00A27AEC"/>
    <w:rsid w:val="00A30B41"/>
    <w:rsid w:val="00A311C4"/>
    <w:rsid w:val="00A31703"/>
    <w:rsid w:val="00A320DB"/>
    <w:rsid w:val="00A33AEA"/>
    <w:rsid w:val="00A33EFC"/>
    <w:rsid w:val="00A34643"/>
    <w:rsid w:val="00A35890"/>
    <w:rsid w:val="00A35D16"/>
    <w:rsid w:val="00A36C5A"/>
    <w:rsid w:val="00A37837"/>
    <w:rsid w:val="00A37BCD"/>
    <w:rsid w:val="00A40047"/>
    <w:rsid w:val="00A41689"/>
    <w:rsid w:val="00A42592"/>
    <w:rsid w:val="00A43545"/>
    <w:rsid w:val="00A43C59"/>
    <w:rsid w:val="00A446D7"/>
    <w:rsid w:val="00A44D49"/>
    <w:rsid w:val="00A45536"/>
    <w:rsid w:val="00A456C7"/>
    <w:rsid w:val="00A46BBF"/>
    <w:rsid w:val="00A5057C"/>
    <w:rsid w:val="00A50ECD"/>
    <w:rsid w:val="00A518F3"/>
    <w:rsid w:val="00A51974"/>
    <w:rsid w:val="00A52729"/>
    <w:rsid w:val="00A53675"/>
    <w:rsid w:val="00A54995"/>
    <w:rsid w:val="00A564D7"/>
    <w:rsid w:val="00A56819"/>
    <w:rsid w:val="00A56B6A"/>
    <w:rsid w:val="00A56EF1"/>
    <w:rsid w:val="00A572CC"/>
    <w:rsid w:val="00A578A2"/>
    <w:rsid w:val="00A578DC"/>
    <w:rsid w:val="00A601CE"/>
    <w:rsid w:val="00A60A48"/>
    <w:rsid w:val="00A62549"/>
    <w:rsid w:val="00A62569"/>
    <w:rsid w:val="00A628F6"/>
    <w:rsid w:val="00A640CB"/>
    <w:rsid w:val="00A640E2"/>
    <w:rsid w:val="00A64D65"/>
    <w:rsid w:val="00A65770"/>
    <w:rsid w:val="00A66A0E"/>
    <w:rsid w:val="00A66BEF"/>
    <w:rsid w:val="00A6710F"/>
    <w:rsid w:val="00A6725B"/>
    <w:rsid w:val="00A70252"/>
    <w:rsid w:val="00A70605"/>
    <w:rsid w:val="00A707A0"/>
    <w:rsid w:val="00A708A4"/>
    <w:rsid w:val="00A7196E"/>
    <w:rsid w:val="00A71A84"/>
    <w:rsid w:val="00A72ABE"/>
    <w:rsid w:val="00A73134"/>
    <w:rsid w:val="00A73A92"/>
    <w:rsid w:val="00A74313"/>
    <w:rsid w:val="00A74F0A"/>
    <w:rsid w:val="00A75126"/>
    <w:rsid w:val="00A75326"/>
    <w:rsid w:val="00A758CB"/>
    <w:rsid w:val="00A76001"/>
    <w:rsid w:val="00A765C3"/>
    <w:rsid w:val="00A7696B"/>
    <w:rsid w:val="00A777B2"/>
    <w:rsid w:val="00A77C1B"/>
    <w:rsid w:val="00A80490"/>
    <w:rsid w:val="00A80AFD"/>
    <w:rsid w:val="00A80DC2"/>
    <w:rsid w:val="00A8148D"/>
    <w:rsid w:val="00A81F68"/>
    <w:rsid w:val="00A825D4"/>
    <w:rsid w:val="00A828F6"/>
    <w:rsid w:val="00A82B73"/>
    <w:rsid w:val="00A82BF5"/>
    <w:rsid w:val="00A82C8D"/>
    <w:rsid w:val="00A835AE"/>
    <w:rsid w:val="00A84DB4"/>
    <w:rsid w:val="00A85474"/>
    <w:rsid w:val="00A855BE"/>
    <w:rsid w:val="00A86665"/>
    <w:rsid w:val="00A86DC1"/>
    <w:rsid w:val="00A86E8B"/>
    <w:rsid w:val="00A86EE7"/>
    <w:rsid w:val="00A87164"/>
    <w:rsid w:val="00A8798C"/>
    <w:rsid w:val="00A9158E"/>
    <w:rsid w:val="00A918E3"/>
    <w:rsid w:val="00A91F8F"/>
    <w:rsid w:val="00A92B76"/>
    <w:rsid w:val="00A93072"/>
    <w:rsid w:val="00A938BD"/>
    <w:rsid w:val="00A93953"/>
    <w:rsid w:val="00A945B0"/>
    <w:rsid w:val="00A95888"/>
    <w:rsid w:val="00A959D8"/>
    <w:rsid w:val="00A95AD0"/>
    <w:rsid w:val="00A96534"/>
    <w:rsid w:val="00A97FB4"/>
    <w:rsid w:val="00AA0F7A"/>
    <w:rsid w:val="00AA113D"/>
    <w:rsid w:val="00AA18FA"/>
    <w:rsid w:val="00AA1C71"/>
    <w:rsid w:val="00AA1E32"/>
    <w:rsid w:val="00AA2092"/>
    <w:rsid w:val="00AA2EE9"/>
    <w:rsid w:val="00AA6BD5"/>
    <w:rsid w:val="00AA6BD8"/>
    <w:rsid w:val="00AA6C7D"/>
    <w:rsid w:val="00AA7FD6"/>
    <w:rsid w:val="00AB042A"/>
    <w:rsid w:val="00AB0DC2"/>
    <w:rsid w:val="00AB13AF"/>
    <w:rsid w:val="00AB19EF"/>
    <w:rsid w:val="00AB2348"/>
    <w:rsid w:val="00AB2C38"/>
    <w:rsid w:val="00AB2D34"/>
    <w:rsid w:val="00AB33B0"/>
    <w:rsid w:val="00AB3430"/>
    <w:rsid w:val="00AB37B9"/>
    <w:rsid w:val="00AB49FB"/>
    <w:rsid w:val="00AB4AD1"/>
    <w:rsid w:val="00AB5918"/>
    <w:rsid w:val="00AB5A32"/>
    <w:rsid w:val="00AB5B02"/>
    <w:rsid w:val="00AB5E07"/>
    <w:rsid w:val="00AB7189"/>
    <w:rsid w:val="00AB7CFA"/>
    <w:rsid w:val="00AC0D46"/>
    <w:rsid w:val="00AC104E"/>
    <w:rsid w:val="00AC19C3"/>
    <w:rsid w:val="00AC4EC5"/>
    <w:rsid w:val="00AC5B48"/>
    <w:rsid w:val="00AC5EB2"/>
    <w:rsid w:val="00AC6E79"/>
    <w:rsid w:val="00AC75A4"/>
    <w:rsid w:val="00AC7658"/>
    <w:rsid w:val="00AC793A"/>
    <w:rsid w:val="00AD1450"/>
    <w:rsid w:val="00AD2503"/>
    <w:rsid w:val="00AD2CFA"/>
    <w:rsid w:val="00AD3287"/>
    <w:rsid w:val="00AD34E5"/>
    <w:rsid w:val="00AD40FF"/>
    <w:rsid w:val="00AD4279"/>
    <w:rsid w:val="00AD42B0"/>
    <w:rsid w:val="00AD6298"/>
    <w:rsid w:val="00AD6502"/>
    <w:rsid w:val="00AD667C"/>
    <w:rsid w:val="00AD7895"/>
    <w:rsid w:val="00AE0552"/>
    <w:rsid w:val="00AE0695"/>
    <w:rsid w:val="00AE21DD"/>
    <w:rsid w:val="00AE2C82"/>
    <w:rsid w:val="00AE3E7E"/>
    <w:rsid w:val="00AE3E98"/>
    <w:rsid w:val="00AE433E"/>
    <w:rsid w:val="00AE54AD"/>
    <w:rsid w:val="00AE5F6E"/>
    <w:rsid w:val="00AE68D1"/>
    <w:rsid w:val="00AE6C06"/>
    <w:rsid w:val="00AE7319"/>
    <w:rsid w:val="00AE7774"/>
    <w:rsid w:val="00AF02A9"/>
    <w:rsid w:val="00AF0A26"/>
    <w:rsid w:val="00AF1315"/>
    <w:rsid w:val="00AF13F7"/>
    <w:rsid w:val="00AF19BF"/>
    <w:rsid w:val="00AF2DC3"/>
    <w:rsid w:val="00AF305D"/>
    <w:rsid w:val="00AF3098"/>
    <w:rsid w:val="00AF4D18"/>
    <w:rsid w:val="00AF5A5E"/>
    <w:rsid w:val="00AF5F1A"/>
    <w:rsid w:val="00AF7894"/>
    <w:rsid w:val="00B001F7"/>
    <w:rsid w:val="00B01C61"/>
    <w:rsid w:val="00B01EF8"/>
    <w:rsid w:val="00B02327"/>
    <w:rsid w:val="00B033E5"/>
    <w:rsid w:val="00B03A63"/>
    <w:rsid w:val="00B040ED"/>
    <w:rsid w:val="00B0562D"/>
    <w:rsid w:val="00B05869"/>
    <w:rsid w:val="00B058C9"/>
    <w:rsid w:val="00B065C3"/>
    <w:rsid w:val="00B0783C"/>
    <w:rsid w:val="00B07B14"/>
    <w:rsid w:val="00B10DD2"/>
    <w:rsid w:val="00B116AD"/>
    <w:rsid w:val="00B134C6"/>
    <w:rsid w:val="00B13AD3"/>
    <w:rsid w:val="00B13D93"/>
    <w:rsid w:val="00B14B2C"/>
    <w:rsid w:val="00B14F8C"/>
    <w:rsid w:val="00B155B9"/>
    <w:rsid w:val="00B201A4"/>
    <w:rsid w:val="00B201D1"/>
    <w:rsid w:val="00B2078D"/>
    <w:rsid w:val="00B21017"/>
    <w:rsid w:val="00B213A6"/>
    <w:rsid w:val="00B235B0"/>
    <w:rsid w:val="00B2490D"/>
    <w:rsid w:val="00B24B25"/>
    <w:rsid w:val="00B24DF6"/>
    <w:rsid w:val="00B25196"/>
    <w:rsid w:val="00B2623F"/>
    <w:rsid w:val="00B27CAE"/>
    <w:rsid w:val="00B27DD6"/>
    <w:rsid w:val="00B3059B"/>
    <w:rsid w:val="00B30B68"/>
    <w:rsid w:val="00B31430"/>
    <w:rsid w:val="00B31DED"/>
    <w:rsid w:val="00B32429"/>
    <w:rsid w:val="00B34FE2"/>
    <w:rsid w:val="00B35166"/>
    <w:rsid w:val="00B357D8"/>
    <w:rsid w:val="00B360F4"/>
    <w:rsid w:val="00B36A00"/>
    <w:rsid w:val="00B3726A"/>
    <w:rsid w:val="00B37590"/>
    <w:rsid w:val="00B37BFC"/>
    <w:rsid w:val="00B40358"/>
    <w:rsid w:val="00B40514"/>
    <w:rsid w:val="00B4061C"/>
    <w:rsid w:val="00B41614"/>
    <w:rsid w:val="00B41B1D"/>
    <w:rsid w:val="00B42002"/>
    <w:rsid w:val="00B42851"/>
    <w:rsid w:val="00B42F80"/>
    <w:rsid w:val="00B4350C"/>
    <w:rsid w:val="00B435CB"/>
    <w:rsid w:val="00B4419E"/>
    <w:rsid w:val="00B44564"/>
    <w:rsid w:val="00B4533C"/>
    <w:rsid w:val="00B45449"/>
    <w:rsid w:val="00B50236"/>
    <w:rsid w:val="00B504B6"/>
    <w:rsid w:val="00B505C8"/>
    <w:rsid w:val="00B50DB8"/>
    <w:rsid w:val="00B51279"/>
    <w:rsid w:val="00B52834"/>
    <w:rsid w:val="00B53654"/>
    <w:rsid w:val="00B537D3"/>
    <w:rsid w:val="00B53905"/>
    <w:rsid w:val="00B54680"/>
    <w:rsid w:val="00B549CB"/>
    <w:rsid w:val="00B54B5B"/>
    <w:rsid w:val="00B5562E"/>
    <w:rsid w:val="00B55D65"/>
    <w:rsid w:val="00B56098"/>
    <w:rsid w:val="00B5625F"/>
    <w:rsid w:val="00B564CC"/>
    <w:rsid w:val="00B56CB8"/>
    <w:rsid w:val="00B57000"/>
    <w:rsid w:val="00B5763C"/>
    <w:rsid w:val="00B57B13"/>
    <w:rsid w:val="00B57FB8"/>
    <w:rsid w:val="00B607AC"/>
    <w:rsid w:val="00B60939"/>
    <w:rsid w:val="00B60AFD"/>
    <w:rsid w:val="00B61685"/>
    <w:rsid w:val="00B62396"/>
    <w:rsid w:val="00B62715"/>
    <w:rsid w:val="00B632F3"/>
    <w:rsid w:val="00B63552"/>
    <w:rsid w:val="00B6525F"/>
    <w:rsid w:val="00B65611"/>
    <w:rsid w:val="00B656EF"/>
    <w:rsid w:val="00B65A92"/>
    <w:rsid w:val="00B65B53"/>
    <w:rsid w:val="00B66919"/>
    <w:rsid w:val="00B66C4B"/>
    <w:rsid w:val="00B67B4C"/>
    <w:rsid w:val="00B70219"/>
    <w:rsid w:val="00B70CD2"/>
    <w:rsid w:val="00B70E8E"/>
    <w:rsid w:val="00B711B6"/>
    <w:rsid w:val="00B713E8"/>
    <w:rsid w:val="00B71612"/>
    <w:rsid w:val="00B71D7E"/>
    <w:rsid w:val="00B71E05"/>
    <w:rsid w:val="00B7283F"/>
    <w:rsid w:val="00B741F6"/>
    <w:rsid w:val="00B7460A"/>
    <w:rsid w:val="00B74611"/>
    <w:rsid w:val="00B74A71"/>
    <w:rsid w:val="00B74EAD"/>
    <w:rsid w:val="00B75D7B"/>
    <w:rsid w:val="00B76C92"/>
    <w:rsid w:val="00B811B8"/>
    <w:rsid w:val="00B8120F"/>
    <w:rsid w:val="00B814BC"/>
    <w:rsid w:val="00B81762"/>
    <w:rsid w:val="00B818A4"/>
    <w:rsid w:val="00B81A18"/>
    <w:rsid w:val="00B83A1C"/>
    <w:rsid w:val="00B83BDA"/>
    <w:rsid w:val="00B83EB2"/>
    <w:rsid w:val="00B84117"/>
    <w:rsid w:val="00B8560E"/>
    <w:rsid w:val="00B858F0"/>
    <w:rsid w:val="00B85AA1"/>
    <w:rsid w:val="00B85AA2"/>
    <w:rsid w:val="00B8649C"/>
    <w:rsid w:val="00B8695D"/>
    <w:rsid w:val="00B86B09"/>
    <w:rsid w:val="00B87E1D"/>
    <w:rsid w:val="00B87F0A"/>
    <w:rsid w:val="00B91369"/>
    <w:rsid w:val="00B92531"/>
    <w:rsid w:val="00B92A01"/>
    <w:rsid w:val="00B92D0B"/>
    <w:rsid w:val="00B93173"/>
    <w:rsid w:val="00B94945"/>
    <w:rsid w:val="00B94DD6"/>
    <w:rsid w:val="00B953F4"/>
    <w:rsid w:val="00BA22D2"/>
    <w:rsid w:val="00BA2808"/>
    <w:rsid w:val="00BA2AC7"/>
    <w:rsid w:val="00BA2C9A"/>
    <w:rsid w:val="00BA310F"/>
    <w:rsid w:val="00BA322D"/>
    <w:rsid w:val="00BA3931"/>
    <w:rsid w:val="00BA39F2"/>
    <w:rsid w:val="00BA5E94"/>
    <w:rsid w:val="00BA63FA"/>
    <w:rsid w:val="00BA73BE"/>
    <w:rsid w:val="00BA744E"/>
    <w:rsid w:val="00BB00B3"/>
    <w:rsid w:val="00BB0B55"/>
    <w:rsid w:val="00BB0BDD"/>
    <w:rsid w:val="00BB0F12"/>
    <w:rsid w:val="00BB176C"/>
    <w:rsid w:val="00BB2A73"/>
    <w:rsid w:val="00BB2E11"/>
    <w:rsid w:val="00BB32BA"/>
    <w:rsid w:val="00BB3A45"/>
    <w:rsid w:val="00BB3B69"/>
    <w:rsid w:val="00BB3BD9"/>
    <w:rsid w:val="00BB4059"/>
    <w:rsid w:val="00BB4ACC"/>
    <w:rsid w:val="00BB5DFB"/>
    <w:rsid w:val="00BB6A6F"/>
    <w:rsid w:val="00BB703E"/>
    <w:rsid w:val="00BB732D"/>
    <w:rsid w:val="00BB7405"/>
    <w:rsid w:val="00BB76C3"/>
    <w:rsid w:val="00BB7A7F"/>
    <w:rsid w:val="00BC0316"/>
    <w:rsid w:val="00BC0355"/>
    <w:rsid w:val="00BC1699"/>
    <w:rsid w:val="00BC2636"/>
    <w:rsid w:val="00BC30B3"/>
    <w:rsid w:val="00BC3155"/>
    <w:rsid w:val="00BC34D2"/>
    <w:rsid w:val="00BC3631"/>
    <w:rsid w:val="00BC4680"/>
    <w:rsid w:val="00BC56B6"/>
    <w:rsid w:val="00BC591F"/>
    <w:rsid w:val="00BC61E3"/>
    <w:rsid w:val="00BC675C"/>
    <w:rsid w:val="00BC6988"/>
    <w:rsid w:val="00BC6CDB"/>
    <w:rsid w:val="00BC7D6D"/>
    <w:rsid w:val="00BD0273"/>
    <w:rsid w:val="00BD05E5"/>
    <w:rsid w:val="00BD2108"/>
    <w:rsid w:val="00BD28E5"/>
    <w:rsid w:val="00BD2D08"/>
    <w:rsid w:val="00BD329E"/>
    <w:rsid w:val="00BD3A35"/>
    <w:rsid w:val="00BD404D"/>
    <w:rsid w:val="00BD4D10"/>
    <w:rsid w:val="00BD68A3"/>
    <w:rsid w:val="00BD6938"/>
    <w:rsid w:val="00BD6CF3"/>
    <w:rsid w:val="00BD7E08"/>
    <w:rsid w:val="00BE077F"/>
    <w:rsid w:val="00BE0980"/>
    <w:rsid w:val="00BE0E73"/>
    <w:rsid w:val="00BE0ECA"/>
    <w:rsid w:val="00BE2180"/>
    <w:rsid w:val="00BE21F2"/>
    <w:rsid w:val="00BE4275"/>
    <w:rsid w:val="00BE447A"/>
    <w:rsid w:val="00BE6B70"/>
    <w:rsid w:val="00BE715A"/>
    <w:rsid w:val="00BF06AE"/>
    <w:rsid w:val="00BF0F95"/>
    <w:rsid w:val="00BF1352"/>
    <w:rsid w:val="00BF16DB"/>
    <w:rsid w:val="00BF1809"/>
    <w:rsid w:val="00BF1D21"/>
    <w:rsid w:val="00BF2321"/>
    <w:rsid w:val="00BF2433"/>
    <w:rsid w:val="00BF2E87"/>
    <w:rsid w:val="00BF4FC4"/>
    <w:rsid w:val="00BF61C9"/>
    <w:rsid w:val="00BF6AE8"/>
    <w:rsid w:val="00BF6C94"/>
    <w:rsid w:val="00C0010D"/>
    <w:rsid w:val="00C00424"/>
    <w:rsid w:val="00C0145A"/>
    <w:rsid w:val="00C0392E"/>
    <w:rsid w:val="00C04811"/>
    <w:rsid w:val="00C05423"/>
    <w:rsid w:val="00C05962"/>
    <w:rsid w:val="00C0600E"/>
    <w:rsid w:val="00C068F2"/>
    <w:rsid w:val="00C06B95"/>
    <w:rsid w:val="00C079E3"/>
    <w:rsid w:val="00C10662"/>
    <w:rsid w:val="00C10BB9"/>
    <w:rsid w:val="00C1179F"/>
    <w:rsid w:val="00C12C14"/>
    <w:rsid w:val="00C12CB1"/>
    <w:rsid w:val="00C135E9"/>
    <w:rsid w:val="00C1366C"/>
    <w:rsid w:val="00C13DFC"/>
    <w:rsid w:val="00C1456B"/>
    <w:rsid w:val="00C14D18"/>
    <w:rsid w:val="00C151CC"/>
    <w:rsid w:val="00C15F04"/>
    <w:rsid w:val="00C1729D"/>
    <w:rsid w:val="00C176C7"/>
    <w:rsid w:val="00C176D1"/>
    <w:rsid w:val="00C179B3"/>
    <w:rsid w:val="00C17B64"/>
    <w:rsid w:val="00C17E3F"/>
    <w:rsid w:val="00C200AA"/>
    <w:rsid w:val="00C20EFE"/>
    <w:rsid w:val="00C2104A"/>
    <w:rsid w:val="00C21B1D"/>
    <w:rsid w:val="00C22F0F"/>
    <w:rsid w:val="00C23301"/>
    <w:rsid w:val="00C237ED"/>
    <w:rsid w:val="00C23910"/>
    <w:rsid w:val="00C24578"/>
    <w:rsid w:val="00C24632"/>
    <w:rsid w:val="00C248E7"/>
    <w:rsid w:val="00C25418"/>
    <w:rsid w:val="00C25D9C"/>
    <w:rsid w:val="00C25FF0"/>
    <w:rsid w:val="00C268F9"/>
    <w:rsid w:val="00C2778B"/>
    <w:rsid w:val="00C27B76"/>
    <w:rsid w:val="00C304EE"/>
    <w:rsid w:val="00C31649"/>
    <w:rsid w:val="00C316D8"/>
    <w:rsid w:val="00C32C21"/>
    <w:rsid w:val="00C33253"/>
    <w:rsid w:val="00C33BAB"/>
    <w:rsid w:val="00C3434C"/>
    <w:rsid w:val="00C3542F"/>
    <w:rsid w:val="00C36726"/>
    <w:rsid w:val="00C36C7C"/>
    <w:rsid w:val="00C37336"/>
    <w:rsid w:val="00C376D0"/>
    <w:rsid w:val="00C37789"/>
    <w:rsid w:val="00C37DEB"/>
    <w:rsid w:val="00C400ED"/>
    <w:rsid w:val="00C40385"/>
    <w:rsid w:val="00C40C57"/>
    <w:rsid w:val="00C41768"/>
    <w:rsid w:val="00C428BE"/>
    <w:rsid w:val="00C4339E"/>
    <w:rsid w:val="00C445E5"/>
    <w:rsid w:val="00C44C2F"/>
    <w:rsid w:val="00C45295"/>
    <w:rsid w:val="00C45C40"/>
    <w:rsid w:val="00C4750F"/>
    <w:rsid w:val="00C475AA"/>
    <w:rsid w:val="00C4794D"/>
    <w:rsid w:val="00C47B5A"/>
    <w:rsid w:val="00C5033D"/>
    <w:rsid w:val="00C50CF2"/>
    <w:rsid w:val="00C517A7"/>
    <w:rsid w:val="00C51B59"/>
    <w:rsid w:val="00C52AE7"/>
    <w:rsid w:val="00C52DA3"/>
    <w:rsid w:val="00C53C98"/>
    <w:rsid w:val="00C53D88"/>
    <w:rsid w:val="00C5448C"/>
    <w:rsid w:val="00C54DCC"/>
    <w:rsid w:val="00C56FCF"/>
    <w:rsid w:val="00C575AC"/>
    <w:rsid w:val="00C57606"/>
    <w:rsid w:val="00C57825"/>
    <w:rsid w:val="00C57B6C"/>
    <w:rsid w:val="00C60241"/>
    <w:rsid w:val="00C606C8"/>
    <w:rsid w:val="00C61168"/>
    <w:rsid w:val="00C625A4"/>
    <w:rsid w:val="00C628A6"/>
    <w:rsid w:val="00C635C2"/>
    <w:rsid w:val="00C638CF"/>
    <w:rsid w:val="00C64344"/>
    <w:rsid w:val="00C65108"/>
    <w:rsid w:val="00C6511A"/>
    <w:rsid w:val="00C65576"/>
    <w:rsid w:val="00C66165"/>
    <w:rsid w:val="00C6651C"/>
    <w:rsid w:val="00C66A8F"/>
    <w:rsid w:val="00C67FD8"/>
    <w:rsid w:val="00C701D2"/>
    <w:rsid w:val="00C7060A"/>
    <w:rsid w:val="00C70B19"/>
    <w:rsid w:val="00C7151A"/>
    <w:rsid w:val="00C717E3"/>
    <w:rsid w:val="00C71DDF"/>
    <w:rsid w:val="00C71F60"/>
    <w:rsid w:val="00C72241"/>
    <w:rsid w:val="00C73465"/>
    <w:rsid w:val="00C7392E"/>
    <w:rsid w:val="00C742C8"/>
    <w:rsid w:val="00C750C8"/>
    <w:rsid w:val="00C754A9"/>
    <w:rsid w:val="00C7560F"/>
    <w:rsid w:val="00C75D6C"/>
    <w:rsid w:val="00C7721A"/>
    <w:rsid w:val="00C774DD"/>
    <w:rsid w:val="00C8030C"/>
    <w:rsid w:val="00C80A0E"/>
    <w:rsid w:val="00C81C6E"/>
    <w:rsid w:val="00C81CAB"/>
    <w:rsid w:val="00C8213F"/>
    <w:rsid w:val="00C84193"/>
    <w:rsid w:val="00C85154"/>
    <w:rsid w:val="00C862F3"/>
    <w:rsid w:val="00C86360"/>
    <w:rsid w:val="00C8797A"/>
    <w:rsid w:val="00C900B8"/>
    <w:rsid w:val="00C9010A"/>
    <w:rsid w:val="00C901D9"/>
    <w:rsid w:val="00C90C71"/>
    <w:rsid w:val="00C912F0"/>
    <w:rsid w:val="00C91B6F"/>
    <w:rsid w:val="00C91FD1"/>
    <w:rsid w:val="00C9239C"/>
    <w:rsid w:val="00C925E5"/>
    <w:rsid w:val="00C931CF"/>
    <w:rsid w:val="00C938CF"/>
    <w:rsid w:val="00C94053"/>
    <w:rsid w:val="00C94515"/>
    <w:rsid w:val="00C9624D"/>
    <w:rsid w:val="00C96823"/>
    <w:rsid w:val="00C969DA"/>
    <w:rsid w:val="00C96DE1"/>
    <w:rsid w:val="00C972A1"/>
    <w:rsid w:val="00CA089F"/>
    <w:rsid w:val="00CA112B"/>
    <w:rsid w:val="00CA2C77"/>
    <w:rsid w:val="00CA3AFD"/>
    <w:rsid w:val="00CA444F"/>
    <w:rsid w:val="00CA5245"/>
    <w:rsid w:val="00CA5367"/>
    <w:rsid w:val="00CA574B"/>
    <w:rsid w:val="00CA58AA"/>
    <w:rsid w:val="00CA5E93"/>
    <w:rsid w:val="00CA71F4"/>
    <w:rsid w:val="00CA7B09"/>
    <w:rsid w:val="00CB057C"/>
    <w:rsid w:val="00CB07C6"/>
    <w:rsid w:val="00CB12A5"/>
    <w:rsid w:val="00CB1CAC"/>
    <w:rsid w:val="00CB2F2A"/>
    <w:rsid w:val="00CB3570"/>
    <w:rsid w:val="00CB5B1A"/>
    <w:rsid w:val="00CB6269"/>
    <w:rsid w:val="00CB64F1"/>
    <w:rsid w:val="00CB6B22"/>
    <w:rsid w:val="00CB6C15"/>
    <w:rsid w:val="00CB7F5F"/>
    <w:rsid w:val="00CC0BBD"/>
    <w:rsid w:val="00CC0C6A"/>
    <w:rsid w:val="00CC1819"/>
    <w:rsid w:val="00CC1B39"/>
    <w:rsid w:val="00CC35EA"/>
    <w:rsid w:val="00CC3848"/>
    <w:rsid w:val="00CC67D0"/>
    <w:rsid w:val="00CC6C68"/>
    <w:rsid w:val="00CC7397"/>
    <w:rsid w:val="00CC787F"/>
    <w:rsid w:val="00CD0457"/>
    <w:rsid w:val="00CD08A0"/>
    <w:rsid w:val="00CD0AEE"/>
    <w:rsid w:val="00CD143B"/>
    <w:rsid w:val="00CD18B5"/>
    <w:rsid w:val="00CD2F85"/>
    <w:rsid w:val="00CD3D14"/>
    <w:rsid w:val="00CD3F77"/>
    <w:rsid w:val="00CD5267"/>
    <w:rsid w:val="00CD5678"/>
    <w:rsid w:val="00CD6260"/>
    <w:rsid w:val="00CD6ADC"/>
    <w:rsid w:val="00CD7193"/>
    <w:rsid w:val="00CE0F29"/>
    <w:rsid w:val="00CE38C8"/>
    <w:rsid w:val="00CE50D4"/>
    <w:rsid w:val="00CE52D4"/>
    <w:rsid w:val="00CE557E"/>
    <w:rsid w:val="00CE6274"/>
    <w:rsid w:val="00CE723C"/>
    <w:rsid w:val="00CE77B6"/>
    <w:rsid w:val="00CF02C4"/>
    <w:rsid w:val="00CF0A5C"/>
    <w:rsid w:val="00CF2B8D"/>
    <w:rsid w:val="00CF2E89"/>
    <w:rsid w:val="00CF38B1"/>
    <w:rsid w:val="00CF456B"/>
    <w:rsid w:val="00CF4EC2"/>
    <w:rsid w:val="00CF5A22"/>
    <w:rsid w:val="00CF6C43"/>
    <w:rsid w:val="00CF770F"/>
    <w:rsid w:val="00CF7F80"/>
    <w:rsid w:val="00D000B4"/>
    <w:rsid w:val="00D00170"/>
    <w:rsid w:val="00D00FEA"/>
    <w:rsid w:val="00D01125"/>
    <w:rsid w:val="00D0123A"/>
    <w:rsid w:val="00D0157D"/>
    <w:rsid w:val="00D01AD5"/>
    <w:rsid w:val="00D0262E"/>
    <w:rsid w:val="00D0270E"/>
    <w:rsid w:val="00D02BEE"/>
    <w:rsid w:val="00D02FC5"/>
    <w:rsid w:val="00D0364D"/>
    <w:rsid w:val="00D036A3"/>
    <w:rsid w:val="00D04530"/>
    <w:rsid w:val="00D04CA9"/>
    <w:rsid w:val="00D058F5"/>
    <w:rsid w:val="00D05CDC"/>
    <w:rsid w:val="00D05E3D"/>
    <w:rsid w:val="00D06139"/>
    <w:rsid w:val="00D07E47"/>
    <w:rsid w:val="00D07F20"/>
    <w:rsid w:val="00D10938"/>
    <w:rsid w:val="00D10AAE"/>
    <w:rsid w:val="00D110BD"/>
    <w:rsid w:val="00D121B4"/>
    <w:rsid w:val="00D128F7"/>
    <w:rsid w:val="00D12E9E"/>
    <w:rsid w:val="00D13675"/>
    <w:rsid w:val="00D141E1"/>
    <w:rsid w:val="00D14834"/>
    <w:rsid w:val="00D15314"/>
    <w:rsid w:val="00D17621"/>
    <w:rsid w:val="00D1772B"/>
    <w:rsid w:val="00D17D6C"/>
    <w:rsid w:val="00D20985"/>
    <w:rsid w:val="00D20F9D"/>
    <w:rsid w:val="00D2155B"/>
    <w:rsid w:val="00D227FF"/>
    <w:rsid w:val="00D22950"/>
    <w:rsid w:val="00D22C0E"/>
    <w:rsid w:val="00D23D11"/>
    <w:rsid w:val="00D244B6"/>
    <w:rsid w:val="00D245B8"/>
    <w:rsid w:val="00D24EB4"/>
    <w:rsid w:val="00D255F5"/>
    <w:rsid w:val="00D25EF7"/>
    <w:rsid w:val="00D26698"/>
    <w:rsid w:val="00D2754D"/>
    <w:rsid w:val="00D27B27"/>
    <w:rsid w:val="00D27D57"/>
    <w:rsid w:val="00D27DB1"/>
    <w:rsid w:val="00D307EE"/>
    <w:rsid w:val="00D31EFC"/>
    <w:rsid w:val="00D32791"/>
    <w:rsid w:val="00D3354C"/>
    <w:rsid w:val="00D33BE9"/>
    <w:rsid w:val="00D33F93"/>
    <w:rsid w:val="00D352CD"/>
    <w:rsid w:val="00D357FF"/>
    <w:rsid w:val="00D35A43"/>
    <w:rsid w:val="00D36AFB"/>
    <w:rsid w:val="00D402C8"/>
    <w:rsid w:val="00D408F4"/>
    <w:rsid w:val="00D40D76"/>
    <w:rsid w:val="00D41339"/>
    <w:rsid w:val="00D420D0"/>
    <w:rsid w:val="00D424C7"/>
    <w:rsid w:val="00D4287A"/>
    <w:rsid w:val="00D42F35"/>
    <w:rsid w:val="00D43B2A"/>
    <w:rsid w:val="00D43D83"/>
    <w:rsid w:val="00D44786"/>
    <w:rsid w:val="00D44CFD"/>
    <w:rsid w:val="00D47575"/>
    <w:rsid w:val="00D50D93"/>
    <w:rsid w:val="00D51C34"/>
    <w:rsid w:val="00D51E9F"/>
    <w:rsid w:val="00D5243B"/>
    <w:rsid w:val="00D533EC"/>
    <w:rsid w:val="00D54088"/>
    <w:rsid w:val="00D5544B"/>
    <w:rsid w:val="00D56071"/>
    <w:rsid w:val="00D56A95"/>
    <w:rsid w:val="00D56CA2"/>
    <w:rsid w:val="00D5757B"/>
    <w:rsid w:val="00D6143A"/>
    <w:rsid w:val="00D6278B"/>
    <w:rsid w:val="00D64080"/>
    <w:rsid w:val="00D673A5"/>
    <w:rsid w:val="00D67490"/>
    <w:rsid w:val="00D677F4"/>
    <w:rsid w:val="00D67F1E"/>
    <w:rsid w:val="00D702F6"/>
    <w:rsid w:val="00D7054C"/>
    <w:rsid w:val="00D70B61"/>
    <w:rsid w:val="00D70F16"/>
    <w:rsid w:val="00D70F71"/>
    <w:rsid w:val="00D721AB"/>
    <w:rsid w:val="00D728FC"/>
    <w:rsid w:val="00D72B62"/>
    <w:rsid w:val="00D72B99"/>
    <w:rsid w:val="00D72F57"/>
    <w:rsid w:val="00D7355E"/>
    <w:rsid w:val="00D74993"/>
    <w:rsid w:val="00D75123"/>
    <w:rsid w:val="00D75D86"/>
    <w:rsid w:val="00D76751"/>
    <w:rsid w:val="00D76A44"/>
    <w:rsid w:val="00D77007"/>
    <w:rsid w:val="00D77ACF"/>
    <w:rsid w:val="00D80A4B"/>
    <w:rsid w:val="00D80AFB"/>
    <w:rsid w:val="00D815EF"/>
    <w:rsid w:val="00D81F26"/>
    <w:rsid w:val="00D829F8"/>
    <w:rsid w:val="00D8358E"/>
    <w:rsid w:val="00D851E7"/>
    <w:rsid w:val="00D85720"/>
    <w:rsid w:val="00D86231"/>
    <w:rsid w:val="00D8655B"/>
    <w:rsid w:val="00D901F5"/>
    <w:rsid w:val="00D90269"/>
    <w:rsid w:val="00D90AFF"/>
    <w:rsid w:val="00D91923"/>
    <w:rsid w:val="00D93032"/>
    <w:rsid w:val="00D93753"/>
    <w:rsid w:val="00D94704"/>
    <w:rsid w:val="00D9590F"/>
    <w:rsid w:val="00D95DE5"/>
    <w:rsid w:val="00DA0596"/>
    <w:rsid w:val="00DA0631"/>
    <w:rsid w:val="00DA19E1"/>
    <w:rsid w:val="00DA2648"/>
    <w:rsid w:val="00DA296C"/>
    <w:rsid w:val="00DA3120"/>
    <w:rsid w:val="00DA3167"/>
    <w:rsid w:val="00DA33B1"/>
    <w:rsid w:val="00DA4A13"/>
    <w:rsid w:val="00DA4B30"/>
    <w:rsid w:val="00DA4DC3"/>
    <w:rsid w:val="00DA544E"/>
    <w:rsid w:val="00DA77A5"/>
    <w:rsid w:val="00DA7E99"/>
    <w:rsid w:val="00DB0C0C"/>
    <w:rsid w:val="00DB0E51"/>
    <w:rsid w:val="00DB14B3"/>
    <w:rsid w:val="00DB33EF"/>
    <w:rsid w:val="00DB3AD4"/>
    <w:rsid w:val="00DB3CFF"/>
    <w:rsid w:val="00DB3DBF"/>
    <w:rsid w:val="00DB3FD8"/>
    <w:rsid w:val="00DB4184"/>
    <w:rsid w:val="00DB484F"/>
    <w:rsid w:val="00DB4C5D"/>
    <w:rsid w:val="00DB7C77"/>
    <w:rsid w:val="00DC04F6"/>
    <w:rsid w:val="00DC0690"/>
    <w:rsid w:val="00DC06F8"/>
    <w:rsid w:val="00DC0D3A"/>
    <w:rsid w:val="00DC1B5D"/>
    <w:rsid w:val="00DC1D65"/>
    <w:rsid w:val="00DC3495"/>
    <w:rsid w:val="00DC358A"/>
    <w:rsid w:val="00DC3C57"/>
    <w:rsid w:val="00DC3DD5"/>
    <w:rsid w:val="00DC5501"/>
    <w:rsid w:val="00DC66B8"/>
    <w:rsid w:val="00DC66E0"/>
    <w:rsid w:val="00DC7154"/>
    <w:rsid w:val="00DC71D0"/>
    <w:rsid w:val="00DC79D1"/>
    <w:rsid w:val="00DC7C23"/>
    <w:rsid w:val="00DC7E8A"/>
    <w:rsid w:val="00DD0F78"/>
    <w:rsid w:val="00DD273C"/>
    <w:rsid w:val="00DD3329"/>
    <w:rsid w:val="00DD3F28"/>
    <w:rsid w:val="00DD4537"/>
    <w:rsid w:val="00DD469A"/>
    <w:rsid w:val="00DD4BB9"/>
    <w:rsid w:val="00DD4CAC"/>
    <w:rsid w:val="00DD4E15"/>
    <w:rsid w:val="00DD4F8F"/>
    <w:rsid w:val="00DD5076"/>
    <w:rsid w:val="00DD593A"/>
    <w:rsid w:val="00DD59D8"/>
    <w:rsid w:val="00DD7FC2"/>
    <w:rsid w:val="00DE06EC"/>
    <w:rsid w:val="00DE12E8"/>
    <w:rsid w:val="00DE1C79"/>
    <w:rsid w:val="00DE2273"/>
    <w:rsid w:val="00DE2304"/>
    <w:rsid w:val="00DE2443"/>
    <w:rsid w:val="00DE29D2"/>
    <w:rsid w:val="00DE2F88"/>
    <w:rsid w:val="00DE3138"/>
    <w:rsid w:val="00DE313D"/>
    <w:rsid w:val="00DE3672"/>
    <w:rsid w:val="00DE37F8"/>
    <w:rsid w:val="00DE45B7"/>
    <w:rsid w:val="00DE4FCB"/>
    <w:rsid w:val="00DE5142"/>
    <w:rsid w:val="00DE5CC9"/>
    <w:rsid w:val="00DE5D07"/>
    <w:rsid w:val="00DE5F94"/>
    <w:rsid w:val="00DE6026"/>
    <w:rsid w:val="00DE6E01"/>
    <w:rsid w:val="00DE6F14"/>
    <w:rsid w:val="00DE72A7"/>
    <w:rsid w:val="00DE7832"/>
    <w:rsid w:val="00DE7D51"/>
    <w:rsid w:val="00DF07BA"/>
    <w:rsid w:val="00DF18EC"/>
    <w:rsid w:val="00DF18FC"/>
    <w:rsid w:val="00DF1BC9"/>
    <w:rsid w:val="00DF1EFC"/>
    <w:rsid w:val="00DF1F67"/>
    <w:rsid w:val="00DF2399"/>
    <w:rsid w:val="00DF2E8A"/>
    <w:rsid w:val="00DF521D"/>
    <w:rsid w:val="00DF5D2B"/>
    <w:rsid w:val="00DF66BD"/>
    <w:rsid w:val="00DF6A1B"/>
    <w:rsid w:val="00DF6B18"/>
    <w:rsid w:val="00E00E8E"/>
    <w:rsid w:val="00E00EA8"/>
    <w:rsid w:val="00E013C2"/>
    <w:rsid w:val="00E013D2"/>
    <w:rsid w:val="00E01B38"/>
    <w:rsid w:val="00E01E99"/>
    <w:rsid w:val="00E02055"/>
    <w:rsid w:val="00E025DC"/>
    <w:rsid w:val="00E02F86"/>
    <w:rsid w:val="00E03C57"/>
    <w:rsid w:val="00E049BB"/>
    <w:rsid w:val="00E04DEA"/>
    <w:rsid w:val="00E05630"/>
    <w:rsid w:val="00E0614A"/>
    <w:rsid w:val="00E06DBB"/>
    <w:rsid w:val="00E06F04"/>
    <w:rsid w:val="00E06FD9"/>
    <w:rsid w:val="00E10149"/>
    <w:rsid w:val="00E102CA"/>
    <w:rsid w:val="00E10A14"/>
    <w:rsid w:val="00E11340"/>
    <w:rsid w:val="00E122A1"/>
    <w:rsid w:val="00E12848"/>
    <w:rsid w:val="00E12A81"/>
    <w:rsid w:val="00E12FDB"/>
    <w:rsid w:val="00E1401B"/>
    <w:rsid w:val="00E1614A"/>
    <w:rsid w:val="00E16372"/>
    <w:rsid w:val="00E16CCA"/>
    <w:rsid w:val="00E1705E"/>
    <w:rsid w:val="00E17E7B"/>
    <w:rsid w:val="00E20319"/>
    <w:rsid w:val="00E205A1"/>
    <w:rsid w:val="00E20E4D"/>
    <w:rsid w:val="00E20ED6"/>
    <w:rsid w:val="00E210C1"/>
    <w:rsid w:val="00E21358"/>
    <w:rsid w:val="00E2189E"/>
    <w:rsid w:val="00E2249B"/>
    <w:rsid w:val="00E22515"/>
    <w:rsid w:val="00E22A0D"/>
    <w:rsid w:val="00E22E76"/>
    <w:rsid w:val="00E2403D"/>
    <w:rsid w:val="00E244F6"/>
    <w:rsid w:val="00E26F9F"/>
    <w:rsid w:val="00E273CE"/>
    <w:rsid w:val="00E2771E"/>
    <w:rsid w:val="00E30C35"/>
    <w:rsid w:val="00E311EF"/>
    <w:rsid w:val="00E32122"/>
    <w:rsid w:val="00E32180"/>
    <w:rsid w:val="00E34948"/>
    <w:rsid w:val="00E34A2F"/>
    <w:rsid w:val="00E35A21"/>
    <w:rsid w:val="00E365E1"/>
    <w:rsid w:val="00E37569"/>
    <w:rsid w:val="00E401B2"/>
    <w:rsid w:val="00E4172E"/>
    <w:rsid w:val="00E41E30"/>
    <w:rsid w:val="00E4255F"/>
    <w:rsid w:val="00E42F73"/>
    <w:rsid w:val="00E43D70"/>
    <w:rsid w:val="00E43E9A"/>
    <w:rsid w:val="00E4519E"/>
    <w:rsid w:val="00E466F3"/>
    <w:rsid w:val="00E466FD"/>
    <w:rsid w:val="00E46954"/>
    <w:rsid w:val="00E4724E"/>
    <w:rsid w:val="00E47420"/>
    <w:rsid w:val="00E47565"/>
    <w:rsid w:val="00E479BA"/>
    <w:rsid w:val="00E47B2C"/>
    <w:rsid w:val="00E47B8A"/>
    <w:rsid w:val="00E51280"/>
    <w:rsid w:val="00E51313"/>
    <w:rsid w:val="00E51560"/>
    <w:rsid w:val="00E528F6"/>
    <w:rsid w:val="00E53068"/>
    <w:rsid w:val="00E53B9A"/>
    <w:rsid w:val="00E53FC8"/>
    <w:rsid w:val="00E54347"/>
    <w:rsid w:val="00E54AC5"/>
    <w:rsid w:val="00E55424"/>
    <w:rsid w:val="00E55915"/>
    <w:rsid w:val="00E55BB5"/>
    <w:rsid w:val="00E574B2"/>
    <w:rsid w:val="00E57AAD"/>
    <w:rsid w:val="00E6056F"/>
    <w:rsid w:val="00E61065"/>
    <w:rsid w:val="00E622F8"/>
    <w:rsid w:val="00E62B18"/>
    <w:rsid w:val="00E62ED7"/>
    <w:rsid w:val="00E63138"/>
    <w:rsid w:val="00E655B5"/>
    <w:rsid w:val="00E65A4A"/>
    <w:rsid w:val="00E65E79"/>
    <w:rsid w:val="00E667A3"/>
    <w:rsid w:val="00E66BA2"/>
    <w:rsid w:val="00E66D52"/>
    <w:rsid w:val="00E67164"/>
    <w:rsid w:val="00E673BC"/>
    <w:rsid w:val="00E67416"/>
    <w:rsid w:val="00E67A71"/>
    <w:rsid w:val="00E714AB"/>
    <w:rsid w:val="00E718B6"/>
    <w:rsid w:val="00E723BA"/>
    <w:rsid w:val="00E73581"/>
    <w:rsid w:val="00E73D33"/>
    <w:rsid w:val="00E74537"/>
    <w:rsid w:val="00E7528E"/>
    <w:rsid w:val="00E7642E"/>
    <w:rsid w:val="00E7753C"/>
    <w:rsid w:val="00E77D74"/>
    <w:rsid w:val="00E80F5F"/>
    <w:rsid w:val="00E81E24"/>
    <w:rsid w:val="00E82EF2"/>
    <w:rsid w:val="00E833F7"/>
    <w:rsid w:val="00E83BDF"/>
    <w:rsid w:val="00E867C1"/>
    <w:rsid w:val="00E87804"/>
    <w:rsid w:val="00E87A1D"/>
    <w:rsid w:val="00E87C77"/>
    <w:rsid w:val="00E87D24"/>
    <w:rsid w:val="00E87DBC"/>
    <w:rsid w:val="00E87E47"/>
    <w:rsid w:val="00E900FA"/>
    <w:rsid w:val="00E905F5"/>
    <w:rsid w:val="00E9094A"/>
    <w:rsid w:val="00E90AA5"/>
    <w:rsid w:val="00E911BC"/>
    <w:rsid w:val="00E918B2"/>
    <w:rsid w:val="00E91D35"/>
    <w:rsid w:val="00E926A5"/>
    <w:rsid w:val="00E936B9"/>
    <w:rsid w:val="00E94108"/>
    <w:rsid w:val="00E95357"/>
    <w:rsid w:val="00E95C0C"/>
    <w:rsid w:val="00E97A76"/>
    <w:rsid w:val="00EA0CCD"/>
    <w:rsid w:val="00EA17C3"/>
    <w:rsid w:val="00EA2CAA"/>
    <w:rsid w:val="00EA3864"/>
    <w:rsid w:val="00EA39C9"/>
    <w:rsid w:val="00EA4A1B"/>
    <w:rsid w:val="00EA4C32"/>
    <w:rsid w:val="00EA4ED5"/>
    <w:rsid w:val="00EA57B9"/>
    <w:rsid w:val="00EA6208"/>
    <w:rsid w:val="00EA6261"/>
    <w:rsid w:val="00EA7662"/>
    <w:rsid w:val="00EA7F1C"/>
    <w:rsid w:val="00EB0258"/>
    <w:rsid w:val="00EB0DCB"/>
    <w:rsid w:val="00EB1542"/>
    <w:rsid w:val="00EB15B6"/>
    <w:rsid w:val="00EB36CB"/>
    <w:rsid w:val="00EB385D"/>
    <w:rsid w:val="00EB3D06"/>
    <w:rsid w:val="00EB4916"/>
    <w:rsid w:val="00EB50FD"/>
    <w:rsid w:val="00EB5DA6"/>
    <w:rsid w:val="00EB6376"/>
    <w:rsid w:val="00EB76B7"/>
    <w:rsid w:val="00EC00C9"/>
    <w:rsid w:val="00EC019E"/>
    <w:rsid w:val="00EC0278"/>
    <w:rsid w:val="00EC0DD9"/>
    <w:rsid w:val="00EC1669"/>
    <w:rsid w:val="00EC2280"/>
    <w:rsid w:val="00EC2649"/>
    <w:rsid w:val="00EC310D"/>
    <w:rsid w:val="00EC31ED"/>
    <w:rsid w:val="00EC3201"/>
    <w:rsid w:val="00EC3D44"/>
    <w:rsid w:val="00EC52B4"/>
    <w:rsid w:val="00EC5836"/>
    <w:rsid w:val="00EC688C"/>
    <w:rsid w:val="00EC6AE3"/>
    <w:rsid w:val="00ED0260"/>
    <w:rsid w:val="00ED0467"/>
    <w:rsid w:val="00ED04DF"/>
    <w:rsid w:val="00ED059F"/>
    <w:rsid w:val="00ED09C9"/>
    <w:rsid w:val="00ED16E7"/>
    <w:rsid w:val="00ED406F"/>
    <w:rsid w:val="00ED5551"/>
    <w:rsid w:val="00ED57EA"/>
    <w:rsid w:val="00ED5BD4"/>
    <w:rsid w:val="00ED78AD"/>
    <w:rsid w:val="00ED7A11"/>
    <w:rsid w:val="00EE07D3"/>
    <w:rsid w:val="00EE0C80"/>
    <w:rsid w:val="00EE1996"/>
    <w:rsid w:val="00EE1C01"/>
    <w:rsid w:val="00EE1FE2"/>
    <w:rsid w:val="00EE22AF"/>
    <w:rsid w:val="00EE3278"/>
    <w:rsid w:val="00EE3574"/>
    <w:rsid w:val="00EE4097"/>
    <w:rsid w:val="00EE4249"/>
    <w:rsid w:val="00EE444A"/>
    <w:rsid w:val="00EE48C7"/>
    <w:rsid w:val="00EE6BFC"/>
    <w:rsid w:val="00EE7F94"/>
    <w:rsid w:val="00EF0171"/>
    <w:rsid w:val="00EF01DD"/>
    <w:rsid w:val="00EF0E7A"/>
    <w:rsid w:val="00EF19BD"/>
    <w:rsid w:val="00EF1B25"/>
    <w:rsid w:val="00EF1DA0"/>
    <w:rsid w:val="00EF1EB9"/>
    <w:rsid w:val="00EF2540"/>
    <w:rsid w:val="00EF2F09"/>
    <w:rsid w:val="00EF3AF1"/>
    <w:rsid w:val="00EF4747"/>
    <w:rsid w:val="00EF4BF8"/>
    <w:rsid w:val="00EF4C58"/>
    <w:rsid w:val="00EF4DE8"/>
    <w:rsid w:val="00EF53A3"/>
    <w:rsid w:val="00EF58DD"/>
    <w:rsid w:val="00EF6F8A"/>
    <w:rsid w:val="00EF78B4"/>
    <w:rsid w:val="00F00747"/>
    <w:rsid w:val="00F007C5"/>
    <w:rsid w:val="00F00BBC"/>
    <w:rsid w:val="00F00D27"/>
    <w:rsid w:val="00F01CDE"/>
    <w:rsid w:val="00F02253"/>
    <w:rsid w:val="00F03004"/>
    <w:rsid w:val="00F0332A"/>
    <w:rsid w:val="00F03C2E"/>
    <w:rsid w:val="00F0451B"/>
    <w:rsid w:val="00F049CE"/>
    <w:rsid w:val="00F04A66"/>
    <w:rsid w:val="00F04B4B"/>
    <w:rsid w:val="00F0516C"/>
    <w:rsid w:val="00F054D8"/>
    <w:rsid w:val="00F067A2"/>
    <w:rsid w:val="00F06F63"/>
    <w:rsid w:val="00F07B9E"/>
    <w:rsid w:val="00F07CE8"/>
    <w:rsid w:val="00F10E9E"/>
    <w:rsid w:val="00F1116F"/>
    <w:rsid w:val="00F11283"/>
    <w:rsid w:val="00F120FC"/>
    <w:rsid w:val="00F1263A"/>
    <w:rsid w:val="00F128C4"/>
    <w:rsid w:val="00F15B77"/>
    <w:rsid w:val="00F173B1"/>
    <w:rsid w:val="00F17A36"/>
    <w:rsid w:val="00F203DA"/>
    <w:rsid w:val="00F214A3"/>
    <w:rsid w:val="00F21896"/>
    <w:rsid w:val="00F21D74"/>
    <w:rsid w:val="00F22409"/>
    <w:rsid w:val="00F22FC2"/>
    <w:rsid w:val="00F23773"/>
    <w:rsid w:val="00F24837"/>
    <w:rsid w:val="00F24BB5"/>
    <w:rsid w:val="00F24C78"/>
    <w:rsid w:val="00F24C9B"/>
    <w:rsid w:val="00F250FC"/>
    <w:rsid w:val="00F2575F"/>
    <w:rsid w:val="00F259DE"/>
    <w:rsid w:val="00F25BF5"/>
    <w:rsid w:val="00F264D8"/>
    <w:rsid w:val="00F26A00"/>
    <w:rsid w:val="00F27327"/>
    <w:rsid w:val="00F27565"/>
    <w:rsid w:val="00F302CE"/>
    <w:rsid w:val="00F30E90"/>
    <w:rsid w:val="00F310D4"/>
    <w:rsid w:val="00F31D5A"/>
    <w:rsid w:val="00F33970"/>
    <w:rsid w:val="00F33975"/>
    <w:rsid w:val="00F33DE9"/>
    <w:rsid w:val="00F34926"/>
    <w:rsid w:val="00F35E6D"/>
    <w:rsid w:val="00F3619A"/>
    <w:rsid w:val="00F37D20"/>
    <w:rsid w:val="00F40437"/>
    <w:rsid w:val="00F40AAA"/>
    <w:rsid w:val="00F40BA7"/>
    <w:rsid w:val="00F40F9D"/>
    <w:rsid w:val="00F41ACD"/>
    <w:rsid w:val="00F42F43"/>
    <w:rsid w:val="00F43F16"/>
    <w:rsid w:val="00F46103"/>
    <w:rsid w:val="00F46CB6"/>
    <w:rsid w:val="00F46CCF"/>
    <w:rsid w:val="00F4756D"/>
    <w:rsid w:val="00F47DE8"/>
    <w:rsid w:val="00F47F90"/>
    <w:rsid w:val="00F524B7"/>
    <w:rsid w:val="00F5335A"/>
    <w:rsid w:val="00F53E38"/>
    <w:rsid w:val="00F542C1"/>
    <w:rsid w:val="00F54521"/>
    <w:rsid w:val="00F55A73"/>
    <w:rsid w:val="00F55E73"/>
    <w:rsid w:val="00F55EDA"/>
    <w:rsid w:val="00F56C80"/>
    <w:rsid w:val="00F5719F"/>
    <w:rsid w:val="00F60092"/>
    <w:rsid w:val="00F601C5"/>
    <w:rsid w:val="00F60581"/>
    <w:rsid w:val="00F614FC"/>
    <w:rsid w:val="00F61C18"/>
    <w:rsid w:val="00F61E31"/>
    <w:rsid w:val="00F6208B"/>
    <w:rsid w:val="00F6420E"/>
    <w:rsid w:val="00F64991"/>
    <w:rsid w:val="00F64DFC"/>
    <w:rsid w:val="00F651F3"/>
    <w:rsid w:val="00F654D6"/>
    <w:rsid w:val="00F655B7"/>
    <w:rsid w:val="00F658D6"/>
    <w:rsid w:val="00F65CDC"/>
    <w:rsid w:val="00F65F4B"/>
    <w:rsid w:val="00F6754E"/>
    <w:rsid w:val="00F67634"/>
    <w:rsid w:val="00F67796"/>
    <w:rsid w:val="00F67A69"/>
    <w:rsid w:val="00F67D89"/>
    <w:rsid w:val="00F67DBD"/>
    <w:rsid w:val="00F70BFF"/>
    <w:rsid w:val="00F70C9D"/>
    <w:rsid w:val="00F70F0C"/>
    <w:rsid w:val="00F72D15"/>
    <w:rsid w:val="00F735DB"/>
    <w:rsid w:val="00F74CD9"/>
    <w:rsid w:val="00F754D8"/>
    <w:rsid w:val="00F75903"/>
    <w:rsid w:val="00F75C41"/>
    <w:rsid w:val="00F76102"/>
    <w:rsid w:val="00F76456"/>
    <w:rsid w:val="00F77BEE"/>
    <w:rsid w:val="00F77F53"/>
    <w:rsid w:val="00F80A7B"/>
    <w:rsid w:val="00F80E5D"/>
    <w:rsid w:val="00F81E78"/>
    <w:rsid w:val="00F82504"/>
    <w:rsid w:val="00F848B0"/>
    <w:rsid w:val="00F851CE"/>
    <w:rsid w:val="00F8527B"/>
    <w:rsid w:val="00F86BF8"/>
    <w:rsid w:val="00F87A36"/>
    <w:rsid w:val="00F91219"/>
    <w:rsid w:val="00F91C6E"/>
    <w:rsid w:val="00F92444"/>
    <w:rsid w:val="00F931D2"/>
    <w:rsid w:val="00F931EC"/>
    <w:rsid w:val="00F93648"/>
    <w:rsid w:val="00F9393E"/>
    <w:rsid w:val="00F94A92"/>
    <w:rsid w:val="00F94D41"/>
    <w:rsid w:val="00F957D1"/>
    <w:rsid w:val="00F96FD0"/>
    <w:rsid w:val="00F97A78"/>
    <w:rsid w:val="00FA0B20"/>
    <w:rsid w:val="00FA24E7"/>
    <w:rsid w:val="00FA4E68"/>
    <w:rsid w:val="00FA5EE6"/>
    <w:rsid w:val="00FA68CC"/>
    <w:rsid w:val="00FA77BD"/>
    <w:rsid w:val="00FA7956"/>
    <w:rsid w:val="00FB0233"/>
    <w:rsid w:val="00FB0C8B"/>
    <w:rsid w:val="00FB2FCB"/>
    <w:rsid w:val="00FB4C49"/>
    <w:rsid w:val="00FB53C6"/>
    <w:rsid w:val="00FB575F"/>
    <w:rsid w:val="00FB588A"/>
    <w:rsid w:val="00FB58E4"/>
    <w:rsid w:val="00FB58F9"/>
    <w:rsid w:val="00FB5A80"/>
    <w:rsid w:val="00FB5DA5"/>
    <w:rsid w:val="00FB5F6C"/>
    <w:rsid w:val="00FB6817"/>
    <w:rsid w:val="00FB7C55"/>
    <w:rsid w:val="00FC044D"/>
    <w:rsid w:val="00FC1074"/>
    <w:rsid w:val="00FC13AA"/>
    <w:rsid w:val="00FC1884"/>
    <w:rsid w:val="00FC21B9"/>
    <w:rsid w:val="00FC2FA7"/>
    <w:rsid w:val="00FC371D"/>
    <w:rsid w:val="00FC37A2"/>
    <w:rsid w:val="00FC489B"/>
    <w:rsid w:val="00FC4915"/>
    <w:rsid w:val="00FC5007"/>
    <w:rsid w:val="00FC5F0B"/>
    <w:rsid w:val="00FC5FD1"/>
    <w:rsid w:val="00FD131C"/>
    <w:rsid w:val="00FD1580"/>
    <w:rsid w:val="00FD2034"/>
    <w:rsid w:val="00FD2100"/>
    <w:rsid w:val="00FD3B5E"/>
    <w:rsid w:val="00FD3EE2"/>
    <w:rsid w:val="00FD436C"/>
    <w:rsid w:val="00FD446D"/>
    <w:rsid w:val="00FD4F2C"/>
    <w:rsid w:val="00FD593D"/>
    <w:rsid w:val="00FD5D3F"/>
    <w:rsid w:val="00FD6394"/>
    <w:rsid w:val="00FD6E03"/>
    <w:rsid w:val="00FD7046"/>
    <w:rsid w:val="00FD712C"/>
    <w:rsid w:val="00FD7B63"/>
    <w:rsid w:val="00FD7ED7"/>
    <w:rsid w:val="00FE08BE"/>
    <w:rsid w:val="00FE0E6C"/>
    <w:rsid w:val="00FE10FB"/>
    <w:rsid w:val="00FE1CDC"/>
    <w:rsid w:val="00FE482F"/>
    <w:rsid w:val="00FE5494"/>
    <w:rsid w:val="00FE6914"/>
    <w:rsid w:val="00FE70C3"/>
    <w:rsid w:val="00FE7A20"/>
    <w:rsid w:val="00FE7D7B"/>
    <w:rsid w:val="00FF1EEF"/>
    <w:rsid w:val="00FF2AD9"/>
    <w:rsid w:val="00FF359F"/>
    <w:rsid w:val="00FF366C"/>
    <w:rsid w:val="00FF3C26"/>
    <w:rsid w:val="00FF3DCF"/>
    <w:rsid w:val="00FF411A"/>
    <w:rsid w:val="00FF4314"/>
    <w:rsid w:val="00FF4671"/>
    <w:rsid w:val="00FF492C"/>
    <w:rsid w:val="00FF4A21"/>
    <w:rsid w:val="00FF53EA"/>
    <w:rsid w:val="00FF5807"/>
    <w:rsid w:val="00FF5AA3"/>
    <w:rsid w:val="00FF5AD8"/>
    <w:rsid w:val="00FF65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F66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81"/>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 H17,Bayer Caption,IB Caption,Medical Caption,B Caption,Caption2,Caption - H17,! Q,Table,Caption Char1 Char,Caption Char Char Char,Caption Char1 Char Char Char,Caption Char Char Char Char Char,Caption Char Char1 Char,Caption Char1 Char1,12,- H"/>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 H17 Char,Bayer Caption Char,IB Caption Char,Medical Caption Char,B Caption Char,Caption2 Char,Caption - H17 Char,! Q Char,Table Char,Caption Char1 Char Char,Caption Char Char Char Char,Caption Char1 Char Char Char Char,12 Char,- H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
    <w:next w:val="ListBullet"/>
    <w:link w:val="ListParagraphChar"/>
    <w:uiPriority w:val="72"/>
    <w:qFormat/>
    <w:rsid w:val="00BB00B3"/>
    <w:pPr>
      <w:spacing w:after="120"/>
      <w:jc w:val="both"/>
    </w:pPr>
    <w:rPr>
      <w:rFonts w:asciiTheme="minorHAnsi" w:hAnsiTheme="minorHAnsi" w:cs="Arial"/>
      <w:snapToGrid w:val="0"/>
      <w:sz w:val="24"/>
      <w:szCs w:val="24"/>
    </w:rPr>
  </w:style>
  <w:style w:type="paragraph" w:styleId="ListBullet">
    <w:name w:val="List Bullet"/>
    <w:basedOn w:val="Normal"/>
    <w:uiPriority w:val="99"/>
    <w:unhideWhenUsed/>
    <w:rsid w:val="00EE1996"/>
    <w:p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
    <w:basedOn w:val="DefaultParagraphFont"/>
    <w:link w:val="ListParagraph"/>
    <w:uiPriority w:val="72"/>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Dossier table,Summary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F67DBD"/>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uiPriority w:val="99"/>
    <w:qFormat/>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qFormat/>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3"/>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FootnoteText">
    <w:name w:val="footnote text"/>
    <w:aliases w:val="Footnote Text Char Char,Footnote Text Char2,Footnote Text Char Char1"/>
    <w:basedOn w:val="Normal"/>
    <w:link w:val="FootnoteTextChar"/>
    <w:unhideWhenUsed/>
    <w:rsid w:val="00DE45B7"/>
    <w:rPr>
      <w:sz w:val="20"/>
      <w:szCs w:val="20"/>
    </w:rPr>
  </w:style>
  <w:style w:type="character" w:customStyle="1" w:styleId="FootnoteTextChar">
    <w:name w:val="Footnote Text Char"/>
    <w:aliases w:val="Footnote Text Char Char Char,Footnote Text Char2 Char,Footnote Text Char Char1 Char"/>
    <w:basedOn w:val="DefaultParagraphFont"/>
    <w:link w:val="FootnoteText"/>
    <w:rsid w:val="00DE45B7"/>
    <w:rPr>
      <w:rFonts w:ascii="Calibri" w:hAnsi="Calibri" w:cs="Arial"/>
    </w:rPr>
  </w:style>
  <w:style w:type="character" w:styleId="FootnoteReference">
    <w:name w:val="footnote reference"/>
    <w:basedOn w:val="DefaultParagraphFont"/>
    <w:unhideWhenUsed/>
    <w:rsid w:val="00DE45B7"/>
    <w:rPr>
      <w:vertAlign w:val="superscript"/>
    </w:rPr>
  </w:style>
  <w:style w:type="character" w:customStyle="1" w:styleId="TableLeftChar">
    <w:name w:val="Table Left Char"/>
    <w:basedOn w:val="DefaultParagraphFont"/>
    <w:link w:val="TableLeft"/>
    <w:uiPriority w:val="99"/>
    <w:locked/>
    <w:rsid w:val="00A456C7"/>
    <w:rPr>
      <w:rFonts w:ascii="Arial Narrow" w:eastAsiaTheme="majorEastAsia" w:hAnsi="Arial Narrow" w:cstheme="majorBidi"/>
      <w:szCs w:val="22"/>
      <w:lang w:eastAsia="en-US" w:bidi="en-US"/>
    </w:rPr>
  </w:style>
  <w:style w:type="paragraph" w:customStyle="1" w:styleId="TableLeft">
    <w:name w:val="Table Left"/>
    <w:basedOn w:val="Normal"/>
    <w:link w:val="TableLeftChar"/>
    <w:uiPriority w:val="99"/>
    <w:qFormat/>
    <w:rsid w:val="00A456C7"/>
    <w:rPr>
      <w:rFonts w:ascii="Arial Narrow" w:eastAsiaTheme="majorEastAsia" w:hAnsi="Arial Narrow" w:cstheme="majorBidi"/>
      <w:sz w:val="20"/>
      <w:szCs w:val="22"/>
      <w:lang w:eastAsia="en-US" w:bidi="en-US"/>
    </w:rPr>
  </w:style>
  <w:style w:type="character" w:customStyle="1" w:styleId="Small">
    <w:name w:val="Small"/>
    <w:basedOn w:val="DefaultParagraphFont"/>
    <w:uiPriority w:val="4"/>
    <w:qFormat/>
    <w:rsid w:val="004A312B"/>
    <w:rPr>
      <w:rFonts w:ascii="Arial Narrow" w:hAnsi="Arial Narrow"/>
      <w:sz w:val="20"/>
    </w:rPr>
  </w:style>
  <w:style w:type="character" w:customStyle="1" w:styleId="SmallBold">
    <w:name w:val="Small Bold"/>
    <w:basedOn w:val="Small"/>
    <w:uiPriority w:val="4"/>
    <w:qFormat/>
    <w:rsid w:val="004A312B"/>
    <w:rPr>
      <w:rFonts w:ascii="Arial Narrow" w:hAnsi="Arial Narrow"/>
      <w:b/>
      <w:sz w:val="20"/>
      <w:lang w:val="en-AU"/>
    </w:rPr>
  </w:style>
  <w:style w:type="paragraph" w:customStyle="1" w:styleId="EndNoteBibliography">
    <w:name w:val="EndNote Bibliography"/>
    <w:basedOn w:val="Normal"/>
    <w:link w:val="EndNoteBibliographyChar"/>
    <w:rsid w:val="00842EBC"/>
    <w:pPr>
      <w:spacing w:after="240"/>
    </w:pPr>
    <w:rPr>
      <w:rFonts w:ascii="Sabon" w:eastAsiaTheme="majorEastAsia" w:hAnsi="Sabon" w:cstheme="majorBidi"/>
      <w:sz w:val="22"/>
      <w:szCs w:val="22"/>
      <w:lang w:eastAsia="en-US" w:bidi="en-US"/>
    </w:rPr>
  </w:style>
  <w:style w:type="character" w:customStyle="1" w:styleId="EndNoteBibliographyChar">
    <w:name w:val="EndNote Bibliography Char"/>
    <w:basedOn w:val="DefaultParagraphFont"/>
    <w:link w:val="EndNoteBibliography"/>
    <w:rsid w:val="00842EBC"/>
    <w:rPr>
      <w:rFonts w:ascii="Sabon" w:eastAsiaTheme="majorEastAsia" w:hAnsi="Sabon" w:cstheme="majorBidi"/>
      <w:sz w:val="22"/>
      <w:szCs w:val="22"/>
      <w:lang w:eastAsia="en-US" w:bidi="en-US"/>
    </w:rPr>
  </w:style>
  <w:style w:type="paragraph" w:customStyle="1" w:styleId="TableBullets">
    <w:name w:val="Table Bullets"/>
    <w:basedOn w:val="TableLeft"/>
    <w:autoRedefine/>
    <w:uiPriority w:val="5"/>
    <w:qFormat/>
    <w:rsid w:val="00842EBC"/>
    <w:rPr>
      <w:sz w:val="18"/>
    </w:rPr>
  </w:style>
  <w:style w:type="paragraph" w:customStyle="1" w:styleId="TableCentre">
    <w:name w:val="Table Centre"/>
    <w:basedOn w:val="TableLeft"/>
    <w:uiPriority w:val="99"/>
    <w:qFormat/>
    <w:rsid w:val="00842EBC"/>
    <w:pPr>
      <w:jc w:val="center"/>
    </w:pPr>
    <w:rPr>
      <w:rFonts w:eastAsia="Times New Roman" w:cs="Times New Roman"/>
      <w:szCs w:val="20"/>
      <w:lang w:eastAsia="en-AU" w:bidi="ar-SA"/>
    </w:rPr>
  </w:style>
  <w:style w:type="paragraph" w:customStyle="1" w:styleId="TableNotes">
    <w:name w:val="Table Notes"/>
    <w:basedOn w:val="Normal"/>
    <w:link w:val="TableNotesChar"/>
    <w:qFormat/>
    <w:rsid w:val="00842EBC"/>
    <w:pPr>
      <w:spacing w:after="40" w:line="360" w:lineRule="auto"/>
    </w:pPr>
    <w:rPr>
      <w:rFonts w:ascii="Arial Narrow" w:eastAsiaTheme="majorEastAsia" w:hAnsi="Arial Narrow" w:cstheme="majorBidi"/>
      <w:sz w:val="16"/>
      <w:szCs w:val="22"/>
      <w:lang w:eastAsia="en-US" w:bidi="en-US"/>
    </w:rPr>
  </w:style>
  <w:style w:type="character" w:customStyle="1" w:styleId="TableNotesChar">
    <w:name w:val="Table Notes Char"/>
    <w:basedOn w:val="DefaultParagraphFont"/>
    <w:link w:val="TableNotes"/>
    <w:rsid w:val="00842EBC"/>
    <w:rPr>
      <w:rFonts w:ascii="Arial Narrow" w:eastAsiaTheme="majorEastAsia" w:hAnsi="Arial Narrow" w:cstheme="majorBidi"/>
      <w:sz w:val="16"/>
      <w:szCs w:val="22"/>
      <w:lang w:eastAsia="en-US" w:bidi="en-US"/>
    </w:rPr>
  </w:style>
  <w:style w:type="character" w:customStyle="1" w:styleId="FontSubscript">
    <w:name w:val="Font Subscript"/>
    <w:basedOn w:val="DefaultParagraphFont"/>
    <w:uiPriority w:val="1"/>
    <w:qFormat/>
    <w:rsid w:val="00842EBC"/>
    <w:rPr>
      <w:rFonts w:ascii="Sabon" w:hAnsi="Sabon"/>
      <w:sz w:val="22"/>
      <w:vertAlign w:val="subscript"/>
    </w:rPr>
  </w:style>
  <w:style w:type="table" w:customStyle="1" w:styleId="TableGrid1">
    <w:name w:val="Table Grid1"/>
    <w:basedOn w:val="TableNormal"/>
    <w:next w:val="TableGrid"/>
    <w:uiPriority w:val="59"/>
    <w:rsid w:val="00842EBC"/>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lternative3">
    <w:name w:val="Alternative 3"/>
    <w:basedOn w:val="Alternative2"/>
    <w:next w:val="Normal"/>
    <w:uiPriority w:val="99"/>
    <w:qFormat/>
    <w:rsid w:val="00842EBC"/>
    <w:pPr>
      <w:numPr>
        <w:ilvl w:val="2"/>
      </w:numPr>
      <w:outlineLvl w:val="2"/>
    </w:pPr>
    <w:rPr>
      <w:sz w:val="26"/>
    </w:rPr>
  </w:style>
  <w:style w:type="paragraph" w:customStyle="1" w:styleId="Alternative1">
    <w:name w:val="Alternative 1"/>
    <w:basedOn w:val="Normal"/>
    <w:next w:val="Normal"/>
    <w:uiPriority w:val="99"/>
    <w:qFormat/>
    <w:rsid w:val="00842EBC"/>
    <w:pPr>
      <w:numPr>
        <w:numId w:val="4"/>
      </w:numPr>
      <w:spacing w:after="200" w:line="276" w:lineRule="auto"/>
      <w:contextualSpacing/>
      <w:jc w:val="left"/>
      <w:outlineLvl w:val="0"/>
    </w:pPr>
    <w:rPr>
      <w:rFonts w:ascii="Verdana" w:eastAsiaTheme="majorEastAsia" w:hAnsi="Verdana" w:cstheme="majorBidi"/>
      <w:b/>
      <w:sz w:val="32"/>
      <w:szCs w:val="22"/>
      <w:lang w:eastAsia="en-US" w:bidi="en-US"/>
    </w:rPr>
  </w:style>
  <w:style w:type="paragraph" w:customStyle="1" w:styleId="Alternative2">
    <w:name w:val="Alternative 2"/>
    <w:basedOn w:val="Normal"/>
    <w:next w:val="Normal"/>
    <w:uiPriority w:val="99"/>
    <w:qFormat/>
    <w:rsid w:val="00842EBC"/>
    <w:pPr>
      <w:numPr>
        <w:ilvl w:val="1"/>
        <w:numId w:val="4"/>
      </w:numPr>
      <w:spacing w:after="200" w:line="276" w:lineRule="auto"/>
      <w:contextualSpacing/>
      <w:jc w:val="left"/>
      <w:outlineLvl w:val="1"/>
    </w:pPr>
    <w:rPr>
      <w:rFonts w:ascii="Verdana" w:eastAsiaTheme="majorEastAsia" w:hAnsi="Verdana" w:cstheme="majorBidi"/>
      <w:b/>
      <w:sz w:val="28"/>
      <w:szCs w:val="22"/>
      <w:lang w:eastAsia="en-US" w:bidi="en-US"/>
    </w:rPr>
  </w:style>
  <w:style w:type="paragraph" w:customStyle="1" w:styleId="Alternative4">
    <w:name w:val="Alternative 4"/>
    <w:basedOn w:val="Alternative3"/>
    <w:next w:val="Normal"/>
    <w:uiPriority w:val="99"/>
    <w:qFormat/>
    <w:rsid w:val="00842EBC"/>
    <w:pPr>
      <w:numPr>
        <w:ilvl w:val="3"/>
      </w:numPr>
      <w:outlineLvl w:val="3"/>
    </w:pPr>
    <w:rPr>
      <w:sz w:val="24"/>
    </w:rPr>
  </w:style>
  <w:style w:type="character" w:styleId="PlaceholderText">
    <w:name w:val="Placeholder Text"/>
    <w:basedOn w:val="DefaultParagraphFont"/>
    <w:uiPriority w:val="99"/>
    <w:semiHidden/>
    <w:rsid w:val="00842EBC"/>
    <w:rPr>
      <w:color w:val="808080"/>
    </w:rPr>
  </w:style>
  <w:style w:type="table" w:customStyle="1" w:styleId="Summarybox1">
    <w:name w:val="Summary box1"/>
    <w:basedOn w:val="TableNormal"/>
    <w:next w:val="TableGrid"/>
    <w:uiPriority w:val="59"/>
    <w:rsid w:val="00842EBC"/>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0">
    <w:name w:val="Table Heading"/>
    <w:basedOn w:val="TableText0"/>
    <w:uiPriority w:val="99"/>
    <w:qFormat/>
    <w:rsid w:val="00F67DBD"/>
    <w:pPr>
      <w:keepLines/>
      <w:spacing w:before="20" w:after="20" w:line="276" w:lineRule="auto"/>
      <w:jc w:val="both"/>
    </w:pPr>
    <w:rPr>
      <w:rFonts w:cs="Arial"/>
      <w:b/>
      <w:bCs w:val="0"/>
      <w:szCs w:val="20"/>
      <w:lang w:bidi="en-US"/>
    </w:rPr>
  </w:style>
  <w:style w:type="table" w:customStyle="1" w:styleId="AZTable">
    <w:name w:val="AZ Table"/>
    <w:basedOn w:val="TableNormal"/>
    <w:uiPriority w:val="99"/>
    <w:rsid w:val="007A65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numbering" w:customStyle="1" w:styleId="HeadingListStyle">
    <w:name w:val="Heading List Style"/>
    <w:uiPriority w:val="99"/>
    <w:rsid w:val="00E12FDB"/>
    <w:pPr>
      <w:numPr>
        <w:numId w:val="5"/>
      </w:numPr>
    </w:pPr>
  </w:style>
  <w:style w:type="character" w:customStyle="1" w:styleId="Heading1Char">
    <w:name w:val="Heading 1 Char"/>
    <w:basedOn w:val="DefaultParagraphFont"/>
    <w:link w:val="Heading1"/>
    <w:uiPriority w:val="1"/>
    <w:rsid w:val="005A0B4C"/>
    <w:rPr>
      <w:rFonts w:ascii="Calibri" w:hAnsi="Calibri" w:cs="Arial"/>
      <w:b/>
      <w:caps/>
      <w:sz w:val="32"/>
      <w:szCs w:val="24"/>
    </w:rPr>
  </w:style>
  <w:style w:type="character" w:customStyle="1" w:styleId="Heading3Char">
    <w:name w:val="Heading 3 Char"/>
    <w:basedOn w:val="DefaultParagraphFont"/>
    <w:link w:val="Heading3"/>
    <w:rsid w:val="005A0B4C"/>
    <w:rPr>
      <w:rFonts w:ascii="Calibri" w:hAnsi="Calibri" w:cs="Arial"/>
      <w:sz w:val="24"/>
      <w:szCs w:val="24"/>
      <w:u w:val="single"/>
    </w:rPr>
  </w:style>
  <w:style w:type="character" w:customStyle="1" w:styleId="Heading4Char">
    <w:name w:val="Heading 4 Char"/>
    <w:basedOn w:val="DefaultParagraphFont"/>
    <w:link w:val="Heading4"/>
    <w:rsid w:val="005A0B4C"/>
    <w:rPr>
      <w:rFonts w:ascii="Calibri" w:hAnsi="Calibri" w:cs="Arial"/>
      <w:b/>
      <w:bCs/>
      <w:i/>
      <w:sz w:val="26"/>
      <w:szCs w:val="28"/>
    </w:rPr>
  </w:style>
  <w:style w:type="paragraph" w:customStyle="1" w:styleId="Sources">
    <w:name w:val="Sources"/>
    <w:basedOn w:val="Normal"/>
    <w:uiPriority w:val="99"/>
    <w:qFormat/>
    <w:rsid w:val="005A0B4C"/>
    <w:pPr>
      <w:spacing w:before="120" w:after="120"/>
    </w:pPr>
    <w:rPr>
      <w:rFonts w:ascii="Arial" w:eastAsiaTheme="minorHAnsi" w:hAnsi="Arial" w:cstheme="minorBidi"/>
      <w:sz w:val="16"/>
      <w:szCs w:val="22"/>
      <w:lang w:eastAsia="en-US"/>
    </w:rPr>
  </w:style>
  <w:style w:type="paragraph" w:customStyle="1" w:styleId="TableBullet">
    <w:name w:val="Table Bullet"/>
    <w:basedOn w:val="TableText0"/>
    <w:link w:val="TableBulletChar"/>
    <w:uiPriority w:val="99"/>
    <w:qFormat/>
    <w:rsid w:val="005A0B4C"/>
    <w:pPr>
      <w:keepNext w:val="0"/>
      <w:numPr>
        <w:numId w:val="6"/>
      </w:numPr>
      <w:spacing w:before="20" w:after="20" w:line="276" w:lineRule="auto"/>
      <w:ind w:left="284" w:hanging="284"/>
      <w:jc w:val="both"/>
    </w:pPr>
    <w:rPr>
      <w:rFonts w:cs="Arial"/>
      <w:bCs w:val="0"/>
      <w:lang w:bidi="en-US"/>
    </w:rPr>
  </w:style>
  <w:style w:type="character" w:customStyle="1" w:styleId="TableBulletChar">
    <w:name w:val="Table Bullet Char"/>
    <w:basedOn w:val="TableTextChar0"/>
    <w:link w:val="TableBullet"/>
    <w:uiPriority w:val="99"/>
    <w:rsid w:val="005A0B4C"/>
    <w:rPr>
      <w:rFonts w:ascii="Arial Narrow" w:eastAsiaTheme="majorEastAsia" w:hAnsi="Arial Narrow" w:cs="Arial"/>
      <w:bCs w:val="0"/>
      <w:szCs w:val="24"/>
      <w:lang w:bidi="en-US"/>
    </w:rPr>
  </w:style>
  <w:style w:type="character" w:customStyle="1" w:styleId="Heading5Char">
    <w:name w:val="Heading 5 Char"/>
    <w:basedOn w:val="DefaultParagraphFont"/>
    <w:link w:val="Heading5"/>
    <w:rsid w:val="005A0B4C"/>
    <w:rPr>
      <w:rFonts w:ascii="Calibri" w:hAnsi="Calibri" w:cs="Arial"/>
      <w:b/>
      <w:bCs/>
      <w:iCs/>
      <w:sz w:val="26"/>
      <w:szCs w:val="26"/>
    </w:rPr>
  </w:style>
  <w:style w:type="character" w:customStyle="1" w:styleId="Heading6Char">
    <w:name w:val="Heading 6 Char"/>
    <w:basedOn w:val="DefaultParagraphFont"/>
    <w:link w:val="Heading6"/>
    <w:rsid w:val="005A0B4C"/>
    <w:rPr>
      <w:rFonts w:ascii="Calibri" w:hAnsi="Calibri" w:cs="Arial"/>
      <w:b/>
      <w:bCs/>
      <w:i/>
      <w:sz w:val="24"/>
      <w:szCs w:val="24"/>
    </w:rPr>
  </w:style>
  <w:style w:type="paragraph" w:customStyle="1" w:styleId="Tablenotes1">
    <w:name w:val="Tablenotes"/>
    <w:basedOn w:val="Normal"/>
    <w:link w:val="TablenotesChar0"/>
    <w:qFormat/>
    <w:rsid w:val="005A0B4C"/>
    <w:pPr>
      <w:widowControl w:val="0"/>
      <w:spacing w:after="360" w:line="269" w:lineRule="auto"/>
      <w:contextualSpacing/>
      <w:jc w:val="left"/>
    </w:pPr>
    <w:rPr>
      <w:rFonts w:ascii="Arial Narrow" w:hAnsi="Arial Narrow"/>
      <w:snapToGrid w:val="0"/>
      <w:sz w:val="18"/>
      <w:szCs w:val="20"/>
      <w:lang w:eastAsia="en-US"/>
    </w:rPr>
  </w:style>
  <w:style w:type="character" w:customStyle="1" w:styleId="TablenotesChar0">
    <w:name w:val="Tablenotes Char"/>
    <w:basedOn w:val="DefaultParagraphFont"/>
    <w:link w:val="Tablenotes1"/>
    <w:rsid w:val="005A0B4C"/>
    <w:rPr>
      <w:rFonts w:ascii="Arial Narrow" w:hAnsi="Arial Narrow" w:cs="Arial"/>
      <w:snapToGrid w:val="0"/>
      <w:sz w:val="18"/>
      <w:lang w:eastAsia="en-US"/>
    </w:rPr>
  </w:style>
  <w:style w:type="paragraph" w:customStyle="1" w:styleId="Heading1Alt">
    <w:name w:val="Heading 1 Alt"/>
    <w:basedOn w:val="Heading1"/>
    <w:uiPriority w:val="99"/>
    <w:qFormat/>
    <w:rsid w:val="005A0B4C"/>
    <w:pPr>
      <w:keepNext/>
      <w:keepLines/>
      <w:tabs>
        <w:tab w:val="left" w:pos="1134"/>
      </w:tabs>
      <w:spacing w:before="240" w:after="240" w:line="360" w:lineRule="auto"/>
      <w:ind w:left="2268" w:hanging="2268"/>
    </w:pPr>
    <w:rPr>
      <w:rFonts w:ascii="Arial" w:eastAsiaTheme="majorEastAsia" w:hAnsi="Arial" w:cstheme="majorBidi"/>
      <w:caps w:val="0"/>
      <w:smallCaps/>
      <w:color w:val="000000" w:themeColor="text1"/>
      <w:sz w:val="36"/>
      <w:szCs w:val="32"/>
      <w:lang w:eastAsia="en-US"/>
    </w:rPr>
  </w:style>
  <w:style w:type="paragraph" w:customStyle="1" w:styleId="Heading2Alt">
    <w:name w:val="Heading 2 Alt"/>
    <w:basedOn w:val="Heading2"/>
    <w:uiPriority w:val="99"/>
    <w:qFormat/>
    <w:rsid w:val="005A0B4C"/>
    <w:pPr>
      <w:keepNext/>
      <w:keepLines/>
      <w:spacing w:line="360" w:lineRule="auto"/>
      <w:ind w:left="1134" w:hanging="1134"/>
    </w:pPr>
    <w:rPr>
      <w:rFonts w:ascii="Arial" w:eastAsiaTheme="majorEastAsia" w:hAnsi="Arial" w:cstheme="majorBidi"/>
      <w:i w:val="0"/>
      <w:color w:val="000000" w:themeColor="text1"/>
      <w:sz w:val="32"/>
      <w:szCs w:val="26"/>
      <w:lang w:eastAsia="en-US"/>
    </w:rPr>
  </w:style>
  <w:style w:type="paragraph" w:customStyle="1" w:styleId="Heading3Alt">
    <w:name w:val="Heading 3 Alt"/>
    <w:basedOn w:val="Heading3"/>
    <w:uiPriority w:val="99"/>
    <w:qFormat/>
    <w:rsid w:val="005A0B4C"/>
    <w:pPr>
      <w:keepNext/>
      <w:keepLines/>
      <w:spacing w:before="40" w:line="360" w:lineRule="auto"/>
      <w:ind w:left="1134" w:hanging="1134"/>
    </w:pPr>
    <w:rPr>
      <w:rFonts w:ascii="Arial" w:eastAsiaTheme="majorEastAsia" w:hAnsi="Arial" w:cstheme="majorBidi"/>
      <w:b/>
      <w:color w:val="000000" w:themeColor="text1"/>
      <w:sz w:val="28"/>
      <w:u w:val="none"/>
      <w:lang w:eastAsia="en-US"/>
    </w:rPr>
  </w:style>
  <w:style w:type="paragraph" w:customStyle="1" w:styleId="ReportDate">
    <w:name w:val="ReportDate"/>
    <w:basedOn w:val="Normal"/>
    <w:uiPriority w:val="99"/>
    <w:locked/>
    <w:rsid w:val="005A0B4C"/>
    <w:pPr>
      <w:spacing w:line="360" w:lineRule="auto"/>
      <w:jc w:val="right"/>
    </w:pPr>
    <w:rPr>
      <w:rFonts w:ascii="Arial" w:hAnsi="Arial"/>
      <w:sz w:val="40"/>
      <w:szCs w:val="40"/>
      <w:lang w:eastAsia="en-US"/>
    </w:rPr>
  </w:style>
  <w:style w:type="table" w:customStyle="1" w:styleId="AZTable1">
    <w:name w:val="AZ Table1"/>
    <w:basedOn w:val="TableNormal"/>
    <w:uiPriority w:val="99"/>
    <w:rsid w:val="005A0B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Hyperlink1">
    <w:name w:val="Hyperlink1"/>
    <w:basedOn w:val="DefaultParagraphFont"/>
    <w:uiPriority w:val="99"/>
    <w:unhideWhenUsed/>
    <w:rsid w:val="00D9590F"/>
    <w:rPr>
      <w:color w:val="0000FF"/>
      <w:u w:val="single"/>
    </w:rPr>
  </w:style>
  <w:style w:type="character" w:styleId="Strong">
    <w:name w:val="Strong"/>
    <w:basedOn w:val="DefaultParagraphFont"/>
    <w:uiPriority w:val="22"/>
    <w:qFormat/>
    <w:rsid w:val="00D9590F"/>
    <w:rPr>
      <w:b/>
      <w:bCs/>
    </w:rPr>
  </w:style>
  <w:style w:type="paragraph" w:customStyle="1" w:styleId="TableHeadingRow">
    <w:name w:val="TableHeadingRow"/>
    <w:basedOn w:val="TableText1"/>
    <w:uiPriority w:val="3"/>
    <w:qFormat/>
    <w:rsid w:val="001646DB"/>
    <w:pPr>
      <w:keepNext/>
      <w:spacing w:before="40" w:after="40"/>
      <w:jc w:val="center"/>
    </w:pPr>
    <w:rPr>
      <w:b/>
      <w:bCs w:val="0"/>
    </w:rPr>
  </w:style>
  <w:style w:type="paragraph" w:customStyle="1" w:styleId="TableText1">
    <w:name w:val="TableText"/>
    <w:basedOn w:val="Normal"/>
    <w:link w:val="TableTextChar1"/>
    <w:uiPriority w:val="3"/>
    <w:qFormat/>
    <w:rsid w:val="001646DB"/>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1646DB"/>
    <w:rPr>
      <w:rFonts w:ascii="Calibri" w:hAnsi="Calibri" w:cs="Calibri"/>
      <w:bCs/>
      <w:lang w:eastAsia="zh-CN"/>
    </w:rPr>
  </w:style>
  <w:style w:type="character" w:customStyle="1" w:styleId="UnresolvedMention1">
    <w:name w:val="Unresolved Mention1"/>
    <w:basedOn w:val="DefaultParagraphFont"/>
    <w:uiPriority w:val="99"/>
    <w:semiHidden/>
    <w:unhideWhenUsed/>
    <w:rsid w:val="001646DB"/>
    <w:rPr>
      <w:color w:val="808080"/>
      <w:shd w:val="clear" w:color="auto" w:fill="E6E6E6"/>
    </w:rPr>
  </w:style>
  <w:style w:type="paragraph" w:customStyle="1" w:styleId="NormalBullets">
    <w:name w:val="Normal Bullets"/>
    <w:basedOn w:val="Normal"/>
    <w:uiPriority w:val="3"/>
    <w:qFormat/>
    <w:rsid w:val="001646DB"/>
    <w:pPr>
      <w:numPr>
        <w:numId w:val="10"/>
      </w:numPr>
      <w:spacing w:after="240" w:line="276" w:lineRule="auto"/>
      <w:contextualSpacing/>
      <w:jc w:val="left"/>
    </w:pPr>
    <w:rPr>
      <w:rFonts w:ascii="Sabon" w:eastAsiaTheme="majorEastAsia" w:hAnsi="Sabon" w:cstheme="majorBidi"/>
      <w:sz w:val="22"/>
      <w:szCs w:val="22"/>
      <w:lang w:eastAsia="en-US" w:bidi="en-US"/>
    </w:rPr>
  </w:style>
  <w:style w:type="character" w:customStyle="1" w:styleId="Font">
    <w:name w:val="Font"/>
    <w:basedOn w:val="DefaultParagraphFont"/>
    <w:uiPriority w:val="1"/>
    <w:qFormat/>
    <w:rsid w:val="001646DB"/>
    <w:rPr>
      <w:rFonts w:ascii="Sabon" w:hAnsi="Sabon"/>
      <w:sz w:val="22"/>
      <w:lang w:val="en-AU"/>
    </w:rPr>
  </w:style>
  <w:style w:type="table" w:customStyle="1" w:styleId="TableGrid401">
    <w:name w:val="Table Grid401"/>
    <w:basedOn w:val="TableNormal"/>
    <w:next w:val="TableGrid"/>
    <w:uiPriority w:val="59"/>
    <w:rsid w:val="003C6D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TAtableplain1">
    <w:name w:val="HTAtableplain1"/>
    <w:basedOn w:val="TableNormal"/>
    <w:next w:val="TableGrid"/>
    <w:uiPriority w:val="39"/>
    <w:rsid w:val="003C6D80"/>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Normal"/>
    <w:next w:val="Normal"/>
    <w:uiPriority w:val="99"/>
    <w:rsid w:val="008919D3"/>
    <w:pPr>
      <w:autoSpaceDE w:val="0"/>
      <w:autoSpaceDN w:val="0"/>
      <w:adjustRightInd w:val="0"/>
      <w:jc w:val="left"/>
    </w:pPr>
    <w:rPr>
      <w:rFonts w:ascii="Times New Roman" w:hAnsi="Times New Roman" w:cs="Times New Roman"/>
    </w:rPr>
  </w:style>
  <w:style w:type="paragraph" w:customStyle="1" w:styleId="msonormal0">
    <w:name w:val="msonormal"/>
    <w:basedOn w:val="Normal"/>
    <w:uiPriority w:val="99"/>
    <w:rsid w:val="00E43E9A"/>
    <w:pPr>
      <w:snapToGrid w:val="0"/>
      <w:spacing w:before="100" w:after="100"/>
      <w:jc w:val="left"/>
    </w:pPr>
    <w:rPr>
      <w:rFonts w:ascii="Times New Roman" w:hAnsi="Times New Roman" w:cs="Times New Roman"/>
      <w:lang w:val="en-GB"/>
    </w:rPr>
  </w:style>
  <w:style w:type="character" w:customStyle="1" w:styleId="FootnoteTextChar1">
    <w:name w:val="Footnote Text Char1"/>
    <w:aliases w:val="Footnote Text Char Char Char1,Footnote Text Char2 Char1,Footnote Text Char Char1 Char1"/>
    <w:basedOn w:val="DefaultParagraphFont"/>
    <w:semiHidden/>
    <w:rsid w:val="00E43E9A"/>
    <w:rPr>
      <w:rFonts w:ascii="Calibri" w:hAnsi="Calibri" w:cs="Arial"/>
    </w:rPr>
  </w:style>
  <w:style w:type="character" w:customStyle="1" w:styleId="CommentTextChar1">
    <w:name w:val="Comment Text Char1"/>
    <w:aliases w:val="Comment Text Char Char Char Char1,Comment Text Char Char Char2"/>
    <w:basedOn w:val="DefaultParagraphFont"/>
    <w:uiPriority w:val="99"/>
    <w:semiHidden/>
    <w:rsid w:val="00E43E9A"/>
    <w:rPr>
      <w:rFonts w:ascii="Calibri" w:hAnsi="Calibri" w:cs="Arial"/>
    </w:rPr>
  </w:style>
  <w:style w:type="character" w:customStyle="1" w:styleId="HeaderChar1">
    <w:name w:val="Header Char1"/>
    <w:aliases w:val="Page Header Char1,Header title Char1,he=header Char1,cntr/bld Char1"/>
    <w:basedOn w:val="DefaultParagraphFont"/>
    <w:semiHidden/>
    <w:rsid w:val="00E43E9A"/>
    <w:rPr>
      <w:rFonts w:ascii="Calibri" w:hAnsi="Calibri" w:cs="Arial"/>
      <w:sz w:val="24"/>
      <w:szCs w:val="24"/>
    </w:rPr>
  </w:style>
  <w:style w:type="paragraph" w:customStyle="1" w:styleId="Bodytextitalics">
    <w:name w:val="Body text italics"/>
    <w:basedOn w:val="BodyText"/>
    <w:qFormat/>
    <w:rsid w:val="00184061"/>
    <w:pPr>
      <w:spacing w:after="120"/>
      <w:jc w:val="both"/>
    </w:pPr>
    <w:rPr>
      <w:rFonts w:asciiTheme="minorHAnsi" w:eastAsiaTheme="minorHAnsi" w:hAnsiTheme="minorHAnsi" w:cstheme="minorBidi"/>
      <w:i/>
      <w:szCs w:val="22"/>
    </w:rPr>
  </w:style>
  <w:style w:type="paragraph" w:customStyle="1" w:styleId="2Sections">
    <w:name w:val="2. Sections"/>
    <w:qFormat/>
    <w:rsid w:val="00673E91"/>
    <w:p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673E91"/>
    <w:p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14">
      <w:bodyDiv w:val="1"/>
      <w:marLeft w:val="0"/>
      <w:marRight w:val="0"/>
      <w:marTop w:val="0"/>
      <w:marBottom w:val="0"/>
      <w:divBdr>
        <w:top w:val="none" w:sz="0" w:space="0" w:color="auto"/>
        <w:left w:val="none" w:sz="0" w:space="0" w:color="auto"/>
        <w:bottom w:val="none" w:sz="0" w:space="0" w:color="auto"/>
        <w:right w:val="none" w:sz="0" w:space="0" w:color="auto"/>
      </w:divBdr>
    </w:div>
    <w:div w:id="14962867">
      <w:bodyDiv w:val="1"/>
      <w:marLeft w:val="0"/>
      <w:marRight w:val="0"/>
      <w:marTop w:val="0"/>
      <w:marBottom w:val="0"/>
      <w:divBdr>
        <w:top w:val="none" w:sz="0" w:space="0" w:color="auto"/>
        <w:left w:val="none" w:sz="0" w:space="0" w:color="auto"/>
        <w:bottom w:val="none" w:sz="0" w:space="0" w:color="auto"/>
        <w:right w:val="none" w:sz="0" w:space="0" w:color="auto"/>
      </w:divBdr>
    </w:div>
    <w:div w:id="88888154">
      <w:bodyDiv w:val="1"/>
      <w:marLeft w:val="0"/>
      <w:marRight w:val="0"/>
      <w:marTop w:val="0"/>
      <w:marBottom w:val="0"/>
      <w:divBdr>
        <w:top w:val="none" w:sz="0" w:space="0" w:color="auto"/>
        <w:left w:val="none" w:sz="0" w:space="0" w:color="auto"/>
        <w:bottom w:val="none" w:sz="0" w:space="0" w:color="auto"/>
        <w:right w:val="none" w:sz="0" w:space="0" w:color="auto"/>
      </w:divBdr>
      <w:divsChild>
        <w:div w:id="1256136016">
          <w:marLeft w:val="446"/>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961899">
      <w:bodyDiv w:val="1"/>
      <w:marLeft w:val="0"/>
      <w:marRight w:val="0"/>
      <w:marTop w:val="0"/>
      <w:marBottom w:val="0"/>
      <w:divBdr>
        <w:top w:val="none" w:sz="0" w:space="0" w:color="auto"/>
        <w:left w:val="none" w:sz="0" w:space="0" w:color="auto"/>
        <w:bottom w:val="none" w:sz="0" w:space="0" w:color="auto"/>
        <w:right w:val="none" w:sz="0" w:space="0" w:color="auto"/>
      </w:divBdr>
    </w:div>
    <w:div w:id="106391211">
      <w:bodyDiv w:val="1"/>
      <w:marLeft w:val="0"/>
      <w:marRight w:val="0"/>
      <w:marTop w:val="0"/>
      <w:marBottom w:val="0"/>
      <w:divBdr>
        <w:top w:val="none" w:sz="0" w:space="0" w:color="auto"/>
        <w:left w:val="none" w:sz="0" w:space="0" w:color="auto"/>
        <w:bottom w:val="none" w:sz="0" w:space="0" w:color="auto"/>
        <w:right w:val="none" w:sz="0" w:space="0" w:color="auto"/>
      </w:divBdr>
      <w:divsChild>
        <w:div w:id="1809279831">
          <w:marLeft w:val="1800"/>
          <w:marRight w:val="0"/>
          <w:marTop w:val="100"/>
          <w:marBottom w:val="0"/>
          <w:divBdr>
            <w:top w:val="none" w:sz="0" w:space="0" w:color="auto"/>
            <w:left w:val="none" w:sz="0" w:space="0" w:color="auto"/>
            <w:bottom w:val="none" w:sz="0" w:space="0" w:color="auto"/>
            <w:right w:val="none" w:sz="0" w:space="0" w:color="auto"/>
          </w:divBdr>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8058379">
      <w:bodyDiv w:val="1"/>
      <w:marLeft w:val="0"/>
      <w:marRight w:val="0"/>
      <w:marTop w:val="0"/>
      <w:marBottom w:val="0"/>
      <w:divBdr>
        <w:top w:val="none" w:sz="0" w:space="0" w:color="auto"/>
        <w:left w:val="none" w:sz="0" w:space="0" w:color="auto"/>
        <w:bottom w:val="none" w:sz="0" w:space="0" w:color="auto"/>
        <w:right w:val="none" w:sz="0" w:space="0" w:color="auto"/>
      </w:divBdr>
    </w:div>
    <w:div w:id="198513877">
      <w:bodyDiv w:val="1"/>
      <w:marLeft w:val="0"/>
      <w:marRight w:val="0"/>
      <w:marTop w:val="0"/>
      <w:marBottom w:val="0"/>
      <w:divBdr>
        <w:top w:val="none" w:sz="0" w:space="0" w:color="auto"/>
        <w:left w:val="none" w:sz="0" w:space="0" w:color="auto"/>
        <w:bottom w:val="none" w:sz="0" w:space="0" w:color="auto"/>
        <w:right w:val="none" w:sz="0" w:space="0" w:color="auto"/>
      </w:divBdr>
    </w:div>
    <w:div w:id="220094039">
      <w:bodyDiv w:val="1"/>
      <w:marLeft w:val="0"/>
      <w:marRight w:val="0"/>
      <w:marTop w:val="0"/>
      <w:marBottom w:val="0"/>
      <w:divBdr>
        <w:top w:val="none" w:sz="0" w:space="0" w:color="auto"/>
        <w:left w:val="none" w:sz="0" w:space="0" w:color="auto"/>
        <w:bottom w:val="none" w:sz="0" w:space="0" w:color="auto"/>
        <w:right w:val="none" w:sz="0" w:space="0" w:color="auto"/>
      </w:divBdr>
    </w:div>
    <w:div w:id="26234911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6661209">
      <w:bodyDiv w:val="1"/>
      <w:marLeft w:val="0"/>
      <w:marRight w:val="0"/>
      <w:marTop w:val="0"/>
      <w:marBottom w:val="0"/>
      <w:divBdr>
        <w:top w:val="none" w:sz="0" w:space="0" w:color="auto"/>
        <w:left w:val="none" w:sz="0" w:space="0" w:color="auto"/>
        <w:bottom w:val="none" w:sz="0" w:space="0" w:color="auto"/>
        <w:right w:val="none" w:sz="0" w:space="0" w:color="auto"/>
      </w:divBdr>
    </w:div>
    <w:div w:id="391805460">
      <w:bodyDiv w:val="1"/>
      <w:marLeft w:val="0"/>
      <w:marRight w:val="0"/>
      <w:marTop w:val="0"/>
      <w:marBottom w:val="0"/>
      <w:divBdr>
        <w:top w:val="none" w:sz="0" w:space="0" w:color="auto"/>
        <w:left w:val="none" w:sz="0" w:space="0" w:color="auto"/>
        <w:bottom w:val="none" w:sz="0" w:space="0" w:color="auto"/>
        <w:right w:val="none" w:sz="0" w:space="0" w:color="auto"/>
      </w:divBdr>
    </w:div>
    <w:div w:id="459886105">
      <w:bodyDiv w:val="1"/>
      <w:marLeft w:val="0"/>
      <w:marRight w:val="0"/>
      <w:marTop w:val="0"/>
      <w:marBottom w:val="0"/>
      <w:divBdr>
        <w:top w:val="none" w:sz="0" w:space="0" w:color="auto"/>
        <w:left w:val="none" w:sz="0" w:space="0" w:color="auto"/>
        <w:bottom w:val="none" w:sz="0" w:space="0" w:color="auto"/>
        <w:right w:val="none" w:sz="0" w:space="0" w:color="auto"/>
      </w:divBdr>
    </w:div>
    <w:div w:id="498353940">
      <w:bodyDiv w:val="1"/>
      <w:marLeft w:val="0"/>
      <w:marRight w:val="0"/>
      <w:marTop w:val="0"/>
      <w:marBottom w:val="0"/>
      <w:divBdr>
        <w:top w:val="none" w:sz="0" w:space="0" w:color="auto"/>
        <w:left w:val="none" w:sz="0" w:space="0" w:color="auto"/>
        <w:bottom w:val="none" w:sz="0" w:space="0" w:color="auto"/>
        <w:right w:val="none" w:sz="0" w:space="0" w:color="auto"/>
      </w:divBdr>
    </w:div>
    <w:div w:id="536626026">
      <w:bodyDiv w:val="1"/>
      <w:marLeft w:val="0"/>
      <w:marRight w:val="0"/>
      <w:marTop w:val="0"/>
      <w:marBottom w:val="0"/>
      <w:divBdr>
        <w:top w:val="none" w:sz="0" w:space="0" w:color="auto"/>
        <w:left w:val="none" w:sz="0" w:space="0" w:color="auto"/>
        <w:bottom w:val="none" w:sz="0" w:space="0" w:color="auto"/>
        <w:right w:val="none" w:sz="0" w:space="0" w:color="auto"/>
      </w:divBdr>
    </w:div>
    <w:div w:id="542601977">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585459210">
      <w:bodyDiv w:val="1"/>
      <w:marLeft w:val="0"/>
      <w:marRight w:val="0"/>
      <w:marTop w:val="0"/>
      <w:marBottom w:val="0"/>
      <w:divBdr>
        <w:top w:val="none" w:sz="0" w:space="0" w:color="auto"/>
        <w:left w:val="none" w:sz="0" w:space="0" w:color="auto"/>
        <w:bottom w:val="none" w:sz="0" w:space="0" w:color="auto"/>
        <w:right w:val="none" w:sz="0" w:space="0" w:color="auto"/>
      </w:divBdr>
    </w:div>
    <w:div w:id="596988656">
      <w:bodyDiv w:val="1"/>
      <w:marLeft w:val="0"/>
      <w:marRight w:val="0"/>
      <w:marTop w:val="0"/>
      <w:marBottom w:val="0"/>
      <w:divBdr>
        <w:top w:val="none" w:sz="0" w:space="0" w:color="auto"/>
        <w:left w:val="none" w:sz="0" w:space="0" w:color="auto"/>
        <w:bottom w:val="none" w:sz="0" w:space="0" w:color="auto"/>
        <w:right w:val="none" w:sz="0" w:space="0" w:color="auto"/>
      </w:divBdr>
    </w:div>
    <w:div w:id="759565201">
      <w:bodyDiv w:val="1"/>
      <w:marLeft w:val="0"/>
      <w:marRight w:val="0"/>
      <w:marTop w:val="0"/>
      <w:marBottom w:val="0"/>
      <w:divBdr>
        <w:top w:val="none" w:sz="0" w:space="0" w:color="auto"/>
        <w:left w:val="none" w:sz="0" w:space="0" w:color="auto"/>
        <w:bottom w:val="none" w:sz="0" w:space="0" w:color="auto"/>
        <w:right w:val="none" w:sz="0" w:space="0" w:color="auto"/>
      </w:divBdr>
    </w:div>
    <w:div w:id="929853065">
      <w:bodyDiv w:val="1"/>
      <w:marLeft w:val="0"/>
      <w:marRight w:val="0"/>
      <w:marTop w:val="0"/>
      <w:marBottom w:val="0"/>
      <w:divBdr>
        <w:top w:val="none" w:sz="0" w:space="0" w:color="auto"/>
        <w:left w:val="none" w:sz="0" w:space="0" w:color="auto"/>
        <w:bottom w:val="none" w:sz="0" w:space="0" w:color="auto"/>
        <w:right w:val="none" w:sz="0" w:space="0" w:color="auto"/>
      </w:divBdr>
    </w:div>
    <w:div w:id="940723680">
      <w:bodyDiv w:val="1"/>
      <w:marLeft w:val="0"/>
      <w:marRight w:val="0"/>
      <w:marTop w:val="0"/>
      <w:marBottom w:val="0"/>
      <w:divBdr>
        <w:top w:val="none" w:sz="0" w:space="0" w:color="auto"/>
        <w:left w:val="none" w:sz="0" w:space="0" w:color="auto"/>
        <w:bottom w:val="none" w:sz="0" w:space="0" w:color="auto"/>
        <w:right w:val="none" w:sz="0" w:space="0" w:color="auto"/>
      </w:divBdr>
      <w:divsChild>
        <w:div w:id="183401312">
          <w:marLeft w:val="0"/>
          <w:marRight w:val="0"/>
          <w:marTop w:val="0"/>
          <w:marBottom w:val="0"/>
          <w:divBdr>
            <w:top w:val="single" w:sz="6" w:space="3" w:color="808080"/>
            <w:left w:val="single" w:sz="6" w:space="3" w:color="808080"/>
            <w:bottom w:val="single" w:sz="6" w:space="3" w:color="808080"/>
            <w:right w:val="single" w:sz="6" w:space="3" w:color="808080"/>
          </w:divBdr>
        </w:div>
        <w:div w:id="1867602143">
          <w:marLeft w:val="0"/>
          <w:marRight w:val="0"/>
          <w:marTop w:val="0"/>
          <w:marBottom w:val="0"/>
          <w:divBdr>
            <w:top w:val="none" w:sz="0" w:space="0" w:color="auto"/>
            <w:left w:val="none" w:sz="0" w:space="0" w:color="auto"/>
            <w:bottom w:val="none" w:sz="0" w:space="0" w:color="auto"/>
            <w:right w:val="none" w:sz="0" w:space="0" w:color="auto"/>
          </w:divBdr>
          <w:divsChild>
            <w:div w:id="680622221">
              <w:marLeft w:val="0"/>
              <w:marRight w:val="0"/>
              <w:marTop w:val="0"/>
              <w:marBottom w:val="0"/>
              <w:divBdr>
                <w:top w:val="none" w:sz="0" w:space="0" w:color="auto"/>
                <w:left w:val="none" w:sz="0" w:space="0" w:color="auto"/>
                <w:bottom w:val="none" w:sz="0" w:space="0" w:color="auto"/>
                <w:right w:val="none" w:sz="0" w:space="0" w:color="auto"/>
              </w:divBdr>
              <w:divsChild>
                <w:div w:id="2105297492">
                  <w:marLeft w:val="0"/>
                  <w:marRight w:val="0"/>
                  <w:marTop w:val="0"/>
                  <w:marBottom w:val="0"/>
                  <w:divBdr>
                    <w:top w:val="none" w:sz="0" w:space="0" w:color="auto"/>
                    <w:left w:val="none" w:sz="0" w:space="0" w:color="auto"/>
                    <w:bottom w:val="none" w:sz="0" w:space="0" w:color="auto"/>
                    <w:right w:val="none" w:sz="0" w:space="0" w:color="auto"/>
                  </w:divBdr>
                  <w:divsChild>
                    <w:div w:id="996764169">
                      <w:marLeft w:val="0"/>
                      <w:marRight w:val="0"/>
                      <w:marTop w:val="0"/>
                      <w:marBottom w:val="0"/>
                      <w:divBdr>
                        <w:top w:val="none" w:sz="0" w:space="0" w:color="auto"/>
                        <w:left w:val="none" w:sz="0" w:space="0" w:color="auto"/>
                        <w:bottom w:val="none" w:sz="0" w:space="0" w:color="auto"/>
                        <w:right w:val="none" w:sz="0" w:space="0" w:color="auto"/>
                      </w:divBdr>
                      <w:divsChild>
                        <w:div w:id="1632904753">
                          <w:marLeft w:val="0"/>
                          <w:marRight w:val="0"/>
                          <w:marTop w:val="0"/>
                          <w:marBottom w:val="0"/>
                          <w:divBdr>
                            <w:top w:val="none" w:sz="0" w:space="0" w:color="auto"/>
                            <w:left w:val="none" w:sz="0" w:space="0" w:color="auto"/>
                            <w:bottom w:val="none" w:sz="0" w:space="0" w:color="auto"/>
                            <w:right w:val="none" w:sz="0" w:space="0" w:color="auto"/>
                          </w:divBdr>
                          <w:divsChild>
                            <w:div w:id="497310102">
                              <w:marLeft w:val="0"/>
                              <w:marRight w:val="0"/>
                              <w:marTop w:val="0"/>
                              <w:marBottom w:val="0"/>
                              <w:divBdr>
                                <w:top w:val="none" w:sz="0" w:space="0" w:color="auto"/>
                                <w:left w:val="none" w:sz="0" w:space="0" w:color="auto"/>
                                <w:bottom w:val="none" w:sz="0" w:space="0" w:color="auto"/>
                                <w:right w:val="none" w:sz="0" w:space="0" w:color="auto"/>
                              </w:divBdr>
                              <w:divsChild>
                                <w:div w:id="139932910">
                                  <w:marLeft w:val="0"/>
                                  <w:marRight w:val="0"/>
                                  <w:marTop w:val="0"/>
                                  <w:marBottom w:val="0"/>
                                  <w:divBdr>
                                    <w:top w:val="none" w:sz="0" w:space="0" w:color="auto"/>
                                    <w:left w:val="none" w:sz="0" w:space="0" w:color="auto"/>
                                    <w:bottom w:val="none" w:sz="0" w:space="0" w:color="auto"/>
                                    <w:right w:val="none" w:sz="0" w:space="0" w:color="auto"/>
                                  </w:divBdr>
                                  <w:divsChild>
                                    <w:div w:id="1727410446">
                                      <w:marLeft w:val="0"/>
                                      <w:marRight w:val="0"/>
                                      <w:marTop w:val="0"/>
                                      <w:marBottom w:val="0"/>
                                      <w:divBdr>
                                        <w:top w:val="none" w:sz="0" w:space="0" w:color="auto"/>
                                        <w:left w:val="none" w:sz="0" w:space="0" w:color="auto"/>
                                        <w:bottom w:val="none" w:sz="0" w:space="0" w:color="auto"/>
                                        <w:right w:val="none" w:sz="0" w:space="0" w:color="auto"/>
                                      </w:divBdr>
                                      <w:divsChild>
                                        <w:div w:id="3826728">
                                          <w:marLeft w:val="0"/>
                                          <w:marRight w:val="0"/>
                                          <w:marTop w:val="0"/>
                                          <w:marBottom w:val="0"/>
                                          <w:divBdr>
                                            <w:top w:val="none" w:sz="0" w:space="0" w:color="auto"/>
                                            <w:left w:val="none" w:sz="0" w:space="0" w:color="auto"/>
                                            <w:bottom w:val="none" w:sz="0" w:space="0" w:color="auto"/>
                                            <w:right w:val="none" w:sz="0" w:space="0" w:color="auto"/>
                                          </w:divBdr>
                                          <w:divsChild>
                                            <w:div w:id="1164738252">
                                              <w:marLeft w:val="0"/>
                                              <w:marRight w:val="0"/>
                                              <w:marTop w:val="0"/>
                                              <w:marBottom w:val="0"/>
                                              <w:divBdr>
                                                <w:top w:val="none" w:sz="0" w:space="0" w:color="auto"/>
                                                <w:left w:val="none" w:sz="0" w:space="0" w:color="auto"/>
                                                <w:bottom w:val="none" w:sz="0" w:space="0" w:color="auto"/>
                                                <w:right w:val="none" w:sz="0" w:space="0" w:color="auto"/>
                                              </w:divBdr>
                                              <w:divsChild>
                                                <w:div w:id="1064717849">
                                                  <w:marLeft w:val="0"/>
                                                  <w:marRight w:val="0"/>
                                                  <w:marTop w:val="0"/>
                                                  <w:marBottom w:val="0"/>
                                                  <w:divBdr>
                                                    <w:top w:val="none" w:sz="0" w:space="0" w:color="auto"/>
                                                    <w:left w:val="none" w:sz="0" w:space="0" w:color="auto"/>
                                                    <w:bottom w:val="none" w:sz="0" w:space="0" w:color="auto"/>
                                                    <w:right w:val="none" w:sz="0" w:space="0" w:color="auto"/>
                                                  </w:divBdr>
                                                  <w:divsChild>
                                                    <w:div w:id="636834456">
                                                      <w:marLeft w:val="0"/>
                                                      <w:marRight w:val="0"/>
                                                      <w:marTop w:val="0"/>
                                                      <w:marBottom w:val="0"/>
                                                      <w:divBdr>
                                                        <w:top w:val="none" w:sz="0" w:space="0" w:color="auto"/>
                                                        <w:left w:val="none" w:sz="0" w:space="0" w:color="auto"/>
                                                        <w:bottom w:val="none" w:sz="0" w:space="0" w:color="auto"/>
                                                        <w:right w:val="none" w:sz="0" w:space="0" w:color="auto"/>
                                                      </w:divBdr>
                                                      <w:divsChild>
                                                        <w:div w:id="820199202">
                                                          <w:marLeft w:val="0"/>
                                                          <w:marRight w:val="0"/>
                                                          <w:marTop w:val="0"/>
                                                          <w:marBottom w:val="0"/>
                                                          <w:divBdr>
                                                            <w:top w:val="none" w:sz="0" w:space="0" w:color="auto"/>
                                                            <w:left w:val="none" w:sz="0" w:space="0" w:color="auto"/>
                                                            <w:bottom w:val="none" w:sz="0" w:space="0" w:color="auto"/>
                                                            <w:right w:val="none" w:sz="0" w:space="0" w:color="auto"/>
                                                          </w:divBdr>
                                                          <w:divsChild>
                                                            <w:div w:id="1323044653">
                                                              <w:marLeft w:val="0"/>
                                                              <w:marRight w:val="0"/>
                                                              <w:marTop w:val="0"/>
                                                              <w:marBottom w:val="0"/>
                                                              <w:divBdr>
                                                                <w:top w:val="none" w:sz="0" w:space="0" w:color="auto"/>
                                                                <w:left w:val="none" w:sz="0" w:space="0" w:color="auto"/>
                                                                <w:bottom w:val="none" w:sz="0" w:space="0" w:color="auto"/>
                                                                <w:right w:val="none" w:sz="0" w:space="0" w:color="auto"/>
                                                              </w:divBdr>
                                                              <w:divsChild>
                                                                <w:div w:id="20927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3741774">
      <w:bodyDiv w:val="1"/>
      <w:marLeft w:val="0"/>
      <w:marRight w:val="0"/>
      <w:marTop w:val="0"/>
      <w:marBottom w:val="0"/>
      <w:divBdr>
        <w:top w:val="none" w:sz="0" w:space="0" w:color="auto"/>
        <w:left w:val="none" w:sz="0" w:space="0" w:color="auto"/>
        <w:bottom w:val="none" w:sz="0" w:space="0" w:color="auto"/>
        <w:right w:val="none" w:sz="0" w:space="0" w:color="auto"/>
      </w:divBdr>
      <w:divsChild>
        <w:div w:id="1182359231">
          <w:marLeft w:val="1080"/>
          <w:marRight w:val="0"/>
          <w:marTop w:val="100"/>
          <w:marBottom w:val="0"/>
          <w:divBdr>
            <w:top w:val="none" w:sz="0" w:space="0" w:color="auto"/>
            <w:left w:val="none" w:sz="0" w:space="0" w:color="auto"/>
            <w:bottom w:val="none" w:sz="0" w:space="0" w:color="auto"/>
            <w:right w:val="none" w:sz="0" w:space="0" w:color="auto"/>
          </w:divBdr>
        </w:div>
        <w:div w:id="1181622300">
          <w:marLeft w:val="1800"/>
          <w:marRight w:val="0"/>
          <w:marTop w:val="100"/>
          <w:marBottom w:val="0"/>
          <w:divBdr>
            <w:top w:val="none" w:sz="0" w:space="0" w:color="auto"/>
            <w:left w:val="none" w:sz="0" w:space="0" w:color="auto"/>
            <w:bottom w:val="none" w:sz="0" w:space="0" w:color="auto"/>
            <w:right w:val="none" w:sz="0" w:space="0" w:color="auto"/>
          </w:divBdr>
        </w:div>
        <w:div w:id="468591116">
          <w:marLeft w:val="180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0475">
      <w:bodyDiv w:val="1"/>
      <w:marLeft w:val="0"/>
      <w:marRight w:val="0"/>
      <w:marTop w:val="0"/>
      <w:marBottom w:val="0"/>
      <w:divBdr>
        <w:top w:val="none" w:sz="0" w:space="0" w:color="auto"/>
        <w:left w:val="none" w:sz="0" w:space="0" w:color="auto"/>
        <w:bottom w:val="none" w:sz="0" w:space="0" w:color="auto"/>
        <w:right w:val="none" w:sz="0" w:space="0" w:color="auto"/>
      </w:divBdr>
      <w:divsChild>
        <w:div w:id="1688404050">
          <w:marLeft w:val="446"/>
          <w:marRight w:val="0"/>
          <w:marTop w:val="0"/>
          <w:marBottom w:val="0"/>
          <w:divBdr>
            <w:top w:val="none" w:sz="0" w:space="0" w:color="auto"/>
            <w:left w:val="none" w:sz="0" w:space="0" w:color="auto"/>
            <w:bottom w:val="none" w:sz="0" w:space="0" w:color="auto"/>
            <w:right w:val="none" w:sz="0" w:space="0" w:color="auto"/>
          </w:divBdr>
        </w:div>
      </w:divsChild>
    </w:div>
    <w:div w:id="1215578541">
      <w:bodyDiv w:val="1"/>
      <w:marLeft w:val="0"/>
      <w:marRight w:val="0"/>
      <w:marTop w:val="0"/>
      <w:marBottom w:val="0"/>
      <w:divBdr>
        <w:top w:val="none" w:sz="0" w:space="0" w:color="auto"/>
        <w:left w:val="none" w:sz="0" w:space="0" w:color="auto"/>
        <w:bottom w:val="none" w:sz="0" w:space="0" w:color="auto"/>
        <w:right w:val="none" w:sz="0" w:space="0" w:color="auto"/>
      </w:divBdr>
    </w:div>
    <w:div w:id="1226069617">
      <w:bodyDiv w:val="1"/>
      <w:marLeft w:val="0"/>
      <w:marRight w:val="0"/>
      <w:marTop w:val="0"/>
      <w:marBottom w:val="0"/>
      <w:divBdr>
        <w:top w:val="none" w:sz="0" w:space="0" w:color="auto"/>
        <w:left w:val="none" w:sz="0" w:space="0" w:color="auto"/>
        <w:bottom w:val="none" w:sz="0" w:space="0" w:color="auto"/>
        <w:right w:val="none" w:sz="0" w:space="0" w:color="auto"/>
      </w:divBdr>
      <w:divsChild>
        <w:div w:id="395586832">
          <w:marLeft w:val="1080"/>
          <w:marRight w:val="0"/>
          <w:marTop w:val="100"/>
          <w:marBottom w:val="0"/>
          <w:divBdr>
            <w:top w:val="none" w:sz="0" w:space="0" w:color="auto"/>
            <w:left w:val="none" w:sz="0" w:space="0" w:color="auto"/>
            <w:bottom w:val="none" w:sz="0" w:space="0" w:color="auto"/>
            <w:right w:val="none" w:sz="0" w:space="0" w:color="auto"/>
          </w:divBdr>
        </w:div>
      </w:divsChild>
    </w:div>
    <w:div w:id="1281570028">
      <w:bodyDiv w:val="1"/>
      <w:marLeft w:val="0"/>
      <w:marRight w:val="0"/>
      <w:marTop w:val="0"/>
      <w:marBottom w:val="0"/>
      <w:divBdr>
        <w:top w:val="none" w:sz="0" w:space="0" w:color="auto"/>
        <w:left w:val="none" w:sz="0" w:space="0" w:color="auto"/>
        <w:bottom w:val="none" w:sz="0" w:space="0" w:color="auto"/>
        <w:right w:val="none" w:sz="0" w:space="0" w:color="auto"/>
      </w:divBdr>
    </w:div>
    <w:div w:id="1332565600">
      <w:bodyDiv w:val="1"/>
      <w:marLeft w:val="0"/>
      <w:marRight w:val="0"/>
      <w:marTop w:val="0"/>
      <w:marBottom w:val="0"/>
      <w:divBdr>
        <w:top w:val="none" w:sz="0" w:space="0" w:color="auto"/>
        <w:left w:val="none" w:sz="0" w:space="0" w:color="auto"/>
        <w:bottom w:val="none" w:sz="0" w:space="0" w:color="auto"/>
        <w:right w:val="none" w:sz="0" w:space="0" w:color="auto"/>
      </w:divBdr>
    </w:div>
    <w:div w:id="1332953166">
      <w:bodyDiv w:val="1"/>
      <w:marLeft w:val="0"/>
      <w:marRight w:val="0"/>
      <w:marTop w:val="0"/>
      <w:marBottom w:val="0"/>
      <w:divBdr>
        <w:top w:val="none" w:sz="0" w:space="0" w:color="auto"/>
        <w:left w:val="none" w:sz="0" w:space="0" w:color="auto"/>
        <w:bottom w:val="none" w:sz="0" w:space="0" w:color="auto"/>
        <w:right w:val="none" w:sz="0" w:space="0" w:color="auto"/>
      </w:divBdr>
    </w:div>
    <w:div w:id="1346976397">
      <w:bodyDiv w:val="1"/>
      <w:marLeft w:val="0"/>
      <w:marRight w:val="0"/>
      <w:marTop w:val="0"/>
      <w:marBottom w:val="0"/>
      <w:divBdr>
        <w:top w:val="none" w:sz="0" w:space="0" w:color="auto"/>
        <w:left w:val="none" w:sz="0" w:space="0" w:color="auto"/>
        <w:bottom w:val="none" w:sz="0" w:space="0" w:color="auto"/>
        <w:right w:val="none" w:sz="0" w:space="0" w:color="auto"/>
      </w:divBdr>
    </w:div>
    <w:div w:id="1363944901">
      <w:bodyDiv w:val="1"/>
      <w:marLeft w:val="0"/>
      <w:marRight w:val="0"/>
      <w:marTop w:val="0"/>
      <w:marBottom w:val="0"/>
      <w:divBdr>
        <w:top w:val="none" w:sz="0" w:space="0" w:color="auto"/>
        <w:left w:val="none" w:sz="0" w:space="0" w:color="auto"/>
        <w:bottom w:val="none" w:sz="0" w:space="0" w:color="auto"/>
        <w:right w:val="none" w:sz="0" w:space="0" w:color="auto"/>
      </w:divBdr>
    </w:div>
    <w:div w:id="1369139066">
      <w:bodyDiv w:val="1"/>
      <w:marLeft w:val="0"/>
      <w:marRight w:val="0"/>
      <w:marTop w:val="0"/>
      <w:marBottom w:val="0"/>
      <w:divBdr>
        <w:top w:val="none" w:sz="0" w:space="0" w:color="auto"/>
        <w:left w:val="none" w:sz="0" w:space="0" w:color="auto"/>
        <w:bottom w:val="none" w:sz="0" w:space="0" w:color="auto"/>
        <w:right w:val="none" w:sz="0" w:space="0" w:color="auto"/>
      </w:divBdr>
    </w:div>
    <w:div w:id="1406299249">
      <w:bodyDiv w:val="1"/>
      <w:marLeft w:val="0"/>
      <w:marRight w:val="0"/>
      <w:marTop w:val="0"/>
      <w:marBottom w:val="0"/>
      <w:divBdr>
        <w:top w:val="none" w:sz="0" w:space="0" w:color="auto"/>
        <w:left w:val="none" w:sz="0" w:space="0" w:color="auto"/>
        <w:bottom w:val="none" w:sz="0" w:space="0" w:color="auto"/>
        <w:right w:val="none" w:sz="0" w:space="0" w:color="auto"/>
      </w:divBdr>
    </w:div>
    <w:div w:id="1421292848">
      <w:bodyDiv w:val="1"/>
      <w:marLeft w:val="0"/>
      <w:marRight w:val="0"/>
      <w:marTop w:val="0"/>
      <w:marBottom w:val="0"/>
      <w:divBdr>
        <w:top w:val="none" w:sz="0" w:space="0" w:color="auto"/>
        <w:left w:val="none" w:sz="0" w:space="0" w:color="auto"/>
        <w:bottom w:val="none" w:sz="0" w:space="0" w:color="auto"/>
        <w:right w:val="none" w:sz="0" w:space="0" w:color="auto"/>
      </w:divBdr>
    </w:div>
    <w:div w:id="1435713427">
      <w:bodyDiv w:val="1"/>
      <w:marLeft w:val="0"/>
      <w:marRight w:val="0"/>
      <w:marTop w:val="0"/>
      <w:marBottom w:val="0"/>
      <w:divBdr>
        <w:top w:val="none" w:sz="0" w:space="0" w:color="auto"/>
        <w:left w:val="none" w:sz="0" w:space="0" w:color="auto"/>
        <w:bottom w:val="none" w:sz="0" w:space="0" w:color="auto"/>
        <w:right w:val="none" w:sz="0" w:space="0" w:color="auto"/>
      </w:divBdr>
      <w:divsChild>
        <w:div w:id="2136409637">
          <w:marLeft w:val="0"/>
          <w:marRight w:val="0"/>
          <w:marTop w:val="0"/>
          <w:marBottom w:val="0"/>
          <w:divBdr>
            <w:top w:val="none" w:sz="0" w:space="0" w:color="auto"/>
            <w:left w:val="none" w:sz="0" w:space="0" w:color="auto"/>
            <w:bottom w:val="none" w:sz="0" w:space="0" w:color="auto"/>
            <w:right w:val="none" w:sz="0" w:space="0" w:color="auto"/>
          </w:divBdr>
        </w:div>
      </w:divsChild>
    </w:div>
    <w:div w:id="1453012726">
      <w:bodyDiv w:val="1"/>
      <w:marLeft w:val="0"/>
      <w:marRight w:val="0"/>
      <w:marTop w:val="0"/>
      <w:marBottom w:val="0"/>
      <w:divBdr>
        <w:top w:val="none" w:sz="0" w:space="0" w:color="auto"/>
        <w:left w:val="none" w:sz="0" w:space="0" w:color="auto"/>
        <w:bottom w:val="none" w:sz="0" w:space="0" w:color="auto"/>
        <w:right w:val="none" w:sz="0" w:space="0" w:color="auto"/>
      </w:divBdr>
    </w:div>
    <w:div w:id="1530488959">
      <w:bodyDiv w:val="1"/>
      <w:marLeft w:val="0"/>
      <w:marRight w:val="0"/>
      <w:marTop w:val="0"/>
      <w:marBottom w:val="0"/>
      <w:divBdr>
        <w:top w:val="none" w:sz="0" w:space="0" w:color="auto"/>
        <w:left w:val="none" w:sz="0" w:space="0" w:color="auto"/>
        <w:bottom w:val="none" w:sz="0" w:space="0" w:color="auto"/>
        <w:right w:val="none" w:sz="0" w:space="0" w:color="auto"/>
      </w:divBdr>
    </w:div>
    <w:div w:id="1542939566">
      <w:bodyDiv w:val="1"/>
      <w:marLeft w:val="0"/>
      <w:marRight w:val="0"/>
      <w:marTop w:val="0"/>
      <w:marBottom w:val="0"/>
      <w:divBdr>
        <w:top w:val="none" w:sz="0" w:space="0" w:color="auto"/>
        <w:left w:val="none" w:sz="0" w:space="0" w:color="auto"/>
        <w:bottom w:val="none" w:sz="0" w:space="0" w:color="auto"/>
        <w:right w:val="none" w:sz="0" w:space="0" w:color="auto"/>
      </w:divBdr>
    </w:div>
    <w:div w:id="1569340257">
      <w:bodyDiv w:val="1"/>
      <w:marLeft w:val="0"/>
      <w:marRight w:val="0"/>
      <w:marTop w:val="0"/>
      <w:marBottom w:val="0"/>
      <w:divBdr>
        <w:top w:val="none" w:sz="0" w:space="0" w:color="auto"/>
        <w:left w:val="none" w:sz="0" w:space="0" w:color="auto"/>
        <w:bottom w:val="none" w:sz="0" w:space="0" w:color="auto"/>
        <w:right w:val="none" w:sz="0" w:space="0" w:color="auto"/>
      </w:divBdr>
      <w:divsChild>
        <w:div w:id="911740845">
          <w:marLeft w:val="0"/>
          <w:marRight w:val="0"/>
          <w:marTop w:val="0"/>
          <w:marBottom w:val="0"/>
          <w:divBdr>
            <w:top w:val="none" w:sz="0" w:space="0" w:color="auto"/>
            <w:left w:val="none" w:sz="0" w:space="0" w:color="auto"/>
            <w:bottom w:val="none" w:sz="0" w:space="0" w:color="auto"/>
            <w:right w:val="none" w:sz="0" w:space="0" w:color="auto"/>
          </w:divBdr>
          <w:divsChild>
            <w:div w:id="9987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617364980">
      <w:bodyDiv w:val="1"/>
      <w:marLeft w:val="0"/>
      <w:marRight w:val="0"/>
      <w:marTop w:val="0"/>
      <w:marBottom w:val="0"/>
      <w:divBdr>
        <w:top w:val="none" w:sz="0" w:space="0" w:color="auto"/>
        <w:left w:val="none" w:sz="0" w:space="0" w:color="auto"/>
        <w:bottom w:val="none" w:sz="0" w:space="0" w:color="auto"/>
        <w:right w:val="none" w:sz="0" w:space="0" w:color="auto"/>
      </w:divBdr>
    </w:div>
    <w:div w:id="1623070596">
      <w:bodyDiv w:val="1"/>
      <w:marLeft w:val="0"/>
      <w:marRight w:val="0"/>
      <w:marTop w:val="0"/>
      <w:marBottom w:val="0"/>
      <w:divBdr>
        <w:top w:val="none" w:sz="0" w:space="0" w:color="auto"/>
        <w:left w:val="none" w:sz="0" w:space="0" w:color="auto"/>
        <w:bottom w:val="none" w:sz="0" w:space="0" w:color="auto"/>
        <w:right w:val="none" w:sz="0" w:space="0" w:color="auto"/>
      </w:divBdr>
      <w:divsChild>
        <w:div w:id="1041829308">
          <w:marLeft w:val="0"/>
          <w:marRight w:val="0"/>
          <w:marTop w:val="0"/>
          <w:marBottom w:val="0"/>
          <w:divBdr>
            <w:top w:val="none" w:sz="0" w:space="0" w:color="auto"/>
            <w:left w:val="none" w:sz="0" w:space="0" w:color="auto"/>
            <w:bottom w:val="none" w:sz="0" w:space="0" w:color="auto"/>
            <w:right w:val="none" w:sz="0" w:space="0" w:color="auto"/>
          </w:divBdr>
        </w:div>
        <w:div w:id="1633554248">
          <w:marLeft w:val="0"/>
          <w:marRight w:val="0"/>
          <w:marTop w:val="0"/>
          <w:marBottom w:val="0"/>
          <w:divBdr>
            <w:top w:val="none" w:sz="0" w:space="0" w:color="auto"/>
            <w:left w:val="none" w:sz="0" w:space="0" w:color="auto"/>
            <w:bottom w:val="none" w:sz="0" w:space="0" w:color="auto"/>
            <w:right w:val="none" w:sz="0" w:space="0" w:color="auto"/>
          </w:divBdr>
        </w:div>
      </w:divsChild>
    </w:div>
    <w:div w:id="1675961760">
      <w:bodyDiv w:val="1"/>
      <w:marLeft w:val="0"/>
      <w:marRight w:val="0"/>
      <w:marTop w:val="0"/>
      <w:marBottom w:val="0"/>
      <w:divBdr>
        <w:top w:val="none" w:sz="0" w:space="0" w:color="auto"/>
        <w:left w:val="none" w:sz="0" w:space="0" w:color="auto"/>
        <w:bottom w:val="none" w:sz="0" w:space="0" w:color="auto"/>
        <w:right w:val="none" w:sz="0" w:space="0" w:color="auto"/>
      </w:divBdr>
    </w:div>
    <w:div w:id="1694182713">
      <w:bodyDiv w:val="1"/>
      <w:marLeft w:val="0"/>
      <w:marRight w:val="0"/>
      <w:marTop w:val="0"/>
      <w:marBottom w:val="0"/>
      <w:divBdr>
        <w:top w:val="none" w:sz="0" w:space="0" w:color="auto"/>
        <w:left w:val="none" w:sz="0" w:space="0" w:color="auto"/>
        <w:bottom w:val="none" w:sz="0" w:space="0" w:color="auto"/>
        <w:right w:val="none" w:sz="0" w:space="0" w:color="auto"/>
      </w:divBdr>
    </w:div>
    <w:div w:id="1710493270">
      <w:bodyDiv w:val="1"/>
      <w:marLeft w:val="0"/>
      <w:marRight w:val="0"/>
      <w:marTop w:val="0"/>
      <w:marBottom w:val="0"/>
      <w:divBdr>
        <w:top w:val="none" w:sz="0" w:space="0" w:color="auto"/>
        <w:left w:val="none" w:sz="0" w:space="0" w:color="auto"/>
        <w:bottom w:val="none" w:sz="0" w:space="0" w:color="auto"/>
        <w:right w:val="none" w:sz="0" w:space="0" w:color="auto"/>
      </w:divBdr>
    </w:div>
    <w:div w:id="1751849042">
      <w:bodyDiv w:val="1"/>
      <w:marLeft w:val="0"/>
      <w:marRight w:val="0"/>
      <w:marTop w:val="0"/>
      <w:marBottom w:val="0"/>
      <w:divBdr>
        <w:top w:val="none" w:sz="0" w:space="0" w:color="auto"/>
        <w:left w:val="none" w:sz="0" w:space="0" w:color="auto"/>
        <w:bottom w:val="none" w:sz="0" w:space="0" w:color="auto"/>
        <w:right w:val="none" w:sz="0" w:space="0" w:color="auto"/>
      </w:divBdr>
    </w:div>
    <w:div w:id="1767144947">
      <w:bodyDiv w:val="1"/>
      <w:marLeft w:val="0"/>
      <w:marRight w:val="0"/>
      <w:marTop w:val="0"/>
      <w:marBottom w:val="0"/>
      <w:divBdr>
        <w:top w:val="none" w:sz="0" w:space="0" w:color="auto"/>
        <w:left w:val="none" w:sz="0" w:space="0" w:color="auto"/>
        <w:bottom w:val="none" w:sz="0" w:space="0" w:color="auto"/>
        <w:right w:val="none" w:sz="0" w:space="0" w:color="auto"/>
      </w:divBdr>
    </w:div>
    <w:div w:id="1796411653">
      <w:bodyDiv w:val="1"/>
      <w:marLeft w:val="0"/>
      <w:marRight w:val="0"/>
      <w:marTop w:val="0"/>
      <w:marBottom w:val="0"/>
      <w:divBdr>
        <w:top w:val="none" w:sz="0" w:space="0" w:color="auto"/>
        <w:left w:val="none" w:sz="0" w:space="0" w:color="auto"/>
        <w:bottom w:val="none" w:sz="0" w:space="0" w:color="auto"/>
        <w:right w:val="none" w:sz="0" w:space="0" w:color="auto"/>
      </w:divBdr>
    </w:div>
    <w:div w:id="1830561569">
      <w:bodyDiv w:val="1"/>
      <w:marLeft w:val="0"/>
      <w:marRight w:val="0"/>
      <w:marTop w:val="0"/>
      <w:marBottom w:val="0"/>
      <w:divBdr>
        <w:top w:val="none" w:sz="0" w:space="0" w:color="auto"/>
        <w:left w:val="none" w:sz="0" w:space="0" w:color="auto"/>
        <w:bottom w:val="none" w:sz="0" w:space="0" w:color="auto"/>
        <w:right w:val="none" w:sz="0" w:space="0" w:color="auto"/>
      </w:divBdr>
    </w:div>
    <w:div w:id="1892883245">
      <w:bodyDiv w:val="1"/>
      <w:marLeft w:val="0"/>
      <w:marRight w:val="0"/>
      <w:marTop w:val="0"/>
      <w:marBottom w:val="0"/>
      <w:divBdr>
        <w:top w:val="none" w:sz="0" w:space="0" w:color="auto"/>
        <w:left w:val="none" w:sz="0" w:space="0" w:color="auto"/>
        <w:bottom w:val="none" w:sz="0" w:space="0" w:color="auto"/>
        <w:right w:val="none" w:sz="0" w:space="0" w:color="auto"/>
      </w:divBdr>
    </w:div>
    <w:div w:id="1950164635">
      <w:bodyDiv w:val="1"/>
      <w:marLeft w:val="0"/>
      <w:marRight w:val="0"/>
      <w:marTop w:val="0"/>
      <w:marBottom w:val="0"/>
      <w:divBdr>
        <w:top w:val="none" w:sz="0" w:space="0" w:color="auto"/>
        <w:left w:val="none" w:sz="0" w:space="0" w:color="auto"/>
        <w:bottom w:val="none" w:sz="0" w:space="0" w:color="auto"/>
        <w:right w:val="none" w:sz="0" w:space="0" w:color="auto"/>
      </w:divBdr>
    </w:div>
    <w:div w:id="195081275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9746324">
      <w:bodyDiv w:val="1"/>
      <w:marLeft w:val="0"/>
      <w:marRight w:val="0"/>
      <w:marTop w:val="0"/>
      <w:marBottom w:val="0"/>
      <w:divBdr>
        <w:top w:val="none" w:sz="0" w:space="0" w:color="auto"/>
        <w:left w:val="none" w:sz="0" w:space="0" w:color="auto"/>
        <w:bottom w:val="none" w:sz="0" w:space="0" w:color="auto"/>
        <w:right w:val="none" w:sz="0" w:space="0" w:color="auto"/>
      </w:divBdr>
    </w:div>
    <w:div w:id="2059090118">
      <w:bodyDiv w:val="1"/>
      <w:marLeft w:val="0"/>
      <w:marRight w:val="0"/>
      <w:marTop w:val="0"/>
      <w:marBottom w:val="0"/>
      <w:divBdr>
        <w:top w:val="none" w:sz="0" w:space="0" w:color="auto"/>
        <w:left w:val="none" w:sz="0" w:space="0" w:color="auto"/>
        <w:bottom w:val="none" w:sz="0" w:space="0" w:color="auto"/>
        <w:right w:val="none" w:sz="0" w:space="0" w:color="auto"/>
      </w:divBdr>
    </w:div>
    <w:div w:id="2070230146">
      <w:bodyDiv w:val="1"/>
      <w:marLeft w:val="0"/>
      <w:marRight w:val="0"/>
      <w:marTop w:val="0"/>
      <w:marBottom w:val="0"/>
      <w:divBdr>
        <w:top w:val="none" w:sz="0" w:space="0" w:color="auto"/>
        <w:left w:val="none" w:sz="0" w:space="0" w:color="auto"/>
        <w:bottom w:val="none" w:sz="0" w:space="0" w:color="auto"/>
        <w:right w:val="none" w:sz="0" w:space="0" w:color="auto"/>
      </w:divBdr>
    </w:div>
    <w:div w:id="20716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5AB9-7182-4810-A9DB-D5FE737A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15862</Words>
  <Characters>89575</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105227</CharactersWithSpaces>
  <SharedDoc>false</SharedDoc>
  <HLinks>
    <vt:vector size="654" baseType="variant">
      <vt:variant>
        <vt:i4>2752635</vt:i4>
      </vt:variant>
      <vt:variant>
        <vt:i4>774</vt:i4>
      </vt:variant>
      <vt:variant>
        <vt:i4>0</vt:i4>
      </vt:variant>
      <vt:variant>
        <vt:i4>5</vt:i4>
      </vt:variant>
      <vt:variant>
        <vt:lpwstr>http://handbook.cochrane.org/chapter_8/table_8_5_a_the_cochrane_collaborations_tool_for_assessing.htm</vt:lpwstr>
      </vt:variant>
      <vt:variant>
        <vt:lpwstr/>
      </vt:variant>
      <vt:variant>
        <vt:i4>589831</vt:i4>
      </vt:variant>
      <vt:variant>
        <vt:i4>771</vt:i4>
      </vt:variant>
      <vt:variant>
        <vt:i4>0</vt:i4>
      </vt:variant>
      <vt:variant>
        <vt:i4>5</vt:i4>
      </vt:variant>
      <vt:variant>
        <vt:lpwstr>http://www.who.int/ictrp/en/</vt:lpwstr>
      </vt:variant>
      <vt:variant>
        <vt:lpwstr/>
      </vt:variant>
      <vt:variant>
        <vt:i4>2752635</vt:i4>
      </vt:variant>
      <vt:variant>
        <vt:i4>768</vt:i4>
      </vt:variant>
      <vt:variant>
        <vt:i4>0</vt:i4>
      </vt:variant>
      <vt:variant>
        <vt:i4>5</vt:i4>
      </vt:variant>
      <vt:variant>
        <vt:lpwstr>http://handbook.cochrane.org/chapter_8/table_8_5_a_the_cochrane_collaborations_tool_for_assessing.htm</vt:lpwstr>
      </vt:variant>
      <vt:variant>
        <vt:lpwstr/>
      </vt:variant>
      <vt:variant>
        <vt:i4>589831</vt:i4>
      </vt:variant>
      <vt:variant>
        <vt:i4>765</vt:i4>
      </vt:variant>
      <vt:variant>
        <vt:i4>0</vt:i4>
      </vt:variant>
      <vt:variant>
        <vt:i4>5</vt:i4>
      </vt:variant>
      <vt:variant>
        <vt:lpwstr>http://www.who.int/ictrp/en/</vt:lpwstr>
      </vt:variant>
      <vt:variant>
        <vt:lpwstr/>
      </vt:variant>
      <vt:variant>
        <vt:i4>7733286</vt:i4>
      </vt:variant>
      <vt:variant>
        <vt:i4>666</vt:i4>
      </vt:variant>
      <vt:variant>
        <vt:i4>0</vt:i4>
      </vt:variant>
      <vt:variant>
        <vt:i4>5</vt:i4>
      </vt:variant>
      <vt:variant>
        <vt:lpwstr>https://www.ema.europa.eu/en/glossary/adjuvant</vt:lpwstr>
      </vt:variant>
      <vt:variant>
        <vt:lpwstr/>
      </vt:variant>
      <vt:variant>
        <vt:i4>7733286</vt:i4>
      </vt:variant>
      <vt:variant>
        <vt:i4>597</vt:i4>
      </vt:variant>
      <vt:variant>
        <vt:i4>0</vt:i4>
      </vt:variant>
      <vt:variant>
        <vt:i4>5</vt:i4>
      </vt:variant>
      <vt:variant>
        <vt:lpwstr>https://www.ema.europa.eu/en/glossary/adjuvant</vt:lpwstr>
      </vt:variant>
      <vt:variant>
        <vt:lpwstr/>
      </vt:variant>
      <vt:variant>
        <vt:i4>1245233</vt:i4>
      </vt:variant>
      <vt:variant>
        <vt:i4>590</vt:i4>
      </vt:variant>
      <vt:variant>
        <vt:i4>0</vt:i4>
      </vt:variant>
      <vt:variant>
        <vt:i4>5</vt:i4>
      </vt:variant>
      <vt:variant>
        <vt:lpwstr/>
      </vt:variant>
      <vt:variant>
        <vt:lpwstr>_Toc40184804</vt:lpwstr>
      </vt:variant>
      <vt:variant>
        <vt:i4>1310769</vt:i4>
      </vt:variant>
      <vt:variant>
        <vt:i4>584</vt:i4>
      </vt:variant>
      <vt:variant>
        <vt:i4>0</vt:i4>
      </vt:variant>
      <vt:variant>
        <vt:i4>5</vt:i4>
      </vt:variant>
      <vt:variant>
        <vt:lpwstr/>
      </vt:variant>
      <vt:variant>
        <vt:lpwstr>_Toc40184803</vt:lpwstr>
      </vt:variant>
      <vt:variant>
        <vt:i4>1376305</vt:i4>
      </vt:variant>
      <vt:variant>
        <vt:i4>578</vt:i4>
      </vt:variant>
      <vt:variant>
        <vt:i4>0</vt:i4>
      </vt:variant>
      <vt:variant>
        <vt:i4>5</vt:i4>
      </vt:variant>
      <vt:variant>
        <vt:lpwstr/>
      </vt:variant>
      <vt:variant>
        <vt:lpwstr>_Toc40184802</vt:lpwstr>
      </vt:variant>
      <vt:variant>
        <vt:i4>1441841</vt:i4>
      </vt:variant>
      <vt:variant>
        <vt:i4>572</vt:i4>
      </vt:variant>
      <vt:variant>
        <vt:i4>0</vt:i4>
      </vt:variant>
      <vt:variant>
        <vt:i4>5</vt:i4>
      </vt:variant>
      <vt:variant>
        <vt:lpwstr/>
      </vt:variant>
      <vt:variant>
        <vt:lpwstr>_Toc40184801</vt:lpwstr>
      </vt:variant>
      <vt:variant>
        <vt:i4>1507377</vt:i4>
      </vt:variant>
      <vt:variant>
        <vt:i4>566</vt:i4>
      </vt:variant>
      <vt:variant>
        <vt:i4>0</vt:i4>
      </vt:variant>
      <vt:variant>
        <vt:i4>5</vt:i4>
      </vt:variant>
      <vt:variant>
        <vt:lpwstr/>
      </vt:variant>
      <vt:variant>
        <vt:lpwstr>_Toc40184800</vt:lpwstr>
      </vt:variant>
      <vt:variant>
        <vt:i4>1114168</vt:i4>
      </vt:variant>
      <vt:variant>
        <vt:i4>560</vt:i4>
      </vt:variant>
      <vt:variant>
        <vt:i4>0</vt:i4>
      </vt:variant>
      <vt:variant>
        <vt:i4>5</vt:i4>
      </vt:variant>
      <vt:variant>
        <vt:lpwstr/>
      </vt:variant>
      <vt:variant>
        <vt:lpwstr>_Toc40184799</vt:lpwstr>
      </vt:variant>
      <vt:variant>
        <vt:i4>1048632</vt:i4>
      </vt:variant>
      <vt:variant>
        <vt:i4>554</vt:i4>
      </vt:variant>
      <vt:variant>
        <vt:i4>0</vt:i4>
      </vt:variant>
      <vt:variant>
        <vt:i4>5</vt:i4>
      </vt:variant>
      <vt:variant>
        <vt:lpwstr/>
      </vt:variant>
      <vt:variant>
        <vt:lpwstr>_Toc40184798</vt:lpwstr>
      </vt:variant>
      <vt:variant>
        <vt:i4>2031672</vt:i4>
      </vt:variant>
      <vt:variant>
        <vt:i4>548</vt:i4>
      </vt:variant>
      <vt:variant>
        <vt:i4>0</vt:i4>
      </vt:variant>
      <vt:variant>
        <vt:i4>5</vt:i4>
      </vt:variant>
      <vt:variant>
        <vt:lpwstr/>
      </vt:variant>
      <vt:variant>
        <vt:lpwstr>_Toc40184797</vt:lpwstr>
      </vt:variant>
      <vt:variant>
        <vt:i4>1966136</vt:i4>
      </vt:variant>
      <vt:variant>
        <vt:i4>542</vt:i4>
      </vt:variant>
      <vt:variant>
        <vt:i4>0</vt:i4>
      </vt:variant>
      <vt:variant>
        <vt:i4>5</vt:i4>
      </vt:variant>
      <vt:variant>
        <vt:lpwstr/>
      </vt:variant>
      <vt:variant>
        <vt:lpwstr>_Toc40184796</vt:lpwstr>
      </vt:variant>
      <vt:variant>
        <vt:i4>1900600</vt:i4>
      </vt:variant>
      <vt:variant>
        <vt:i4>536</vt:i4>
      </vt:variant>
      <vt:variant>
        <vt:i4>0</vt:i4>
      </vt:variant>
      <vt:variant>
        <vt:i4>5</vt:i4>
      </vt:variant>
      <vt:variant>
        <vt:lpwstr/>
      </vt:variant>
      <vt:variant>
        <vt:lpwstr>_Toc40184795</vt:lpwstr>
      </vt:variant>
      <vt:variant>
        <vt:i4>1835064</vt:i4>
      </vt:variant>
      <vt:variant>
        <vt:i4>530</vt:i4>
      </vt:variant>
      <vt:variant>
        <vt:i4>0</vt:i4>
      </vt:variant>
      <vt:variant>
        <vt:i4>5</vt:i4>
      </vt:variant>
      <vt:variant>
        <vt:lpwstr/>
      </vt:variant>
      <vt:variant>
        <vt:lpwstr>_Toc40184794</vt:lpwstr>
      </vt:variant>
      <vt:variant>
        <vt:i4>1769528</vt:i4>
      </vt:variant>
      <vt:variant>
        <vt:i4>524</vt:i4>
      </vt:variant>
      <vt:variant>
        <vt:i4>0</vt:i4>
      </vt:variant>
      <vt:variant>
        <vt:i4>5</vt:i4>
      </vt:variant>
      <vt:variant>
        <vt:lpwstr/>
      </vt:variant>
      <vt:variant>
        <vt:lpwstr>_Toc40184793</vt:lpwstr>
      </vt:variant>
      <vt:variant>
        <vt:i4>1703992</vt:i4>
      </vt:variant>
      <vt:variant>
        <vt:i4>518</vt:i4>
      </vt:variant>
      <vt:variant>
        <vt:i4>0</vt:i4>
      </vt:variant>
      <vt:variant>
        <vt:i4>5</vt:i4>
      </vt:variant>
      <vt:variant>
        <vt:lpwstr/>
      </vt:variant>
      <vt:variant>
        <vt:lpwstr>_Toc40184792</vt:lpwstr>
      </vt:variant>
      <vt:variant>
        <vt:i4>1638456</vt:i4>
      </vt:variant>
      <vt:variant>
        <vt:i4>512</vt:i4>
      </vt:variant>
      <vt:variant>
        <vt:i4>0</vt:i4>
      </vt:variant>
      <vt:variant>
        <vt:i4>5</vt:i4>
      </vt:variant>
      <vt:variant>
        <vt:lpwstr/>
      </vt:variant>
      <vt:variant>
        <vt:lpwstr>_Toc40184791</vt:lpwstr>
      </vt:variant>
      <vt:variant>
        <vt:i4>1572920</vt:i4>
      </vt:variant>
      <vt:variant>
        <vt:i4>506</vt:i4>
      </vt:variant>
      <vt:variant>
        <vt:i4>0</vt:i4>
      </vt:variant>
      <vt:variant>
        <vt:i4>5</vt:i4>
      </vt:variant>
      <vt:variant>
        <vt:lpwstr/>
      </vt:variant>
      <vt:variant>
        <vt:lpwstr>_Toc40184790</vt:lpwstr>
      </vt:variant>
      <vt:variant>
        <vt:i4>1114169</vt:i4>
      </vt:variant>
      <vt:variant>
        <vt:i4>500</vt:i4>
      </vt:variant>
      <vt:variant>
        <vt:i4>0</vt:i4>
      </vt:variant>
      <vt:variant>
        <vt:i4>5</vt:i4>
      </vt:variant>
      <vt:variant>
        <vt:lpwstr/>
      </vt:variant>
      <vt:variant>
        <vt:lpwstr>_Toc40184789</vt:lpwstr>
      </vt:variant>
      <vt:variant>
        <vt:i4>1048633</vt:i4>
      </vt:variant>
      <vt:variant>
        <vt:i4>494</vt:i4>
      </vt:variant>
      <vt:variant>
        <vt:i4>0</vt:i4>
      </vt:variant>
      <vt:variant>
        <vt:i4>5</vt:i4>
      </vt:variant>
      <vt:variant>
        <vt:lpwstr/>
      </vt:variant>
      <vt:variant>
        <vt:lpwstr>_Toc40184788</vt:lpwstr>
      </vt:variant>
      <vt:variant>
        <vt:i4>2031673</vt:i4>
      </vt:variant>
      <vt:variant>
        <vt:i4>488</vt:i4>
      </vt:variant>
      <vt:variant>
        <vt:i4>0</vt:i4>
      </vt:variant>
      <vt:variant>
        <vt:i4>5</vt:i4>
      </vt:variant>
      <vt:variant>
        <vt:lpwstr/>
      </vt:variant>
      <vt:variant>
        <vt:lpwstr>_Toc40184787</vt:lpwstr>
      </vt:variant>
      <vt:variant>
        <vt:i4>1966137</vt:i4>
      </vt:variant>
      <vt:variant>
        <vt:i4>482</vt:i4>
      </vt:variant>
      <vt:variant>
        <vt:i4>0</vt:i4>
      </vt:variant>
      <vt:variant>
        <vt:i4>5</vt:i4>
      </vt:variant>
      <vt:variant>
        <vt:lpwstr/>
      </vt:variant>
      <vt:variant>
        <vt:lpwstr>_Toc40184786</vt:lpwstr>
      </vt:variant>
      <vt:variant>
        <vt:i4>1900601</vt:i4>
      </vt:variant>
      <vt:variant>
        <vt:i4>476</vt:i4>
      </vt:variant>
      <vt:variant>
        <vt:i4>0</vt:i4>
      </vt:variant>
      <vt:variant>
        <vt:i4>5</vt:i4>
      </vt:variant>
      <vt:variant>
        <vt:lpwstr/>
      </vt:variant>
      <vt:variant>
        <vt:lpwstr>_Toc40184785</vt:lpwstr>
      </vt:variant>
      <vt:variant>
        <vt:i4>1835065</vt:i4>
      </vt:variant>
      <vt:variant>
        <vt:i4>470</vt:i4>
      </vt:variant>
      <vt:variant>
        <vt:i4>0</vt:i4>
      </vt:variant>
      <vt:variant>
        <vt:i4>5</vt:i4>
      </vt:variant>
      <vt:variant>
        <vt:lpwstr/>
      </vt:variant>
      <vt:variant>
        <vt:lpwstr>_Toc40184784</vt:lpwstr>
      </vt:variant>
      <vt:variant>
        <vt:i4>1769529</vt:i4>
      </vt:variant>
      <vt:variant>
        <vt:i4>464</vt:i4>
      </vt:variant>
      <vt:variant>
        <vt:i4>0</vt:i4>
      </vt:variant>
      <vt:variant>
        <vt:i4>5</vt:i4>
      </vt:variant>
      <vt:variant>
        <vt:lpwstr/>
      </vt:variant>
      <vt:variant>
        <vt:lpwstr>_Toc40184783</vt:lpwstr>
      </vt:variant>
      <vt:variant>
        <vt:i4>1703993</vt:i4>
      </vt:variant>
      <vt:variant>
        <vt:i4>458</vt:i4>
      </vt:variant>
      <vt:variant>
        <vt:i4>0</vt:i4>
      </vt:variant>
      <vt:variant>
        <vt:i4>5</vt:i4>
      </vt:variant>
      <vt:variant>
        <vt:lpwstr/>
      </vt:variant>
      <vt:variant>
        <vt:lpwstr>_Toc40184782</vt:lpwstr>
      </vt:variant>
      <vt:variant>
        <vt:i4>1638457</vt:i4>
      </vt:variant>
      <vt:variant>
        <vt:i4>452</vt:i4>
      </vt:variant>
      <vt:variant>
        <vt:i4>0</vt:i4>
      </vt:variant>
      <vt:variant>
        <vt:i4>5</vt:i4>
      </vt:variant>
      <vt:variant>
        <vt:lpwstr/>
      </vt:variant>
      <vt:variant>
        <vt:lpwstr>_Toc40184781</vt:lpwstr>
      </vt:variant>
      <vt:variant>
        <vt:i4>1572921</vt:i4>
      </vt:variant>
      <vt:variant>
        <vt:i4>446</vt:i4>
      </vt:variant>
      <vt:variant>
        <vt:i4>0</vt:i4>
      </vt:variant>
      <vt:variant>
        <vt:i4>5</vt:i4>
      </vt:variant>
      <vt:variant>
        <vt:lpwstr/>
      </vt:variant>
      <vt:variant>
        <vt:lpwstr>_Toc40184780</vt:lpwstr>
      </vt:variant>
      <vt:variant>
        <vt:i4>1114166</vt:i4>
      </vt:variant>
      <vt:variant>
        <vt:i4>440</vt:i4>
      </vt:variant>
      <vt:variant>
        <vt:i4>0</vt:i4>
      </vt:variant>
      <vt:variant>
        <vt:i4>5</vt:i4>
      </vt:variant>
      <vt:variant>
        <vt:lpwstr/>
      </vt:variant>
      <vt:variant>
        <vt:lpwstr>_Toc40184779</vt:lpwstr>
      </vt:variant>
      <vt:variant>
        <vt:i4>1048630</vt:i4>
      </vt:variant>
      <vt:variant>
        <vt:i4>434</vt:i4>
      </vt:variant>
      <vt:variant>
        <vt:i4>0</vt:i4>
      </vt:variant>
      <vt:variant>
        <vt:i4>5</vt:i4>
      </vt:variant>
      <vt:variant>
        <vt:lpwstr/>
      </vt:variant>
      <vt:variant>
        <vt:lpwstr>_Toc40184778</vt:lpwstr>
      </vt:variant>
      <vt:variant>
        <vt:i4>2031670</vt:i4>
      </vt:variant>
      <vt:variant>
        <vt:i4>428</vt:i4>
      </vt:variant>
      <vt:variant>
        <vt:i4>0</vt:i4>
      </vt:variant>
      <vt:variant>
        <vt:i4>5</vt:i4>
      </vt:variant>
      <vt:variant>
        <vt:lpwstr/>
      </vt:variant>
      <vt:variant>
        <vt:lpwstr>_Toc40184777</vt:lpwstr>
      </vt:variant>
      <vt:variant>
        <vt:i4>1966134</vt:i4>
      </vt:variant>
      <vt:variant>
        <vt:i4>422</vt:i4>
      </vt:variant>
      <vt:variant>
        <vt:i4>0</vt:i4>
      </vt:variant>
      <vt:variant>
        <vt:i4>5</vt:i4>
      </vt:variant>
      <vt:variant>
        <vt:lpwstr/>
      </vt:variant>
      <vt:variant>
        <vt:lpwstr>_Toc40184776</vt:lpwstr>
      </vt:variant>
      <vt:variant>
        <vt:i4>1900598</vt:i4>
      </vt:variant>
      <vt:variant>
        <vt:i4>416</vt:i4>
      </vt:variant>
      <vt:variant>
        <vt:i4>0</vt:i4>
      </vt:variant>
      <vt:variant>
        <vt:i4>5</vt:i4>
      </vt:variant>
      <vt:variant>
        <vt:lpwstr/>
      </vt:variant>
      <vt:variant>
        <vt:lpwstr>_Toc40184775</vt:lpwstr>
      </vt:variant>
      <vt:variant>
        <vt:i4>1835062</vt:i4>
      </vt:variant>
      <vt:variant>
        <vt:i4>410</vt:i4>
      </vt:variant>
      <vt:variant>
        <vt:i4>0</vt:i4>
      </vt:variant>
      <vt:variant>
        <vt:i4>5</vt:i4>
      </vt:variant>
      <vt:variant>
        <vt:lpwstr/>
      </vt:variant>
      <vt:variant>
        <vt:lpwstr>_Toc40184774</vt:lpwstr>
      </vt:variant>
      <vt:variant>
        <vt:i4>1769526</vt:i4>
      </vt:variant>
      <vt:variant>
        <vt:i4>404</vt:i4>
      </vt:variant>
      <vt:variant>
        <vt:i4>0</vt:i4>
      </vt:variant>
      <vt:variant>
        <vt:i4>5</vt:i4>
      </vt:variant>
      <vt:variant>
        <vt:lpwstr/>
      </vt:variant>
      <vt:variant>
        <vt:lpwstr>_Toc40184773</vt:lpwstr>
      </vt:variant>
      <vt:variant>
        <vt:i4>1703990</vt:i4>
      </vt:variant>
      <vt:variant>
        <vt:i4>398</vt:i4>
      </vt:variant>
      <vt:variant>
        <vt:i4>0</vt:i4>
      </vt:variant>
      <vt:variant>
        <vt:i4>5</vt:i4>
      </vt:variant>
      <vt:variant>
        <vt:lpwstr/>
      </vt:variant>
      <vt:variant>
        <vt:lpwstr>_Toc40184772</vt:lpwstr>
      </vt:variant>
      <vt:variant>
        <vt:i4>1638454</vt:i4>
      </vt:variant>
      <vt:variant>
        <vt:i4>392</vt:i4>
      </vt:variant>
      <vt:variant>
        <vt:i4>0</vt:i4>
      </vt:variant>
      <vt:variant>
        <vt:i4>5</vt:i4>
      </vt:variant>
      <vt:variant>
        <vt:lpwstr/>
      </vt:variant>
      <vt:variant>
        <vt:lpwstr>_Toc40184771</vt:lpwstr>
      </vt:variant>
      <vt:variant>
        <vt:i4>1572918</vt:i4>
      </vt:variant>
      <vt:variant>
        <vt:i4>386</vt:i4>
      </vt:variant>
      <vt:variant>
        <vt:i4>0</vt:i4>
      </vt:variant>
      <vt:variant>
        <vt:i4>5</vt:i4>
      </vt:variant>
      <vt:variant>
        <vt:lpwstr/>
      </vt:variant>
      <vt:variant>
        <vt:lpwstr>_Toc40184770</vt:lpwstr>
      </vt:variant>
      <vt:variant>
        <vt:i4>1114167</vt:i4>
      </vt:variant>
      <vt:variant>
        <vt:i4>380</vt:i4>
      </vt:variant>
      <vt:variant>
        <vt:i4>0</vt:i4>
      </vt:variant>
      <vt:variant>
        <vt:i4>5</vt:i4>
      </vt:variant>
      <vt:variant>
        <vt:lpwstr/>
      </vt:variant>
      <vt:variant>
        <vt:lpwstr>_Toc40184769</vt:lpwstr>
      </vt:variant>
      <vt:variant>
        <vt:i4>1048631</vt:i4>
      </vt:variant>
      <vt:variant>
        <vt:i4>374</vt:i4>
      </vt:variant>
      <vt:variant>
        <vt:i4>0</vt:i4>
      </vt:variant>
      <vt:variant>
        <vt:i4>5</vt:i4>
      </vt:variant>
      <vt:variant>
        <vt:lpwstr/>
      </vt:variant>
      <vt:variant>
        <vt:lpwstr>_Toc40184768</vt:lpwstr>
      </vt:variant>
      <vt:variant>
        <vt:i4>2031671</vt:i4>
      </vt:variant>
      <vt:variant>
        <vt:i4>368</vt:i4>
      </vt:variant>
      <vt:variant>
        <vt:i4>0</vt:i4>
      </vt:variant>
      <vt:variant>
        <vt:i4>5</vt:i4>
      </vt:variant>
      <vt:variant>
        <vt:lpwstr/>
      </vt:variant>
      <vt:variant>
        <vt:lpwstr>_Toc40184767</vt:lpwstr>
      </vt:variant>
      <vt:variant>
        <vt:i4>1966135</vt:i4>
      </vt:variant>
      <vt:variant>
        <vt:i4>362</vt:i4>
      </vt:variant>
      <vt:variant>
        <vt:i4>0</vt:i4>
      </vt:variant>
      <vt:variant>
        <vt:i4>5</vt:i4>
      </vt:variant>
      <vt:variant>
        <vt:lpwstr/>
      </vt:variant>
      <vt:variant>
        <vt:lpwstr>_Toc40184766</vt:lpwstr>
      </vt:variant>
      <vt:variant>
        <vt:i4>1900599</vt:i4>
      </vt:variant>
      <vt:variant>
        <vt:i4>356</vt:i4>
      </vt:variant>
      <vt:variant>
        <vt:i4>0</vt:i4>
      </vt:variant>
      <vt:variant>
        <vt:i4>5</vt:i4>
      </vt:variant>
      <vt:variant>
        <vt:lpwstr/>
      </vt:variant>
      <vt:variant>
        <vt:lpwstr>_Toc40184765</vt:lpwstr>
      </vt:variant>
      <vt:variant>
        <vt:i4>1835063</vt:i4>
      </vt:variant>
      <vt:variant>
        <vt:i4>350</vt:i4>
      </vt:variant>
      <vt:variant>
        <vt:i4>0</vt:i4>
      </vt:variant>
      <vt:variant>
        <vt:i4>5</vt:i4>
      </vt:variant>
      <vt:variant>
        <vt:lpwstr/>
      </vt:variant>
      <vt:variant>
        <vt:lpwstr>_Toc40184764</vt:lpwstr>
      </vt:variant>
      <vt:variant>
        <vt:i4>1769527</vt:i4>
      </vt:variant>
      <vt:variant>
        <vt:i4>344</vt:i4>
      </vt:variant>
      <vt:variant>
        <vt:i4>0</vt:i4>
      </vt:variant>
      <vt:variant>
        <vt:i4>5</vt:i4>
      </vt:variant>
      <vt:variant>
        <vt:lpwstr/>
      </vt:variant>
      <vt:variant>
        <vt:lpwstr>_Toc40184763</vt:lpwstr>
      </vt:variant>
      <vt:variant>
        <vt:i4>1703991</vt:i4>
      </vt:variant>
      <vt:variant>
        <vt:i4>338</vt:i4>
      </vt:variant>
      <vt:variant>
        <vt:i4>0</vt:i4>
      </vt:variant>
      <vt:variant>
        <vt:i4>5</vt:i4>
      </vt:variant>
      <vt:variant>
        <vt:lpwstr/>
      </vt:variant>
      <vt:variant>
        <vt:lpwstr>_Toc40184762</vt:lpwstr>
      </vt:variant>
      <vt:variant>
        <vt:i4>1638455</vt:i4>
      </vt:variant>
      <vt:variant>
        <vt:i4>332</vt:i4>
      </vt:variant>
      <vt:variant>
        <vt:i4>0</vt:i4>
      </vt:variant>
      <vt:variant>
        <vt:i4>5</vt:i4>
      </vt:variant>
      <vt:variant>
        <vt:lpwstr/>
      </vt:variant>
      <vt:variant>
        <vt:lpwstr>_Toc40184761</vt:lpwstr>
      </vt:variant>
      <vt:variant>
        <vt:i4>1572919</vt:i4>
      </vt:variant>
      <vt:variant>
        <vt:i4>326</vt:i4>
      </vt:variant>
      <vt:variant>
        <vt:i4>0</vt:i4>
      </vt:variant>
      <vt:variant>
        <vt:i4>5</vt:i4>
      </vt:variant>
      <vt:variant>
        <vt:lpwstr/>
      </vt:variant>
      <vt:variant>
        <vt:lpwstr>_Toc40184760</vt:lpwstr>
      </vt:variant>
      <vt:variant>
        <vt:i4>1114164</vt:i4>
      </vt:variant>
      <vt:variant>
        <vt:i4>320</vt:i4>
      </vt:variant>
      <vt:variant>
        <vt:i4>0</vt:i4>
      </vt:variant>
      <vt:variant>
        <vt:i4>5</vt:i4>
      </vt:variant>
      <vt:variant>
        <vt:lpwstr/>
      </vt:variant>
      <vt:variant>
        <vt:lpwstr>_Toc40184759</vt:lpwstr>
      </vt:variant>
      <vt:variant>
        <vt:i4>1048628</vt:i4>
      </vt:variant>
      <vt:variant>
        <vt:i4>314</vt:i4>
      </vt:variant>
      <vt:variant>
        <vt:i4>0</vt:i4>
      </vt:variant>
      <vt:variant>
        <vt:i4>5</vt:i4>
      </vt:variant>
      <vt:variant>
        <vt:lpwstr/>
      </vt:variant>
      <vt:variant>
        <vt:lpwstr>_Toc40184758</vt:lpwstr>
      </vt:variant>
      <vt:variant>
        <vt:i4>2031668</vt:i4>
      </vt:variant>
      <vt:variant>
        <vt:i4>308</vt:i4>
      </vt:variant>
      <vt:variant>
        <vt:i4>0</vt:i4>
      </vt:variant>
      <vt:variant>
        <vt:i4>5</vt:i4>
      </vt:variant>
      <vt:variant>
        <vt:lpwstr/>
      </vt:variant>
      <vt:variant>
        <vt:lpwstr>_Toc40184757</vt:lpwstr>
      </vt:variant>
      <vt:variant>
        <vt:i4>1966132</vt:i4>
      </vt:variant>
      <vt:variant>
        <vt:i4>302</vt:i4>
      </vt:variant>
      <vt:variant>
        <vt:i4>0</vt:i4>
      </vt:variant>
      <vt:variant>
        <vt:i4>5</vt:i4>
      </vt:variant>
      <vt:variant>
        <vt:lpwstr/>
      </vt:variant>
      <vt:variant>
        <vt:lpwstr>_Toc40184756</vt:lpwstr>
      </vt:variant>
      <vt:variant>
        <vt:i4>1900596</vt:i4>
      </vt:variant>
      <vt:variant>
        <vt:i4>296</vt:i4>
      </vt:variant>
      <vt:variant>
        <vt:i4>0</vt:i4>
      </vt:variant>
      <vt:variant>
        <vt:i4>5</vt:i4>
      </vt:variant>
      <vt:variant>
        <vt:lpwstr/>
      </vt:variant>
      <vt:variant>
        <vt:lpwstr>_Toc40184755</vt:lpwstr>
      </vt:variant>
      <vt:variant>
        <vt:i4>1835060</vt:i4>
      </vt:variant>
      <vt:variant>
        <vt:i4>290</vt:i4>
      </vt:variant>
      <vt:variant>
        <vt:i4>0</vt:i4>
      </vt:variant>
      <vt:variant>
        <vt:i4>5</vt:i4>
      </vt:variant>
      <vt:variant>
        <vt:lpwstr/>
      </vt:variant>
      <vt:variant>
        <vt:lpwstr>_Toc40184754</vt:lpwstr>
      </vt:variant>
      <vt:variant>
        <vt:i4>1769524</vt:i4>
      </vt:variant>
      <vt:variant>
        <vt:i4>284</vt:i4>
      </vt:variant>
      <vt:variant>
        <vt:i4>0</vt:i4>
      </vt:variant>
      <vt:variant>
        <vt:i4>5</vt:i4>
      </vt:variant>
      <vt:variant>
        <vt:lpwstr/>
      </vt:variant>
      <vt:variant>
        <vt:lpwstr>_Toc40184753</vt:lpwstr>
      </vt:variant>
      <vt:variant>
        <vt:i4>1703988</vt:i4>
      </vt:variant>
      <vt:variant>
        <vt:i4>278</vt:i4>
      </vt:variant>
      <vt:variant>
        <vt:i4>0</vt:i4>
      </vt:variant>
      <vt:variant>
        <vt:i4>5</vt:i4>
      </vt:variant>
      <vt:variant>
        <vt:lpwstr/>
      </vt:variant>
      <vt:variant>
        <vt:lpwstr>_Toc40184752</vt:lpwstr>
      </vt:variant>
      <vt:variant>
        <vt:i4>1638452</vt:i4>
      </vt:variant>
      <vt:variant>
        <vt:i4>272</vt:i4>
      </vt:variant>
      <vt:variant>
        <vt:i4>0</vt:i4>
      </vt:variant>
      <vt:variant>
        <vt:i4>5</vt:i4>
      </vt:variant>
      <vt:variant>
        <vt:lpwstr/>
      </vt:variant>
      <vt:variant>
        <vt:lpwstr>_Toc40184751</vt:lpwstr>
      </vt:variant>
      <vt:variant>
        <vt:i4>1572916</vt:i4>
      </vt:variant>
      <vt:variant>
        <vt:i4>266</vt:i4>
      </vt:variant>
      <vt:variant>
        <vt:i4>0</vt:i4>
      </vt:variant>
      <vt:variant>
        <vt:i4>5</vt:i4>
      </vt:variant>
      <vt:variant>
        <vt:lpwstr/>
      </vt:variant>
      <vt:variant>
        <vt:lpwstr>_Toc40184750</vt:lpwstr>
      </vt:variant>
      <vt:variant>
        <vt:i4>1114165</vt:i4>
      </vt:variant>
      <vt:variant>
        <vt:i4>260</vt:i4>
      </vt:variant>
      <vt:variant>
        <vt:i4>0</vt:i4>
      </vt:variant>
      <vt:variant>
        <vt:i4>5</vt:i4>
      </vt:variant>
      <vt:variant>
        <vt:lpwstr/>
      </vt:variant>
      <vt:variant>
        <vt:lpwstr>_Toc40184749</vt:lpwstr>
      </vt:variant>
      <vt:variant>
        <vt:i4>1048629</vt:i4>
      </vt:variant>
      <vt:variant>
        <vt:i4>254</vt:i4>
      </vt:variant>
      <vt:variant>
        <vt:i4>0</vt:i4>
      </vt:variant>
      <vt:variant>
        <vt:i4>5</vt:i4>
      </vt:variant>
      <vt:variant>
        <vt:lpwstr/>
      </vt:variant>
      <vt:variant>
        <vt:lpwstr>_Toc40184748</vt:lpwstr>
      </vt:variant>
      <vt:variant>
        <vt:i4>2031669</vt:i4>
      </vt:variant>
      <vt:variant>
        <vt:i4>248</vt:i4>
      </vt:variant>
      <vt:variant>
        <vt:i4>0</vt:i4>
      </vt:variant>
      <vt:variant>
        <vt:i4>5</vt:i4>
      </vt:variant>
      <vt:variant>
        <vt:lpwstr/>
      </vt:variant>
      <vt:variant>
        <vt:lpwstr>_Toc40184747</vt:lpwstr>
      </vt:variant>
      <vt:variant>
        <vt:i4>1966133</vt:i4>
      </vt:variant>
      <vt:variant>
        <vt:i4>242</vt:i4>
      </vt:variant>
      <vt:variant>
        <vt:i4>0</vt:i4>
      </vt:variant>
      <vt:variant>
        <vt:i4>5</vt:i4>
      </vt:variant>
      <vt:variant>
        <vt:lpwstr/>
      </vt:variant>
      <vt:variant>
        <vt:lpwstr>_Toc40184746</vt:lpwstr>
      </vt:variant>
      <vt:variant>
        <vt:i4>1900597</vt:i4>
      </vt:variant>
      <vt:variant>
        <vt:i4>236</vt:i4>
      </vt:variant>
      <vt:variant>
        <vt:i4>0</vt:i4>
      </vt:variant>
      <vt:variant>
        <vt:i4>5</vt:i4>
      </vt:variant>
      <vt:variant>
        <vt:lpwstr/>
      </vt:variant>
      <vt:variant>
        <vt:lpwstr>_Toc40184745</vt:lpwstr>
      </vt:variant>
      <vt:variant>
        <vt:i4>1835061</vt:i4>
      </vt:variant>
      <vt:variant>
        <vt:i4>230</vt:i4>
      </vt:variant>
      <vt:variant>
        <vt:i4>0</vt:i4>
      </vt:variant>
      <vt:variant>
        <vt:i4>5</vt:i4>
      </vt:variant>
      <vt:variant>
        <vt:lpwstr/>
      </vt:variant>
      <vt:variant>
        <vt:lpwstr>_Toc40184744</vt:lpwstr>
      </vt:variant>
      <vt:variant>
        <vt:i4>1769525</vt:i4>
      </vt:variant>
      <vt:variant>
        <vt:i4>224</vt:i4>
      </vt:variant>
      <vt:variant>
        <vt:i4>0</vt:i4>
      </vt:variant>
      <vt:variant>
        <vt:i4>5</vt:i4>
      </vt:variant>
      <vt:variant>
        <vt:lpwstr/>
      </vt:variant>
      <vt:variant>
        <vt:lpwstr>_Toc40184743</vt:lpwstr>
      </vt:variant>
      <vt:variant>
        <vt:i4>1703989</vt:i4>
      </vt:variant>
      <vt:variant>
        <vt:i4>218</vt:i4>
      </vt:variant>
      <vt:variant>
        <vt:i4>0</vt:i4>
      </vt:variant>
      <vt:variant>
        <vt:i4>5</vt:i4>
      </vt:variant>
      <vt:variant>
        <vt:lpwstr/>
      </vt:variant>
      <vt:variant>
        <vt:lpwstr>_Toc40184742</vt:lpwstr>
      </vt:variant>
      <vt:variant>
        <vt:i4>1638453</vt:i4>
      </vt:variant>
      <vt:variant>
        <vt:i4>212</vt:i4>
      </vt:variant>
      <vt:variant>
        <vt:i4>0</vt:i4>
      </vt:variant>
      <vt:variant>
        <vt:i4>5</vt:i4>
      </vt:variant>
      <vt:variant>
        <vt:lpwstr/>
      </vt:variant>
      <vt:variant>
        <vt:lpwstr>_Toc40184741</vt:lpwstr>
      </vt:variant>
      <vt:variant>
        <vt:i4>1572917</vt:i4>
      </vt:variant>
      <vt:variant>
        <vt:i4>206</vt:i4>
      </vt:variant>
      <vt:variant>
        <vt:i4>0</vt:i4>
      </vt:variant>
      <vt:variant>
        <vt:i4>5</vt:i4>
      </vt:variant>
      <vt:variant>
        <vt:lpwstr/>
      </vt:variant>
      <vt:variant>
        <vt:lpwstr>_Toc40184740</vt:lpwstr>
      </vt:variant>
      <vt:variant>
        <vt:i4>1114162</vt:i4>
      </vt:variant>
      <vt:variant>
        <vt:i4>200</vt:i4>
      </vt:variant>
      <vt:variant>
        <vt:i4>0</vt:i4>
      </vt:variant>
      <vt:variant>
        <vt:i4>5</vt:i4>
      </vt:variant>
      <vt:variant>
        <vt:lpwstr/>
      </vt:variant>
      <vt:variant>
        <vt:lpwstr>_Toc40184739</vt:lpwstr>
      </vt:variant>
      <vt:variant>
        <vt:i4>1048626</vt:i4>
      </vt:variant>
      <vt:variant>
        <vt:i4>194</vt:i4>
      </vt:variant>
      <vt:variant>
        <vt:i4>0</vt:i4>
      </vt:variant>
      <vt:variant>
        <vt:i4>5</vt:i4>
      </vt:variant>
      <vt:variant>
        <vt:lpwstr/>
      </vt:variant>
      <vt:variant>
        <vt:lpwstr>_Toc40184738</vt:lpwstr>
      </vt:variant>
      <vt:variant>
        <vt:i4>2031666</vt:i4>
      </vt:variant>
      <vt:variant>
        <vt:i4>188</vt:i4>
      </vt:variant>
      <vt:variant>
        <vt:i4>0</vt:i4>
      </vt:variant>
      <vt:variant>
        <vt:i4>5</vt:i4>
      </vt:variant>
      <vt:variant>
        <vt:lpwstr/>
      </vt:variant>
      <vt:variant>
        <vt:lpwstr>_Toc40184737</vt:lpwstr>
      </vt:variant>
      <vt:variant>
        <vt:i4>1966130</vt:i4>
      </vt:variant>
      <vt:variant>
        <vt:i4>182</vt:i4>
      </vt:variant>
      <vt:variant>
        <vt:i4>0</vt:i4>
      </vt:variant>
      <vt:variant>
        <vt:i4>5</vt:i4>
      </vt:variant>
      <vt:variant>
        <vt:lpwstr/>
      </vt:variant>
      <vt:variant>
        <vt:lpwstr>_Toc40184736</vt:lpwstr>
      </vt:variant>
      <vt:variant>
        <vt:i4>1900594</vt:i4>
      </vt:variant>
      <vt:variant>
        <vt:i4>176</vt:i4>
      </vt:variant>
      <vt:variant>
        <vt:i4>0</vt:i4>
      </vt:variant>
      <vt:variant>
        <vt:i4>5</vt:i4>
      </vt:variant>
      <vt:variant>
        <vt:lpwstr/>
      </vt:variant>
      <vt:variant>
        <vt:lpwstr>_Toc40184735</vt:lpwstr>
      </vt:variant>
      <vt:variant>
        <vt:i4>1835058</vt:i4>
      </vt:variant>
      <vt:variant>
        <vt:i4>170</vt:i4>
      </vt:variant>
      <vt:variant>
        <vt:i4>0</vt:i4>
      </vt:variant>
      <vt:variant>
        <vt:i4>5</vt:i4>
      </vt:variant>
      <vt:variant>
        <vt:lpwstr/>
      </vt:variant>
      <vt:variant>
        <vt:lpwstr>_Toc40184734</vt:lpwstr>
      </vt:variant>
      <vt:variant>
        <vt:i4>1769522</vt:i4>
      </vt:variant>
      <vt:variant>
        <vt:i4>164</vt:i4>
      </vt:variant>
      <vt:variant>
        <vt:i4>0</vt:i4>
      </vt:variant>
      <vt:variant>
        <vt:i4>5</vt:i4>
      </vt:variant>
      <vt:variant>
        <vt:lpwstr/>
      </vt:variant>
      <vt:variant>
        <vt:lpwstr>_Toc40184733</vt:lpwstr>
      </vt:variant>
      <vt:variant>
        <vt:i4>1703986</vt:i4>
      </vt:variant>
      <vt:variant>
        <vt:i4>158</vt:i4>
      </vt:variant>
      <vt:variant>
        <vt:i4>0</vt:i4>
      </vt:variant>
      <vt:variant>
        <vt:i4>5</vt:i4>
      </vt:variant>
      <vt:variant>
        <vt:lpwstr/>
      </vt:variant>
      <vt:variant>
        <vt:lpwstr>_Toc40184732</vt:lpwstr>
      </vt:variant>
      <vt:variant>
        <vt:i4>1638450</vt:i4>
      </vt:variant>
      <vt:variant>
        <vt:i4>152</vt:i4>
      </vt:variant>
      <vt:variant>
        <vt:i4>0</vt:i4>
      </vt:variant>
      <vt:variant>
        <vt:i4>5</vt:i4>
      </vt:variant>
      <vt:variant>
        <vt:lpwstr/>
      </vt:variant>
      <vt:variant>
        <vt:lpwstr>_Toc40184731</vt:lpwstr>
      </vt:variant>
      <vt:variant>
        <vt:i4>1572914</vt:i4>
      </vt:variant>
      <vt:variant>
        <vt:i4>146</vt:i4>
      </vt:variant>
      <vt:variant>
        <vt:i4>0</vt:i4>
      </vt:variant>
      <vt:variant>
        <vt:i4>5</vt:i4>
      </vt:variant>
      <vt:variant>
        <vt:lpwstr/>
      </vt:variant>
      <vt:variant>
        <vt:lpwstr>_Toc40184730</vt:lpwstr>
      </vt:variant>
      <vt:variant>
        <vt:i4>1114163</vt:i4>
      </vt:variant>
      <vt:variant>
        <vt:i4>140</vt:i4>
      </vt:variant>
      <vt:variant>
        <vt:i4>0</vt:i4>
      </vt:variant>
      <vt:variant>
        <vt:i4>5</vt:i4>
      </vt:variant>
      <vt:variant>
        <vt:lpwstr/>
      </vt:variant>
      <vt:variant>
        <vt:lpwstr>_Toc40184729</vt:lpwstr>
      </vt:variant>
      <vt:variant>
        <vt:i4>1048627</vt:i4>
      </vt:variant>
      <vt:variant>
        <vt:i4>134</vt:i4>
      </vt:variant>
      <vt:variant>
        <vt:i4>0</vt:i4>
      </vt:variant>
      <vt:variant>
        <vt:i4>5</vt:i4>
      </vt:variant>
      <vt:variant>
        <vt:lpwstr/>
      </vt:variant>
      <vt:variant>
        <vt:lpwstr>_Toc40184728</vt:lpwstr>
      </vt:variant>
      <vt:variant>
        <vt:i4>2031667</vt:i4>
      </vt:variant>
      <vt:variant>
        <vt:i4>128</vt:i4>
      </vt:variant>
      <vt:variant>
        <vt:i4>0</vt:i4>
      </vt:variant>
      <vt:variant>
        <vt:i4>5</vt:i4>
      </vt:variant>
      <vt:variant>
        <vt:lpwstr/>
      </vt:variant>
      <vt:variant>
        <vt:lpwstr>_Toc40184727</vt:lpwstr>
      </vt:variant>
      <vt:variant>
        <vt:i4>1966131</vt:i4>
      </vt:variant>
      <vt:variant>
        <vt:i4>122</vt:i4>
      </vt:variant>
      <vt:variant>
        <vt:i4>0</vt:i4>
      </vt:variant>
      <vt:variant>
        <vt:i4>5</vt:i4>
      </vt:variant>
      <vt:variant>
        <vt:lpwstr/>
      </vt:variant>
      <vt:variant>
        <vt:lpwstr>_Toc40184726</vt:lpwstr>
      </vt:variant>
      <vt:variant>
        <vt:i4>1900595</vt:i4>
      </vt:variant>
      <vt:variant>
        <vt:i4>116</vt:i4>
      </vt:variant>
      <vt:variant>
        <vt:i4>0</vt:i4>
      </vt:variant>
      <vt:variant>
        <vt:i4>5</vt:i4>
      </vt:variant>
      <vt:variant>
        <vt:lpwstr/>
      </vt:variant>
      <vt:variant>
        <vt:lpwstr>_Toc40184725</vt:lpwstr>
      </vt:variant>
      <vt:variant>
        <vt:i4>1835059</vt:i4>
      </vt:variant>
      <vt:variant>
        <vt:i4>110</vt:i4>
      </vt:variant>
      <vt:variant>
        <vt:i4>0</vt:i4>
      </vt:variant>
      <vt:variant>
        <vt:i4>5</vt:i4>
      </vt:variant>
      <vt:variant>
        <vt:lpwstr/>
      </vt:variant>
      <vt:variant>
        <vt:lpwstr>_Toc40184724</vt:lpwstr>
      </vt:variant>
      <vt:variant>
        <vt:i4>1769523</vt:i4>
      </vt:variant>
      <vt:variant>
        <vt:i4>104</vt:i4>
      </vt:variant>
      <vt:variant>
        <vt:i4>0</vt:i4>
      </vt:variant>
      <vt:variant>
        <vt:i4>5</vt:i4>
      </vt:variant>
      <vt:variant>
        <vt:lpwstr/>
      </vt:variant>
      <vt:variant>
        <vt:lpwstr>_Toc40184723</vt:lpwstr>
      </vt:variant>
      <vt:variant>
        <vt:i4>1703987</vt:i4>
      </vt:variant>
      <vt:variant>
        <vt:i4>98</vt:i4>
      </vt:variant>
      <vt:variant>
        <vt:i4>0</vt:i4>
      </vt:variant>
      <vt:variant>
        <vt:i4>5</vt:i4>
      </vt:variant>
      <vt:variant>
        <vt:lpwstr/>
      </vt:variant>
      <vt:variant>
        <vt:lpwstr>_Toc40184722</vt:lpwstr>
      </vt:variant>
      <vt:variant>
        <vt:i4>1638451</vt:i4>
      </vt:variant>
      <vt:variant>
        <vt:i4>92</vt:i4>
      </vt:variant>
      <vt:variant>
        <vt:i4>0</vt:i4>
      </vt:variant>
      <vt:variant>
        <vt:i4>5</vt:i4>
      </vt:variant>
      <vt:variant>
        <vt:lpwstr/>
      </vt:variant>
      <vt:variant>
        <vt:lpwstr>_Toc40184721</vt:lpwstr>
      </vt:variant>
      <vt:variant>
        <vt:i4>1572915</vt:i4>
      </vt:variant>
      <vt:variant>
        <vt:i4>86</vt:i4>
      </vt:variant>
      <vt:variant>
        <vt:i4>0</vt:i4>
      </vt:variant>
      <vt:variant>
        <vt:i4>5</vt:i4>
      </vt:variant>
      <vt:variant>
        <vt:lpwstr/>
      </vt:variant>
      <vt:variant>
        <vt:lpwstr>_Toc40184720</vt:lpwstr>
      </vt:variant>
      <vt:variant>
        <vt:i4>1114160</vt:i4>
      </vt:variant>
      <vt:variant>
        <vt:i4>80</vt:i4>
      </vt:variant>
      <vt:variant>
        <vt:i4>0</vt:i4>
      </vt:variant>
      <vt:variant>
        <vt:i4>5</vt:i4>
      </vt:variant>
      <vt:variant>
        <vt:lpwstr/>
      </vt:variant>
      <vt:variant>
        <vt:lpwstr>_Toc40184719</vt:lpwstr>
      </vt:variant>
      <vt:variant>
        <vt:i4>1048624</vt:i4>
      </vt:variant>
      <vt:variant>
        <vt:i4>74</vt:i4>
      </vt:variant>
      <vt:variant>
        <vt:i4>0</vt:i4>
      </vt:variant>
      <vt:variant>
        <vt:i4>5</vt:i4>
      </vt:variant>
      <vt:variant>
        <vt:lpwstr/>
      </vt:variant>
      <vt:variant>
        <vt:lpwstr>_Toc40184718</vt:lpwstr>
      </vt:variant>
      <vt:variant>
        <vt:i4>2031664</vt:i4>
      </vt:variant>
      <vt:variant>
        <vt:i4>68</vt:i4>
      </vt:variant>
      <vt:variant>
        <vt:i4>0</vt:i4>
      </vt:variant>
      <vt:variant>
        <vt:i4>5</vt:i4>
      </vt:variant>
      <vt:variant>
        <vt:lpwstr/>
      </vt:variant>
      <vt:variant>
        <vt:lpwstr>_Toc40184717</vt:lpwstr>
      </vt:variant>
      <vt:variant>
        <vt:i4>1966128</vt:i4>
      </vt:variant>
      <vt:variant>
        <vt:i4>62</vt:i4>
      </vt:variant>
      <vt:variant>
        <vt:i4>0</vt:i4>
      </vt:variant>
      <vt:variant>
        <vt:i4>5</vt:i4>
      </vt:variant>
      <vt:variant>
        <vt:lpwstr/>
      </vt:variant>
      <vt:variant>
        <vt:lpwstr>_Toc40184716</vt:lpwstr>
      </vt:variant>
      <vt:variant>
        <vt:i4>1900592</vt:i4>
      </vt:variant>
      <vt:variant>
        <vt:i4>56</vt:i4>
      </vt:variant>
      <vt:variant>
        <vt:i4>0</vt:i4>
      </vt:variant>
      <vt:variant>
        <vt:i4>5</vt:i4>
      </vt:variant>
      <vt:variant>
        <vt:lpwstr/>
      </vt:variant>
      <vt:variant>
        <vt:lpwstr>_Toc40184715</vt:lpwstr>
      </vt:variant>
      <vt:variant>
        <vt:i4>1835056</vt:i4>
      </vt:variant>
      <vt:variant>
        <vt:i4>50</vt:i4>
      </vt:variant>
      <vt:variant>
        <vt:i4>0</vt:i4>
      </vt:variant>
      <vt:variant>
        <vt:i4>5</vt:i4>
      </vt:variant>
      <vt:variant>
        <vt:lpwstr/>
      </vt:variant>
      <vt:variant>
        <vt:lpwstr>_Toc40184714</vt:lpwstr>
      </vt:variant>
      <vt:variant>
        <vt:i4>1769520</vt:i4>
      </vt:variant>
      <vt:variant>
        <vt:i4>44</vt:i4>
      </vt:variant>
      <vt:variant>
        <vt:i4>0</vt:i4>
      </vt:variant>
      <vt:variant>
        <vt:i4>5</vt:i4>
      </vt:variant>
      <vt:variant>
        <vt:lpwstr/>
      </vt:variant>
      <vt:variant>
        <vt:lpwstr>_Toc40184713</vt:lpwstr>
      </vt:variant>
      <vt:variant>
        <vt:i4>1703984</vt:i4>
      </vt:variant>
      <vt:variant>
        <vt:i4>38</vt:i4>
      </vt:variant>
      <vt:variant>
        <vt:i4>0</vt:i4>
      </vt:variant>
      <vt:variant>
        <vt:i4>5</vt:i4>
      </vt:variant>
      <vt:variant>
        <vt:lpwstr/>
      </vt:variant>
      <vt:variant>
        <vt:lpwstr>_Toc40184712</vt:lpwstr>
      </vt:variant>
      <vt:variant>
        <vt:i4>1638448</vt:i4>
      </vt:variant>
      <vt:variant>
        <vt:i4>32</vt:i4>
      </vt:variant>
      <vt:variant>
        <vt:i4>0</vt:i4>
      </vt:variant>
      <vt:variant>
        <vt:i4>5</vt:i4>
      </vt:variant>
      <vt:variant>
        <vt:lpwstr/>
      </vt:variant>
      <vt:variant>
        <vt:lpwstr>_Toc40184711</vt:lpwstr>
      </vt:variant>
      <vt:variant>
        <vt:i4>1572912</vt:i4>
      </vt:variant>
      <vt:variant>
        <vt:i4>26</vt:i4>
      </vt:variant>
      <vt:variant>
        <vt:i4>0</vt:i4>
      </vt:variant>
      <vt:variant>
        <vt:i4>5</vt:i4>
      </vt:variant>
      <vt:variant>
        <vt:lpwstr/>
      </vt:variant>
      <vt:variant>
        <vt:lpwstr>_Toc40184710</vt:lpwstr>
      </vt:variant>
      <vt:variant>
        <vt:i4>1114161</vt:i4>
      </vt:variant>
      <vt:variant>
        <vt:i4>20</vt:i4>
      </vt:variant>
      <vt:variant>
        <vt:i4>0</vt:i4>
      </vt:variant>
      <vt:variant>
        <vt:i4>5</vt:i4>
      </vt:variant>
      <vt:variant>
        <vt:lpwstr/>
      </vt:variant>
      <vt:variant>
        <vt:lpwstr>_Toc40184709</vt:lpwstr>
      </vt:variant>
      <vt:variant>
        <vt:i4>1048625</vt:i4>
      </vt:variant>
      <vt:variant>
        <vt:i4>14</vt:i4>
      </vt:variant>
      <vt:variant>
        <vt:i4>0</vt:i4>
      </vt:variant>
      <vt:variant>
        <vt:i4>5</vt:i4>
      </vt:variant>
      <vt:variant>
        <vt:lpwstr/>
      </vt:variant>
      <vt:variant>
        <vt:lpwstr>_Toc40184708</vt:lpwstr>
      </vt:variant>
      <vt:variant>
        <vt:i4>2031665</vt:i4>
      </vt:variant>
      <vt:variant>
        <vt:i4>8</vt:i4>
      </vt:variant>
      <vt:variant>
        <vt:i4>0</vt:i4>
      </vt:variant>
      <vt:variant>
        <vt:i4>5</vt:i4>
      </vt:variant>
      <vt:variant>
        <vt:lpwstr/>
      </vt:variant>
      <vt:variant>
        <vt:lpwstr>_Toc40184707</vt:lpwstr>
      </vt:variant>
      <vt:variant>
        <vt:i4>1966129</vt:i4>
      </vt:variant>
      <vt:variant>
        <vt:i4>2</vt:i4>
      </vt:variant>
      <vt:variant>
        <vt:i4>0</vt:i4>
      </vt:variant>
      <vt:variant>
        <vt:i4>5</vt:i4>
      </vt:variant>
      <vt:variant>
        <vt:lpwstr/>
      </vt:variant>
      <vt:variant>
        <vt:lpwstr>_Toc40184706</vt:lpwstr>
      </vt:variant>
      <vt:variant>
        <vt:i4>8257637</vt:i4>
      </vt:variant>
      <vt:variant>
        <vt:i4>6</vt:i4>
      </vt:variant>
      <vt:variant>
        <vt:i4>0</vt:i4>
      </vt:variant>
      <vt:variant>
        <vt:i4>5</vt:i4>
      </vt:variant>
      <vt:variant>
        <vt:lpwstr>http://www.pbs.gov.au/pbs/industry/pricing/pbs-items/therapeutic-relativity-sheets</vt:lpwstr>
      </vt:variant>
      <vt:variant>
        <vt:lpwstr/>
      </vt:variant>
      <vt:variant>
        <vt:i4>8257574</vt:i4>
      </vt:variant>
      <vt:variant>
        <vt:i4>3</vt:i4>
      </vt:variant>
      <vt:variant>
        <vt:i4>0</vt:i4>
      </vt:variant>
      <vt:variant>
        <vt:i4>5</vt:i4>
      </vt:variant>
      <vt:variant>
        <vt:lpwstr>https://www.nice.org.uk/guidance/ta503</vt:lpwstr>
      </vt:variant>
      <vt:variant>
        <vt:lpwstr/>
      </vt:variant>
      <vt:variant>
        <vt:i4>5046391</vt:i4>
      </vt:variant>
      <vt:variant>
        <vt:i4>0</vt:i4>
      </vt:variant>
      <vt:variant>
        <vt:i4>0</vt:i4>
      </vt:variant>
      <vt:variant>
        <vt:i4>5</vt:i4>
      </vt:variant>
      <vt:variant>
        <vt:lpwstr>https://www.accessdata.fda.gov/drugsatfda_docs/label/2017/021344s034lbl.pdf</vt:lpwstr>
      </vt:variant>
      <vt:variant>
        <vt:lpwstr/>
      </vt:variant>
      <vt:variant>
        <vt:i4>1179692</vt:i4>
      </vt:variant>
      <vt:variant>
        <vt:i4>3</vt:i4>
      </vt:variant>
      <vt:variant>
        <vt:i4>0</vt:i4>
      </vt:variant>
      <vt:variant>
        <vt:i4>5</vt:i4>
      </vt:variant>
      <vt:variant>
        <vt:lpwstr>https://www.medcalc.org/calc/relative_risk.php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2020-09-29T23:38:00Z</dcterms:created>
  <dcterms:modified xsi:type="dcterms:W3CDTF">2020-10-22T06:08:00Z</dcterms:modified>
</cp:coreProperties>
</file>