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8154B1" w:rsidRDefault="00332C7F" w:rsidP="00912164">
      <w:pPr>
        <w:pStyle w:val="1-MainHeading"/>
      </w:pPr>
      <w:bookmarkStart w:id="0" w:name="_Toc40185418"/>
      <w:r w:rsidRPr="008154B1">
        <w:t>7.02</w:t>
      </w:r>
      <w:r w:rsidR="00163F66" w:rsidRPr="008154B1">
        <w:tab/>
      </w:r>
      <w:r w:rsidR="00BC0636" w:rsidRPr="008154B1">
        <w:t>LANADELUMAB,</w:t>
      </w:r>
      <w:r w:rsidR="00BC0636" w:rsidRPr="008154B1">
        <w:br/>
        <w:t>Solution for injection 300 mg in 2 mL,</w:t>
      </w:r>
      <w:r w:rsidR="00BC0636" w:rsidRPr="008154B1">
        <w:br/>
        <w:t>Takhzyro®,</w:t>
      </w:r>
      <w:r w:rsidR="00BC0636" w:rsidRPr="008154B1">
        <w:br/>
        <w:t>Shire Australia Pty Ltd</w:t>
      </w:r>
      <w:r w:rsidR="00B60939" w:rsidRPr="008154B1">
        <w:t>.</w:t>
      </w:r>
      <w:bookmarkEnd w:id="0"/>
    </w:p>
    <w:p w:rsidR="00B50DB8" w:rsidRPr="008154B1" w:rsidRDefault="00B50DB8" w:rsidP="00912164">
      <w:pPr>
        <w:pStyle w:val="2-SectionHeading"/>
      </w:pPr>
      <w:bookmarkStart w:id="1" w:name="_Toc40185420"/>
      <w:r w:rsidRPr="008154B1">
        <w:t xml:space="preserve">Purpose of </w:t>
      </w:r>
      <w:r w:rsidR="00D03C07" w:rsidRPr="008154B1">
        <w:t>re</w:t>
      </w:r>
      <w:r w:rsidR="00CD7193" w:rsidRPr="008154B1">
        <w:t>s</w:t>
      </w:r>
      <w:r w:rsidR="00BB3A45" w:rsidRPr="008154B1">
        <w:t>ubmission</w:t>
      </w:r>
      <w:bookmarkEnd w:id="1"/>
    </w:p>
    <w:p w:rsidR="00F72705" w:rsidRPr="008154B1" w:rsidRDefault="00F72705" w:rsidP="00912164">
      <w:pPr>
        <w:pStyle w:val="3-BodyText"/>
      </w:pPr>
      <w:r w:rsidRPr="008154B1">
        <w:t xml:space="preserve">The resubmission requested a Section 85, Authority Required listing for lanadelumab as routine </w:t>
      </w:r>
      <w:r w:rsidR="00DC1736" w:rsidRPr="008154B1">
        <w:t xml:space="preserve">(long term) </w:t>
      </w:r>
      <w:r w:rsidRPr="008154B1">
        <w:t xml:space="preserve">prophylaxis of recurrent attacks of hereditary angioedema (HAE). </w:t>
      </w:r>
    </w:p>
    <w:p w:rsidR="00F72705" w:rsidRPr="008154B1" w:rsidRDefault="00F72705" w:rsidP="00912164">
      <w:pPr>
        <w:pStyle w:val="3-BodyText"/>
      </w:pPr>
      <w:r w:rsidRPr="008154B1">
        <w:t>The requested listing was based on a cost-utility analysis (CUA) of lanadelumab compared with standard of care (</w:t>
      </w:r>
      <w:r w:rsidR="00753156" w:rsidRPr="008154B1">
        <w:t>SOC</w:t>
      </w:r>
      <w:r w:rsidRPr="008154B1">
        <w:t xml:space="preserve">) in patients with HAE. The previous submission was based on a cost-minimisation analysis of lanadelumab compared with intravenous (IV) </w:t>
      </w:r>
      <w:r w:rsidR="00DF0150" w:rsidRPr="008154B1">
        <w:t>C1 esterase</w:t>
      </w:r>
      <w:r w:rsidRPr="008154B1">
        <w:t xml:space="preserve"> inhibitor (C1-INH) in patients with HAE. The key components of the clinical issue addressed by the resubmission are summarised below (in comparison with those presented in the previous submission). </w:t>
      </w:r>
    </w:p>
    <w:p w:rsidR="009D1025" w:rsidRPr="008154B1" w:rsidRDefault="00F72705" w:rsidP="00912164">
      <w:pPr>
        <w:pStyle w:val="TableHeading"/>
        <w:spacing w:before="240"/>
      </w:pPr>
      <w:r w:rsidRPr="008154B1">
        <w:t xml:space="preserve">Table </w:t>
      </w:r>
      <w:r w:rsidR="00EA3C26" w:rsidRPr="008154B1">
        <w:t>1</w:t>
      </w:r>
      <w:r w:rsidRPr="008154B1">
        <w:t>:</w:t>
      </w:r>
      <w:r w:rsidRPr="008154B1">
        <w:rPr>
          <w:rStyle w:val="CommentReference"/>
          <w:b/>
          <w:szCs w:val="24"/>
        </w:rPr>
        <w:t xml:space="preserve"> </w:t>
      </w:r>
      <w:r w:rsidR="009D1025" w:rsidRPr="008154B1">
        <w:t>Key components of the clinical issue as presented in the resubmission (clinical issue components for original submission included for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5259"/>
        <w:gridCol w:w="2483"/>
      </w:tblGrid>
      <w:tr w:rsidR="009D1025" w:rsidRPr="008154B1" w:rsidTr="00577F53">
        <w:trPr>
          <w:trHeight w:val="227"/>
        </w:trPr>
        <w:tc>
          <w:tcPr>
            <w:tcW w:w="707" w:type="pct"/>
            <w:vAlign w:val="center"/>
          </w:tcPr>
          <w:p w:rsidR="009D1025" w:rsidRPr="008154B1" w:rsidRDefault="009D1025" w:rsidP="00912164">
            <w:pPr>
              <w:pStyle w:val="In-tableHeading"/>
              <w:rPr>
                <w:lang w:val="en-AU"/>
              </w:rPr>
            </w:pPr>
            <w:r w:rsidRPr="008154B1">
              <w:rPr>
                <w:lang w:val="en-AU"/>
              </w:rPr>
              <w:t>Component</w:t>
            </w:r>
          </w:p>
        </w:tc>
        <w:tc>
          <w:tcPr>
            <w:tcW w:w="4293" w:type="pct"/>
            <w:gridSpan w:val="2"/>
            <w:vAlign w:val="center"/>
          </w:tcPr>
          <w:p w:rsidR="009D1025" w:rsidRPr="008154B1" w:rsidRDefault="009D1025" w:rsidP="00912164">
            <w:pPr>
              <w:pStyle w:val="In-tableHeading"/>
              <w:rPr>
                <w:lang w:val="en-AU"/>
              </w:rPr>
            </w:pPr>
            <w:r w:rsidRPr="008154B1">
              <w:rPr>
                <w:lang w:val="en-AU"/>
              </w:rPr>
              <w:t>Description</w:t>
            </w:r>
          </w:p>
        </w:tc>
      </w:tr>
      <w:tr w:rsidR="009D1025" w:rsidRPr="008154B1" w:rsidTr="00577F53">
        <w:trPr>
          <w:trHeight w:val="227"/>
        </w:trPr>
        <w:tc>
          <w:tcPr>
            <w:tcW w:w="707" w:type="pct"/>
            <w:vAlign w:val="center"/>
          </w:tcPr>
          <w:p w:rsidR="009D1025" w:rsidRPr="008154B1" w:rsidRDefault="009D1025" w:rsidP="00912164">
            <w:pPr>
              <w:pStyle w:val="In-tableHeading"/>
              <w:rPr>
                <w:lang w:val="en-AU"/>
              </w:rPr>
            </w:pPr>
          </w:p>
        </w:tc>
        <w:tc>
          <w:tcPr>
            <w:tcW w:w="2916" w:type="pct"/>
            <w:vAlign w:val="center"/>
          </w:tcPr>
          <w:p w:rsidR="009D1025" w:rsidRPr="008154B1" w:rsidRDefault="009D1025" w:rsidP="00912164">
            <w:pPr>
              <w:pStyle w:val="In-tableHeading"/>
              <w:rPr>
                <w:lang w:val="en-AU"/>
              </w:rPr>
            </w:pPr>
            <w:r w:rsidRPr="008154B1">
              <w:rPr>
                <w:lang w:val="en-AU"/>
              </w:rPr>
              <w:t>Previous: July 2019 PBAC consideration</w:t>
            </w:r>
          </w:p>
        </w:tc>
        <w:tc>
          <w:tcPr>
            <w:tcW w:w="1378" w:type="pct"/>
            <w:vAlign w:val="center"/>
          </w:tcPr>
          <w:p w:rsidR="009D1025" w:rsidRPr="008154B1" w:rsidRDefault="009D1025" w:rsidP="00912164">
            <w:pPr>
              <w:pStyle w:val="In-tableHeading"/>
              <w:rPr>
                <w:lang w:val="en-AU"/>
              </w:rPr>
            </w:pPr>
            <w:r w:rsidRPr="008154B1">
              <w:rPr>
                <w:lang w:val="en-AU"/>
              </w:rPr>
              <w:t>Current: July 2020 PBAC consideration</w:t>
            </w:r>
          </w:p>
        </w:tc>
      </w:tr>
      <w:tr w:rsidR="009D1025" w:rsidRPr="008154B1" w:rsidTr="00577F53">
        <w:tc>
          <w:tcPr>
            <w:tcW w:w="707" w:type="pct"/>
            <w:vAlign w:val="center"/>
          </w:tcPr>
          <w:p w:rsidR="009D1025" w:rsidRPr="008154B1" w:rsidRDefault="009D1025" w:rsidP="00912164">
            <w:pPr>
              <w:pStyle w:val="TableText0"/>
            </w:pPr>
            <w:r w:rsidRPr="008154B1">
              <w:t>Population</w:t>
            </w:r>
          </w:p>
        </w:tc>
        <w:tc>
          <w:tcPr>
            <w:tcW w:w="2916" w:type="pct"/>
            <w:vAlign w:val="center"/>
          </w:tcPr>
          <w:p w:rsidR="009D1025" w:rsidRPr="008154B1" w:rsidRDefault="009D1025" w:rsidP="00922250">
            <w:pPr>
              <w:pStyle w:val="TableText0"/>
              <w:rPr>
                <w:vertAlign w:val="superscript"/>
              </w:rPr>
            </w:pPr>
            <w:r w:rsidRPr="008154B1">
              <w:t>Patients with HAE treated with on-demand treatment 12 or more times within a 6-month period, despite receiving a maximum tolerated dose of danazol (unless clinically inappropriate) as routine prophylaxis for HAE</w:t>
            </w:r>
            <w:r w:rsidR="00922250" w:rsidRPr="008154B1">
              <w:t>. (This proposed population did not align with the population for the comparator, C1-INH, which is restricted to patients who experience 8 or more attacks per month</w:t>
            </w:r>
            <w:r w:rsidRPr="008154B1">
              <w:t>.</w:t>
            </w:r>
            <w:r w:rsidR="00922250" w:rsidRPr="008154B1">
              <w:t>)</w:t>
            </w:r>
            <w:r w:rsidRPr="008154B1">
              <w:t xml:space="preserve"> The requested restriction also included patients who have experienced a life-threatening HAE attack within the previous 12 months despite receiving the maximum tolerated dose of danazol (unless danazol is clinically inappropriate)</w:t>
            </w:r>
          </w:p>
        </w:tc>
        <w:tc>
          <w:tcPr>
            <w:tcW w:w="1378" w:type="pct"/>
          </w:tcPr>
          <w:p w:rsidR="009D1025" w:rsidRPr="008154B1" w:rsidRDefault="009D1025" w:rsidP="00912164">
            <w:pPr>
              <w:pStyle w:val="TableText0"/>
            </w:pPr>
            <w:r w:rsidRPr="008154B1">
              <w:t xml:space="preserve">Patients who experienced at least </w:t>
            </w:r>
            <w:r w:rsidR="00172AB8" w:rsidRPr="008154B1">
              <w:t>12</w:t>
            </w:r>
            <w:r w:rsidRPr="008154B1">
              <w:t xml:space="preserve"> treated acute HAE </w:t>
            </w:r>
            <w:r w:rsidR="00172AB8" w:rsidRPr="008154B1">
              <w:t>attacks within a 6</w:t>
            </w:r>
            <w:r w:rsidRPr="008154B1">
              <w:t>-month period and are intolerant or insufficiently protected by oral routine prophylaxis</w:t>
            </w:r>
          </w:p>
        </w:tc>
      </w:tr>
      <w:tr w:rsidR="009D1025" w:rsidRPr="008154B1" w:rsidTr="00577F53">
        <w:tc>
          <w:tcPr>
            <w:tcW w:w="707" w:type="pct"/>
            <w:vAlign w:val="center"/>
          </w:tcPr>
          <w:p w:rsidR="009D1025" w:rsidRPr="008154B1" w:rsidRDefault="009D1025" w:rsidP="00912164">
            <w:pPr>
              <w:pStyle w:val="TableText0"/>
            </w:pPr>
            <w:r w:rsidRPr="008154B1">
              <w:t>Intervention</w:t>
            </w:r>
          </w:p>
        </w:tc>
        <w:tc>
          <w:tcPr>
            <w:tcW w:w="2916" w:type="pct"/>
            <w:vAlign w:val="center"/>
          </w:tcPr>
          <w:p w:rsidR="009D1025" w:rsidRPr="008154B1" w:rsidRDefault="009D1025" w:rsidP="00912164">
            <w:pPr>
              <w:pStyle w:val="TableText0"/>
            </w:pPr>
            <w:r w:rsidRPr="008154B1">
              <w:t>Lanadelumab subcutaneous injection.</w:t>
            </w:r>
          </w:p>
        </w:tc>
        <w:tc>
          <w:tcPr>
            <w:tcW w:w="1378" w:type="pct"/>
            <w:vAlign w:val="center"/>
          </w:tcPr>
          <w:p w:rsidR="009D1025" w:rsidRPr="008154B1" w:rsidRDefault="009D1025" w:rsidP="00912164">
            <w:pPr>
              <w:pStyle w:val="TableText0"/>
            </w:pPr>
            <w:r w:rsidRPr="008154B1">
              <w:t>Lanadelumab subcutaneous injection.</w:t>
            </w:r>
          </w:p>
        </w:tc>
      </w:tr>
      <w:tr w:rsidR="009D1025" w:rsidRPr="008154B1" w:rsidTr="00577F53">
        <w:tc>
          <w:tcPr>
            <w:tcW w:w="707" w:type="pct"/>
            <w:vAlign w:val="center"/>
          </w:tcPr>
          <w:p w:rsidR="009D1025" w:rsidRPr="008154B1" w:rsidRDefault="009D1025" w:rsidP="00912164">
            <w:pPr>
              <w:pStyle w:val="TableText0"/>
            </w:pPr>
            <w:r w:rsidRPr="008154B1">
              <w:t>Comparator</w:t>
            </w:r>
          </w:p>
        </w:tc>
        <w:tc>
          <w:tcPr>
            <w:tcW w:w="2916" w:type="pct"/>
            <w:vAlign w:val="center"/>
          </w:tcPr>
          <w:p w:rsidR="009D1025" w:rsidRPr="008154B1" w:rsidRDefault="009D1025" w:rsidP="00912164">
            <w:pPr>
              <w:pStyle w:val="TableText0"/>
              <w:rPr>
                <w:vertAlign w:val="superscript"/>
              </w:rPr>
            </w:pPr>
            <w:r w:rsidRPr="008154B1">
              <w:t>Intravenous C1-INH (Berinert</w:t>
            </w:r>
            <w:r w:rsidRPr="008154B1">
              <w:rPr>
                <w:vertAlign w:val="superscript"/>
              </w:rPr>
              <w:t>®</w:t>
            </w:r>
            <w:r w:rsidRPr="008154B1">
              <w:t xml:space="preserve">), currently available for routine prophylaxis in HAE on the </w:t>
            </w:r>
            <w:r w:rsidR="00823A3A" w:rsidRPr="008154B1">
              <w:t>“</w:t>
            </w:r>
            <w:r w:rsidRPr="008154B1">
              <w:t>National Blood Authority National Product and Services List</w:t>
            </w:r>
            <w:r w:rsidR="00C7583D" w:rsidRPr="008154B1">
              <w:t xml:space="preserve"> (NPSL)</w:t>
            </w:r>
            <w:r w:rsidR="00823A3A" w:rsidRPr="008154B1">
              <w:t>”</w:t>
            </w:r>
            <w:r w:rsidRPr="008154B1">
              <w:t>, under the National Blood Agreement</w:t>
            </w:r>
          </w:p>
        </w:tc>
        <w:tc>
          <w:tcPr>
            <w:tcW w:w="1378" w:type="pct"/>
            <w:vAlign w:val="center"/>
          </w:tcPr>
          <w:p w:rsidR="009D1025" w:rsidRPr="008154B1" w:rsidRDefault="00753156" w:rsidP="00912164">
            <w:pPr>
              <w:pStyle w:val="TableText0"/>
              <w:rPr>
                <w:vertAlign w:val="superscript"/>
              </w:rPr>
            </w:pPr>
            <w:r w:rsidRPr="008154B1">
              <w:t>SOC</w:t>
            </w:r>
            <w:r w:rsidR="009D1025" w:rsidRPr="008154B1">
              <w:t xml:space="preserve"> for HAE, which comprises use of ODT (icatibant or IV C1-INH) with oral routine prophylaxis</w:t>
            </w:r>
          </w:p>
        </w:tc>
      </w:tr>
      <w:tr w:rsidR="009D1025" w:rsidRPr="008154B1" w:rsidTr="00577F53">
        <w:tc>
          <w:tcPr>
            <w:tcW w:w="707" w:type="pct"/>
            <w:vAlign w:val="center"/>
          </w:tcPr>
          <w:p w:rsidR="009D1025" w:rsidRPr="008154B1" w:rsidRDefault="009D1025" w:rsidP="00912164">
            <w:pPr>
              <w:pStyle w:val="TableText0"/>
            </w:pPr>
            <w:r w:rsidRPr="008154B1">
              <w:t>Outcomes</w:t>
            </w:r>
          </w:p>
        </w:tc>
        <w:tc>
          <w:tcPr>
            <w:tcW w:w="2916" w:type="pct"/>
            <w:vAlign w:val="center"/>
          </w:tcPr>
          <w:p w:rsidR="009D1025" w:rsidRPr="008154B1" w:rsidRDefault="009D1025" w:rsidP="00912164">
            <w:pPr>
              <w:pStyle w:val="TableText0"/>
            </w:pPr>
            <w:r w:rsidRPr="008154B1">
              <w:t>HAE attack rate</w:t>
            </w:r>
          </w:p>
          <w:p w:rsidR="009D1025" w:rsidRPr="008154B1" w:rsidRDefault="009D1025" w:rsidP="00912164">
            <w:pPr>
              <w:pStyle w:val="TableText0"/>
            </w:pPr>
            <w:r w:rsidRPr="008154B1">
              <w:t>HAE attack rate requiring acute treatment</w:t>
            </w:r>
          </w:p>
          <w:p w:rsidR="009D1025" w:rsidRPr="008154B1" w:rsidRDefault="009D1025" w:rsidP="00912164">
            <w:pPr>
              <w:pStyle w:val="TableText0"/>
            </w:pPr>
            <w:r w:rsidRPr="008154B1">
              <w:t>Percentage responder</w:t>
            </w:r>
          </w:p>
        </w:tc>
        <w:tc>
          <w:tcPr>
            <w:tcW w:w="1378" w:type="pct"/>
            <w:vAlign w:val="center"/>
          </w:tcPr>
          <w:p w:rsidR="009D1025" w:rsidRPr="008154B1" w:rsidRDefault="009D1025" w:rsidP="00912164">
            <w:pPr>
              <w:pStyle w:val="TableText0"/>
            </w:pPr>
            <w:r w:rsidRPr="008154B1">
              <w:t>HAE attack rate</w:t>
            </w:r>
          </w:p>
          <w:p w:rsidR="009D1025" w:rsidRPr="008154B1" w:rsidRDefault="009D1025" w:rsidP="00912164">
            <w:pPr>
              <w:pStyle w:val="TableText0"/>
            </w:pPr>
            <w:r w:rsidRPr="008154B1">
              <w:t>HAE attack rate requiring acute treatment</w:t>
            </w:r>
          </w:p>
          <w:p w:rsidR="009D1025" w:rsidRPr="008154B1" w:rsidRDefault="009D1025" w:rsidP="00912164">
            <w:pPr>
              <w:pStyle w:val="TableText0"/>
            </w:pPr>
            <w:r w:rsidRPr="008154B1">
              <w:t>Percentage responder</w:t>
            </w:r>
          </w:p>
        </w:tc>
      </w:tr>
      <w:tr w:rsidR="009D1025" w:rsidRPr="008154B1" w:rsidTr="00577F53">
        <w:tc>
          <w:tcPr>
            <w:tcW w:w="707" w:type="pct"/>
            <w:vAlign w:val="center"/>
          </w:tcPr>
          <w:p w:rsidR="009D1025" w:rsidRPr="008154B1" w:rsidRDefault="009D1025" w:rsidP="00912164">
            <w:pPr>
              <w:pStyle w:val="TableText0"/>
            </w:pPr>
            <w:r w:rsidRPr="008154B1">
              <w:t>Clinical claim</w:t>
            </w:r>
          </w:p>
        </w:tc>
        <w:tc>
          <w:tcPr>
            <w:tcW w:w="2916" w:type="pct"/>
            <w:vAlign w:val="center"/>
          </w:tcPr>
          <w:p w:rsidR="009D1025" w:rsidRPr="008154B1" w:rsidRDefault="009D1025" w:rsidP="00912164">
            <w:pPr>
              <w:pStyle w:val="TableText0"/>
            </w:pPr>
            <w:r w:rsidRPr="008154B1">
              <w:t>Non-inferiority vs C1-INH.</w:t>
            </w:r>
          </w:p>
        </w:tc>
        <w:tc>
          <w:tcPr>
            <w:tcW w:w="1378" w:type="pct"/>
            <w:vAlign w:val="center"/>
          </w:tcPr>
          <w:p w:rsidR="009D1025" w:rsidRPr="008154B1" w:rsidRDefault="009D1025" w:rsidP="00912164">
            <w:pPr>
              <w:pStyle w:val="TableText0"/>
              <w:rPr>
                <w:vertAlign w:val="superscript"/>
              </w:rPr>
            </w:pPr>
            <w:r w:rsidRPr="008154B1">
              <w:t xml:space="preserve">Superiority </w:t>
            </w:r>
            <w:r w:rsidR="00AD5A4A" w:rsidRPr="008154B1">
              <w:t>versus</w:t>
            </w:r>
            <w:r w:rsidRPr="008154B1">
              <w:t xml:space="preserve"> </w:t>
            </w:r>
            <w:r w:rsidR="00753156" w:rsidRPr="008154B1">
              <w:t>SOC</w:t>
            </w:r>
            <w:r w:rsidRPr="008154B1">
              <w:rPr>
                <w:vertAlign w:val="superscript"/>
              </w:rPr>
              <w:t>a</w:t>
            </w:r>
          </w:p>
        </w:tc>
      </w:tr>
    </w:tbl>
    <w:p w:rsidR="009D1025" w:rsidRPr="008154B1" w:rsidRDefault="009D1025" w:rsidP="00912164">
      <w:pPr>
        <w:pStyle w:val="TableFigureFooter"/>
      </w:pPr>
      <w:r w:rsidRPr="008154B1">
        <w:t xml:space="preserve">Source: Table 1, Lanadelumab HAE PSD, July 2019 </w:t>
      </w:r>
      <w:r w:rsidR="00155411" w:rsidRPr="008154B1">
        <w:t>PBAC mee</w:t>
      </w:r>
      <w:r w:rsidRPr="008154B1">
        <w:t xml:space="preserve">ting and Table 9 of the resubmission </w:t>
      </w:r>
    </w:p>
    <w:p w:rsidR="002F1D77" w:rsidRPr="008154B1" w:rsidRDefault="009D1025" w:rsidP="00912164">
      <w:pPr>
        <w:pStyle w:val="TableFigureFooter"/>
      </w:pPr>
      <w:r w:rsidRPr="008154B1">
        <w:t xml:space="preserve">C1-INH = </w:t>
      </w:r>
      <w:r w:rsidR="00DF0150" w:rsidRPr="008154B1">
        <w:t>C1 esterase</w:t>
      </w:r>
      <w:r w:rsidRPr="008154B1">
        <w:t xml:space="preserve"> inhibitor; HAE = hereditary angioedema; </w:t>
      </w:r>
      <w:r w:rsidR="00753156" w:rsidRPr="008154B1">
        <w:t>SOC</w:t>
      </w:r>
      <w:r w:rsidRPr="008154B1">
        <w:t xml:space="preserve"> = standard of care; ODT = </w:t>
      </w:r>
      <w:r w:rsidR="009A338E" w:rsidRPr="008154B1">
        <w:t>on-demand</w:t>
      </w:r>
      <w:r w:rsidRPr="008154B1">
        <w:t xml:space="preserve"> treatment; IV = intravenous</w:t>
      </w:r>
      <w:r w:rsidR="002F1D77" w:rsidRPr="008154B1">
        <w:t>.</w:t>
      </w:r>
      <w:r w:rsidRPr="008154B1">
        <w:t xml:space="preserve"> </w:t>
      </w:r>
    </w:p>
    <w:p w:rsidR="004E43B2" w:rsidRPr="008154B1" w:rsidRDefault="009D1025" w:rsidP="00912164">
      <w:pPr>
        <w:pStyle w:val="TableFigureFooter"/>
      </w:pPr>
      <w:r w:rsidRPr="008154B1">
        <w:rPr>
          <w:vertAlign w:val="superscript"/>
        </w:rPr>
        <w:t>a</w:t>
      </w:r>
      <w:r w:rsidR="002F1D77" w:rsidRPr="008154B1">
        <w:rPr>
          <w:vertAlign w:val="superscript"/>
        </w:rPr>
        <w:t xml:space="preserve"> </w:t>
      </w:r>
      <w:r w:rsidRPr="008154B1">
        <w:t>The resubmission also made an economic claim that lanadelumab is associated with reduced use of ODT and better quality of life</w:t>
      </w:r>
      <w:r w:rsidR="00C7583D" w:rsidRPr="008154B1">
        <w:t xml:space="preserve"> (QoL)</w:t>
      </w:r>
      <w:r w:rsidRPr="008154B1">
        <w:t>.</w:t>
      </w:r>
    </w:p>
    <w:p w:rsidR="005C25FF" w:rsidRPr="008154B1" w:rsidRDefault="005C25FF" w:rsidP="00912164">
      <w:pPr>
        <w:pStyle w:val="2-SectionHeading"/>
      </w:pPr>
      <w:bookmarkStart w:id="2" w:name="_Toc40185421"/>
      <w:r w:rsidRPr="008154B1">
        <w:lastRenderedPageBreak/>
        <w:t>Background</w:t>
      </w:r>
      <w:bookmarkEnd w:id="2"/>
    </w:p>
    <w:p w:rsidR="005C25FF" w:rsidRPr="00577F53" w:rsidRDefault="005C25FF" w:rsidP="00577F53">
      <w:pPr>
        <w:pStyle w:val="4-SubsectionHeading"/>
      </w:pPr>
      <w:bookmarkStart w:id="3" w:name="_Toc22897638"/>
      <w:bookmarkStart w:id="4" w:name="_Toc40185422"/>
      <w:r w:rsidRPr="00577F53">
        <w:t>Registration status</w:t>
      </w:r>
      <w:bookmarkEnd w:id="3"/>
      <w:bookmarkEnd w:id="4"/>
    </w:p>
    <w:p w:rsidR="009D1025" w:rsidRPr="008154B1" w:rsidRDefault="009D1025" w:rsidP="00912164">
      <w:pPr>
        <w:pStyle w:val="3-BodyText"/>
      </w:pPr>
      <w:r w:rsidRPr="008154B1">
        <w:t xml:space="preserve">Lanadelumab 300 mg/2 mL </w:t>
      </w:r>
      <w:r w:rsidR="00042702" w:rsidRPr="008154B1">
        <w:t>(</w:t>
      </w:r>
      <w:r w:rsidRPr="008154B1">
        <w:t xml:space="preserve">solution for injection </w:t>
      </w:r>
      <w:r w:rsidR="00042702" w:rsidRPr="008154B1">
        <w:t>and pre-filled syringe formulations) are TGA-registered</w:t>
      </w:r>
      <w:r w:rsidRPr="008154B1">
        <w:t xml:space="preserve"> for the following indication: the routine prevention of recurrent attacks of HAE (C1-</w:t>
      </w:r>
      <w:r w:rsidR="009D7CB1" w:rsidRPr="008154B1">
        <w:t>INH</w:t>
      </w:r>
      <w:r w:rsidRPr="008154B1">
        <w:t xml:space="preserve"> deficiency or dysfunction) in patients aged 12 years and older.</w:t>
      </w:r>
    </w:p>
    <w:p w:rsidR="005C25FF" w:rsidRPr="008154B1" w:rsidRDefault="009D1025" w:rsidP="00912164">
      <w:pPr>
        <w:pStyle w:val="3-BodyText"/>
      </w:pPr>
      <w:r w:rsidRPr="008154B1">
        <w:t>The recommended starting dose in the lanadelumab approved P</w:t>
      </w:r>
      <w:r w:rsidR="00F0006D" w:rsidRPr="008154B1">
        <w:t xml:space="preserve">roduct </w:t>
      </w:r>
      <w:r w:rsidRPr="008154B1">
        <w:t>I</w:t>
      </w:r>
      <w:r w:rsidR="00F0006D" w:rsidRPr="008154B1">
        <w:t>nformation</w:t>
      </w:r>
      <w:r w:rsidRPr="008154B1">
        <w:t xml:space="preserve"> is 300 mg lanadelumab every 2 weeks (Q2W). In patients who are stably attack free on treatment, a dose reduction to </w:t>
      </w:r>
      <w:r w:rsidR="001A0E50" w:rsidRPr="008154B1">
        <w:t>300 </w:t>
      </w:r>
      <w:r w:rsidRPr="008154B1">
        <w:t xml:space="preserve">mg every 4 weeks </w:t>
      </w:r>
      <w:r w:rsidR="00D20930" w:rsidRPr="008154B1">
        <w:t xml:space="preserve">(Q4W) </w:t>
      </w:r>
      <w:r w:rsidRPr="008154B1">
        <w:t>may be considered, especially in patients with low weight.</w:t>
      </w:r>
    </w:p>
    <w:p w:rsidR="003F4716" w:rsidRPr="008154B1" w:rsidRDefault="00862775" w:rsidP="00912164">
      <w:pPr>
        <w:pStyle w:val="3-BodyText"/>
      </w:pPr>
      <w:r w:rsidRPr="008154B1">
        <w:t xml:space="preserve">This dosing aligns with the EMA and FDA. </w:t>
      </w:r>
      <w:r w:rsidR="003C1B89" w:rsidRPr="008154B1">
        <w:t>The TGA Delegate’s Overview) states ‘the (TGA) evaluator is of the view that the optimal dosing regimen has not been determined as the pivotal study was not designed to compare the treatment effect within the 3 randomised lanadelumab treatment arms. The evaluator considers that the small numerical differences in the three arms in the HELP trial reflect small numbers and the inherent intra-individual variability in the pattern of HAE attacks rather than greater efficacy with one arm, and there is insufficient data to recommend any one regimen over the other two dose regimens’</w:t>
      </w:r>
      <w:r w:rsidRPr="008154B1">
        <w:t xml:space="preserve">. </w:t>
      </w:r>
      <w:r w:rsidR="003C1B89" w:rsidRPr="008154B1">
        <w:t>The TGA Delegate</w:t>
      </w:r>
      <w:r w:rsidRPr="008154B1">
        <w:t>’s Overview</w:t>
      </w:r>
      <w:r w:rsidR="003C1B89" w:rsidRPr="008154B1">
        <w:t xml:space="preserve"> stated </w:t>
      </w:r>
      <w:r w:rsidRPr="008154B1">
        <w:t>that t</w:t>
      </w:r>
      <w:r w:rsidR="003C1B89" w:rsidRPr="008154B1">
        <w:t xml:space="preserve">aking into account </w:t>
      </w:r>
      <w:r w:rsidRPr="008154B1">
        <w:t xml:space="preserve">factors including </w:t>
      </w:r>
      <w:r w:rsidR="003C1B89" w:rsidRPr="008154B1">
        <w:t xml:space="preserve">the safety profile for </w:t>
      </w:r>
      <w:r w:rsidRPr="008154B1">
        <w:t>patients</w:t>
      </w:r>
      <w:r w:rsidR="003C1B89" w:rsidRPr="008154B1">
        <w:t xml:space="preserve"> &lt;50 kg, the general </w:t>
      </w:r>
      <w:r w:rsidRPr="008154B1">
        <w:t>‘</w:t>
      </w:r>
      <w:r w:rsidR="003C1B89" w:rsidRPr="008154B1">
        <w:t>benign</w:t>
      </w:r>
      <w:r w:rsidRPr="008154B1">
        <w:t>’</w:t>
      </w:r>
      <w:r w:rsidR="003C1B89" w:rsidRPr="008154B1">
        <w:t xml:space="preserve"> safety profile of lanadelumab, </w:t>
      </w:r>
      <w:r w:rsidRPr="008154B1">
        <w:t xml:space="preserve">and </w:t>
      </w:r>
      <w:r w:rsidR="003C1B89" w:rsidRPr="008154B1">
        <w:t xml:space="preserve">the efficacy of lanadelumab 300 mg </w:t>
      </w:r>
      <w:r w:rsidRPr="008154B1">
        <w:t>Q2W</w:t>
      </w:r>
      <w:r w:rsidR="003C1B89" w:rsidRPr="008154B1">
        <w:t xml:space="preserve"> for </w:t>
      </w:r>
      <w:r w:rsidRPr="008154B1">
        <w:t>patients</w:t>
      </w:r>
      <w:r w:rsidR="003C1B89" w:rsidRPr="008154B1">
        <w:t xml:space="preserve"> with all weight groups,</w:t>
      </w:r>
      <w:r w:rsidRPr="008154B1">
        <w:t xml:space="preserve"> the Delegate was inclined to align with the dose recommendations accepted by the EMA.</w:t>
      </w:r>
    </w:p>
    <w:p w:rsidR="005C25FF" w:rsidRPr="00577F53" w:rsidRDefault="005C25FF" w:rsidP="00577F53">
      <w:pPr>
        <w:pStyle w:val="4-SubsectionHeading"/>
      </w:pPr>
      <w:bookmarkStart w:id="5" w:name="_Toc22897639"/>
      <w:bookmarkStart w:id="6" w:name="_Toc40185423"/>
      <w:r w:rsidRPr="00577F53">
        <w:t>Previous PBAC consideration</w:t>
      </w:r>
      <w:bookmarkEnd w:id="5"/>
      <w:bookmarkEnd w:id="6"/>
    </w:p>
    <w:p w:rsidR="002E4F02" w:rsidRPr="008154B1" w:rsidRDefault="00205582" w:rsidP="00912164">
      <w:pPr>
        <w:pStyle w:val="3-BodyText"/>
      </w:pPr>
      <w:r w:rsidRPr="008154B1">
        <w:t xml:space="preserve">This </w:t>
      </w:r>
      <w:r w:rsidR="001A0E50" w:rsidRPr="008154B1">
        <w:t>wa</w:t>
      </w:r>
      <w:r w:rsidRPr="008154B1">
        <w:t xml:space="preserve">s the </w:t>
      </w:r>
      <w:r w:rsidR="00AC3424" w:rsidRPr="008154B1">
        <w:t>second</w:t>
      </w:r>
      <w:r w:rsidRPr="008154B1">
        <w:t xml:space="preserve"> submission requesting listing of lanadelumab for routine prevention of recurrent attacks of HAE. </w:t>
      </w:r>
      <w:r w:rsidR="003877BA" w:rsidRPr="008154B1">
        <w:t xml:space="preserve">A </w:t>
      </w:r>
      <w:r w:rsidRPr="008154B1">
        <w:t xml:space="preserve">major submission requesting listing for the same indication was considered at the July 2019 </w:t>
      </w:r>
      <w:r w:rsidR="00155411" w:rsidRPr="008154B1">
        <w:t>PBAC mee</w:t>
      </w:r>
      <w:r w:rsidRPr="008154B1">
        <w:t xml:space="preserve">ting. </w:t>
      </w:r>
    </w:p>
    <w:p w:rsidR="0057141B" w:rsidRPr="008154B1" w:rsidRDefault="0057141B" w:rsidP="00912164">
      <w:pPr>
        <w:pStyle w:val="TableFigureHeading"/>
      </w:pPr>
      <w:r w:rsidRPr="008154B1">
        <w:t xml:space="preserve">Table </w:t>
      </w:r>
      <w:r w:rsidR="00EA3C26" w:rsidRPr="008154B1">
        <w:t>2</w:t>
      </w:r>
      <w:r w:rsidRPr="008154B1">
        <w:t>: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827"/>
        <w:gridCol w:w="3919"/>
      </w:tblGrid>
      <w:tr w:rsidR="005C25FF" w:rsidRPr="008154B1" w:rsidTr="00577F53">
        <w:trPr>
          <w:cantSplit/>
          <w:tblHeader/>
        </w:trPr>
        <w:tc>
          <w:tcPr>
            <w:tcW w:w="705" w:type="pct"/>
            <w:vAlign w:val="center"/>
          </w:tcPr>
          <w:p w:rsidR="005C25FF" w:rsidRPr="008154B1" w:rsidRDefault="005C25FF" w:rsidP="00912164">
            <w:pPr>
              <w:pStyle w:val="In-tableHeading"/>
              <w:rPr>
                <w:lang w:val="en-AU"/>
              </w:rPr>
            </w:pPr>
            <w:r w:rsidRPr="008154B1">
              <w:rPr>
                <w:lang w:val="en-AU"/>
              </w:rPr>
              <w:t>Component</w:t>
            </w:r>
          </w:p>
        </w:tc>
        <w:tc>
          <w:tcPr>
            <w:tcW w:w="2122" w:type="pct"/>
            <w:vAlign w:val="center"/>
          </w:tcPr>
          <w:p w:rsidR="005C25FF" w:rsidRPr="008154B1" w:rsidRDefault="005C25FF" w:rsidP="00912164">
            <w:pPr>
              <w:pStyle w:val="In-tableHeading"/>
              <w:rPr>
                <w:lang w:val="en-AU"/>
              </w:rPr>
            </w:pPr>
            <w:r w:rsidRPr="008154B1">
              <w:rPr>
                <w:lang w:val="en-AU"/>
              </w:rPr>
              <w:t>Matter of concern</w:t>
            </w:r>
          </w:p>
        </w:tc>
        <w:tc>
          <w:tcPr>
            <w:tcW w:w="2173" w:type="pct"/>
            <w:vAlign w:val="center"/>
          </w:tcPr>
          <w:p w:rsidR="005C25FF" w:rsidRPr="008154B1" w:rsidRDefault="005C25FF" w:rsidP="00912164">
            <w:pPr>
              <w:pStyle w:val="In-tableHeading"/>
              <w:rPr>
                <w:lang w:val="en-AU"/>
              </w:rPr>
            </w:pPr>
            <w:r w:rsidRPr="008154B1">
              <w:rPr>
                <w:lang w:val="en-AU"/>
              </w:rPr>
              <w:t>How the resubmission addresses it</w:t>
            </w:r>
          </w:p>
        </w:tc>
      </w:tr>
      <w:tr w:rsidR="0057141B" w:rsidRPr="008154B1" w:rsidTr="00577F53">
        <w:trPr>
          <w:cantSplit/>
        </w:trPr>
        <w:tc>
          <w:tcPr>
            <w:tcW w:w="705" w:type="pct"/>
            <w:vAlign w:val="center"/>
          </w:tcPr>
          <w:p w:rsidR="0057141B" w:rsidRPr="008154B1" w:rsidRDefault="0057141B" w:rsidP="00912164">
            <w:pPr>
              <w:pStyle w:val="TableText0"/>
              <w:keepNext w:val="0"/>
            </w:pPr>
            <w:r w:rsidRPr="008154B1">
              <w:t>Clinical place in therapy</w:t>
            </w:r>
          </w:p>
        </w:tc>
        <w:tc>
          <w:tcPr>
            <w:tcW w:w="2122" w:type="pct"/>
          </w:tcPr>
          <w:p w:rsidR="0057141B" w:rsidRPr="008154B1" w:rsidRDefault="0057141B" w:rsidP="00912164">
            <w:pPr>
              <w:pStyle w:val="TableText0"/>
              <w:keepNext w:val="0"/>
            </w:pPr>
            <w:r w:rsidRPr="008154B1">
              <w:t>The PBAC considered the clinical role of lanadelumab in the context of t</w:t>
            </w:r>
            <w:r w:rsidR="009A6D0D" w:rsidRPr="008154B1">
              <w:t xml:space="preserve">he clinical need in patients who experienced fewer than eight attacks per </w:t>
            </w:r>
            <w:r w:rsidR="009B4790" w:rsidRPr="008154B1">
              <w:t>[month]</w:t>
            </w:r>
            <w:r w:rsidR="009A6D0D" w:rsidRPr="008154B1">
              <w:t>,</w:t>
            </w:r>
            <w:r w:rsidRPr="008154B1">
              <w:t xml:space="preserve"> the ease of administration of a SC formulation and the clinical evidence for lanadelumab. As such, the PBAC advised that the appropriate clinical role for lanadelumab is broader than the population who are eligible for IV C1-INH</w:t>
            </w:r>
            <w:r w:rsidR="009A6D0D" w:rsidRPr="008154B1">
              <w:t xml:space="preserve"> (Para 7.5, July 2019 PSD).</w:t>
            </w:r>
          </w:p>
        </w:tc>
        <w:tc>
          <w:tcPr>
            <w:tcW w:w="2173" w:type="pct"/>
          </w:tcPr>
          <w:p w:rsidR="0057141B" w:rsidRPr="008154B1" w:rsidRDefault="009A6D0D" w:rsidP="00912164">
            <w:pPr>
              <w:pStyle w:val="TableText0"/>
              <w:keepNext w:val="0"/>
              <w:rPr>
                <w:iCs/>
              </w:rPr>
            </w:pPr>
            <w:r w:rsidRPr="008154B1">
              <w:rPr>
                <w:iCs/>
              </w:rPr>
              <w:t>Addressed.</w:t>
            </w:r>
          </w:p>
          <w:p w:rsidR="009A6D0D" w:rsidRPr="008154B1" w:rsidRDefault="009A6D0D" w:rsidP="00912164">
            <w:pPr>
              <w:pStyle w:val="TableText0"/>
              <w:keepNext w:val="0"/>
            </w:pPr>
            <w:r w:rsidRPr="008154B1">
              <w:rPr>
                <w:iCs/>
              </w:rPr>
              <w:t xml:space="preserve">The </w:t>
            </w:r>
            <w:r w:rsidR="00303A55" w:rsidRPr="008154B1">
              <w:rPr>
                <w:iCs/>
              </w:rPr>
              <w:t xml:space="preserve">proposed </w:t>
            </w:r>
            <w:r w:rsidRPr="008154B1">
              <w:rPr>
                <w:iCs/>
              </w:rPr>
              <w:t xml:space="preserve">restriction </w:t>
            </w:r>
            <w:r w:rsidR="00922250" w:rsidRPr="008154B1">
              <w:rPr>
                <w:iCs/>
              </w:rPr>
              <w:t xml:space="preserve">and patient population </w:t>
            </w:r>
            <w:r w:rsidR="00303A55" w:rsidRPr="008154B1">
              <w:rPr>
                <w:iCs/>
              </w:rPr>
              <w:t>in the resubmission reflected</w:t>
            </w:r>
            <w:r w:rsidRPr="008154B1">
              <w:rPr>
                <w:iCs/>
              </w:rPr>
              <w:t xml:space="preserve"> </w:t>
            </w:r>
            <w:r w:rsidR="00303A55" w:rsidRPr="008154B1">
              <w:rPr>
                <w:iCs/>
              </w:rPr>
              <w:t xml:space="preserve">the </w:t>
            </w:r>
            <w:r w:rsidRPr="008154B1">
              <w:rPr>
                <w:iCs/>
              </w:rPr>
              <w:t>PBAC comments</w:t>
            </w:r>
            <w:r w:rsidRPr="008154B1">
              <w:t>.</w:t>
            </w:r>
          </w:p>
          <w:p w:rsidR="00EA300E" w:rsidRPr="008154B1" w:rsidRDefault="00EA300E" w:rsidP="00912164">
            <w:pPr>
              <w:pStyle w:val="TableText0"/>
              <w:keepNext w:val="0"/>
            </w:pPr>
            <w:r w:rsidRPr="008154B1">
              <w:rPr>
                <w:iCs/>
              </w:rPr>
              <w:t xml:space="preserve">The proposed patient population comprised patients experiencing </w:t>
            </w:r>
            <w:r w:rsidR="004A16F6" w:rsidRPr="008154B1">
              <w:rPr>
                <w:iCs/>
              </w:rPr>
              <w:t xml:space="preserve">at </w:t>
            </w:r>
            <w:r w:rsidRPr="008154B1">
              <w:rPr>
                <w:iCs/>
                <w:szCs w:val="20"/>
              </w:rPr>
              <w:t>least 12 treated acute attacks of HAE within a period of 6 months prior to commencement of treatment.</w:t>
            </w:r>
          </w:p>
        </w:tc>
      </w:tr>
      <w:tr w:rsidR="009A6D0D" w:rsidRPr="008154B1" w:rsidTr="00577F53">
        <w:trPr>
          <w:cantSplit/>
        </w:trPr>
        <w:tc>
          <w:tcPr>
            <w:tcW w:w="705" w:type="pct"/>
            <w:vAlign w:val="center"/>
          </w:tcPr>
          <w:p w:rsidR="009A6D0D" w:rsidRPr="008154B1" w:rsidRDefault="009A6D0D" w:rsidP="00912164">
            <w:pPr>
              <w:pStyle w:val="TableText0"/>
              <w:keepNext w:val="0"/>
            </w:pPr>
            <w:r w:rsidRPr="008154B1">
              <w:lastRenderedPageBreak/>
              <w:t>Comparator</w:t>
            </w:r>
          </w:p>
        </w:tc>
        <w:tc>
          <w:tcPr>
            <w:tcW w:w="2122" w:type="pct"/>
          </w:tcPr>
          <w:p w:rsidR="009A6D0D" w:rsidRPr="008154B1" w:rsidRDefault="009A6D0D" w:rsidP="00912164">
            <w:pPr>
              <w:pStyle w:val="TableText0"/>
              <w:keepNext w:val="0"/>
            </w:pPr>
            <w:r w:rsidRPr="008154B1">
              <w:t>C1-INH was not the appropriate comparator. The PBAC considered that standard of care (on-demand treatment plus oral routine prophylaxis) was the appropriate comparator in patients who experience fewer than eight attacks per month, which the PBAC considered would represent the majority of patients with a broader listing (Para 7.7, July 2019 PSD).</w:t>
            </w:r>
          </w:p>
        </w:tc>
        <w:tc>
          <w:tcPr>
            <w:tcW w:w="2173" w:type="pct"/>
          </w:tcPr>
          <w:p w:rsidR="002C646A" w:rsidRPr="008154B1" w:rsidRDefault="002C646A" w:rsidP="00912164">
            <w:pPr>
              <w:pStyle w:val="TableText0"/>
              <w:keepNext w:val="0"/>
              <w:rPr>
                <w:iCs/>
              </w:rPr>
            </w:pPr>
            <w:r w:rsidRPr="008154B1">
              <w:rPr>
                <w:iCs/>
              </w:rPr>
              <w:t>Addressed.</w:t>
            </w:r>
          </w:p>
          <w:p w:rsidR="002C646A" w:rsidRPr="008154B1" w:rsidRDefault="002C646A" w:rsidP="00912164">
            <w:pPr>
              <w:pStyle w:val="TableText0"/>
              <w:keepNext w:val="0"/>
              <w:rPr>
                <w:iCs/>
              </w:rPr>
            </w:pPr>
            <w:r w:rsidRPr="008154B1">
              <w:rPr>
                <w:iCs/>
              </w:rPr>
              <w:t>The resubmission nominated SOC, comprising of ODT with oral routine prophylaxis.</w:t>
            </w:r>
          </w:p>
          <w:p w:rsidR="009A6D0D" w:rsidRPr="008154B1" w:rsidRDefault="002C646A" w:rsidP="00922250">
            <w:pPr>
              <w:pStyle w:val="TableText0"/>
              <w:keepNext w:val="0"/>
              <w:rPr>
                <w:iCs/>
              </w:rPr>
            </w:pPr>
            <w:r w:rsidRPr="008154B1">
              <w:rPr>
                <w:iCs/>
              </w:rPr>
              <w:t>There is some uncertainty pertaining to the current supply of danazol</w:t>
            </w:r>
            <w:r w:rsidR="006105D1" w:rsidRPr="008154B1">
              <w:rPr>
                <w:iCs/>
              </w:rPr>
              <w:t xml:space="preserve"> which has been</w:t>
            </w:r>
            <w:r w:rsidRPr="008154B1">
              <w:rPr>
                <w:iCs/>
              </w:rPr>
              <w:t xml:space="preserve"> deleted from the market in Australia by the supplier Mylan. </w:t>
            </w:r>
            <w:r w:rsidR="00F0006D" w:rsidRPr="008154B1">
              <w:rPr>
                <w:iCs/>
              </w:rPr>
              <w:t>D</w:t>
            </w:r>
            <w:r w:rsidR="009A2BF6" w:rsidRPr="008154B1">
              <w:rPr>
                <w:iCs/>
              </w:rPr>
              <w:t>anazol</w:t>
            </w:r>
            <w:r w:rsidRPr="008154B1">
              <w:rPr>
                <w:iCs/>
              </w:rPr>
              <w:t xml:space="preserve"> is still </w:t>
            </w:r>
            <w:r w:rsidR="00F0006D" w:rsidRPr="008154B1">
              <w:rPr>
                <w:iCs/>
              </w:rPr>
              <w:t xml:space="preserve">currently </w:t>
            </w:r>
            <w:r w:rsidRPr="008154B1">
              <w:rPr>
                <w:iCs/>
              </w:rPr>
              <w:t xml:space="preserve">listed on the PBS and resupply may recur in the near future. </w:t>
            </w:r>
            <w:r w:rsidR="00C87F71" w:rsidRPr="008154B1">
              <w:rPr>
                <w:iCs/>
              </w:rPr>
              <w:t xml:space="preserve">For patients with ≥ 8 attack/month, C1-INH would be the appropriate comparator. There could also be some use of C1-INH in </w:t>
            </w:r>
            <w:r w:rsidR="009A0FB5" w:rsidRPr="008154B1">
              <w:rPr>
                <w:iCs/>
              </w:rPr>
              <w:t xml:space="preserve">patients with </w:t>
            </w:r>
            <w:r w:rsidR="007D0E7D" w:rsidRPr="008154B1">
              <w:rPr>
                <w:iCs/>
              </w:rPr>
              <w:t>&lt;</w:t>
            </w:r>
            <w:r w:rsidR="00C87F71" w:rsidRPr="008154B1">
              <w:rPr>
                <w:iCs/>
              </w:rPr>
              <w:t xml:space="preserve"> 8 attacks/month </w:t>
            </w:r>
            <w:r w:rsidR="00F1135E" w:rsidRPr="008154B1">
              <w:rPr>
                <w:iCs/>
              </w:rPr>
              <w:t xml:space="preserve">given the number of attacks per month may vary over time and </w:t>
            </w:r>
            <w:r w:rsidR="007D0E7D" w:rsidRPr="008154B1">
              <w:rPr>
                <w:iCs/>
              </w:rPr>
              <w:t>this</w:t>
            </w:r>
            <w:r w:rsidR="00F1135E" w:rsidRPr="008154B1">
              <w:rPr>
                <w:iCs/>
              </w:rPr>
              <w:t xml:space="preserve"> may be difficult to monitor</w:t>
            </w:r>
            <w:r w:rsidR="00C87F71" w:rsidRPr="008154B1">
              <w:rPr>
                <w:iCs/>
              </w:rPr>
              <w:t>.</w:t>
            </w:r>
          </w:p>
        </w:tc>
      </w:tr>
      <w:tr w:rsidR="009A6D0D" w:rsidRPr="008154B1" w:rsidTr="00577F53">
        <w:trPr>
          <w:cantSplit/>
        </w:trPr>
        <w:tc>
          <w:tcPr>
            <w:tcW w:w="705" w:type="pct"/>
            <w:vAlign w:val="center"/>
          </w:tcPr>
          <w:p w:rsidR="009A6D0D" w:rsidRPr="008154B1" w:rsidRDefault="009A6D0D" w:rsidP="00912164">
            <w:pPr>
              <w:pStyle w:val="TableText0"/>
              <w:keepNext w:val="0"/>
            </w:pPr>
            <w:r w:rsidRPr="008154B1">
              <w:t>Clinical evidence</w:t>
            </w:r>
          </w:p>
        </w:tc>
        <w:tc>
          <w:tcPr>
            <w:tcW w:w="2122" w:type="pct"/>
          </w:tcPr>
          <w:p w:rsidR="009A6D0D" w:rsidRPr="008154B1" w:rsidRDefault="00303A55" w:rsidP="00912164">
            <w:pPr>
              <w:pStyle w:val="TableText0"/>
              <w:keepNext w:val="0"/>
            </w:pPr>
            <w:r w:rsidRPr="008154B1">
              <w:t>T</w:t>
            </w:r>
            <w:r w:rsidR="009A6D0D" w:rsidRPr="008154B1">
              <w:t>he clinical trial of lanadelumab (the HELP trial) lacked applicability to a population solely comprising patients with eight or more attacks per month</w:t>
            </w:r>
            <w:r w:rsidRPr="008154B1">
              <w:t xml:space="preserve"> (Para 7.9, July 2019 PSD)</w:t>
            </w:r>
            <w:r w:rsidR="009A6D0D" w:rsidRPr="008154B1">
              <w:t>.</w:t>
            </w:r>
          </w:p>
        </w:tc>
        <w:tc>
          <w:tcPr>
            <w:tcW w:w="2173" w:type="pct"/>
          </w:tcPr>
          <w:p w:rsidR="009A6D0D" w:rsidRPr="008154B1" w:rsidRDefault="007D0E7D" w:rsidP="00F0006D">
            <w:pPr>
              <w:pStyle w:val="TableText0"/>
              <w:keepNext w:val="0"/>
              <w:rPr>
                <w:iCs/>
              </w:rPr>
            </w:pPr>
            <w:r w:rsidRPr="008154B1">
              <w:rPr>
                <w:iCs/>
              </w:rPr>
              <w:t>Partially a</w:t>
            </w:r>
            <w:r w:rsidR="002C646A" w:rsidRPr="008154B1">
              <w:rPr>
                <w:iCs/>
              </w:rPr>
              <w:t xml:space="preserve">ddressed. </w:t>
            </w:r>
            <w:r w:rsidR="0015646A" w:rsidRPr="008154B1">
              <w:rPr>
                <w:iCs/>
              </w:rPr>
              <w:t xml:space="preserve">The </w:t>
            </w:r>
            <w:r w:rsidR="009A0FB5" w:rsidRPr="008154B1">
              <w:rPr>
                <w:iCs/>
              </w:rPr>
              <w:t xml:space="preserve">requested </w:t>
            </w:r>
            <w:r w:rsidR="0015646A" w:rsidRPr="008154B1">
              <w:rPr>
                <w:iCs/>
              </w:rPr>
              <w:t>population (</w:t>
            </w:r>
            <w:r w:rsidR="009A0FB5" w:rsidRPr="008154B1">
              <w:rPr>
                <w:iCs/>
              </w:rPr>
              <w:t>≥</w:t>
            </w:r>
            <w:r w:rsidR="0015646A" w:rsidRPr="008154B1">
              <w:rPr>
                <w:iCs/>
              </w:rPr>
              <w:t xml:space="preserve"> 12 attacks within 6 months) is now broader </w:t>
            </w:r>
            <w:r w:rsidR="00E861C5" w:rsidRPr="008154B1">
              <w:rPr>
                <w:iCs/>
              </w:rPr>
              <w:t>than th</w:t>
            </w:r>
            <w:r w:rsidR="009A0FB5" w:rsidRPr="008154B1">
              <w:rPr>
                <w:iCs/>
              </w:rPr>
              <w:t xml:space="preserve">e NBA criteria for accessing </w:t>
            </w:r>
            <w:r w:rsidR="002C646A" w:rsidRPr="008154B1">
              <w:rPr>
                <w:iCs/>
              </w:rPr>
              <w:t>C1-INH</w:t>
            </w:r>
            <w:r w:rsidR="009A0FB5" w:rsidRPr="008154B1">
              <w:rPr>
                <w:iCs/>
              </w:rPr>
              <w:t xml:space="preserve"> (≥ 8 </w:t>
            </w:r>
            <w:r w:rsidR="009A0FB5" w:rsidRPr="008154B1">
              <w:t>attacks per month)</w:t>
            </w:r>
            <w:r w:rsidR="002C646A" w:rsidRPr="008154B1">
              <w:rPr>
                <w:iCs/>
              </w:rPr>
              <w:t xml:space="preserve"> the comparator nominated in the previous submission</w:t>
            </w:r>
            <w:r w:rsidR="00F0006D" w:rsidRPr="008154B1">
              <w:rPr>
                <w:iCs/>
              </w:rPr>
              <w:t>.</w:t>
            </w:r>
            <w:r w:rsidR="0015646A" w:rsidRPr="008154B1">
              <w:t xml:space="preserve"> The HELP </w:t>
            </w:r>
            <w:r w:rsidRPr="008154B1">
              <w:t xml:space="preserve">trial which included patients with </w:t>
            </w:r>
            <w:r w:rsidR="0015646A" w:rsidRPr="008154B1">
              <w:t xml:space="preserve">≥ 1 attack per </w:t>
            </w:r>
            <w:r w:rsidRPr="008154B1">
              <w:t xml:space="preserve">month is now more applicable in this regard. However, </w:t>
            </w:r>
            <w:r w:rsidR="00202289" w:rsidRPr="008154B1">
              <w:t xml:space="preserve">patients in </w:t>
            </w:r>
            <w:r w:rsidRPr="008154B1">
              <w:t xml:space="preserve">HELP were not </w:t>
            </w:r>
            <w:r w:rsidR="00202289" w:rsidRPr="008154B1">
              <w:t>permitted to use</w:t>
            </w:r>
            <w:r w:rsidRPr="008154B1">
              <w:t xml:space="preserve"> routine prophylaxis during the randomised phase</w:t>
            </w:r>
            <w:r w:rsidR="00202289" w:rsidRPr="008154B1">
              <w:t>.</w:t>
            </w:r>
            <w:r w:rsidRPr="008154B1">
              <w:t xml:space="preserve"> </w:t>
            </w:r>
          </w:p>
        </w:tc>
      </w:tr>
      <w:tr w:rsidR="005C25FF" w:rsidRPr="008154B1" w:rsidTr="00577F53">
        <w:trPr>
          <w:cantSplit/>
        </w:trPr>
        <w:tc>
          <w:tcPr>
            <w:tcW w:w="705" w:type="pct"/>
            <w:vAlign w:val="center"/>
          </w:tcPr>
          <w:p w:rsidR="005C25FF" w:rsidRPr="008154B1" w:rsidRDefault="00303A55" w:rsidP="00912164">
            <w:pPr>
              <w:pStyle w:val="TableText0"/>
              <w:keepNext w:val="0"/>
            </w:pPr>
            <w:r w:rsidRPr="008154B1">
              <w:t>Economic evaluation</w:t>
            </w:r>
          </w:p>
        </w:tc>
        <w:tc>
          <w:tcPr>
            <w:tcW w:w="2122" w:type="pct"/>
          </w:tcPr>
          <w:p w:rsidR="005C25FF" w:rsidRPr="008154B1" w:rsidRDefault="00303A55" w:rsidP="00912164">
            <w:pPr>
              <w:pStyle w:val="TableText0"/>
              <w:keepNext w:val="0"/>
            </w:pPr>
            <w:r w:rsidRPr="008154B1">
              <w:t xml:space="preserve">A cost-minimisation analysis was inappropriate given: the indirect evidence presented did not demonstrate non-inferior effectiveness of lanadelumab versus C1-INH (SC or IV); and the PBAC’s advice that the appropriate clinical role of lanadelumab is broader than the population in whom C1-INH was considered cost-effective by MSAC (Para 7.10, </w:t>
            </w:r>
            <w:r w:rsidR="00515D13" w:rsidRPr="008154B1">
              <w:t>July 2019 PSD).</w:t>
            </w:r>
          </w:p>
        </w:tc>
        <w:tc>
          <w:tcPr>
            <w:tcW w:w="2173" w:type="pct"/>
          </w:tcPr>
          <w:p w:rsidR="005C25FF" w:rsidRPr="008154B1" w:rsidRDefault="00303A55" w:rsidP="00912164">
            <w:pPr>
              <w:pStyle w:val="TableText0"/>
              <w:keepNext w:val="0"/>
              <w:rPr>
                <w:iCs/>
              </w:rPr>
            </w:pPr>
            <w:r w:rsidRPr="008154B1">
              <w:rPr>
                <w:iCs/>
              </w:rPr>
              <w:t>Addressed.</w:t>
            </w:r>
          </w:p>
          <w:p w:rsidR="00303A55" w:rsidRPr="008154B1" w:rsidRDefault="00303A55" w:rsidP="00912164">
            <w:pPr>
              <w:pStyle w:val="TableText0"/>
              <w:keepNext w:val="0"/>
              <w:rPr>
                <w:iCs/>
              </w:rPr>
            </w:pPr>
            <w:r w:rsidRPr="008154B1">
              <w:rPr>
                <w:iCs/>
              </w:rPr>
              <w:t>The resubmission presented a cost-effectiveness analysis based on direct evidence comparing lanadelumab with placebo.</w:t>
            </w:r>
          </w:p>
        </w:tc>
      </w:tr>
      <w:tr w:rsidR="00515D13" w:rsidRPr="008154B1" w:rsidTr="00577F53">
        <w:trPr>
          <w:cantSplit/>
        </w:trPr>
        <w:tc>
          <w:tcPr>
            <w:tcW w:w="705" w:type="pct"/>
            <w:vMerge w:val="restart"/>
            <w:vAlign w:val="center"/>
          </w:tcPr>
          <w:p w:rsidR="00515D13" w:rsidRPr="008154B1" w:rsidRDefault="00515D13" w:rsidP="00912164">
            <w:pPr>
              <w:pStyle w:val="TableText0"/>
              <w:keepNext w:val="0"/>
            </w:pPr>
            <w:r w:rsidRPr="008154B1">
              <w:t>Financial estimates</w:t>
            </w:r>
          </w:p>
        </w:tc>
        <w:tc>
          <w:tcPr>
            <w:tcW w:w="2122" w:type="pct"/>
          </w:tcPr>
          <w:p w:rsidR="00515D13" w:rsidRPr="008154B1" w:rsidRDefault="00515D13" w:rsidP="00912164">
            <w:pPr>
              <w:pStyle w:val="TableText0"/>
              <w:keepNext w:val="0"/>
            </w:pPr>
            <w:r w:rsidRPr="008154B1">
              <w:t>The financial estimates would need to be revised to account for use in a broader population (Para 7.12, July 2019 PSD).</w:t>
            </w:r>
          </w:p>
        </w:tc>
        <w:tc>
          <w:tcPr>
            <w:tcW w:w="2173" w:type="pct"/>
          </w:tcPr>
          <w:p w:rsidR="00515D13" w:rsidRPr="008154B1" w:rsidRDefault="00515D13" w:rsidP="00912164">
            <w:pPr>
              <w:pStyle w:val="TableText0"/>
              <w:keepNext w:val="0"/>
              <w:rPr>
                <w:iCs/>
              </w:rPr>
            </w:pPr>
            <w:r w:rsidRPr="008154B1">
              <w:rPr>
                <w:iCs/>
              </w:rPr>
              <w:t>Addressed.</w:t>
            </w:r>
          </w:p>
          <w:p w:rsidR="00515D13" w:rsidRPr="008154B1" w:rsidRDefault="00515D13" w:rsidP="00912164">
            <w:pPr>
              <w:pStyle w:val="TableText0"/>
              <w:keepNext w:val="0"/>
              <w:rPr>
                <w:iCs/>
              </w:rPr>
            </w:pPr>
            <w:r w:rsidRPr="008154B1">
              <w:rPr>
                <w:iCs/>
              </w:rPr>
              <w:t>The financial estimates were revised to reflect the broader patient population.</w:t>
            </w:r>
          </w:p>
        </w:tc>
      </w:tr>
      <w:tr w:rsidR="00515D13" w:rsidRPr="008154B1" w:rsidTr="00577F53">
        <w:trPr>
          <w:cantSplit/>
        </w:trPr>
        <w:tc>
          <w:tcPr>
            <w:tcW w:w="705" w:type="pct"/>
            <w:vMerge/>
            <w:vAlign w:val="center"/>
          </w:tcPr>
          <w:p w:rsidR="00515D13" w:rsidRPr="008154B1" w:rsidRDefault="00515D13" w:rsidP="00912164">
            <w:pPr>
              <w:pStyle w:val="TableText0"/>
              <w:keepNext w:val="0"/>
            </w:pPr>
          </w:p>
        </w:tc>
        <w:tc>
          <w:tcPr>
            <w:tcW w:w="2122" w:type="pct"/>
          </w:tcPr>
          <w:p w:rsidR="00515D13" w:rsidRPr="008154B1" w:rsidRDefault="00515D13" w:rsidP="009101FD">
            <w:pPr>
              <w:pStyle w:val="TableText0"/>
              <w:keepNext w:val="0"/>
            </w:pPr>
            <w:r w:rsidRPr="008154B1">
              <w:t xml:space="preserve">The number of vials per patient was underestimated because it relied on the assumption that </w:t>
            </w:r>
            <w:r w:rsidR="005E18BF">
              <w:rPr>
                <w:noProof/>
                <w:color w:val="000000"/>
                <w:highlight w:val="black"/>
              </w:rPr>
              <w:t>'''''''</w:t>
            </w:r>
            <w:r w:rsidRPr="008154B1">
              <w:t xml:space="preserve">% of patients would only require a steady state dose of lanadelumab 300 mg every 4 weeks (Para 7.13, July 2019 PBAC </w:t>
            </w:r>
            <w:r w:rsidR="009101FD">
              <w:t>PSD</w:t>
            </w:r>
            <w:r w:rsidRPr="008154B1">
              <w:t>).</w:t>
            </w:r>
          </w:p>
        </w:tc>
        <w:tc>
          <w:tcPr>
            <w:tcW w:w="2173" w:type="pct"/>
          </w:tcPr>
          <w:p w:rsidR="00515D13" w:rsidRPr="008154B1" w:rsidRDefault="00515D13" w:rsidP="00912164">
            <w:pPr>
              <w:pStyle w:val="TableText0"/>
              <w:keepNext w:val="0"/>
              <w:rPr>
                <w:iCs/>
              </w:rPr>
            </w:pPr>
            <w:r w:rsidRPr="008154B1">
              <w:rPr>
                <w:iCs/>
              </w:rPr>
              <w:t>Not addressed.</w:t>
            </w:r>
          </w:p>
          <w:p w:rsidR="00515D13" w:rsidRPr="008154B1" w:rsidRDefault="00515D13" w:rsidP="00912164">
            <w:pPr>
              <w:pStyle w:val="TableText0"/>
              <w:keepNext w:val="0"/>
              <w:rPr>
                <w:iCs/>
              </w:rPr>
            </w:pPr>
            <w:r w:rsidRPr="008154B1">
              <w:rPr>
                <w:iCs/>
              </w:rPr>
              <w:t xml:space="preserve">Both the economic analysis and the financial estimates assumed that </w:t>
            </w:r>
            <w:r w:rsidR="005E18BF">
              <w:rPr>
                <w:iCs/>
                <w:noProof/>
                <w:color w:val="000000"/>
                <w:highlight w:val="black"/>
              </w:rPr>
              <w:t>''''''</w:t>
            </w:r>
            <w:r w:rsidRPr="008154B1">
              <w:rPr>
                <w:iCs/>
              </w:rPr>
              <w:t>% of patients would only require lanadelumab 300 mg every 4 weeks.</w:t>
            </w:r>
          </w:p>
        </w:tc>
      </w:tr>
      <w:tr w:rsidR="00515D13" w:rsidRPr="008154B1" w:rsidTr="00577F53">
        <w:trPr>
          <w:cantSplit/>
        </w:trPr>
        <w:tc>
          <w:tcPr>
            <w:tcW w:w="705" w:type="pct"/>
            <w:vMerge/>
            <w:vAlign w:val="center"/>
          </w:tcPr>
          <w:p w:rsidR="00515D13" w:rsidRPr="008154B1" w:rsidRDefault="00515D13" w:rsidP="00912164">
            <w:pPr>
              <w:pStyle w:val="TableText0"/>
              <w:keepNext w:val="0"/>
            </w:pPr>
          </w:p>
        </w:tc>
        <w:tc>
          <w:tcPr>
            <w:tcW w:w="2122" w:type="pct"/>
          </w:tcPr>
          <w:p w:rsidR="00515D13" w:rsidRPr="008154B1" w:rsidRDefault="00515D13" w:rsidP="00912164">
            <w:pPr>
              <w:pStyle w:val="TableText0"/>
              <w:keepNext w:val="0"/>
            </w:pPr>
            <w:r w:rsidRPr="008154B1">
              <w:t>The number of eligible patients who access IV C1-INH for routine prophylaxis was uncertain given the lack of data about utilisation by indication and the potential for leakage in patients who experienced fewer than eight attacks per month (Para 7.11, July 2019 PSD).</w:t>
            </w:r>
          </w:p>
        </w:tc>
        <w:tc>
          <w:tcPr>
            <w:tcW w:w="2173" w:type="pct"/>
          </w:tcPr>
          <w:p w:rsidR="00515D13" w:rsidRPr="008154B1" w:rsidRDefault="00515D13" w:rsidP="00912164">
            <w:pPr>
              <w:pStyle w:val="TableText0"/>
              <w:keepNext w:val="0"/>
              <w:rPr>
                <w:iCs/>
              </w:rPr>
            </w:pPr>
            <w:r w:rsidRPr="008154B1">
              <w:rPr>
                <w:iCs/>
              </w:rPr>
              <w:t>Not addressed.</w:t>
            </w:r>
          </w:p>
          <w:p w:rsidR="00515D13" w:rsidRPr="008154B1" w:rsidRDefault="00515D13" w:rsidP="00912164">
            <w:pPr>
              <w:pStyle w:val="TableText0"/>
              <w:keepNext w:val="0"/>
              <w:rPr>
                <w:iCs/>
              </w:rPr>
            </w:pPr>
            <w:r w:rsidRPr="008154B1">
              <w:rPr>
                <w:iCs/>
              </w:rPr>
              <w:t>The resubmission still relied on this data to estimate a proportion of the eligible patient population.</w:t>
            </w:r>
          </w:p>
        </w:tc>
      </w:tr>
    </w:tbl>
    <w:p w:rsidR="00EA300E" w:rsidRPr="008154B1" w:rsidRDefault="005C25FF" w:rsidP="00912164">
      <w:pPr>
        <w:pStyle w:val="TableFigureFooter"/>
      </w:pPr>
      <w:r w:rsidRPr="008154B1">
        <w:t xml:space="preserve">Source: </w:t>
      </w:r>
      <w:r w:rsidR="00EA300E" w:rsidRPr="008154B1">
        <w:t xml:space="preserve">Sections 1-4 of the resubmission; </w:t>
      </w:r>
      <w:r w:rsidR="00515D13" w:rsidRPr="008154B1">
        <w:t xml:space="preserve">Lanadelumab PSD, July 2019 </w:t>
      </w:r>
      <w:r w:rsidR="00155411" w:rsidRPr="008154B1">
        <w:t>PBAC mee</w:t>
      </w:r>
      <w:r w:rsidR="00515D13" w:rsidRPr="008154B1">
        <w:t xml:space="preserve">ting; </w:t>
      </w:r>
      <w:r w:rsidR="00EA300E" w:rsidRPr="008154B1">
        <w:t>Lanadelumab</w:t>
      </w:r>
      <w:r w:rsidR="00E71C99">
        <w:t xml:space="preserve"> PSD</w:t>
      </w:r>
      <w:r w:rsidR="00EA300E" w:rsidRPr="008154B1">
        <w:t xml:space="preserve"> July 2019 </w:t>
      </w:r>
      <w:r w:rsidR="00155411" w:rsidRPr="008154B1">
        <w:t>PBAC mee</w:t>
      </w:r>
      <w:r w:rsidR="00EA300E" w:rsidRPr="008154B1">
        <w:t xml:space="preserve">ting. </w:t>
      </w:r>
    </w:p>
    <w:p w:rsidR="00286BD0" w:rsidRPr="008154B1" w:rsidRDefault="00286BD0" w:rsidP="0033193C">
      <w:pPr>
        <w:pStyle w:val="TableFigureFooter"/>
        <w:contextualSpacing w:val="0"/>
      </w:pPr>
      <w:r w:rsidRPr="008154B1">
        <w:t xml:space="preserve">C1-INH = C1 esterase inhibitor; HAE = hereditary angioedema; IV = intravenous; ODT = </w:t>
      </w:r>
      <w:r w:rsidR="009A338E" w:rsidRPr="008154B1">
        <w:t>on-demand</w:t>
      </w:r>
      <w:r w:rsidRPr="008154B1">
        <w:t xml:space="preserve"> treatment; PSD = Public Summary Document; SC = subcutaneous; SOC = standard of care.</w:t>
      </w:r>
    </w:p>
    <w:p w:rsidR="0033193C" w:rsidRPr="00577F53" w:rsidRDefault="0033193C" w:rsidP="00577F53">
      <w:pPr>
        <w:pStyle w:val="3Bodytext"/>
        <w:ind w:firstLine="0"/>
        <w:rPr>
          <w:i/>
        </w:rPr>
      </w:pPr>
      <w:r w:rsidRPr="008154B1">
        <w:rPr>
          <w:i/>
        </w:rPr>
        <w:t>For more detail on PBAC’s view, see section 7 PBAC outcomes.</w:t>
      </w:r>
    </w:p>
    <w:p w:rsidR="008C613A" w:rsidRPr="008154B1" w:rsidRDefault="008C613A" w:rsidP="00912164">
      <w:pPr>
        <w:pStyle w:val="2-SectionHeading"/>
        <w:keepLines/>
        <w:numPr>
          <w:ilvl w:val="0"/>
          <w:numId w:val="1"/>
        </w:numPr>
      </w:pPr>
      <w:bookmarkStart w:id="7" w:name="_Toc40185424"/>
      <w:r w:rsidRPr="008154B1">
        <w:lastRenderedPageBreak/>
        <w:t>Requested listing</w:t>
      </w:r>
      <w:bookmarkEnd w:id="7"/>
    </w:p>
    <w:p w:rsidR="00862DB1" w:rsidRPr="008154B1" w:rsidRDefault="00121E83" w:rsidP="00912164">
      <w:pPr>
        <w:pStyle w:val="3-BodyText"/>
      </w:pPr>
      <w:r w:rsidRPr="008154B1">
        <w:t>The listing requested in the submission is presented below, along with changes suggested by the Secretariat (s</w:t>
      </w:r>
      <w:r w:rsidRPr="008154B1">
        <w:rPr>
          <w:rFonts w:eastAsia="Calibri" w:cs="Calibri"/>
          <w:lang w:eastAsia="en-US"/>
        </w:rPr>
        <w:t xml:space="preserve">uggested additions are in italics and deletions are in strikethrough).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465"/>
        <w:gridCol w:w="1406"/>
        <w:gridCol w:w="1044"/>
        <w:gridCol w:w="1852"/>
        <w:gridCol w:w="2260"/>
      </w:tblGrid>
      <w:tr w:rsidR="008C613A" w:rsidRPr="008154B1" w:rsidTr="00577F53">
        <w:tc>
          <w:tcPr>
            <w:tcW w:w="1365" w:type="pct"/>
          </w:tcPr>
          <w:p w:rsidR="008C613A" w:rsidRPr="008154B1" w:rsidRDefault="008C613A" w:rsidP="00912164">
            <w:pPr>
              <w:pStyle w:val="Tabletext"/>
              <w:keepNext/>
              <w:keepLines/>
              <w:rPr>
                <w:b/>
                <w:bCs/>
              </w:rPr>
            </w:pPr>
            <w:r w:rsidRPr="008154B1">
              <w:rPr>
                <w:b/>
              </w:rPr>
              <w:t>Name, restriction, manner of administration, form</w:t>
            </w:r>
          </w:p>
        </w:tc>
        <w:tc>
          <w:tcPr>
            <w:tcW w:w="779" w:type="pct"/>
          </w:tcPr>
          <w:p w:rsidR="008C613A" w:rsidRPr="008154B1" w:rsidRDefault="008C613A" w:rsidP="00912164">
            <w:pPr>
              <w:pStyle w:val="Tabletext"/>
              <w:keepNext/>
              <w:keepLines/>
              <w:jc w:val="center"/>
              <w:rPr>
                <w:b/>
              </w:rPr>
            </w:pPr>
            <w:r w:rsidRPr="008154B1">
              <w:rPr>
                <w:b/>
              </w:rPr>
              <w:t>Maximum quantity</w:t>
            </w:r>
          </w:p>
          <w:p w:rsidR="008C613A" w:rsidRPr="008154B1" w:rsidRDefault="008C613A" w:rsidP="00226D7A">
            <w:pPr>
              <w:pStyle w:val="Tabletext"/>
              <w:keepNext/>
              <w:keepLines/>
              <w:jc w:val="center"/>
              <w:rPr>
                <w:b/>
                <w:bCs/>
              </w:rPr>
            </w:pPr>
            <w:r w:rsidRPr="008154B1">
              <w:rPr>
                <w:b/>
              </w:rPr>
              <w:t>(</w:t>
            </w:r>
            <w:r w:rsidR="00226D7A" w:rsidRPr="008154B1">
              <w:rPr>
                <w:b/>
              </w:rPr>
              <w:t xml:space="preserve"> units</w:t>
            </w:r>
            <w:r w:rsidRPr="008154B1">
              <w:rPr>
                <w:b/>
              </w:rPr>
              <w:t>)</w:t>
            </w:r>
          </w:p>
        </w:tc>
        <w:tc>
          <w:tcPr>
            <w:tcW w:w="578" w:type="pct"/>
          </w:tcPr>
          <w:p w:rsidR="008C613A" w:rsidRPr="008154B1" w:rsidRDefault="008C613A" w:rsidP="00912164">
            <w:pPr>
              <w:pStyle w:val="Tabletext"/>
              <w:keepNext/>
              <w:keepLines/>
              <w:rPr>
                <w:b/>
                <w:bCs/>
              </w:rPr>
            </w:pPr>
            <w:r w:rsidRPr="008154B1">
              <w:rPr>
                <w:b/>
              </w:rPr>
              <w:t>No. of repeats</w:t>
            </w:r>
          </w:p>
        </w:tc>
        <w:tc>
          <w:tcPr>
            <w:tcW w:w="1026" w:type="pct"/>
          </w:tcPr>
          <w:p w:rsidR="008C613A" w:rsidRPr="008154B1" w:rsidRDefault="008C613A" w:rsidP="00912164">
            <w:pPr>
              <w:pStyle w:val="Tabletext"/>
              <w:keepNext/>
              <w:keepLines/>
              <w:rPr>
                <w:b/>
                <w:bCs/>
              </w:rPr>
            </w:pPr>
            <w:r w:rsidRPr="008154B1">
              <w:rPr>
                <w:b/>
              </w:rPr>
              <w:t>Dispensed price for maximum quantity</w:t>
            </w:r>
            <w:r w:rsidRPr="008154B1">
              <w:rPr>
                <w:vertAlign w:val="superscript"/>
              </w:rPr>
              <w:t xml:space="preserve"> a</w:t>
            </w:r>
          </w:p>
        </w:tc>
        <w:tc>
          <w:tcPr>
            <w:tcW w:w="1252" w:type="pct"/>
          </w:tcPr>
          <w:p w:rsidR="008C613A" w:rsidRPr="008154B1" w:rsidRDefault="008C613A" w:rsidP="00912164">
            <w:pPr>
              <w:pStyle w:val="Tabletext"/>
              <w:keepNext/>
              <w:keepLines/>
              <w:rPr>
                <w:b/>
                <w:bCs/>
              </w:rPr>
            </w:pPr>
            <w:r w:rsidRPr="008154B1">
              <w:rPr>
                <w:b/>
              </w:rPr>
              <w:t>Proprietary name and manufacturer</w:t>
            </w:r>
          </w:p>
        </w:tc>
      </w:tr>
      <w:tr w:rsidR="008C613A" w:rsidRPr="008154B1" w:rsidTr="00577F53">
        <w:tc>
          <w:tcPr>
            <w:tcW w:w="1365" w:type="pct"/>
          </w:tcPr>
          <w:p w:rsidR="008C613A" w:rsidRPr="008154B1" w:rsidRDefault="008C613A" w:rsidP="00912164">
            <w:pPr>
              <w:pStyle w:val="Tabletext"/>
              <w:keepNext/>
              <w:keepLines/>
              <w:rPr>
                <w:smallCaps/>
              </w:rPr>
            </w:pPr>
            <w:r w:rsidRPr="008154B1">
              <w:rPr>
                <w:smallCaps/>
              </w:rPr>
              <w:t>lanadelumab</w:t>
            </w:r>
          </w:p>
          <w:p w:rsidR="008C613A" w:rsidRPr="00056EAF" w:rsidRDefault="008C613A" w:rsidP="00912164">
            <w:pPr>
              <w:pStyle w:val="Tabletext"/>
              <w:keepNext/>
              <w:keepLines/>
            </w:pPr>
            <w:r w:rsidRPr="008154B1">
              <w:t xml:space="preserve">300 mg/2 mL </w:t>
            </w:r>
            <w:r w:rsidRPr="008154B1">
              <w:rPr>
                <w:strike/>
              </w:rPr>
              <w:t>solution for subcutaneous</w:t>
            </w:r>
            <w:r w:rsidRPr="008154B1">
              <w:t xml:space="preserve"> </w:t>
            </w:r>
            <w:r w:rsidRPr="00056EAF">
              <w:t xml:space="preserve">injection, </w:t>
            </w:r>
            <w:r w:rsidR="006737E3" w:rsidRPr="00056EAF">
              <w:t xml:space="preserve">2 mL </w:t>
            </w:r>
            <w:r w:rsidRPr="00056EAF">
              <w:t>vial</w:t>
            </w:r>
          </w:p>
          <w:p w:rsidR="003571AA" w:rsidRPr="008154B1" w:rsidRDefault="003571AA" w:rsidP="00912164">
            <w:pPr>
              <w:pStyle w:val="Tabletext"/>
              <w:keepNext/>
              <w:keepLines/>
              <w:rPr>
                <w:b/>
                <w:bCs/>
              </w:rPr>
            </w:pPr>
            <w:r w:rsidRPr="008154B1">
              <w:t xml:space="preserve">300 mg/2 mL solution </w:t>
            </w:r>
            <w:r w:rsidRPr="008154B1">
              <w:rPr>
                <w:strike/>
              </w:rPr>
              <w:t>for subcutaneous injection</w:t>
            </w:r>
            <w:r w:rsidRPr="008154B1">
              <w:t>, pre-filled syringe</w:t>
            </w:r>
          </w:p>
        </w:tc>
        <w:tc>
          <w:tcPr>
            <w:tcW w:w="779" w:type="pct"/>
          </w:tcPr>
          <w:p w:rsidR="008C613A" w:rsidRPr="008154B1" w:rsidRDefault="008C613A" w:rsidP="00912164">
            <w:pPr>
              <w:pStyle w:val="Tabletext"/>
              <w:keepNext/>
              <w:keepLines/>
              <w:jc w:val="center"/>
              <w:rPr>
                <w:rFonts w:ascii="Times" w:hAnsi="Times"/>
                <w:vertAlign w:val="superscript"/>
              </w:rPr>
            </w:pPr>
            <w:r w:rsidRPr="008154B1">
              <w:t>2</w:t>
            </w:r>
          </w:p>
        </w:tc>
        <w:tc>
          <w:tcPr>
            <w:tcW w:w="578" w:type="pct"/>
          </w:tcPr>
          <w:p w:rsidR="008C613A" w:rsidRPr="008154B1" w:rsidRDefault="008C613A" w:rsidP="00912164">
            <w:pPr>
              <w:pStyle w:val="Tabletext"/>
              <w:keepNext/>
              <w:keepLines/>
              <w:jc w:val="center"/>
              <w:rPr>
                <w:rFonts w:ascii="Times" w:hAnsi="Times"/>
              </w:rPr>
            </w:pPr>
            <w:r w:rsidRPr="008154B1">
              <w:t>5</w:t>
            </w:r>
          </w:p>
        </w:tc>
        <w:tc>
          <w:tcPr>
            <w:tcW w:w="1026" w:type="pct"/>
          </w:tcPr>
          <w:p w:rsidR="008C613A" w:rsidRPr="005E18BF" w:rsidRDefault="008C613A" w:rsidP="00912164">
            <w:pPr>
              <w:pStyle w:val="Tabletext"/>
              <w:keepNext/>
              <w:keepLines/>
            </w:pPr>
            <w:r w:rsidRPr="008154B1">
              <w:t>Publi</w:t>
            </w:r>
            <w:r w:rsidR="007F719E" w:rsidRPr="008154B1">
              <w:t>shed:</w:t>
            </w:r>
            <w:r w:rsidRPr="008154B1">
              <w:t xml:space="preserve"> $</w:t>
            </w:r>
            <w:r w:rsidR="005E18BF">
              <w:rPr>
                <w:noProof/>
                <w:color w:val="000000"/>
                <w:highlight w:val="black"/>
              </w:rPr>
              <w:t>'''''''''''''''''''''''''</w:t>
            </w:r>
          </w:p>
          <w:p w:rsidR="008C613A" w:rsidRPr="008154B1" w:rsidRDefault="008C613A" w:rsidP="00912164">
            <w:pPr>
              <w:pStyle w:val="Tabletext"/>
              <w:keepNext/>
              <w:keepLines/>
            </w:pPr>
            <w:r w:rsidRPr="008154B1">
              <w:t>Effective $</w:t>
            </w:r>
            <w:r w:rsidR="005E18BF">
              <w:rPr>
                <w:noProof/>
                <w:color w:val="000000"/>
                <w:highlight w:val="black"/>
              </w:rPr>
              <w:t>''''''''''''''''''''''''</w:t>
            </w:r>
          </w:p>
        </w:tc>
        <w:tc>
          <w:tcPr>
            <w:tcW w:w="1252" w:type="pct"/>
          </w:tcPr>
          <w:p w:rsidR="008C613A" w:rsidRPr="008154B1" w:rsidRDefault="008C613A" w:rsidP="00912164">
            <w:pPr>
              <w:pStyle w:val="Tabletext"/>
              <w:keepNext/>
              <w:keepLines/>
            </w:pPr>
            <w:r w:rsidRPr="008154B1">
              <w:t>Takhzyro</w:t>
            </w:r>
            <w:r w:rsidRPr="008154B1">
              <w:rPr>
                <w:vertAlign w:val="superscript"/>
              </w:rPr>
              <w:t>®</w:t>
            </w:r>
          </w:p>
          <w:p w:rsidR="00922250" w:rsidRPr="008154B1" w:rsidRDefault="008C613A" w:rsidP="00922250">
            <w:pPr>
              <w:pStyle w:val="TableFooter"/>
              <w:keepNext/>
              <w:keepLines/>
            </w:pPr>
            <w:r w:rsidRPr="008154B1">
              <w:t>Shire Australia Pty Ltd</w:t>
            </w:r>
            <w:r w:rsidR="00922250" w:rsidRPr="008154B1">
              <w:t xml:space="preserve"> / </w:t>
            </w:r>
          </w:p>
          <w:p w:rsidR="00922250" w:rsidRPr="008154B1" w:rsidRDefault="00922250" w:rsidP="00922250">
            <w:pPr>
              <w:pStyle w:val="TableFooter"/>
              <w:keepNext/>
              <w:keepLines/>
              <w:jc w:val="left"/>
            </w:pPr>
            <w:r w:rsidRPr="008154B1">
              <w:t>Takeda Pharmaceuticals Australia Pty Ltd</w:t>
            </w:r>
          </w:p>
          <w:p w:rsidR="008C613A" w:rsidRPr="008154B1" w:rsidRDefault="008C613A" w:rsidP="00912164">
            <w:pPr>
              <w:pStyle w:val="Tabletext"/>
              <w:keepNext/>
              <w:keepLines/>
              <w:rPr>
                <w:rFonts w:ascii="Times" w:hAnsi="Times"/>
                <w:vertAlign w:val="superscript"/>
              </w:rPr>
            </w:pPr>
          </w:p>
        </w:tc>
      </w:tr>
    </w:tbl>
    <w:p w:rsidR="008C613A" w:rsidRPr="008154B1" w:rsidRDefault="008C613A" w:rsidP="00922250">
      <w:pPr>
        <w:pStyle w:val="TableFooter"/>
        <w:keepNext/>
        <w:keepLines/>
        <w:ind w:left="142" w:hanging="142"/>
      </w:pPr>
      <w:r w:rsidRPr="008154B1">
        <w:rPr>
          <w:vertAlign w:val="superscript"/>
        </w:rPr>
        <w:t>a</w:t>
      </w:r>
      <w:r w:rsidRPr="008154B1">
        <w:t xml:space="preserve"> </w:t>
      </w:r>
      <w:r w:rsidR="001843F2" w:rsidRPr="008154B1">
        <w:t>Publi</w:t>
      </w:r>
      <w:r w:rsidR="007F719E" w:rsidRPr="008154B1">
        <w:t>shed</w:t>
      </w:r>
      <w:r w:rsidR="001843F2" w:rsidRPr="008154B1">
        <w:t xml:space="preserve"> AEMP: $</w:t>
      </w:r>
      <w:r w:rsidR="005E18BF">
        <w:rPr>
          <w:noProof/>
          <w:color w:val="000000"/>
          <w:highlight w:val="black"/>
        </w:rPr>
        <w:t>''''''''''''''''''''''</w:t>
      </w:r>
      <w:r w:rsidR="001843F2" w:rsidRPr="008154B1">
        <w:t xml:space="preserve"> for 1 x 300 mg vial; Effective AEMP (SPA): $</w:t>
      </w:r>
      <w:r w:rsidR="005E18BF">
        <w:rPr>
          <w:noProof/>
          <w:color w:val="000000"/>
          <w:highlight w:val="black"/>
        </w:rPr>
        <w:t>'''''''''''''''''''''''''</w:t>
      </w:r>
      <w:r w:rsidR="001843F2" w:rsidRPr="008154B1">
        <w:t xml:space="preserve"> for 1 x 300 mg vial. Proposed SPA is equivalent </w:t>
      </w:r>
      <w:r w:rsidR="007F719E" w:rsidRPr="008154B1">
        <w:t xml:space="preserve">to a </w:t>
      </w:r>
      <w:r w:rsidR="005E18BF">
        <w:rPr>
          <w:noProof/>
          <w:color w:val="000000"/>
          <w:highlight w:val="black"/>
        </w:rPr>
        <w:t>'''''''''''</w:t>
      </w:r>
      <w:r w:rsidR="001843F2" w:rsidRPr="008154B1">
        <w:t>% discount to the publi</w:t>
      </w:r>
      <w:r w:rsidR="007F719E" w:rsidRPr="008154B1">
        <w:t>shed</w:t>
      </w:r>
      <w:r w:rsidR="001843F2" w:rsidRPr="008154B1">
        <w:t xml:space="preserve"> AEMP.</w:t>
      </w:r>
      <w:r w:rsidR="00922250" w:rsidRPr="008154B1">
        <w:t xml:space="preserve"> </w:t>
      </w:r>
    </w:p>
    <w:p w:rsidR="006737E3" w:rsidRPr="008154B1" w:rsidRDefault="006737E3" w:rsidP="006737E3">
      <w:pPr>
        <w:spacing w:before="240" w:after="120"/>
        <w:jc w:val="left"/>
        <w:rPr>
          <w:rFonts w:eastAsia="Calibri" w:cs="Calibri"/>
          <w:u w:val="single"/>
          <w:lang w:eastAsia="en-US"/>
        </w:rPr>
      </w:pPr>
      <w:r w:rsidRPr="008154B1">
        <w:rPr>
          <w:rFonts w:eastAsia="Calibri" w:cs="Calibri"/>
          <w:u w:val="single"/>
          <w:lang w:eastAsia="en-US"/>
        </w:rPr>
        <w:t>Initial 1 treatment Restriction Summary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6737E3" w:rsidRPr="008154B1" w:rsidTr="006737E3">
        <w:tc>
          <w:tcPr>
            <w:tcW w:w="5000" w:type="pct"/>
            <w:tcBorders>
              <w:top w:val="single" w:sz="4" w:space="0" w:color="auto"/>
              <w:left w:val="single" w:sz="4" w:space="0" w:color="auto"/>
              <w:bottom w:val="single" w:sz="4" w:space="0" w:color="auto"/>
              <w:right w:val="single" w:sz="4" w:space="0" w:color="auto"/>
            </w:tcBorders>
          </w:tcPr>
          <w:p w:rsidR="006737E3" w:rsidRPr="008154B1" w:rsidRDefault="006737E3" w:rsidP="006A1E9D">
            <w:pPr>
              <w:rPr>
                <w:rFonts w:ascii="Arial Narrow" w:eastAsia="Calibri" w:hAnsi="Arial Narrow"/>
                <w:sz w:val="18"/>
                <w:szCs w:val="18"/>
                <w:lang w:eastAsia="en-US"/>
              </w:rPr>
            </w:pPr>
            <w:r w:rsidRPr="008154B1">
              <w:rPr>
                <w:rFonts w:ascii="Arial Narrow" w:eastAsia="Calibri" w:hAnsi="Arial Narrow"/>
                <w:b/>
                <w:sz w:val="18"/>
                <w:szCs w:val="18"/>
                <w:lang w:eastAsia="en-US"/>
              </w:rPr>
              <w:t xml:space="preserve">Category / Program:   </w:t>
            </w:r>
            <w:r w:rsidRPr="008154B1">
              <w:rPr>
                <w:rFonts w:ascii="Arial Narrow" w:eastAsia="Calibri" w:hAnsi="Arial Narrow"/>
                <w:sz w:val="18"/>
                <w:szCs w:val="18"/>
                <w:lang w:eastAsia="en-US"/>
              </w:rPr>
              <w:t xml:space="preserve">GENERAL – General Schedule (Code GE) </w:t>
            </w:r>
          </w:p>
        </w:tc>
      </w:tr>
      <w:tr w:rsidR="006737E3" w:rsidRPr="008154B1" w:rsidTr="006737E3">
        <w:trPr>
          <w:trHeight w:val="20"/>
        </w:trPr>
        <w:tc>
          <w:tcPr>
            <w:tcW w:w="5000" w:type="pct"/>
            <w:tcBorders>
              <w:top w:val="single" w:sz="4" w:space="0" w:color="auto"/>
              <w:left w:val="single" w:sz="4" w:space="0" w:color="auto"/>
              <w:bottom w:val="single" w:sz="4" w:space="0" w:color="auto"/>
              <w:right w:val="single" w:sz="4" w:space="0" w:color="auto"/>
            </w:tcBorders>
          </w:tcPr>
          <w:p w:rsidR="006737E3" w:rsidRPr="008154B1" w:rsidRDefault="006737E3" w:rsidP="00742422">
            <w:pPr>
              <w:rPr>
                <w:rFonts w:ascii="Arial Narrow" w:eastAsia="Calibri" w:hAnsi="Arial Narrow"/>
                <w:sz w:val="18"/>
                <w:szCs w:val="18"/>
                <w:lang w:eastAsia="en-US"/>
              </w:rPr>
            </w:pPr>
            <w:r w:rsidRPr="008154B1">
              <w:rPr>
                <w:rFonts w:ascii="Arial Narrow" w:eastAsia="Calibri" w:hAnsi="Arial Narrow"/>
                <w:b/>
                <w:sz w:val="18"/>
                <w:szCs w:val="18"/>
                <w:lang w:eastAsia="en-US"/>
              </w:rPr>
              <w:t xml:space="preserve">Prescriber type:  </w:t>
            </w:r>
            <w:r w:rsidRPr="008154B1">
              <w:rPr>
                <w:rFonts w:ascii="Arial Narrow" w:eastAsia="Calibri" w:hAnsi="Arial Narrow"/>
                <w:sz w:val="18"/>
                <w:szCs w:val="18"/>
                <w:lang w:eastAsia="en-US"/>
              </w:rPr>
              <w:fldChar w:fldCharType="begin">
                <w:ffData>
                  <w:name w:val=""/>
                  <w:enabled/>
                  <w:calcOnExit w:val="0"/>
                  <w:checkBox>
                    <w:sizeAuto/>
                    <w:default w:val="1"/>
                  </w:checkBox>
                </w:ffData>
              </w:fldChar>
            </w:r>
            <w:r w:rsidRPr="008154B1">
              <w:rPr>
                <w:rFonts w:ascii="Arial Narrow" w:eastAsia="Calibri" w:hAnsi="Arial Narrow"/>
                <w:sz w:val="18"/>
                <w:szCs w:val="18"/>
                <w:lang w:eastAsia="en-US"/>
              </w:rPr>
              <w:instrText xml:space="preserve"> FORMCHECKBOX </w:instrText>
            </w:r>
            <w:r w:rsidR="00CD20FA">
              <w:rPr>
                <w:rFonts w:ascii="Arial Narrow" w:eastAsia="Calibri" w:hAnsi="Arial Narrow"/>
                <w:sz w:val="18"/>
                <w:szCs w:val="18"/>
                <w:lang w:eastAsia="en-US"/>
              </w:rPr>
            </w:r>
            <w:r w:rsidR="00CD20FA">
              <w:rPr>
                <w:rFonts w:ascii="Arial Narrow" w:eastAsia="Calibri" w:hAnsi="Arial Narrow"/>
                <w:sz w:val="18"/>
                <w:szCs w:val="18"/>
                <w:lang w:eastAsia="en-US"/>
              </w:rPr>
              <w:fldChar w:fldCharType="separate"/>
            </w:r>
            <w:r w:rsidRPr="008154B1">
              <w:rPr>
                <w:rFonts w:ascii="Arial Narrow" w:eastAsia="Calibri" w:hAnsi="Arial Narrow"/>
                <w:sz w:val="18"/>
                <w:szCs w:val="18"/>
                <w:lang w:eastAsia="en-US"/>
              </w:rPr>
              <w:fldChar w:fldCharType="end"/>
            </w:r>
            <w:r w:rsidRPr="008154B1">
              <w:rPr>
                <w:rFonts w:ascii="Arial Narrow" w:eastAsia="Calibri" w:hAnsi="Arial Narrow"/>
                <w:sz w:val="18"/>
                <w:szCs w:val="18"/>
                <w:lang w:eastAsia="en-US"/>
              </w:rPr>
              <w:t xml:space="preserve">Medical Practitioners  </w:t>
            </w:r>
          </w:p>
        </w:tc>
      </w:tr>
      <w:tr w:rsidR="006737E3" w:rsidRPr="008154B1" w:rsidTr="006737E3">
        <w:tc>
          <w:tcPr>
            <w:tcW w:w="5000" w:type="pct"/>
            <w:tcBorders>
              <w:top w:val="single" w:sz="4" w:space="0" w:color="auto"/>
              <w:left w:val="single" w:sz="4" w:space="0" w:color="auto"/>
              <w:bottom w:val="single" w:sz="4" w:space="0" w:color="auto"/>
              <w:right w:val="single" w:sz="4" w:space="0" w:color="auto"/>
            </w:tcBorders>
          </w:tcPr>
          <w:p w:rsidR="006737E3" w:rsidRPr="008154B1" w:rsidRDefault="006737E3" w:rsidP="006A1E9D">
            <w:pPr>
              <w:rPr>
                <w:rFonts w:ascii="Arial Narrow" w:eastAsia="Calibri" w:hAnsi="Arial Narrow"/>
                <w:b/>
                <w:sz w:val="18"/>
                <w:szCs w:val="18"/>
                <w:lang w:eastAsia="en-US"/>
              </w:rPr>
            </w:pPr>
            <w:r w:rsidRPr="008154B1">
              <w:rPr>
                <w:rFonts w:ascii="Arial Narrow" w:eastAsia="Calibri" w:hAnsi="Arial Narrow"/>
                <w:b/>
                <w:sz w:val="18"/>
                <w:szCs w:val="18"/>
                <w:lang w:eastAsia="en-US"/>
              </w:rPr>
              <w:t xml:space="preserve">Restriction </w:t>
            </w:r>
            <w:r w:rsidR="00742422" w:rsidRPr="008154B1">
              <w:rPr>
                <w:rFonts w:ascii="Arial Narrow" w:eastAsia="Calibri" w:hAnsi="Arial Narrow"/>
                <w:b/>
                <w:sz w:val="18"/>
                <w:szCs w:val="18"/>
                <w:lang w:eastAsia="en-US"/>
              </w:rPr>
              <w:t>type</w:t>
            </w:r>
            <w:r w:rsidRPr="008154B1">
              <w:rPr>
                <w:rFonts w:ascii="Arial Narrow" w:eastAsia="Calibri" w:hAnsi="Arial Narrow"/>
                <w:b/>
                <w:sz w:val="18"/>
                <w:szCs w:val="18"/>
                <w:lang w:eastAsia="en-US"/>
              </w:rPr>
              <w:t>l / Method:</w:t>
            </w:r>
          </w:p>
          <w:p w:rsidR="006737E3" w:rsidRPr="008154B1" w:rsidRDefault="006737E3" w:rsidP="006A1E9D">
            <w:pPr>
              <w:rPr>
                <w:rFonts w:ascii="Arial Narrow" w:eastAsia="Calibri" w:hAnsi="Arial Narrow"/>
                <w:strike/>
                <w:sz w:val="18"/>
                <w:szCs w:val="18"/>
                <w:lang w:eastAsia="en-US"/>
              </w:rPr>
            </w:pPr>
            <w:r w:rsidRPr="008154B1">
              <w:rPr>
                <w:rFonts w:ascii="Arial Narrow" w:eastAsia="Calibri" w:hAnsi="Arial Narrow"/>
                <w:strike/>
                <w:sz w:val="18"/>
                <w:szCs w:val="18"/>
                <w:lang w:eastAsia="en-US"/>
              </w:rPr>
              <w:fldChar w:fldCharType="begin">
                <w:ffData>
                  <w:name w:val=""/>
                  <w:enabled/>
                  <w:calcOnExit w:val="0"/>
                  <w:checkBox>
                    <w:sizeAuto/>
                    <w:default w:val="1"/>
                  </w:checkBox>
                </w:ffData>
              </w:fldChar>
            </w:r>
            <w:r w:rsidRPr="008154B1">
              <w:rPr>
                <w:rFonts w:ascii="Arial Narrow" w:eastAsia="Calibri" w:hAnsi="Arial Narrow"/>
                <w:strike/>
                <w:sz w:val="18"/>
                <w:szCs w:val="18"/>
                <w:lang w:eastAsia="en-US"/>
              </w:rPr>
              <w:instrText xml:space="preserve"> FORMCHECKBOX </w:instrText>
            </w:r>
            <w:r w:rsidR="00CD20FA">
              <w:rPr>
                <w:rFonts w:ascii="Arial Narrow" w:eastAsia="Calibri" w:hAnsi="Arial Narrow"/>
                <w:strike/>
                <w:sz w:val="18"/>
                <w:szCs w:val="18"/>
                <w:lang w:eastAsia="en-US"/>
              </w:rPr>
            </w:r>
            <w:r w:rsidR="00CD20FA">
              <w:rPr>
                <w:rFonts w:ascii="Arial Narrow" w:eastAsia="Calibri" w:hAnsi="Arial Narrow"/>
                <w:strike/>
                <w:sz w:val="18"/>
                <w:szCs w:val="18"/>
                <w:lang w:eastAsia="en-US"/>
              </w:rPr>
              <w:fldChar w:fldCharType="separate"/>
            </w:r>
            <w:r w:rsidRPr="008154B1">
              <w:rPr>
                <w:rFonts w:ascii="Arial Narrow" w:eastAsia="Calibri" w:hAnsi="Arial Narrow"/>
                <w:strike/>
                <w:sz w:val="18"/>
                <w:szCs w:val="18"/>
                <w:lang w:eastAsia="en-US"/>
              </w:rPr>
              <w:fldChar w:fldCharType="end"/>
            </w:r>
            <w:r w:rsidRPr="008154B1">
              <w:rPr>
                <w:rFonts w:ascii="Arial Narrow" w:eastAsia="Calibri" w:hAnsi="Arial Narrow"/>
                <w:strike/>
                <w:sz w:val="18"/>
                <w:szCs w:val="18"/>
                <w:lang w:eastAsia="en-US"/>
              </w:rPr>
              <w:t>Authority Required – non-immediate/delayed assessment by Medicare (In-writing only via mail/postal service or electronic upload to Hobart)</w:t>
            </w:r>
          </w:p>
          <w:p w:rsidR="006737E3" w:rsidRPr="008154B1" w:rsidRDefault="006737E3" w:rsidP="00742422">
            <w:pPr>
              <w:rPr>
                <w:rFonts w:ascii="Arial Narrow" w:eastAsia="Calibri" w:hAnsi="Arial Narrow"/>
                <w:sz w:val="18"/>
                <w:szCs w:val="18"/>
                <w:lang w:eastAsia="en-US"/>
              </w:rPr>
            </w:pPr>
            <w:r w:rsidRPr="008154B1">
              <w:rPr>
                <w:rFonts w:ascii="Arial Narrow" w:eastAsia="Calibri" w:hAnsi="Arial Narrow"/>
                <w:sz w:val="18"/>
                <w:szCs w:val="18"/>
                <w:lang w:eastAsia="en-US"/>
              </w:rPr>
              <w:fldChar w:fldCharType="begin">
                <w:ffData>
                  <w:name w:val=""/>
                  <w:enabled/>
                  <w:calcOnExit w:val="0"/>
                  <w:checkBox>
                    <w:sizeAuto/>
                    <w:default w:val="1"/>
                  </w:checkBox>
                </w:ffData>
              </w:fldChar>
            </w:r>
            <w:r w:rsidRPr="008154B1">
              <w:rPr>
                <w:rFonts w:ascii="Arial Narrow" w:eastAsia="Calibri" w:hAnsi="Arial Narrow"/>
                <w:sz w:val="18"/>
                <w:szCs w:val="18"/>
                <w:lang w:eastAsia="en-US"/>
              </w:rPr>
              <w:instrText xml:space="preserve"> FORMCHECKBOX </w:instrText>
            </w:r>
            <w:r w:rsidR="00CD20FA">
              <w:rPr>
                <w:rFonts w:ascii="Arial Narrow" w:eastAsia="Calibri" w:hAnsi="Arial Narrow"/>
                <w:sz w:val="18"/>
                <w:szCs w:val="18"/>
                <w:lang w:eastAsia="en-US"/>
              </w:rPr>
            </w:r>
            <w:r w:rsidR="00CD20FA">
              <w:rPr>
                <w:rFonts w:ascii="Arial Narrow" w:eastAsia="Calibri" w:hAnsi="Arial Narrow"/>
                <w:sz w:val="18"/>
                <w:szCs w:val="18"/>
                <w:lang w:eastAsia="en-US"/>
              </w:rPr>
              <w:fldChar w:fldCharType="separate"/>
            </w:r>
            <w:r w:rsidRPr="008154B1">
              <w:rPr>
                <w:rFonts w:ascii="Arial Narrow" w:eastAsia="Calibri" w:hAnsi="Arial Narrow"/>
                <w:sz w:val="18"/>
                <w:szCs w:val="18"/>
                <w:lang w:eastAsia="en-US"/>
              </w:rPr>
              <w:fldChar w:fldCharType="end"/>
            </w:r>
            <w:r w:rsidRPr="008154B1">
              <w:rPr>
                <w:rFonts w:ascii="Arial Narrow" w:eastAsia="Calibri" w:hAnsi="Arial Narrow"/>
                <w:i/>
                <w:sz w:val="18"/>
                <w:szCs w:val="18"/>
                <w:lang w:eastAsia="en-US"/>
              </w:rPr>
              <w:t xml:space="preserve">Authority Required – immediate/real time assessment by </w:t>
            </w:r>
            <w:r w:rsidR="00742422" w:rsidRPr="008154B1">
              <w:rPr>
                <w:rFonts w:ascii="Arial Narrow" w:eastAsia="Calibri" w:hAnsi="Arial Narrow"/>
                <w:i/>
                <w:sz w:val="18"/>
                <w:szCs w:val="18"/>
                <w:lang w:eastAsia="en-US"/>
              </w:rPr>
              <w:t xml:space="preserve">Services Australia </w:t>
            </w:r>
            <w:r w:rsidRPr="008154B1">
              <w:rPr>
                <w:rFonts w:ascii="Arial Narrow" w:eastAsia="Calibri" w:hAnsi="Arial Narrow"/>
                <w:i/>
                <w:sz w:val="18"/>
                <w:szCs w:val="18"/>
                <w:lang w:eastAsia="en-US"/>
              </w:rPr>
              <w:t>(telephone/online)</w:t>
            </w:r>
          </w:p>
        </w:tc>
      </w:tr>
      <w:tr w:rsidR="006737E3" w:rsidRPr="008154B1" w:rsidTr="006737E3">
        <w:tc>
          <w:tcPr>
            <w:tcW w:w="5000" w:type="pct"/>
            <w:tcBorders>
              <w:left w:val="single" w:sz="4" w:space="0" w:color="auto"/>
            </w:tcBorders>
            <w:vAlign w:val="center"/>
          </w:tcPr>
          <w:p w:rsidR="006737E3" w:rsidRPr="008154B1" w:rsidRDefault="006737E3" w:rsidP="006A1E9D">
            <w:pPr>
              <w:jc w:val="left"/>
              <w:rPr>
                <w:rFonts w:ascii="Arial Narrow" w:hAnsi="Arial Narrow" w:cs="Times New Roman"/>
                <w:bCs/>
                <w:i/>
                <w:color w:val="333333"/>
                <w:sz w:val="18"/>
                <w:szCs w:val="18"/>
              </w:rPr>
            </w:pPr>
            <w:r w:rsidRPr="008154B1">
              <w:rPr>
                <w:rFonts w:ascii="Arial Narrow" w:hAnsi="Arial Narrow" w:cs="Times New Roman"/>
                <w:b/>
                <w:bCs/>
                <w:color w:val="333333"/>
                <w:sz w:val="18"/>
                <w:szCs w:val="18"/>
              </w:rPr>
              <w:t xml:space="preserve">Episodicity: </w:t>
            </w:r>
            <w:r w:rsidRPr="008154B1">
              <w:rPr>
                <w:rFonts w:ascii="Arial Narrow" w:hAnsi="Arial Narrow" w:cs="Times New Roman"/>
                <w:bCs/>
                <w:i/>
                <w:color w:val="333333"/>
                <w:sz w:val="18"/>
                <w:szCs w:val="18"/>
              </w:rPr>
              <w:t>Chronic treatment of</w:t>
            </w:r>
          </w:p>
        </w:tc>
      </w:tr>
      <w:tr w:rsidR="006737E3" w:rsidRPr="008154B1" w:rsidTr="006737E3">
        <w:tc>
          <w:tcPr>
            <w:tcW w:w="5000" w:type="pct"/>
            <w:tcBorders>
              <w:left w:val="single" w:sz="4" w:space="0" w:color="auto"/>
            </w:tcBorders>
            <w:vAlign w:val="center"/>
          </w:tcPr>
          <w:p w:rsidR="006737E3" w:rsidRPr="008154B1" w:rsidRDefault="006737E3" w:rsidP="006A1E9D">
            <w:pPr>
              <w:jc w:val="left"/>
              <w:rPr>
                <w:rFonts w:ascii="Arial Narrow" w:hAnsi="Arial Narrow" w:cs="Times New Roman"/>
                <w:b/>
                <w:bCs/>
                <w:color w:val="333333"/>
                <w:sz w:val="18"/>
                <w:szCs w:val="18"/>
              </w:rPr>
            </w:pPr>
            <w:r w:rsidRPr="008154B1">
              <w:rPr>
                <w:rFonts w:ascii="Arial Narrow" w:hAnsi="Arial Narrow" w:cs="Times New Roman"/>
                <w:b/>
                <w:bCs/>
                <w:color w:val="333333"/>
                <w:sz w:val="18"/>
                <w:szCs w:val="18"/>
              </w:rPr>
              <w:t>Condition:</w:t>
            </w:r>
            <w:r w:rsidRPr="008154B1">
              <w:rPr>
                <w:rFonts w:ascii="Arial Narrow" w:hAnsi="Arial Narrow" w:cs="Times New Roman"/>
                <w:bCs/>
                <w:color w:val="333333"/>
                <w:sz w:val="18"/>
                <w:szCs w:val="18"/>
              </w:rPr>
              <w:t xml:space="preserve"> hereditary angioedema  </w:t>
            </w:r>
            <w:r w:rsidRPr="008154B1">
              <w:rPr>
                <w:rFonts w:ascii="Arial Narrow" w:hAnsi="Arial Narrow" w:cs="Times New Roman"/>
                <w:bCs/>
                <w:i/>
                <w:color w:val="333333"/>
                <w:sz w:val="18"/>
                <w:szCs w:val="18"/>
              </w:rPr>
              <w:t>Types 1 or 2</w:t>
            </w:r>
          </w:p>
        </w:tc>
      </w:tr>
      <w:tr w:rsidR="006737E3" w:rsidRPr="008154B1" w:rsidTr="006737E3">
        <w:tc>
          <w:tcPr>
            <w:tcW w:w="5000" w:type="pct"/>
            <w:vAlign w:val="center"/>
            <w:hideMark/>
          </w:tcPr>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b/>
                <w:bCs/>
                <w:color w:val="333333"/>
                <w:sz w:val="18"/>
                <w:szCs w:val="18"/>
              </w:rPr>
              <w:t xml:space="preserve">Indication: </w:t>
            </w:r>
            <w:r w:rsidRPr="008154B1">
              <w:rPr>
                <w:rFonts w:ascii="Arial Narrow" w:hAnsi="Arial Narrow" w:cs="Times New Roman"/>
                <w:bCs/>
                <w:i/>
                <w:color w:val="333333"/>
                <w:sz w:val="18"/>
                <w:szCs w:val="18"/>
              </w:rPr>
              <w:t>Chronic treatment of</w:t>
            </w:r>
            <w:r w:rsidRPr="008154B1">
              <w:rPr>
                <w:rFonts w:ascii="Arial Narrow" w:hAnsi="Arial Narrow" w:cs="Times New Roman"/>
                <w:b/>
                <w:bCs/>
                <w:i/>
                <w:color w:val="333333"/>
                <w:sz w:val="18"/>
                <w:szCs w:val="18"/>
              </w:rPr>
              <w:t xml:space="preserve"> </w:t>
            </w:r>
            <w:r w:rsidRPr="008154B1">
              <w:rPr>
                <w:rFonts w:ascii="Arial Narrow" w:hAnsi="Arial Narrow" w:cs="Times New Roman"/>
                <w:bCs/>
                <w:color w:val="333333"/>
                <w:sz w:val="18"/>
                <w:szCs w:val="18"/>
              </w:rPr>
              <w:t xml:space="preserve">hereditary angioedema </w:t>
            </w:r>
            <w:r w:rsidRPr="008154B1">
              <w:rPr>
                <w:rFonts w:ascii="Arial Narrow" w:hAnsi="Arial Narrow" w:cs="Times New Roman"/>
                <w:bCs/>
                <w:i/>
                <w:color w:val="333333"/>
                <w:sz w:val="18"/>
                <w:szCs w:val="18"/>
              </w:rPr>
              <w:t>Types 1 or 2</w:t>
            </w:r>
          </w:p>
        </w:tc>
      </w:tr>
      <w:tr w:rsidR="006737E3" w:rsidRPr="008154B1" w:rsidTr="006737E3">
        <w:tc>
          <w:tcPr>
            <w:tcW w:w="5000" w:type="pct"/>
            <w:vAlign w:val="center"/>
            <w:hideMark/>
          </w:tcPr>
          <w:p w:rsidR="006737E3" w:rsidRPr="008154B1" w:rsidRDefault="006737E3" w:rsidP="006A1E9D">
            <w:pPr>
              <w:jc w:val="left"/>
              <w:rPr>
                <w:rFonts w:ascii="Arial Narrow" w:hAnsi="Arial Narrow" w:cs="Times New Roman"/>
                <w:i/>
                <w:color w:val="333333"/>
                <w:sz w:val="18"/>
                <w:szCs w:val="18"/>
              </w:rPr>
            </w:pPr>
            <w:r w:rsidRPr="008154B1">
              <w:rPr>
                <w:rFonts w:ascii="Arial Narrow" w:hAnsi="Arial Narrow" w:cs="Times New Roman"/>
                <w:b/>
                <w:bCs/>
                <w:color w:val="333333"/>
                <w:sz w:val="18"/>
                <w:szCs w:val="18"/>
              </w:rPr>
              <w:t>Treatment Phase:</w:t>
            </w:r>
            <w:r w:rsidRPr="008154B1">
              <w:rPr>
                <w:rFonts w:ascii="Arial Narrow" w:hAnsi="Arial Narrow" w:cs="Times New Roman"/>
                <w:color w:val="333333"/>
                <w:sz w:val="18"/>
                <w:szCs w:val="18"/>
              </w:rPr>
              <w:t xml:space="preserve"> Initial – 1 </w:t>
            </w:r>
            <w:r w:rsidRPr="008154B1">
              <w:rPr>
                <w:rFonts w:ascii="Arial Narrow" w:hAnsi="Arial Narrow" w:cs="Times New Roman"/>
                <w:i/>
                <w:color w:val="333333"/>
                <w:sz w:val="18"/>
                <w:szCs w:val="18"/>
              </w:rPr>
              <w:t>– preventative treatment for a patient starting therapy with this drug for the first time</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b/>
                <w:bCs/>
                <w:color w:val="333333"/>
                <w:sz w:val="18"/>
                <w:szCs w:val="18"/>
              </w:rPr>
            </w:pPr>
            <w:r w:rsidRPr="008154B1">
              <w:rPr>
                <w:rFonts w:ascii="Arial Narrow" w:hAnsi="Arial Narrow" w:cs="Times New Roman"/>
                <w:b/>
                <w:bCs/>
                <w:color w:val="333333"/>
                <w:sz w:val="18"/>
                <w:szCs w:val="18"/>
              </w:rPr>
              <w:t>Treatment criteria:</w:t>
            </w:r>
          </w:p>
        </w:tc>
      </w:tr>
      <w:tr w:rsidR="006737E3" w:rsidRPr="008154B1" w:rsidTr="006737E3">
        <w:tc>
          <w:tcPr>
            <w:tcW w:w="5000" w:type="pct"/>
            <w:vAlign w:val="center"/>
          </w:tcPr>
          <w:p w:rsidR="006737E3" w:rsidRPr="008154B1" w:rsidRDefault="006737E3" w:rsidP="006737E3">
            <w:pPr>
              <w:jc w:val="left"/>
              <w:rPr>
                <w:rFonts w:ascii="Arial Narrow" w:hAnsi="Arial Narrow" w:cs="Times New Roman"/>
                <w:b/>
                <w:bCs/>
                <w:i/>
                <w:color w:val="333333"/>
                <w:sz w:val="18"/>
                <w:szCs w:val="18"/>
              </w:rPr>
            </w:pPr>
            <w:r w:rsidRPr="008154B1">
              <w:rPr>
                <w:rFonts w:ascii="Arial Narrow" w:eastAsia="Calibri" w:hAnsi="Arial Narrow" w:cs="Arial Narrow"/>
                <w:iCs/>
                <w:sz w:val="18"/>
                <w:szCs w:val="18"/>
                <w:lang w:eastAsia="en-US"/>
              </w:rPr>
              <w:t xml:space="preserve">Must be treated by </w:t>
            </w:r>
            <w:r w:rsidRPr="008154B1">
              <w:rPr>
                <w:rFonts w:ascii="Arial Narrow" w:eastAsia="Calibri" w:hAnsi="Arial Narrow" w:cs="Arial Narrow"/>
                <w:i/>
                <w:iCs/>
                <w:sz w:val="18"/>
                <w:szCs w:val="18"/>
                <w:lang w:eastAsia="en-US"/>
              </w:rPr>
              <w:t xml:space="preserve">at least one of a: </w:t>
            </w:r>
            <w:r w:rsidRPr="008154B1">
              <w:rPr>
                <w:rFonts w:ascii="Arial Narrow" w:eastAsia="Calibri" w:hAnsi="Arial Narrow" w:cs="Arial Narrow"/>
                <w:iCs/>
                <w:strike/>
                <w:sz w:val="18"/>
                <w:szCs w:val="18"/>
                <w:lang w:eastAsia="en-US"/>
              </w:rPr>
              <w:t>a specialist</w:t>
            </w:r>
            <w:r w:rsidRPr="008154B1">
              <w:rPr>
                <w:rFonts w:ascii="Arial Narrow" w:eastAsia="Calibri" w:hAnsi="Arial Narrow" w:cs="Arial Narrow"/>
                <w:iCs/>
                <w:sz w:val="18"/>
                <w:szCs w:val="18"/>
                <w:lang w:eastAsia="en-US"/>
              </w:rPr>
              <w:t xml:space="preserve"> </w:t>
            </w:r>
            <w:r w:rsidRPr="008154B1">
              <w:rPr>
                <w:rFonts w:ascii="Arial Narrow" w:eastAsia="Calibri" w:hAnsi="Arial Narrow" w:cs="Arial Narrow"/>
                <w:i/>
                <w:iCs/>
                <w:sz w:val="18"/>
                <w:szCs w:val="18"/>
                <w:lang w:eastAsia="en-US"/>
              </w:rPr>
              <w:t>clinical</w:t>
            </w:r>
            <w:r w:rsidRPr="008154B1">
              <w:rPr>
                <w:rFonts w:ascii="Arial Narrow" w:eastAsia="Calibri" w:hAnsi="Arial Narrow" w:cs="Arial Narrow"/>
                <w:iCs/>
                <w:sz w:val="18"/>
                <w:szCs w:val="18"/>
                <w:lang w:eastAsia="en-US"/>
              </w:rPr>
              <w:t xml:space="preserve"> immunologist</w:t>
            </w:r>
            <w:r w:rsidRPr="008154B1">
              <w:rPr>
                <w:rFonts w:ascii="Arial Narrow" w:eastAsia="Calibri" w:hAnsi="Arial Narrow" w:cs="Arial Narrow"/>
                <w:iCs/>
                <w:strike/>
                <w:sz w:val="18"/>
                <w:szCs w:val="18"/>
                <w:lang w:eastAsia="en-US"/>
              </w:rPr>
              <w:t>; or</w:t>
            </w:r>
            <w:r w:rsidRPr="008154B1">
              <w:rPr>
                <w:rFonts w:ascii="Arial Narrow" w:eastAsia="Calibri" w:hAnsi="Arial Narrow" w:cs="Arial Narrow"/>
                <w:iCs/>
                <w:sz w:val="18"/>
                <w:szCs w:val="18"/>
                <w:lang w:eastAsia="en-US"/>
              </w:rPr>
              <w:t xml:space="preserve"> </w:t>
            </w:r>
            <w:r w:rsidRPr="008154B1">
              <w:rPr>
                <w:rFonts w:ascii="Arial Narrow" w:eastAsia="Calibri" w:hAnsi="Arial Narrow" w:cs="Arial Narrow"/>
                <w:i/>
                <w:iCs/>
                <w:sz w:val="18"/>
                <w:szCs w:val="18"/>
                <w:lang w:eastAsia="en-US"/>
              </w:rPr>
              <w:t>/ specialist allergist</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b/>
                <w:bCs/>
                <w:strike/>
                <w:color w:val="333333"/>
                <w:sz w:val="18"/>
                <w:szCs w:val="18"/>
              </w:rPr>
            </w:pPr>
            <w:r w:rsidRPr="008154B1">
              <w:rPr>
                <w:rFonts w:ascii="Arial Narrow" w:eastAsia="Calibri" w:hAnsi="Arial Narrow" w:cs="Arial Narrow"/>
                <w:iCs/>
                <w:strike/>
                <w:sz w:val="18"/>
                <w:szCs w:val="18"/>
                <w:lang w:eastAsia="en-US"/>
              </w:rPr>
              <w:t>Must be treated by a specialist immunologist and allergist</w:t>
            </w:r>
          </w:p>
        </w:tc>
      </w:tr>
      <w:tr w:rsidR="006737E3" w:rsidRPr="008154B1" w:rsidTr="006737E3">
        <w:tc>
          <w:tcPr>
            <w:tcW w:w="5000" w:type="pct"/>
            <w:vAlign w:val="center"/>
          </w:tcPr>
          <w:p w:rsidR="006737E3" w:rsidRPr="008154B1" w:rsidRDefault="006737E3" w:rsidP="006A1E9D">
            <w:pPr>
              <w:jc w:val="left"/>
              <w:rPr>
                <w:rFonts w:ascii="Arial Narrow" w:eastAsia="Calibri" w:hAnsi="Arial Narrow" w:cs="Arial Narrow"/>
                <w:iCs/>
                <w:sz w:val="18"/>
                <w:szCs w:val="18"/>
                <w:lang w:eastAsia="en-US"/>
              </w:rPr>
            </w:pPr>
            <w:r w:rsidRPr="008154B1">
              <w:rPr>
                <w:rFonts w:ascii="Arial Narrow" w:eastAsia="Calibri" w:hAnsi="Arial Narrow" w:cs="Arial Narrow"/>
                <w:b/>
                <w:bCs/>
                <w:iCs/>
                <w:sz w:val="18"/>
                <w:szCs w:val="18"/>
                <w:lang w:eastAsia="en-US"/>
              </w:rPr>
              <w:t>AND</w:t>
            </w:r>
          </w:p>
        </w:tc>
      </w:tr>
      <w:tr w:rsidR="006737E3" w:rsidRPr="008154B1" w:rsidTr="006737E3">
        <w:tc>
          <w:tcPr>
            <w:tcW w:w="5000" w:type="pct"/>
            <w:vAlign w:val="center"/>
            <w:hideMark/>
          </w:tcPr>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b/>
                <w:bCs/>
                <w:color w:val="333333"/>
                <w:sz w:val="18"/>
                <w:szCs w:val="18"/>
              </w:rPr>
              <w:t>Clinical criteria:</w:t>
            </w:r>
          </w:p>
        </w:tc>
      </w:tr>
      <w:tr w:rsidR="006737E3" w:rsidRPr="008154B1" w:rsidTr="006737E3">
        <w:trPr>
          <w:trHeight w:val="204"/>
        </w:trPr>
        <w:tc>
          <w:tcPr>
            <w:tcW w:w="5000" w:type="pct"/>
            <w:vAlign w:val="center"/>
            <w:hideMark/>
          </w:tcPr>
          <w:p w:rsidR="006737E3" w:rsidRPr="008154B1" w:rsidRDefault="006737E3" w:rsidP="006A1E9D">
            <w:pPr>
              <w:jc w:val="left"/>
              <w:rPr>
                <w:rFonts w:ascii="Arial Narrow" w:hAnsi="Arial Narrow" w:cs="Times New Roman"/>
                <w:i/>
                <w:color w:val="333333"/>
                <w:sz w:val="18"/>
                <w:szCs w:val="18"/>
              </w:rPr>
            </w:pPr>
            <w:r w:rsidRPr="008154B1">
              <w:rPr>
                <w:rFonts w:ascii="Arial Narrow" w:hAnsi="Arial Narrow" w:cs="Times New Roman"/>
                <w:color w:val="333333"/>
                <w:sz w:val="18"/>
                <w:szCs w:val="18"/>
              </w:rPr>
              <w:t xml:space="preserve">Patient must have experienced at least 12 treated acute attacks of </w:t>
            </w:r>
            <w:r w:rsidRPr="008154B1">
              <w:rPr>
                <w:rFonts w:ascii="Arial Narrow" w:hAnsi="Arial Narrow" w:cs="Times New Roman"/>
                <w:strike/>
                <w:color w:val="333333"/>
                <w:sz w:val="18"/>
                <w:szCs w:val="18"/>
              </w:rPr>
              <w:t>HAE</w:t>
            </w:r>
            <w:r w:rsidRPr="008154B1">
              <w:rPr>
                <w:rFonts w:ascii="Arial Narrow" w:hAnsi="Arial Narrow" w:cs="Times New Roman"/>
                <w:color w:val="333333"/>
                <w:sz w:val="18"/>
                <w:szCs w:val="18"/>
              </w:rPr>
              <w:t xml:space="preserve"> </w:t>
            </w:r>
            <w:r w:rsidRPr="008154B1">
              <w:rPr>
                <w:rFonts w:ascii="Arial Narrow" w:hAnsi="Arial Narrow" w:cs="Times New Roman"/>
                <w:i/>
                <w:color w:val="333333"/>
                <w:sz w:val="18"/>
                <w:szCs w:val="18"/>
              </w:rPr>
              <w:t xml:space="preserve">hereditary angioedema </w:t>
            </w:r>
            <w:r w:rsidRPr="008154B1">
              <w:rPr>
                <w:rFonts w:ascii="Arial Narrow" w:hAnsi="Arial Narrow" w:cs="Times New Roman"/>
                <w:color w:val="333333"/>
                <w:sz w:val="18"/>
                <w:szCs w:val="18"/>
              </w:rPr>
              <w:t xml:space="preserve">within </w:t>
            </w:r>
            <w:r w:rsidRPr="008154B1">
              <w:rPr>
                <w:rFonts w:ascii="Arial Narrow" w:hAnsi="Arial Narrow" w:cs="Times New Roman"/>
                <w:strike/>
                <w:color w:val="333333"/>
                <w:sz w:val="18"/>
                <w:szCs w:val="18"/>
              </w:rPr>
              <w:t>a period of</w:t>
            </w:r>
            <w:r w:rsidRPr="008154B1">
              <w:rPr>
                <w:rFonts w:ascii="Arial Narrow" w:hAnsi="Arial Narrow" w:cs="Times New Roman"/>
                <w:color w:val="333333"/>
                <w:sz w:val="18"/>
                <w:szCs w:val="18"/>
              </w:rPr>
              <w:t xml:space="preserve"> </w:t>
            </w:r>
            <w:r w:rsidRPr="008154B1">
              <w:rPr>
                <w:rFonts w:ascii="Arial Narrow" w:hAnsi="Arial Narrow" w:cs="Times New Roman"/>
                <w:i/>
                <w:color w:val="333333"/>
                <w:sz w:val="18"/>
                <w:szCs w:val="18"/>
              </w:rPr>
              <w:t xml:space="preserve">the </w:t>
            </w:r>
            <w:r w:rsidRPr="008154B1">
              <w:rPr>
                <w:rFonts w:ascii="Arial Narrow" w:hAnsi="Arial Narrow" w:cs="Times New Roman"/>
                <w:color w:val="333333"/>
                <w:sz w:val="18"/>
                <w:szCs w:val="18"/>
              </w:rPr>
              <w:t>6 month</w:t>
            </w:r>
            <w:r w:rsidRPr="008154B1">
              <w:rPr>
                <w:rFonts w:ascii="Arial Narrow" w:hAnsi="Arial Narrow" w:cs="Times New Roman"/>
                <w:strike/>
                <w:color w:val="333333"/>
                <w:sz w:val="18"/>
                <w:szCs w:val="18"/>
              </w:rPr>
              <w:t>s</w:t>
            </w:r>
            <w:r w:rsidRPr="008154B1">
              <w:rPr>
                <w:rFonts w:ascii="Arial Narrow" w:hAnsi="Arial Narrow" w:cs="Times New Roman"/>
                <w:color w:val="333333"/>
                <w:sz w:val="18"/>
                <w:szCs w:val="18"/>
              </w:rPr>
              <w:t xml:space="preserve"> prior to commenc</w:t>
            </w:r>
            <w:r w:rsidRPr="008154B1">
              <w:rPr>
                <w:rFonts w:ascii="Arial Narrow" w:hAnsi="Arial Narrow" w:cs="Times New Roman"/>
                <w:strike/>
                <w:color w:val="333333"/>
                <w:sz w:val="18"/>
                <w:szCs w:val="18"/>
              </w:rPr>
              <w:t>ement</w:t>
            </w:r>
            <w:r w:rsidRPr="008154B1">
              <w:rPr>
                <w:rFonts w:ascii="Arial Narrow" w:hAnsi="Arial Narrow" w:cs="Times New Roman"/>
                <w:i/>
                <w:color w:val="333333"/>
                <w:sz w:val="18"/>
                <w:szCs w:val="18"/>
              </w:rPr>
              <w:t xml:space="preserve">ing </w:t>
            </w:r>
            <w:r w:rsidRPr="008154B1">
              <w:rPr>
                <w:rFonts w:ascii="Arial Narrow" w:hAnsi="Arial Narrow" w:cs="Times New Roman"/>
                <w:strike/>
                <w:color w:val="333333"/>
                <w:sz w:val="18"/>
                <w:szCs w:val="18"/>
              </w:rPr>
              <w:t xml:space="preserve"> of</w:t>
            </w:r>
            <w:r w:rsidRPr="008154B1">
              <w:rPr>
                <w:rFonts w:ascii="Arial Narrow" w:hAnsi="Arial Narrow" w:cs="Times New Roman"/>
                <w:color w:val="333333"/>
                <w:sz w:val="18"/>
                <w:szCs w:val="18"/>
              </w:rPr>
              <w:t xml:space="preserve"> treatment </w:t>
            </w:r>
            <w:r w:rsidRPr="008154B1">
              <w:rPr>
                <w:rFonts w:ascii="Arial Narrow" w:hAnsi="Arial Narrow" w:cs="Times New Roman"/>
                <w:i/>
                <w:color w:val="333333"/>
                <w:sz w:val="18"/>
                <w:szCs w:val="18"/>
              </w:rPr>
              <w:t>with this drug</w:t>
            </w:r>
          </w:p>
        </w:tc>
      </w:tr>
      <w:tr w:rsidR="006737E3" w:rsidRPr="008154B1" w:rsidTr="006737E3">
        <w:tc>
          <w:tcPr>
            <w:tcW w:w="5000" w:type="pct"/>
            <w:vAlign w:val="center"/>
            <w:hideMark/>
          </w:tcPr>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b/>
                <w:bCs/>
                <w:color w:val="333333"/>
                <w:sz w:val="18"/>
                <w:szCs w:val="18"/>
              </w:rPr>
              <w:t>AND</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b/>
                <w:bCs/>
                <w:color w:val="333333"/>
                <w:sz w:val="18"/>
                <w:szCs w:val="18"/>
              </w:rPr>
            </w:pPr>
            <w:r w:rsidRPr="008154B1">
              <w:rPr>
                <w:rFonts w:ascii="Arial Narrow" w:hAnsi="Arial Narrow" w:cs="Times New Roman"/>
                <w:b/>
                <w:bCs/>
                <w:color w:val="333333"/>
                <w:sz w:val="18"/>
                <w:szCs w:val="18"/>
              </w:rPr>
              <w:t>Clinical criteria:</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i/>
                <w:color w:val="333333"/>
                <w:sz w:val="18"/>
                <w:szCs w:val="18"/>
              </w:rPr>
            </w:pPr>
            <w:r w:rsidRPr="008154B1">
              <w:rPr>
                <w:rFonts w:ascii="Arial Narrow" w:hAnsi="Arial Narrow" w:cs="Times New Roman"/>
                <w:color w:val="333333"/>
                <w:sz w:val="18"/>
                <w:szCs w:val="18"/>
              </w:rPr>
              <w:t xml:space="preserve">Patient must be intolerant </w:t>
            </w:r>
            <w:r w:rsidRPr="008154B1">
              <w:rPr>
                <w:rFonts w:ascii="Arial Narrow" w:hAnsi="Arial Narrow" w:cs="Times New Roman"/>
                <w:strike/>
                <w:color w:val="333333"/>
                <w:sz w:val="18"/>
                <w:szCs w:val="18"/>
              </w:rPr>
              <w:t>or insufficiently protected by</w:t>
            </w:r>
            <w:r w:rsidRPr="008154B1">
              <w:rPr>
                <w:rFonts w:ascii="Arial Narrow" w:hAnsi="Arial Narrow" w:cs="Times New Roman"/>
                <w:color w:val="333333"/>
                <w:sz w:val="18"/>
                <w:szCs w:val="18"/>
              </w:rPr>
              <w:t xml:space="preserve"> </w:t>
            </w:r>
            <w:r w:rsidRPr="008154B1">
              <w:rPr>
                <w:rFonts w:ascii="Arial Narrow" w:hAnsi="Arial Narrow" w:cs="Times New Roman"/>
                <w:i/>
                <w:color w:val="333333"/>
                <w:sz w:val="18"/>
                <w:szCs w:val="18"/>
              </w:rPr>
              <w:t xml:space="preserve">of </w:t>
            </w:r>
            <w:r w:rsidRPr="008154B1">
              <w:rPr>
                <w:rFonts w:ascii="Arial Narrow" w:hAnsi="Arial Narrow" w:cs="Times New Roman"/>
                <w:color w:val="333333"/>
                <w:sz w:val="18"/>
                <w:szCs w:val="18"/>
              </w:rPr>
              <w:t>oral routine prophylaxis</w:t>
            </w:r>
            <w:r w:rsidRPr="008154B1">
              <w:rPr>
                <w:rFonts w:ascii="Arial Narrow" w:hAnsi="Arial Narrow" w:cs="Times New Roman"/>
                <w:i/>
                <w:color w:val="333333"/>
                <w:sz w:val="18"/>
                <w:szCs w:val="18"/>
              </w:rPr>
              <w:t>; or</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i/>
                <w:color w:val="333333"/>
                <w:sz w:val="18"/>
                <w:szCs w:val="18"/>
              </w:rPr>
            </w:pPr>
            <w:r w:rsidRPr="008154B1">
              <w:rPr>
                <w:rFonts w:ascii="Arial Narrow" w:hAnsi="Arial Narrow" w:cs="Times New Roman"/>
                <w:i/>
                <w:color w:val="333333"/>
                <w:sz w:val="18"/>
                <w:szCs w:val="18"/>
              </w:rPr>
              <w:t>Patient must be insufficiently protected by oral routine prophylaxis, as judged by the treating clinician</w:t>
            </w:r>
          </w:p>
        </w:tc>
      </w:tr>
      <w:tr w:rsidR="006737E3" w:rsidRPr="008154B1" w:rsidTr="006737E3">
        <w:tc>
          <w:tcPr>
            <w:tcW w:w="5000" w:type="pct"/>
            <w:vAlign w:val="center"/>
            <w:hideMark/>
          </w:tcPr>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b/>
                <w:bCs/>
                <w:color w:val="333333"/>
                <w:sz w:val="18"/>
                <w:szCs w:val="18"/>
              </w:rPr>
              <w:t>AND</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b/>
                <w:bCs/>
                <w:color w:val="333333"/>
                <w:sz w:val="18"/>
                <w:szCs w:val="18"/>
              </w:rPr>
            </w:pPr>
            <w:r w:rsidRPr="008154B1">
              <w:rPr>
                <w:rFonts w:ascii="Arial Narrow" w:hAnsi="Arial Narrow" w:cs="Times New Roman"/>
                <w:b/>
                <w:bCs/>
                <w:color w:val="333333"/>
                <w:sz w:val="18"/>
                <w:szCs w:val="18"/>
              </w:rPr>
              <w:t>Clinical criteria:</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bCs/>
                <w:i/>
                <w:color w:val="333333"/>
                <w:sz w:val="18"/>
                <w:szCs w:val="18"/>
              </w:rPr>
            </w:pPr>
            <w:r w:rsidRPr="008154B1">
              <w:rPr>
                <w:rFonts w:ascii="Arial Narrow" w:hAnsi="Arial Narrow" w:cs="Times New Roman"/>
                <w:bCs/>
                <w:i/>
                <w:color w:val="333333"/>
                <w:sz w:val="18"/>
                <w:szCs w:val="18"/>
              </w:rPr>
              <w:t>The treatment must not be PBS-subsidised in combination with a C1-esterase inhibitor concentrate</w:t>
            </w:r>
          </w:p>
        </w:tc>
      </w:tr>
      <w:tr w:rsidR="006737E3" w:rsidRPr="008154B1" w:rsidTr="006737E3">
        <w:tc>
          <w:tcPr>
            <w:tcW w:w="5000" w:type="pct"/>
            <w:vAlign w:val="center"/>
            <w:hideMark/>
          </w:tcPr>
          <w:p w:rsidR="006737E3" w:rsidRPr="008154B1" w:rsidRDefault="006737E3" w:rsidP="006A1E9D">
            <w:pPr>
              <w:jc w:val="left"/>
              <w:rPr>
                <w:rFonts w:ascii="Arial Narrow" w:hAnsi="Arial Narrow" w:cs="Times New Roman"/>
                <w:i/>
                <w:color w:val="333333"/>
                <w:sz w:val="18"/>
                <w:szCs w:val="18"/>
              </w:rPr>
            </w:pPr>
            <w:r w:rsidRPr="008154B1">
              <w:rPr>
                <w:rFonts w:ascii="Arial Narrow" w:hAnsi="Arial Narrow" w:cs="Times New Roman"/>
                <w:b/>
                <w:bCs/>
                <w:i/>
                <w:color w:val="333333"/>
                <w:sz w:val="18"/>
                <w:szCs w:val="18"/>
              </w:rPr>
              <w:t xml:space="preserve">Prescribing Instructions: </w:t>
            </w:r>
          </w:p>
          <w:p w:rsidR="006737E3" w:rsidRPr="008154B1" w:rsidRDefault="006737E3" w:rsidP="006A1E9D">
            <w:pPr>
              <w:jc w:val="left"/>
              <w:rPr>
                <w:rFonts w:ascii="Arial Narrow" w:hAnsi="Arial Narrow" w:cs="Times New Roman"/>
                <w:i/>
                <w:color w:val="333333"/>
                <w:sz w:val="18"/>
                <w:szCs w:val="18"/>
              </w:rPr>
            </w:pPr>
            <w:r w:rsidRPr="008154B1">
              <w:rPr>
                <w:rFonts w:ascii="Arial Narrow" w:hAnsi="Arial Narrow" w:cs="Times New Roman"/>
                <w:i/>
                <w:color w:val="333333"/>
                <w:sz w:val="18"/>
                <w:szCs w:val="18"/>
              </w:rPr>
              <w:t>For the purposes of administering this restriction, acute attacks of hereditary angioedema are those of a severity necessitating immediate medical intervention</w:t>
            </w:r>
          </w:p>
          <w:p w:rsidR="006737E3" w:rsidRPr="008154B1" w:rsidRDefault="006737E3" w:rsidP="006A1E9D">
            <w:pPr>
              <w:jc w:val="left"/>
              <w:rPr>
                <w:rFonts w:ascii="Arial Narrow" w:hAnsi="Arial Narrow" w:cs="Times New Roman"/>
                <w:i/>
                <w:strike/>
                <w:color w:val="333333"/>
                <w:sz w:val="18"/>
                <w:szCs w:val="18"/>
              </w:rPr>
            </w:pPr>
          </w:p>
          <w:p w:rsidR="006737E3" w:rsidRPr="008154B1" w:rsidRDefault="006737E3" w:rsidP="006A1E9D">
            <w:pPr>
              <w:jc w:val="left"/>
              <w:rPr>
                <w:rFonts w:ascii="Arial Narrow" w:hAnsi="Arial Narrow" w:cs="Times New Roman"/>
                <w:i/>
                <w:strike/>
                <w:color w:val="333333"/>
                <w:sz w:val="18"/>
                <w:szCs w:val="18"/>
              </w:rPr>
            </w:pPr>
            <w:r w:rsidRPr="008154B1">
              <w:rPr>
                <w:rFonts w:ascii="Arial Narrow" w:hAnsi="Arial Narrow" w:cs="Times New Roman"/>
                <w:i/>
                <w:strike/>
                <w:color w:val="333333"/>
                <w:sz w:val="18"/>
                <w:szCs w:val="18"/>
              </w:rPr>
              <w:t>The authority application must be made in writing and must include:</w:t>
            </w:r>
          </w:p>
          <w:p w:rsidR="006737E3" w:rsidRPr="008154B1" w:rsidRDefault="006737E3" w:rsidP="006A1E9D">
            <w:pPr>
              <w:jc w:val="left"/>
              <w:rPr>
                <w:rFonts w:ascii="Arial Narrow" w:hAnsi="Arial Narrow" w:cs="Times New Roman"/>
                <w:i/>
                <w:strike/>
                <w:color w:val="333333"/>
                <w:sz w:val="18"/>
                <w:szCs w:val="18"/>
              </w:rPr>
            </w:pPr>
            <w:r w:rsidRPr="008154B1">
              <w:rPr>
                <w:rFonts w:ascii="Arial Narrow" w:hAnsi="Arial Narrow" w:cs="Times New Roman"/>
                <w:i/>
                <w:strike/>
                <w:color w:val="333333"/>
                <w:sz w:val="18"/>
                <w:szCs w:val="18"/>
              </w:rPr>
              <w:t>a) completed authority prescription form; and</w:t>
            </w:r>
          </w:p>
          <w:p w:rsidR="006737E3" w:rsidRPr="008154B1" w:rsidRDefault="006737E3" w:rsidP="006A1E9D">
            <w:pPr>
              <w:jc w:val="left"/>
              <w:rPr>
                <w:rFonts w:ascii="Arial Narrow" w:hAnsi="Arial Narrow" w:cs="Times New Roman"/>
                <w:i/>
                <w:color w:val="333333"/>
                <w:sz w:val="18"/>
                <w:szCs w:val="18"/>
              </w:rPr>
            </w:pPr>
            <w:r w:rsidRPr="008154B1">
              <w:rPr>
                <w:rFonts w:ascii="Arial Narrow" w:hAnsi="Arial Narrow" w:cs="Times New Roman"/>
                <w:i/>
                <w:strike/>
                <w:color w:val="333333"/>
                <w:sz w:val="18"/>
                <w:szCs w:val="18"/>
              </w:rPr>
              <w:t>b) a completed hereditary angioedema Initial - 1 PBS authority application form which includes</w:t>
            </w:r>
            <w:r w:rsidRPr="008154B1">
              <w:rPr>
                <w:rFonts w:ascii="Arial Narrow" w:hAnsi="Arial Narrow" w:cs="Times New Roman"/>
                <w:i/>
                <w:color w:val="333333"/>
                <w:sz w:val="18"/>
                <w:szCs w:val="18"/>
              </w:rPr>
              <w:t xml:space="preserve"> The baseline number of treated acute attacks of </w:t>
            </w:r>
            <w:r w:rsidRPr="008154B1">
              <w:rPr>
                <w:rFonts w:ascii="Arial Narrow" w:hAnsi="Arial Narrow" w:cs="Times New Roman"/>
                <w:i/>
                <w:strike/>
                <w:color w:val="333333"/>
                <w:sz w:val="18"/>
                <w:szCs w:val="18"/>
              </w:rPr>
              <w:t>HAE</w:t>
            </w:r>
            <w:r w:rsidRPr="008154B1">
              <w:rPr>
                <w:rFonts w:ascii="Arial Narrow" w:hAnsi="Arial Narrow" w:cs="Times New Roman"/>
                <w:i/>
                <w:color w:val="333333"/>
                <w:sz w:val="18"/>
                <w:szCs w:val="18"/>
              </w:rPr>
              <w:t xml:space="preserve"> hereditary angioedema within the 6 months prior to initiating treatment must be documented in the patient’s medical records for auditing purposes.</w:t>
            </w:r>
          </w:p>
          <w:p w:rsidR="006737E3" w:rsidRPr="008154B1" w:rsidRDefault="006737E3" w:rsidP="006A1E9D">
            <w:pPr>
              <w:jc w:val="left"/>
              <w:rPr>
                <w:rFonts w:ascii="Arial Narrow" w:hAnsi="Arial Narrow" w:cs="Times New Roman"/>
                <w:i/>
                <w:color w:val="333333"/>
                <w:sz w:val="18"/>
                <w:szCs w:val="18"/>
              </w:rPr>
            </w:pPr>
          </w:p>
          <w:p w:rsidR="006737E3" w:rsidRPr="008154B1" w:rsidRDefault="006737E3" w:rsidP="006A1E9D">
            <w:pPr>
              <w:jc w:val="left"/>
              <w:rPr>
                <w:rFonts w:ascii="Arial Narrow" w:hAnsi="Arial Narrow" w:cs="Times New Roman"/>
                <w:i/>
                <w:color w:val="333333"/>
                <w:sz w:val="18"/>
                <w:szCs w:val="18"/>
              </w:rPr>
            </w:pPr>
            <w:r w:rsidRPr="008154B1">
              <w:rPr>
                <w:rFonts w:ascii="Arial Narrow" w:hAnsi="Arial Narrow" w:cs="Times New Roman"/>
                <w:i/>
                <w:color w:val="333333"/>
                <w:sz w:val="18"/>
                <w:szCs w:val="18"/>
              </w:rPr>
              <w:lastRenderedPageBreak/>
              <w:t xml:space="preserve">An intolerance of oral routine prophylaxis must be of a severity requiring permanent treatment discontinuation. Details of the intolerance (e.g. name of oral prophylaxis, date of adverse reaction, nature of reaction) must be documented in the patient’s medical records for auditing purposes. </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strike/>
                <w:color w:val="333333"/>
                <w:sz w:val="18"/>
                <w:szCs w:val="18"/>
              </w:rPr>
            </w:pPr>
            <w:r w:rsidRPr="008154B1">
              <w:rPr>
                <w:rFonts w:ascii="Arial Narrow" w:hAnsi="Arial Narrow" w:cs="Times New Roman"/>
                <w:b/>
                <w:bCs/>
                <w:strike/>
                <w:color w:val="333333"/>
                <w:sz w:val="18"/>
                <w:szCs w:val="18"/>
              </w:rPr>
              <w:lastRenderedPageBreak/>
              <w:t xml:space="preserve">Prescribing Instructions: </w:t>
            </w:r>
          </w:p>
          <w:p w:rsidR="006737E3" w:rsidRPr="008154B1" w:rsidRDefault="006737E3" w:rsidP="006A1E9D">
            <w:pPr>
              <w:jc w:val="left"/>
              <w:rPr>
                <w:rFonts w:ascii="Arial Narrow" w:hAnsi="Arial Narrow" w:cs="Times New Roman"/>
                <w:b/>
                <w:bCs/>
                <w:strike/>
                <w:color w:val="333333"/>
                <w:sz w:val="18"/>
                <w:szCs w:val="18"/>
              </w:rPr>
            </w:pPr>
            <w:r w:rsidRPr="008154B1">
              <w:rPr>
                <w:rFonts w:ascii="Arial Narrow" w:hAnsi="Arial Narrow" w:cs="Times New Roman"/>
                <w:strike/>
                <w:color w:val="333333"/>
                <w:sz w:val="18"/>
                <w:szCs w:val="18"/>
              </w:rPr>
              <w:t>This medicine is not PBS subsidised for use in combination with C1-esterase inhibitor</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b/>
                <w:bCs/>
                <w:i/>
                <w:color w:val="333333"/>
                <w:sz w:val="18"/>
                <w:szCs w:val="18"/>
              </w:rPr>
            </w:pPr>
            <w:r w:rsidRPr="008154B1">
              <w:rPr>
                <w:rFonts w:ascii="Arial Narrow" w:hAnsi="Arial Narrow" w:cs="Times New Roman"/>
                <w:b/>
                <w:bCs/>
                <w:i/>
                <w:color w:val="333333"/>
                <w:sz w:val="18"/>
                <w:szCs w:val="18"/>
              </w:rPr>
              <w:t>Administrative Advice: (applicable to telephone/online authority approvals)</w:t>
            </w:r>
          </w:p>
          <w:p w:rsidR="006737E3" w:rsidRPr="008154B1" w:rsidRDefault="006737E3" w:rsidP="006A1E9D">
            <w:pPr>
              <w:jc w:val="left"/>
              <w:rPr>
                <w:rFonts w:ascii="Arial Narrow" w:hAnsi="Arial Narrow" w:cs="Times New Roman"/>
                <w:bCs/>
                <w:i/>
                <w:color w:val="333333"/>
                <w:sz w:val="18"/>
                <w:szCs w:val="18"/>
              </w:rPr>
            </w:pPr>
            <w:r w:rsidRPr="008154B1">
              <w:rPr>
                <w:rFonts w:ascii="Arial Narrow" w:hAnsi="Arial Narrow" w:cs="Times New Roman"/>
                <w:bCs/>
                <w:i/>
                <w:color w:val="333333"/>
                <w:sz w:val="18"/>
                <w:szCs w:val="18"/>
              </w:rPr>
              <w:t>Applications for authorisation under this restriction may be made in real time using the Online PBS Authorities system (see www.servicesaustralia.gov.au/HPOS) or by telephone by contacting Services Australia on 1800 888 33</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b/>
                <w:bCs/>
                <w:color w:val="333333"/>
                <w:sz w:val="18"/>
                <w:szCs w:val="18"/>
              </w:rPr>
              <w:t>Administrative Advice:</w:t>
            </w:r>
            <w:r w:rsidRPr="008154B1">
              <w:rPr>
                <w:rFonts w:ascii="Arial Narrow" w:hAnsi="Arial Narrow" w:cs="Times New Roman"/>
                <w:color w:val="333333"/>
                <w:sz w:val="18"/>
                <w:szCs w:val="18"/>
              </w:rPr>
              <w:t xml:space="preserve"> No increase in the maximum quantity or number of units may be authorised.</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b/>
                <w:bCs/>
                <w:color w:val="333333"/>
                <w:sz w:val="18"/>
                <w:szCs w:val="18"/>
              </w:rPr>
              <w:t>Administrative Advice:</w:t>
            </w:r>
            <w:r w:rsidRPr="008154B1">
              <w:rPr>
                <w:rFonts w:ascii="Arial Narrow" w:hAnsi="Arial Narrow" w:cs="Times New Roman"/>
                <w:color w:val="333333"/>
                <w:sz w:val="18"/>
                <w:szCs w:val="18"/>
              </w:rPr>
              <w:t xml:space="preserve"> No increase in the maximum number of repeats may be authorised</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i/>
                <w:color w:val="333333"/>
                <w:sz w:val="18"/>
                <w:szCs w:val="18"/>
              </w:rPr>
            </w:pPr>
            <w:r w:rsidRPr="008154B1">
              <w:rPr>
                <w:rFonts w:ascii="Arial Narrow" w:hAnsi="Arial Narrow" w:cs="Times New Roman"/>
                <w:b/>
                <w:bCs/>
                <w:i/>
                <w:color w:val="333333"/>
                <w:sz w:val="18"/>
                <w:szCs w:val="18"/>
              </w:rPr>
              <w:t>Administrative Advice:</w:t>
            </w:r>
            <w:r w:rsidRPr="008154B1">
              <w:rPr>
                <w:rFonts w:ascii="Arial Narrow" w:hAnsi="Arial Narrow" w:cs="Times New Roman"/>
                <w:i/>
                <w:color w:val="333333"/>
                <w:sz w:val="18"/>
                <w:szCs w:val="18"/>
              </w:rPr>
              <w:t xml:space="preserve"> Special pricing arrangements apply</w:t>
            </w:r>
          </w:p>
        </w:tc>
      </w:tr>
    </w:tbl>
    <w:p w:rsidR="006737E3" w:rsidRPr="008154B1" w:rsidRDefault="006737E3" w:rsidP="006737E3">
      <w:pPr>
        <w:spacing w:before="240" w:after="120"/>
        <w:jc w:val="left"/>
        <w:rPr>
          <w:rFonts w:eastAsia="Calibri" w:cs="Calibri"/>
          <w:u w:val="single"/>
          <w:lang w:eastAsia="en-US"/>
        </w:rPr>
      </w:pPr>
      <w:r w:rsidRPr="008154B1">
        <w:rPr>
          <w:rFonts w:eastAsia="Calibri" w:cs="Calibri"/>
          <w:u w:val="single"/>
          <w:lang w:eastAsia="en-US"/>
        </w:rPr>
        <w:t>Continuing treatment Restriction Summary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6737E3" w:rsidRPr="008154B1" w:rsidTr="006737E3">
        <w:tc>
          <w:tcPr>
            <w:tcW w:w="5000" w:type="pct"/>
            <w:tcBorders>
              <w:top w:val="single" w:sz="4" w:space="0" w:color="auto"/>
              <w:left w:val="single" w:sz="4" w:space="0" w:color="auto"/>
              <w:bottom w:val="single" w:sz="4" w:space="0" w:color="auto"/>
              <w:right w:val="single" w:sz="4" w:space="0" w:color="auto"/>
            </w:tcBorders>
          </w:tcPr>
          <w:p w:rsidR="006737E3" w:rsidRPr="008154B1" w:rsidRDefault="006737E3" w:rsidP="006A1E9D">
            <w:pPr>
              <w:rPr>
                <w:rFonts w:ascii="Arial Narrow" w:eastAsia="Calibri" w:hAnsi="Arial Narrow"/>
                <w:sz w:val="18"/>
                <w:szCs w:val="18"/>
                <w:lang w:eastAsia="en-US"/>
              </w:rPr>
            </w:pPr>
            <w:r w:rsidRPr="008154B1">
              <w:rPr>
                <w:rFonts w:ascii="Arial Narrow" w:eastAsia="Calibri" w:hAnsi="Arial Narrow"/>
                <w:b/>
                <w:sz w:val="18"/>
                <w:szCs w:val="18"/>
                <w:lang w:eastAsia="en-US"/>
              </w:rPr>
              <w:t xml:space="preserve">Category / Program:   </w:t>
            </w:r>
            <w:r w:rsidRPr="008154B1">
              <w:rPr>
                <w:rFonts w:ascii="Arial Narrow" w:eastAsia="Calibri" w:hAnsi="Arial Narrow"/>
                <w:sz w:val="18"/>
                <w:szCs w:val="18"/>
                <w:lang w:eastAsia="en-US"/>
              </w:rPr>
              <w:t xml:space="preserve">GENERAL – General Schedule (Code GE) </w:t>
            </w:r>
          </w:p>
        </w:tc>
      </w:tr>
      <w:tr w:rsidR="006737E3" w:rsidRPr="008154B1" w:rsidTr="006737E3">
        <w:trPr>
          <w:trHeight w:val="217"/>
        </w:trPr>
        <w:tc>
          <w:tcPr>
            <w:tcW w:w="5000" w:type="pct"/>
            <w:tcBorders>
              <w:top w:val="single" w:sz="4" w:space="0" w:color="auto"/>
              <w:left w:val="single" w:sz="4" w:space="0" w:color="auto"/>
              <w:bottom w:val="single" w:sz="4" w:space="0" w:color="auto"/>
              <w:right w:val="single" w:sz="4" w:space="0" w:color="auto"/>
            </w:tcBorders>
          </w:tcPr>
          <w:p w:rsidR="006737E3" w:rsidRPr="008154B1" w:rsidRDefault="006737E3" w:rsidP="00742422">
            <w:pPr>
              <w:rPr>
                <w:rFonts w:ascii="Arial Narrow" w:eastAsia="Calibri" w:hAnsi="Arial Narrow"/>
                <w:sz w:val="18"/>
                <w:szCs w:val="18"/>
                <w:lang w:eastAsia="en-US"/>
              </w:rPr>
            </w:pPr>
            <w:r w:rsidRPr="008154B1">
              <w:rPr>
                <w:rFonts w:ascii="Arial Narrow" w:eastAsia="Calibri" w:hAnsi="Arial Narrow"/>
                <w:b/>
                <w:sz w:val="18"/>
                <w:szCs w:val="18"/>
                <w:lang w:eastAsia="en-US"/>
              </w:rPr>
              <w:t xml:space="preserve">Prescriber type:  </w:t>
            </w:r>
            <w:r w:rsidRPr="008154B1">
              <w:rPr>
                <w:rFonts w:ascii="Arial Narrow" w:eastAsia="Calibri" w:hAnsi="Arial Narrow"/>
                <w:sz w:val="18"/>
                <w:szCs w:val="18"/>
                <w:lang w:eastAsia="en-US"/>
              </w:rPr>
              <w:fldChar w:fldCharType="begin">
                <w:ffData>
                  <w:name w:val=""/>
                  <w:enabled/>
                  <w:calcOnExit w:val="0"/>
                  <w:checkBox>
                    <w:sizeAuto/>
                    <w:default w:val="1"/>
                  </w:checkBox>
                </w:ffData>
              </w:fldChar>
            </w:r>
            <w:r w:rsidRPr="008154B1">
              <w:rPr>
                <w:rFonts w:ascii="Arial Narrow" w:eastAsia="Calibri" w:hAnsi="Arial Narrow"/>
                <w:sz w:val="18"/>
                <w:szCs w:val="18"/>
                <w:lang w:eastAsia="en-US"/>
              </w:rPr>
              <w:instrText xml:space="preserve"> FORMCHECKBOX </w:instrText>
            </w:r>
            <w:r w:rsidR="00CD20FA">
              <w:rPr>
                <w:rFonts w:ascii="Arial Narrow" w:eastAsia="Calibri" w:hAnsi="Arial Narrow"/>
                <w:sz w:val="18"/>
                <w:szCs w:val="18"/>
                <w:lang w:eastAsia="en-US"/>
              </w:rPr>
            </w:r>
            <w:r w:rsidR="00CD20FA">
              <w:rPr>
                <w:rFonts w:ascii="Arial Narrow" w:eastAsia="Calibri" w:hAnsi="Arial Narrow"/>
                <w:sz w:val="18"/>
                <w:szCs w:val="18"/>
                <w:lang w:eastAsia="en-US"/>
              </w:rPr>
              <w:fldChar w:fldCharType="separate"/>
            </w:r>
            <w:r w:rsidRPr="008154B1">
              <w:rPr>
                <w:rFonts w:ascii="Arial Narrow" w:eastAsia="Calibri" w:hAnsi="Arial Narrow"/>
                <w:sz w:val="18"/>
                <w:szCs w:val="18"/>
                <w:lang w:eastAsia="en-US"/>
              </w:rPr>
              <w:fldChar w:fldCharType="end"/>
            </w:r>
            <w:r w:rsidRPr="008154B1">
              <w:rPr>
                <w:rFonts w:ascii="Arial Narrow" w:eastAsia="Calibri" w:hAnsi="Arial Narrow"/>
                <w:sz w:val="18"/>
                <w:szCs w:val="18"/>
                <w:lang w:eastAsia="en-US"/>
              </w:rPr>
              <w:t xml:space="preserve">Medical Practitioners  </w:t>
            </w:r>
          </w:p>
        </w:tc>
      </w:tr>
      <w:tr w:rsidR="006737E3" w:rsidRPr="008154B1" w:rsidTr="006737E3">
        <w:tc>
          <w:tcPr>
            <w:tcW w:w="5000" w:type="pct"/>
            <w:tcBorders>
              <w:top w:val="single" w:sz="4" w:space="0" w:color="auto"/>
              <w:left w:val="single" w:sz="4" w:space="0" w:color="auto"/>
              <w:bottom w:val="single" w:sz="4" w:space="0" w:color="auto"/>
              <w:right w:val="single" w:sz="4" w:space="0" w:color="auto"/>
            </w:tcBorders>
          </w:tcPr>
          <w:p w:rsidR="006737E3" w:rsidRPr="008154B1" w:rsidRDefault="006737E3" w:rsidP="006A1E9D">
            <w:pPr>
              <w:rPr>
                <w:rFonts w:ascii="Arial Narrow" w:eastAsia="Calibri" w:hAnsi="Arial Narrow"/>
                <w:b/>
                <w:sz w:val="18"/>
                <w:szCs w:val="18"/>
                <w:lang w:eastAsia="en-US"/>
              </w:rPr>
            </w:pPr>
            <w:r w:rsidRPr="008154B1">
              <w:rPr>
                <w:rFonts w:ascii="Arial Narrow" w:eastAsia="Calibri" w:hAnsi="Arial Narrow"/>
                <w:b/>
                <w:sz w:val="18"/>
                <w:szCs w:val="18"/>
                <w:lang w:eastAsia="en-US"/>
              </w:rPr>
              <w:t xml:space="preserve">Restriction </w:t>
            </w:r>
            <w:r w:rsidR="00742422" w:rsidRPr="008154B1">
              <w:rPr>
                <w:rFonts w:ascii="Arial Narrow" w:eastAsia="Calibri" w:hAnsi="Arial Narrow"/>
                <w:b/>
                <w:sz w:val="18"/>
                <w:szCs w:val="18"/>
                <w:lang w:eastAsia="en-US"/>
              </w:rPr>
              <w:t xml:space="preserve">type </w:t>
            </w:r>
            <w:r w:rsidRPr="008154B1">
              <w:rPr>
                <w:rFonts w:ascii="Arial Narrow" w:eastAsia="Calibri" w:hAnsi="Arial Narrow"/>
                <w:b/>
                <w:sz w:val="18"/>
                <w:szCs w:val="18"/>
                <w:lang w:eastAsia="en-US"/>
              </w:rPr>
              <w:t>/ Method:</w:t>
            </w:r>
          </w:p>
          <w:p w:rsidR="006737E3" w:rsidRPr="008154B1" w:rsidRDefault="006737E3" w:rsidP="006A1E9D">
            <w:pPr>
              <w:rPr>
                <w:rFonts w:ascii="Arial Narrow" w:eastAsia="Calibri" w:hAnsi="Arial Narrow"/>
                <w:strike/>
                <w:sz w:val="18"/>
                <w:szCs w:val="18"/>
                <w:lang w:eastAsia="en-US"/>
              </w:rPr>
            </w:pPr>
            <w:r w:rsidRPr="008154B1">
              <w:rPr>
                <w:rFonts w:ascii="Arial Narrow" w:eastAsia="Calibri" w:hAnsi="Arial Narrow"/>
                <w:strike/>
                <w:sz w:val="18"/>
                <w:szCs w:val="18"/>
                <w:lang w:eastAsia="en-US"/>
              </w:rPr>
              <w:fldChar w:fldCharType="begin">
                <w:ffData>
                  <w:name w:val=""/>
                  <w:enabled/>
                  <w:calcOnExit w:val="0"/>
                  <w:checkBox>
                    <w:sizeAuto/>
                    <w:default w:val="1"/>
                  </w:checkBox>
                </w:ffData>
              </w:fldChar>
            </w:r>
            <w:r w:rsidRPr="008154B1">
              <w:rPr>
                <w:rFonts w:ascii="Arial Narrow" w:eastAsia="Calibri" w:hAnsi="Arial Narrow"/>
                <w:strike/>
                <w:sz w:val="18"/>
                <w:szCs w:val="18"/>
                <w:lang w:eastAsia="en-US"/>
              </w:rPr>
              <w:instrText xml:space="preserve"> FORMCHECKBOX </w:instrText>
            </w:r>
            <w:r w:rsidR="00CD20FA">
              <w:rPr>
                <w:rFonts w:ascii="Arial Narrow" w:eastAsia="Calibri" w:hAnsi="Arial Narrow"/>
                <w:strike/>
                <w:sz w:val="18"/>
                <w:szCs w:val="18"/>
                <w:lang w:eastAsia="en-US"/>
              </w:rPr>
            </w:r>
            <w:r w:rsidR="00CD20FA">
              <w:rPr>
                <w:rFonts w:ascii="Arial Narrow" w:eastAsia="Calibri" w:hAnsi="Arial Narrow"/>
                <w:strike/>
                <w:sz w:val="18"/>
                <w:szCs w:val="18"/>
                <w:lang w:eastAsia="en-US"/>
              </w:rPr>
              <w:fldChar w:fldCharType="separate"/>
            </w:r>
            <w:r w:rsidRPr="008154B1">
              <w:rPr>
                <w:rFonts w:ascii="Arial Narrow" w:eastAsia="Calibri" w:hAnsi="Arial Narrow"/>
                <w:strike/>
                <w:sz w:val="18"/>
                <w:szCs w:val="18"/>
                <w:lang w:eastAsia="en-US"/>
              </w:rPr>
              <w:fldChar w:fldCharType="end"/>
            </w:r>
            <w:r w:rsidRPr="008154B1">
              <w:rPr>
                <w:rFonts w:ascii="Arial Narrow" w:eastAsia="Calibri" w:hAnsi="Arial Narrow"/>
                <w:strike/>
                <w:sz w:val="18"/>
                <w:szCs w:val="18"/>
                <w:lang w:eastAsia="en-US"/>
              </w:rPr>
              <w:t>Authority Required – non-immediate/delayed assessment by Medicare (In-writing only via mail/postal service or electronic upload to Hobart)</w:t>
            </w:r>
          </w:p>
          <w:p w:rsidR="006737E3" w:rsidRPr="008154B1" w:rsidRDefault="006737E3" w:rsidP="00742422">
            <w:pPr>
              <w:rPr>
                <w:rFonts w:ascii="Arial Narrow" w:eastAsia="Calibri" w:hAnsi="Arial Narrow"/>
                <w:sz w:val="18"/>
                <w:szCs w:val="18"/>
                <w:lang w:eastAsia="en-US"/>
              </w:rPr>
            </w:pPr>
            <w:r w:rsidRPr="008154B1">
              <w:rPr>
                <w:rFonts w:ascii="Arial Narrow" w:eastAsia="Calibri" w:hAnsi="Arial Narrow"/>
                <w:sz w:val="18"/>
                <w:szCs w:val="18"/>
                <w:lang w:eastAsia="en-US"/>
              </w:rPr>
              <w:fldChar w:fldCharType="begin">
                <w:ffData>
                  <w:name w:val=""/>
                  <w:enabled/>
                  <w:calcOnExit w:val="0"/>
                  <w:checkBox>
                    <w:sizeAuto/>
                    <w:default w:val="1"/>
                  </w:checkBox>
                </w:ffData>
              </w:fldChar>
            </w:r>
            <w:r w:rsidRPr="008154B1">
              <w:rPr>
                <w:rFonts w:ascii="Arial Narrow" w:eastAsia="Calibri" w:hAnsi="Arial Narrow"/>
                <w:sz w:val="18"/>
                <w:szCs w:val="18"/>
                <w:lang w:eastAsia="en-US"/>
              </w:rPr>
              <w:instrText xml:space="preserve"> FORMCHECKBOX </w:instrText>
            </w:r>
            <w:r w:rsidR="00CD20FA">
              <w:rPr>
                <w:rFonts w:ascii="Arial Narrow" w:eastAsia="Calibri" w:hAnsi="Arial Narrow"/>
                <w:sz w:val="18"/>
                <w:szCs w:val="18"/>
                <w:lang w:eastAsia="en-US"/>
              </w:rPr>
            </w:r>
            <w:r w:rsidR="00CD20FA">
              <w:rPr>
                <w:rFonts w:ascii="Arial Narrow" w:eastAsia="Calibri" w:hAnsi="Arial Narrow"/>
                <w:sz w:val="18"/>
                <w:szCs w:val="18"/>
                <w:lang w:eastAsia="en-US"/>
              </w:rPr>
              <w:fldChar w:fldCharType="separate"/>
            </w:r>
            <w:r w:rsidRPr="008154B1">
              <w:rPr>
                <w:rFonts w:ascii="Arial Narrow" w:eastAsia="Calibri" w:hAnsi="Arial Narrow"/>
                <w:sz w:val="18"/>
                <w:szCs w:val="18"/>
                <w:lang w:eastAsia="en-US"/>
              </w:rPr>
              <w:fldChar w:fldCharType="end"/>
            </w:r>
            <w:r w:rsidRPr="008154B1">
              <w:rPr>
                <w:rFonts w:ascii="Arial Narrow" w:eastAsia="Calibri" w:hAnsi="Arial Narrow"/>
                <w:i/>
                <w:sz w:val="18"/>
                <w:szCs w:val="18"/>
                <w:lang w:eastAsia="en-US"/>
              </w:rPr>
              <w:t xml:space="preserve">Authority Required – immediate/real time assessment by </w:t>
            </w:r>
            <w:r w:rsidR="00742422" w:rsidRPr="008154B1">
              <w:rPr>
                <w:rFonts w:ascii="Arial Narrow" w:eastAsia="Calibri" w:hAnsi="Arial Narrow"/>
                <w:i/>
                <w:sz w:val="18"/>
                <w:szCs w:val="18"/>
                <w:lang w:eastAsia="en-US"/>
              </w:rPr>
              <w:t xml:space="preserve">Services Australia </w:t>
            </w:r>
            <w:r w:rsidRPr="008154B1">
              <w:rPr>
                <w:rFonts w:ascii="Arial Narrow" w:eastAsia="Calibri" w:hAnsi="Arial Narrow"/>
                <w:i/>
                <w:sz w:val="18"/>
                <w:szCs w:val="18"/>
                <w:lang w:eastAsia="en-US"/>
              </w:rPr>
              <w:t>(telephone/online)</w:t>
            </w:r>
          </w:p>
        </w:tc>
      </w:tr>
      <w:tr w:rsidR="006737E3" w:rsidRPr="008154B1" w:rsidTr="006737E3">
        <w:tc>
          <w:tcPr>
            <w:tcW w:w="5000" w:type="pct"/>
            <w:tcBorders>
              <w:left w:val="single" w:sz="4" w:space="0" w:color="auto"/>
            </w:tcBorders>
            <w:vAlign w:val="center"/>
          </w:tcPr>
          <w:p w:rsidR="006737E3" w:rsidRPr="008154B1" w:rsidRDefault="006737E3" w:rsidP="006A1E9D">
            <w:pPr>
              <w:jc w:val="left"/>
              <w:rPr>
                <w:rFonts w:ascii="Arial Narrow" w:hAnsi="Arial Narrow" w:cs="Times New Roman"/>
                <w:b/>
                <w:bCs/>
                <w:color w:val="333333"/>
                <w:sz w:val="18"/>
                <w:szCs w:val="18"/>
              </w:rPr>
            </w:pPr>
            <w:r w:rsidRPr="008154B1">
              <w:rPr>
                <w:rFonts w:ascii="Arial Narrow" w:hAnsi="Arial Narrow" w:cs="Times New Roman"/>
                <w:b/>
                <w:bCs/>
                <w:color w:val="333333"/>
                <w:sz w:val="18"/>
                <w:szCs w:val="18"/>
              </w:rPr>
              <w:t xml:space="preserve">Episodicity: </w:t>
            </w:r>
            <w:r w:rsidRPr="008154B1">
              <w:rPr>
                <w:rFonts w:ascii="Arial Narrow" w:hAnsi="Arial Narrow" w:cs="Times New Roman"/>
                <w:bCs/>
                <w:i/>
                <w:color w:val="333333"/>
                <w:sz w:val="18"/>
                <w:szCs w:val="18"/>
              </w:rPr>
              <w:t>Chronic treatment of</w:t>
            </w:r>
          </w:p>
        </w:tc>
      </w:tr>
      <w:tr w:rsidR="006737E3" w:rsidRPr="008154B1" w:rsidTr="006737E3">
        <w:tc>
          <w:tcPr>
            <w:tcW w:w="5000" w:type="pct"/>
            <w:tcBorders>
              <w:left w:val="single" w:sz="4" w:space="0" w:color="auto"/>
            </w:tcBorders>
            <w:vAlign w:val="center"/>
          </w:tcPr>
          <w:p w:rsidR="006737E3" w:rsidRPr="008154B1" w:rsidRDefault="006737E3" w:rsidP="006A1E9D">
            <w:pPr>
              <w:jc w:val="left"/>
              <w:rPr>
                <w:rFonts w:ascii="Arial Narrow" w:hAnsi="Arial Narrow" w:cs="Times New Roman"/>
                <w:b/>
                <w:bCs/>
                <w:i/>
                <w:color w:val="333333"/>
                <w:sz w:val="18"/>
                <w:szCs w:val="18"/>
              </w:rPr>
            </w:pPr>
            <w:r w:rsidRPr="008154B1">
              <w:rPr>
                <w:rFonts w:ascii="Arial Narrow" w:hAnsi="Arial Narrow" w:cs="Times New Roman"/>
                <w:b/>
                <w:bCs/>
                <w:color w:val="333333"/>
                <w:sz w:val="18"/>
                <w:szCs w:val="18"/>
              </w:rPr>
              <w:t xml:space="preserve">Condition: </w:t>
            </w:r>
            <w:r w:rsidRPr="008154B1">
              <w:rPr>
                <w:rFonts w:ascii="Arial Narrow" w:hAnsi="Arial Narrow" w:cs="Times New Roman"/>
                <w:bCs/>
                <w:color w:val="333333"/>
                <w:sz w:val="18"/>
                <w:szCs w:val="18"/>
              </w:rPr>
              <w:t xml:space="preserve">hereditary angioedema </w:t>
            </w:r>
            <w:r w:rsidRPr="008154B1">
              <w:rPr>
                <w:rFonts w:ascii="Arial Narrow" w:hAnsi="Arial Narrow" w:cs="Times New Roman"/>
                <w:bCs/>
                <w:strike/>
                <w:color w:val="333333"/>
                <w:sz w:val="18"/>
                <w:szCs w:val="18"/>
              </w:rPr>
              <w:t>(HAE)</w:t>
            </w:r>
            <w:r w:rsidRPr="008154B1">
              <w:rPr>
                <w:rFonts w:ascii="Arial Narrow" w:hAnsi="Arial Narrow" w:cs="Times New Roman"/>
                <w:bCs/>
                <w:color w:val="333333"/>
                <w:sz w:val="18"/>
                <w:szCs w:val="18"/>
              </w:rPr>
              <w:t xml:space="preserve"> </w:t>
            </w:r>
            <w:r w:rsidRPr="008154B1">
              <w:rPr>
                <w:rFonts w:ascii="Arial Narrow" w:hAnsi="Arial Narrow" w:cs="Times New Roman"/>
                <w:bCs/>
                <w:i/>
                <w:color w:val="333333"/>
                <w:sz w:val="18"/>
                <w:szCs w:val="18"/>
              </w:rPr>
              <w:t>Types 1 or 2</w:t>
            </w:r>
          </w:p>
        </w:tc>
      </w:tr>
      <w:tr w:rsidR="006737E3" w:rsidRPr="008154B1" w:rsidTr="006737E3">
        <w:tc>
          <w:tcPr>
            <w:tcW w:w="5000" w:type="pct"/>
            <w:vAlign w:val="center"/>
            <w:hideMark/>
          </w:tcPr>
          <w:p w:rsidR="006737E3" w:rsidRPr="008154B1" w:rsidRDefault="006737E3" w:rsidP="006A1E9D">
            <w:pPr>
              <w:jc w:val="left"/>
              <w:rPr>
                <w:rFonts w:ascii="Arial Narrow" w:hAnsi="Arial Narrow" w:cs="Times New Roman"/>
                <w:i/>
                <w:color w:val="333333"/>
                <w:sz w:val="18"/>
                <w:szCs w:val="18"/>
              </w:rPr>
            </w:pPr>
            <w:r w:rsidRPr="008154B1">
              <w:rPr>
                <w:rFonts w:ascii="Arial Narrow" w:hAnsi="Arial Narrow" w:cs="Times New Roman"/>
                <w:b/>
                <w:bCs/>
                <w:color w:val="333333"/>
                <w:sz w:val="18"/>
                <w:szCs w:val="18"/>
              </w:rPr>
              <w:t xml:space="preserve">PBS Indication: </w:t>
            </w:r>
            <w:r w:rsidRPr="008154B1">
              <w:rPr>
                <w:rFonts w:ascii="Arial Narrow" w:hAnsi="Arial Narrow" w:cs="Times New Roman"/>
                <w:bCs/>
                <w:i/>
                <w:color w:val="333333"/>
                <w:sz w:val="18"/>
                <w:szCs w:val="18"/>
              </w:rPr>
              <w:t>Chronic treatment of</w:t>
            </w:r>
            <w:r w:rsidRPr="008154B1">
              <w:rPr>
                <w:rFonts w:ascii="Arial Narrow" w:hAnsi="Arial Narrow" w:cs="Times New Roman"/>
                <w:b/>
                <w:bCs/>
                <w:color w:val="333333"/>
                <w:sz w:val="18"/>
                <w:szCs w:val="18"/>
              </w:rPr>
              <w:t xml:space="preserve"> </w:t>
            </w:r>
            <w:r w:rsidRPr="008154B1">
              <w:rPr>
                <w:rFonts w:ascii="Arial Narrow" w:hAnsi="Arial Narrow" w:cs="Times New Roman"/>
                <w:bCs/>
                <w:color w:val="333333"/>
                <w:sz w:val="18"/>
                <w:szCs w:val="18"/>
              </w:rPr>
              <w:t xml:space="preserve">hereditary angioedema </w:t>
            </w:r>
            <w:r w:rsidRPr="008154B1">
              <w:rPr>
                <w:rFonts w:ascii="Arial Narrow" w:hAnsi="Arial Narrow" w:cs="Times New Roman"/>
                <w:bCs/>
                <w:strike/>
                <w:color w:val="333333"/>
                <w:sz w:val="18"/>
                <w:szCs w:val="18"/>
              </w:rPr>
              <w:t>(HAE)</w:t>
            </w:r>
            <w:r w:rsidRPr="008154B1">
              <w:rPr>
                <w:rFonts w:ascii="Arial Narrow" w:hAnsi="Arial Narrow" w:cs="Times New Roman"/>
                <w:bCs/>
                <w:color w:val="333333"/>
                <w:sz w:val="18"/>
                <w:szCs w:val="18"/>
              </w:rPr>
              <w:t xml:space="preserve"> </w:t>
            </w:r>
            <w:r w:rsidRPr="008154B1">
              <w:rPr>
                <w:rFonts w:ascii="Arial Narrow" w:hAnsi="Arial Narrow" w:cs="Times New Roman"/>
                <w:bCs/>
                <w:i/>
                <w:color w:val="333333"/>
                <w:sz w:val="18"/>
                <w:szCs w:val="18"/>
              </w:rPr>
              <w:t>Types 1 or 2</w:t>
            </w:r>
          </w:p>
        </w:tc>
      </w:tr>
      <w:tr w:rsidR="006737E3" w:rsidRPr="008154B1" w:rsidTr="006737E3">
        <w:trPr>
          <w:trHeight w:val="304"/>
        </w:trPr>
        <w:tc>
          <w:tcPr>
            <w:tcW w:w="5000" w:type="pct"/>
            <w:vAlign w:val="center"/>
            <w:hideMark/>
          </w:tcPr>
          <w:p w:rsidR="006737E3" w:rsidRPr="008154B1" w:rsidRDefault="006737E3" w:rsidP="006A1E9D">
            <w:pPr>
              <w:jc w:val="left"/>
              <w:rPr>
                <w:rFonts w:ascii="Arial Narrow" w:hAnsi="Arial Narrow" w:cs="Times New Roman"/>
                <w:i/>
                <w:color w:val="333333"/>
                <w:sz w:val="18"/>
                <w:szCs w:val="18"/>
              </w:rPr>
            </w:pPr>
            <w:r w:rsidRPr="008154B1">
              <w:rPr>
                <w:rFonts w:ascii="Arial Narrow" w:hAnsi="Arial Narrow" w:cs="Times New Roman"/>
                <w:b/>
                <w:bCs/>
                <w:color w:val="333333"/>
                <w:sz w:val="18"/>
                <w:szCs w:val="18"/>
              </w:rPr>
              <w:t>Treatment Phase:</w:t>
            </w:r>
            <w:r w:rsidRPr="008154B1">
              <w:rPr>
                <w:rFonts w:ascii="Times New Roman" w:eastAsia="Calibri" w:hAnsi="Times New Roman" w:cs="Times New Roman"/>
                <w:lang w:eastAsia="en-US"/>
              </w:rPr>
              <w:t xml:space="preserve"> </w:t>
            </w:r>
            <w:r w:rsidRPr="008154B1">
              <w:rPr>
                <w:rFonts w:ascii="Arial Narrow" w:hAnsi="Arial Narrow" w:cs="Times New Roman"/>
                <w:bCs/>
                <w:color w:val="333333"/>
                <w:sz w:val="18"/>
                <w:szCs w:val="18"/>
              </w:rPr>
              <w:t xml:space="preserve">Continuing </w:t>
            </w:r>
            <w:r w:rsidRPr="008154B1">
              <w:rPr>
                <w:rFonts w:ascii="Arial Narrow" w:hAnsi="Arial Narrow" w:cs="Times New Roman"/>
                <w:bCs/>
                <w:i/>
                <w:color w:val="333333"/>
                <w:sz w:val="18"/>
                <w:szCs w:val="18"/>
              </w:rPr>
              <w:t>preventative</w:t>
            </w:r>
            <w:r w:rsidRPr="008154B1">
              <w:rPr>
                <w:rFonts w:ascii="Arial Narrow" w:hAnsi="Arial Narrow" w:cs="Times New Roman"/>
                <w:bCs/>
                <w:color w:val="333333"/>
                <w:sz w:val="18"/>
                <w:szCs w:val="18"/>
              </w:rPr>
              <w:t xml:space="preserve"> </w:t>
            </w:r>
            <w:r w:rsidRPr="008154B1">
              <w:rPr>
                <w:rFonts w:ascii="Arial Narrow" w:hAnsi="Arial Narrow" w:cs="Times New Roman"/>
                <w:bCs/>
                <w:i/>
                <w:color w:val="333333"/>
                <w:sz w:val="18"/>
                <w:szCs w:val="18"/>
              </w:rPr>
              <w:t xml:space="preserve">treatment </w:t>
            </w:r>
          </w:p>
        </w:tc>
      </w:tr>
      <w:tr w:rsidR="006737E3" w:rsidRPr="008154B1" w:rsidTr="006737E3">
        <w:tc>
          <w:tcPr>
            <w:tcW w:w="5000" w:type="pct"/>
            <w:vAlign w:val="center"/>
            <w:hideMark/>
          </w:tcPr>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b/>
                <w:bCs/>
                <w:color w:val="333333"/>
                <w:sz w:val="18"/>
                <w:szCs w:val="18"/>
              </w:rPr>
              <w:t>Clinical criteria:</w:t>
            </w:r>
          </w:p>
        </w:tc>
      </w:tr>
      <w:tr w:rsidR="006737E3" w:rsidRPr="008154B1" w:rsidTr="006737E3">
        <w:trPr>
          <w:trHeight w:val="140"/>
        </w:trPr>
        <w:tc>
          <w:tcPr>
            <w:tcW w:w="5000" w:type="pct"/>
            <w:vAlign w:val="center"/>
            <w:hideMark/>
          </w:tcPr>
          <w:p w:rsidR="006737E3" w:rsidRPr="008154B1" w:rsidRDefault="006737E3" w:rsidP="006A1E9D">
            <w:pPr>
              <w:jc w:val="left"/>
              <w:rPr>
                <w:rFonts w:ascii="Arial Narrow" w:hAnsi="Arial Narrow" w:cs="Times New Roman"/>
                <w:i/>
                <w:color w:val="333333"/>
                <w:sz w:val="18"/>
                <w:szCs w:val="18"/>
              </w:rPr>
            </w:pPr>
            <w:r w:rsidRPr="008154B1">
              <w:rPr>
                <w:rFonts w:ascii="Arial Narrow" w:hAnsi="Arial Narrow" w:cs="Times New Roman"/>
                <w:color w:val="333333"/>
                <w:sz w:val="18"/>
                <w:szCs w:val="18"/>
              </w:rPr>
              <w:t xml:space="preserve">Patient must have previously received PBS-subsidised </w:t>
            </w:r>
            <w:r w:rsidRPr="008154B1">
              <w:rPr>
                <w:rFonts w:ascii="Arial Narrow" w:hAnsi="Arial Narrow" w:cs="Times New Roman"/>
                <w:strike/>
                <w:color w:val="333333"/>
                <w:sz w:val="18"/>
                <w:szCs w:val="18"/>
              </w:rPr>
              <w:t xml:space="preserve">initial </w:t>
            </w:r>
            <w:r w:rsidRPr="008154B1">
              <w:rPr>
                <w:rFonts w:ascii="Arial Narrow" w:hAnsi="Arial Narrow" w:cs="Times New Roman"/>
                <w:color w:val="333333"/>
                <w:sz w:val="18"/>
                <w:szCs w:val="18"/>
              </w:rPr>
              <w:t xml:space="preserve">treatment with this drug </w:t>
            </w:r>
            <w:r w:rsidRPr="008154B1">
              <w:rPr>
                <w:rFonts w:ascii="Arial Narrow" w:hAnsi="Arial Narrow" w:cs="Times New Roman"/>
                <w:strike/>
                <w:color w:val="333333"/>
                <w:sz w:val="18"/>
                <w:szCs w:val="18"/>
              </w:rPr>
              <w:t>as routine prophylaxis for HAE</w:t>
            </w:r>
            <w:r w:rsidRPr="008154B1">
              <w:rPr>
                <w:rFonts w:ascii="Arial Narrow" w:hAnsi="Arial Narrow" w:cs="Times New Roman"/>
                <w:color w:val="333333"/>
                <w:sz w:val="18"/>
                <w:szCs w:val="18"/>
              </w:rPr>
              <w:t xml:space="preserve">, </w:t>
            </w:r>
            <w:r w:rsidRPr="008154B1">
              <w:rPr>
                <w:rFonts w:ascii="Arial Narrow" w:hAnsi="Arial Narrow" w:cs="Times New Roman"/>
                <w:i/>
                <w:color w:val="333333"/>
                <w:sz w:val="18"/>
                <w:szCs w:val="18"/>
              </w:rPr>
              <w:t>for this condition</w:t>
            </w:r>
          </w:p>
        </w:tc>
      </w:tr>
      <w:tr w:rsidR="006737E3" w:rsidRPr="008154B1" w:rsidTr="006737E3">
        <w:tc>
          <w:tcPr>
            <w:tcW w:w="5000" w:type="pct"/>
            <w:vAlign w:val="center"/>
            <w:hideMark/>
          </w:tcPr>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b/>
                <w:bCs/>
                <w:color w:val="333333"/>
                <w:sz w:val="18"/>
                <w:szCs w:val="18"/>
              </w:rPr>
              <w:t>AND</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b/>
                <w:bCs/>
                <w:color w:val="333333"/>
                <w:sz w:val="18"/>
                <w:szCs w:val="18"/>
              </w:rPr>
            </w:pPr>
            <w:r w:rsidRPr="008154B1">
              <w:rPr>
                <w:rFonts w:ascii="Arial Narrow" w:hAnsi="Arial Narrow" w:cs="Times New Roman"/>
                <w:b/>
                <w:bCs/>
                <w:color w:val="333333"/>
                <w:sz w:val="18"/>
                <w:szCs w:val="18"/>
              </w:rPr>
              <w:t>Clinical criteria:</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strike/>
                <w:color w:val="333333"/>
                <w:sz w:val="18"/>
                <w:szCs w:val="18"/>
              </w:rPr>
            </w:pPr>
            <w:r w:rsidRPr="008154B1">
              <w:rPr>
                <w:rFonts w:ascii="Arial Narrow" w:hAnsi="Arial Narrow" w:cs="Times New Roman"/>
                <w:strike/>
                <w:color w:val="333333"/>
                <w:sz w:val="18"/>
                <w:szCs w:val="18"/>
              </w:rPr>
              <w:t>Patient must have demonstrated or maintained a treatment response to treatment with this drug for this condition</w:t>
            </w:r>
          </w:p>
          <w:p w:rsidR="006737E3" w:rsidRPr="008154B1" w:rsidRDefault="006737E3" w:rsidP="006A1E9D">
            <w:pPr>
              <w:jc w:val="left"/>
              <w:rPr>
                <w:rFonts w:ascii="Arial Narrow" w:hAnsi="Arial Narrow" w:cs="Times New Roman"/>
                <w:i/>
                <w:color w:val="333333"/>
                <w:sz w:val="18"/>
                <w:szCs w:val="18"/>
              </w:rPr>
            </w:pPr>
            <w:r w:rsidRPr="008154B1">
              <w:rPr>
                <w:rFonts w:ascii="Arial Narrow" w:hAnsi="Arial Narrow" w:cs="Times New Roman"/>
                <w:i/>
                <w:color w:val="333333"/>
                <w:sz w:val="18"/>
                <w:szCs w:val="18"/>
              </w:rPr>
              <w:t>Patient must have demonstrated or sustained an adequate response to PBS-subsidised treatment with this drug for this condition</w:t>
            </w:r>
          </w:p>
        </w:tc>
      </w:tr>
      <w:tr w:rsidR="006737E3" w:rsidRPr="008154B1" w:rsidTr="006737E3">
        <w:tc>
          <w:tcPr>
            <w:tcW w:w="5000" w:type="pct"/>
            <w:vAlign w:val="center"/>
            <w:hideMark/>
          </w:tcPr>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b/>
                <w:bCs/>
                <w:color w:val="333333"/>
                <w:sz w:val="18"/>
                <w:szCs w:val="18"/>
              </w:rPr>
              <w:t>AND</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b/>
                <w:bCs/>
                <w:color w:val="333333"/>
                <w:sz w:val="18"/>
                <w:szCs w:val="18"/>
              </w:rPr>
            </w:pPr>
            <w:r w:rsidRPr="008154B1">
              <w:rPr>
                <w:rFonts w:ascii="Arial Narrow" w:hAnsi="Arial Narrow" w:cs="Times New Roman"/>
                <w:b/>
                <w:bCs/>
                <w:color w:val="333333"/>
                <w:sz w:val="18"/>
                <w:szCs w:val="18"/>
              </w:rPr>
              <w:t>Clinical criteria:</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bCs/>
                <w:i/>
                <w:color w:val="FF00FF"/>
                <w:sz w:val="18"/>
                <w:szCs w:val="18"/>
              </w:rPr>
            </w:pPr>
            <w:r w:rsidRPr="008154B1">
              <w:rPr>
                <w:rFonts w:ascii="Arial Narrow" w:hAnsi="Arial Narrow" w:cs="Times New Roman"/>
                <w:i/>
                <w:color w:val="000000"/>
                <w:sz w:val="18"/>
                <w:szCs w:val="18"/>
              </w:rPr>
              <w:t>This medicine is not PBS subsidised for use in combination with C1-esterase inhibitor concentrate</w:t>
            </w:r>
          </w:p>
        </w:tc>
      </w:tr>
      <w:tr w:rsidR="006737E3" w:rsidRPr="008154B1" w:rsidTr="006737E3">
        <w:tc>
          <w:tcPr>
            <w:tcW w:w="5000" w:type="pct"/>
            <w:vAlign w:val="center"/>
            <w:hideMark/>
          </w:tcPr>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b/>
                <w:bCs/>
                <w:color w:val="333333"/>
                <w:sz w:val="18"/>
                <w:szCs w:val="18"/>
              </w:rPr>
              <w:t>Treatment criteria:</w:t>
            </w:r>
          </w:p>
        </w:tc>
      </w:tr>
      <w:tr w:rsidR="006737E3" w:rsidRPr="008154B1" w:rsidTr="006737E3">
        <w:tc>
          <w:tcPr>
            <w:tcW w:w="5000" w:type="pct"/>
            <w:vAlign w:val="center"/>
            <w:hideMark/>
          </w:tcPr>
          <w:p w:rsidR="006737E3" w:rsidRPr="008154B1" w:rsidRDefault="006737E3" w:rsidP="006A1E9D">
            <w:pPr>
              <w:autoSpaceDE w:val="0"/>
              <w:autoSpaceDN w:val="0"/>
              <w:adjustRightInd w:val="0"/>
              <w:jc w:val="left"/>
              <w:rPr>
                <w:rFonts w:ascii="Arial Narrow" w:eastAsia="Calibri" w:hAnsi="Arial Narrow" w:cs="Arial Narrow"/>
                <w:iCs/>
                <w:strike/>
                <w:sz w:val="18"/>
                <w:szCs w:val="18"/>
                <w:lang w:eastAsia="en-US"/>
              </w:rPr>
            </w:pPr>
            <w:r w:rsidRPr="008154B1">
              <w:rPr>
                <w:rFonts w:ascii="Arial Narrow" w:eastAsia="Calibri" w:hAnsi="Arial Narrow" w:cs="Arial Narrow"/>
                <w:iCs/>
                <w:strike/>
                <w:sz w:val="18"/>
                <w:szCs w:val="18"/>
                <w:lang w:eastAsia="en-US"/>
              </w:rPr>
              <w:t xml:space="preserve">Must be treated by a specialist immunologist; or </w:t>
            </w:r>
          </w:p>
          <w:p w:rsidR="006737E3" w:rsidRPr="008154B1" w:rsidRDefault="006737E3" w:rsidP="006A1E9D">
            <w:pPr>
              <w:autoSpaceDE w:val="0"/>
              <w:autoSpaceDN w:val="0"/>
              <w:adjustRightInd w:val="0"/>
              <w:jc w:val="left"/>
              <w:rPr>
                <w:rFonts w:ascii="Arial Narrow" w:eastAsia="Calibri" w:hAnsi="Arial Narrow" w:cs="Arial Narrow"/>
                <w:iCs/>
                <w:strike/>
                <w:sz w:val="18"/>
                <w:szCs w:val="18"/>
                <w:lang w:eastAsia="en-US"/>
              </w:rPr>
            </w:pPr>
            <w:r w:rsidRPr="008154B1">
              <w:rPr>
                <w:rFonts w:ascii="Arial Narrow" w:eastAsia="Calibri" w:hAnsi="Arial Narrow" w:cs="Arial Narrow"/>
                <w:iCs/>
                <w:strike/>
                <w:sz w:val="18"/>
                <w:szCs w:val="18"/>
                <w:lang w:eastAsia="en-US"/>
              </w:rPr>
              <w:t xml:space="preserve">Must be treated by a specialist immunologist and allergist; or </w:t>
            </w:r>
          </w:p>
          <w:p w:rsidR="006737E3" w:rsidRPr="008154B1" w:rsidRDefault="006737E3" w:rsidP="006A1E9D">
            <w:pPr>
              <w:autoSpaceDE w:val="0"/>
              <w:autoSpaceDN w:val="0"/>
              <w:adjustRightInd w:val="0"/>
              <w:jc w:val="left"/>
              <w:rPr>
                <w:rFonts w:ascii="Arial Narrow" w:eastAsia="Calibri" w:hAnsi="Arial Narrow" w:cs="Arial Narrow"/>
                <w:iCs/>
                <w:strike/>
                <w:sz w:val="18"/>
                <w:szCs w:val="18"/>
                <w:lang w:eastAsia="en-US"/>
              </w:rPr>
            </w:pPr>
            <w:r w:rsidRPr="008154B1">
              <w:rPr>
                <w:rFonts w:ascii="Arial Narrow" w:eastAsia="Calibri" w:hAnsi="Arial Narrow" w:cs="Arial Narrow"/>
                <w:iCs/>
                <w:strike/>
                <w:sz w:val="18"/>
                <w:szCs w:val="18"/>
                <w:lang w:eastAsia="en-US"/>
              </w:rPr>
              <w:t>Must be treated in consultation with a specialist immunologist or immunologist and allergist.</w:t>
            </w:r>
          </w:p>
          <w:p w:rsidR="006737E3" w:rsidRPr="008154B1" w:rsidRDefault="006737E3" w:rsidP="006A1E9D">
            <w:pPr>
              <w:autoSpaceDE w:val="0"/>
              <w:autoSpaceDN w:val="0"/>
              <w:adjustRightInd w:val="0"/>
              <w:jc w:val="left"/>
              <w:rPr>
                <w:rFonts w:ascii="Arial Narrow" w:eastAsia="Calibri" w:hAnsi="Arial Narrow" w:cs="Arial Narrow"/>
                <w:i/>
                <w:iCs/>
                <w:sz w:val="18"/>
                <w:szCs w:val="18"/>
                <w:lang w:eastAsia="en-US"/>
              </w:rPr>
            </w:pPr>
            <w:r w:rsidRPr="008154B1">
              <w:rPr>
                <w:rFonts w:ascii="Arial Narrow" w:eastAsia="Calibri" w:hAnsi="Arial Narrow" w:cs="Arial Narrow"/>
                <w:i/>
                <w:iCs/>
                <w:sz w:val="18"/>
                <w:szCs w:val="18"/>
                <w:lang w:eastAsia="en-US"/>
              </w:rPr>
              <w:t>Must be treated by a specialist allergist or clinical immunologist, or in consultation with a specialist allergist or clinical immunologist</w:t>
            </w:r>
          </w:p>
        </w:tc>
      </w:tr>
      <w:tr w:rsidR="006737E3" w:rsidRPr="008154B1" w:rsidTr="006737E3">
        <w:tc>
          <w:tcPr>
            <w:tcW w:w="5000" w:type="pct"/>
            <w:vAlign w:val="center"/>
            <w:hideMark/>
          </w:tcPr>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b/>
                <w:bCs/>
                <w:color w:val="333333"/>
                <w:sz w:val="18"/>
                <w:szCs w:val="18"/>
              </w:rPr>
              <w:t>AND</w:t>
            </w:r>
          </w:p>
        </w:tc>
      </w:tr>
      <w:tr w:rsidR="006737E3" w:rsidRPr="008154B1" w:rsidTr="006737E3">
        <w:tc>
          <w:tcPr>
            <w:tcW w:w="5000" w:type="pct"/>
            <w:vAlign w:val="center"/>
            <w:hideMark/>
          </w:tcPr>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b/>
                <w:bCs/>
                <w:color w:val="333333"/>
                <w:sz w:val="18"/>
                <w:szCs w:val="18"/>
              </w:rPr>
              <w:t xml:space="preserve">Prescribing Instructions: </w:t>
            </w:r>
          </w:p>
          <w:p w:rsidR="006737E3" w:rsidRPr="008154B1" w:rsidRDefault="006737E3" w:rsidP="006A1E9D">
            <w:pPr>
              <w:jc w:val="left"/>
              <w:rPr>
                <w:rFonts w:ascii="Arial Narrow" w:hAnsi="Arial Narrow" w:cs="Times New Roman"/>
                <w:i/>
                <w:color w:val="333333"/>
                <w:sz w:val="18"/>
                <w:szCs w:val="18"/>
              </w:rPr>
            </w:pPr>
            <w:r w:rsidRPr="008154B1">
              <w:rPr>
                <w:rFonts w:ascii="Arial Narrow" w:hAnsi="Arial Narrow" w:cs="Times New Roman"/>
                <w:strike/>
                <w:color w:val="333333"/>
                <w:sz w:val="18"/>
                <w:szCs w:val="18"/>
              </w:rPr>
              <w:t>For patients initiating under the Initial – 1 restriction,</w:t>
            </w:r>
            <w:r w:rsidRPr="008154B1">
              <w:rPr>
                <w:rFonts w:ascii="Arial Narrow" w:hAnsi="Arial Narrow" w:cs="Times New Roman"/>
                <w:color w:val="333333"/>
                <w:sz w:val="18"/>
                <w:szCs w:val="18"/>
              </w:rPr>
              <w:t xml:space="preserve"> </w:t>
            </w:r>
            <w:r w:rsidRPr="008154B1">
              <w:rPr>
                <w:rFonts w:ascii="Arial Narrow" w:hAnsi="Arial Narrow" w:cs="Times New Roman"/>
                <w:i/>
                <w:color w:val="333333"/>
                <w:sz w:val="18"/>
                <w:szCs w:val="18"/>
              </w:rPr>
              <w:t>A</w:t>
            </w:r>
            <w:r w:rsidRPr="008154B1">
              <w:rPr>
                <w:rFonts w:ascii="Arial Narrow" w:hAnsi="Arial Narrow" w:cs="Times New Roman"/>
                <w:color w:val="333333"/>
                <w:sz w:val="18"/>
                <w:szCs w:val="18"/>
              </w:rPr>
              <w:t xml:space="preserve"> treatment response is defined as a reduction of 50% </w:t>
            </w:r>
            <w:r w:rsidRPr="008154B1">
              <w:rPr>
                <w:rFonts w:ascii="Arial Narrow" w:hAnsi="Arial Narrow" w:cs="Times New Roman"/>
                <w:i/>
                <w:color w:val="333333"/>
                <w:sz w:val="18"/>
                <w:szCs w:val="18"/>
              </w:rPr>
              <w:t xml:space="preserve">or more </w:t>
            </w:r>
            <w:r w:rsidRPr="008154B1">
              <w:rPr>
                <w:rFonts w:ascii="Arial Narrow" w:hAnsi="Arial Narrow" w:cs="Times New Roman"/>
                <w:color w:val="333333"/>
                <w:sz w:val="18"/>
                <w:szCs w:val="18"/>
              </w:rPr>
              <w:t xml:space="preserve">from baseline in the number of treated acute attacks of HAE </w:t>
            </w:r>
            <w:r w:rsidRPr="008154B1">
              <w:rPr>
                <w:rFonts w:ascii="Arial Narrow" w:hAnsi="Arial Narrow" w:cs="Times New Roman"/>
                <w:strike/>
                <w:color w:val="333333"/>
                <w:sz w:val="18"/>
                <w:szCs w:val="18"/>
              </w:rPr>
              <w:t>per month</w:t>
            </w:r>
            <w:r w:rsidRPr="008154B1">
              <w:rPr>
                <w:rFonts w:ascii="Arial Narrow" w:hAnsi="Arial Narrow" w:cs="Times New Roman"/>
                <w:color w:val="333333"/>
                <w:sz w:val="18"/>
                <w:szCs w:val="18"/>
              </w:rPr>
              <w:t xml:space="preserve"> </w:t>
            </w:r>
            <w:r w:rsidRPr="008154B1">
              <w:rPr>
                <w:rFonts w:ascii="Arial Narrow" w:hAnsi="Arial Narrow" w:cs="Times New Roman"/>
                <w:i/>
                <w:color w:val="333333"/>
                <w:sz w:val="18"/>
                <w:szCs w:val="18"/>
              </w:rPr>
              <w:t xml:space="preserve">over the previous six months </w:t>
            </w:r>
            <w:r w:rsidRPr="008154B1">
              <w:rPr>
                <w:rFonts w:ascii="Arial Narrow" w:hAnsi="Arial Narrow" w:cs="Times New Roman"/>
                <w:strike/>
                <w:color w:val="333333"/>
                <w:sz w:val="18"/>
                <w:szCs w:val="18"/>
              </w:rPr>
              <w:t>compared to baseline</w:t>
            </w:r>
            <w:r w:rsidRPr="008154B1">
              <w:rPr>
                <w:rFonts w:ascii="Arial Narrow" w:hAnsi="Arial Narrow" w:cs="Times New Roman"/>
                <w:color w:val="333333"/>
                <w:sz w:val="18"/>
                <w:szCs w:val="18"/>
              </w:rPr>
              <w:t>.</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b/>
                <w:bCs/>
                <w:strike/>
                <w:color w:val="000000"/>
                <w:sz w:val="18"/>
                <w:szCs w:val="18"/>
              </w:rPr>
            </w:pPr>
            <w:r w:rsidRPr="008154B1">
              <w:rPr>
                <w:rFonts w:ascii="Arial Narrow" w:hAnsi="Arial Narrow" w:cs="Times New Roman"/>
                <w:strike/>
                <w:color w:val="000000"/>
                <w:sz w:val="18"/>
                <w:szCs w:val="18"/>
              </w:rPr>
              <w:t>This medicine is not PBS subsidised for use in combination with C1-esterase inhibitor</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b/>
                <w:bCs/>
                <w:strike/>
                <w:color w:val="333333"/>
                <w:sz w:val="18"/>
                <w:szCs w:val="18"/>
              </w:rPr>
            </w:pPr>
            <w:r w:rsidRPr="008154B1">
              <w:rPr>
                <w:rFonts w:ascii="Arial Narrow" w:hAnsi="Arial Narrow" w:cs="Times New Roman"/>
                <w:strike/>
                <w:color w:val="333333"/>
                <w:sz w:val="18"/>
                <w:szCs w:val="18"/>
              </w:rPr>
              <w:t>In patients who are attack free on treatment, a dose reduction to 300 mg lanadelumab every 4 weeks may be considered.</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b/>
                <w:bCs/>
                <w:color w:val="333333"/>
                <w:sz w:val="18"/>
                <w:szCs w:val="18"/>
              </w:rPr>
            </w:pPr>
            <w:r w:rsidRPr="008154B1">
              <w:rPr>
                <w:rFonts w:ascii="Arial Narrow" w:hAnsi="Arial Narrow" w:cs="Times New Roman"/>
                <w:i/>
                <w:color w:val="333333"/>
                <w:sz w:val="18"/>
                <w:szCs w:val="18"/>
              </w:rPr>
              <w:t>Patients must not receive more than 6 months of treatment under this restriction</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i/>
                <w:color w:val="333333"/>
                <w:sz w:val="18"/>
                <w:szCs w:val="18"/>
              </w:rPr>
            </w:pPr>
            <w:r w:rsidRPr="008154B1">
              <w:rPr>
                <w:rFonts w:ascii="Arial Narrow" w:hAnsi="Arial Narrow" w:cs="Times New Roman"/>
                <w:i/>
                <w:color w:val="333333"/>
                <w:sz w:val="18"/>
                <w:szCs w:val="18"/>
              </w:rPr>
              <w:t>A patient who fails to respond to a course of PBS-subsidised lanadelumab as routine prophylaxis for HAE will not be eligible to receive further PBS-subsidised treatment with this drug for this condition</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b/>
                <w:bCs/>
                <w:color w:val="333333"/>
                <w:sz w:val="18"/>
                <w:szCs w:val="18"/>
              </w:rPr>
            </w:pPr>
            <w:r w:rsidRPr="008154B1">
              <w:rPr>
                <w:rFonts w:ascii="Arial Narrow" w:hAnsi="Arial Narrow" w:cs="Times New Roman"/>
                <w:b/>
                <w:bCs/>
                <w:color w:val="333333"/>
                <w:sz w:val="18"/>
                <w:szCs w:val="18"/>
              </w:rPr>
              <w:t xml:space="preserve">Administrative Advice: </w:t>
            </w:r>
            <w:r w:rsidRPr="008154B1">
              <w:rPr>
                <w:rFonts w:ascii="Arial Narrow" w:hAnsi="Arial Narrow" w:cs="Times New Roman"/>
                <w:bCs/>
                <w:color w:val="333333"/>
                <w:sz w:val="18"/>
                <w:szCs w:val="18"/>
              </w:rPr>
              <w:t>No increase in the maximum quantity or number of units may be authorised</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b/>
                <w:bCs/>
                <w:color w:val="333333"/>
                <w:sz w:val="18"/>
                <w:szCs w:val="18"/>
              </w:rPr>
              <w:t>Administrative Advice:</w:t>
            </w:r>
            <w:r w:rsidRPr="008154B1">
              <w:rPr>
                <w:rFonts w:ascii="Arial Narrow" w:hAnsi="Arial Narrow" w:cs="Times New Roman"/>
                <w:color w:val="333333"/>
                <w:sz w:val="18"/>
                <w:szCs w:val="18"/>
              </w:rPr>
              <w:t xml:space="preserve"> No increase in the maximum number of repeats may be authorised</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i/>
                <w:color w:val="333333"/>
                <w:sz w:val="18"/>
                <w:szCs w:val="18"/>
              </w:rPr>
            </w:pPr>
            <w:r w:rsidRPr="008154B1">
              <w:rPr>
                <w:rFonts w:ascii="Arial Narrow" w:hAnsi="Arial Narrow" w:cs="Times New Roman"/>
                <w:b/>
                <w:bCs/>
                <w:i/>
                <w:color w:val="333333"/>
                <w:sz w:val="18"/>
                <w:szCs w:val="18"/>
              </w:rPr>
              <w:t>Administrative Advice:</w:t>
            </w:r>
            <w:r w:rsidRPr="008154B1">
              <w:rPr>
                <w:rFonts w:ascii="Arial Narrow" w:hAnsi="Arial Narrow" w:cs="Times New Roman"/>
                <w:i/>
                <w:color w:val="333333"/>
                <w:sz w:val="18"/>
                <w:szCs w:val="18"/>
              </w:rPr>
              <w:t xml:space="preserve"> Special pricing arrangements apply</w:t>
            </w:r>
          </w:p>
        </w:tc>
      </w:tr>
    </w:tbl>
    <w:p w:rsidR="006737E3" w:rsidRPr="008154B1" w:rsidRDefault="006737E3" w:rsidP="006737E3">
      <w:pPr>
        <w:spacing w:before="240" w:after="120"/>
        <w:jc w:val="left"/>
        <w:rPr>
          <w:rFonts w:eastAsia="Calibri" w:cs="Calibri"/>
          <w:u w:val="single"/>
          <w:lang w:eastAsia="en-US"/>
        </w:rPr>
      </w:pPr>
      <w:r w:rsidRPr="008154B1">
        <w:rPr>
          <w:rFonts w:eastAsia="Calibri" w:cs="Calibri"/>
          <w:u w:val="single"/>
          <w:lang w:eastAsia="en-US"/>
        </w:rPr>
        <w:t>Initial 2 (commencing from NBA-funded C1-INH) restriction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6737E3" w:rsidRPr="008154B1" w:rsidTr="006737E3">
        <w:tc>
          <w:tcPr>
            <w:tcW w:w="5000" w:type="pct"/>
            <w:tcBorders>
              <w:top w:val="single" w:sz="4" w:space="0" w:color="auto"/>
              <w:left w:val="single" w:sz="4" w:space="0" w:color="auto"/>
              <w:bottom w:val="single" w:sz="4" w:space="0" w:color="auto"/>
              <w:right w:val="single" w:sz="4" w:space="0" w:color="auto"/>
            </w:tcBorders>
          </w:tcPr>
          <w:p w:rsidR="006737E3" w:rsidRPr="008154B1" w:rsidRDefault="006737E3" w:rsidP="006A1E9D">
            <w:pPr>
              <w:rPr>
                <w:rFonts w:ascii="Arial Narrow" w:eastAsia="Calibri" w:hAnsi="Arial Narrow"/>
                <w:sz w:val="18"/>
                <w:szCs w:val="18"/>
                <w:lang w:eastAsia="en-US"/>
              </w:rPr>
            </w:pPr>
            <w:r w:rsidRPr="008154B1">
              <w:rPr>
                <w:rFonts w:ascii="Arial Narrow" w:eastAsia="Calibri" w:hAnsi="Arial Narrow"/>
                <w:b/>
                <w:sz w:val="18"/>
                <w:szCs w:val="18"/>
                <w:lang w:eastAsia="en-US"/>
              </w:rPr>
              <w:t xml:space="preserve">Category / Program:   </w:t>
            </w:r>
            <w:r w:rsidRPr="008154B1">
              <w:rPr>
                <w:rFonts w:ascii="Arial Narrow" w:eastAsia="Calibri" w:hAnsi="Arial Narrow"/>
                <w:sz w:val="18"/>
                <w:szCs w:val="18"/>
                <w:lang w:eastAsia="en-US"/>
              </w:rPr>
              <w:t xml:space="preserve">GENERAL – General Schedule (Code GE) </w:t>
            </w:r>
          </w:p>
        </w:tc>
      </w:tr>
      <w:tr w:rsidR="006737E3" w:rsidRPr="008154B1" w:rsidTr="006737E3">
        <w:trPr>
          <w:trHeight w:val="178"/>
        </w:trPr>
        <w:tc>
          <w:tcPr>
            <w:tcW w:w="5000" w:type="pct"/>
            <w:tcBorders>
              <w:top w:val="single" w:sz="4" w:space="0" w:color="auto"/>
              <w:left w:val="single" w:sz="4" w:space="0" w:color="auto"/>
              <w:bottom w:val="single" w:sz="4" w:space="0" w:color="auto"/>
              <w:right w:val="single" w:sz="4" w:space="0" w:color="auto"/>
            </w:tcBorders>
          </w:tcPr>
          <w:p w:rsidR="006737E3" w:rsidRPr="008154B1" w:rsidRDefault="006737E3" w:rsidP="00742422">
            <w:pPr>
              <w:rPr>
                <w:rFonts w:ascii="Arial Narrow" w:eastAsia="Calibri" w:hAnsi="Arial Narrow"/>
                <w:sz w:val="18"/>
                <w:szCs w:val="18"/>
                <w:lang w:eastAsia="en-US"/>
              </w:rPr>
            </w:pPr>
            <w:r w:rsidRPr="008154B1">
              <w:rPr>
                <w:rFonts w:ascii="Arial Narrow" w:eastAsia="Calibri" w:hAnsi="Arial Narrow"/>
                <w:b/>
                <w:sz w:val="18"/>
                <w:szCs w:val="18"/>
                <w:lang w:eastAsia="en-US"/>
              </w:rPr>
              <w:lastRenderedPageBreak/>
              <w:t xml:space="preserve">Prescriber type:  </w:t>
            </w:r>
            <w:r w:rsidRPr="008154B1">
              <w:rPr>
                <w:rFonts w:ascii="Arial Narrow" w:eastAsia="Calibri" w:hAnsi="Arial Narrow"/>
                <w:sz w:val="18"/>
                <w:szCs w:val="18"/>
                <w:lang w:eastAsia="en-US"/>
              </w:rPr>
              <w:fldChar w:fldCharType="begin">
                <w:ffData>
                  <w:name w:val=""/>
                  <w:enabled/>
                  <w:calcOnExit w:val="0"/>
                  <w:checkBox>
                    <w:sizeAuto/>
                    <w:default w:val="1"/>
                  </w:checkBox>
                </w:ffData>
              </w:fldChar>
            </w:r>
            <w:r w:rsidRPr="008154B1">
              <w:rPr>
                <w:rFonts w:ascii="Arial Narrow" w:eastAsia="Calibri" w:hAnsi="Arial Narrow"/>
                <w:sz w:val="18"/>
                <w:szCs w:val="18"/>
                <w:lang w:eastAsia="en-US"/>
              </w:rPr>
              <w:instrText xml:space="preserve"> FORMCHECKBOX </w:instrText>
            </w:r>
            <w:r w:rsidR="00CD20FA">
              <w:rPr>
                <w:rFonts w:ascii="Arial Narrow" w:eastAsia="Calibri" w:hAnsi="Arial Narrow"/>
                <w:sz w:val="18"/>
                <w:szCs w:val="18"/>
                <w:lang w:eastAsia="en-US"/>
              </w:rPr>
            </w:r>
            <w:r w:rsidR="00CD20FA">
              <w:rPr>
                <w:rFonts w:ascii="Arial Narrow" w:eastAsia="Calibri" w:hAnsi="Arial Narrow"/>
                <w:sz w:val="18"/>
                <w:szCs w:val="18"/>
                <w:lang w:eastAsia="en-US"/>
              </w:rPr>
              <w:fldChar w:fldCharType="separate"/>
            </w:r>
            <w:r w:rsidRPr="008154B1">
              <w:rPr>
                <w:rFonts w:ascii="Arial Narrow" w:eastAsia="Calibri" w:hAnsi="Arial Narrow"/>
                <w:sz w:val="18"/>
                <w:szCs w:val="18"/>
                <w:lang w:eastAsia="en-US"/>
              </w:rPr>
              <w:fldChar w:fldCharType="end"/>
            </w:r>
            <w:r w:rsidRPr="008154B1">
              <w:rPr>
                <w:rFonts w:ascii="Arial Narrow" w:eastAsia="Calibri" w:hAnsi="Arial Narrow"/>
                <w:sz w:val="18"/>
                <w:szCs w:val="18"/>
                <w:lang w:eastAsia="en-US"/>
              </w:rPr>
              <w:t xml:space="preserve">Medical Practitioners  </w:t>
            </w:r>
          </w:p>
        </w:tc>
      </w:tr>
      <w:tr w:rsidR="006737E3" w:rsidRPr="008154B1" w:rsidTr="006737E3">
        <w:tc>
          <w:tcPr>
            <w:tcW w:w="5000" w:type="pct"/>
            <w:tcBorders>
              <w:top w:val="single" w:sz="4" w:space="0" w:color="auto"/>
              <w:left w:val="single" w:sz="4" w:space="0" w:color="auto"/>
              <w:bottom w:val="single" w:sz="4" w:space="0" w:color="auto"/>
              <w:right w:val="single" w:sz="4" w:space="0" w:color="auto"/>
            </w:tcBorders>
          </w:tcPr>
          <w:p w:rsidR="006737E3" w:rsidRPr="008154B1" w:rsidRDefault="006737E3" w:rsidP="006737E3">
            <w:pPr>
              <w:rPr>
                <w:rFonts w:ascii="Arial Narrow" w:eastAsia="Calibri" w:hAnsi="Arial Narrow"/>
                <w:sz w:val="18"/>
                <w:szCs w:val="18"/>
                <w:lang w:eastAsia="en-US"/>
              </w:rPr>
            </w:pPr>
            <w:r w:rsidRPr="008154B1">
              <w:rPr>
                <w:rFonts w:ascii="Arial Narrow" w:eastAsia="Calibri" w:hAnsi="Arial Narrow"/>
                <w:b/>
                <w:sz w:val="18"/>
                <w:szCs w:val="18"/>
                <w:lang w:eastAsia="en-US"/>
              </w:rPr>
              <w:t xml:space="preserve">Restriction </w:t>
            </w:r>
            <w:r w:rsidR="00742422" w:rsidRPr="008154B1">
              <w:rPr>
                <w:rFonts w:ascii="Arial Narrow" w:eastAsia="Calibri" w:hAnsi="Arial Narrow"/>
                <w:b/>
                <w:sz w:val="18"/>
                <w:szCs w:val="18"/>
                <w:lang w:eastAsia="en-US"/>
              </w:rPr>
              <w:t xml:space="preserve">type </w:t>
            </w:r>
            <w:r w:rsidRPr="008154B1">
              <w:rPr>
                <w:rFonts w:ascii="Arial Narrow" w:eastAsia="Calibri" w:hAnsi="Arial Narrow"/>
                <w:b/>
                <w:sz w:val="18"/>
                <w:szCs w:val="18"/>
                <w:lang w:eastAsia="en-US"/>
              </w:rPr>
              <w:t>/ Method:</w:t>
            </w:r>
            <w:r w:rsidR="00742422" w:rsidRPr="008154B1">
              <w:rPr>
                <w:rFonts w:ascii="Arial Narrow" w:eastAsia="Calibri" w:hAnsi="Arial Narrow"/>
                <w:b/>
                <w:sz w:val="18"/>
                <w:szCs w:val="18"/>
                <w:lang w:eastAsia="en-US"/>
              </w:rPr>
              <w:t xml:space="preserve"> </w:t>
            </w:r>
            <w:r w:rsidRPr="008154B1">
              <w:rPr>
                <w:rFonts w:ascii="Arial Narrow" w:eastAsia="Calibri" w:hAnsi="Arial Narrow"/>
                <w:strike/>
                <w:sz w:val="18"/>
                <w:szCs w:val="18"/>
                <w:lang w:eastAsia="en-US"/>
              </w:rPr>
              <w:fldChar w:fldCharType="begin">
                <w:ffData>
                  <w:name w:val=""/>
                  <w:enabled/>
                  <w:calcOnExit w:val="0"/>
                  <w:checkBox>
                    <w:sizeAuto/>
                    <w:default w:val="1"/>
                  </w:checkBox>
                </w:ffData>
              </w:fldChar>
            </w:r>
            <w:r w:rsidRPr="008154B1">
              <w:rPr>
                <w:rFonts w:ascii="Arial Narrow" w:eastAsia="Calibri" w:hAnsi="Arial Narrow"/>
                <w:strike/>
                <w:sz w:val="18"/>
                <w:szCs w:val="18"/>
                <w:lang w:eastAsia="en-US"/>
              </w:rPr>
              <w:instrText xml:space="preserve"> FORMCHECKBOX </w:instrText>
            </w:r>
            <w:r w:rsidR="00CD20FA">
              <w:rPr>
                <w:rFonts w:ascii="Arial Narrow" w:eastAsia="Calibri" w:hAnsi="Arial Narrow"/>
                <w:strike/>
                <w:sz w:val="18"/>
                <w:szCs w:val="18"/>
                <w:lang w:eastAsia="en-US"/>
              </w:rPr>
            </w:r>
            <w:r w:rsidR="00CD20FA">
              <w:rPr>
                <w:rFonts w:ascii="Arial Narrow" w:eastAsia="Calibri" w:hAnsi="Arial Narrow"/>
                <w:strike/>
                <w:sz w:val="18"/>
                <w:szCs w:val="18"/>
                <w:lang w:eastAsia="en-US"/>
              </w:rPr>
              <w:fldChar w:fldCharType="separate"/>
            </w:r>
            <w:r w:rsidRPr="008154B1">
              <w:rPr>
                <w:rFonts w:ascii="Arial Narrow" w:eastAsia="Calibri" w:hAnsi="Arial Narrow"/>
                <w:strike/>
                <w:sz w:val="18"/>
                <w:szCs w:val="18"/>
                <w:lang w:eastAsia="en-US"/>
              </w:rPr>
              <w:fldChar w:fldCharType="end"/>
            </w:r>
            <w:r w:rsidRPr="008154B1">
              <w:rPr>
                <w:rFonts w:ascii="Arial Narrow" w:eastAsia="Calibri" w:hAnsi="Arial Narrow"/>
                <w:strike/>
                <w:sz w:val="18"/>
                <w:szCs w:val="18"/>
                <w:lang w:eastAsia="en-US"/>
              </w:rPr>
              <w:t>Authority Required – In Writing</w:t>
            </w:r>
          </w:p>
          <w:p w:rsidR="00742422" w:rsidRPr="008154B1" w:rsidRDefault="00742422" w:rsidP="006737E3">
            <w:pPr>
              <w:rPr>
                <w:rFonts w:ascii="Arial Narrow" w:eastAsia="Calibri" w:hAnsi="Arial Narrow"/>
                <w:sz w:val="18"/>
                <w:szCs w:val="18"/>
                <w:lang w:eastAsia="en-US"/>
              </w:rPr>
            </w:pPr>
            <w:r w:rsidRPr="008154B1">
              <w:rPr>
                <w:rFonts w:ascii="Arial Narrow" w:eastAsia="Calibri" w:hAnsi="Arial Narrow"/>
                <w:sz w:val="18"/>
                <w:szCs w:val="18"/>
                <w:lang w:eastAsia="en-US"/>
              </w:rPr>
              <w:fldChar w:fldCharType="begin">
                <w:ffData>
                  <w:name w:val=""/>
                  <w:enabled/>
                  <w:calcOnExit w:val="0"/>
                  <w:checkBox>
                    <w:sizeAuto/>
                    <w:default w:val="1"/>
                  </w:checkBox>
                </w:ffData>
              </w:fldChar>
            </w:r>
            <w:r w:rsidRPr="008154B1">
              <w:rPr>
                <w:rFonts w:ascii="Arial Narrow" w:eastAsia="Calibri" w:hAnsi="Arial Narrow"/>
                <w:sz w:val="18"/>
                <w:szCs w:val="18"/>
                <w:lang w:eastAsia="en-US"/>
              </w:rPr>
              <w:instrText xml:space="preserve"> FORMCHECKBOX </w:instrText>
            </w:r>
            <w:r w:rsidR="00CD20FA">
              <w:rPr>
                <w:rFonts w:ascii="Arial Narrow" w:eastAsia="Calibri" w:hAnsi="Arial Narrow"/>
                <w:sz w:val="18"/>
                <w:szCs w:val="18"/>
                <w:lang w:eastAsia="en-US"/>
              </w:rPr>
            </w:r>
            <w:r w:rsidR="00CD20FA">
              <w:rPr>
                <w:rFonts w:ascii="Arial Narrow" w:eastAsia="Calibri" w:hAnsi="Arial Narrow"/>
                <w:sz w:val="18"/>
                <w:szCs w:val="18"/>
                <w:lang w:eastAsia="en-US"/>
              </w:rPr>
              <w:fldChar w:fldCharType="separate"/>
            </w:r>
            <w:r w:rsidRPr="008154B1">
              <w:rPr>
                <w:rFonts w:ascii="Arial Narrow" w:eastAsia="Calibri" w:hAnsi="Arial Narrow"/>
                <w:sz w:val="18"/>
                <w:szCs w:val="18"/>
                <w:lang w:eastAsia="en-US"/>
              </w:rPr>
              <w:fldChar w:fldCharType="end"/>
            </w:r>
            <w:r w:rsidRPr="008154B1">
              <w:rPr>
                <w:rFonts w:ascii="Arial Narrow" w:eastAsia="Calibri" w:hAnsi="Arial Narrow"/>
                <w:i/>
                <w:sz w:val="18"/>
                <w:szCs w:val="18"/>
                <w:lang w:eastAsia="en-US"/>
              </w:rPr>
              <w:t>Authority Required – immediate/real time assessment by Services Australia (telephone/online)</w:t>
            </w:r>
          </w:p>
        </w:tc>
      </w:tr>
      <w:tr w:rsidR="006737E3" w:rsidRPr="008154B1" w:rsidTr="006737E3">
        <w:tc>
          <w:tcPr>
            <w:tcW w:w="5000" w:type="pct"/>
            <w:vAlign w:val="center"/>
            <w:hideMark/>
          </w:tcPr>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b/>
                <w:bCs/>
                <w:color w:val="333333"/>
                <w:sz w:val="18"/>
                <w:szCs w:val="18"/>
              </w:rPr>
              <w:t>Indication: Hereditary Angioedema (HAE)</w:t>
            </w:r>
          </w:p>
        </w:tc>
      </w:tr>
      <w:tr w:rsidR="006737E3" w:rsidRPr="008154B1" w:rsidTr="006737E3">
        <w:tc>
          <w:tcPr>
            <w:tcW w:w="5000" w:type="pct"/>
            <w:vAlign w:val="center"/>
            <w:hideMark/>
          </w:tcPr>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b/>
                <w:bCs/>
                <w:color w:val="333333"/>
                <w:sz w:val="18"/>
                <w:szCs w:val="18"/>
              </w:rPr>
              <w:t>Treatment Phase:</w:t>
            </w:r>
            <w:r w:rsidRPr="008154B1">
              <w:rPr>
                <w:rFonts w:ascii="Arial Narrow" w:hAnsi="Arial Narrow" w:cs="Times New Roman"/>
                <w:color w:val="333333"/>
                <w:sz w:val="18"/>
                <w:szCs w:val="18"/>
              </w:rPr>
              <w:t xml:space="preserve"> Initial – 2 </w:t>
            </w:r>
            <w:r w:rsidRPr="008154B1">
              <w:rPr>
                <w:rFonts w:ascii="Arial Narrow" w:hAnsi="Arial Narrow" w:cs="Times New Roman"/>
                <w:i/>
                <w:color w:val="333333"/>
                <w:sz w:val="18"/>
                <w:szCs w:val="18"/>
              </w:rPr>
              <w:t>preventative treatment for a patient commencing from N</w:t>
            </w:r>
            <w:r w:rsidR="00742422" w:rsidRPr="008154B1">
              <w:rPr>
                <w:rFonts w:ascii="Arial Narrow" w:hAnsi="Arial Narrow" w:cs="Times New Roman"/>
                <w:i/>
                <w:color w:val="333333"/>
                <w:sz w:val="18"/>
                <w:szCs w:val="18"/>
              </w:rPr>
              <w:t xml:space="preserve">ational </w:t>
            </w:r>
            <w:r w:rsidRPr="008154B1">
              <w:rPr>
                <w:rFonts w:ascii="Arial Narrow" w:hAnsi="Arial Narrow" w:cs="Times New Roman"/>
                <w:i/>
                <w:color w:val="333333"/>
                <w:sz w:val="18"/>
                <w:szCs w:val="18"/>
              </w:rPr>
              <w:t>B</w:t>
            </w:r>
            <w:r w:rsidR="00742422" w:rsidRPr="008154B1">
              <w:rPr>
                <w:rFonts w:ascii="Arial Narrow" w:hAnsi="Arial Narrow" w:cs="Times New Roman"/>
                <w:i/>
                <w:color w:val="333333"/>
                <w:sz w:val="18"/>
                <w:szCs w:val="18"/>
              </w:rPr>
              <w:t xml:space="preserve">lood </w:t>
            </w:r>
            <w:r w:rsidRPr="008154B1">
              <w:rPr>
                <w:rFonts w:ascii="Arial Narrow" w:hAnsi="Arial Narrow" w:cs="Times New Roman"/>
                <w:i/>
                <w:color w:val="333333"/>
                <w:sz w:val="18"/>
                <w:szCs w:val="18"/>
              </w:rPr>
              <w:t>A</w:t>
            </w:r>
            <w:r w:rsidR="00742422" w:rsidRPr="008154B1">
              <w:rPr>
                <w:rFonts w:ascii="Arial Narrow" w:hAnsi="Arial Narrow" w:cs="Times New Roman"/>
                <w:i/>
                <w:color w:val="333333"/>
                <w:sz w:val="18"/>
                <w:szCs w:val="18"/>
              </w:rPr>
              <w:t>uthority</w:t>
            </w:r>
            <w:r w:rsidRPr="008154B1">
              <w:rPr>
                <w:rFonts w:ascii="Arial Narrow" w:hAnsi="Arial Narrow" w:cs="Times New Roman"/>
                <w:i/>
                <w:color w:val="333333"/>
                <w:sz w:val="18"/>
                <w:szCs w:val="18"/>
              </w:rPr>
              <w:t>-funded C1-INH</w:t>
            </w:r>
          </w:p>
        </w:tc>
      </w:tr>
      <w:tr w:rsidR="006737E3" w:rsidRPr="008154B1" w:rsidTr="006737E3">
        <w:tc>
          <w:tcPr>
            <w:tcW w:w="5000" w:type="pct"/>
            <w:vAlign w:val="center"/>
            <w:hideMark/>
          </w:tcPr>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b/>
                <w:bCs/>
                <w:color w:val="333333"/>
                <w:sz w:val="18"/>
                <w:szCs w:val="18"/>
              </w:rPr>
              <w:t>Clinical criteria:</w:t>
            </w:r>
          </w:p>
        </w:tc>
      </w:tr>
      <w:tr w:rsidR="006737E3" w:rsidRPr="008154B1" w:rsidTr="006737E3">
        <w:trPr>
          <w:trHeight w:val="217"/>
        </w:trPr>
        <w:tc>
          <w:tcPr>
            <w:tcW w:w="5000" w:type="pct"/>
            <w:vAlign w:val="center"/>
            <w:hideMark/>
          </w:tcPr>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color w:val="333333"/>
                <w:sz w:val="18"/>
                <w:szCs w:val="18"/>
              </w:rPr>
              <w:t>Patient must be currently receiving C1-esterase inhibitor through the National Blood Authority as routine prophylaxis for HAE</w:t>
            </w:r>
          </w:p>
        </w:tc>
      </w:tr>
      <w:tr w:rsidR="006737E3" w:rsidRPr="008154B1" w:rsidTr="006737E3">
        <w:tc>
          <w:tcPr>
            <w:tcW w:w="5000" w:type="pct"/>
            <w:vAlign w:val="center"/>
            <w:hideMark/>
          </w:tcPr>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b/>
                <w:bCs/>
                <w:color w:val="333333"/>
                <w:sz w:val="18"/>
                <w:szCs w:val="18"/>
              </w:rPr>
              <w:t>Treatment criteria:</w:t>
            </w:r>
          </w:p>
        </w:tc>
      </w:tr>
      <w:tr w:rsidR="006737E3" w:rsidRPr="008154B1" w:rsidTr="006737E3">
        <w:tc>
          <w:tcPr>
            <w:tcW w:w="5000" w:type="pct"/>
            <w:vAlign w:val="center"/>
            <w:hideMark/>
          </w:tcPr>
          <w:p w:rsidR="006737E3" w:rsidRPr="008154B1" w:rsidRDefault="006737E3" w:rsidP="006A1E9D">
            <w:pPr>
              <w:autoSpaceDE w:val="0"/>
              <w:autoSpaceDN w:val="0"/>
              <w:adjustRightInd w:val="0"/>
              <w:jc w:val="left"/>
              <w:rPr>
                <w:rFonts w:ascii="Arial Narrow" w:eastAsia="Calibri" w:hAnsi="Arial Narrow" w:cs="Arial Narrow"/>
                <w:i/>
                <w:iCs/>
                <w:sz w:val="20"/>
                <w:szCs w:val="20"/>
                <w:lang w:eastAsia="en-US"/>
              </w:rPr>
            </w:pPr>
            <w:r w:rsidRPr="008154B1">
              <w:rPr>
                <w:rFonts w:ascii="Arial Narrow" w:eastAsia="Calibri" w:hAnsi="Arial Narrow" w:cs="Arial Narrow"/>
                <w:iCs/>
                <w:sz w:val="18"/>
                <w:szCs w:val="18"/>
                <w:lang w:eastAsia="en-US"/>
              </w:rPr>
              <w:t xml:space="preserve">Must be treated by </w:t>
            </w:r>
            <w:r w:rsidRPr="008154B1">
              <w:rPr>
                <w:rFonts w:ascii="Arial Narrow" w:eastAsia="Calibri" w:hAnsi="Arial Narrow" w:cs="Arial Narrow"/>
                <w:i/>
                <w:iCs/>
                <w:sz w:val="18"/>
                <w:szCs w:val="18"/>
                <w:lang w:eastAsia="en-US"/>
              </w:rPr>
              <w:t xml:space="preserve">at least one of a: </w:t>
            </w:r>
            <w:r w:rsidRPr="008154B1">
              <w:rPr>
                <w:rFonts w:ascii="Arial Narrow" w:eastAsia="Calibri" w:hAnsi="Arial Narrow" w:cs="Arial Narrow"/>
                <w:iCs/>
                <w:strike/>
                <w:sz w:val="18"/>
                <w:szCs w:val="18"/>
                <w:lang w:eastAsia="en-US"/>
              </w:rPr>
              <w:t>a specialist</w:t>
            </w:r>
            <w:r w:rsidRPr="008154B1">
              <w:rPr>
                <w:rFonts w:ascii="Arial Narrow" w:eastAsia="Calibri" w:hAnsi="Arial Narrow" w:cs="Arial Narrow"/>
                <w:iCs/>
                <w:sz w:val="18"/>
                <w:szCs w:val="18"/>
                <w:lang w:eastAsia="en-US"/>
              </w:rPr>
              <w:t xml:space="preserve"> </w:t>
            </w:r>
            <w:r w:rsidRPr="008154B1">
              <w:rPr>
                <w:rFonts w:ascii="Arial Narrow" w:eastAsia="Calibri" w:hAnsi="Arial Narrow" w:cs="Arial Narrow"/>
                <w:i/>
                <w:iCs/>
                <w:sz w:val="18"/>
                <w:szCs w:val="18"/>
                <w:lang w:eastAsia="en-US"/>
              </w:rPr>
              <w:t xml:space="preserve">clinical </w:t>
            </w:r>
            <w:r w:rsidRPr="008154B1">
              <w:rPr>
                <w:rFonts w:ascii="Arial Narrow" w:eastAsia="Calibri" w:hAnsi="Arial Narrow" w:cs="Arial Narrow"/>
                <w:iCs/>
                <w:sz w:val="18"/>
                <w:szCs w:val="18"/>
                <w:lang w:eastAsia="en-US"/>
              </w:rPr>
              <w:t xml:space="preserve"> immunologist</w:t>
            </w:r>
            <w:r w:rsidRPr="008154B1">
              <w:rPr>
                <w:rFonts w:ascii="Arial Narrow" w:eastAsia="Calibri" w:hAnsi="Arial Narrow" w:cs="Arial Narrow"/>
                <w:iCs/>
                <w:strike/>
                <w:sz w:val="18"/>
                <w:szCs w:val="18"/>
                <w:lang w:eastAsia="en-US"/>
              </w:rPr>
              <w:t>; or</w:t>
            </w:r>
            <w:r w:rsidRPr="008154B1">
              <w:rPr>
                <w:rFonts w:ascii="Arial Narrow" w:eastAsia="Calibri" w:hAnsi="Arial Narrow" w:cs="Arial Narrow"/>
                <w:iCs/>
                <w:sz w:val="18"/>
                <w:szCs w:val="18"/>
                <w:lang w:eastAsia="en-US"/>
              </w:rPr>
              <w:t xml:space="preserve"> </w:t>
            </w:r>
            <w:r w:rsidRPr="008154B1">
              <w:rPr>
                <w:rFonts w:ascii="Arial Narrow" w:eastAsia="Calibri" w:hAnsi="Arial Narrow" w:cs="Arial Narrow"/>
                <w:i/>
                <w:iCs/>
                <w:sz w:val="18"/>
                <w:szCs w:val="18"/>
                <w:lang w:eastAsia="en-US"/>
              </w:rPr>
              <w:t>/ specialist allergist</w:t>
            </w:r>
          </w:p>
        </w:tc>
      </w:tr>
      <w:tr w:rsidR="006737E3" w:rsidRPr="008154B1" w:rsidTr="006737E3">
        <w:tc>
          <w:tcPr>
            <w:tcW w:w="5000" w:type="pct"/>
            <w:vAlign w:val="center"/>
          </w:tcPr>
          <w:p w:rsidR="006737E3" w:rsidRPr="008154B1" w:rsidRDefault="006737E3" w:rsidP="006A1E9D">
            <w:pPr>
              <w:autoSpaceDE w:val="0"/>
              <w:autoSpaceDN w:val="0"/>
              <w:adjustRightInd w:val="0"/>
              <w:jc w:val="left"/>
              <w:rPr>
                <w:rFonts w:ascii="Arial Narrow" w:eastAsia="Calibri" w:hAnsi="Arial Narrow" w:cs="Arial Narrow"/>
                <w:iCs/>
                <w:sz w:val="18"/>
                <w:szCs w:val="18"/>
                <w:lang w:eastAsia="en-US"/>
              </w:rPr>
            </w:pPr>
            <w:r w:rsidRPr="008154B1">
              <w:rPr>
                <w:rFonts w:ascii="Arial Narrow" w:eastAsia="Calibri" w:hAnsi="Arial Narrow" w:cs="Arial Narrow"/>
                <w:iCs/>
                <w:strike/>
                <w:sz w:val="18"/>
                <w:szCs w:val="18"/>
                <w:lang w:eastAsia="en-US"/>
              </w:rPr>
              <w:t>Must be treated by a specialist immunologist and allergist</w:t>
            </w:r>
          </w:p>
        </w:tc>
      </w:tr>
      <w:tr w:rsidR="006737E3" w:rsidRPr="008154B1" w:rsidTr="006737E3">
        <w:tc>
          <w:tcPr>
            <w:tcW w:w="5000" w:type="pct"/>
            <w:vAlign w:val="center"/>
            <w:hideMark/>
          </w:tcPr>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b/>
                <w:bCs/>
                <w:color w:val="333333"/>
                <w:sz w:val="18"/>
                <w:szCs w:val="18"/>
              </w:rPr>
              <w:t>AND</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b/>
                <w:bCs/>
                <w:color w:val="333333"/>
                <w:sz w:val="18"/>
                <w:szCs w:val="18"/>
              </w:rPr>
            </w:pPr>
            <w:r w:rsidRPr="008154B1">
              <w:rPr>
                <w:rFonts w:ascii="Arial Narrow" w:hAnsi="Arial Narrow" w:cs="Times New Roman"/>
                <w:b/>
                <w:bCs/>
                <w:color w:val="333333"/>
                <w:sz w:val="18"/>
                <w:szCs w:val="18"/>
              </w:rPr>
              <w:t>Clinical criteria:</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b/>
                <w:bCs/>
                <w:color w:val="333333"/>
                <w:sz w:val="18"/>
                <w:szCs w:val="18"/>
              </w:rPr>
            </w:pPr>
            <w:r w:rsidRPr="008154B1">
              <w:rPr>
                <w:rFonts w:ascii="Arial Narrow" w:hAnsi="Arial Narrow" w:cs="Times New Roman"/>
                <w:bCs/>
                <w:i/>
                <w:color w:val="333333"/>
                <w:sz w:val="18"/>
                <w:szCs w:val="18"/>
              </w:rPr>
              <w:t>The treatment must not be PBS-subsidised in combination with a C1-esterase inhibitor concentrate</w:t>
            </w:r>
          </w:p>
        </w:tc>
      </w:tr>
      <w:tr w:rsidR="006737E3" w:rsidRPr="008154B1" w:rsidTr="006737E3">
        <w:tc>
          <w:tcPr>
            <w:tcW w:w="5000" w:type="pct"/>
            <w:vAlign w:val="center"/>
            <w:hideMark/>
          </w:tcPr>
          <w:p w:rsidR="006737E3" w:rsidRPr="008154B1" w:rsidRDefault="006737E3" w:rsidP="006A1E9D">
            <w:pPr>
              <w:jc w:val="left"/>
              <w:rPr>
                <w:rFonts w:ascii="Arial Narrow" w:hAnsi="Arial Narrow" w:cs="Times New Roman"/>
                <w:strike/>
                <w:color w:val="333333"/>
                <w:sz w:val="18"/>
                <w:szCs w:val="18"/>
              </w:rPr>
            </w:pPr>
            <w:r w:rsidRPr="008154B1">
              <w:rPr>
                <w:rFonts w:ascii="Arial Narrow" w:hAnsi="Arial Narrow" w:cs="Times New Roman"/>
                <w:b/>
                <w:bCs/>
                <w:strike/>
                <w:color w:val="333333"/>
                <w:sz w:val="18"/>
                <w:szCs w:val="18"/>
              </w:rPr>
              <w:t xml:space="preserve">Prescribing Instructions: </w:t>
            </w:r>
          </w:p>
          <w:p w:rsidR="006737E3" w:rsidRPr="008154B1" w:rsidRDefault="006737E3" w:rsidP="006A1E9D">
            <w:pPr>
              <w:jc w:val="left"/>
              <w:rPr>
                <w:rFonts w:ascii="Arial Narrow" w:hAnsi="Arial Narrow" w:cs="Times New Roman"/>
                <w:strike/>
                <w:color w:val="333333"/>
                <w:sz w:val="18"/>
                <w:szCs w:val="18"/>
              </w:rPr>
            </w:pPr>
            <w:r w:rsidRPr="008154B1">
              <w:rPr>
                <w:rFonts w:ascii="Arial Narrow" w:hAnsi="Arial Narrow" w:cs="Times New Roman"/>
                <w:strike/>
                <w:color w:val="333333"/>
                <w:sz w:val="18"/>
                <w:szCs w:val="18"/>
              </w:rPr>
              <w:t>The authority application must be made in writing and must include:</w:t>
            </w:r>
          </w:p>
          <w:p w:rsidR="006737E3" w:rsidRPr="008154B1" w:rsidRDefault="006737E3" w:rsidP="006A1E9D">
            <w:pPr>
              <w:jc w:val="left"/>
              <w:rPr>
                <w:rFonts w:ascii="Arial Narrow" w:hAnsi="Arial Narrow" w:cs="Times New Roman"/>
                <w:strike/>
                <w:color w:val="333333"/>
                <w:sz w:val="18"/>
                <w:szCs w:val="18"/>
              </w:rPr>
            </w:pPr>
            <w:r w:rsidRPr="008154B1">
              <w:rPr>
                <w:rFonts w:ascii="Arial Narrow" w:hAnsi="Arial Narrow" w:cs="Times New Roman"/>
                <w:strike/>
                <w:color w:val="333333"/>
                <w:sz w:val="18"/>
                <w:szCs w:val="18"/>
              </w:rPr>
              <w:t>a) completed authority prescription form; and</w:t>
            </w:r>
          </w:p>
          <w:p w:rsidR="006737E3" w:rsidRPr="008154B1" w:rsidRDefault="006737E3" w:rsidP="006A1E9D">
            <w:pPr>
              <w:jc w:val="left"/>
              <w:rPr>
                <w:rFonts w:ascii="Arial Narrow" w:hAnsi="Arial Narrow" w:cs="Times New Roman"/>
                <w:strike/>
                <w:color w:val="333333"/>
                <w:sz w:val="18"/>
                <w:szCs w:val="18"/>
              </w:rPr>
            </w:pPr>
            <w:r w:rsidRPr="008154B1">
              <w:rPr>
                <w:rFonts w:ascii="Arial Narrow" w:hAnsi="Arial Narrow" w:cs="Times New Roman"/>
                <w:strike/>
                <w:color w:val="333333"/>
                <w:sz w:val="18"/>
                <w:szCs w:val="18"/>
              </w:rPr>
              <w:t>b) a completed hereditary angioedema Initial – 2 PBS authority application form which includes:</w:t>
            </w:r>
          </w:p>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strike/>
                <w:color w:val="333333"/>
                <w:sz w:val="18"/>
                <w:szCs w:val="18"/>
              </w:rPr>
              <w:t>Evidence of prior use of C1-esterase inhibitor funded through the National Blood Authority as routine prophylaxis including formulation and dose.</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b/>
                <w:bCs/>
                <w:strike/>
                <w:color w:val="333333"/>
                <w:sz w:val="18"/>
                <w:szCs w:val="18"/>
              </w:rPr>
            </w:pPr>
            <w:r w:rsidRPr="008154B1">
              <w:rPr>
                <w:rFonts w:ascii="Arial Narrow" w:hAnsi="Arial Narrow" w:cs="Times New Roman"/>
                <w:strike/>
                <w:color w:val="333333"/>
                <w:sz w:val="18"/>
                <w:szCs w:val="18"/>
              </w:rPr>
              <w:t>This medicine is not PBS subsidised for use in combination with C1-esterase inhibitor</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b/>
                <w:bCs/>
                <w:i/>
                <w:color w:val="333333"/>
                <w:sz w:val="18"/>
                <w:szCs w:val="18"/>
              </w:rPr>
            </w:pPr>
            <w:r w:rsidRPr="008154B1">
              <w:rPr>
                <w:rFonts w:ascii="Arial Narrow" w:hAnsi="Arial Narrow" w:cs="Times New Roman"/>
                <w:b/>
                <w:bCs/>
                <w:i/>
                <w:color w:val="333333"/>
                <w:sz w:val="18"/>
                <w:szCs w:val="18"/>
              </w:rPr>
              <w:t xml:space="preserve">Administrative Advice: </w:t>
            </w:r>
          </w:p>
          <w:p w:rsidR="006737E3" w:rsidRPr="008154B1" w:rsidRDefault="006737E3" w:rsidP="006A1E9D">
            <w:pPr>
              <w:jc w:val="left"/>
              <w:rPr>
                <w:rFonts w:ascii="Arial Narrow" w:hAnsi="Arial Narrow" w:cs="Times New Roman"/>
                <w:b/>
                <w:bCs/>
                <w:color w:val="333333"/>
                <w:sz w:val="18"/>
                <w:szCs w:val="18"/>
              </w:rPr>
            </w:pPr>
            <w:r w:rsidRPr="008154B1">
              <w:rPr>
                <w:rFonts w:ascii="Arial Narrow" w:hAnsi="Arial Narrow" w:cs="Times New Roman"/>
                <w:bCs/>
                <w:i/>
                <w:color w:val="333333"/>
                <w:sz w:val="18"/>
                <w:szCs w:val="18"/>
              </w:rPr>
              <w:t>Applications for authorisation under this restriction may be made in real time using the Online PBS Authorities system (see www.servicesaustralia.gov.au/HPOS) or by telephone by contacting Services Australia on 1800 888 33</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bCs/>
                <w:i/>
                <w:color w:val="333333"/>
                <w:sz w:val="18"/>
                <w:szCs w:val="18"/>
              </w:rPr>
            </w:pPr>
            <w:r w:rsidRPr="008154B1">
              <w:rPr>
                <w:rFonts w:ascii="Arial Narrow" w:hAnsi="Arial Narrow" w:cs="Times New Roman"/>
                <w:b/>
                <w:bCs/>
                <w:color w:val="333333"/>
                <w:sz w:val="18"/>
                <w:szCs w:val="18"/>
              </w:rPr>
              <w:t xml:space="preserve">Administrative Advice: </w:t>
            </w:r>
            <w:r w:rsidRPr="008154B1">
              <w:rPr>
                <w:rFonts w:ascii="Arial Narrow" w:hAnsi="Arial Narrow" w:cs="Times New Roman"/>
                <w:bCs/>
                <w:color w:val="333333"/>
                <w:sz w:val="18"/>
                <w:szCs w:val="18"/>
              </w:rPr>
              <w:t>No increase in the maximum quantity or number of units may be authorised</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bCs/>
                <w:i/>
                <w:color w:val="333333"/>
                <w:sz w:val="18"/>
                <w:szCs w:val="18"/>
              </w:rPr>
            </w:pPr>
            <w:r w:rsidRPr="008154B1">
              <w:rPr>
                <w:rFonts w:ascii="Arial Narrow" w:hAnsi="Arial Narrow" w:cs="Times New Roman"/>
                <w:b/>
                <w:bCs/>
                <w:color w:val="333333"/>
                <w:sz w:val="18"/>
                <w:szCs w:val="18"/>
              </w:rPr>
              <w:t>Administrative Advice:</w:t>
            </w:r>
            <w:r w:rsidRPr="008154B1">
              <w:rPr>
                <w:rFonts w:ascii="Arial Narrow" w:hAnsi="Arial Narrow" w:cs="Times New Roman"/>
                <w:color w:val="333333"/>
                <w:sz w:val="18"/>
                <w:szCs w:val="18"/>
              </w:rPr>
              <w:t xml:space="preserve"> No increase in the maximum number of repeats may be authorised</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bCs/>
                <w:i/>
                <w:color w:val="333333"/>
                <w:sz w:val="18"/>
                <w:szCs w:val="18"/>
              </w:rPr>
            </w:pPr>
            <w:r w:rsidRPr="008154B1">
              <w:rPr>
                <w:rFonts w:ascii="Arial Narrow" w:hAnsi="Arial Narrow" w:cs="Times New Roman"/>
                <w:b/>
                <w:bCs/>
                <w:i/>
                <w:color w:val="333333"/>
                <w:sz w:val="18"/>
                <w:szCs w:val="18"/>
              </w:rPr>
              <w:t>Administrative Advice:</w:t>
            </w:r>
            <w:r w:rsidRPr="008154B1">
              <w:rPr>
                <w:rFonts w:ascii="Arial Narrow" w:hAnsi="Arial Narrow" w:cs="Times New Roman"/>
                <w:i/>
                <w:color w:val="333333"/>
                <w:sz w:val="18"/>
                <w:szCs w:val="18"/>
              </w:rPr>
              <w:t xml:space="preserve"> Special pricing arrangements apply</w:t>
            </w:r>
          </w:p>
        </w:tc>
      </w:tr>
    </w:tbl>
    <w:p w:rsidR="006737E3" w:rsidRPr="008154B1" w:rsidRDefault="006737E3" w:rsidP="006737E3">
      <w:pPr>
        <w:spacing w:before="240" w:after="120"/>
        <w:jc w:val="left"/>
        <w:rPr>
          <w:rFonts w:eastAsia="Calibri" w:cs="Calibri"/>
          <w:u w:val="single"/>
          <w:lang w:eastAsia="en-US"/>
        </w:rPr>
      </w:pPr>
      <w:r w:rsidRPr="008154B1">
        <w:rPr>
          <w:rFonts w:eastAsia="Calibri" w:cs="Calibri"/>
          <w:u w:val="single"/>
          <w:lang w:eastAsia="en-US"/>
        </w:rPr>
        <w:t>Grandfather restriction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6737E3" w:rsidRPr="008154B1" w:rsidTr="006737E3">
        <w:tc>
          <w:tcPr>
            <w:tcW w:w="5000" w:type="pct"/>
            <w:tcBorders>
              <w:top w:val="single" w:sz="4" w:space="0" w:color="auto"/>
              <w:left w:val="single" w:sz="4" w:space="0" w:color="auto"/>
              <w:bottom w:val="single" w:sz="4" w:space="0" w:color="auto"/>
              <w:right w:val="single" w:sz="4" w:space="0" w:color="auto"/>
            </w:tcBorders>
          </w:tcPr>
          <w:p w:rsidR="006737E3" w:rsidRPr="008154B1" w:rsidRDefault="006737E3" w:rsidP="006A1E9D">
            <w:pPr>
              <w:rPr>
                <w:rFonts w:ascii="Arial Narrow" w:eastAsia="Calibri" w:hAnsi="Arial Narrow"/>
                <w:sz w:val="18"/>
                <w:szCs w:val="18"/>
                <w:lang w:eastAsia="en-US"/>
              </w:rPr>
            </w:pPr>
            <w:r w:rsidRPr="008154B1">
              <w:rPr>
                <w:rFonts w:ascii="Arial Narrow" w:eastAsia="Calibri" w:hAnsi="Arial Narrow"/>
                <w:b/>
                <w:sz w:val="18"/>
                <w:szCs w:val="18"/>
                <w:lang w:eastAsia="en-US"/>
              </w:rPr>
              <w:t xml:space="preserve">Category / Program:   </w:t>
            </w:r>
            <w:r w:rsidRPr="008154B1">
              <w:rPr>
                <w:rFonts w:ascii="Arial Narrow" w:eastAsia="Calibri" w:hAnsi="Arial Narrow"/>
                <w:sz w:val="18"/>
                <w:szCs w:val="18"/>
                <w:lang w:eastAsia="en-US"/>
              </w:rPr>
              <w:t xml:space="preserve">GENERAL – General Schedule (Code GE) </w:t>
            </w:r>
          </w:p>
        </w:tc>
      </w:tr>
      <w:tr w:rsidR="006737E3" w:rsidRPr="008154B1" w:rsidTr="006737E3">
        <w:trPr>
          <w:trHeight w:val="116"/>
        </w:trPr>
        <w:tc>
          <w:tcPr>
            <w:tcW w:w="5000" w:type="pct"/>
            <w:tcBorders>
              <w:top w:val="single" w:sz="4" w:space="0" w:color="auto"/>
              <w:left w:val="single" w:sz="4" w:space="0" w:color="auto"/>
              <w:bottom w:val="single" w:sz="4" w:space="0" w:color="auto"/>
              <w:right w:val="single" w:sz="4" w:space="0" w:color="auto"/>
            </w:tcBorders>
          </w:tcPr>
          <w:p w:rsidR="006737E3" w:rsidRPr="008154B1" w:rsidRDefault="006737E3" w:rsidP="006A1E9D">
            <w:pPr>
              <w:rPr>
                <w:rFonts w:ascii="Arial Narrow" w:eastAsia="Calibri" w:hAnsi="Arial Narrow"/>
                <w:sz w:val="18"/>
                <w:szCs w:val="18"/>
                <w:lang w:eastAsia="en-US"/>
              </w:rPr>
            </w:pPr>
            <w:r w:rsidRPr="008154B1">
              <w:rPr>
                <w:rFonts w:ascii="Arial Narrow" w:eastAsia="Calibri" w:hAnsi="Arial Narrow"/>
                <w:b/>
                <w:sz w:val="18"/>
                <w:szCs w:val="18"/>
                <w:lang w:eastAsia="en-US"/>
              </w:rPr>
              <w:t xml:space="preserve">Prescriber type:  </w:t>
            </w:r>
            <w:r w:rsidRPr="008154B1">
              <w:rPr>
                <w:rFonts w:ascii="Arial Narrow" w:eastAsia="Calibri" w:hAnsi="Arial Narrow"/>
                <w:sz w:val="18"/>
                <w:szCs w:val="18"/>
                <w:lang w:eastAsia="en-US"/>
              </w:rPr>
              <w:fldChar w:fldCharType="begin">
                <w:ffData>
                  <w:name w:val="Check1"/>
                  <w:enabled/>
                  <w:calcOnExit w:val="0"/>
                  <w:checkBox>
                    <w:sizeAuto/>
                    <w:default w:val="0"/>
                  </w:checkBox>
                </w:ffData>
              </w:fldChar>
            </w:r>
            <w:r w:rsidRPr="008154B1">
              <w:rPr>
                <w:rFonts w:ascii="Arial Narrow" w:eastAsia="Calibri" w:hAnsi="Arial Narrow"/>
                <w:sz w:val="18"/>
                <w:szCs w:val="18"/>
                <w:lang w:eastAsia="en-US"/>
              </w:rPr>
              <w:instrText xml:space="preserve"> FORMCHECKBOX </w:instrText>
            </w:r>
            <w:r w:rsidR="00CD20FA">
              <w:rPr>
                <w:rFonts w:ascii="Arial Narrow" w:eastAsia="Calibri" w:hAnsi="Arial Narrow"/>
                <w:sz w:val="18"/>
                <w:szCs w:val="18"/>
                <w:lang w:eastAsia="en-US"/>
              </w:rPr>
            </w:r>
            <w:r w:rsidR="00CD20FA">
              <w:rPr>
                <w:rFonts w:ascii="Arial Narrow" w:eastAsia="Calibri" w:hAnsi="Arial Narrow"/>
                <w:sz w:val="18"/>
                <w:szCs w:val="18"/>
                <w:lang w:eastAsia="en-US"/>
              </w:rPr>
              <w:fldChar w:fldCharType="separate"/>
            </w:r>
            <w:r w:rsidRPr="008154B1">
              <w:rPr>
                <w:rFonts w:ascii="Arial Narrow" w:eastAsia="Calibri" w:hAnsi="Arial Narrow"/>
                <w:sz w:val="18"/>
                <w:szCs w:val="18"/>
                <w:lang w:eastAsia="en-US"/>
              </w:rPr>
              <w:fldChar w:fldCharType="end"/>
            </w:r>
            <w:r w:rsidRPr="008154B1">
              <w:rPr>
                <w:rFonts w:ascii="Arial Narrow" w:eastAsia="Calibri" w:hAnsi="Arial Narrow"/>
                <w:sz w:val="18"/>
                <w:szCs w:val="18"/>
                <w:lang w:eastAsia="en-US"/>
              </w:rPr>
              <w:t xml:space="preserve">Dental  </w:t>
            </w:r>
            <w:r w:rsidRPr="008154B1">
              <w:rPr>
                <w:rFonts w:ascii="Arial Narrow" w:eastAsia="Calibri" w:hAnsi="Arial Narrow"/>
                <w:sz w:val="18"/>
                <w:szCs w:val="18"/>
                <w:lang w:eastAsia="en-US"/>
              </w:rPr>
              <w:fldChar w:fldCharType="begin">
                <w:ffData>
                  <w:name w:val=""/>
                  <w:enabled/>
                  <w:calcOnExit w:val="0"/>
                  <w:checkBox>
                    <w:sizeAuto/>
                    <w:default w:val="1"/>
                  </w:checkBox>
                </w:ffData>
              </w:fldChar>
            </w:r>
            <w:r w:rsidRPr="008154B1">
              <w:rPr>
                <w:rFonts w:ascii="Arial Narrow" w:eastAsia="Calibri" w:hAnsi="Arial Narrow"/>
                <w:sz w:val="18"/>
                <w:szCs w:val="18"/>
                <w:lang w:eastAsia="en-US"/>
              </w:rPr>
              <w:instrText xml:space="preserve"> FORMCHECKBOX </w:instrText>
            </w:r>
            <w:r w:rsidR="00CD20FA">
              <w:rPr>
                <w:rFonts w:ascii="Arial Narrow" w:eastAsia="Calibri" w:hAnsi="Arial Narrow"/>
                <w:sz w:val="18"/>
                <w:szCs w:val="18"/>
                <w:lang w:eastAsia="en-US"/>
              </w:rPr>
            </w:r>
            <w:r w:rsidR="00CD20FA">
              <w:rPr>
                <w:rFonts w:ascii="Arial Narrow" w:eastAsia="Calibri" w:hAnsi="Arial Narrow"/>
                <w:sz w:val="18"/>
                <w:szCs w:val="18"/>
                <w:lang w:eastAsia="en-US"/>
              </w:rPr>
              <w:fldChar w:fldCharType="separate"/>
            </w:r>
            <w:r w:rsidRPr="008154B1">
              <w:rPr>
                <w:rFonts w:ascii="Arial Narrow" w:eastAsia="Calibri" w:hAnsi="Arial Narrow"/>
                <w:sz w:val="18"/>
                <w:szCs w:val="18"/>
                <w:lang w:eastAsia="en-US"/>
              </w:rPr>
              <w:fldChar w:fldCharType="end"/>
            </w:r>
            <w:r w:rsidRPr="008154B1">
              <w:rPr>
                <w:rFonts w:ascii="Arial Narrow" w:eastAsia="Calibri" w:hAnsi="Arial Narrow"/>
                <w:sz w:val="18"/>
                <w:szCs w:val="18"/>
                <w:lang w:eastAsia="en-US"/>
              </w:rPr>
              <w:t xml:space="preserve">Medical Practitioners  </w:t>
            </w:r>
            <w:r w:rsidRPr="008154B1">
              <w:rPr>
                <w:rFonts w:ascii="Arial Narrow" w:eastAsia="Calibri" w:hAnsi="Arial Narrow"/>
                <w:sz w:val="18"/>
                <w:szCs w:val="18"/>
                <w:lang w:eastAsia="en-US"/>
              </w:rPr>
              <w:fldChar w:fldCharType="begin">
                <w:ffData>
                  <w:name w:val="Check3"/>
                  <w:enabled/>
                  <w:calcOnExit w:val="0"/>
                  <w:checkBox>
                    <w:sizeAuto/>
                    <w:default w:val="0"/>
                  </w:checkBox>
                </w:ffData>
              </w:fldChar>
            </w:r>
            <w:r w:rsidRPr="008154B1">
              <w:rPr>
                <w:rFonts w:ascii="Arial Narrow" w:eastAsia="Calibri" w:hAnsi="Arial Narrow"/>
                <w:sz w:val="18"/>
                <w:szCs w:val="18"/>
                <w:lang w:eastAsia="en-US"/>
              </w:rPr>
              <w:instrText xml:space="preserve"> FORMCHECKBOX </w:instrText>
            </w:r>
            <w:r w:rsidR="00CD20FA">
              <w:rPr>
                <w:rFonts w:ascii="Arial Narrow" w:eastAsia="Calibri" w:hAnsi="Arial Narrow"/>
                <w:sz w:val="18"/>
                <w:szCs w:val="18"/>
                <w:lang w:eastAsia="en-US"/>
              </w:rPr>
            </w:r>
            <w:r w:rsidR="00CD20FA">
              <w:rPr>
                <w:rFonts w:ascii="Arial Narrow" w:eastAsia="Calibri" w:hAnsi="Arial Narrow"/>
                <w:sz w:val="18"/>
                <w:szCs w:val="18"/>
                <w:lang w:eastAsia="en-US"/>
              </w:rPr>
              <w:fldChar w:fldCharType="separate"/>
            </w:r>
            <w:r w:rsidRPr="008154B1">
              <w:rPr>
                <w:rFonts w:ascii="Arial Narrow" w:eastAsia="Calibri" w:hAnsi="Arial Narrow"/>
                <w:sz w:val="18"/>
                <w:szCs w:val="18"/>
                <w:lang w:eastAsia="en-US"/>
              </w:rPr>
              <w:fldChar w:fldCharType="end"/>
            </w:r>
            <w:r w:rsidRPr="008154B1">
              <w:rPr>
                <w:rFonts w:ascii="Arial Narrow" w:eastAsia="Calibri" w:hAnsi="Arial Narrow"/>
                <w:sz w:val="18"/>
                <w:szCs w:val="18"/>
                <w:lang w:eastAsia="en-US"/>
              </w:rPr>
              <w:t xml:space="preserve">Nurse practitioners  </w:t>
            </w:r>
            <w:r w:rsidRPr="008154B1">
              <w:rPr>
                <w:rFonts w:ascii="Arial Narrow" w:eastAsia="Calibri" w:hAnsi="Arial Narrow"/>
                <w:sz w:val="18"/>
                <w:szCs w:val="18"/>
                <w:lang w:eastAsia="en-US"/>
              </w:rPr>
              <w:fldChar w:fldCharType="begin">
                <w:ffData>
                  <w:name w:val=""/>
                  <w:enabled/>
                  <w:calcOnExit w:val="0"/>
                  <w:checkBox>
                    <w:sizeAuto/>
                    <w:default w:val="0"/>
                  </w:checkBox>
                </w:ffData>
              </w:fldChar>
            </w:r>
            <w:r w:rsidRPr="008154B1">
              <w:rPr>
                <w:rFonts w:ascii="Arial Narrow" w:eastAsia="Calibri" w:hAnsi="Arial Narrow"/>
                <w:sz w:val="18"/>
                <w:szCs w:val="18"/>
                <w:lang w:eastAsia="en-US"/>
              </w:rPr>
              <w:instrText xml:space="preserve"> FORMCHECKBOX </w:instrText>
            </w:r>
            <w:r w:rsidR="00CD20FA">
              <w:rPr>
                <w:rFonts w:ascii="Arial Narrow" w:eastAsia="Calibri" w:hAnsi="Arial Narrow"/>
                <w:sz w:val="18"/>
                <w:szCs w:val="18"/>
                <w:lang w:eastAsia="en-US"/>
              </w:rPr>
            </w:r>
            <w:r w:rsidR="00CD20FA">
              <w:rPr>
                <w:rFonts w:ascii="Arial Narrow" w:eastAsia="Calibri" w:hAnsi="Arial Narrow"/>
                <w:sz w:val="18"/>
                <w:szCs w:val="18"/>
                <w:lang w:eastAsia="en-US"/>
              </w:rPr>
              <w:fldChar w:fldCharType="separate"/>
            </w:r>
            <w:r w:rsidRPr="008154B1">
              <w:rPr>
                <w:rFonts w:ascii="Arial Narrow" w:eastAsia="Calibri" w:hAnsi="Arial Narrow"/>
                <w:sz w:val="18"/>
                <w:szCs w:val="18"/>
                <w:lang w:eastAsia="en-US"/>
              </w:rPr>
              <w:fldChar w:fldCharType="end"/>
            </w:r>
            <w:r w:rsidRPr="008154B1">
              <w:rPr>
                <w:rFonts w:ascii="Arial Narrow" w:eastAsia="Calibri" w:hAnsi="Arial Narrow"/>
                <w:sz w:val="18"/>
                <w:szCs w:val="18"/>
                <w:lang w:eastAsia="en-US"/>
              </w:rPr>
              <w:t xml:space="preserve">Optometrists    </w:t>
            </w:r>
            <w:r w:rsidRPr="008154B1">
              <w:rPr>
                <w:rFonts w:ascii="Arial Narrow" w:eastAsia="Calibri" w:hAnsi="Arial Narrow"/>
                <w:sz w:val="18"/>
                <w:szCs w:val="18"/>
                <w:lang w:eastAsia="en-US"/>
              </w:rPr>
              <w:fldChar w:fldCharType="begin">
                <w:ffData>
                  <w:name w:val="Check5"/>
                  <w:enabled/>
                  <w:calcOnExit w:val="0"/>
                  <w:checkBox>
                    <w:sizeAuto/>
                    <w:default w:val="0"/>
                  </w:checkBox>
                </w:ffData>
              </w:fldChar>
            </w:r>
            <w:r w:rsidRPr="008154B1">
              <w:rPr>
                <w:rFonts w:ascii="Arial Narrow" w:eastAsia="Calibri" w:hAnsi="Arial Narrow"/>
                <w:sz w:val="18"/>
                <w:szCs w:val="18"/>
                <w:lang w:eastAsia="en-US"/>
              </w:rPr>
              <w:instrText xml:space="preserve"> FORMCHECKBOX </w:instrText>
            </w:r>
            <w:r w:rsidR="00CD20FA">
              <w:rPr>
                <w:rFonts w:ascii="Arial Narrow" w:eastAsia="Calibri" w:hAnsi="Arial Narrow"/>
                <w:sz w:val="18"/>
                <w:szCs w:val="18"/>
                <w:lang w:eastAsia="en-US"/>
              </w:rPr>
            </w:r>
            <w:r w:rsidR="00CD20FA">
              <w:rPr>
                <w:rFonts w:ascii="Arial Narrow" w:eastAsia="Calibri" w:hAnsi="Arial Narrow"/>
                <w:sz w:val="18"/>
                <w:szCs w:val="18"/>
                <w:lang w:eastAsia="en-US"/>
              </w:rPr>
              <w:fldChar w:fldCharType="separate"/>
            </w:r>
            <w:r w:rsidRPr="008154B1">
              <w:rPr>
                <w:rFonts w:ascii="Arial Narrow" w:eastAsia="Calibri" w:hAnsi="Arial Narrow"/>
                <w:sz w:val="18"/>
                <w:szCs w:val="18"/>
                <w:lang w:eastAsia="en-US"/>
              </w:rPr>
              <w:fldChar w:fldCharType="end"/>
            </w:r>
            <w:r w:rsidRPr="008154B1">
              <w:rPr>
                <w:rFonts w:ascii="Arial Narrow" w:eastAsia="Calibri" w:hAnsi="Arial Narrow"/>
                <w:sz w:val="18"/>
                <w:szCs w:val="18"/>
                <w:lang w:eastAsia="en-US"/>
              </w:rPr>
              <w:t>Midwives</w:t>
            </w:r>
          </w:p>
        </w:tc>
      </w:tr>
      <w:tr w:rsidR="006737E3" w:rsidRPr="008154B1" w:rsidTr="006737E3">
        <w:tc>
          <w:tcPr>
            <w:tcW w:w="5000" w:type="pct"/>
            <w:tcBorders>
              <w:top w:val="single" w:sz="4" w:space="0" w:color="auto"/>
              <w:left w:val="single" w:sz="4" w:space="0" w:color="auto"/>
              <w:bottom w:val="single" w:sz="4" w:space="0" w:color="auto"/>
              <w:right w:val="single" w:sz="4" w:space="0" w:color="auto"/>
            </w:tcBorders>
          </w:tcPr>
          <w:p w:rsidR="006737E3" w:rsidRPr="008154B1" w:rsidRDefault="006737E3" w:rsidP="006A1E9D">
            <w:pPr>
              <w:rPr>
                <w:rFonts w:ascii="Arial Narrow" w:eastAsia="Calibri" w:hAnsi="Arial Narrow"/>
                <w:b/>
                <w:sz w:val="18"/>
                <w:szCs w:val="18"/>
                <w:lang w:eastAsia="en-US"/>
              </w:rPr>
            </w:pPr>
            <w:r w:rsidRPr="008154B1">
              <w:rPr>
                <w:rFonts w:ascii="Arial Narrow" w:eastAsia="Calibri" w:hAnsi="Arial Narrow"/>
                <w:b/>
                <w:sz w:val="18"/>
                <w:szCs w:val="18"/>
                <w:lang w:eastAsia="en-US"/>
              </w:rPr>
              <w:t xml:space="preserve">Restriction </w:t>
            </w:r>
            <w:r w:rsidR="00742422" w:rsidRPr="008154B1">
              <w:rPr>
                <w:rFonts w:ascii="Arial Narrow" w:eastAsia="Calibri" w:hAnsi="Arial Narrow"/>
                <w:b/>
                <w:sz w:val="18"/>
                <w:szCs w:val="18"/>
                <w:lang w:eastAsia="en-US"/>
              </w:rPr>
              <w:t xml:space="preserve">type </w:t>
            </w:r>
            <w:r w:rsidRPr="008154B1">
              <w:rPr>
                <w:rFonts w:ascii="Arial Narrow" w:eastAsia="Calibri" w:hAnsi="Arial Narrow"/>
                <w:b/>
                <w:sz w:val="18"/>
                <w:szCs w:val="18"/>
                <w:lang w:eastAsia="en-US"/>
              </w:rPr>
              <w:t>/ Method:</w:t>
            </w:r>
          </w:p>
          <w:p w:rsidR="00D779AA" w:rsidRPr="008154B1" w:rsidRDefault="00D779AA" w:rsidP="00D779AA">
            <w:pPr>
              <w:rPr>
                <w:rFonts w:ascii="Arial Narrow" w:eastAsia="Calibri" w:hAnsi="Arial Narrow"/>
                <w:strike/>
                <w:sz w:val="18"/>
                <w:szCs w:val="18"/>
                <w:lang w:eastAsia="en-US"/>
              </w:rPr>
            </w:pPr>
            <w:r w:rsidRPr="008154B1">
              <w:rPr>
                <w:rFonts w:ascii="Arial Narrow" w:eastAsia="Calibri" w:hAnsi="Arial Narrow"/>
                <w:strike/>
                <w:sz w:val="18"/>
                <w:szCs w:val="18"/>
                <w:lang w:eastAsia="en-US"/>
              </w:rPr>
              <w:fldChar w:fldCharType="begin">
                <w:ffData>
                  <w:name w:val=""/>
                  <w:enabled/>
                  <w:calcOnExit w:val="0"/>
                  <w:checkBox>
                    <w:sizeAuto/>
                    <w:default w:val="1"/>
                  </w:checkBox>
                </w:ffData>
              </w:fldChar>
            </w:r>
            <w:r w:rsidRPr="008154B1">
              <w:rPr>
                <w:rFonts w:ascii="Arial Narrow" w:eastAsia="Calibri" w:hAnsi="Arial Narrow"/>
                <w:strike/>
                <w:sz w:val="18"/>
                <w:szCs w:val="18"/>
                <w:lang w:eastAsia="en-US"/>
              </w:rPr>
              <w:instrText xml:space="preserve"> FORMCHECKBOX </w:instrText>
            </w:r>
            <w:r w:rsidR="00CD20FA">
              <w:rPr>
                <w:rFonts w:ascii="Arial Narrow" w:eastAsia="Calibri" w:hAnsi="Arial Narrow"/>
                <w:strike/>
                <w:sz w:val="18"/>
                <w:szCs w:val="18"/>
                <w:lang w:eastAsia="en-US"/>
              </w:rPr>
            </w:r>
            <w:r w:rsidR="00CD20FA">
              <w:rPr>
                <w:rFonts w:ascii="Arial Narrow" w:eastAsia="Calibri" w:hAnsi="Arial Narrow"/>
                <w:strike/>
                <w:sz w:val="18"/>
                <w:szCs w:val="18"/>
                <w:lang w:eastAsia="en-US"/>
              </w:rPr>
              <w:fldChar w:fldCharType="separate"/>
            </w:r>
            <w:r w:rsidRPr="008154B1">
              <w:rPr>
                <w:rFonts w:ascii="Arial Narrow" w:eastAsia="Calibri" w:hAnsi="Arial Narrow"/>
                <w:strike/>
                <w:sz w:val="18"/>
                <w:szCs w:val="18"/>
                <w:lang w:eastAsia="en-US"/>
              </w:rPr>
              <w:fldChar w:fldCharType="end"/>
            </w:r>
            <w:r w:rsidRPr="008154B1">
              <w:rPr>
                <w:rFonts w:ascii="Arial Narrow" w:eastAsia="Calibri" w:hAnsi="Arial Narrow"/>
                <w:strike/>
                <w:sz w:val="18"/>
                <w:szCs w:val="18"/>
                <w:lang w:eastAsia="en-US"/>
              </w:rPr>
              <w:t xml:space="preserve">Authority Required – non-immediate/delayed assessment by </w:t>
            </w:r>
            <w:r w:rsidR="00742422" w:rsidRPr="008154B1">
              <w:rPr>
                <w:rFonts w:ascii="Arial Narrow" w:eastAsia="Calibri" w:hAnsi="Arial Narrow"/>
                <w:strike/>
                <w:sz w:val="18"/>
                <w:szCs w:val="18"/>
                <w:lang w:eastAsia="en-US"/>
              </w:rPr>
              <w:t xml:space="preserve"> Services Australia</w:t>
            </w:r>
            <w:r w:rsidRPr="008154B1">
              <w:rPr>
                <w:rFonts w:ascii="Arial Narrow" w:eastAsia="Calibri" w:hAnsi="Arial Narrow"/>
                <w:strike/>
                <w:sz w:val="18"/>
                <w:szCs w:val="18"/>
                <w:lang w:eastAsia="en-US"/>
              </w:rPr>
              <w:t xml:space="preserve"> (In-writing only via mail/postal service or electronic upload to Hobart)</w:t>
            </w:r>
          </w:p>
          <w:p w:rsidR="006737E3" w:rsidRPr="008154B1" w:rsidRDefault="00D779AA" w:rsidP="00742422">
            <w:pPr>
              <w:rPr>
                <w:rFonts w:ascii="Arial Narrow" w:eastAsia="Calibri" w:hAnsi="Arial Narrow"/>
                <w:b/>
                <w:sz w:val="18"/>
                <w:szCs w:val="18"/>
                <w:lang w:eastAsia="en-US"/>
              </w:rPr>
            </w:pPr>
            <w:r w:rsidRPr="008154B1">
              <w:rPr>
                <w:rFonts w:ascii="Arial Narrow" w:eastAsia="Calibri" w:hAnsi="Arial Narrow"/>
                <w:sz w:val="18"/>
                <w:szCs w:val="18"/>
                <w:lang w:eastAsia="en-US"/>
              </w:rPr>
              <w:fldChar w:fldCharType="begin">
                <w:ffData>
                  <w:name w:val=""/>
                  <w:enabled/>
                  <w:calcOnExit w:val="0"/>
                  <w:checkBox>
                    <w:sizeAuto/>
                    <w:default w:val="1"/>
                  </w:checkBox>
                </w:ffData>
              </w:fldChar>
            </w:r>
            <w:r w:rsidRPr="008154B1">
              <w:rPr>
                <w:rFonts w:ascii="Arial Narrow" w:eastAsia="Calibri" w:hAnsi="Arial Narrow"/>
                <w:sz w:val="18"/>
                <w:szCs w:val="18"/>
                <w:lang w:eastAsia="en-US"/>
              </w:rPr>
              <w:instrText xml:space="preserve"> FORMCHECKBOX </w:instrText>
            </w:r>
            <w:r w:rsidR="00CD20FA">
              <w:rPr>
                <w:rFonts w:ascii="Arial Narrow" w:eastAsia="Calibri" w:hAnsi="Arial Narrow"/>
                <w:sz w:val="18"/>
                <w:szCs w:val="18"/>
                <w:lang w:eastAsia="en-US"/>
              </w:rPr>
            </w:r>
            <w:r w:rsidR="00CD20FA">
              <w:rPr>
                <w:rFonts w:ascii="Arial Narrow" w:eastAsia="Calibri" w:hAnsi="Arial Narrow"/>
                <w:sz w:val="18"/>
                <w:szCs w:val="18"/>
                <w:lang w:eastAsia="en-US"/>
              </w:rPr>
              <w:fldChar w:fldCharType="separate"/>
            </w:r>
            <w:r w:rsidRPr="008154B1">
              <w:rPr>
                <w:rFonts w:ascii="Arial Narrow" w:eastAsia="Calibri" w:hAnsi="Arial Narrow"/>
                <w:sz w:val="18"/>
                <w:szCs w:val="18"/>
                <w:lang w:eastAsia="en-US"/>
              </w:rPr>
              <w:fldChar w:fldCharType="end"/>
            </w:r>
            <w:r w:rsidRPr="008154B1">
              <w:rPr>
                <w:rFonts w:ascii="Arial Narrow" w:eastAsia="Calibri" w:hAnsi="Arial Narrow"/>
                <w:i/>
                <w:sz w:val="18"/>
                <w:szCs w:val="18"/>
                <w:lang w:eastAsia="en-US"/>
              </w:rPr>
              <w:t xml:space="preserve">Authority Required – immediate/real time assessment by </w:t>
            </w:r>
            <w:r w:rsidR="00742422" w:rsidRPr="008154B1">
              <w:rPr>
                <w:rFonts w:ascii="Arial Narrow" w:eastAsia="Calibri" w:hAnsi="Arial Narrow"/>
                <w:i/>
                <w:sz w:val="18"/>
                <w:szCs w:val="18"/>
                <w:lang w:eastAsia="en-US"/>
              </w:rPr>
              <w:t xml:space="preserve">Services Australia </w:t>
            </w:r>
            <w:r w:rsidRPr="008154B1">
              <w:rPr>
                <w:rFonts w:ascii="Arial Narrow" w:eastAsia="Calibri" w:hAnsi="Arial Narrow"/>
                <w:i/>
                <w:sz w:val="18"/>
                <w:szCs w:val="18"/>
                <w:lang w:eastAsia="en-US"/>
              </w:rPr>
              <w:t>(telephone/online)</w:t>
            </w:r>
          </w:p>
        </w:tc>
      </w:tr>
      <w:tr w:rsidR="006737E3" w:rsidRPr="008154B1" w:rsidTr="006737E3">
        <w:trPr>
          <w:trHeight w:val="308"/>
        </w:trPr>
        <w:tc>
          <w:tcPr>
            <w:tcW w:w="5000" w:type="pct"/>
            <w:vAlign w:val="center"/>
          </w:tcPr>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b/>
                <w:bCs/>
                <w:color w:val="333333"/>
                <w:sz w:val="18"/>
                <w:szCs w:val="18"/>
              </w:rPr>
              <w:t>Administrative Advice:</w:t>
            </w:r>
          </w:p>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color w:val="333333"/>
                <w:sz w:val="18"/>
                <w:szCs w:val="18"/>
              </w:rPr>
              <w:t>No increase in the maximum quantity or number of units may be authorised.</w:t>
            </w:r>
          </w:p>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color w:val="333333"/>
                <w:sz w:val="18"/>
                <w:szCs w:val="18"/>
              </w:rPr>
              <w:t>No increase in the maximum number of repeats may be authorised</w:t>
            </w:r>
          </w:p>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i/>
                <w:color w:val="333333"/>
                <w:sz w:val="18"/>
                <w:szCs w:val="18"/>
              </w:rPr>
              <w:t>Special pricing arrangements apply</w:t>
            </w:r>
          </w:p>
        </w:tc>
      </w:tr>
      <w:tr w:rsidR="006737E3" w:rsidRPr="008154B1" w:rsidTr="006737E3">
        <w:tc>
          <w:tcPr>
            <w:tcW w:w="5000" w:type="pct"/>
            <w:vAlign w:val="center"/>
            <w:hideMark/>
          </w:tcPr>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b/>
                <w:bCs/>
                <w:color w:val="333333"/>
                <w:sz w:val="18"/>
                <w:szCs w:val="18"/>
              </w:rPr>
              <w:t xml:space="preserve">Indication: </w:t>
            </w:r>
            <w:r w:rsidRPr="008154B1">
              <w:rPr>
                <w:rFonts w:ascii="Arial Narrow" w:hAnsi="Arial Narrow" w:cs="Times New Roman"/>
                <w:bCs/>
                <w:color w:val="333333"/>
                <w:sz w:val="18"/>
                <w:szCs w:val="18"/>
              </w:rPr>
              <w:t>Hereditary Angioedema (HAE)</w:t>
            </w:r>
          </w:p>
        </w:tc>
      </w:tr>
      <w:tr w:rsidR="006737E3" w:rsidRPr="008154B1" w:rsidTr="006737E3">
        <w:tc>
          <w:tcPr>
            <w:tcW w:w="5000" w:type="pct"/>
            <w:vAlign w:val="center"/>
            <w:hideMark/>
          </w:tcPr>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b/>
                <w:bCs/>
                <w:color w:val="333333"/>
                <w:sz w:val="18"/>
                <w:szCs w:val="18"/>
              </w:rPr>
              <w:t>Treatment Phase:</w:t>
            </w:r>
            <w:r w:rsidRPr="008154B1">
              <w:rPr>
                <w:rFonts w:ascii="Times New Roman" w:eastAsia="Calibri" w:hAnsi="Times New Roman" w:cs="Times New Roman"/>
                <w:lang w:eastAsia="en-US"/>
              </w:rPr>
              <w:t xml:space="preserve"> </w:t>
            </w:r>
            <w:r w:rsidRPr="008154B1">
              <w:rPr>
                <w:rFonts w:ascii="Arial Narrow" w:hAnsi="Arial Narrow" w:cs="Times New Roman"/>
                <w:bCs/>
                <w:color w:val="333333"/>
                <w:sz w:val="18"/>
                <w:szCs w:val="18"/>
              </w:rPr>
              <w:t xml:space="preserve">Initial - Grandfather treatment </w:t>
            </w:r>
            <w:r w:rsidRPr="008154B1">
              <w:rPr>
                <w:rFonts w:ascii="Arial Narrow" w:hAnsi="Arial Narrow" w:cs="Times New Roman"/>
                <w:bCs/>
                <w:i/>
                <w:color w:val="333333"/>
                <w:sz w:val="18"/>
                <w:szCs w:val="18"/>
              </w:rPr>
              <w:t>(patient initiated on non-PBS subsidised treatment)</w:t>
            </w:r>
            <w:r w:rsidR="008154B1">
              <w:rPr>
                <w:rFonts w:ascii="Arial Narrow" w:hAnsi="Arial Narrow" w:cs="Times New Roman"/>
                <w:bCs/>
                <w:i/>
                <w:color w:val="333333"/>
                <w:sz w:val="18"/>
                <w:szCs w:val="18"/>
              </w:rPr>
              <w:t xml:space="preserve">. </w:t>
            </w:r>
          </w:p>
        </w:tc>
      </w:tr>
      <w:tr w:rsidR="006737E3" w:rsidRPr="008154B1" w:rsidTr="006737E3">
        <w:tc>
          <w:tcPr>
            <w:tcW w:w="5000" w:type="pct"/>
            <w:vAlign w:val="center"/>
            <w:hideMark/>
          </w:tcPr>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b/>
                <w:bCs/>
                <w:color w:val="333333"/>
                <w:sz w:val="18"/>
                <w:szCs w:val="18"/>
              </w:rPr>
              <w:t>Clinical criteria:</w:t>
            </w:r>
          </w:p>
        </w:tc>
      </w:tr>
      <w:tr w:rsidR="006737E3" w:rsidRPr="008154B1" w:rsidTr="006737E3">
        <w:trPr>
          <w:trHeight w:val="140"/>
        </w:trPr>
        <w:tc>
          <w:tcPr>
            <w:tcW w:w="5000" w:type="pct"/>
            <w:vAlign w:val="center"/>
            <w:hideMark/>
          </w:tcPr>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color w:val="333333"/>
                <w:sz w:val="18"/>
                <w:szCs w:val="18"/>
              </w:rPr>
              <w:t>Patient must have previously received non-PBS subsidised treatment with this drug as routine prophylaxis for HAE prior to [date to be determined];</w:t>
            </w:r>
          </w:p>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color w:val="333333"/>
                <w:sz w:val="18"/>
                <w:szCs w:val="18"/>
              </w:rPr>
              <w:t>AND</w:t>
            </w:r>
          </w:p>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color w:val="333333"/>
                <w:sz w:val="18"/>
                <w:szCs w:val="18"/>
              </w:rPr>
              <w:t>Patient must have experienced at least 12 treated acute attacks of HAE within a period of 6 months prior to commencement of treatment</w:t>
            </w:r>
          </w:p>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color w:val="333333"/>
                <w:sz w:val="18"/>
                <w:szCs w:val="18"/>
              </w:rPr>
              <w:t>AND</w:t>
            </w:r>
          </w:p>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color w:val="333333"/>
                <w:sz w:val="18"/>
                <w:szCs w:val="18"/>
              </w:rPr>
              <w:t xml:space="preserve">Patient must be intolerant or insufficiently protected by oral routine prophylaxis </w:t>
            </w:r>
          </w:p>
          <w:p w:rsidR="006737E3" w:rsidRPr="008154B1" w:rsidRDefault="006737E3" w:rsidP="006A1E9D">
            <w:pPr>
              <w:jc w:val="left"/>
              <w:rPr>
                <w:rFonts w:ascii="Arial Narrow" w:hAnsi="Arial Narrow" w:cs="Times New Roman"/>
                <w:strike/>
                <w:color w:val="333333"/>
                <w:sz w:val="18"/>
                <w:szCs w:val="18"/>
              </w:rPr>
            </w:pPr>
            <w:r w:rsidRPr="008154B1">
              <w:rPr>
                <w:rFonts w:ascii="Arial Narrow" w:hAnsi="Arial Narrow" w:cs="Times New Roman"/>
                <w:strike/>
                <w:color w:val="333333"/>
                <w:sz w:val="18"/>
                <w:szCs w:val="18"/>
              </w:rPr>
              <w:t>OR</w:t>
            </w:r>
          </w:p>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strike/>
                <w:color w:val="333333"/>
                <w:sz w:val="18"/>
                <w:szCs w:val="18"/>
              </w:rPr>
              <w:t>Patient must have previously received C1-esterase inhibitor through the National Blood Authority as routine prophylaxis for HAE</w:t>
            </w:r>
          </w:p>
        </w:tc>
      </w:tr>
      <w:tr w:rsidR="006737E3" w:rsidRPr="008154B1" w:rsidTr="006737E3">
        <w:tc>
          <w:tcPr>
            <w:tcW w:w="5000" w:type="pct"/>
            <w:vAlign w:val="center"/>
            <w:hideMark/>
          </w:tcPr>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b/>
                <w:bCs/>
                <w:color w:val="333333"/>
                <w:sz w:val="18"/>
                <w:szCs w:val="18"/>
              </w:rPr>
              <w:t>AND</w:t>
            </w:r>
          </w:p>
        </w:tc>
      </w:tr>
      <w:tr w:rsidR="006737E3" w:rsidRPr="008154B1" w:rsidTr="006737E3">
        <w:tc>
          <w:tcPr>
            <w:tcW w:w="5000" w:type="pct"/>
            <w:vAlign w:val="center"/>
            <w:hideMark/>
          </w:tcPr>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b/>
                <w:bCs/>
                <w:color w:val="333333"/>
                <w:sz w:val="18"/>
                <w:szCs w:val="18"/>
              </w:rPr>
              <w:t>Treatment criteria:</w:t>
            </w:r>
          </w:p>
        </w:tc>
      </w:tr>
      <w:tr w:rsidR="006737E3" w:rsidRPr="008154B1" w:rsidTr="006737E3">
        <w:tc>
          <w:tcPr>
            <w:tcW w:w="5000" w:type="pct"/>
            <w:vAlign w:val="center"/>
            <w:hideMark/>
          </w:tcPr>
          <w:p w:rsidR="006737E3" w:rsidRPr="008154B1" w:rsidRDefault="006737E3" w:rsidP="006A1E9D">
            <w:pPr>
              <w:autoSpaceDE w:val="0"/>
              <w:autoSpaceDN w:val="0"/>
              <w:adjustRightInd w:val="0"/>
              <w:jc w:val="left"/>
              <w:rPr>
                <w:rFonts w:ascii="Arial Narrow" w:eastAsia="Calibri" w:hAnsi="Arial Narrow" w:cs="Arial Narrow"/>
                <w:iCs/>
                <w:sz w:val="20"/>
                <w:szCs w:val="20"/>
                <w:lang w:eastAsia="en-US"/>
              </w:rPr>
            </w:pPr>
            <w:r w:rsidRPr="008154B1">
              <w:rPr>
                <w:rFonts w:ascii="Arial Narrow" w:eastAsia="Calibri" w:hAnsi="Arial Narrow" w:cs="Arial Narrow"/>
                <w:iCs/>
                <w:sz w:val="18"/>
                <w:szCs w:val="18"/>
                <w:lang w:eastAsia="en-US"/>
              </w:rPr>
              <w:t xml:space="preserve">Must be treated by </w:t>
            </w:r>
            <w:r w:rsidRPr="008154B1">
              <w:rPr>
                <w:rFonts w:ascii="Arial Narrow" w:eastAsia="Calibri" w:hAnsi="Arial Narrow" w:cs="Arial Narrow"/>
                <w:i/>
                <w:iCs/>
                <w:sz w:val="18"/>
                <w:szCs w:val="18"/>
                <w:lang w:eastAsia="en-US"/>
              </w:rPr>
              <w:t xml:space="preserve">at least one of a: </w:t>
            </w:r>
            <w:r w:rsidRPr="008154B1">
              <w:rPr>
                <w:rFonts w:ascii="Arial Narrow" w:eastAsia="Calibri" w:hAnsi="Arial Narrow" w:cs="Arial Narrow"/>
                <w:iCs/>
                <w:strike/>
                <w:sz w:val="18"/>
                <w:szCs w:val="18"/>
                <w:lang w:eastAsia="en-US"/>
              </w:rPr>
              <w:t>a specialist</w:t>
            </w:r>
            <w:r w:rsidRPr="008154B1">
              <w:rPr>
                <w:rFonts w:ascii="Arial Narrow" w:eastAsia="Calibri" w:hAnsi="Arial Narrow" w:cs="Arial Narrow"/>
                <w:iCs/>
                <w:sz w:val="18"/>
                <w:szCs w:val="18"/>
                <w:lang w:eastAsia="en-US"/>
              </w:rPr>
              <w:t xml:space="preserve"> </w:t>
            </w:r>
            <w:r w:rsidRPr="008154B1">
              <w:rPr>
                <w:rFonts w:ascii="Arial Narrow" w:eastAsia="Calibri" w:hAnsi="Arial Narrow" w:cs="Arial Narrow"/>
                <w:i/>
                <w:iCs/>
                <w:sz w:val="18"/>
                <w:szCs w:val="18"/>
                <w:lang w:eastAsia="en-US"/>
              </w:rPr>
              <w:t xml:space="preserve">clinical </w:t>
            </w:r>
            <w:r w:rsidRPr="008154B1">
              <w:rPr>
                <w:rFonts w:ascii="Arial Narrow" w:eastAsia="Calibri" w:hAnsi="Arial Narrow" w:cs="Arial Narrow"/>
                <w:iCs/>
                <w:sz w:val="18"/>
                <w:szCs w:val="18"/>
                <w:lang w:eastAsia="en-US"/>
              </w:rPr>
              <w:t xml:space="preserve"> immunologist</w:t>
            </w:r>
            <w:r w:rsidRPr="008154B1">
              <w:rPr>
                <w:rFonts w:ascii="Arial Narrow" w:eastAsia="Calibri" w:hAnsi="Arial Narrow" w:cs="Arial Narrow"/>
                <w:iCs/>
                <w:strike/>
                <w:sz w:val="18"/>
                <w:szCs w:val="18"/>
                <w:lang w:eastAsia="en-US"/>
              </w:rPr>
              <w:t>; or</w:t>
            </w:r>
            <w:r w:rsidRPr="008154B1">
              <w:rPr>
                <w:rFonts w:ascii="Arial Narrow" w:eastAsia="Calibri" w:hAnsi="Arial Narrow" w:cs="Arial Narrow"/>
                <w:iCs/>
                <w:sz w:val="18"/>
                <w:szCs w:val="18"/>
                <w:lang w:eastAsia="en-US"/>
              </w:rPr>
              <w:t xml:space="preserve"> </w:t>
            </w:r>
            <w:r w:rsidRPr="008154B1">
              <w:rPr>
                <w:rFonts w:ascii="Arial Narrow" w:eastAsia="Calibri" w:hAnsi="Arial Narrow" w:cs="Arial Narrow"/>
                <w:i/>
                <w:iCs/>
                <w:sz w:val="18"/>
                <w:szCs w:val="18"/>
                <w:lang w:eastAsia="en-US"/>
              </w:rPr>
              <w:t>/ specialist allergist</w:t>
            </w:r>
          </w:p>
        </w:tc>
      </w:tr>
      <w:tr w:rsidR="006737E3" w:rsidRPr="008154B1" w:rsidTr="006737E3">
        <w:tc>
          <w:tcPr>
            <w:tcW w:w="5000" w:type="pct"/>
            <w:vAlign w:val="center"/>
          </w:tcPr>
          <w:p w:rsidR="006737E3" w:rsidRPr="008154B1" w:rsidRDefault="006737E3" w:rsidP="006A1E9D">
            <w:pPr>
              <w:autoSpaceDE w:val="0"/>
              <w:autoSpaceDN w:val="0"/>
              <w:adjustRightInd w:val="0"/>
              <w:jc w:val="left"/>
              <w:rPr>
                <w:rFonts w:ascii="Arial Narrow" w:eastAsia="Calibri" w:hAnsi="Arial Narrow" w:cs="Arial Narrow"/>
                <w:iCs/>
                <w:sz w:val="18"/>
                <w:szCs w:val="18"/>
                <w:lang w:eastAsia="en-US"/>
              </w:rPr>
            </w:pPr>
            <w:r w:rsidRPr="008154B1">
              <w:rPr>
                <w:rFonts w:ascii="Arial Narrow" w:eastAsia="Calibri" w:hAnsi="Arial Narrow" w:cs="Arial Narrow"/>
                <w:iCs/>
                <w:strike/>
                <w:sz w:val="18"/>
                <w:szCs w:val="18"/>
                <w:lang w:eastAsia="en-US"/>
              </w:rPr>
              <w:t>Must be treated by a specialist immunologist and allergist</w:t>
            </w:r>
          </w:p>
        </w:tc>
      </w:tr>
      <w:tr w:rsidR="006737E3" w:rsidRPr="008154B1" w:rsidTr="006737E3">
        <w:tc>
          <w:tcPr>
            <w:tcW w:w="5000" w:type="pct"/>
            <w:vAlign w:val="center"/>
          </w:tcPr>
          <w:p w:rsidR="006737E3" w:rsidRPr="008154B1" w:rsidRDefault="006737E3" w:rsidP="006A1E9D">
            <w:pPr>
              <w:autoSpaceDE w:val="0"/>
              <w:autoSpaceDN w:val="0"/>
              <w:adjustRightInd w:val="0"/>
              <w:jc w:val="left"/>
              <w:rPr>
                <w:rFonts w:ascii="Arial Narrow" w:eastAsia="Calibri" w:hAnsi="Arial Narrow" w:cs="Arial Narrow"/>
                <w:iCs/>
                <w:strike/>
                <w:sz w:val="18"/>
                <w:szCs w:val="18"/>
                <w:lang w:eastAsia="en-US"/>
              </w:rPr>
            </w:pPr>
            <w:r w:rsidRPr="008154B1">
              <w:rPr>
                <w:rFonts w:ascii="Arial Narrow" w:hAnsi="Arial Narrow" w:cs="Times New Roman"/>
                <w:b/>
                <w:bCs/>
                <w:color w:val="333333"/>
                <w:sz w:val="18"/>
                <w:szCs w:val="18"/>
              </w:rPr>
              <w:t>Clinical criteria:</w:t>
            </w:r>
          </w:p>
        </w:tc>
      </w:tr>
      <w:tr w:rsidR="006737E3" w:rsidRPr="008154B1" w:rsidTr="006737E3">
        <w:tc>
          <w:tcPr>
            <w:tcW w:w="5000" w:type="pct"/>
            <w:vAlign w:val="center"/>
          </w:tcPr>
          <w:p w:rsidR="006737E3" w:rsidRPr="008154B1" w:rsidRDefault="006737E3" w:rsidP="006A1E9D">
            <w:pPr>
              <w:autoSpaceDE w:val="0"/>
              <w:autoSpaceDN w:val="0"/>
              <w:adjustRightInd w:val="0"/>
              <w:jc w:val="left"/>
              <w:rPr>
                <w:rFonts w:ascii="Arial Narrow" w:eastAsia="Calibri" w:hAnsi="Arial Narrow" w:cs="Arial Narrow"/>
                <w:iCs/>
                <w:strike/>
                <w:sz w:val="18"/>
                <w:szCs w:val="18"/>
                <w:lang w:eastAsia="en-US"/>
              </w:rPr>
            </w:pPr>
            <w:r w:rsidRPr="008154B1">
              <w:rPr>
                <w:rFonts w:ascii="Arial Narrow" w:hAnsi="Arial Narrow" w:cs="Times New Roman"/>
                <w:bCs/>
                <w:i/>
                <w:color w:val="333333"/>
                <w:sz w:val="18"/>
                <w:szCs w:val="18"/>
              </w:rPr>
              <w:lastRenderedPageBreak/>
              <w:t>The treatment must not be PBS-subsidised in combination with a C1-esterase inhibitor concentrate</w:t>
            </w:r>
          </w:p>
        </w:tc>
      </w:tr>
      <w:tr w:rsidR="006737E3" w:rsidRPr="008154B1" w:rsidTr="006737E3">
        <w:tc>
          <w:tcPr>
            <w:tcW w:w="5000" w:type="pct"/>
            <w:vAlign w:val="center"/>
            <w:hideMark/>
          </w:tcPr>
          <w:p w:rsidR="006737E3" w:rsidRPr="008154B1" w:rsidRDefault="006737E3" w:rsidP="006A1E9D">
            <w:pPr>
              <w:jc w:val="left"/>
              <w:rPr>
                <w:rFonts w:ascii="Arial Narrow" w:hAnsi="Arial Narrow" w:cs="Times New Roman"/>
                <w:color w:val="333333"/>
                <w:sz w:val="18"/>
                <w:szCs w:val="18"/>
              </w:rPr>
            </w:pPr>
            <w:r w:rsidRPr="008154B1">
              <w:rPr>
                <w:rFonts w:ascii="Arial Narrow" w:hAnsi="Arial Narrow" w:cs="Times New Roman"/>
                <w:b/>
                <w:bCs/>
                <w:color w:val="333333"/>
                <w:sz w:val="18"/>
                <w:szCs w:val="18"/>
              </w:rPr>
              <w:t>AND</w:t>
            </w:r>
          </w:p>
        </w:tc>
      </w:tr>
      <w:tr w:rsidR="006737E3" w:rsidRPr="008154B1" w:rsidTr="006737E3">
        <w:tc>
          <w:tcPr>
            <w:tcW w:w="5000" w:type="pct"/>
            <w:vAlign w:val="center"/>
            <w:hideMark/>
          </w:tcPr>
          <w:p w:rsidR="006737E3" w:rsidRPr="008154B1" w:rsidRDefault="006737E3" w:rsidP="006A1E9D">
            <w:pPr>
              <w:jc w:val="left"/>
              <w:rPr>
                <w:rFonts w:ascii="Arial Narrow" w:hAnsi="Arial Narrow" w:cs="Times New Roman"/>
                <w:b/>
                <w:bCs/>
                <w:color w:val="333333"/>
                <w:sz w:val="18"/>
                <w:szCs w:val="18"/>
              </w:rPr>
            </w:pPr>
            <w:r w:rsidRPr="008154B1">
              <w:rPr>
                <w:rFonts w:ascii="Arial Narrow" w:hAnsi="Arial Narrow" w:cs="Times New Roman"/>
                <w:b/>
                <w:bCs/>
                <w:color w:val="333333"/>
                <w:sz w:val="18"/>
                <w:szCs w:val="18"/>
              </w:rPr>
              <w:t xml:space="preserve">Prescribing Instructions: </w:t>
            </w:r>
          </w:p>
          <w:p w:rsidR="006737E3" w:rsidRPr="008154B1" w:rsidRDefault="006737E3" w:rsidP="006A1E9D">
            <w:pPr>
              <w:jc w:val="left"/>
              <w:rPr>
                <w:rFonts w:ascii="Arial Narrow" w:hAnsi="Arial Narrow" w:cs="Times New Roman"/>
                <w:i/>
                <w:color w:val="333333"/>
                <w:sz w:val="18"/>
                <w:szCs w:val="18"/>
              </w:rPr>
            </w:pPr>
            <w:r w:rsidRPr="008154B1">
              <w:rPr>
                <w:rFonts w:ascii="Arial Narrow" w:hAnsi="Arial Narrow" w:cs="Times New Roman"/>
                <w:i/>
                <w:color w:val="333333"/>
                <w:sz w:val="18"/>
                <w:szCs w:val="18"/>
              </w:rPr>
              <w:t>For the purposes of administering this restriction, acute attacks of hereditary angioedema are those of a severity necessitating immediate medical intervention ]</w:t>
            </w:r>
          </w:p>
          <w:p w:rsidR="006737E3" w:rsidRPr="008154B1" w:rsidRDefault="006737E3" w:rsidP="006A1E9D">
            <w:pPr>
              <w:jc w:val="left"/>
              <w:rPr>
                <w:rFonts w:ascii="Arial Narrow" w:hAnsi="Arial Narrow" w:cs="Times New Roman"/>
                <w:b/>
                <w:bCs/>
                <w:color w:val="333333"/>
                <w:sz w:val="18"/>
                <w:szCs w:val="18"/>
              </w:rPr>
            </w:pPr>
          </w:p>
          <w:p w:rsidR="006737E3" w:rsidRPr="008154B1" w:rsidRDefault="006737E3" w:rsidP="006A1E9D">
            <w:pPr>
              <w:jc w:val="left"/>
              <w:rPr>
                <w:rFonts w:ascii="Arial Narrow" w:hAnsi="Arial Narrow" w:cs="Times New Roman"/>
                <w:i/>
                <w:color w:val="333333"/>
                <w:sz w:val="18"/>
                <w:szCs w:val="18"/>
              </w:rPr>
            </w:pPr>
            <w:r w:rsidRPr="008154B1">
              <w:rPr>
                <w:rFonts w:ascii="Arial Narrow" w:hAnsi="Arial Narrow" w:cs="Times New Roman"/>
                <w:i/>
                <w:color w:val="333333"/>
                <w:sz w:val="18"/>
                <w:szCs w:val="18"/>
              </w:rPr>
              <w:t xml:space="preserve">The baseline number of treated acute attacks of </w:t>
            </w:r>
            <w:r w:rsidRPr="008154B1">
              <w:rPr>
                <w:rFonts w:ascii="Arial Narrow" w:hAnsi="Arial Narrow" w:cs="Times New Roman"/>
                <w:i/>
                <w:strike/>
                <w:color w:val="333333"/>
                <w:sz w:val="18"/>
                <w:szCs w:val="18"/>
              </w:rPr>
              <w:t>HAE</w:t>
            </w:r>
            <w:r w:rsidRPr="008154B1">
              <w:rPr>
                <w:rFonts w:ascii="Arial Narrow" w:hAnsi="Arial Narrow" w:cs="Times New Roman"/>
                <w:i/>
                <w:color w:val="333333"/>
                <w:sz w:val="18"/>
                <w:szCs w:val="18"/>
              </w:rPr>
              <w:t xml:space="preserve"> hereditary angioedema within the 6 months prior to initiating treatment must be documented in the patient’s medical records for auditing purposes.</w:t>
            </w:r>
          </w:p>
          <w:p w:rsidR="006737E3" w:rsidRPr="008154B1" w:rsidRDefault="006737E3" w:rsidP="006A1E9D">
            <w:pPr>
              <w:jc w:val="left"/>
              <w:rPr>
                <w:rFonts w:ascii="Arial Narrow" w:hAnsi="Arial Narrow" w:cs="Times New Roman"/>
                <w:i/>
                <w:color w:val="333333"/>
                <w:sz w:val="18"/>
                <w:szCs w:val="18"/>
              </w:rPr>
            </w:pPr>
          </w:p>
          <w:p w:rsidR="006737E3" w:rsidRPr="008154B1" w:rsidRDefault="006737E3" w:rsidP="006A1E9D">
            <w:pPr>
              <w:jc w:val="left"/>
              <w:rPr>
                <w:rFonts w:ascii="Arial Narrow" w:hAnsi="Arial Narrow" w:cs="Times New Roman"/>
                <w:b/>
                <w:bCs/>
                <w:color w:val="333333"/>
                <w:sz w:val="18"/>
                <w:szCs w:val="18"/>
              </w:rPr>
            </w:pPr>
            <w:r w:rsidRPr="008154B1">
              <w:rPr>
                <w:rFonts w:ascii="Arial Narrow" w:hAnsi="Arial Narrow" w:cs="Times New Roman"/>
                <w:i/>
                <w:color w:val="333333"/>
                <w:sz w:val="18"/>
                <w:szCs w:val="18"/>
              </w:rPr>
              <w:t>An intolerance of oral routine prophylaxis must be of a severity requiring permanent treatment discontinuation. Details of the intolerance (e.g. name of oral prophylaxis, date of adverse reaction, nature of reaction) must be documented in the patient’s medical records for auditing purposes.</w:t>
            </w:r>
          </w:p>
          <w:p w:rsidR="006737E3" w:rsidRPr="008154B1" w:rsidRDefault="006737E3" w:rsidP="006A1E9D">
            <w:pPr>
              <w:jc w:val="left"/>
              <w:rPr>
                <w:rFonts w:ascii="Arial Narrow" w:hAnsi="Arial Narrow" w:cs="Times New Roman"/>
                <w:color w:val="333333"/>
                <w:sz w:val="18"/>
                <w:szCs w:val="18"/>
              </w:rPr>
            </w:pPr>
          </w:p>
          <w:p w:rsidR="006737E3" w:rsidRPr="008154B1" w:rsidRDefault="006737E3" w:rsidP="006A1E9D">
            <w:pPr>
              <w:jc w:val="left"/>
              <w:rPr>
                <w:rFonts w:ascii="Arial Narrow" w:hAnsi="Arial Narrow" w:cs="Times New Roman"/>
                <w:strike/>
                <w:color w:val="333333"/>
                <w:sz w:val="18"/>
                <w:szCs w:val="18"/>
              </w:rPr>
            </w:pPr>
            <w:r w:rsidRPr="008154B1">
              <w:rPr>
                <w:rFonts w:ascii="Arial Narrow" w:hAnsi="Arial Narrow" w:cs="Times New Roman"/>
                <w:strike/>
                <w:color w:val="333333"/>
                <w:sz w:val="18"/>
                <w:szCs w:val="18"/>
              </w:rPr>
              <w:t>The authority application must be made in writing and must include:</w:t>
            </w:r>
          </w:p>
          <w:p w:rsidR="006737E3" w:rsidRPr="008154B1" w:rsidRDefault="006737E3" w:rsidP="006A1E9D">
            <w:pPr>
              <w:jc w:val="left"/>
              <w:rPr>
                <w:rFonts w:ascii="Arial Narrow" w:hAnsi="Arial Narrow" w:cs="Times New Roman"/>
                <w:strike/>
                <w:color w:val="333333"/>
                <w:sz w:val="18"/>
                <w:szCs w:val="18"/>
              </w:rPr>
            </w:pPr>
            <w:r w:rsidRPr="008154B1">
              <w:rPr>
                <w:rFonts w:ascii="Arial Narrow" w:hAnsi="Arial Narrow" w:cs="Times New Roman"/>
                <w:strike/>
                <w:color w:val="333333"/>
                <w:sz w:val="18"/>
                <w:szCs w:val="18"/>
              </w:rPr>
              <w:t>a) completed authority prescription form; and</w:t>
            </w:r>
          </w:p>
          <w:p w:rsidR="006737E3" w:rsidRPr="008154B1" w:rsidRDefault="006737E3" w:rsidP="006A1E9D">
            <w:pPr>
              <w:jc w:val="left"/>
              <w:rPr>
                <w:rFonts w:ascii="Arial Narrow" w:hAnsi="Arial Narrow" w:cs="Times New Roman"/>
                <w:strike/>
                <w:color w:val="333333"/>
                <w:sz w:val="18"/>
                <w:szCs w:val="18"/>
              </w:rPr>
            </w:pPr>
            <w:r w:rsidRPr="008154B1">
              <w:rPr>
                <w:rFonts w:ascii="Arial Narrow" w:hAnsi="Arial Narrow" w:cs="Times New Roman"/>
                <w:strike/>
                <w:color w:val="333333"/>
                <w:sz w:val="18"/>
                <w:szCs w:val="18"/>
              </w:rPr>
              <w:t>b) a completed hereditary angioedema Grandfather PBS authority application -Supporting Information Form which includes:</w:t>
            </w:r>
          </w:p>
          <w:p w:rsidR="006737E3" w:rsidRPr="008154B1" w:rsidRDefault="006737E3" w:rsidP="00950926">
            <w:pPr>
              <w:numPr>
                <w:ilvl w:val="0"/>
                <w:numId w:val="12"/>
              </w:numPr>
              <w:spacing w:after="160" w:line="259" w:lineRule="auto"/>
              <w:contextualSpacing/>
              <w:jc w:val="left"/>
              <w:rPr>
                <w:rFonts w:ascii="Arial Narrow" w:hAnsi="Arial Narrow" w:cs="Times New Roman"/>
                <w:strike/>
                <w:color w:val="333333"/>
                <w:sz w:val="18"/>
                <w:szCs w:val="18"/>
              </w:rPr>
            </w:pPr>
            <w:r w:rsidRPr="008154B1">
              <w:rPr>
                <w:rFonts w:ascii="Arial Narrow" w:hAnsi="Arial Narrow" w:cs="Times New Roman"/>
                <w:strike/>
                <w:color w:val="333333"/>
                <w:sz w:val="18"/>
                <w:szCs w:val="18"/>
              </w:rPr>
              <w:t>Documentation of treatment start date; and</w:t>
            </w:r>
          </w:p>
          <w:p w:rsidR="006737E3" w:rsidRPr="008154B1" w:rsidRDefault="006737E3" w:rsidP="00950926">
            <w:pPr>
              <w:numPr>
                <w:ilvl w:val="0"/>
                <w:numId w:val="12"/>
              </w:numPr>
              <w:spacing w:after="160" w:line="259" w:lineRule="auto"/>
              <w:contextualSpacing/>
              <w:jc w:val="left"/>
              <w:rPr>
                <w:rFonts w:ascii="Arial Narrow" w:hAnsi="Arial Narrow" w:cs="Times New Roman"/>
                <w:strike/>
                <w:color w:val="333333"/>
                <w:sz w:val="18"/>
                <w:szCs w:val="18"/>
              </w:rPr>
            </w:pPr>
            <w:r w:rsidRPr="008154B1">
              <w:rPr>
                <w:rFonts w:ascii="Arial Narrow" w:hAnsi="Arial Narrow" w:cs="Times New Roman"/>
                <w:strike/>
                <w:color w:val="333333"/>
                <w:sz w:val="18"/>
                <w:szCs w:val="18"/>
              </w:rPr>
              <w:t>Baseline measurement of the number of treated acute attacks of HAE within the 6 months prior to initiating treatment; or</w:t>
            </w:r>
          </w:p>
          <w:p w:rsidR="006737E3" w:rsidRPr="008154B1" w:rsidRDefault="006737E3" w:rsidP="00950926">
            <w:pPr>
              <w:numPr>
                <w:ilvl w:val="0"/>
                <w:numId w:val="12"/>
              </w:numPr>
              <w:spacing w:after="160" w:line="259" w:lineRule="auto"/>
              <w:contextualSpacing/>
              <w:jc w:val="left"/>
              <w:rPr>
                <w:rFonts w:ascii="Arial Narrow" w:hAnsi="Arial Narrow" w:cs="Times New Roman"/>
                <w:i/>
                <w:color w:val="333333"/>
                <w:sz w:val="18"/>
                <w:szCs w:val="18"/>
              </w:rPr>
            </w:pPr>
            <w:r w:rsidRPr="008154B1">
              <w:rPr>
                <w:rFonts w:ascii="Arial Narrow" w:hAnsi="Arial Narrow" w:cs="Times New Roman"/>
                <w:strike/>
                <w:color w:val="333333"/>
                <w:sz w:val="18"/>
                <w:szCs w:val="18"/>
              </w:rPr>
              <w:t>Evidence of prior use of C1-esterase inhibitor funded through the National Blood Authority as routine prophylaxis, including formulation and dose</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b/>
                <w:bCs/>
                <w:i/>
                <w:color w:val="333333"/>
                <w:sz w:val="18"/>
                <w:szCs w:val="18"/>
              </w:rPr>
            </w:pPr>
            <w:r w:rsidRPr="008154B1">
              <w:rPr>
                <w:rFonts w:ascii="Arial Narrow" w:hAnsi="Arial Narrow" w:cs="Times New Roman"/>
                <w:b/>
                <w:bCs/>
                <w:i/>
                <w:color w:val="333333"/>
                <w:sz w:val="18"/>
                <w:szCs w:val="18"/>
              </w:rPr>
              <w:t>Administrative Advice: (applicable to telephone/online authority approvals)</w:t>
            </w:r>
          </w:p>
          <w:p w:rsidR="006737E3" w:rsidRPr="008154B1" w:rsidRDefault="006737E3" w:rsidP="006A1E9D">
            <w:pPr>
              <w:jc w:val="left"/>
              <w:rPr>
                <w:rFonts w:ascii="Arial Narrow" w:hAnsi="Arial Narrow" w:cs="Times New Roman"/>
                <w:b/>
                <w:bCs/>
                <w:color w:val="333333"/>
                <w:sz w:val="18"/>
                <w:szCs w:val="18"/>
              </w:rPr>
            </w:pPr>
            <w:r w:rsidRPr="008154B1">
              <w:rPr>
                <w:rFonts w:ascii="Arial Narrow" w:hAnsi="Arial Narrow" w:cs="Times New Roman"/>
                <w:bCs/>
                <w:i/>
                <w:color w:val="333333"/>
                <w:sz w:val="18"/>
                <w:szCs w:val="18"/>
              </w:rPr>
              <w:t>Applications for authorisation under this restriction may be made in real time using the Online PBS Authorities system (see www.servicesaustralia.gov.au/HPOS) or by telephone by contacting Services Australia on 1800 888 33</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b/>
                <w:bCs/>
                <w:strike/>
                <w:color w:val="333333"/>
                <w:sz w:val="18"/>
                <w:szCs w:val="18"/>
              </w:rPr>
            </w:pPr>
            <w:r w:rsidRPr="008154B1">
              <w:rPr>
                <w:rFonts w:ascii="Arial Narrow" w:hAnsi="Arial Narrow" w:cs="Times New Roman"/>
                <w:strike/>
                <w:color w:val="333333"/>
                <w:sz w:val="18"/>
                <w:szCs w:val="18"/>
              </w:rPr>
              <w:t>This medicine is not PBS subsidised for use in combination with C1-esterase inhibitor</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b/>
                <w:bCs/>
                <w:color w:val="333333"/>
                <w:sz w:val="18"/>
                <w:szCs w:val="18"/>
              </w:rPr>
            </w:pPr>
            <w:r w:rsidRPr="008154B1">
              <w:rPr>
                <w:rFonts w:ascii="Arial Narrow" w:hAnsi="Arial Narrow" w:cs="Times New Roman"/>
                <w:i/>
                <w:color w:val="333333"/>
                <w:sz w:val="18"/>
                <w:szCs w:val="18"/>
              </w:rPr>
              <w:t>A patient may only qualify for PBS-subsidised treatment under this restriction once in a lifetime.</w:t>
            </w:r>
          </w:p>
        </w:tc>
      </w:tr>
      <w:tr w:rsidR="006737E3" w:rsidRPr="008154B1" w:rsidTr="006737E3">
        <w:tc>
          <w:tcPr>
            <w:tcW w:w="5000" w:type="pct"/>
            <w:vAlign w:val="center"/>
          </w:tcPr>
          <w:p w:rsidR="006737E3" w:rsidRPr="008154B1" w:rsidRDefault="006737E3" w:rsidP="006A1E9D">
            <w:pPr>
              <w:jc w:val="left"/>
              <w:rPr>
                <w:rFonts w:ascii="Arial Narrow" w:hAnsi="Arial Narrow" w:cs="Times New Roman"/>
                <w:b/>
                <w:bCs/>
                <w:color w:val="333333"/>
                <w:sz w:val="18"/>
                <w:szCs w:val="18"/>
              </w:rPr>
            </w:pPr>
            <w:r w:rsidRPr="008154B1">
              <w:rPr>
                <w:rFonts w:ascii="Arial Narrow" w:hAnsi="Arial Narrow" w:cs="Times New Roman"/>
                <w:i/>
                <w:color w:val="333333"/>
                <w:sz w:val="18"/>
                <w:szCs w:val="18"/>
              </w:rPr>
              <w:t>This Grandfather restriction will cease to operate 12 months after the date specified in the clinical criteria</w:t>
            </w:r>
          </w:p>
        </w:tc>
      </w:tr>
    </w:tbl>
    <w:p w:rsidR="008C613A" w:rsidRPr="008154B1" w:rsidRDefault="008C613A" w:rsidP="00912164"/>
    <w:p w:rsidR="00E25B78" w:rsidRPr="008154B1" w:rsidRDefault="00D932A3" w:rsidP="00912164">
      <w:pPr>
        <w:pStyle w:val="3-BodyText"/>
      </w:pPr>
      <w:r w:rsidRPr="008154B1">
        <w:t xml:space="preserve">The proposed effective price was 50% lower than in the previous submission. </w:t>
      </w:r>
    </w:p>
    <w:p w:rsidR="00E25B78" w:rsidRPr="008154B1" w:rsidRDefault="00E25B78" w:rsidP="00E371E9">
      <w:pPr>
        <w:pStyle w:val="3-BodyText"/>
      </w:pPr>
      <w:r w:rsidRPr="008154B1">
        <w:t xml:space="preserve">The resubmission proposed </w:t>
      </w:r>
      <w:r w:rsidR="004D6976" w:rsidRPr="008154B1">
        <w:t xml:space="preserve">PBS-listing of </w:t>
      </w:r>
      <w:r w:rsidRPr="008154B1">
        <w:t xml:space="preserve">lanadelumab for patients who have experienced at least 12 treated acute attacks of HAE within a period of 6 months. </w:t>
      </w:r>
      <w:r w:rsidR="00AA1602" w:rsidRPr="008154B1">
        <w:t>T</w:t>
      </w:r>
      <w:r w:rsidRPr="008154B1">
        <w:t>he wording does not specify either the site or the severity of the attack to be treated</w:t>
      </w:r>
      <w:r w:rsidR="00767260" w:rsidRPr="008154B1">
        <w:t xml:space="preserve"> and</w:t>
      </w:r>
      <w:r w:rsidR="00E371E9" w:rsidRPr="008154B1">
        <w:t xml:space="preserve"> further definition of an acute attack may be required.</w:t>
      </w:r>
      <w:r w:rsidR="00767260" w:rsidRPr="008154B1">
        <w:t xml:space="preserve"> </w:t>
      </w:r>
      <w:r w:rsidR="000F438B" w:rsidRPr="008154B1">
        <w:t xml:space="preserve">The PBAC considered that consultation with </w:t>
      </w:r>
      <w:r w:rsidR="00DA2323">
        <w:t xml:space="preserve">clinical experts </w:t>
      </w:r>
      <w:r w:rsidR="000F438B" w:rsidRPr="008154B1">
        <w:t xml:space="preserve">would be required to determine the appropriate </w:t>
      </w:r>
      <w:r w:rsidR="000F438B">
        <w:t xml:space="preserve">minimum </w:t>
      </w:r>
      <w:r w:rsidR="000F438B" w:rsidRPr="008154B1">
        <w:t>number</w:t>
      </w:r>
      <w:r w:rsidR="000F438B">
        <w:t xml:space="preserve"> of attacks at baseline</w:t>
      </w:r>
      <w:r w:rsidR="000F438B" w:rsidRPr="008154B1">
        <w:t xml:space="preserve"> </w:t>
      </w:r>
      <w:r w:rsidR="00767260" w:rsidRPr="008154B1">
        <w:t xml:space="preserve">to ensure </w:t>
      </w:r>
      <w:r w:rsidR="00DA2323">
        <w:t xml:space="preserve">lanadelumab </w:t>
      </w:r>
      <w:r w:rsidR="00767260" w:rsidRPr="008154B1">
        <w:t xml:space="preserve">use </w:t>
      </w:r>
      <w:r w:rsidR="00D779AA" w:rsidRPr="008154B1">
        <w:t>i</w:t>
      </w:r>
      <w:r w:rsidR="00767260" w:rsidRPr="008154B1">
        <w:t>s targeted to a sufficiently high risk population required further definition.</w:t>
      </w:r>
      <w:r w:rsidR="00E371E9" w:rsidRPr="008154B1">
        <w:t xml:space="preserve"> </w:t>
      </w:r>
      <w:r w:rsidR="00DA2323">
        <w:t>Further definition around</w:t>
      </w:r>
      <w:r w:rsidR="00E371E9" w:rsidRPr="008154B1">
        <w:t xml:space="preserve"> </w:t>
      </w:r>
      <w:r w:rsidR="00DA2323">
        <w:t>‘</w:t>
      </w:r>
      <w:r w:rsidR="00DA2323" w:rsidRPr="008154B1">
        <w:t>treated acute attacks</w:t>
      </w:r>
      <w:r w:rsidR="00DA2323">
        <w:t>’ may also be required.</w:t>
      </w:r>
    </w:p>
    <w:p w:rsidR="00121E83" w:rsidRPr="008154B1" w:rsidRDefault="00121E83" w:rsidP="00121E83">
      <w:pPr>
        <w:pStyle w:val="3-BodyText"/>
      </w:pPr>
      <w:r w:rsidRPr="008154B1">
        <w:t xml:space="preserve">In contrast to the previous submission, the requested restriction in the resubmission did not specify eligibility on the basis of having experienced a life-threatening HAE attack within the previous 12 months. While this was consistent with the key clinical evidence presented in the resubmission, the PBAC considered that further work was required to ensure that the restriction targeted use to the most appropriate high risk population. </w:t>
      </w:r>
    </w:p>
    <w:p w:rsidR="00E25B78" w:rsidRPr="008154B1" w:rsidRDefault="00E25B78" w:rsidP="00767260">
      <w:pPr>
        <w:pStyle w:val="3-BodyText"/>
      </w:pPr>
      <w:r w:rsidRPr="008154B1">
        <w:t>To be eligible for continuing treatment after 6 months, the resubmission proposed that a patient must have had a ≥</w:t>
      </w:r>
      <w:r w:rsidR="00D54E2D" w:rsidRPr="008154B1">
        <w:t> </w:t>
      </w:r>
      <w:r w:rsidRPr="008154B1">
        <w:t>50% reduction in the rate of HAE attacks</w:t>
      </w:r>
      <w:r w:rsidR="00E45A12" w:rsidRPr="008154B1">
        <w:t xml:space="preserve"> per month</w:t>
      </w:r>
      <w:r w:rsidRPr="008154B1">
        <w:t xml:space="preserve">, compared with baseline. </w:t>
      </w:r>
      <w:r w:rsidR="00E371E9" w:rsidRPr="008154B1">
        <w:rPr>
          <w:rFonts w:cstheme="minorHAnsi"/>
          <w:szCs w:val="22"/>
        </w:rPr>
        <w:t xml:space="preserve">The previous submission stated this aligned with the pivotal clinical trial of lanadelumab (HELP), in which all patients randomised to 300 mg every 2 weeks achieved at least a 50% reduction in attack rate compared to baseline. </w:t>
      </w:r>
      <w:r w:rsidR="006F4C83" w:rsidRPr="008154B1">
        <w:t xml:space="preserve">Potential </w:t>
      </w:r>
      <w:r w:rsidRPr="008154B1">
        <w:t xml:space="preserve">issues with this approach </w:t>
      </w:r>
      <w:r w:rsidR="006F4C83" w:rsidRPr="008154B1">
        <w:t>include that it:</w:t>
      </w:r>
      <w:r w:rsidRPr="008154B1">
        <w:t xml:space="preserve"> 1) does </w:t>
      </w:r>
      <w:r w:rsidR="006F4C83" w:rsidRPr="008154B1">
        <w:t xml:space="preserve">not account for attack </w:t>
      </w:r>
      <w:r w:rsidR="006F4C83" w:rsidRPr="008154B1">
        <w:lastRenderedPageBreak/>
        <w:t>severity;</w:t>
      </w:r>
      <w:r w:rsidRPr="008154B1">
        <w:t xml:space="preserve"> 2) r</w:t>
      </w:r>
      <w:r w:rsidR="006F4C83" w:rsidRPr="008154B1">
        <w:t>elies on patient self-reporting;</w:t>
      </w:r>
      <w:r w:rsidRPr="008154B1">
        <w:t xml:space="preserve"> 3) may be difficult to reliably assess</w:t>
      </w:r>
      <w:r w:rsidR="00E371E9" w:rsidRPr="008154B1">
        <w:t xml:space="preserve">; and 4) </w:t>
      </w:r>
      <w:r w:rsidR="00E371E9" w:rsidRPr="008154B1">
        <w:rPr>
          <w:rFonts w:cstheme="minorHAnsi"/>
          <w:szCs w:val="22"/>
        </w:rPr>
        <w:t>it was not clear whether the reduced level of attacks (compared with baseline) would need to be maintained every 6 months</w:t>
      </w:r>
      <w:r w:rsidRPr="008154B1">
        <w:t>.</w:t>
      </w:r>
      <w:r w:rsidR="00D932A3" w:rsidRPr="008154B1">
        <w:t xml:space="preserve"> </w:t>
      </w:r>
      <w:r w:rsidR="006F4C83" w:rsidRPr="008154B1">
        <w:t xml:space="preserve">The PBAC considered that the </w:t>
      </w:r>
      <w:r w:rsidR="00E371E9" w:rsidRPr="008154B1">
        <w:t xml:space="preserve">rationale </w:t>
      </w:r>
      <w:r w:rsidR="006F4C83" w:rsidRPr="008154B1">
        <w:t xml:space="preserve">for the proposed continuation criteria was </w:t>
      </w:r>
      <w:r w:rsidR="00E371E9" w:rsidRPr="008154B1">
        <w:t>unclear</w:t>
      </w:r>
      <w:r w:rsidR="006F4C83" w:rsidRPr="008154B1">
        <w:t xml:space="preserve"> and further work was required to </w:t>
      </w:r>
      <w:r w:rsidR="007C2F8E" w:rsidRPr="008154B1">
        <w:t>ensure ongoing use is targeted to patients deriving appropriate clinical benefit from lanadelumab</w:t>
      </w:r>
      <w:r w:rsidR="006F4C83" w:rsidRPr="008154B1">
        <w:t>.</w:t>
      </w:r>
    </w:p>
    <w:p w:rsidR="0033193C" w:rsidRPr="008154B1" w:rsidRDefault="0033193C" w:rsidP="0033193C">
      <w:pPr>
        <w:pStyle w:val="3-BodyText"/>
        <w:numPr>
          <w:ilvl w:val="0"/>
          <w:numId w:val="0"/>
        </w:numPr>
        <w:ind w:left="709"/>
        <w:rPr>
          <w:i/>
        </w:rPr>
      </w:pPr>
      <w:r w:rsidRPr="008154B1">
        <w:rPr>
          <w:i/>
        </w:rPr>
        <w:t>For more detail on PBAC’s view, see section 7 PBAC outcomes.</w:t>
      </w:r>
    </w:p>
    <w:p w:rsidR="00B50DB8" w:rsidRPr="008154B1" w:rsidRDefault="00203181" w:rsidP="00912164">
      <w:pPr>
        <w:pStyle w:val="2-SectionHeading"/>
      </w:pPr>
      <w:bookmarkStart w:id="8" w:name="_Toc40185425"/>
      <w:r w:rsidRPr="008154B1">
        <w:t xml:space="preserve">Population and </w:t>
      </w:r>
      <w:r w:rsidR="008E0D3C" w:rsidRPr="008154B1">
        <w:t>d</w:t>
      </w:r>
      <w:r w:rsidRPr="008154B1">
        <w:t>isease</w:t>
      </w:r>
      <w:bookmarkEnd w:id="8"/>
    </w:p>
    <w:p w:rsidR="004409D0" w:rsidRPr="008154B1" w:rsidRDefault="004409D0" w:rsidP="00912164">
      <w:pPr>
        <w:pStyle w:val="3-BodyText"/>
      </w:pPr>
      <w:r w:rsidRPr="008154B1">
        <w:t>HAE is a rare, autosomal dominant, potentially severely debilitating, and life-threatening condition that manifests as painful, unpredictable, intermittent attacks of subcutaneous or submucosal oedema of the face, upper airways, gastrointestinal tract, limbs and/or genitalia. Attacks recur with unpredictable frequency, intensity and duration, placing a burden on the daily life of patients.</w:t>
      </w:r>
    </w:p>
    <w:p w:rsidR="004409D0" w:rsidRPr="008154B1" w:rsidRDefault="004409D0" w:rsidP="00912164">
      <w:pPr>
        <w:pStyle w:val="3-BodyText"/>
      </w:pPr>
      <w:r w:rsidRPr="008154B1">
        <w:t>HAE Types 1 and 2 are caused by mutations in the C1-INH gene. Type 1 is du</w:t>
      </w:r>
      <w:r w:rsidR="00172AB8" w:rsidRPr="008154B1">
        <w:t>e to deficiency of C1-INH, and T</w:t>
      </w:r>
      <w:r w:rsidRPr="008154B1">
        <w:t>ype 2 is due to dysfunction of C1-INH. Type 3 is characterised by normal C1-INH functional levels. The key trial of lanadelumab (the HELP trial) enrolled patients with HAE Types 1 and 2</w:t>
      </w:r>
      <w:r w:rsidR="003C1B89" w:rsidRPr="008154B1">
        <w:t xml:space="preserve"> and the TGA-registered indication specifies use in patients with C1-INH deficiency or dysfunction</w:t>
      </w:r>
      <w:r w:rsidRPr="008154B1">
        <w:t>.</w:t>
      </w:r>
    </w:p>
    <w:p w:rsidR="004409D0" w:rsidRPr="008154B1" w:rsidRDefault="004409D0" w:rsidP="00912164">
      <w:pPr>
        <w:pStyle w:val="3-BodyText"/>
      </w:pPr>
      <w:r w:rsidRPr="008154B1">
        <w:t>Lanadelumab is a human, monoclonal antibody (IgG1/k-light chain) that inhibits plasma kallikrein with a half-life of 14 days.</w:t>
      </w:r>
    </w:p>
    <w:p w:rsidR="004409D0" w:rsidRPr="008154B1" w:rsidRDefault="004409D0" w:rsidP="00E4711C">
      <w:pPr>
        <w:pStyle w:val="3-BodyText"/>
      </w:pPr>
      <w:r w:rsidRPr="008154B1">
        <w:t>Attack frequency and severity among patients is variable, with most patients experiencing few attacks, which can be managed with on-demand therapy (ODT)</w:t>
      </w:r>
      <w:r w:rsidR="00120C3E" w:rsidRPr="008154B1">
        <w:t xml:space="preserve"> such as icatibant or IV C1-INH</w:t>
      </w:r>
      <w:r w:rsidRPr="008154B1">
        <w:t xml:space="preserve">. Other patients have multiple attacks per month or per week, necessitating prophylactic treatment. Oral prophylactic therapies include danazol and tranexamic acid. Where oral therapies are ineffective or clinically inappropriate, patients who experience at least 12 treated acute attacks of HAE within a period of 6 months are proposed to be eligible for lanadelumab. </w:t>
      </w:r>
    </w:p>
    <w:p w:rsidR="007627BE" w:rsidRPr="008154B1" w:rsidRDefault="004409D0" w:rsidP="00912164">
      <w:pPr>
        <w:pStyle w:val="3-BodyText"/>
      </w:pPr>
      <w:r w:rsidRPr="008154B1">
        <w:t xml:space="preserve">Currently, patients with the equivalent of eight or more attacks per month can access </w:t>
      </w:r>
      <w:r w:rsidR="008278FA" w:rsidRPr="008154B1">
        <w:t>IV</w:t>
      </w:r>
      <w:r w:rsidRPr="008154B1">
        <w:t xml:space="preserve"> or subcutaneous (SC) C1-INH (Berinert</w:t>
      </w:r>
      <w:r w:rsidRPr="008154B1">
        <w:rPr>
          <w:rFonts w:cstheme="minorHAnsi"/>
        </w:rPr>
        <w:t>®</w:t>
      </w:r>
      <w:r w:rsidRPr="008154B1">
        <w:t>) as routine prophylaxis,</w:t>
      </w:r>
      <w:r w:rsidRPr="008154B1">
        <w:rPr>
          <w:rFonts w:ascii="Calibri" w:hAnsi="Calibri"/>
          <w:snapToGrid/>
        </w:rPr>
        <w:t xml:space="preserve"> </w:t>
      </w:r>
      <w:r w:rsidRPr="008154B1">
        <w:t xml:space="preserve">funded </w:t>
      </w:r>
      <w:r w:rsidR="00D20930" w:rsidRPr="008154B1">
        <w:t>through the</w:t>
      </w:r>
      <w:r w:rsidRPr="008154B1">
        <w:t xml:space="preserve"> National Blood Authority (NBA)’s National Product</w:t>
      </w:r>
      <w:r w:rsidR="00172AB8" w:rsidRPr="008154B1">
        <w:t xml:space="preserve"> List (NP</w:t>
      </w:r>
      <w:r w:rsidRPr="008154B1">
        <w:t>L)</w:t>
      </w:r>
      <w:r w:rsidR="00216C54" w:rsidRPr="008154B1">
        <w:rPr>
          <w:rStyle w:val="FootnoteReference"/>
        </w:rPr>
        <w:footnoteReference w:id="1"/>
      </w:r>
      <w:r w:rsidRPr="008154B1">
        <w:t>.</w:t>
      </w:r>
    </w:p>
    <w:p w:rsidR="00120C3E" w:rsidRPr="008154B1" w:rsidRDefault="00D353CA" w:rsidP="00912164">
      <w:pPr>
        <w:pStyle w:val="3-BodyText"/>
      </w:pPr>
      <w:r w:rsidRPr="008154B1">
        <w:t xml:space="preserve">Access to </w:t>
      </w:r>
      <w:r w:rsidR="005A417A" w:rsidRPr="008154B1">
        <w:t>C1-INH (Berinert</w:t>
      </w:r>
      <w:r w:rsidRPr="008154B1">
        <w:rPr>
          <w:rFonts w:cstheme="minorHAnsi"/>
        </w:rPr>
        <w:t>®</w:t>
      </w:r>
      <w:r w:rsidR="005A417A" w:rsidRPr="008154B1">
        <w:t xml:space="preserve">) </w:t>
      </w:r>
      <w:r w:rsidRPr="008154B1">
        <w:t xml:space="preserve">through the NPL </w:t>
      </w:r>
      <w:r w:rsidR="005A417A" w:rsidRPr="008154B1">
        <w:t xml:space="preserve">is restricted </w:t>
      </w:r>
      <w:r w:rsidRPr="008154B1">
        <w:t>to this group of patients (patients who experience eight or more attacks per month)</w:t>
      </w:r>
      <w:r w:rsidR="005A417A" w:rsidRPr="008154B1">
        <w:t>, as the MSAC advised that C1-INH would only be cost-effective in</w:t>
      </w:r>
      <w:r w:rsidR="00D57628" w:rsidRPr="008154B1">
        <w:t xml:space="preserve"> patients with very severe HAE</w:t>
      </w:r>
      <w:r w:rsidR="005A417A" w:rsidRPr="008154B1">
        <w:t xml:space="preserve">. The MSAC </w:t>
      </w:r>
      <w:r w:rsidRPr="008154B1">
        <w:t>PSD</w:t>
      </w:r>
      <w:r w:rsidR="005A417A" w:rsidRPr="008154B1">
        <w:t xml:space="preserve"> states that MSAC ‘concluded that it had low confidence that the use of C1-INH offered clinically important improvements for pre-procedural and routine prophylaxis of </w:t>
      </w:r>
      <w:r w:rsidR="005A417A" w:rsidRPr="008154B1">
        <w:lastRenderedPageBreak/>
        <w:t>hereditary angioedema’, and its recommendation was based on ‘restricting access to only those patients with a very high attack frequency’, which the MSAC estimated would be limited to 8 patients per year</w:t>
      </w:r>
      <w:r w:rsidRPr="008154B1">
        <w:t>’</w:t>
      </w:r>
      <w:r w:rsidR="00D57628" w:rsidRPr="008154B1">
        <w:t xml:space="preserve">. Further, the PBAC previously noted that the MSAC’s assessment of the cost-effectiveness of C1-INH for routine prophylaxis appeared to have used the price proposed for the acute attack indication (which was cost-minimised against icatibant), </w:t>
      </w:r>
      <w:r w:rsidRPr="008154B1">
        <w:t>(Paragraph 7.14, Lanadelumab PSD, July 2019 PBAC meeting).</w:t>
      </w:r>
    </w:p>
    <w:p w:rsidR="0033193C" w:rsidRPr="008154B1" w:rsidRDefault="0033193C" w:rsidP="0033193C">
      <w:pPr>
        <w:pStyle w:val="3-BodyText"/>
        <w:numPr>
          <w:ilvl w:val="0"/>
          <w:numId w:val="0"/>
        </w:numPr>
        <w:ind w:left="709"/>
        <w:rPr>
          <w:i/>
        </w:rPr>
      </w:pPr>
      <w:r w:rsidRPr="008154B1">
        <w:rPr>
          <w:i/>
        </w:rPr>
        <w:t>For more detail on PBAC’s view, see section 7 PBAC outcomes.</w:t>
      </w:r>
    </w:p>
    <w:p w:rsidR="00B50DB8" w:rsidRPr="008154B1" w:rsidRDefault="00B50DB8" w:rsidP="00912164">
      <w:pPr>
        <w:pStyle w:val="2-SectionHeading"/>
      </w:pPr>
      <w:bookmarkStart w:id="9" w:name="_Toc40185426"/>
      <w:r w:rsidRPr="008154B1">
        <w:t>Comparator</w:t>
      </w:r>
      <w:bookmarkEnd w:id="9"/>
    </w:p>
    <w:p w:rsidR="00147DF0" w:rsidRPr="008154B1" w:rsidRDefault="00147DF0" w:rsidP="00912164">
      <w:pPr>
        <w:pStyle w:val="3-BodyText"/>
        <w:rPr>
          <w:snapToGrid/>
        </w:rPr>
      </w:pPr>
      <w:r w:rsidRPr="008154B1">
        <w:rPr>
          <w:snapToGrid/>
        </w:rPr>
        <w:t xml:space="preserve">IV C1-INH, </w:t>
      </w:r>
      <w:r w:rsidR="00941334" w:rsidRPr="008154B1">
        <w:rPr>
          <w:snapToGrid/>
        </w:rPr>
        <w:t xml:space="preserve">which is </w:t>
      </w:r>
      <w:r w:rsidRPr="008154B1">
        <w:rPr>
          <w:snapToGrid/>
        </w:rPr>
        <w:t xml:space="preserve">funded </w:t>
      </w:r>
      <w:r w:rsidR="005C7360" w:rsidRPr="008154B1">
        <w:rPr>
          <w:snapToGrid/>
        </w:rPr>
        <w:t>under the National Blood Agreement</w:t>
      </w:r>
      <w:r w:rsidR="00172AB8" w:rsidRPr="008154B1">
        <w:rPr>
          <w:snapToGrid/>
        </w:rPr>
        <w:t xml:space="preserve"> as routine </w:t>
      </w:r>
      <w:r w:rsidR="00624F2A" w:rsidRPr="008154B1">
        <w:rPr>
          <w:snapToGrid/>
        </w:rPr>
        <w:t xml:space="preserve">prophylaxis for patients who experience </w:t>
      </w:r>
      <w:r w:rsidR="00624F2A" w:rsidRPr="008154B1">
        <w:rPr>
          <w:rFonts w:cstheme="minorHAnsi"/>
          <w:snapToGrid/>
        </w:rPr>
        <w:t xml:space="preserve">≥ </w:t>
      </w:r>
      <w:r w:rsidR="00624F2A" w:rsidRPr="008154B1">
        <w:rPr>
          <w:snapToGrid/>
        </w:rPr>
        <w:t xml:space="preserve">eight attacks per month, </w:t>
      </w:r>
      <w:r w:rsidRPr="008154B1">
        <w:rPr>
          <w:snapToGrid/>
        </w:rPr>
        <w:t xml:space="preserve">was nominated as the main comparator in the previous submission. The resubmission nominated </w:t>
      </w:r>
      <w:r w:rsidR="00753156" w:rsidRPr="008154B1">
        <w:rPr>
          <w:snapToGrid/>
        </w:rPr>
        <w:t>SOC</w:t>
      </w:r>
      <w:r w:rsidRPr="008154B1">
        <w:rPr>
          <w:snapToGrid/>
        </w:rPr>
        <w:t xml:space="preserve">, which </w:t>
      </w:r>
      <w:r w:rsidR="00F71F60" w:rsidRPr="008154B1">
        <w:rPr>
          <w:snapToGrid/>
        </w:rPr>
        <w:t>comprises</w:t>
      </w:r>
      <w:r w:rsidRPr="008154B1">
        <w:rPr>
          <w:snapToGrid/>
        </w:rPr>
        <w:t xml:space="preserve"> ODT (icatibant or IV C1-INH) with oral routine prophylaxis, as the main comparator. </w:t>
      </w:r>
    </w:p>
    <w:p w:rsidR="00147DF0" w:rsidRPr="008154B1" w:rsidRDefault="00147DF0" w:rsidP="00912164">
      <w:pPr>
        <w:pStyle w:val="3-BodyText"/>
        <w:rPr>
          <w:snapToGrid/>
        </w:rPr>
      </w:pPr>
      <w:r w:rsidRPr="008154B1">
        <w:rPr>
          <w:snapToGrid/>
        </w:rPr>
        <w:t xml:space="preserve">The nominated comparator of </w:t>
      </w:r>
      <w:r w:rsidR="00753156" w:rsidRPr="008154B1">
        <w:rPr>
          <w:snapToGrid/>
        </w:rPr>
        <w:t>SOC</w:t>
      </w:r>
      <w:r w:rsidRPr="008154B1">
        <w:rPr>
          <w:snapToGrid/>
        </w:rPr>
        <w:t xml:space="preserve"> in the resubmission is consistent with previous advice provided </w:t>
      </w:r>
      <w:r w:rsidR="00A31328" w:rsidRPr="008154B1">
        <w:rPr>
          <w:snapToGrid/>
        </w:rPr>
        <w:t xml:space="preserve">by </w:t>
      </w:r>
      <w:r w:rsidRPr="008154B1">
        <w:rPr>
          <w:snapToGrid/>
        </w:rPr>
        <w:t xml:space="preserve">the July 2019 PBAC </w:t>
      </w:r>
      <w:r w:rsidR="00A31328" w:rsidRPr="008154B1">
        <w:rPr>
          <w:snapToGrid/>
        </w:rPr>
        <w:t>which stated ‘SOC (o</w:t>
      </w:r>
      <w:r w:rsidRPr="008154B1">
        <w:rPr>
          <w:snapToGrid/>
        </w:rPr>
        <w:t>n-demand treatment plus oral routine prophylaxis</w:t>
      </w:r>
      <w:r w:rsidR="00A31328" w:rsidRPr="008154B1">
        <w:rPr>
          <w:snapToGrid/>
        </w:rPr>
        <w:t>)</w:t>
      </w:r>
      <w:r w:rsidRPr="008154B1">
        <w:rPr>
          <w:snapToGrid/>
        </w:rPr>
        <w:t xml:space="preserve"> was the appropriate comparator in patients who experience fewer than eight attacks per month, which the PBAC considered would represent the majority of patients with a broader listing</w:t>
      </w:r>
      <w:r w:rsidR="00A31328" w:rsidRPr="008154B1">
        <w:rPr>
          <w:snapToGrid/>
        </w:rPr>
        <w:t>’</w:t>
      </w:r>
      <w:r w:rsidRPr="008154B1">
        <w:rPr>
          <w:snapToGrid/>
        </w:rPr>
        <w:t xml:space="preserve"> (</w:t>
      </w:r>
      <w:r w:rsidR="00941334" w:rsidRPr="008154B1">
        <w:rPr>
          <w:snapToGrid/>
        </w:rPr>
        <w:t>p</w:t>
      </w:r>
      <w:r w:rsidRPr="008154B1">
        <w:rPr>
          <w:snapToGrid/>
        </w:rPr>
        <w:t>ara</w:t>
      </w:r>
      <w:r w:rsidR="00D353CA" w:rsidRPr="008154B1">
        <w:rPr>
          <w:snapToGrid/>
        </w:rPr>
        <w:t>graph</w:t>
      </w:r>
      <w:r w:rsidRPr="008154B1">
        <w:rPr>
          <w:snapToGrid/>
        </w:rPr>
        <w:t xml:space="preserve"> 7.7, Lanadelumab PSD</w:t>
      </w:r>
      <w:r w:rsidR="00624F2A" w:rsidRPr="008154B1">
        <w:rPr>
          <w:snapToGrid/>
        </w:rPr>
        <w:t xml:space="preserve">, </w:t>
      </w:r>
      <w:r w:rsidRPr="008154B1">
        <w:rPr>
          <w:snapToGrid/>
        </w:rPr>
        <w:t xml:space="preserve">July 2019 </w:t>
      </w:r>
      <w:r w:rsidR="00155411" w:rsidRPr="008154B1">
        <w:rPr>
          <w:snapToGrid/>
        </w:rPr>
        <w:t>PBAC mee</w:t>
      </w:r>
      <w:r w:rsidRPr="008154B1">
        <w:rPr>
          <w:snapToGrid/>
        </w:rPr>
        <w:t>ting).</w:t>
      </w:r>
    </w:p>
    <w:p w:rsidR="00147DF0" w:rsidRPr="008154B1" w:rsidRDefault="00FD22E0" w:rsidP="00FD22E0">
      <w:pPr>
        <w:pStyle w:val="3-BodyText"/>
        <w:rPr>
          <w:snapToGrid/>
        </w:rPr>
      </w:pPr>
      <w:r w:rsidRPr="008154B1">
        <w:rPr>
          <w:snapToGrid/>
        </w:rPr>
        <w:t>The Australasian Society of Clinical Immunology and Allergy (ASCIA) 2020 HAE Position Paper (p11) state</w:t>
      </w:r>
      <w:r w:rsidRPr="008154B1">
        <w:t xml:space="preserve"> that d</w:t>
      </w:r>
      <w:r w:rsidRPr="008154B1">
        <w:rPr>
          <w:snapToGrid/>
        </w:rPr>
        <w:t xml:space="preserve">anazol and tranexamic acid have historically been used for long term prophylaxis, however use is limited by side effects and relative lack of efficacy, respectively. </w:t>
      </w:r>
      <w:r w:rsidR="00147DF0" w:rsidRPr="008154B1">
        <w:rPr>
          <w:snapToGrid/>
        </w:rPr>
        <w:t xml:space="preserve">The resubmission </w:t>
      </w:r>
      <w:r w:rsidR="00624F2A" w:rsidRPr="008154B1">
        <w:rPr>
          <w:snapToGrid/>
        </w:rPr>
        <w:t>noted</w:t>
      </w:r>
      <w:r w:rsidR="00147DF0" w:rsidRPr="008154B1">
        <w:rPr>
          <w:snapToGrid/>
        </w:rPr>
        <w:t xml:space="preserve"> that there may be a supply issue </w:t>
      </w:r>
      <w:r w:rsidR="00941334" w:rsidRPr="008154B1">
        <w:rPr>
          <w:snapToGrid/>
        </w:rPr>
        <w:t xml:space="preserve">with </w:t>
      </w:r>
      <w:r w:rsidR="00147DF0" w:rsidRPr="008154B1">
        <w:rPr>
          <w:snapToGrid/>
        </w:rPr>
        <w:t xml:space="preserve">danazol in Australia. If danazol becomes unavailable, the only oral prophylactic available on the PBS </w:t>
      </w:r>
      <w:r w:rsidR="00C67645" w:rsidRPr="008154B1">
        <w:rPr>
          <w:snapToGrid/>
        </w:rPr>
        <w:t>would be</w:t>
      </w:r>
      <w:r w:rsidR="00147DF0" w:rsidRPr="008154B1">
        <w:rPr>
          <w:snapToGrid/>
        </w:rPr>
        <w:t xml:space="preserve"> tranexamic acid. </w:t>
      </w:r>
      <w:r w:rsidR="00624F2A" w:rsidRPr="008154B1">
        <w:rPr>
          <w:snapToGrid/>
        </w:rPr>
        <w:t>S</w:t>
      </w:r>
      <w:r w:rsidR="008654D1" w:rsidRPr="008154B1">
        <w:rPr>
          <w:snapToGrid/>
        </w:rPr>
        <w:t xml:space="preserve">hortage in supply of </w:t>
      </w:r>
      <w:r w:rsidR="00624F2A" w:rsidRPr="008154B1">
        <w:rPr>
          <w:snapToGrid/>
        </w:rPr>
        <w:t>oral prophyla</w:t>
      </w:r>
      <w:r w:rsidR="008654D1" w:rsidRPr="008154B1">
        <w:rPr>
          <w:snapToGrid/>
        </w:rPr>
        <w:t>ctics</w:t>
      </w:r>
      <w:r w:rsidR="00624F2A" w:rsidRPr="008154B1">
        <w:rPr>
          <w:snapToGrid/>
        </w:rPr>
        <w:t xml:space="preserve"> may result in </w:t>
      </w:r>
      <w:r w:rsidR="00147DF0" w:rsidRPr="008154B1">
        <w:rPr>
          <w:snapToGrid/>
        </w:rPr>
        <w:t>an increased supply/use of ODT (higher risk of attacks in the absence of routine oral prophylaxis).</w:t>
      </w:r>
    </w:p>
    <w:p w:rsidR="00B50DB8" w:rsidRPr="008154B1" w:rsidRDefault="005C7360" w:rsidP="00922250">
      <w:pPr>
        <w:pStyle w:val="3-BodyText"/>
        <w:rPr>
          <w:snapToGrid/>
        </w:rPr>
      </w:pPr>
      <w:r w:rsidRPr="008154B1">
        <w:rPr>
          <w:snapToGrid/>
        </w:rPr>
        <w:t xml:space="preserve">For patients who experience eight or more attacks per month, C1-INH (supplied and funded through the NBA) </w:t>
      </w:r>
      <w:r w:rsidR="006C0E06" w:rsidRPr="008154B1">
        <w:rPr>
          <w:snapToGrid/>
        </w:rPr>
        <w:t>may also be</w:t>
      </w:r>
      <w:r w:rsidRPr="008154B1">
        <w:rPr>
          <w:snapToGrid/>
        </w:rPr>
        <w:t xml:space="preserve"> an appropriate comparator. </w:t>
      </w:r>
      <w:r w:rsidR="00922250" w:rsidRPr="008154B1">
        <w:rPr>
          <w:snapToGrid/>
        </w:rPr>
        <w:t>Although C1-INH may an appropriate comparator for patients who experience eight or more attacks per month, this is expected to represent only a small proportion of patients.</w:t>
      </w:r>
    </w:p>
    <w:p w:rsidR="0033193C" w:rsidRPr="008154B1" w:rsidRDefault="0033193C" w:rsidP="0033193C">
      <w:pPr>
        <w:pStyle w:val="3-BodyText"/>
        <w:numPr>
          <w:ilvl w:val="0"/>
          <w:numId w:val="0"/>
        </w:numPr>
        <w:ind w:left="709"/>
        <w:rPr>
          <w:i/>
          <w:snapToGrid/>
        </w:rPr>
      </w:pPr>
      <w:r w:rsidRPr="008154B1">
        <w:rPr>
          <w:i/>
          <w:snapToGrid/>
        </w:rPr>
        <w:t>For more detail on PBAC’s view, see section 7 PBAC outcomes.</w:t>
      </w:r>
    </w:p>
    <w:p w:rsidR="00223D5A" w:rsidRPr="008154B1" w:rsidRDefault="00223D5A" w:rsidP="00912164">
      <w:pPr>
        <w:pStyle w:val="2-SectionHeading"/>
        <w:numPr>
          <w:ilvl w:val="0"/>
          <w:numId w:val="1"/>
        </w:numPr>
      </w:pPr>
      <w:bookmarkStart w:id="10" w:name="_Toc40185427"/>
      <w:bookmarkStart w:id="11" w:name="_Toc22897640"/>
      <w:r w:rsidRPr="008154B1">
        <w:t>Consideration of the evidence</w:t>
      </w:r>
      <w:bookmarkEnd w:id="10"/>
    </w:p>
    <w:p w:rsidR="00BE110C" w:rsidRPr="008154B1" w:rsidRDefault="00BE110C" w:rsidP="00BE110C">
      <w:pPr>
        <w:pStyle w:val="4-SubsectionHeading"/>
      </w:pPr>
      <w:bookmarkStart w:id="12" w:name="_Toc40185428"/>
      <w:r w:rsidRPr="008154B1">
        <w:t>Sponsor hearing</w:t>
      </w:r>
    </w:p>
    <w:p w:rsidR="00BE110C" w:rsidRPr="008154B1" w:rsidRDefault="00BE110C" w:rsidP="00BE110C">
      <w:pPr>
        <w:pStyle w:val="3-BodyText"/>
        <w:ind w:left="709" w:hanging="709"/>
      </w:pPr>
      <w:r w:rsidRPr="008154B1">
        <w:t>There was no hearing for this item.</w:t>
      </w:r>
    </w:p>
    <w:p w:rsidR="00BE110C" w:rsidRPr="008154B1" w:rsidRDefault="00BE110C" w:rsidP="00BE110C">
      <w:pPr>
        <w:pStyle w:val="4-SubsectionHeading"/>
      </w:pPr>
      <w:r w:rsidRPr="008154B1">
        <w:lastRenderedPageBreak/>
        <w:t>Consumer comments</w:t>
      </w:r>
    </w:p>
    <w:p w:rsidR="00F86A1C" w:rsidRPr="008154B1" w:rsidRDefault="00BE110C" w:rsidP="00F30321">
      <w:pPr>
        <w:pStyle w:val="3-BodyText"/>
      </w:pPr>
      <w:r w:rsidRPr="008154B1">
        <w:t xml:space="preserve">The PBAC noted and welcomed the input from individuals (24), health care professionals (3) and </w:t>
      </w:r>
      <w:r w:rsidR="00AC69E3" w:rsidRPr="008154B1">
        <w:t xml:space="preserve">an </w:t>
      </w:r>
      <w:r w:rsidRPr="008154B1">
        <w:t xml:space="preserve">organisation (1) via the Consumer Comments facility on the PBS website. The comments described </w:t>
      </w:r>
      <w:r w:rsidR="006A1E9D" w:rsidRPr="008154B1">
        <w:t xml:space="preserve">the </w:t>
      </w:r>
      <w:r w:rsidR="00F30321" w:rsidRPr="008154B1">
        <w:t xml:space="preserve">debilitating nature of HAE attacks </w:t>
      </w:r>
      <w:r w:rsidR="00AC69E3" w:rsidRPr="008154B1">
        <w:t>and the significant impact that attacks</w:t>
      </w:r>
      <w:r w:rsidR="006A1E9D" w:rsidRPr="008154B1">
        <w:t xml:space="preserve"> can</w:t>
      </w:r>
      <w:r w:rsidR="00AC69E3" w:rsidRPr="008154B1">
        <w:t xml:space="preserve"> have on quality of life. The comments also described the </w:t>
      </w:r>
      <w:r w:rsidR="00F30321" w:rsidRPr="008154B1">
        <w:t>unpredictable and potentially life-threatening</w:t>
      </w:r>
      <w:r w:rsidR="00F86A1C" w:rsidRPr="008154B1">
        <w:t xml:space="preserve"> nature of attacks</w:t>
      </w:r>
      <w:r w:rsidR="00F30321" w:rsidRPr="008154B1">
        <w:t xml:space="preserve">. </w:t>
      </w:r>
    </w:p>
    <w:p w:rsidR="00F86A1C" w:rsidRPr="008154B1" w:rsidRDefault="00AC69E3" w:rsidP="006A1E9D">
      <w:pPr>
        <w:pStyle w:val="3-BodyText"/>
      </w:pPr>
      <w:r w:rsidRPr="008154B1">
        <w:t xml:space="preserve">The comments were strongly supportive of listing lanadelumab, describing its efficacy and ease of administration. The comments noted the adverse events, lack of efficacy and supply issues with </w:t>
      </w:r>
      <w:r w:rsidR="006A1E9D" w:rsidRPr="008154B1">
        <w:t>d</w:t>
      </w:r>
      <w:r w:rsidRPr="008154B1">
        <w:t>anazol, and the difficulties of administering C1-INH. The comments also described the ne</w:t>
      </w:r>
      <w:r w:rsidR="00F86A1C" w:rsidRPr="008154B1">
        <w:t xml:space="preserve">ed for </w:t>
      </w:r>
      <w:r w:rsidRPr="008154B1">
        <w:t xml:space="preserve">effective </w:t>
      </w:r>
      <w:r w:rsidR="00F86A1C" w:rsidRPr="008154B1">
        <w:t>treatment</w:t>
      </w:r>
      <w:r w:rsidRPr="008154B1">
        <w:t>s</w:t>
      </w:r>
      <w:r w:rsidR="006A1E9D" w:rsidRPr="008154B1">
        <w:t xml:space="preserve"> for</w:t>
      </w:r>
      <w:r w:rsidR="00F86A1C" w:rsidRPr="008154B1">
        <w:t xml:space="preserve"> patients </w:t>
      </w:r>
      <w:r w:rsidRPr="008154B1">
        <w:t xml:space="preserve">who </w:t>
      </w:r>
      <w:r w:rsidR="003A393D" w:rsidRPr="008154B1">
        <w:t xml:space="preserve">have a high burden of disease but </w:t>
      </w:r>
      <w:r w:rsidRPr="008154B1">
        <w:t>do not meet the eligibility requirements for C1-INH through the NBA</w:t>
      </w:r>
      <w:r w:rsidR="00F86A1C" w:rsidRPr="008154B1">
        <w:t xml:space="preserve">. </w:t>
      </w:r>
    </w:p>
    <w:p w:rsidR="00B60939" w:rsidRPr="008154B1" w:rsidRDefault="00B60939" w:rsidP="00912164">
      <w:pPr>
        <w:pStyle w:val="4-SubsectionHeading"/>
      </w:pPr>
      <w:r w:rsidRPr="008154B1">
        <w:t xml:space="preserve">Clinical </w:t>
      </w:r>
      <w:r w:rsidR="004539C6" w:rsidRPr="008154B1">
        <w:t>t</w:t>
      </w:r>
      <w:r w:rsidRPr="008154B1">
        <w:t>rial</w:t>
      </w:r>
      <w:bookmarkEnd w:id="11"/>
      <w:bookmarkEnd w:id="12"/>
    </w:p>
    <w:p w:rsidR="004539C6" w:rsidRPr="008154B1" w:rsidRDefault="004539C6" w:rsidP="00912164">
      <w:pPr>
        <w:pStyle w:val="3-BodyText"/>
      </w:pPr>
      <w:r w:rsidRPr="008154B1">
        <w:t>The resubmission was based on one head-to-head, randomised, double-blind, controlled trial (HELP), which compared three dose regimens of lanadelumab (as routine prophylaxis) + ODT with placebo (no routine prophylaxis) + ODT, in patients with Types 1 and 2 HAE. The HELP trial has previously been considered by the PBAC. There were four treatment arms in HELP:</w:t>
      </w:r>
    </w:p>
    <w:p w:rsidR="004539C6" w:rsidRPr="008154B1" w:rsidRDefault="004539C6" w:rsidP="00950926">
      <w:pPr>
        <w:pStyle w:val="ListParagraph"/>
        <w:numPr>
          <w:ilvl w:val="0"/>
          <w:numId w:val="8"/>
        </w:numPr>
        <w:tabs>
          <w:tab w:val="left" w:pos="1134"/>
        </w:tabs>
        <w:spacing w:before="120"/>
        <w:ind w:left="1219" w:hanging="357"/>
      </w:pPr>
      <w:r w:rsidRPr="008154B1">
        <w:t xml:space="preserve">Lanadelumab 300 mg SC </w:t>
      </w:r>
      <w:r w:rsidR="008278FA" w:rsidRPr="008154B1">
        <w:t>Q2W</w:t>
      </w:r>
      <w:r w:rsidRPr="008154B1">
        <w:t xml:space="preserve"> (N=27),</w:t>
      </w:r>
    </w:p>
    <w:p w:rsidR="004539C6" w:rsidRPr="008154B1" w:rsidRDefault="008278FA" w:rsidP="00950926">
      <w:pPr>
        <w:pStyle w:val="ListParagraph"/>
        <w:numPr>
          <w:ilvl w:val="0"/>
          <w:numId w:val="8"/>
        </w:numPr>
        <w:tabs>
          <w:tab w:val="left" w:pos="1134"/>
        </w:tabs>
        <w:spacing w:before="120"/>
        <w:ind w:left="1219" w:hanging="357"/>
      </w:pPr>
      <w:r w:rsidRPr="008154B1">
        <w:t>Lanadelumab 300 mg SC Q4W</w:t>
      </w:r>
      <w:r w:rsidR="004539C6" w:rsidRPr="008154B1">
        <w:t xml:space="preserve"> (N=29),</w:t>
      </w:r>
    </w:p>
    <w:p w:rsidR="004539C6" w:rsidRPr="008154B1" w:rsidRDefault="004539C6" w:rsidP="00950926">
      <w:pPr>
        <w:pStyle w:val="ListParagraph"/>
        <w:numPr>
          <w:ilvl w:val="0"/>
          <w:numId w:val="8"/>
        </w:numPr>
        <w:tabs>
          <w:tab w:val="left" w:pos="1134"/>
        </w:tabs>
        <w:spacing w:before="120"/>
        <w:ind w:left="1219" w:hanging="357"/>
      </w:pPr>
      <w:r w:rsidRPr="008154B1">
        <w:t>Lanadelumab 150 mg SC Q4W (N=28) (</w:t>
      </w:r>
      <w:r w:rsidR="00AD5A4A" w:rsidRPr="008154B1">
        <w:t xml:space="preserve">not </w:t>
      </w:r>
      <w:r w:rsidR="00C70BF3" w:rsidRPr="008154B1">
        <w:t>registered</w:t>
      </w:r>
      <w:r w:rsidRPr="008154B1">
        <w:t>), and</w:t>
      </w:r>
    </w:p>
    <w:p w:rsidR="004539C6" w:rsidRPr="008154B1" w:rsidRDefault="004539C6" w:rsidP="00950926">
      <w:pPr>
        <w:pStyle w:val="ListParagraph"/>
        <w:numPr>
          <w:ilvl w:val="0"/>
          <w:numId w:val="8"/>
        </w:numPr>
        <w:tabs>
          <w:tab w:val="left" w:pos="1134"/>
        </w:tabs>
        <w:spacing w:before="120"/>
        <w:ind w:left="1219" w:hanging="357"/>
      </w:pPr>
      <w:r w:rsidRPr="008154B1">
        <w:t>Placebo SC Q2W (N=41)</w:t>
      </w:r>
      <w:r w:rsidR="00510645" w:rsidRPr="008154B1">
        <w:t>.</w:t>
      </w:r>
    </w:p>
    <w:p w:rsidR="004539C6" w:rsidRPr="008154B1" w:rsidRDefault="004539C6" w:rsidP="00912164">
      <w:pPr>
        <w:pStyle w:val="3-BodyText"/>
      </w:pPr>
      <w:r w:rsidRPr="008154B1">
        <w:rPr>
          <w:snapToGrid/>
        </w:rPr>
        <w:t xml:space="preserve">Details of the trial presented in the resubmission are provided in the table below. </w:t>
      </w:r>
    </w:p>
    <w:p w:rsidR="004539C6" w:rsidRPr="008154B1" w:rsidRDefault="004539C6" w:rsidP="00912164">
      <w:pPr>
        <w:pStyle w:val="TableFigureHeading"/>
        <w:rPr>
          <w:rStyle w:val="CommentReference"/>
          <w:b/>
          <w:szCs w:val="24"/>
        </w:rPr>
      </w:pPr>
      <w:r w:rsidRPr="008154B1">
        <w:rPr>
          <w:rStyle w:val="CommentReference"/>
          <w:b/>
          <w:szCs w:val="24"/>
        </w:rPr>
        <w:t xml:space="preserve">Table </w:t>
      </w:r>
      <w:r w:rsidR="00EA3C26" w:rsidRPr="008154B1">
        <w:rPr>
          <w:rStyle w:val="CommentReference"/>
          <w:b/>
          <w:szCs w:val="24"/>
        </w:rPr>
        <w:t>3</w:t>
      </w:r>
      <w:r w:rsidRPr="008154B1">
        <w:rPr>
          <w:rStyle w:val="CommentReference"/>
          <w:b/>
          <w:szCs w:val="24"/>
        </w:rPr>
        <w:t>: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4539C6" w:rsidRPr="008154B1" w:rsidTr="005A54CD">
        <w:trPr>
          <w:tblHeader/>
        </w:trPr>
        <w:tc>
          <w:tcPr>
            <w:tcW w:w="796" w:type="pct"/>
            <w:tcBorders>
              <w:bottom w:val="single" w:sz="4" w:space="0" w:color="auto"/>
            </w:tcBorders>
            <w:vAlign w:val="center"/>
          </w:tcPr>
          <w:p w:rsidR="004539C6" w:rsidRPr="008154B1" w:rsidRDefault="004539C6" w:rsidP="00912164">
            <w:pPr>
              <w:pStyle w:val="In-tableHeading"/>
              <w:rPr>
                <w:rStyle w:val="CommentReference"/>
                <w:b/>
                <w:szCs w:val="24"/>
                <w:lang w:val="en-AU"/>
              </w:rPr>
            </w:pPr>
            <w:r w:rsidRPr="008154B1">
              <w:rPr>
                <w:rStyle w:val="CommentReference"/>
                <w:b/>
                <w:szCs w:val="24"/>
                <w:lang w:val="en-AU"/>
              </w:rPr>
              <w:t>Trial ID</w:t>
            </w:r>
          </w:p>
        </w:tc>
        <w:tc>
          <w:tcPr>
            <w:tcW w:w="3027" w:type="pct"/>
            <w:tcBorders>
              <w:bottom w:val="single" w:sz="4" w:space="0" w:color="auto"/>
            </w:tcBorders>
            <w:vAlign w:val="center"/>
          </w:tcPr>
          <w:p w:rsidR="004539C6" w:rsidRPr="008154B1" w:rsidRDefault="004539C6" w:rsidP="00912164">
            <w:pPr>
              <w:pStyle w:val="In-tableHeading"/>
              <w:rPr>
                <w:rStyle w:val="CommentReference"/>
                <w:b/>
                <w:szCs w:val="24"/>
                <w:lang w:val="en-AU"/>
              </w:rPr>
            </w:pPr>
            <w:r w:rsidRPr="008154B1">
              <w:rPr>
                <w:rStyle w:val="CommentReference"/>
                <w:b/>
                <w:szCs w:val="24"/>
                <w:lang w:val="en-AU"/>
              </w:rPr>
              <w:t>Protocol title/ Publication title</w:t>
            </w:r>
          </w:p>
        </w:tc>
        <w:tc>
          <w:tcPr>
            <w:tcW w:w="1177" w:type="pct"/>
            <w:tcBorders>
              <w:bottom w:val="single" w:sz="4" w:space="0" w:color="auto"/>
            </w:tcBorders>
            <w:vAlign w:val="center"/>
          </w:tcPr>
          <w:p w:rsidR="004539C6" w:rsidRPr="008154B1" w:rsidRDefault="004539C6" w:rsidP="00912164">
            <w:pPr>
              <w:pStyle w:val="In-tableHeading"/>
              <w:rPr>
                <w:rStyle w:val="CommentReference"/>
                <w:b/>
                <w:szCs w:val="24"/>
                <w:lang w:val="en-AU"/>
              </w:rPr>
            </w:pPr>
            <w:r w:rsidRPr="008154B1">
              <w:rPr>
                <w:rStyle w:val="CommentReference"/>
                <w:b/>
                <w:szCs w:val="24"/>
                <w:lang w:val="en-AU"/>
              </w:rPr>
              <w:t>Publication citation</w:t>
            </w:r>
          </w:p>
        </w:tc>
      </w:tr>
      <w:tr w:rsidR="004539C6" w:rsidRPr="008154B1" w:rsidTr="005A54CD">
        <w:tc>
          <w:tcPr>
            <w:tcW w:w="796" w:type="pct"/>
            <w:tcBorders>
              <w:bottom w:val="single" w:sz="4" w:space="0" w:color="auto"/>
              <w:right w:val="nil"/>
            </w:tcBorders>
            <w:vAlign w:val="center"/>
          </w:tcPr>
          <w:p w:rsidR="004539C6" w:rsidRPr="008154B1" w:rsidRDefault="004539C6" w:rsidP="00912164">
            <w:pPr>
              <w:pStyle w:val="TableText0"/>
            </w:pPr>
            <w:r w:rsidRPr="008154B1">
              <w:t>Included trials</w:t>
            </w:r>
          </w:p>
        </w:tc>
        <w:tc>
          <w:tcPr>
            <w:tcW w:w="3027" w:type="pct"/>
            <w:tcBorders>
              <w:left w:val="nil"/>
              <w:bottom w:val="single" w:sz="4" w:space="0" w:color="auto"/>
              <w:right w:val="nil"/>
            </w:tcBorders>
            <w:vAlign w:val="center"/>
          </w:tcPr>
          <w:p w:rsidR="004539C6" w:rsidRPr="008154B1" w:rsidRDefault="004539C6" w:rsidP="00912164">
            <w:pPr>
              <w:pStyle w:val="TableText0"/>
            </w:pPr>
          </w:p>
        </w:tc>
        <w:tc>
          <w:tcPr>
            <w:tcW w:w="1177" w:type="pct"/>
            <w:tcBorders>
              <w:left w:val="nil"/>
              <w:bottom w:val="single" w:sz="4" w:space="0" w:color="auto"/>
            </w:tcBorders>
            <w:vAlign w:val="center"/>
          </w:tcPr>
          <w:p w:rsidR="004539C6" w:rsidRPr="008154B1" w:rsidRDefault="004539C6" w:rsidP="00912164">
            <w:pPr>
              <w:pStyle w:val="TableText0"/>
            </w:pPr>
          </w:p>
        </w:tc>
      </w:tr>
      <w:tr w:rsidR="004539C6" w:rsidRPr="008154B1" w:rsidTr="005A54CD">
        <w:tc>
          <w:tcPr>
            <w:tcW w:w="796" w:type="pct"/>
            <w:tcBorders>
              <w:bottom w:val="nil"/>
            </w:tcBorders>
            <w:vAlign w:val="center"/>
          </w:tcPr>
          <w:p w:rsidR="004539C6" w:rsidRPr="008154B1" w:rsidRDefault="004539C6" w:rsidP="00912164">
            <w:pPr>
              <w:pStyle w:val="TableText0"/>
            </w:pPr>
            <w:r w:rsidRPr="008154B1">
              <w:t>HELP</w:t>
            </w:r>
          </w:p>
        </w:tc>
        <w:tc>
          <w:tcPr>
            <w:tcW w:w="3027" w:type="pct"/>
            <w:tcBorders>
              <w:bottom w:val="nil"/>
            </w:tcBorders>
          </w:tcPr>
          <w:p w:rsidR="004539C6" w:rsidRPr="008154B1" w:rsidRDefault="004539C6" w:rsidP="00912164">
            <w:pPr>
              <w:pStyle w:val="TableText0"/>
            </w:pPr>
            <w:r w:rsidRPr="008154B1">
              <w:t>Clinical Study Report: HELP Study</w:t>
            </w:r>
            <w:r w:rsidRPr="008154B1">
              <w:rPr>
                <w:vertAlign w:val="superscript"/>
              </w:rPr>
              <w:t>®</w:t>
            </w:r>
            <w:r w:rsidRPr="008154B1">
              <w:t>: A Multicenter, Randomised, Double-Blind, Placebo-Controlled Efficacy and Safety Study to Evaluate DX-2930 For Long-Term Prophylaxis Against Acute Attacks of Hereditary Angioedema (HAE).</w:t>
            </w:r>
          </w:p>
        </w:tc>
        <w:tc>
          <w:tcPr>
            <w:tcW w:w="1177" w:type="pct"/>
            <w:tcBorders>
              <w:bottom w:val="nil"/>
            </w:tcBorders>
            <w:vAlign w:val="center"/>
          </w:tcPr>
          <w:p w:rsidR="004539C6" w:rsidRPr="008154B1" w:rsidRDefault="004539C6" w:rsidP="00912164">
            <w:pPr>
              <w:pStyle w:val="TableText0"/>
            </w:pPr>
            <w:r w:rsidRPr="008154B1">
              <w:t>September 2017</w:t>
            </w:r>
          </w:p>
        </w:tc>
      </w:tr>
      <w:tr w:rsidR="004539C6" w:rsidRPr="008154B1" w:rsidTr="005A54CD">
        <w:tc>
          <w:tcPr>
            <w:tcW w:w="796" w:type="pct"/>
            <w:tcBorders>
              <w:top w:val="nil"/>
              <w:bottom w:val="nil"/>
            </w:tcBorders>
            <w:vAlign w:val="center"/>
          </w:tcPr>
          <w:p w:rsidR="004539C6" w:rsidRPr="008154B1" w:rsidRDefault="004539C6" w:rsidP="00912164">
            <w:pPr>
              <w:pStyle w:val="TableText0"/>
            </w:pPr>
          </w:p>
        </w:tc>
        <w:tc>
          <w:tcPr>
            <w:tcW w:w="3027" w:type="pct"/>
            <w:tcBorders>
              <w:top w:val="nil"/>
              <w:bottom w:val="nil"/>
            </w:tcBorders>
          </w:tcPr>
          <w:p w:rsidR="004539C6" w:rsidRPr="008154B1" w:rsidRDefault="004539C6" w:rsidP="00912164">
            <w:pPr>
              <w:pStyle w:val="TableText0"/>
            </w:pPr>
          </w:p>
          <w:p w:rsidR="004539C6" w:rsidRPr="008154B1" w:rsidRDefault="004539C6" w:rsidP="00912164">
            <w:pPr>
              <w:pStyle w:val="TableText0"/>
            </w:pPr>
            <w:r w:rsidRPr="008154B1">
              <w:t>Hereditary Angioedema (HAE) – Assessment of Patient Reported Outcome Data from the DX-2930- 03 HELP Study</w:t>
            </w:r>
            <w:r w:rsidRPr="008154B1">
              <w:rPr>
                <w:vertAlign w:val="superscript"/>
              </w:rPr>
              <w:t>®</w:t>
            </w:r>
            <w:r w:rsidRPr="008154B1">
              <w:t>– Primary Objectives.</w:t>
            </w:r>
          </w:p>
          <w:p w:rsidR="004539C6" w:rsidRPr="008154B1" w:rsidRDefault="004539C6" w:rsidP="00912164">
            <w:pPr>
              <w:pStyle w:val="TableText0"/>
            </w:pPr>
          </w:p>
        </w:tc>
        <w:tc>
          <w:tcPr>
            <w:tcW w:w="1177" w:type="pct"/>
            <w:tcBorders>
              <w:top w:val="nil"/>
              <w:bottom w:val="nil"/>
            </w:tcBorders>
            <w:vAlign w:val="center"/>
          </w:tcPr>
          <w:p w:rsidR="004539C6" w:rsidRPr="008154B1" w:rsidRDefault="004539C6" w:rsidP="00912164">
            <w:pPr>
              <w:pStyle w:val="TableText0"/>
            </w:pPr>
            <w:r w:rsidRPr="008154B1">
              <w:t>August 2017</w:t>
            </w:r>
          </w:p>
        </w:tc>
      </w:tr>
      <w:tr w:rsidR="004539C6" w:rsidRPr="008154B1" w:rsidTr="005A54CD">
        <w:tc>
          <w:tcPr>
            <w:tcW w:w="796" w:type="pct"/>
            <w:tcBorders>
              <w:top w:val="nil"/>
              <w:bottom w:val="single" w:sz="4" w:space="0" w:color="auto"/>
            </w:tcBorders>
            <w:vAlign w:val="center"/>
          </w:tcPr>
          <w:p w:rsidR="004539C6" w:rsidRPr="008154B1" w:rsidRDefault="004539C6" w:rsidP="00912164">
            <w:pPr>
              <w:pStyle w:val="TableText0"/>
            </w:pPr>
          </w:p>
        </w:tc>
        <w:tc>
          <w:tcPr>
            <w:tcW w:w="3027" w:type="pct"/>
            <w:tcBorders>
              <w:top w:val="nil"/>
              <w:bottom w:val="single" w:sz="4" w:space="0" w:color="auto"/>
            </w:tcBorders>
          </w:tcPr>
          <w:p w:rsidR="004539C6" w:rsidRPr="008154B1" w:rsidRDefault="004539C6" w:rsidP="00912164">
            <w:pPr>
              <w:pStyle w:val="TableText0"/>
            </w:pPr>
            <w:r w:rsidRPr="008154B1">
              <w:t xml:space="preserve">Banerji A, Riedl M, Berstein JA, et al. Effect of lanadelumab Compared with Placebo on Prevention of Hereditary Angioedema Attacks. </w:t>
            </w:r>
          </w:p>
        </w:tc>
        <w:tc>
          <w:tcPr>
            <w:tcW w:w="1177" w:type="pct"/>
            <w:tcBorders>
              <w:top w:val="nil"/>
              <w:bottom w:val="single" w:sz="4" w:space="0" w:color="auto"/>
            </w:tcBorders>
            <w:vAlign w:val="center"/>
          </w:tcPr>
          <w:p w:rsidR="004539C6" w:rsidRPr="008154B1" w:rsidRDefault="004539C6" w:rsidP="00912164">
            <w:pPr>
              <w:pStyle w:val="TableText0"/>
            </w:pPr>
            <w:r w:rsidRPr="008154B1">
              <w:t>JAMA 2018; 320(20): 2108-2121.</w:t>
            </w:r>
          </w:p>
        </w:tc>
      </w:tr>
    </w:tbl>
    <w:p w:rsidR="004539C6" w:rsidRPr="008154B1" w:rsidRDefault="004539C6" w:rsidP="00912164">
      <w:pPr>
        <w:pStyle w:val="TableFigureFooter"/>
        <w:rPr>
          <w:rFonts w:eastAsiaTheme="majorEastAsia"/>
        </w:rPr>
      </w:pPr>
      <w:r w:rsidRPr="008154B1">
        <w:rPr>
          <w:rFonts w:eastAsiaTheme="majorEastAsia"/>
        </w:rPr>
        <w:t>Source: Table 22, p32 of the resubmission</w:t>
      </w:r>
    </w:p>
    <w:p w:rsidR="004539C6" w:rsidRPr="008154B1" w:rsidRDefault="004539C6" w:rsidP="00912164">
      <w:pPr>
        <w:pStyle w:val="3-BodyText"/>
      </w:pPr>
      <w:r w:rsidRPr="008154B1">
        <w:t xml:space="preserve">The key features of the direct randomised trial are summarised in the table below. </w:t>
      </w:r>
    </w:p>
    <w:p w:rsidR="004539C6" w:rsidRPr="008154B1" w:rsidRDefault="004539C6" w:rsidP="005A54CD">
      <w:pPr>
        <w:pStyle w:val="TableFigureHeading"/>
        <w:keepLines/>
        <w:widowControl w:val="0"/>
        <w:rPr>
          <w:rStyle w:val="CommentReference"/>
          <w:b/>
        </w:rPr>
      </w:pPr>
      <w:r w:rsidRPr="008154B1">
        <w:rPr>
          <w:rStyle w:val="CommentReference"/>
          <w:b/>
        </w:rPr>
        <w:lastRenderedPageBreak/>
        <w:t xml:space="preserve">Table </w:t>
      </w:r>
      <w:r w:rsidR="00EA3C26" w:rsidRPr="008154B1">
        <w:rPr>
          <w:rStyle w:val="CommentReference"/>
          <w:b/>
        </w:rPr>
        <w:t>4</w:t>
      </w:r>
      <w:r w:rsidRPr="008154B1">
        <w:rPr>
          <w:rStyle w:val="CommentReference"/>
          <w:b/>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 indirect comparison"/>
      </w:tblPr>
      <w:tblGrid>
        <w:gridCol w:w="563"/>
        <w:gridCol w:w="1636"/>
        <w:gridCol w:w="604"/>
        <w:gridCol w:w="878"/>
        <w:gridCol w:w="709"/>
        <w:gridCol w:w="1417"/>
        <w:gridCol w:w="1843"/>
        <w:gridCol w:w="1367"/>
      </w:tblGrid>
      <w:tr w:rsidR="004539C6" w:rsidRPr="008154B1" w:rsidTr="005A54CD">
        <w:trPr>
          <w:tblHeader/>
        </w:trPr>
        <w:tc>
          <w:tcPr>
            <w:tcW w:w="1219" w:type="pct"/>
            <w:gridSpan w:val="2"/>
            <w:shd w:val="clear" w:color="auto" w:fill="auto"/>
            <w:vAlign w:val="center"/>
          </w:tcPr>
          <w:p w:rsidR="004539C6" w:rsidRPr="008154B1" w:rsidRDefault="004539C6" w:rsidP="005A54CD">
            <w:pPr>
              <w:pStyle w:val="In-tableHeading"/>
              <w:keepLines/>
              <w:widowControl w:val="0"/>
              <w:rPr>
                <w:snapToGrid w:val="0"/>
                <w:lang w:val="en-AU"/>
              </w:rPr>
            </w:pPr>
            <w:r w:rsidRPr="008154B1">
              <w:rPr>
                <w:snapToGrid w:val="0"/>
                <w:lang w:val="en-AU"/>
              </w:rPr>
              <w:t>Trial</w:t>
            </w:r>
          </w:p>
        </w:tc>
        <w:tc>
          <w:tcPr>
            <w:tcW w:w="335" w:type="pct"/>
            <w:shd w:val="clear" w:color="auto" w:fill="auto"/>
            <w:vAlign w:val="center"/>
          </w:tcPr>
          <w:p w:rsidR="004539C6" w:rsidRPr="008154B1" w:rsidRDefault="004539C6" w:rsidP="005A54CD">
            <w:pPr>
              <w:pStyle w:val="In-tableHeading"/>
              <w:keepLines/>
              <w:widowControl w:val="0"/>
              <w:jc w:val="center"/>
              <w:rPr>
                <w:snapToGrid w:val="0"/>
                <w:lang w:val="en-AU"/>
              </w:rPr>
            </w:pPr>
            <w:r w:rsidRPr="008154B1">
              <w:rPr>
                <w:snapToGrid w:val="0"/>
                <w:lang w:val="en-AU"/>
              </w:rPr>
              <w:t>N</w:t>
            </w:r>
          </w:p>
        </w:tc>
        <w:tc>
          <w:tcPr>
            <w:tcW w:w="487" w:type="pct"/>
            <w:shd w:val="clear" w:color="auto" w:fill="auto"/>
            <w:vAlign w:val="center"/>
          </w:tcPr>
          <w:p w:rsidR="004539C6" w:rsidRPr="008154B1" w:rsidRDefault="004539C6" w:rsidP="005A54CD">
            <w:pPr>
              <w:pStyle w:val="In-tableHeading"/>
              <w:keepLines/>
              <w:widowControl w:val="0"/>
              <w:jc w:val="center"/>
              <w:rPr>
                <w:snapToGrid w:val="0"/>
                <w:lang w:val="en-AU"/>
              </w:rPr>
            </w:pPr>
            <w:r w:rsidRPr="008154B1">
              <w:rPr>
                <w:snapToGrid w:val="0"/>
                <w:lang w:val="en-AU"/>
              </w:rPr>
              <w:t>Design/ duration</w:t>
            </w:r>
          </w:p>
        </w:tc>
        <w:tc>
          <w:tcPr>
            <w:tcW w:w="393" w:type="pct"/>
            <w:shd w:val="clear" w:color="auto" w:fill="auto"/>
            <w:vAlign w:val="center"/>
          </w:tcPr>
          <w:p w:rsidR="004539C6" w:rsidRPr="008154B1" w:rsidRDefault="004539C6" w:rsidP="005A54CD">
            <w:pPr>
              <w:pStyle w:val="In-tableHeading"/>
              <w:keepLines/>
              <w:widowControl w:val="0"/>
              <w:jc w:val="center"/>
              <w:rPr>
                <w:snapToGrid w:val="0"/>
                <w:lang w:val="en-AU"/>
              </w:rPr>
            </w:pPr>
            <w:r w:rsidRPr="008154B1">
              <w:rPr>
                <w:snapToGrid w:val="0"/>
                <w:lang w:val="en-AU"/>
              </w:rPr>
              <w:t>Risk of bias</w:t>
            </w:r>
          </w:p>
        </w:tc>
        <w:tc>
          <w:tcPr>
            <w:tcW w:w="786" w:type="pct"/>
            <w:shd w:val="clear" w:color="auto" w:fill="auto"/>
            <w:vAlign w:val="center"/>
          </w:tcPr>
          <w:p w:rsidR="004539C6" w:rsidRPr="008154B1" w:rsidRDefault="004539C6" w:rsidP="005A54CD">
            <w:pPr>
              <w:pStyle w:val="In-tableHeading"/>
              <w:keepLines/>
              <w:widowControl w:val="0"/>
              <w:jc w:val="center"/>
              <w:rPr>
                <w:snapToGrid w:val="0"/>
                <w:lang w:val="en-AU"/>
              </w:rPr>
            </w:pPr>
            <w:r w:rsidRPr="008154B1">
              <w:rPr>
                <w:snapToGrid w:val="0"/>
                <w:lang w:val="en-AU"/>
              </w:rPr>
              <w:t>Patient population</w:t>
            </w:r>
          </w:p>
        </w:tc>
        <w:tc>
          <w:tcPr>
            <w:tcW w:w="1022" w:type="pct"/>
            <w:shd w:val="clear" w:color="auto" w:fill="auto"/>
            <w:vAlign w:val="center"/>
          </w:tcPr>
          <w:p w:rsidR="004539C6" w:rsidRPr="008154B1" w:rsidRDefault="004539C6" w:rsidP="005A54CD">
            <w:pPr>
              <w:pStyle w:val="In-tableHeading"/>
              <w:keepLines/>
              <w:widowControl w:val="0"/>
              <w:jc w:val="center"/>
              <w:rPr>
                <w:snapToGrid w:val="0"/>
                <w:lang w:val="en-AU"/>
              </w:rPr>
            </w:pPr>
            <w:r w:rsidRPr="008154B1">
              <w:rPr>
                <w:snapToGrid w:val="0"/>
                <w:lang w:val="en-AU"/>
              </w:rPr>
              <w:t>Outcomes</w:t>
            </w:r>
          </w:p>
        </w:tc>
        <w:tc>
          <w:tcPr>
            <w:tcW w:w="758" w:type="pct"/>
            <w:vAlign w:val="center"/>
          </w:tcPr>
          <w:p w:rsidR="004539C6" w:rsidRPr="008154B1" w:rsidRDefault="004539C6" w:rsidP="005A54CD">
            <w:pPr>
              <w:pStyle w:val="In-tableHeading"/>
              <w:keepLines/>
              <w:widowControl w:val="0"/>
              <w:jc w:val="center"/>
              <w:rPr>
                <w:snapToGrid w:val="0"/>
                <w:szCs w:val="20"/>
                <w:lang w:val="en-AU"/>
              </w:rPr>
            </w:pPr>
            <w:r w:rsidRPr="008154B1">
              <w:rPr>
                <w:szCs w:val="20"/>
                <w:lang w:val="en-AU"/>
              </w:rPr>
              <w:t>Use in modelled evaluation</w:t>
            </w:r>
          </w:p>
        </w:tc>
      </w:tr>
      <w:tr w:rsidR="005B30A0" w:rsidRPr="008154B1" w:rsidTr="005A54CD">
        <w:tc>
          <w:tcPr>
            <w:tcW w:w="5000" w:type="pct"/>
            <w:gridSpan w:val="8"/>
            <w:shd w:val="clear" w:color="auto" w:fill="auto"/>
            <w:vAlign w:val="center"/>
          </w:tcPr>
          <w:p w:rsidR="005B30A0" w:rsidRPr="008154B1" w:rsidRDefault="005B30A0" w:rsidP="005A54CD">
            <w:pPr>
              <w:pStyle w:val="TableText0"/>
              <w:keepLines/>
              <w:widowControl w:val="0"/>
              <w:rPr>
                <w:b/>
                <w:snapToGrid w:val="0"/>
              </w:rPr>
            </w:pPr>
            <w:r w:rsidRPr="008154B1">
              <w:rPr>
                <w:b/>
                <w:snapToGrid w:val="0"/>
              </w:rPr>
              <w:t>Lanadelumab trial</w:t>
            </w:r>
          </w:p>
        </w:tc>
      </w:tr>
      <w:tr w:rsidR="004539C6" w:rsidRPr="008154B1" w:rsidTr="005A54CD">
        <w:trPr>
          <w:trHeight w:val="90"/>
        </w:trPr>
        <w:tc>
          <w:tcPr>
            <w:tcW w:w="312" w:type="pct"/>
            <w:vMerge w:val="restart"/>
            <w:shd w:val="clear" w:color="auto" w:fill="auto"/>
            <w:vAlign w:val="center"/>
          </w:tcPr>
          <w:p w:rsidR="004539C6" w:rsidRPr="008154B1" w:rsidRDefault="004539C6" w:rsidP="005A54CD">
            <w:pPr>
              <w:pStyle w:val="TableText0"/>
              <w:keepLines/>
              <w:widowControl w:val="0"/>
              <w:rPr>
                <w:snapToGrid w:val="0"/>
              </w:rPr>
            </w:pPr>
            <w:r w:rsidRPr="008154B1">
              <w:rPr>
                <w:snapToGrid w:val="0"/>
              </w:rPr>
              <w:t>HELP</w:t>
            </w:r>
          </w:p>
        </w:tc>
        <w:tc>
          <w:tcPr>
            <w:tcW w:w="907" w:type="pct"/>
            <w:shd w:val="clear" w:color="auto" w:fill="auto"/>
            <w:vAlign w:val="center"/>
          </w:tcPr>
          <w:p w:rsidR="004539C6" w:rsidRPr="008154B1" w:rsidRDefault="004539C6" w:rsidP="005A54CD">
            <w:pPr>
              <w:pStyle w:val="TableText0"/>
              <w:keepLines/>
              <w:widowControl w:val="0"/>
              <w:rPr>
                <w:snapToGrid w:val="0"/>
              </w:rPr>
            </w:pPr>
            <w:r w:rsidRPr="008154B1">
              <w:rPr>
                <w:snapToGrid w:val="0"/>
              </w:rPr>
              <w:t>300 mg lanadelumab SC Q2W</w:t>
            </w:r>
            <w:r w:rsidRPr="008154B1">
              <w:rPr>
                <w:snapToGrid w:val="0"/>
                <w:vertAlign w:val="superscript"/>
              </w:rPr>
              <w:t>a</w:t>
            </w:r>
          </w:p>
        </w:tc>
        <w:tc>
          <w:tcPr>
            <w:tcW w:w="335" w:type="pct"/>
            <w:shd w:val="clear" w:color="auto" w:fill="auto"/>
            <w:vAlign w:val="center"/>
          </w:tcPr>
          <w:p w:rsidR="004539C6" w:rsidRPr="008154B1" w:rsidRDefault="004539C6" w:rsidP="005A54CD">
            <w:pPr>
              <w:pStyle w:val="TableText0"/>
              <w:keepLines/>
              <w:widowControl w:val="0"/>
              <w:jc w:val="center"/>
              <w:rPr>
                <w:snapToGrid w:val="0"/>
              </w:rPr>
            </w:pPr>
            <w:r w:rsidRPr="008154B1">
              <w:rPr>
                <w:snapToGrid w:val="0"/>
              </w:rPr>
              <w:t>27</w:t>
            </w:r>
          </w:p>
        </w:tc>
        <w:tc>
          <w:tcPr>
            <w:tcW w:w="487" w:type="pct"/>
            <w:vMerge w:val="restart"/>
            <w:shd w:val="clear" w:color="auto" w:fill="auto"/>
            <w:vAlign w:val="center"/>
          </w:tcPr>
          <w:p w:rsidR="004539C6" w:rsidRPr="008154B1" w:rsidRDefault="004539C6" w:rsidP="005A54CD">
            <w:pPr>
              <w:pStyle w:val="TableText0"/>
              <w:keepLines/>
              <w:widowControl w:val="0"/>
              <w:jc w:val="center"/>
              <w:rPr>
                <w:snapToGrid w:val="0"/>
              </w:rPr>
            </w:pPr>
            <w:r w:rsidRPr="008154B1">
              <w:rPr>
                <w:snapToGrid w:val="0"/>
              </w:rPr>
              <w:t>R, DB</w:t>
            </w:r>
          </w:p>
          <w:p w:rsidR="004539C6" w:rsidRPr="008154B1" w:rsidRDefault="004539C6" w:rsidP="005A54CD">
            <w:pPr>
              <w:pStyle w:val="TableText0"/>
              <w:keepLines/>
              <w:widowControl w:val="0"/>
              <w:jc w:val="center"/>
              <w:rPr>
                <w:snapToGrid w:val="0"/>
              </w:rPr>
            </w:pPr>
            <w:r w:rsidRPr="008154B1">
              <w:rPr>
                <w:snapToGrid w:val="0"/>
              </w:rPr>
              <w:t>26 weeks</w:t>
            </w:r>
          </w:p>
        </w:tc>
        <w:tc>
          <w:tcPr>
            <w:tcW w:w="393" w:type="pct"/>
            <w:vMerge w:val="restart"/>
            <w:shd w:val="clear" w:color="auto" w:fill="auto"/>
            <w:vAlign w:val="center"/>
          </w:tcPr>
          <w:p w:rsidR="004539C6" w:rsidRPr="008154B1" w:rsidRDefault="004539C6" w:rsidP="005A54CD">
            <w:pPr>
              <w:pStyle w:val="TableText0"/>
              <w:keepLines/>
              <w:widowControl w:val="0"/>
              <w:jc w:val="center"/>
              <w:rPr>
                <w:snapToGrid w:val="0"/>
              </w:rPr>
            </w:pPr>
            <w:r w:rsidRPr="008154B1">
              <w:rPr>
                <w:snapToGrid w:val="0"/>
              </w:rPr>
              <w:t>Low</w:t>
            </w:r>
          </w:p>
        </w:tc>
        <w:tc>
          <w:tcPr>
            <w:tcW w:w="786" w:type="pct"/>
            <w:vMerge w:val="restart"/>
            <w:shd w:val="clear" w:color="auto" w:fill="auto"/>
            <w:vAlign w:val="center"/>
          </w:tcPr>
          <w:p w:rsidR="004539C6" w:rsidRPr="008154B1" w:rsidRDefault="004539C6" w:rsidP="005A54CD">
            <w:pPr>
              <w:pStyle w:val="TableText0"/>
              <w:keepLines/>
              <w:widowControl w:val="0"/>
              <w:jc w:val="center"/>
              <w:rPr>
                <w:snapToGrid w:val="0"/>
              </w:rPr>
            </w:pPr>
            <w:r w:rsidRPr="008154B1">
              <w:rPr>
                <w:snapToGrid w:val="0"/>
              </w:rPr>
              <w:t>≥ 1 attack / month (investigator-confirmed attacks)</w:t>
            </w:r>
          </w:p>
          <w:p w:rsidR="004539C6" w:rsidRPr="008154B1" w:rsidRDefault="004539C6" w:rsidP="005A54CD">
            <w:pPr>
              <w:pStyle w:val="TableText0"/>
              <w:keepLines/>
              <w:widowControl w:val="0"/>
              <w:jc w:val="center"/>
              <w:rPr>
                <w:snapToGrid w:val="0"/>
                <w:vertAlign w:val="superscript"/>
              </w:rPr>
            </w:pPr>
            <w:r w:rsidRPr="008154B1">
              <w:rPr>
                <w:snapToGrid w:val="0"/>
              </w:rPr>
              <w:t>No restriction on line of therapy</w:t>
            </w:r>
            <w:r w:rsidR="004C4BE9" w:rsidRPr="008154B1">
              <w:rPr>
                <w:snapToGrid w:val="0"/>
                <w:vertAlign w:val="superscript"/>
              </w:rPr>
              <w:t>c</w:t>
            </w:r>
          </w:p>
        </w:tc>
        <w:tc>
          <w:tcPr>
            <w:tcW w:w="1022" w:type="pct"/>
            <w:vMerge w:val="restart"/>
            <w:shd w:val="clear" w:color="auto" w:fill="auto"/>
            <w:vAlign w:val="center"/>
          </w:tcPr>
          <w:p w:rsidR="004539C6" w:rsidRPr="008154B1" w:rsidRDefault="004539C6" w:rsidP="005A54CD">
            <w:pPr>
              <w:pStyle w:val="TableText0"/>
              <w:keepLines/>
              <w:widowControl w:val="0"/>
              <w:jc w:val="center"/>
              <w:rPr>
                <w:snapToGrid w:val="0"/>
              </w:rPr>
            </w:pPr>
            <w:r w:rsidRPr="008154B1">
              <w:rPr>
                <w:snapToGrid w:val="0"/>
              </w:rPr>
              <w:t>Number of investigator-confirmed HAE attacks during the treatment period and number of attacks requiring acute treatment</w:t>
            </w:r>
          </w:p>
        </w:tc>
        <w:tc>
          <w:tcPr>
            <w:tcW w:w="758" w:type="pct"/>
            <w:vAlign w:val="center"/>
          </w:tcPr>
          <w:p w:rsidR="004539C6" w:rsidRPr="008154B1" w:rsidRDefault="004539C6" w:rsidP="005A54CD">
            <w:pPr>
              <w:pStyle w:val="TableText0"/>
              <w:keepLines/>
              <w:widowControl w:val="0"/>
              <w:jc w:val="center"/>
              <w:rPr>
                <w:snapToGrid w:val="0"/>
              </w:rPr>
            </w:pPr>
            <w:r w:rsidRPr="008154B1">
              <w:rPr>
                <w:snapToGrid w:val="0"/>
              </w:rPr>
              <w:t>Used</w:t>
            </w:r>
          </w:p>
        </w:tc>
      </w:tr>
      <w:tr w:rsidR="004539C6" w:rsidRPr="008154B1" w:rsidTr="005A54CD">
        <w:trPr>
          <w:trHeight w:val="87"/>
        </w:trPr>
        <w:tc>
          <w:tcPr>
            <w:tcW w:w="312" w:type="pct"/>
            <w:vMerge/>
            <w:shd w:val="clear" w:color="auto" w:fill="auto"/>
            <w:vAlign w:val="center"/>
          </w:tcPr>
          <w:p w:rsidR="004539C6" w:rsidRPr="008154B1" w:rsidRDefault="004539C6" w:rsidP="005A54CD">
            <w:pPr>
              <w:pStyle w:val="TableText0"/>
              <w:keepLines/>
              <w:widowControl w:val="0"/>
              <w:rPr>
                <w:snapToGrid w:val="0"/>
              </w:rPr>
            </w:pPr>
          </w:p>
        </w:tc>
        <w:tc>
          <w:tcPr>
            <w:tcW w:w="907" w:type="pct"/>
            <w:shd w:val="clear" w:color="auto" w:fill="auto"/>
            <w:vAlign w:val="center"/>
          </w:tcPr>
          <w:p w:rsidR="004539C6" w:rsidRPr="008154B1" w:rsidRDefault="004539C6" w:rsidP="005A54CD">
            <w:pPr>
              <w:pStyle w:val="TableText0"/>
              <w:keepLines/>
              <w:widowControl w:val="0"/>
              <w:rPr>
                <w:snapToGrid w:val="0"/>
              </w:rPr>
            </w:pPr>
            <w:r w:rsidRPr="008154B1">
              <w:rPr>
                <w:snapToGrid w:val="0"/>
              </w:rPr>
              <w:t>300 mg lanadelumab SC Q4W</w:t>
            </w:r>
            <w:r w:rsidRPr="008154B1">
              <w:rPr>
                <w:snapToGrid w:val="0"/>
                <w:vertAlign w:val="superscript"/>
              </w:rPr>
              <w:t>a</w:t>
            </w:r>
          </w:p>
        </w:tc>
        <w:tc>
          <w:tcPr>
            <w:tcW w:w="335" w:type="pct"/>
            <w:shd w:val="clear" w:color="auto" w:fill="auto"/>
            <w:vAlign w:val="center"/>
          </w:tcPr>
          <w:p w:rsidR="004539C6" w:rsidRPr="008154B1" w:rsidRDefault="004539C6" w:rsidP="005A54CD">
            <w:pPr>
              <w:pStyle w:val="TableText0"/>
              <w:keepLines/>
              <w:widowControl w:val="0"/>
              <w:jc w:val="center"/>
              <w:rPr>
                <w:snapToGrid w:val="0"/>
              </w:rPr>
            </w:pPr>
            <w:r w:rsidRPr="008154B1">
              <w:rPr>
                <w:snapToGrid w:val="0"/>
              </w:rPr>
              <w:t>29</w:t>
            </w:r>
          </w:p>
        </w:tc>
        <w:tc>
          <w:tcPr>
            <w:tcW w:w="487" w:type="pct"/>
            <w:vMerge/>
            <w:shd w:val="clear" w:color="auto" w:fill="auto"/>
            <w:vAlign w:val="center"/>
          </w:tcPr>
          <w:p w:rsidR="004539C6" w:rsidRPr="008154B1" w:rsidRDefault="004539C6" w:rsidP="005A54CD">
            <w:pPr>
              <w:pStyle w:val="TableText0"/>
              <w:keepLines/>
              <w:widowControl w:val="0"/>
              <w:rPr>
                <w:snapToGrid w:val="0"/>
              </w:rPr>
            </w:pPr>
          </w:p>
        </w:tc>
        <w:tc>
          <w:tcPr>
            <w:tcW w:w="393" w:type="pct"/>
            <w:vMerge/>
            <w:shd w:val="clear" w:color="auto" w:fill="auto"/>
            <w:vAlign w:val="center"/>
          </w:tcPr>
          <w:p w:rsidR="004539C6" w:rsidRPr="008154B1" w:rsidRDefault="004539C6" w:rsidP="005A54CD">
            <w:pPr>
              <w:pStyle w:val="TableText0"/>
              <w:keepLines/>
              <w:widowControl w:val="0"/>
              <w:rPr>
                <w:snapToGrid w:val="0"/>
              </w:rPr>
            </w:pPr>
          </w:p>
        </w:tc>
        <w:tc>
          <w:tcPr>
            <w:tcW w:w="786" w:type="pct"/>
            <w:vMerge/>
            <w:shd w:val="clear" w:color="auto" w:fill="auto"/>
            <w:vAlign w:val="center"/>
          </w:tcPr>
          <w:p w:rsidR="004539C6" w:rsidRPr="008154B1" w:rsidRDefault="004539C6" w:rsidP="005A54CD">
            <w:pPr>
              <w:pStyle w:val="TableText0"/>
              <w:keepLines/>
              <w:widowControl w:val="0"/>
              <w:rPr>
                <w:snapToGrid w:val="0"/>
              </w:rPr>
            </w:pPr>
          </w:p>
        </w:tc>
        <w:tc>
          <w:tcPr>
            <w:tcW w:w="1022" w:type="pct"/>
            <w:vMerge/>
            <w:shd w:val="clear" w:color="auto" w:fill="auto"/>
            <w:vAlign w:val="center"/>
          </w:tcPr>
          <w:p w:rsidR="004539C6" w:rsidRPr="008154B1" w:rsidRDefault="004539C6" w:rsidP="005A54CD">
            <w:pPr>
              <w:pStyle w:val="TableText0"/>
              <w:keepLines/>
              <w:widowControl w:val="0"/>
              <w:rPr>
                <w:snapToGrid w:val="0"/>
              </w:rPr>
            </w:pPr>
          </w:p>
        </w:tc>
        <w:tc>
          <w:tcPr>
            <w:tcW w:w="758" w:type="pct"/>
            <w:vAlign w:val="center"/>
          </w:tcPr>
          <w:p w:rsidR="004539C6" w:rsidRPr="008154B1" w:rsidRDefault="004539C6" w:rsidP="005A54CD">
            <w:pPr>
              <w:pStyle w:val="TableText0"/>
              <w:keepLines/>
              <w:widowControl w:val="0"/>
              <w:jc w:val="center"/>
              <w:rPr>
                <w:snapToGrid w:val="0"/>
              </w:rPr>
            </w:pPr>
            <w:r w:rsidRPr="008154B1">
              <w:rPr>
                <w:snapToGrid w:val="0"/>
              </w:rPr>
              <w:t>Used</w:t>
            </w:r>
          </w:p>
        </w:tc>
      </w:tr>
      <w:tr w:rsidR="004539C6" w:rsidRPr="008154B1" w:rsidTr="005A54CD">
        <w:trPr>
          <w:trHeight w:val="87"/>
        </w:trPr>
        <w:tc>
          <w:tcPr>
            <w:tcW w:w="312" w:type="pct"/>
            <w:vMerge/>
            <w:shd w:val="clear" w:color="auto" w:fill="auto"/>
            <w:vAlign w:val="center"/>
          </w:tcPr>
          <w:p w:rsidR="004539C6" w:rsidRPr="008154B1" w:rsidRDefault="004539C6" w:rsidP="005A54CD">
            <w:pPr>
              <w:pStyle w:val="TableText0"/>
              <w:keepLines/>
              <w:widowControl w:val="0"/>
              <w:rPr>
                <w:snapToGrid w:val="0"/>
              </w:rPr>
            </w:pPr>
          </w:p>
        </w:tc>
        <w:tc>
          <w:tcPr>
            <w:tcW w:w="907" w:type="pct"/>
            <w:shd w:val="clear" w:color="auto" w:fill="auto"/>
            <w:vAlign w:val="center"/>
          </w:tcPr>
          <w:p w:rsidR="004539C6" w:rsidRPr="008154B1" w:rsidRDefault="004539C6" w:rsidP="005A54CD">
            <w:pPr>
              <w:pStyle w:val="TableText0"/>
              <w:keepLines/>
              <w:widowControl w:val="0"/>
              <w:rPr>
                <w:snapToGrid w:val="0"/>
              </w:rPr>
            </w:pPr>
            <w:r w:rsidRPr="008154B1">
              <w:rPr>
                <w:snapToGrid w:val="0"/>
              </w:rPr>
              <w:t>150 mg lanadelumab SC Q4W</w:t>
            </w:r>
            <w:r w:rsidRPr="008154B1">
              <w:rPr>
                <w:snapToGrid w:val="0"/>
                <w:vertAlign w:val="superscript"/>
              </w:rPr>
              <w:t>a,b</w:t>
            </w:r>
          </w:p>
        </w:tc>
        <w:tc>
          <w:tcPr>
            <w:tcW w:w="335" w:type="pct"/>
            <w:shd w:val="clear" w:color="auto" w:fill="auto"/>
            <w:vAlign w:val="center"/>
          </w:tcPr>
          <w:p w:rsidR="004539C6" w:rsidRPr="008154B1" w:rsidRDefault="004539C6" w:rsidP="005A54CD">
            <w:pPr>
              <w:pStyle w:val="TableText0"/>
              <w:keepLines/>
              <w:widowControl w:val="0"/>
              <w:jc w:val="center"/>
              <w:rPr>
                <w:snapToGrid w:val="0"/>
              </w:rPr>
            </w:pPr>
            <w:r w:rsidRPr="008154B1">
              <w:rPr>
                <w:snapToGrid w:val="0"/>
              </w:rPr>
              <w:t>28</w:t>
            </w:r>
          </w:p>
        </w:tc>
        <w:tc>
          <w:tcPr>
            <w:tcW w:w="487" w:type="pct"/>
            <w:vMerge/>
            <w:shd w:val="clear" w:color="auto" w:fill="auto"/>
            <w:vAlign w:val="center"/>
          </w:tcPr>
          <w:p w:rsidR="004539C6" w:rsidRPr="008154B1" w:rsidRDefault="004539C6" w:rsidP="005A54CD">
            <w:pPr>
              <w:pStyle w:val="TableText0"/>
              <w:keepLines/>
              <w:widowControl w:val="0"/>
              <w:rPr>
                <w:snapToGrid w:val="0"/>
              </w:rPr>
            </w:pPr>
          </w:p>
        </w:tc>
        <w:tc>
          <w:tcPr>
            <w:tcW w:w="393" w:type="pct"/>
            <w:vMerge/>
            <w:shd w:val="clear" w:color="auto" w:fill="auto"/>
            <w:vAlign w:val="center"/>
          </w:tcPr>
          <w:p w:rsidR="004539C6" w:rsidRPr="008154B1" w:rsidRDefault="004539C6" w:rsidP="005A54CD">
            <w:pPr>
              <w:pStyle w:val="TableText0"/>
              <w:keepLines/>
              <w:widowControl w:val="0"/>
              <w:rPr>
                <w:snapToGrid w:val="0"/>
              </w:rPr>
            </w:pPr>
          </w:p>
        </w:tc>
        <w:tc>
          <w:tcPr>
            <w:tcW w:w="786" w:type="pct"/>
            <w:vMerge/>
            <w:shd w:val="clear" w:color="auto" w:fill="auto"/>
            <w:vAlign w:val="center"/>
          </w:tcPr>
          <w:p w:rsidR="004539C6" w:rsidRPr="008154B1" w:rsidRDefault="004539C6" w:rsidP="005A54CD">
            <w:pPr>
              <w:pStyle w:val="TableText0"/>
              <w:keepLines/>
              <w:widowControl w:val="0"/>
              <w:rPr>
                <w:snapToGrid w:val="0"/>
              </w:rPr>
            </w:pPr>
          </w:p>
        </w:tc>
        <w:tc>
          <w:tcPr>
            <w:tcW w:w="1022" w:type="pct"/>
            <w:vMerge/>
            <w:shd w:val="clear" w:color="auto" w:fill="auto"/>
            <w:vAlign w:val="center"/>
          </w:tcPr>
          <w:p w:rsidR="004539C6" w:rsidRPr="008154B1" w:rsidRDefault="004539C6" w:rsidP="005A54CD">
            <w:pPr>
              <w:pStyle w:val="TableText0"/>
              <w:keepLines/>
              <w:widowControl w:val="0"/>
              <w:rPr>
                <w:snapToGrid w:val="0"/>
              </w:rPr>
            </w:pPr>
          </w:p>
        </w:tc>
        <w:tc>
          <w:tcPr>
            <w:tcW w:w="758" w:type="pct"/>
            <w:vAlign w:val="center"/>
          </w:tcPr>
          <w:p w:rsidR="004539C6" w:rsidRPr="008154B1" w:rsidRDefault="004539C6" w:rsidP="005A54CD">
            <w:pPr>
              <w:pStyle w:val="TableText0"/>
              <w:keepLines/>
              <w:widowControl w:val="0"/>
              <w:jc w:val="center"/>
              <w:rPr>
                <w:snapToGrid w:val="0"/>
              </w:rPr>
            </w:pPr>
            <w:r w:rsidRPr="008154B1">
              <w:rPr>
                <w:snapToGrid w:val="0"/>
              </w:rPr>
              <w:t>Not used</w:t>
            </w:r>
          </w:p>
        </w:tc>
      </w:tr>
      <w:tr w:rsidR="004539C6" w:rsidRPr="008154B1" w:rsidTr="005A54CD">
        <w:trPr>
          <w:trHeight w:val="87"/>
        </w:trPr>
        <w:tc>
          <w:tcPr>
            <w:tcW w:w="312" w:type="pct"/>
            <w:vMerge/>
            <w:shd w:val="clear" w:color="auto" w:fill="auto"/>
            <w:vAlign w:val="center"/>
          </w:tcPr>
          <w:p w:rsidR="004539C6" w:rsidRPr="008154B1" w:rsidRDefault="004539C6" w:rsidP="005A54CD">
            <w:pPr>
              <w:pStyle w:val="TableText0"/>
              <w:keepLines/>
              <w:widowControl w:val="0"/>
              <w:rPr>
                <w:snapToGrid w:val="0"/>
              </w:rPr>
            </w:pPr>
          </w:p>
        </w:tc>
        <w:tc>
          <w:tcPr>
            <w:tcW w:w="907" w:type="pct"/>
            <w:shd w:val="clear" w:color="auto" w:fill="auto"/>
            <w:vAlign w:val="center"/>
          </w:tcPr>
          <w:p w:rsidR="004539C6" w:rsidRPr="008154B1" w:rsidRDefault="004539C6" w:rsidP="005A54CD">
            <w:pPr>
              <w:pStyle w:val="TableText0"/>
              <w:keepLines/>
              <w:widowControl w:val="0"/>
              <w:rPr>
                <w:snapToGrid w:val="0"/>
              </w:rPr>
            </w:pPr>
            <w:r w:rsidRPr="008154B1">
              <w:rPr>
                <w:snapToGrid w:val="0"/>
              </w:rPr>
              <w:t>PBO SC Q2W</w:t>
            </w:r>
            <w:r w:rsidRPr="008154B1">
              <w:rPr>
                <w:snapToGrid w:val="0"/>
                <w:vertAlign w:val="superscript"/>
              </w:rPr>
              <w:t>a</w:t>
            </w:r>
          </w:p>
        </w:tc>
        <w:tc>
          <w:tcPr>
            <w:tcW w:w="335" w:type="pct"/>
            <w:shd w:val="clear" w:color="auto" w:fill="auto"/>
            <w:vAlign w:val="center"/>
          </w:tcPr>
          <w:p w:rsidR="004539C6" w:rsidRPr="008154B1" w:rsidRDefault="004539C6" w:rsidP="005A54CD">
            <w:pPr>
              <w:pStyle w:val="TableText0"/>
              <w:keepLines/>
              <w:widowControl w:val="0"/>
              <w:jc w:val="center"/>
              <w:rPr>
                <w:snapToGrid w:val="0"/>
              </w:rPr>
            </w:pPr>
            <w:r w:rsidRPr="008154B1">
              <w:rPr>
                <w:snapToGrid w:val="0"/>
              </w:rPr>
              <w:t>41</w:t>
            </w:r>
          </w:p>
        </w:tc>
        <w:tc>
          <w:tcPr>
            <w:tcW w:w="487" w:type="pct"/>
            <w:vMerge/>
            <w:shd w:val="clear" w:color="auto" w:fill="auto"/>
            <w:vAlign w:val="center"/>
          </w:tcPr>
          <w:p w:rsidR="004539C6" w:rsidRPr="008154B1" w:rsidRDefault="004539C6" w:rsidP="005A54CD">
            <w:pPr>
              <w:pStyle w:val="TableText0"/>
              <w:keepLines/>
              <w:widowControl w:val="0"/>
              <w:rPr>
                <w:snapToGrid w:val="0"/>
              </w:rPr>
            </w:pPr>
          </w:p>
        </w:tc>
        <w:tc>
          <w:tcPr>
            <w:tcW w:w="393" w:type="pct"/>
            <w:vMerge/>
            <w:shd w:val="clear" w:color="auto" w:fill="auto"/>
            <w:vAlign w:val="center"/>
          </w:tcPr>
          <w:p w:rsidR="004539C6" w:rsidRPr="008154B1" w:rsidRDefault="004539C6" w:rsidP="005A54CD">
            <w:pPr>
              <w:pStyle w:val="TableText0"/>
              <w:keepLines/>
              <w:widowControl w:val="0"/>
              <w:rPr>
                <w:snapToGrid w:val="0"/>
              </w:rPr>
            </w:pPr>
          </w:p>
        </w:tc>
        <w:tc>
          <w:tcPr>
            <w:tcW w:w="786" w:type="pct"/>
            <w:vMerge/>
            <w:shd w:val="clear" w:color="auto" w:fill="auto"/>
            <w:vAlign w:val="center"/>
          </w:tcPr>
          <w:p w:rsidR="004539C6" w:rsidRPr="008154B1" w:rsidRDefault="004539C6" w:rsidP="005A54CD">
            <w:pPr>
              <w:pStyle w:val="TableText0"/>
              <w:keepLines/>
              <w:widowControl w:val="0"/>
              <w:rPr>
                <w:snapToGrid w:val="0"/>
              </w:rPr>
            </w:pPr>
          </w:p>
        </w:tc>
        <w:tc>
          <w:tcPr>
            <w:tcW w:w="1022" w:type="pct"/>
            <w:vMerge/>
            <w:shd w:val="clear" w:color="auto" w:fill="auto"/>
            <w:vAlign w:val="center"/>
          </w:tcPr>
          <w:p w:rsidR="004539C6" w:rsidRPr="008154B1" w:rsidRDefault="004539C6" w:rsidP="005A54CD">
            <w:pPr>
              <w:pStyle w:val="TableText0"/>
              <w:keepLines/>
              <w:widowControl w:val="0"/>
              <w:rPr>
                <w:snapToGrid w:val="0"/>
              </w:rPr>
            </w:pPr>
          </w:p>
        </w:tc>
        <w:tc>
          <w:tcPr>
            <w:tcW w:w="758" w:type="pct"/>
            <w:vAlign w:val="center"/>
          </w:tcPr>
          <w:p w:rsidR="004539C6" w:rsidRPr="008154B1" w:rsidRDefault="004539C6" w:rsidP="005A54CD">
            <w:pPr>
              <w:pStyle w:val="TableText0"/>
              <w:keepLines/>
              <w:widowControl w:val="0"/>
              <w:jc w:val="center"/>
              <w:rPr>
                <w:snapToGrid w:val="0"/>
              </w:rPr>
            </w:pPr>
            <w:r w:rsidRPr="008154B1">
              <w:rPr>
                <w:snapToGrid w:val="0"/>
              </w:rPr>
              <w:t>Used</w:t>
            </w:r>
          </w:p>
        </w:tc>
      </w:tr>
    </w:tbl>
    <w:p w:rsidR="004539C6" w:rsidRPr="008154B1" w:rsidRDefault="004539C6" w:rsidP="005A54CD">
      <w:pPr>
        <w:pStyle w:val="TableFigureFooter"/>
        <w:keepNext/>
        <w:keepLines/>
        <w:widowControl w:val="0"/>
      </w:pPr>
      <w:r w:rsidRPr="008154B1">
        <w:t>Source: Section 2.3-2.4, pp33-47 of the resubmission.</w:t>
      </w:r>
    </w:p>
    <w:p w:rsidR="004539C6" w:rsidRPr="008154B1" w:rsidRDefault="00B73299" w:rsidP="005A54CD">
      <w:pPr>
        <w:pStyle w:val="TableFigureFooter"/>
        <w:keepNext/>
        <w:keepLines/>
        <w:widowControl w:val="0"/>
      </w:pPr>
      <w:r w:rsidRPr="008154B1">
        <w:t>DB = double blind; HAE =</w:t>
      </w:r>
      <w:r w:rsidRPr="008154B1">
        <w:rPr>
          <w:rFonts w:ascii="Calibri" w:hAnsi="Calibri"/>
          <w:snapToGrid/>
          <w:sz w:val="24"/>
          <w:szCs w:val="24"/>
        </w:rPr>
        <w:t xml:space="preserve"> </w:t>
      </w:r>
      <w:r w:rsidRPr="008154B1">
        <w:t>hereditary angioedema; PBO = placebo; Q2W = every 2 weeks; Q4W = every 4 weeks; R = randomised; SC = subcutaneous.</w:t>
      </w:r>
      <w:r w:rsidR="004539C6" w:rsidRPr="008154B1">
        <w:t xml:space="preserve"> </w:t>
      </w:r>
    </w:p>
    <w:p w:rsidR="004539C6" w:rsidRPr="008154B1" w:rsidRDefault="004539C6" w:rsidP="005A54CD">
      <w:pPr>
        <w:pStyle w:val="TableFigureFooter"/>
        <w:keepNext/>
        <w:keepLines/>
        <w:widowControl w:val="0"/>
        <w:ind w:left="142" w:hanging="142"/>
      </w:pPr>
      <w:r w:rsidRPr="008154B1">
        <w:rPr>
          <w:vertAlign w:val="superscript"/>
        </w:rPr>
        <w:t xml:space="preserve">a </w:t>
      </w:r>
      <w:r w:rsidRPr="008154B1">
        <w:t xml:space="preserve">To maintain blinding, placebo doses were administered in between doses of lanadelumab for </w:t>
      </w:r>
      <w:r w:rsidR="00D04C77" w:rsidRPr="008154B1">
        <w:t>patients</w:t>
      </w:r>
      <w:r w:rsidRPr="008154B1">
        <w:t xml:space="preserve"> randomised to lanadelumab 150 mg or 300 mg 4 weekly. Also for each 300 mg dose of lanadelumab, each subject received a total of 2 mL divided into 2 separate 1.0 mL injections. For each 150 mg dose of lanadelumab, each subject received a 1.0 mL injection of lanadelumab and a 1.0 mL injection of placebo. For each placebo dose, each subject received a total of 2 mL, divided into 2 separate injections on placebo.</w:t>
      </w:r>
    </w:p>
    <w:p w:rsidR="004539C6" w:rsidRPr="008154B1" w:rsidRDefault="004539C6" w:rsidP="005A54CD">
      <w:pPr>
        <w:pStyle w:val="TableFigureFooter"/>
        <w:keepNext/>
        <w:keepLines/>
        <w:widowControl w:val="0"/>
        <w:ind w:left="142" w:hanging="142"/>
      </w:pPr>
      <w:r w:rsidRPr="008154B1">
        <w:rPr>
          <w:vertAlign w:val="superscript"/>
        </w:rPr>
        <w:t>b</w:t>
      </w:r>
      <w:r w:rsidRPr="008154B1">
        <w:t xml:space="preserve"> Lanadelumab 150</w:t>
      </w:r>
      <w:r w:rsidR="004975E5" w:rsidRPr="008154B1">
        <w:t> </w:t>
      </w:r>
      <w:r w:rsidRPr="008154B1">
        <w:t>mg every 4 weeks</w:t>
      </w:r>
      <w:r w:rsidR="00DA6246" w:rsidRPr="008154B1">
        <w:t xml:space="preserve"> was not a TGA registered dose</w:t>
      </w:r>
      <w:r w:rsidRPr="008154B1">
        <w:t>.</w:t>
      </w:r>
    </w:p>
    <w:p w:rsidR="00620C25" w:rsidRPr="008154B1" w:rsidRDefault="004539C6" w:rsidP="005A54CD">
      <w:pPr>
        <w:pStyle w:val="TableFigureFooter"/>
        <w:keepNext/>
        <w:keepLines/>
        <w:widowControl w:val="0"/>
        <w:ind w:left="142"/>
      </w:pPr>
      <w:r w:rsidRPr="008154B1">
        <w:t>The TGA recommended starting dose for lanadelumab is 300</w:t>
      </w:r>
      <w:r w:rsidR="004975E5" w:rsidRPr="008154B1">
        <w:t> </w:t>
      </w:r>
      <w:r w:rsidRPr="008154B1">
        <w:t>mg Q2W. In patients who are stably attack free on treatment, the dose frequency may be reduced to 300</w:t>
      </w:r>
      <w:r w:rsidR="004975E5" w:rsidRPr="008154B1">
        <w:t> </w:t>
      </w:r>
      <w:r w:rsidRPr="008154B1">
        <w:t>mg Q4W. Although both the Q2W and Q4W regimens of lanadelumab 300</w:t>
      </w:r>
      <w:r w:rsidR="004975E5" w:rsidRPr="008154B1">
        <w:t> </w:t>
      </w:r>
      <w:r w:rsidRPr="008154B1">
        <w:t>mg were assessed in HELP, the impact of reducing the dosing frequency from Q2W to Q4W was not assessed as modifications to the lanadelumab fixed dose regimes were not allowed.</w:t>
      </w:r>
    </w:p>
    <w:p w:rsidR="004C4BE9" w:rsidRPr="008154B1" w:rsidRDefault="004C4BE9" w:rsidP="005A54CD">
      <w:pPr>
        <w:pStyle w:val="TableFigureFooter"/>
        <w:keepNext/>
        <w:keepLines/>
        <w:widowControl w:val="0"/>
        <w:rPr>
          <w:szCs w:val="18"/>
        </w:rPr>
      </w:pPr>
      <w:r w:rsidRPr="008154B1">
        <w:rPr>
          <w:szCs w:val="18"/>
          <w:vertAlign w:val="superscript"/>
        </w:rPr>
        <w:t>c</w:t>
      </w:r>
      <w:r w:rsidR="005C4037" w:rsidRPr="008154B1">
        <w:rPr>
          <w:szCs w:val="18"/>
          <w:vertAlign w:val="superscript"/>
        </w:rPr>
        <w:t xml:space="preserve"> </w:t>
      </w:r>
      <w:r w:rsidRPr="008154B1">
        <w:rPr>
          <w:szCs w:val="18"/>
        </w:rPr>
        <w:t xml:space="preserve">Patients were not permitted to use routine prophylactic therapy (C1-INH, attenuated androgens, or antifibrinolytics) for HAE </w:t>
      </w:r>
    </w:p>
    <w:p w:rsidR="00B60939" w:rsidRPr="008154B1" w:rsidRDefault="00B60939" w:rsidP="00912164">
      <w:pPr>
        <w:pStyle w:val="4-SubsectionHeading"/>
      </w:pPr>
      <w:bookmarkStart w:id="13" w:name="_Toc22897641"/>
      <w:bookmarkStart w:id="14" w:name="_Toc40185429"/>
      <w:r w:rsidRPr="008154B1">
        <w:t>Comparative effectiveness</w:t>
      </w:r>
      <w:bookmarkEnd w:id="13"/>
      <w:bookmarkEnd w:id="14"/>
    </w:p>
    <w:p w:rsidR="00D0096A" w:rsidRPr="008154B1" w:rsidRDefault="00D0096A" w:rsidP="00912164">
      <w:pPr>
        <w:pStyle w:val="3-BodyText"/>
      </w:pPr>
      <w:r w:rsidRPr="008154B1">
        <w:rPr>
          <w:snapToGrid/>
        </w:rPr>
        <w:t xml:space="preserve">The results of the primary outcome and key secondary outcomes are summarised below. </w:t>
      </w:r>
    </w:p>
    <w:p w:rsidR="00D0096A" w:rsidRPr="008154B1" w:rsidRDefault="00D0096A" w:rsidP="00912164">
      <w:pPr>
        <w:pStyle w:val="TableFigureHeading"/>
      </w:pPr>
      <w:r w:rsidRPr="008154B1">
        <w:lastRenderedPageBreak/>
        <w:t xml:space="preserve">Table </w:t>
      </w:r>
      <w:r w:rsidR="00EA3C26" w:rsidRPr="008154B1">
        <w:t>5</w:t>
      </w:r>
      <w:r w:rsidRPr="008154B1">
        <w:t>: HELP trial: Primary and key secondary outcomes among patients with hereditary angioedema attacks</w:t>
      </w:r>
      <w:r w:rsidRPr="008154B1">
        <w:rPr>
          <w:vertAlign w:val="superscript"/>
        </w:rPr>
        <w:t>a</w:t>
      </w:r>
    </w:p>
    <w:tbl>
      <w:tblPr>
        <w:tblStyle w:val="TableGrid"/>
        <w:tblW w:w="5000" w:type="pct"/>
        <w:tblLook w:val="04A0" w:firstRow="1" w:lastRow="0" w:firstColumn="1" w:lastColumn="0" w:noHBand="0" w:noVBand="1"/>
      </w:tblPr>
      <w:tblGrid>
        <w:gridCol w:w="2547"/>
        <w:gridCol w:w="1818"/>
        <w:gridCol w:w="1675"/>
        <w:gridCol w:w="1751"/>
        <w:gridCol w:w="1226"/>
      </w:tblGrid>
      <w:tr w:rsidR="00CE3DE2" w:rsidRPr="008154B1" w:rsidTr="005A54CD">
        <w:trPr>
          <w:trHeight w:val="498"/>
        </w:trPr>
        <w:tc>
          <w:tcPr>
            <w:tcW w:w="1412" w:type="pct"/>
            <w:vMerge w:val="restart"/>
            <w:tcBorders>
              <w:bottom w:val="single" w:sz="4" w:space="0" w:color="auto"/>
              <w:right w:val="single" w:sz="4" w:space="0" w:color="auto"/>
            </w:tcBorders>
            <w:shd w:val="clear" w:color="auto" w:fill="auto"/>
            <w:vAlign w:val="center"/>
          </w:tcPr>
          <w:p w:rsidR="00CE3DE2" w:rsidRPr="005A54CD" w:rsidRDefault="00CE3DE2" w:rsidP="00912164">
            <w:pPr>
              <w:pStyle w:val="In-tableHeading"/>
              <w:jc w:val="center"/>
              <w:rPr>
                <w:szCs w:val="20"/>
                <w:lang w:val="en-AU"/>
              </w:rPr>
            </w:pPr>
            <w:r w:rsidRPr="005A54CD">
              <w:rPr>
                <w:szCs w:val="20"/>
                <w:lang w:val="en-AU"/>
              </w:rPr>
              <w:t>Treatment measure</w:t>
            </w:r>
          </w:p>
        </w:tc>
        <w:tc>
          <w:tcPr>
            <w:tcW w:w="2908" w:type="pct"/>
            <w:gridSpan w:val="3"/>
            <w:tcBorders>
              <w:bottom w:val="single" w:sz="4" w:space="0" w:color="auto"/>
              <w:right w:val="single" w:sz="4" w:space="0" w:color="auto"/>
            </w:tcBorders>
          </w:tcPr>
          <w:p w:rsidR="00CE3DE2" w:rsidRPr="005A54CD" w:rsidRDefault="00CE3DE2" w:rsidP="00912164">
            <w:pPr>
              <w:pStyle w:val="In-tableHeading"/>
              <w:jc w:val="center"/>
              <w:rPr>
                <w:szCs w:val="20"/>
                <w:lang w:val="en-AU"/>
              </w:rPr>
            </w:pPr>
            <w:r w:rsidRPr="005A54CD">
              <w:rPr>
                <w:color w:val="000000"/>
                <w:szCs w:val="20"/>
                <w:lang w:val="en-AU"/>
              </w:rPr>
              <w:t>Lanadelumab SC</w:t>
            </w:r>
          </w:p>
        </w:tc>
        <w:tc>
          <w:tcPr>
            <w:tcW w:w="6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E2" w:rsidRPr="005A54CD" w:rsidRDefault="00CE3DE2" w:rsidP="00912164">
            <w:pPr>
              <w:pStyle w:val="In-tableHeading"/>
              <w:jc w:val="center"/>
              <w:rPr>
                <w:szCs w:val="20"/>
                <w:lang w:val="en-AU"/>
              </w:rPr>
            </w:pPr>
            <w:r w:rsidRPr="005A54CD">
              <w:rPr>
                <w:szCs w:val="20"/>
                <w:lang w:val="en-AU"/>
              </w:rPr>
              <w:t>PBO SC</w:t>
            </w:r>
          </w:p>
        </w:tc>
      </w:tr>
      <w:tr w:rsidR="00CE3DE2" w:rsidRPr="008154B1" w:rsidTr="005A54CD">
        <w:trPr>
          <w:trHeight w:val="20"/>
        </w:trPr>
        <w:tc>
          <w:tcPr>
            <w:tcW w:w="1412" w:type="pct"/>
            <w:vMerge/>
            <w:tcBorders>
              <w:right w:val="single" w:sz="4" w:space="0" w:color="auto"/>
            </w:tcBorders>
            <w:shd w:val="clear" w:color="auto" w:fill="auto"/>
            <w:vAlign w:val="center"/>
          </w:tcPr>
          <w:p w:rsidR="00CE3DE2" w:rsidRPr="005A54CD" w:rsidRDefault="00CE3DE2" w:rsidP="00912164">
            <w:pPr>
              <w:pStyle w:val="In-tableHeading"/>
              <w:jc w:val="center"/>
              <w:rPr>
                <w:szCs w:val="20"/>
                <w:lang w:val="en-AU"/>
              </w:rPr>
            </w:pPr>
          </w:p>
        </w:tc>
        <w:tc>
          <w:tcPr>
            <w:tcW w:w="1008" w:type="pct"/>
            <w:tcBorders>
              <w:right w:val="single" w:sz="4" w:space="0" w:color="auto"/>
            </w:tcBorders>
          </w:tcPr>
          <w:p w:rsidR="00CE3DE2" w:rsidRPr="005A54CD" w:rsidRDefault="00CE3DE2" w:rsidP="00912164">
            <w:pPr>
              <w:pStyle w:val="In-tableHeading"/>
              <w:jc w:val="center"/>
              <w:rPr>
                <w:color w:val="000000"/>
                <w:szCs w:val="20"/>
                <w:lang w:val="en-AU"/>
              </w:rPr>
            </w:pPr>
            <w:r w:rsidRPr="005A54CD">
              <w:rPr>
                <w:color w:val="000000"/>
                <w:szCs w:val="20"/>
                <w:lang w:val="en-AU"/>
              </w:rPr>
              <w:t>150 mg Q4W</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CE3DE2" w:rsidRPr="005A54CD" w:rsidRDefault="00CE3DE2" w:rsidP="00912164">
            <w:pPr>
              <w:pStyle w:val="In-tableHeading"/>
              <w:jc w:val="center"/>
              <w:rPr>
                <w:szCs w:val="20"/>
                <w:lang w:val="en-AU"/>
              </w:rPr>
            </w:pPr>
            <w:r w:rsidRPr="005A54CD">
              <w:rPr>
                <w:color w:val="000000"/>
                <w:szCs w:val="20"/>
                <w:lang w:val="en-AU"/>
              </w:rPr>
              <w:t>300 mg Q4W</w:t>
            </w:r>
          </w:p>
        </w:tc>
        <w:tc>
          <w:tcPr>
            <w:tcW w:w="971" w:type="pct"/>
            <w:tcBorders>
              <w:top w:val="single" w:sz="4" w:space="0" w:color="auto"/>
              <w:left w:val="nil"/>
              <w:bottom w:val="single" w:sz="4" w:space="0" w:color="auto"/>
              <w:right w:val="single" w:sz="4" w:space="0" w:color="auto"/>
            </w:tcBorders>
            <w:shd w:val="clear" w:color="auto" w:fill="auto"/>
            <w:vAlign w:val="center"/>
          </w:tcPr>
          <w:p w:rsidR="00CE3DE2" w:rsidRPr="005A54CD" w:rsidRDefault="00CE3DE2" w:rsidP="00912164">
            <w:pPr>
              <w:pStyle w:val="In-tableHeading"/>
              <w:jc w:val="center"/>
              <w:rPr>
                <w:szCs w:val="20"/>
                <w:lang w:val="en-AU"/>
              </w:rPr>
            </w:pPr>
            <w:r w:rsidRPr="005A54CD">
              <w:rPr>
                <w:color w:val="000000"/>
                <w:szCs w:val="20"/>
                <w:lang w:val="en-AU"/>
              </w:rPr>
              <w:t>300 mg Q2W</w:t>
            </w:r>
          </w:p>
        </w:tc>
        <w:tc>
          <w:tcPr>
            <w:tcW w:w="680" w:type="pct"/>
            <w:vMerge/>
            <w:tcBorders>
              <w:left w:val="single" w:sz="4" w:space="0" w:color="auto"/>
              <w:bottom w:val="single" w:sz="4" w:space="0" w:color="auto"/>
              <w:right w:val="single" w:sz="4" w:space="0" w:color="auto"/>
            </w:tcBorders>
            <w:shd w:val="clear" w:color="auto" w:fill="auto"/>
            <w:vAlign w:val="center"/>
          </w:tcPr>
          <w:p w:rsidR="00CE3DE2" w:rsidRPr="005A54CD" w:rsidRDefault="00CE3DE2" w:rsidP="00912164">
            <w:pPr>
              <w:pStyle w:val="In-tableHeading"/>
              <w:jc w:val="center"/>
              <w:rPr>
                <w:szCs w:val="20"/>
                <w:lang w:val="en-AU"/>
              </w:rPr>
            </w:pPr>
          </w:p>
        </w:tc>
      </w:tr>
      <w:tr w:rsidR="00CE3DE2" w:rsidRPr="008154B1" w:rsidTr="005A54CD">
        <w:tc>
          <w:tcPr>
            <w:tcW w:w="1412" w:type="pct"/>
            <w:tcBorders>
              <w:bottom w:val="single" w:sz="4" w:space="0" w:color="auto"/>
              <w:right w:val="single" w:sz="4" w:space="0" w:color="auto"/>
            </w:tcBorders>
            <w:shd w:val="clear" w:color="auto" w:fill="auto"/>
            <w:vAlign w:val="center"/>
          </w:tcPr>
          <w:p w:rsidR="00CE3DE2" w:rsidRPr="005A54CD" w:rsidRDefault="00CE3DE2" w:rsidP="00912164">
            <w:pPr>
              <w:pStyle w:val="TableText0"/>
              <w:rPr>
                <w:szCs w:val="20"/>
              </w:rPr>
            </w:pPr>
            <w:r w:rsidRPr="005A54CD">
              <w:rPr>
                <w:szCs w:val="20"/>
              </w:rPr>
              <w:t>N</w:t>
            </w:r>
          </w:p>
        </w:tc>
        <w:tc>
          <w:tcPr>
            <w:tcW w:w="1008" w:type="pct"/>
            <w:tcBorders>
              <w:bottom w:val="single" w:sz="4" w:space="0" w:color="auto"/>
              <w:right w:val="single" w:sz="4" w:space="0" w:color="auto"/>
            </w:tcBorders>
          </w:tcPr>
          <w:p w:rsidR="00CE3DE2" w:rsidRPr="005A54CD" w:rsidRDefault="00CE3DE2" w:rsidP="00912164">
            <w:pPr>
              <w:pStyle w:val="TableText0"/>
              <w:jc w:val="center"/>
              <w:rPr>
                <w:szCs w:val="20"/>
              </w:rPr>
            </w:pPr>
            <w:r w:rsidRPr="005A54CD">
              <w:rPr>
                <w:szCs w:val="20"/>
              </w:rPr>
              <w:t>28</w:t>
            </w:r>
          </w:p>
        </w:tc>
        <w:tc>
          <w:tcPr>
            <w:tcW w:w="929" w:type="pct"/>
            <w:tcBorders>
              <w:left w:val="single" w:sz="4" w:space="0" w:color="auto"/>
              <w:bottom w:val="single" w:sz="4" w:space="0" w:color="auto"/>
            </w:tcBorders>
            <w:shd w:val="clear" w:color="auto" w:fill="auto"/>
          </w:tcPr>
          <w:p w:rsidR="00CE3DE2" w:rsidRPr="005A54CD" w:rsidRDefault="00CE3DE2" w:rsidP="00912164">
            <w:pPr>
              <w:pStyle w:val="TableText0"/>
              <w:jc w:val="center"/>
              <w:rPr>
                <w:szCs w:val="20"/>
              </w:rPr>
            </w:pPr>
            <w:r w:rsidRPr="005A54CD">
              <w:rPr>
                <w:szCs w:val="20"/>
              </w:rPr>
              <w:t>29</w:t>
            </w:r>
          </w:p>
        </w:tc>
        <w:tc>
          <w:tcPr>
            <w:tcW w:w="971" w:type="pct"/>
            <w:tcBorders>
              <w:bottom w:val="single" w:sz="4" w:space="0" w:color="auto"/>
            </w:tcBorders>
            <w:shd w:val="clear" w:color="auto" w:fill="auto"/>
          </w:tcPr>
          <w:p w:rsidR="00CE3DE2" w:rsidRPr="005A54CD" w:rsidRDefault="00CE3DE2" w:rsidP="00912164">
            <w:pPr>
              <w:pStyle w:val="TableText0"/>
              <w:jc w:val="center"/>
              <w:rPr>
                <w:szCs w:val="20"/>
              </w:rPr>
            </w:pPr>
            <w:r w:rsidRPr="005A54CD">
              <w:rPr>
                <w:szCs w:val="20"/>
              </w:rPr>
              <w:t>27</w:t>
            </w:r>
          </w:p>
        </w:tc>
        <w:tc>
          <w:tcPr>
            <w:tcW w:w="680" w:type="pct"/>
            <w:tcBorders>
              <w:top w:val="single" w:sz="4" w:space="0" w:color="auto"/>
              <w:bottom w:val="single" w:sz="4" w:space="0" w:color="auto"/>
              <w:right w:val="single" w:sz="4" w:space="0" w:color="auto"/>
            </w:tcBorders>
            <w:shd w:val="clear" w:color="auto" w:fill="auto"/>
          </w:tcPr>
          <w:p w:rsidR="00CE3DE2" w:rsidRPr="005A54CD" w:rsidRDefault="00CE3DE2" w:rsidP="00912164">
            <w:pPr>
              <w:pStyle w:val="TableText0"/>
              <w:jc w:val="center"/>
              <w:rPr>
                <w:szCs w:val="20"/>
              </w:rPr>
            </w:pPr>
            <w:r w:rsidRPr="005A54CD">
              <w:rPr>
                <w:szCs w:val="20"/>
              </w:rPr>
              <w:t>41</w:t>
            </w:r>
          </w:p>
        </w:tc>
      </w:tr>
      <w:tr w:rsidR="00CE3DE2" w:rsidRPr="008154B1" w:rsidTr="005A54CD">
        <w:tc>
          <w:tcPr>
            <w:tcW w:w="5000" w:type="pct"/>
            <w:gridSpan w:val="5"/>
            <w:tcBorders>
              <w:bottom w:val="single" w:sz="4" w:space="0" w:color="auto"/>
            </w:tcBorders>
            <w:shd w:val="clear" w:color="auto" w:fill="DAEEF3" w:themeFill="accent5" w:themeFillTint="33"/>
          </w:tcPr>
          <w:p w:rsidR="00CE3DE2" w:rsidRPr="005A54CD" w:rsidRDefault="00CE3DE2" w:rsidP="00912164">
            <w:pPr>
              <w:pStyle w:val="TableText0"/>
              <w:rPr>
                <w:szCs w:val="20"/>
              </w:rPr>
            </w:pPr>
            <w:r w:rsidRPr="005A54CD">
              <w:rPr>
                <w:color w:val="000000"/>
                <w:szCs w:val="20"/>
              </w:rPr>
              <w:t xml:space="preserve">Attack rate during </w:t>
            </w:r>
            <w:r w:rsidRPr="005A54CD">
              <w:rPr>
                <w:szCs w:val="20"/>
              </w:rPr>
              <w:t xml:space="preserve">run-in period–Attacks per month </w:t>
            </w:r>
          </w:p>
        </w:tc>
      </w:tr>
      <w:tr w:rsidR="00CE3DE2" w:rsidRPr="008154B1" w:rsidTr="005A54CD">
        <w:tc>
          <w:tcPr>
            <w:tcW w:w="1412" w:type="pct"/>
            <w:tcBorders>
              <w:top w:val="nil"/>
              <w:left w:val="single" w:sz="4" w:space="0" w:color="auto"/>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rPr>
                <w:szCs w:val="20"/>
              </w:rPr>
            </w:pPr>
            <w:r w:rsidRPr="005A54CD">
              <w:rPr>
                <w:szCs w:val="20"/>
              </w:rPr>
              <w:t>Mean (SD)</w:t>
            </w:r>
          </w:p>
          <w:p w:rsidR="00CE3DE2" w:rsidRPr="005A54CD" w:rsidRDefault="00CE3DE2" w:rsidP="00912164">
            <w:pPr>
              <w:pStyle w:val="TableText0"/>
              <w:rPr>
                <w:szCs w:val="20"/>
                <w:vertAlign w:val="superscript"/>
              </w:rPr>
            </w:pPr>
            <w:r w:rsidRPr="005A54CD">
              <w:rPr>
                <w:szCs w:val="20"/>
              </w:rPr>
              <w:t>Median (Min, Max)</w:t>
            </w:r>
          </w:p>
        </w:tc>
        <w:tc>
          <w:tcPr>
            <w:tcW w:w="1008" w:type="pct"/>
            <w:tcBorders>
              <w:top w:val="nil"/>
              <w:left w:val="single" w:sz="4" w:space="0" w:color="auto"/>
              <w:bottom w:val="single" w:sz="4" w:space="0" w:color="auto"/>
              <w:right w:val="single" w:sz="4" w:space="0" w:color="auto"/>
            </w:tcBorders>
            <w:shd w:val="clear" w:color="auto" w:fill="DAEEF3" w:themeFill="accent5" w:themeFillTint="33"/>
            <w:vAlign w:val="center"/>
          </w:tcPr>
          <w:p w:rsidR="00CE3DE2" w:rsidRPr="005A54CD" w:rsidRDefault="00CE3DE2" w:rsidP="000973F5">
            <w:pPr>
              <w:pStyle w:val="TableText0"/>
              <w:jc w:val="center"/>
              <w:rPr>
                <w:color w:val="000000"/>
                <w:szCs w:val="20"/>
              </w:rPr>
            </w:pPr>
            <w:r w:rsidRPr="005A54CD">
              <w:rPr>
                <w:color w:val="000000"/>
                <w:szCs w:val="20"/>
              </w:rPr>
              <w:t>3.22 (1.83)</w:t>
            </w:r>
          </w:p>
          <w:p w:rsidR="00CE3DE2" w:rsidRPr="005A54CD" w:rsidRDefault="000973F5" w:rsidP="000973F5">
            <w:pPr>
              <w:pStyle w:val="TableText0"/>
              <w:jc w:val="center"/>
              <w:rPr>
                <w:color w:val="000000"/>
                <w:szCs w:val="20"/>
              </w:rPr>
            </w:pPr>
            <w:r w:rsidRPr="005A54CD">
              <w:rPr>
                <w:color w:val="000000"/>
                <w:szCs w:val="20"/>
              </w:rPr>
              <w:t>3.2 (1.0, 6.7)</w:t>
            </w:r>
          </w:p>
        </w:tc>
        <w:tc>
          <w:tcPr>
            <w:tcW w:w="929" w:type="pct"/>
            <w:tcBorders>
              <w:top w:val="nil"/>
              <w:left w:val="single" w:sz="4" w:space="0" w:color="auto"/>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jc w:val="center"/>
              <w:rPr>
                <w:color w:val="000000"/>
                <w:szCs w:val="20"/>
              </w:rPr>
            </w:pPr>
            <w:r w:rsidRPr="005A54CD">
              <w:rPr>
                <w:color w:val="000000"/>
                <w:szCs w:val="20"/>
              </w:rPr>
              <w:t>3.71 (2.51)</w:t>
            </w:r>
          </w:p>
          <w:p w:rsidR="00CE3DE2" w:rsidRPr="005A54CD" w:rsidRDefault="00CE3DE2" w:rsidP="00912164">
            <w:pPr>
              <w:pStyle w:val="TableText0"/>
              <w:jc w:val="center"/>
              <w:rPr>
                <w:szCs w:val="20"/>
              </w:rPr>
            </w:pPr>
            <w:r w:rsidRPr="005A54CD">
              <w:rPr>
                <w:color w:val="000000"/>
                <w:szCs w:val="20"/>
              </w:rPr>
              <w:t>3.00 (1.00, 10.50)</w:t>
            </w:r>
          </w:p>
        </w:tc>
        <w:tc>
          <w:tcPr>
            <w:tcW w:w="971" w:type="pct"/>
            <w:tcBorders>
              <w:top w:val="nil"/>
              <w:left w:val="nil"/>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jc w:val="center"/>
              <w:rPr>
                <w:color w:val="000000"/>
                <w:szCs w:val="20"/>
              </w:rPr>
            </w:pPr>
            <w:r w:rsidRPr="005A54CD">
              <w:rPr>
                <w:color w:val="000000"/>
                <w:szCs w:val="20"/>
              </w:rPr>
              <w:t>3.52 (2.33)</w:t>
            </w:r>
          </w:p>
          <w:p w:rsidR="00CE3DE2" w:rsidRPr="005A54CD" w:rsidRDefault="00CE3DE2" w:rsidP="00912164">
            <w:pPr>
              <w:pStyle w:val="TableText0"/>
              <w:jc w:val="center"/>
              <w:rPr>
                <w:szCs w:val="20"/>
              </w:rPr>
            </w:pPr>
            <w:r w:rsidRPr="005A54CD">
              <w:rPr>
                <w:color w:val="000000"/>
                <w:szCs w:val="20"/>
              </w:rPr>
              <w:t>3.11 (1.00, 9.00)</w:t>
            </w:r>
          </w:p>
        </w:tc>
        <w:tc>
          <w:tcPr>
            <w:tcW w:w="680" w:type="pct"/>
            <w:tcBorders>
              <w:top w:val="nil"/>
              <w:left w:val="nil"/>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jc w:val="center"/>
              <w:rPr>
                <w:color w:val="000000"/>
                <w:szCs w:val="20"/>
              </w:rPr>
            </w:pPr>
            <w:r w:rsidRPr="005A54CD">
              <w:rPr>
                <w:color w:val="000000"/>
                <w:szCs w:val="20"/>
              </w:rPr>
              <w:t>4.02 (3.27)</w:t>
            </w:r>
          </w:p>
          <w:p w:rsidR="00CE3DE2" w:rsidRPr="005A54CD" w:rsidRDefault="00CE3DE2" w:rsidP="00912164">
            <w:pPr>
              <w:pStyle w:val="TableText0"/>
              <w:jc w:val="center"/>
              <w:rPr>
                <w:szCs w:val="20"/>
              </w:rPr>
            </w:pPr>
            <w:r w:rsidRPr="005A54CD">
              <w:rPr>
                <w:color w:val="000000"/>
                <w:szCs w:val="20"/>
              </w:rPr>
              <w:t>3.00 (1.00, 14.70)</w:t>
            </w:r>
          </w:p>
        </w:tc>
      </w:tr>
      <w:tr w:rsidR="00CE3DE2" w:rsidRPr="008154B1" w:rsidTr="005A54CD">
        <w:tc>
          <w:tcPr>
            <w:tcW w:w="5000" w:type="pct"/>
            <w:gridSpan w:val="5"/>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E3DE2" w:rsidRPr="005A54CD" w:rsidRDefault="00CE3DE2" w:rsidP="00912164">
            <w:pPr>
              <w:pStyle w:val="TableText0"/>
              <w:rPr>
                <w:szCs w:val="20"/>
              </w:rPr>
            </w:pPr>
            <w:r w:rsidRPr="005A54CD">
              <w:rPr>
                <w:b/>
                <w:color w:val="000000"/>
                <w:szCs w:val="20"/>
              </w:rPr>
              <w:t>Primary outcome primary analysis</w:t>
            </w:r>
          </w:p>
        </w:tc>
      </w:tr>
      <w:tr w:rsidR="00CE3DE2" w:rsidRPr="008154B1" w:rsidTr="005A54CD">
        <w:tc>
          <w:tcPr>
            <w:tcW w:w="5000" w:type="pct"/>
            <w:gridSpan w:val="5"/>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E3DE2" w:rsidRPr="005A54CD" w:rsidRDefault="00CE3DE2" w:rsidP="00912164">
            <w:pPr>
              <w:pStyle w:val="TableText0"/>
              <w:rPr>
                <w:color w:val="000000"/>
                <w:szCs w:val="20"/>
              </w:rPr>
            </w:pPr>
            <w:r w:rsidRPr="005A54CD">
              <w:rPr>
                <w:color w:val="000000"/>
                <w:szCs w:val="20"/>
              </w:rPr>
              <w:t xml:space="preserve">Attack rate during treatment period (Day 0 to endpoint Day 182 (or 26 weeks follow up endpoint) </w:t>
            </w:r>
            <w:r w:rsidRPr="005A54CD">
              <w:rPr>
                <w:szCs w:val="20"/>
              </w:rPr>
              <w:t>Attacks per month</w:t>
            </w:r>
          </w:p>
        </w:tc>
      </w:tr>
      <w:tr w:rsidR="00CE3DE2" w:rsidRPr="008154B1" w:rsidTr="005A54CD">
        <w:tc>
          <w:tcPr>
            <w:tcW w:w="141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rPr>
                <w:color w:val="000000"/>
                <w:szCs w:val="20"/>
              </w:rPr>
            </w:pPr>
            <w:r w:rsidRPr="005A54CD">
              <w:rPr>
                <w:color w:val="000000"/>
                <w:szCs w:val="20"/>
              </w:rPr>
              <w:t>Mean (95% CI)</w:t>
            </w:r>
            <w:r w:rsidRPr="005A54CD">
              <w:rPr>
                <w:color w:val="000000"/>
                <w:szCs w:val="20"/>
                <w:vertAlign w:val="superscript"/>
              </w:rPr>
              <w:t xml:space="preserve"> b,c</w:t>
            </w:r>
          </w:p>
        </w:tc>
        <w:tc>
          <w:tcPr>
            <w:tcW w:w="100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E3DE2" w:rsidRPr="005A54CD" w:rsidRDefault="00E14DA0" w:rsidP="000973F5">
            <w:pPr>
              <w:pStyle w:val="TableText0"/>
              <w:jc w:val="center"/>
              <w:rPr>
                <w:color w:val="000000"/>
                <w:szCs w:val="20"/>
              </w:rPr>
            </w:pPr>
            <w:r w:rsidRPr="005A54CD">
              <w:rPr>
                <w:color w:val="000000"/>
                <w:szCs w:val="20"/>
              </w:rPr>
              <w:t>0.48 (0.31, 0.73)</w:t>
            </w:r>
          </w:p>
        </w:tc>
        <w:tc>
          <w:tcPr>
            <w:tcW w:w="92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jc w:val="center"/>
              <w:rPr>
                <w:color w:val="000000"/>
                <w:szCs w:val="20"/>
              </w:rPr>
            </w:pPr>
            <w:r w:rsidRPr="005A54CD">
              <w:rPr>
                <w:color w:val="000000"/>
                <w:szCs w:val="20"/>
              </w:rPr>
              <w:t>0.53 (0.36, 0.77)</w:t>
            </w:r>
          </w:p>
        </w:tc>
        <w:tc>
          <w:tcPr>
            <w:tcW w:w="971" w:type="pct"/>
            <w:tcBorders>
              <w:top w:val="single" w:sz="4" w:space="0" w:color="auto"/>
              <w:left w:val="nil"/>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jc w:val="center"/>
              <w:rPr>
                <w:color w:val="000000"/>
                <w:szCs w:val="20"/>
              </w:rPr>
            </w:pPr>
            <w:r w:rsidRPr="005A54CD">
              <w:rPr>
                <w:color w:val="000000"/>
                <w:szCs w:val="20"/>
              </w:rPr>
              <w:t>0.26</w:t>
            </w:r>
            <w:r w:rsidRPr="005A54CD">
              <w:rPr>
                <w:color w:val="000000"/>
                <w:szCs w:val="20"/>
                <w:vertAlign w:val="superscript"/>
              </w:rPr>
              <w:t xml:space="preserve"> </w:t>
            </w:r>
            <w:r w:rsidRPr="005A54CD">
              <w:rPr>
                <w:color w:val="000000"/>
                <w:szCs w:val="20"/>
              </w:rPr>
              <w:t>(0.15, 0.46)</w:t>
            </w:r>
          </w:p>
        </w:tc>
        <w:tc>
          <w:tcPr>
            <w:tcW w:w="680" w:type="pct"/>
            <w:tcBorders>
              <w:top w:val="single" w:sz="4" w:space="0" w:color="auto"/>
              <w:left w:val="nil"/>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jc w:val="center"/>
              <w:rPr>
                <w:color w:val="000000"/>
                <w:szCs w:val="20"/>
              </w:rPr>
            </w:pPr>
            <w:r w:rsidRPr="005A54CD">
              <w:rPr>
                <w:color w:val="000000"/>
                <w:szCs w:val="20"/>
              </w:rPr>
              <w:t>1.97</w:t>
            </w:r>
            <w:r w:rsidRPr="005A54CD">
              <w:rPr>
                <w:color w:val="000000"/>
                <w:szCs w:val="20"/>
                <w:vertAlign w:val="superscript"/>
              </w:rPr>
              <w:t xml:space="preserve"> </w:t>
            </w:r>
            <w:r w:rsidRPr="005A54CD">
              <w:rPr>
                <w:color w:val="000000"/>
                <w:szCs w:val="20"/>
              </w:rPr>
              <w:t>(1.64, 2.36)</w:t>
            </w:r>
          </w:p>
        </w:tc>
      </w:tr>
      <w:tr w:rsidR="00CE3DE2" w:rsidRPr="008154B1" w:rsidTr="005A54CD">
        <w:tc>
          <w:tcPr>
            <w:tcW w:w="141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rPr>
                <w:color w:val="000000"/>
                <w:szCs w:val="20"/>
                <w:vertAlign w:val="superscript"/>
              </w:rPr>
            </w:pPr>
            <w:r w:rsidRPr="005A54CD">
              <w:rPr>
                <w:color w:val="000000"/>
                <w:szCs w:val="20"/>
              </w:rPr>
              <w:t>Difference vs. PBO, (95% CI)</w:t>
            </w:r>
            <w:r w:rsidRPr="005A54CD">
              <w:rPr>
                <w:color w:val="000000"/>
                <w:szCs w:val="20"/>
                <w:vertAlign w:val="superscript"/>
              </w:rPr>
              <w:t>d</w:t>
            </w:r>
          </w:p>
          <w:p w:rsidR="00CE3DE2" w:rsidRPr="005A54CD" w:rsidRDefault="00CE3DE2" w:rsidP="00912164">
            <w:pPr>
              <w:pStyle w:val="TableText0"/>
              <w:rPr>
                <w:color w:val="000000"/>
                <w:szCs w:val="20"/>
              </w:rPr>
            </w:pPr>
            <w:r w:rsidRPr="005A54CD">
              <w:rPr>
                <w:color w:val="000000"/>
                <w:szCs w:val="20"/>
              </w:rPr>
              <w:t>p-value</w:t>
            </w:r>
          </w:p>
        </w:tc>
        <w:tc>
          <w:tcPr>
            <w:tcW w:w="1008"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E3DE2" w:rsidRPr="005A54CD" w:rsidRDefault="00E14DA0" w:rsidP="00E14DA0">
            <w:pPr>
              <w:pStyle w:val="TableText0"/>
              <w:jc w:val="center"/>
              <w:rPr>
                <w:b/>
                <w:szCs w:val="20"/>
              </w:rPr>
            </w:pPr>
            <w:r w:rsidRPr="005A54CD">
              <w:rPr>
                <w:b/>
                <w:szCs w:val="20"/>
              </w:rPr>
              <w:t>−1.49 (−1.90, −1.08)</w:t>
            </w:r>
          </w:p>
          <w:p w:rsidR="00E14DA0" w:rsidRPr="005A54CD" w:rsidRDefault="00E14DA0" w:rsidP="00E14DA0">
            <w:pPr>
              <w:pStyle w:val="TableText0"/>
              <w:jc w:val="center"/>
              <w:rPr>
                <w:b/>
                <w:szCs w:val="20"/>
              </w:rPr>
            </w:pPr>
            <w:r w:rsidRPr="005A54CD">
              <w:rPr>
                <w:b/>
                <w:szCs w:val="20"/>
              </w:rPr>
              <w:t>&lt;0.001</w:t>
            </w:r>
          </w:p>
        </w:tc>
        <w:tc>
          <w:tcPr>
            <w:tcW w:w="92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jc w:val="center"/>
              <w:rPr>
                <w:b/>
                <w:szCs w:val="20"/>
              </w:rPr>
            </w:pPr>
            <w:r w:rsidRPr="005A54CD">
              <w:rPr>
                <w:b/>
                <w:szCs w:val="20"/>
              </w:rPr>
              <w:t>-1.44</w:t>
            </w:r>
            <w:r w:rsidRPr="005A54CD">
              <w:rPr>
                <w:b/>
                <w:szCs w:val="20"/>
                <w:vertAlign w:val="superscript"/>
              </w:rPr>
              <w:t xml:space="preserve"> </w:t>
            </w:r>
            <w:r w:rsidRPr="005A54CD">
              <w:rPr>
                <w:b/>
                <w:szCs w:val="20"/>
              </w:rPr>
              <w:t>(-1.84, -1.04)</w:t>
            </w:r>
          </w:p>
          <w:p w:rsidR="00CE3DE2" w:rsidRPr="005A54CD" w:rsidRDefault="00CE3DE2" w:rsidP="00912164">
            <w:pPr>
              <w:pStyle w:val="TableText0"/>
              <w:jc w:val="center"/>
              <w:rPr>
                <w:b/>
                <w:szCs w:val="20"/>
              </w:rPr>
            </w:pPr>
            <w:r w:rsidRPr="005A54CD">
              <w:rPr>
                <w:b/>
                <w:szCs w:val="20"/>
              </w:rPr>
              <w:t>&lt;0.001</w:t>
            </w:r>
          </w:p>
        </w:tc>
        <w:tc>
          <w:tcPr>
            <w:tcW w:w="971" w:type="pct"/>
            <w:tcBorders>
              <w:top w:val="single" w:sz="4" w:space="0" w:color="auto"/>
              <w:left w:val="nil"/>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jc w:val="center"/>
              <w:rPr>
                <w:b/>
                <w:szCs w:val="20"/>
              </w:rPr>
            </w:pPr>
            <w:r w:rsidRPr="005A54CD">
              <w:rPr>
                <w:b/>
                <w:szCs w:val="20"/>
              </w:rPr>
              <w:t>-1.71</w:t>
            </w:r>
            <w:r w:rsidRPr="005A54CD">
              <w:rPr>
                <w:b/>
                <w:szCs w:val="20"/>
                <w:vertAlign w:val="superscript"/>
              </w:rPr>
              <w:t xml:space="preserve"> </w:t>
            </w:r>
            <w:r w:rsidRPr="005A54CD">
              <w:rPr>
                <w:b/>
                <w:szCs w:val="20"/>
              </w:rPr>
              <w:t>(-2.09, -1.33)</w:t>
            </w:r>
          </w:p>
          <w:p w:rsidR="00CE3DE2" w:rsidRPr="005A54CD" w:rsidRDefault="00CE3DE2" w:rsidP="00912164">
            <w:pPr>
              <w:pStyle w:val="TableText0"/>
              <w:jc w:val="center"/>
              <w:rPr>
                <w:b/>
                <w:szCs w:val="20"/>
              </w:rPr>
            </w:pPr>
            <w:r w:rsidRPr="005A54CD">
              <w:rPr>
                <w:b/>
                <w:szCs w:val="20"/>
              </w:rPr>
              <w:t>&lt;0.001</w:t>
            </w:r>
          </w:p>
        </w:tc>
        <w:tc>
          <w:tcPr>
            <w:tcW w:w="680" w:type="pct"/>
            <w:tcBorders>
              <w:top w:val="single" w:sz="4" w:space="0" w:color="auto"/>
              <w:left w:val="nil"/>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jc w:val="center"/>
              <w:rPr>
                <w:color w:val="000000"/>
                <w:szCs w:val="20"/>
              </w:rPr>
            </w:pPr>
            <w:r w:rsidRPr="005A54CD">
              <w:rPr>
                <w:color w:val="000000"/>
                <w:szCs w:val="20"/>
              </w:rPr>
              <w:t>-</w:t>
            </w:r>
          </w:p>
        </w:tc>
      </w:tr>
      <w:tr w:rsidR="00CE3DE2" w:rsidRPr="008154B1" w:rsidTr="005A54CD">
        <w:tc>
          <w:tcPr>
            <w:tcW w:w="141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rPr>
                <w:color w:val="000000"/>
                <w:szCs w:val="20"/>
              </w:rPr>
            </w:pPr>
            <w:r w:rsidRPr="005A54CD">
              <w:rPr>
                <w:color w:val="000000"/>
                <w:szCs w:val="20"/>
              </w:rPr>
              <w:t>Rate ratio vs. PBO, (95% CI)</w:t>
            </w:r>
          </w:p>
          <w:p w:rsidR="00CE3DE2" w:rsidRPr="005A54CD" w:rsidRDefault="00CE3DE2" w:rsidP="00912164">
            <w:pPr>
              <w:pStyle w:val="TableText0"/>
              <w:rPr>
                <w:color w:val="000000"/>
                <w:szCs w:val="20"/>
              </w:rPr>
            </w:pPr>
            <w:r w:rsidRPr="005A54CD">
              <w:rPr>
                <w:color w:val="000000"/>
                <w:szCs w:val="20"/>
              </w:rPr>
              <w:t>p-value</w:t>
            </w:r>
            <w:r w:rsidRPr="005A54CD">
              <w:rPr>
                <w:color w:val="000000"/>
                <w:szCs w:val="20"/>
                <w:vertAlign w:val="superscript"/>
              </w:rPr>
              <w:t>e</w:t>
            </w:r>
          </w:p>
        </w:tc>
        <w:tc>
          <w:tcPr>
            <w:tcW w:w="1008"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E3DE2" w:rsidRPr="005A54CD" w:rsidRDefault="00C914B8" w:rsidP="00912164">
            <w:pPr>
              <w:pStyle w:val="TableText0"/>
              <w:jc w:val="center"/>
              <w:rPr>
                <w:b/>
                <w:szCs w:val="20"/>
              </w:rPr>
            </w:pPr>
            <w:r w:rsidRPr="005A54CD">
              <w:rPr>
                <w:b/>
                <w:szCs w:val="20"/>
              </w:rPr>
              <w:t>0.24 (0.15, 0.39)</w:t>
            </w:r>
          </w:p>
          <w:p w:rsidR="00C914B8" w:rsidRPr="005A54CD" w:rsidRDefault="00C914B8" w:rsidP="00912164">
            <w:pPr>
              <w:pStyle w:val="TableText0"/>
              <w:jc w:val="center"/>
              <w:rPr>
                <w:b/>
                <w:szCs w:val="20"/>
              </w:rPr>
            </w:pPr>
            <w:r w:rsidRPr="005A54CD">
              <w:rPr>
                <w:b/>
                <w:szCs w:val="20"/>
              </w:rPr>
              <w:t>&lt;0.001</w:t>
            </w:r>
          </w:p>
        </w:tc>
        <w:tc>
          <w:tcPr>
            <w:tcW w:w="92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jc w:val="center"/>
              <w:rPr>
                <w:b/>
                <w:szCs w:val="20"/>
              </w:rPr>
            </w:pPr>
            <w:r w:rsidRPr="005A54CD">
              <w:rPr>
                <w:b/>
                <w:szCs w:val="20"/>
              </w:rPr>
              <w:t>0.27 (0.18, 0.41)</w:t>
            </w:r>
          </w:p>
          <w:p w:rsidR="00CE3DE2" w:rsidRPr="005A54CD" w:rsidRDefault="00CE3DE2" w:rsidP="00912164">
            <w:pPr>
              <w:pStyle w:val="TableText0"/>
              <w:jc w:val="center"/>
              <w:rPr>
                <w:b/>
                <w:szCs w:val="20"/>
              </w:rPr>
            </w:pPr>
            <w:r w:rsidRPr="005A54CD">
              <w:rPr>
                <w:b/>
                <w:szCs w:val="20"/>
              </w:rPr>
              <w:t>&lt;0.001</w:t>
            </w:r>
          </w:p>
        </w:tc>
        <w:tc>
          <w:tcPr>
            <w:tcW w:w="971" w:type="pct"/>
            <w:tcBorders>
              <w:top w:val="single" w:sz="4" w:space="0" w:color="auto"/>
              <w:left w:val="nil"/>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jc w:val="center"/>
              <w:rPr>
                <w:b/>
                <w:szCs w:val="20"/>
              </w:rPr>
            </w:pPr>
            <w:r w:rsidRPr="005A54CD">
              <w:rPr>
                <w:b/>
                <w:szCs w:val="20"/>
              </w:rPr>
              <w:t>0.13 (0.07, 0.24)</w:t>
            </w:r>
          </w:p>
          <w:p w:rsidR="00CE3DE2" w:rsidRPr="005A54CD" w:rsidRDefault="00CE3DE2" w:rsidP="00912164">
            <w:pPr>
              <w:pStyle w:val="TableText0"/>
              <w:jc w:val="center"/>
              <w:rPr>
                <w:b/>
                <w:szCs w:val="20"/>
              </w:rPr>
            </w:pPr>
            <w:r w:rsidRPr="005A54CD">
              <w:rPr>
                <w:b/>
                <w:szCs w:val="20"/>
              </w:rPr>
              <w:t>&lt;0.001</w:t>
            </w:r>
          </w:p>
        </w:tc>
        <w:tc>
          <w:tcPr>
            <w:tcW w:w="680" w:type="pct"/>
            <w:tcBorders>
              <w:top w:val="single" w:sz="4" w:space="0" w:color="auto"/>
              <w:left w:val="nil"/>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jc w:val="center"/>
              <w:rPr>
                <w:color w:val="000000"/>
                <w:szCs w:val="20"/>
              </w:rPr>
            </w:pPr>
            <w:r w:rsidRPr="005A54CD">
              <w:rPr>
                <w:color w:val="000000"/>
                <w:szCs w:val="20"/>
              </w:rPr>
              <w:t>-</w:t>
            </w:r>
          </w:p>
        </w:tc>
      </w:tr>
      <w:tr w:rsidR="00CE3DE2" w:rsidRPr="008154B1" w:rsidTr="005A54CD">
        <w:tc>
          <w:tcPr>
            <w:tcW w:w="141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rPr>
                <w:color w:val="000000"/>
                <w:szCs w:val="20"/>
                <w:vertAlign w:val="superscript"/>
              </w:rPr>
            </w:pPr>
            <w:r w:rsidRPr="005A54CD">
              <w:rPr>
                <w:color w:val="000000"/>
                <w:szCs w:val="20"/>
              </w:rPr>
              <w:t>% reduction vs. PBO, (95% CI)</w:t>
            </w:r>
            <w:r w:rsidRPr="005A54CD">
              <w:rPr>
                <w:color w:val="000000"/>
                <w:szCs w:val="20"/>
                <w:vertAlign w:val="superscript"/>
              </w:rPr>
              <w:t>f</w:t>
            </w:r>
          </w:p>
        </w:tc>
        <w:tc>
          <w:tcPr>
            <w:tcW w:w="1008"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E3DE2" w:rsidRPr="005A54CD" w:rsidRDefault="00C914B8" w:rsidP="00C914B8">
            <w:pPr>
              <w:pStyle w:val="TableText0"/>
              <w:jc w:val="center"/>
              <w:rPr>
                <w:b/>
                <w:szCs w:val="20"/>
              </w:rPr>
            </w:pPr>
            <w:r w:rsidRPr="005A54CD">
              <w:rPr>
                <w:b/>
                <w:szCs w:val="20"/>
              </w:rPr>
              <w:t xml:space="preserve">-75.6 (-84.7, -61.2) </w:t>
            </w:r>
          </w:p>
          <w:p w:rsidR="00C914B8" w:rsidRPr="005A54CD" w:rsidRDefault="00C914B8" w:rsidP="00C914B8">
            <w:pPr>
              <w:pStyle w:val="TableText0"/>
              <w:jc w:val="center"/>
              <w:rPr>
                <w:b/>
                <w:szCs w:val="20"/>
              </w:rPr>
            </w:pPr>
            <w:r w:rsidRPr="005A54CD">
              <w:rPr>
                <w:b/>
                <w:szCs w:val="20"/>
              </w:rPr>
              <w:t>&lt;0.001</w:t>
            </w:r>
          </w:p>
        </w:tc>
        <w:tc>
          <w:tcPr>
            <w:tcW w:w="92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jc w:val="center"/>
              <w:rPr>
                <w:b/>
                <w:szCs w:val="20"/>
              </w:rPr>
            </w:pPr>
            <w:r w:rsidRPr="005A54CD">
              <w:rPr>
                <w:b/>
                <w:szCs w:val="20"/>
              </w:rPr>
              <w:t>-73.3 (-82.4, -59.5)</w:t>
            </w:r>
          </w:p>
          <w:p w:rsidR="00CE3DE2" w:rsidRPr="005A54CD" w:rsidRDefault="00CE3DE2" w:rsidP="00912164">
            <w:pPr>
              <w:pStyle w:val="TableText0"/>
              <w:jc w:val="center"/>
              <w:rPr>
                <w:b/>
                <w:szCs w:val="20"/>
              </w:rPr>
            </w:pPr>
            <w:r w:rsidRPr="005A54CD">
              <w:rPr>
                <w:b/>
                <w:szCs w:val="20"/>
              </w:rPr>
              <w:t>&lt;0.001</w:t>
            </w:r>
          </w:p>
        </w:tc>
        <w:tc>
          <w:tcPr>
            <w:tcW w:w="971" w:type="pct"/>
            <w:tcBorders>
              <w:top w:val="single" w:sz="4" w:space="0" w:color="auto"/>
              <w:left w:val="nil"/>
              <w:bottom w:val="single" w:sz="4" w:space="0" w:color="auto"/>
              <w:right w:val="single" w:sz="4" w:space="0" w:color="auto"/>
            </w:tcBorders>
            <w:shd w:val="clear" w:color="auto" w:fill="DAEEF3" w:themeFill="accent5" w:themeFillTint="33"/>
            <w:vAlign w:val="center"/>
          </w:tcPr>
          <w:p w:rsidR="00CE3DE2" w:rsidRPr="005A54CD" w:rsidRDefault="00DA6246" w:rsidP="00912164">
            <w:pPr>
              <w:pStyle w:val="TableText0"/>
              <w:jc w:val="center"/>
              <w:rPr>
                <w:b/>
                <w:szCs w:val="20"/>
              </w:rPr>
            </w:pPr>
            <w:r w:rsidRPr="005A54CD">
              <w:rPr>
                <w:b/>
                <w:szCs w:val="20"/>
              </w:rPr>
              <w:t>-86.9 (-92.8, -76.2</w:t>
            </w:r>
            <w:r w:rsidR="00CE3DE2" w:rsidRPr="005A54CD">
              <w:rPr>
                <w:b/>
                <w:szCs w:val="20"/>
              </w:rPr>
              <w:t>,)</w:t>
            </w:r>
          </w:p>
          <w:p w:rsidR="00CE3DE2" w:rsidRPr="005A54CD" w:rsidRDefault="00CE3DE2" w:rsidP="00912164">
            <w:pPr>
              <w:pStyle w:val="TableText0"/>
              <w:jc w:val="center"/>
              <w:rPr>
                <w:b/>
                <w:color w:val="000000"/>
                <w:szCs w:val="20"/>
              </w:rPr>
            </w:pPr>
            <w:r w:rsidRPr="005A54CD">
              <w:rPr>
                <w:b/>
                <w:szCs w:val="20"/>
              </w:rPr>
              <w:t>&lt;0.001</w:t>
            </w:r>
          </w:p>
        </w:tc>
        <w:tc>
          <w:tcPr>
            <w:tcW w:w="680" w:type="pct"/>
            <w:tcBorders>
              <w:top w:val="single" w:sz="4" w:space="0" w:color="auto"/>
              <w:left w:val="nil"/>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jc w:val="center"/>
              <w:rPr>
                <w:color w:val="000000"/>
                <w:szCs w:val="20"/>
              </w:rPr>
            </w:pPr>
            <w:r w:rsidRPr="005A54CD">
              <w:rPr>
                <w:color w:val="000000"/>
                <w:szCs w:val="20"/>
              </w:rPr>
              <w:t>-</w:t>
            </w:r>
          </w:p>
        </w:tc>
      </w:tr>
      <w:tr w:rsidR="00CE3DE2" w:rsidRPr="008154B1" w:rsidTr="005A54CD">
        <w:tc>
          <w:tcPr>
            <w:tcW w:w="5000" w:type="pct"/>
            <w:gridSpan w:val="5"/>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E3DE2" w:rsidRPr="005A54CD" w:rsidRDefault="00CE3DE2" w:rsidP="00912164">
            <w:pPr>
              <w:pStyle w:val="TableText0"/>
              <w:rPr>
                <w:b/>
                <w:color w:val="000000"/>
                <w:szCs w:val="20"/>
              </w:rPr>
            </w:pPr>
            <w:r w:rsidRPr="005A54CD">
              <w:rPr>
                <w:b/>
                <w:color w:val="000000"/>
                <w:szCs w:val="20"/>
              </w:rPr>
              <w:t>Secondary outcomes</w:t>
            </w:r>
          </w:p>
        </w:tc>
      </w:tr>
      <w:tr w:rsidR="00CE3DE2" w:rsidRPr="008154B1" w:rsidTr="005A54CD">
        <w:tc>
          <w:tcPr>
            <w:tcW w:w="5000" w:type="pct"/>
            <w:gridSpan w:val="5"/>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E3DE2" w:rsidRPr="005A54CD" w:rsidRDefault="00CE3DE2" w:rsidP="00912164">
            <w:pPr>
              <w:pStyle w:val="TableText0"/>
              <w:rPr>
                <w:color w:val="000000" w:themeColor="text1"/>
                <w:szCs w:val="20"/>
              </w:rPr>
            </w:pPr>
            <w:r w:rsidRPr="005A54CD">
              <w:rPr>
                <w:color w:val="000000"/>
                <w:szCs w:val="20"/>
              </w:rPr>
              <w:t>Number of attacks requiring rescue or acute treatment during treatment period per month (Day 0 to Day 182)</w:t>
            </w:r>
          </w:p>
        </w:tc>
      </w:tr>
      <w:tr w:rsidR="00CE3DE2" w:rsidRPr="008154B1" w:rsidTr="005A54CD">
        <w:tc>
          <w:tcPr>
            <w:tcW w:w="141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rPr>
                <w:color w:val="000000"/>
                <w:szCs w:val="20"/>
              </w:rPr>
            </w:pPr>
            <w:r w:rsidRPr="005A54CD">
              <w:rPr>
                <w:color w:val="000000"/>
                <w:szCs w:val="20"/>
              </w:rPr>
              <w:t>Mean (95% CI)</w:t>
            </w:r>
            <w:r w:rsidRPr="005A54CD">
              <w:rPr>
                <w:color w:val="000000"/>
                <w:szCs w:val="20"/>
                <w:vertAlign w:val="superscript"/>
              </w:rPr>
              <w:t xml:space="preserve"> b,c</w:t>
            </w:r>
          </w:p>
        </w:tc>
        <w:tc>
          <w:tcPr>
            <w:tcW w:w="100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E3DE2" w:rsidRPr="005A54CD" w:rsidRDefault="00E14DA0" w:rsidP="00E14DA0">
            <w:pPr>
              <w:pStyle w:val="TableText0"/>
              <w:jc w:val="center"/>
              <w:rPr>
                <w:szCs w:val="20"/>
              </w:rPr>
            </w:pPr>
            <w:r w:rsidRPr="005A54CD">
              <w:rPr>
                <w:szCs w:val="20"/>
              </w:rPr>
              <w:t>0.31 (0.18 to 0.53)</w:t>
            </w:r>
          </w:p>
        </w:tc>
        <w:tc>
          <w:tcPr>
            <w:tcW w:w="92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jc w:val="center"/>
              <w:rPr>
                <w:color w:val="000000"/>
                <w:szCs w:val="20"/>
              </w:rPr>
            </w:pPr>
            <w:r w:rsidRPr="005A54CD">
              <w:rPr>
                <w:szCs w:val="20"/>
              </w:rPr>
              <w:t>0.42 (0.28, 0.65)</w:t>
            </w:r>
          </w:p>
        </w:tc>
        <w:tc>
          <w:tcPr>
            <w:tcW w:w="971" w:type="pct"/>
            <w:tcBorders>
              <w:top w:val="single" w:sz="4" w:space="0" w:color="auto"/>
              <w:left w:val="nil"/>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jc w:val="center"/>
              <w:rPr>
                <w:color w:val="000000"/>
                <w:szCs w:val="20"/>
              </w:rPr>
            </w:pPr>
            <w:r w:rsidRPr="005A54CD">
              <w:rPr>
                <w:szCs w:val="20"/>
              </w:rPr>
              <w:t>0.21 (0.11, 0.40)</w:t>
            </w:r>
          </w:p>
        </w:tc>
        <w:tc>
          <w:tcPr>
            <w:tcW w:w="680" w:type="pct"/>
            <w:tcBorders>
              <w:top w:val="single" w:sz="4" w:space="0" w:color="auto"/>
              <w:left w:val="nil"/>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jc w:val="center"/>
              <w:rPr>
                <w:color w:val="000000"/>
                <w:szCs w:val="20"/>
              </w:rPr>
            </w:pPr>
            <w:r w:rsidRPr="005A54CD">
              <w:rPr>
                <w:szCs w:val="20"/>
              </w:rPr>
              <w:t>1.64 (1.34, 2.01)</w:t>
            </w:r>
          </w:p>
        </w:tc>
      </w:tr>
      <w:tr w:rsidR="00CE3DE2" w:rsidRPr="008154B1" w:rsidTr="005A54CD">
        <w:tc>
          <w:tcPr>
            <w:tcW w:w="141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E3DE2" w:rsidRPr="005A54CD" w:rsidRDefault="00CE3DE2" w:rsidP="00DA6246">
            <w:pPr>
              <w:pStyle w:val="TableText0"/>
              <w:rPr>
                <w:color w:val="000000"/>
                <w:szCs w:val="20"/>
              </w:rPr>
            </w:pPr>
            <w:r w:rsidRPr="005A54CD">
              <w:rPr>
                <w:color w:val="000000"/>
                <w:szCs w:val="20"/>
              </w:rPr>
              <w:t>Mean difference vs. PBO, (95% CI)</w:t>
            </w:r>
            <w:r w:rsidRPr="005A54CD">
              <w:rPr>
                <w:color w:val="000000"/>
                <w:szCs w:val="20"/>
                <w:vertAlign w:val="superscript"/>
              </w:rPr>
              <w:t>d</w:t>
            </w:r>
            <w:r w:rsidR="00DA6246" w:rsidRPr="005A54CD">
              <w:rPr>
                <w:color w:val="000000"/>
                <w:szCs w:val="20"/>
              </w:rPr>
              <w:t>,</w:t>
            </w:r>
            <w:r w:rsidR="00DA6246" w:rsidRPr="005A54CD">
              <w:rPr>
                <w:color w:val="000000"/>
                <w:szCs w:val="20"/>
                <w:vertAlign w:val="superscript"/>
              </w:rPr>
              <w:t xml:space="preserve"> </w:t>
            </w:r>
            <w:r w:rsidRPr="005A54CD">
              <w:rPr>
                <w:color w:val="000000"/>
                <w:szCs w:val="20"/>
              </w:rPr>
              <w:t>p-value</w:t>
            </w:r>
          </w:p>
        </w:tc>
        <w:tc>
          <w:tcPr>
            <w:tcW w:w="100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E3DE2" w:rsidRPr="005A54CD" w:rsidRDefault="00E14DA0" w:rsidP="00E14DA0">
            <w:pPr>
              <w:pStyle w:val="TableText0"/>
              <w:jc w:val="center"/>
              <w:rPr>
                <w:b/>
                <w:szCs w:val="20"/>
              </w:rPr>
            </w:pPr>
            <w:r w:rsidRPr="005A54CD">
              <w:rPr>
                <w:b/>
                <w:szCs w:val="20"/>
              </w:rPr>
              <w:t>−1.32 (−1.69, −0.95)</w:t>
            </w:r>
          </w:p>
          <w:p w:rsidR="00DA6246" w:rsidRPr="005A54CD" w:rsidRDefault="00DA6246" w:rsidP="00E14DA0">
            <w:pPr>
              <w:pStyle w:val="TableText0"/>
              <w:jc w:val="center"/>
              <w:rPr>
                <w:b/>
                <w:szCs w:val="20"/>
              </w:rPr>
            </w:pPr>
            <w:r w:rsidRPr="005A54CD">
              <w:rPr>
                <w:b/>
                <w:szCs w:val="20"/>
              </w:rPr>
              <w:t>&lt;0.001</w:t>
            </w:r>
          </w:p>
        </w:tc>
        <w:tc>
          <w:tcPr>
            <w:tcW w:w="92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jc w:val="center"/>
              <w:rPr>
                <w:b/>
                <w:szCs w:val="20"/>
              </w:rPr>
            </w:pPr>
            <w:r w:rsidRPr="005A54CD">
              <w:rPr>
                <w:b/>
                <w:szCs w:val="20"/>
              </w:rPr>
              <w:t>-1.21</w:t>
            </w:r>
            <w:r w:rsidRPr="005A54CD">
              <w:rPr>
                <w:b/>
                <w:szCs w:val="20"/>
                <w:vertAlign w:val="superscript"/>
              </w:rPr>
              <w:t xml:space="preserve"> </w:t>
            </w:r>
            <w:r w:rsidRPr="005A54CD">
              <w:rPr>
                <w:b/>
                <w:szCs w:val="20"/>
              </w:rPr>
              <w:t>(-1.58, -0.85)</w:t>
            </w:r>
          </w:p>
          <w:p w:rsidR="00CE3DE2" w:rsidRPr="005A54CD" w:rsidRDefault="00CE3DE2" w:rsidP="00912164">
            <w:pPr>
              <w:pStyle w:val="TableText0"/>
              <w:jc w:val="center"/>
              <w:rPr>
                <w:b/>
                <w:szCs w:val="20"/>
              </w:rPr>
            </w:pPr>
            <w:r w:rsidRPr="005A54CD">
              <w:rPr>
                <w:b/>
                <w:szCs w:val="20"/>
              </w:rPr>
              <w:t>&lt;0.001</w:t>
            </w:r>
          </w:p>
        </w:tc>
        <w:tc>
          <w:tcPr>
            <w:tcW w:w="971" w:type="pct"/>
            <w:tcBorders>
              <w:top w:val="single" w:sz="4" w:space="0" w:color="auto"/>
              <w:left w:val="nil"/>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jc w:val="center"/>
              <w:rPr>
                <w:b/>
                <w:szCs w:val="20"/>
              </w:rPr>
            </w:pPr>
            <w:r w:rsidRPr="005A54CD">
              <w:rPr>
                <w:b/>
                <w:szCs w:val="20"/>
              </w:rPr>
              <w:t>-1.43</w:t>
            </w:r>
            <w:r w:rsidRPr="005A54CD">
              <w:rPr>
                <w:b/>
                <w:szCs w:val="20"/>
                <w:vertAlign w:val="superscript"/>
              </w:rPr>
              <w:t xml:space="preserve"> </w:t>
            </w:r>
            <w:r w:rsidRPr="005A54CD">
              <w:rPr>
                <w:b/>
                <w:szCs w:val="20"/>
              </w:rPr>
              <w:t>(-1.78, -1.07)</w:t>
            </w:r>
          </w:p>
          <w:p w:rsidR="00CE3DE2" w:rsidRPr="005A54CD" w:rsidRDefault="00CE3DE2" w:rsidP="00912164">
            <w:pPr>
              <w:pStyle w:val="TableText0"/>
              <w:jc w:val="center"/>
              <w:rPr>
                <w:b/>
                <w:szCs w:val="20"/>
              </w:rPr>
            </w:pPr>
            <w:r w:rsidRPr="005A54CD">
              <w:rPr>
                <w:b/>
                <w:szCs w:val="20"/>
              </w:rPr>
              <w:t>&lt;0.001</w:t>
            </w:r>
          </w:p>
        </w:tc>
        <w:tc>
          <w:tcPr>
            <w:tcW w:w="680" w:type="pct"/>
            <w:tcBorders>
              <w:top w:val="single" w:sz="4" w:space="0" w:color="auto"/>
              <w:left w:val="nil"/>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jc w:val="center"/>
              <w:rPr>
                <w:color w:val="000000"/>
                <w:szCs w:val="20"/>
              </w:rPr>
            </w:pPr>
            <w:r w:rsidRPr="005A54CD">
              <w:rPr>
                <w:color w:val="000000"/>
                <w:szCs w:val="20"/>
              </w:rPr>
              <w:t>-</w:t>
            </w:r>
          </w:p>
        </w:tc>
      </w:tr>
      <w:tr w:rsidR="00CE3DE2" w:rsidRPr="008154B1" w:rsidTr="005A54CD">
        <w:tc>
          <w:tcPr>
            <w:tcW w:w="141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rPr>
                <w:color w:val="000000"/>
                <w:szCs w:val="20"/>
              </w:rPr>
            </w:pPr>
            <w:r w:rsidRPr="005A54CD">
              <w:rPr>
                <w:color w:val="000000"/>
                <w:szCs w:val="20"/>
              </w:rPr>
              <w:t>Rate ratio vs. PBO, (95% CI)</w:t>
            </w:r>
          </w:p>
          <w:p w:rsidR="00CE3DE2" w:rsidRPr="005A54CD" w:rsidRDefault="00CE3DE2" w:rsidP="00912164">
            <w:pPr>
              <w:pStyle w:val="TableText0"/>
              <w:rPr>
                <w:color w:val="000000"/>
                <w:szCs w:val="20"/>
              </w:rPr>
            </w:pPr>
            <w:r w:rsidRPr="005A54CD">
              <w:rPr>
                <w:color w:val="000000"/>
                <w:szCs w:val="20"/>
              </w:rPr>
              <w:t>p-value</w:t>
            </w:r>
            <w:r w:rsidRPr="005A54CD">
              <w:rPr>
                <w:color w:val="000000"/>
                <w:szCs w:val="20"/>
                <w:vertAlign w:val="superscript"/>
              </w:rPr>
              <w:t>e</w:t>
            </w:r>
          </w:p>
        </w:tc>
        <w:tc>
          <w:tcPr>
            <w:tcW w:w="100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E3DE2" w:rsidRPr="005A54CD" w:rsidRDefault="00E14DA0" w:rsidP="00E14DA0">
            <w:pPr>
              <w:pStyle w:val="TableText0"/>
              <w:jc w:val="center"/>
              <w:rPr>
                <w:b/>
                <w:szCs w:val="20"/>
              </w:rPr>
            </w:pPr>
            <w:r w:rsidRPr="005A54CD">
              <w:rPr>
                <w:b/>
                <w:szCs w:val="20"/>
              </w:rPr>
              <w:t>0.19 (0.11, 0.34)</w:t>
            </w:r>
          </w:p>
          <w:p w:rsidR="00DA6246" w:rsidRPr="005A54CD" w:rsidRDefault="00DA6246" w:rsidP="00E14DA0">
            <w:pPr>
              <w:pStyle w:val="TableText0"/>
              <w:jc w:val="center"/>
              <w:rPr>
                <w:b/>
                <w:szCs w:val="20"/>
              </w:rPr>
            </w:pPr>
            <w:r w:rsidRPr="005A54CD">
              <w:rPr>
                <w:b/>
                <w:szCs w:val="20"/>
              </w:rPr>
              <w:t>&lt;0.001</w:t>
            </w:r>
          </w:p>
        </w:tc>
        <w:tc>
          <w:tcPr>
            <w:tcW w:w="92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jc w:val="center"/>
              <w:rPr>
                <w:b/>
                <w:szCs w:val="20"/>
              </w:rPr>
            </w:pPr>
            <w:r w:rsidRPr="005A54CD">
              <w:rPr>
                <w:b/>
                <w:szCs w:val="20"/>
              </w:rPr>
              <w:t>0.26 (0.16, 0.41)</w:t>
            </w:r>
          </w:p>
          <w:p w:rsidR="00CE3DE2" w:rsidRPr="005A54CD" w:rsidRDefault="00CE3DE2" w:rsidP="00912164">
            <w:pPr>
              <w:pStyle w:val="TableText0"/>
              <w:jc w:val="center"/>
              <w:rPr>
                <w:b/>
                <w:szCs w:val="20"/>
              </w:rPr>
            </w:pPr>
            <w:r w:rsidRPr="005A54CD">
              <w:rPr>
                <w:b/>
                <w:szCs w:val="20"/>
              </w:rPr>
              <w:t>&lt;0.001</w:t>
            </w:r>
          </w:p>
        </w:tc>
        <w:tc>
          <w:tcPr>
            <w:tcW w:w="971" w:type="pct"/>
            <w:tcBorders>
              <w:top w:val="single" w:sz="4" w:space="0" w:color="auto"/>
              <w:left w:val="nil"/>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jc w:val="center"/>
              <w:rPr>
                <w:b/>
                <w:szCs w:val="20"/>
              </w:rPr>
            </w:pPr>
            <w:r w:rsidRPr="005A54CD">
              <w:rPr>
                <w:b/>
                <w:szCs w:val="20"/>
              </w:rPr>
              <w:t>0.13 (0.07, 0.25)</w:t>
            </w:r>
          </w:p>
          <w:p w:rsidR="00CE3DE2" w:rsidRPr="005A54CD" w:rsidRDefault="00CE3DE2" w:rsidP="00912164">
            <w:pPr>
              <w:pStyle w:val="TableText0"/>
              <w:jc w:val="center"/>
              <w:rPr>
                <w:b/>
                <w:szCs w:val="20"/>
              </w:rPr>
            </w:pPr>
            <w:r w:rsidRPr="005A54CD">
              <w:rPr>
                <w:b/>
                <w:szCs w:val="20"/>
              </w:rPr>
              <w:t>&lt;0.001</w:t>
            </w:r>
          </w:p>
        </w:tc>
        <w:tc>
          <w:tcPr>
            <w:tcW w:w="680" w:type="pct"/>
            <w:tcBorders>
              <w:top w:val="single" w:sz="4" w:space="0" w:color="auto"/>
              <w:left w:val="nil"/>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jc w:val="center"/>
              <w:rPr>
                <w:color w:val="000000"/>
                <w:szCs w:val="20"/>
              </w:rPr>
            </w:pPr>
            <w:r w:rsidRPr="005A54CD">
              <w:rPr>
                <w:color w:val="000000"/>
                <w:szCs w:val="20"/>
              </w:rPr>
              <w:t>-</w:t>
            </w:r>
          </w:p>
        </w:tc>
      </w:tr>
      <w:tr w:rsidR="00CE3DE2" w:rsidRPr="008154B1" w:rsidTr="005A54CD">
        <w:tc>
          <w:tcPr>
            <w:tcW w:w="141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rPr>
                <w:color w:val="000000"/>
                <w:szCs w:val="20"/>
              </w:rPr>
            </w:pPr>
            <w:r w:rsidRPr="005A54CD">
              <w:rPr>
                <w:color w:val="000000"/>
                <w:szCs w:val="20"/>
              </w:rPr>
              <w:t>% reduction vs. PBO, (95% CI)</w:t>
            </w:r>
          </w:p>
        </w:tc>
        <w:tc>
          <w:tcPr>
            <w:tcW w:w="100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E3DE2" w:rsidRPr="005A54CD" w:rsidRDefault="00E14DA0" w:rsidP="00E14DA0">
            <w:pPr>
              <w:pStyle w:val="TableText0"/>
              <w:jc w:val="center"/>
              <w:rPr>
                <w:b/>
                <w:szCs w:val="20"/>
              </w:rPr>
            </w:pPr>
            <w:r w:rsidRPr="005A54CD">
              <w:rPr>
                <w:b/>
                <w:szCs w:val="20"/>
              </w:rPr>
              <w:t>-80.84 (-89.2, -66.1)</w:t>
            </w:r>
          </w:p>
        </w:tc>
        <w:tc>
          <w:tcPr>
            <w:tcW w:w="92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jc w:val="center"/>
              <w:rPr>
                <w:b/>
                <w:szCs w:val="20"/>
              </w:rPr>
            </w:pPr>
            <w:r w:rsidRPr="005A54CD">
              <w:rPr>
                <w:b/>
                <w:szCs w:val="20"/>
              </w:rPr>
              <w:t>-74.2 (-83.70, -59.0)</w:t>
            </w:r>
          </w:p>
        </w:tc>
        <w:tc>
          <w:tcPr>
            <w:tcW w:w="971" w:type="pct"/>
            <w:tcBorders>
              <w:top w:val="single" w:sz="4" w:space="0" w:color="auto"/>
              <w:left w:val="nil"/>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jc w:val="center"/>
              <w:rPr>
                <w:b/>
                <w:szCs w:val="20"/>
              </w:rPr>
            </w:pPr>
            <w:r w:rsidRPr="005A54CD">
              <w:rPr>
                <w:b/>
                <w:szCs w:val="20"/>
              </w:rPr>
              <w:t>-87.3 (-93.50, -75.2)</w:t>
            </w:r>
          </w:p>
        </w:tc>
        <w:tc>
          <w:tcPr>
            <w:tcW w:w="680" w:type="pct"/>
            <w:tcBorders>
              <w:top w:val="single" w:sz="4" w:space="0" w:color="auto"/>
              <w:left w:val="nil"/>
              <w:bottom w:val="single" w:sz="4" w:space="0" w:color="auto"/>
              <w:right w:val="single" w:sz="4" w:space="0" w:color="auto"/>
            </w:tcBorders>
            <w:shd w:val="clear" w:color="auto" w:fill="DAEEF3" w:themeFill="accent5" w:themeFillTint="33"/>
            <w:vAlign w:val="center"/>
          </w:tcPr>
          <w:p w:rsidR="00CE3DE2" w:rsidRPr="005A54CD" w:rsidRDefault="00CE3DE2" w:rsidP="00912164">
            <w:pPr>
              <w:pStyle w:val="TableText0"/>
              <w:rPr>
                <w:color w:val="000000"/>
                <w:szCs w:val="20"/>
              </w:rPr>
            </w:pPr>
            <w:r w:rsidRPr="005A54CD">
              <w:rPr>
                <w:color w:val="000000"/>
                <w:szCs w:val="20"/>
              </w:rPr>
              <w:t>-</w:t>
            </w:r>
          </w:p>
        </w:tc>
      </w:tr>
      <w:tr w:rsidR="00CE3DE2" w:rsidRPr="008154B1" w:rsidTr="005A54CD">
        <w:tc>
          <w:tcPr>
            <w:tcW w:w="5000" w:type="pct"/>
            <w:gridSpan w:val="5"/>
            <w:tcBorders>
              <w:top w:val="single" w:sz="4" w:space="0" w:color="auto"/>
              <w:left w:val="single" w:sz="4" w:space="0" w:color="auto"/>
              <w:bottom w:val="single" w:sz="4" w:space="0" w:color="auto"/>
              <w:right w:val="single" w:sz="4" w:space="0" w:color="auto"/>
            </w:tcBorders>
          </w:tcPr>
          <w:p w:rsidR="00CE3DE2" w:rsidRPr="005A54CD" w:rsidRDefault="00CE3DE2" w:rsidP="00912164">
            <w:pPr>
              <w:pStyle w:val="TableText0"/>
              <w:rPr>
                <w:color w:val="000000"/>
                <w:szCs w:val="20"/>
              </w:rPr>
            </w:pPr>
            <w:r w:rsidRPr="005A54CD">
              <w:rPr>
                <w:color w:val="000000"/>
                <w:szCs w:val="20"/>
              </w:rPr>
              <w:t>No. of moderate or severe attacks during treatment period per month (Day 0 to Day 182)</w:t>
            </w:r>
          </w:p>
        </w:tc>
      </w:tr>
      <w:tr w:rsidR="00CE3DE2" w:rsidRPr="008154B1" w:rsidTr="005A54CD">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rsidR="00CE3DE2" w:rsidRPr="005A54CD" w:rsidRDefault="00CE3DE2" w:rsidP="00912164">
            <w:pPr>
              <w:pStyle w:val="TableText0"/>
              <w:rPr>
                <w:color w:val="000000"/>
                <w:szCs w:val="20"/>
              </w:rPr>
            </w:pPr>
            <w:r w:rsidRPr="005A54CD">
              <w:rPr>
                <w:color w:val="000000"/>
                <w:szCs w:val="20"/>
              </w:rPr>
              <w:t>Mean (95% CI)</w:t>
            </w:r>
            <w:r w:rsidRPr="005A54CD">
              <w:rPr>
                <w:color w:val="000000"/>
                <w:szCs w:val="20"/>
                <w:vertAlign w:val="superscript"/>
              </w:rPr>
              <w:t xml:space="preserve"> b,c</w:t>
            </w:r>
          </w:p>
        </w:tc>
        <w:tc>
          <w:tcPr>
            <w:tcW w:w="1008" w:type="pct"/>
            <w:tcBorders>
              <w:top w:val="single" w:sz="4" w:space="0" w:color="auto"/>
              <w:left w:val="single" w:sz="4" w:space="0" w:color="auto"/>
              <w:bottom w:val="single" w:sz="4" w:space="0" w:color="auto"/>
              <w:right w:val="single" w:sz="4" w:space="0" w:color="auto"/>
            </w:tcBorders>
          </w:tcPr>
          <w:p w:rsidR="00CE3DE2" w:rsidRPr="005A54CD" w:rsidRDefault="00E14DA0" w:rsidP="00912164">
            <w:pPr>
              <w:pStyle w:val="TableText0"/>
              <w:jc w:val="center"/>
              <w:rPr>
                <w:szCs w:val="20"/>
              </w:rPr>
            </w:pPr>
            <w:r w:rsidRPr="005A54CD">
              <w:rPr>
                <w:szCs w:val="20"/>
              </w:rPr>
              <w:t>0.36 (0.22 to 0.58)</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CE3DE2" w:rsidRPr="005A54CD" w:rsidRDefault="00CE3DE2" w:rsidP="00912164">
            <w:pPr>
              <w:pStyle w:val="TableText0"/>
              <w:jc w:val="center"/>
              <w:rPr>
                <w:szCs w:val="20"/>
              </w:rPr>
            </w:pPr>
            <w:r w:rsidRPr="005A54CD">
              <w:rPr>
                <w:szCs w:val="20"/>
              </w:rPr>
              <w:t>0.32 (0.20, 0.53)</w:t>
            </w:r>
          </w:p>
        </w:tc>
        <w:tc>
          <w:tcPr>
            <w:tcW w:w="971" w:type="pct"/>
            <w:tcBorders>
              <w:top w:val="single" w:sz="4" w:space="0" w:color="auto"/>
              <w:left w:val="nil"/>
              <w:bottom w:val="single" w:sz="4" w:space="0" w:color="auto"/>
              <w:right w:val="single" w:sz="4" w:space="0" w:color="auto"/>
            </w:tcBorders>
            <w:shd w:val="clear" w:color="auto" w:fill="auto"/>
            <w:vAlign w:val="center"/>
          </w:tcPr>
          <w:p w:rsidR="00CE3DE2" w:rsidRPr="005A54CD" w:rsidRDefault="00CE3DE2" w:rsidP="00912164">
            <w:pPr>
              <w:pStyle w:val="TableText0"/>
              <w:jc w:val="center"/>
              <w:rPr>
                <w:szCs w:val="20"/>
              </w:rPr>
            </w:pPr>
            <w:r w:rsidRPr="005A54CD">
              <w:rPr>
                <w:szCs w:val="20"/>
              </w:rPr>
              <w:t>0.20 (0.11, 0.39)</w:t>
            </w:r>
          </w:p>
        </w:tc>
        <w:tc>
          <w:tcPr>
            <w:tcW w:w="680" w:type="pct"/>
            <w:tcBorders>
              <w:top w:val="single" w:sz="4" w:space="0" w:color="auto"/>
              <w:left w:val="nil"/>
              <w:bottom w:val="single" w:sz="4" w:space="0" w:color="auto"/>
              <w:right w:val="single" w:sz="4" w:space="0" w:color="auto"/>
            </w:tcBorders>
            <w:shd w:val="clear" w:color="auto" w:fill="auto"/>
            <w:vAlign w:val="center"/>
          </w:tcPr>
          <w:p w:rsidR="00CE3DE2" w:rsidRPr="005A54CD" w:rsidRDefault="00CE3DE2" w:rsidP="00912164">
            <w:pPr>
              <w:pStyle w:val="TableText0"/>
              <w:jc w:val="center"/>
              <w:rPr>
                <w:color w:val="000000"/>
                <w:szCs w:val="20"/>
              </w:rPr>
            </w:pPr>
            <w:r w:rsidRPr="005A54CD">
              <w:rPr>
                <w:color w:val="000000"/>
                <w:szCs w:val="20"/>
              </w:rPr>
              <w:t>1.22 (0.97, 1.52)</w:t>
            </w:r>
          </w:p>
        </w:tc>
      </w:tr>
      <w:tr w:rsidR="00CE3DE2" w:rsidRPr="008154B1" w:rsidTr="005A54CD">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rsidR="00CE3DE2" w:rsidRPr="005A54CD" w:rsidRDefault="00CE3DE2" w:rsidP="00912164">
            <w:pPr>
              <w:pStyle w:val="TableText0"/>
              <w:rPr>
                <w:color w:val="000000"/>
                <w:szCs w:val="20"/>
                <w:vertAlign w:val="superscript"/>
              </w:rPr>
            </w:pPr>
            <w:r w:rsidRPr="005A54CD">
              <w:rPr>
                <w:color w:val="000000"/>
                <w:szCs w:val="20"/>
              </w:rPr>
              <w:t>Mean difference vs. PBO, (95% CI)</w:t>
            </w:r>
            <w:r w:rsidRPr="005A54CD">
              <w:rPr>
                <w:color w:val="000000"/>
                <w:szCs w:val="20"/>
                <w:vertAlign w:val="superscript"/>
              </w:rPr>
              <w:t>d</w:t>
            </w:r>
          </w:p>
          <w:p w:rsidR="00CE3DE2" w:rsidRPr="005A54CD" w:rsidRDefault="00CE3DE2" w:rsidP="00912164">
            <w:pPr>
              <w:pStyle w:val="TableText0"/>
              <w:rPr>
                <w:color w:val="000000"/>
                <w:szCs w:val="20"/>
              </w:rPr>
            </w:pPr>
            <w:r w:rsidRPr="005A54CD">
              <w:rPr>
                <w:color w:val="000000"/>
                <w:szCs w:val="20"/>
              </w:rPr>
              <w:t>p-value</w:t>
            </w:r>
          </w:p>
        </w:tc>
        <w:tc>
          <w:tcPr>
            <w:tcW w:w="1008" w:type="pct"/>
            <w:tcBorders>
              <w:top w:val="single" w:sz="4" w:space="0" w:color="auto"/>
              <w:left w:val="single" w:sz="4" w:space="0" w:color="auto"/>
              <w:bottom w:val="single" w:sz="4" w:space="0" w:color="auto"/>
              <w:right w:val="single" w:sz="4" w:space="0" w:color="auto"/>
            </w:tcBorders>
            <w:vAlign w:val="center"/>
          </w:tcPr>
          <w:p w:rsidR="00CE3DE2" w:rsidRPr="005A54CD" w:rsidRDefault="00E14DA0" w:rsidP="00E14DA0">
            <w:pPr>
              <w:pStyle w:val="TableText0"/>
              <w:jc w:val="center"/>
              <w:rPr>
                <w:b/>
                <w:szCs w:val="20"/>
              </w:rPr>
            </w:pPr>
            <w:r w:rsidRPr="005A54CD">
              <w:rPr>
                <w:b/>
                <w:szCs w:val="20"/>
              </w:rPr>
              <w:t>−0.86 (−1.18, −0.53)</w:t>
            </w:r>
          </w:p>
          <w:p w:rsidR="00E14DA0" w:rsidRPr="005A54CD" w:rsidRDefault="00E14DA0" w:rsidP="00E14DA0">
            <w:pPr>
              <w:pStyle w:val="TableText0"/>
              <w:jc w:val="center"/>
              <w:rPr>
                <w:b/>
                <w:szCs w:val="20"/>
              </w:rPr>
            </w:pPr>
            <w:r w:rsidRPr="005A54CD">
              <w:rPr>
                <w:b/>
                <w:szCs w:val="20"/>
              </w:rPr>
              <w:t>&lt;0.001</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CE3DE2" w:rsidRPr="005A54CD" w:rsidRDefault="00CE3DE2" w:rsidP="00912164">
            <w:pPr>
              <w:pStyle w:val="TableText0"/>
              <w:jc w:val="center"/>
              <w:rPr>
                <w:b/>
                <w:szCs w:val="20"/>
              </w:rPr>
            </w:pPr>
            <w:r w:rsidRPr="005A54CD">
              <w:rPr>
                <w:b/>
                <w:szCs w:val="20"/>
              </w:rPr>
              <w:t>−0.89 (−1.20, −0.58)</w:t>
            </w:r>
          </w:p>
          <w:p w:rsidR="00CE3DE2" w:rsidRPr="005A54CD" w:rsidRDefault="00CE3DE2" w:rsidP="00912164">
            <w:pPr>
              <w:pStyle w:val="TableText0"/>
              <w:jc w:val="center"/>
              <w:rPr>
                <w:b/>
                <w:szCs w:val="20"/>
              </w:rPr>
            </w:pPr>
            <w:r w:rsidRPr="005A54CD">
              <w:rPr>
                <w:b/>
                <w:szCs w:val="20"/>
              </w:rPr>
              <w:t>&lt;0.001</w:t>
            </w:r>
          </w:p>
        </w:tc>
        <w:tc>
          <w:tcPr>
            <w:tcW w:w="971" w:type="pct"/>
            <w:tcBorders>
              <w:top w:val="single" w:sz="4" w:space="0" w:color="auto"/>
              <w:left w:val="nil"/>
              <w:bottom w:val="single" w:sz="4" w:space="0" w:color="auto"/>
              <w:right w:val="single" w:sz="4" w:space="0" w:color="auto"/>
            </w:tcBorders>
            <w:shd w:val="clear" w:color="auto" w:fill="auto"/>
            <w:vAlign w:val="center"/>
          </w:tcPr>
          <w:p w:rsidR="00CE3DE2" w:rsidRPr="005A54CD" w:rsidRDefault="00CE3DE2" w:rsidP="00912164">
            <w:pPr>
              <w:pStyle w:val="TableText0"/>
              <w:jc w:val="center"/>
              <w:rPr>
                <w:b/>
                <w:szCs w:val="20"/>
              </w:rPr>
            </w:pPr>
            <w:r w:rsidRPr="005A54CD">
              <w:rPr>
                <w:b/>
                <w:szCs w:val="20"/>
              </w:rPr>
              <w:t>−1.01 (−1.32, −0.71)</w:t>
            </w:r>
          </w:p>
          <w:p w:rsidR="00CE3DE2" w:rsidRPr="005A54CD" w:rsidRDefault="00CE3DE2" w:rsidP="00912164">
            <w:pPr>
              <w:pStyle w:val="TableText0"/>
              <w:jc w:val="center"/>
              <w:rPr>
                <w:b/>
                <w:szCs w:val="20"/>
              </w:rPr>
            </w:pPr>
            <w:r w:rsidRPr="005A54CD">
              <w:rPr>
                <w:b/>
                <w:szCs w:val="20"/>
              </w:rPr>
              <w:t>&lt;0.001</w:t>
            </w:r>
          </w:p>
        </w:tc>
        <w:tc>
          <w:tcPr>
            <w:tcW w:w="680" w:type="pct"/>
            <w:tcBorders>
              <w:top w:val="single" w:sz="4" w:space="0" w:color="auto"/>
              <w:left w:val="nil"/>
              <w:bottom w:val="single" w:sz="4" w:space="0" w:color="auto"/>
              <w:right w:val="single" w:sz="4" w:space="0" w:color="auto"/>
            </w:tcBorders>
            <w:shd w:val="clear" w:color="auto" w:fill="auto"/>
            <w:vAlign w:val="center"/>
          </w:tcPr>
          <w:p w:rsidR="00CE3DE2" w:rsidRPr="005A54CD" w:rsidRDefault="00CE3DE2" w:rsidP="00912164">
            <w:pPr>
              <w:pStyle w:val="TableText0"/>
              <w:jc w:val="center"/>
              <w:rPr>
                <w:color w:val="000000"/>
                <w:szCs w:val="20"/>
              </w:rPr>
            </w:pPr>
          </w:p>
        </w:tc>
      </w:tr>
      <w:tr w:rsidR="00CE3DE2" w:rsidRPr="008154B1" w:rsidTr="005A54CD">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rsidR="00CE3DE2" w:rsidRPr="005A54CD" w:rsidRDefault="00CE3DE2" w:rsidP="00912164">
            <w:pPr>
              <w:pStyle w:val="TableText0"/>
              <w:rPr>
                <w:color w:val="000000"/>
                <w:szCs w:val="20"/>
              </w:rPr>
            </w:pPr>
            <w:r w:rsidRPr="005A54CD">
              <w:rPr>
                <w:color w:val="000000"/>
                <w:szCs w:val="20"/>
              </w:rPr>
              <w:t>Rate ratio vs. PBO, (95% CI)</w:t>
            </w:r>
          </w:p>
          <w:p w:rsidR="00CE3DE2" w:rsidRPr="005A54CD" w:rsidRDefault="00CE3DE2" w:rsidP="00912164">
            <w:pPr>
              <w:pStyle w:val="TableText0"/>
              <w:rPr>
                <w:color w:val="000000"/>
                <w:szCs w:val="20"/>
              </w:rPr>
            </w:pPr>
            <w:r w:rsidRPr="005A54CD">
              <w:rPr>
                <w:color w:val="000000"/>
                <w:szCs w:val="20"/>
              </w:rPr>
              <w:t>p-value</w:t>
            </w:r>
            <w:r w:rsidRPr="005A54CD">
              <w:rPr>
                <w:color w:val="000000"/>
                <w:szCs w:val="20"/>
                <w:vertAlign w:val="superscript"/>
              </w:rPr>
              <w:t>e</w:t>
            </w:r>
          </w:p>
        </w:tc>
        <w:tc>
          <w:tcPr>
            <w:tcW w:w="1008" w:type="pct"/>
            <w:tcBorders>
              <w:top w:val="single" w:sz="4" w:space="0" w:color="auto"/>
              <w:left w:val="single" w:sz="4" w:space="0" w:color="auto"/>
              <w:bottom w:val="single" w:sz="4" w:space="0" w:color="auto"/>
              <w:right w:val="single" w:sz="4" w:space="0" w:color="auto"/>
            </w:tcBorders>
            <w:vAlign w:val="center"/>
          </w:tcPr>
          <w:p w:rsidR="00CE3DE2" w:rsidRPr="005A54CD" w:rsidRDefault="00E14DA0" w:rsidP="00E14DA0">
            <w:pPr>
              <w:pStyle w:val="TableText0"/>
              <w:jc w:val="center"/>
              <w:rPr>
                <w:b/>
                <w:szCs w:val="20"/>
              </w:rPr>
            </w:pPr>
            <w:r w:rsidRPr="005A54CD">
              <w:rPr>
                <w:b/>
                <w:szCs w:val="20"/>
              </w:rPr>
              <w:t>0.30 (0.17, 0.50)</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CE3DE2" w:rsidRPr="005A54CD" w:rsidRDefault="00CE3DE2" w:rsidP="00912164">
            <w:pPr>
              <w:pStyle w:val="TableText0"/>
              <w:jc w:val="center"/>
              <w:rPr>
                <w:b/>
                <w:szCs w:val="20"/>
              </w:rPr>
            </w:pPr>
            <w:r w:rsidRPr="005A54CD">
              <w:rPr>
                <w:b/>
                <w:szCs w:val="20"/>
              </w:rPr>
              <w:t>0.27 (0.16, 0.46)</w:t>
            </w:r>
          </w:p>
          <w:p w:rsidR="00CE3DE2" w:rsidRPr="005A54CD" w:rsidRDefault="00CE3DE2" w:rsidP="00912164">
            <w:pPr>
              <w:pStyle w:val="TableText0"/>
              <w:jc w:val="center"/>
              <w:rPr>
                <w:b/>
                <w:szCs w:val="20"/>
              </w:rPr>
            </w:pPr>
            <w:r w:rsidRPr="005A54CD">
              <w:rPr>
                <w:b/>
                <w:szCs w:val="20"/>
              </w:rPr>
              <w:t>&lt;0.001</w:t>
            </w:r>
          </w:p>
        </w:tc>
        <w:tc>
          <w:tcPr>
            <w:tcW w:w="971" w:type="pct"/>
            <w:tcBorders>
              <w:top w:val="single" w:sz="4" w:space="0" w:color="auto"/>
              <w:left w:val="nil"/>
              <w:bottom w:val="single" w:sz="4" w:space="0" w:color="auto"/>
              <w:right w:val="single" w:sz="4" w:space="0" w:color="auto"/>
            </w:tcBorders>
            <w:shd w:val="clear" w:color="auto" w:fill="auto"/>
            <w:vAlign w:val="center"/>
          </w:tcPr>
          <w:p w:rsidR="00CE3DE2" w:rsidRPr="005A54CD" w:rsidRDefault="00CE3DE2" w:rsidP="00912164">
            <w:pPr>
              <w:pStyle w:val="TableText0"/>
              <w:jc w:val="center"/>
              <w:rPr>
                <w:b/>
                <w:szCs w:val="20"/>
              </w:rPr>
            </w:pPr>
            <w:r w:rsidRPr="005A54CD">
              <w:rPr>
                <w:b/>
                <w:szCs w:val="20"/>
              </w:rPr>
              <w:t>0.17 (0.08, 0.33)</w:t>
            </w:r>
          </w:p>
          <w:p w:rsidR="00CE3DE2" w:rsidRPr="005A54CD" w:rsidRDefault="00CE3DE2" w:rsidP="00912164">
            <w:pPr>
              <w:pStyle w:val="TableText0"/>
              <w:jc w:val="center"/>
              <w:rPr>
                <w:b/>
                <w:szCs w:val="20"/>
              </w:rPr>
            </w:pPr>
            <w:r w:rsidRPr="005A54CD">
              <w:rPr>
                <w:b/>
                <w:szCs w:val="20"/>
              </w:rPr>
              <w:t>&lt;0.001</w:t>
            </w:r>
          </w:p>
        </w:tc>
        <w:tc>
          <w:tcPr>
            <w:tcW w:w="680" w:type="pct"/>
            <w:tcBorders>
              <w:top w:val="single" w:sz="4" w:space="0" w:color="auto"/>
              <w:left w:val="nil"/>
              <w:bottom w:val="single" w:sz="4" w:space="0" w:color="auto"/>
              <w:right w:val="single" w:sz="4" w:space="0" w:color="auto"/>
            </w:tcBorders>
            <w:shd w:val="clear" w:color="auto" w:fill="auto"/>
            <w:vAlign w:val="center"/>
          </w:tcPr>
          <w:p w:rsidR="00CE3DE2" w:rsidRPr="005A54CD" w:rsidRDefault="00CE3DE2" w:rsidP="00912164">
            <w:pPr>
              <w:pStyle w:val="TableText0"/>
              <w:jc w:val="center"/>
              <w:rPr>
                <w:color w:val="000000"/>
                <w:szCs w:val="20"/>
              </w:rPr>
            </w:pPr>
          </w:p>
        </w:tc>
      </w:tr>
      <w:tr w:rsidR="00CE3DE2" w:rsidRPr="008154B1" w:rsidTr="005A54CD">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rsidR="00CE3DE2" w:rsidRPr="005A54CD" w:rsidRDefault="00CE3DE2" w:rsidP="00912164">
            <w:pPr>
              <w:pStyle w:val="TableText0"/>
              <w:rPr>
                <w:color w:val="000000"/>
                <w:szCs w:val="20"/>
              </w:rPr>
            </w:pPr>
            <w:r w:rsidRPr="005A54CD">
              <w:rPr>
                <w:color w:val="000000"/>
                <w:szCs w:val="20"/>
              </w:rPr>
              <w:t>% reduction vs. PBO, (95% CI)</w:t>
            </w:r>
            <w:r w:rsidRPr="005A54CD">
              <w:rPr>
                <w:color w:val="000000"/>
                <w:szCs w:val="20"/>
                <w:vertAlign w:val="superscript"/>
              </w:rPr>
              <w:t xml:space="preserve"> f</w:t>
            </w:r>
          </w:p>
        </w:tc>
        <w:tc>
          <w:tcPr>
            <w:tcW w:w="1008" w:type="pct"/>
            <w:tcBorders>
              <w:top w:val="single" w:sz="4" w:space="0" w:color="auto"/>
              <w:left w:val="single" w:sz="4" w:space="0" w:color="auto"/>
              <w:bottom w:val="single" w:sz="4" w:space="0" w:color="auto"/>
              <w:right w:val="single" w:sz="4" w:space="0" w:color="auto"/>
            </w:tcBorders>
            <w:vAlign w:val="center"/>
          </w:tcPr>
          <w:p w:rsidR="00CE3DE2" w:rsidRPr="005A54CD" w:rsidRDefault="00E14DA0" w:rsidP="00DA6246">
            <w:pPr>
              <w:pStyle w:val="TableText0"/>
              <w:jc w:val="center"/>
              <w:rPr>
                <w:b/>
                <w:szCs w:val="20"/>
              </w:rPr>
            </w:pPr>
            <w:r w:rsidRPr="005A54CD">
              <w:rPr>
                <w:b/>
                <w:szCs w:val="20"/>
              </w:rPr>
              <w:t>-70.5 (-82.7, -49.7)</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CE3DE2" w:rsidRPr="005A54CD" w:rsidRDefault="00CE3DE2" w:rsidP="00DA6246">
            <w:pPr>
              <w:pStyle w:val="TableText0"/>
              <w:jc w:val="center"/>
              <w:rPr>
                <w:b/>
                <w:szCs w:val="20"/>
              </w:rPr>
            </w:pPr>
            <w:r w:rsidRPr="005A54CD">
              <w:rPr>
                <w:b/>
                <w:szCs w:val="20"/>
              </w:rPr>
              <w:t>-</w:t>
            </w:r>
            <w:r w:rsidR="00DA6246" w:rsidRPr="005A54CD">
              <w:rPr>
                <w:b/>
                <w:szCs w:val="20"/>
              </w:rPr>
              <w:t>73.3</w:t>
            </w:r>
            <w:r w:rsidRPr="005A54CD">
              <w:rPr>
                <w:b/>
                <w:szCs w:val="20"/>
              </w:rPr>
              <w:t xml:space="preserve"> (-84.3, -54.5)</w:t>
            </w:r>
          </w:p>
        </w:tc>
        <w:tc>
          <w:tcPr>
            <w:tcW w:w="971" w:type="pct"/>
            <w:tcBorders>
              <w:top w:val="single" w:sz="4" w:space="0" w:color="auto"/>
              <w:left w:val="nil"/>
              <w:bottom w:val="single" w:sz="4" w:space="0" w:color="auto"/>
              <w:right w:val="single" w:sz="4" w:space="0" w:color="auto"/>
            </w:tcBorders>
            <w:shd w:val="clear" w:color="auto" w:fill="auto"/>
            <w:vAlign w:val="center"/>
          </w:tcPr>
          <w:p w:rsidR="00CE3DE2" w:rsidRPr="005A54CD" w:rsidRDefault="00CE3DE2" w:rsidP="00DA6246">
            <w:pPr>
              <w:pStyle w:val="TableText0"/>
              <w:jc w:val="center"/>
              <w:rPr>
                <w:b/>
                <w:szCs w:val="20"/>
              </w:rPr>
            </w:pPr>
            <w:r w:rsidRPr="005A54CD">
              <w:rPr>
                <w:b/>
                <w:szCs w:val="20"/>
              </w:rPr>
              <w:t>-83.</w:t>
            </w:r>
            <w:r w:rsidR="00DA6246" w:rsidRPr="005A54CD">
              <w:rPr>
                <w:b/>
                <w:szCs w:val="20"/>
              </w:rPr>
              <w:t>4</w:t>
            </w:r>
            <w:r w:rsidRPr="005A54CD">
              <w:rPr>
                <w:b/>
                <w:szCs w:val="20"/>
              </w:rPr>
              <w:t xml:space="preserve"> (-91.6</w:t>
            </w:r>
            <w:r w:rsidR="00DA6246" w:rsidRPr="005A54CD">
              <w:rPr>
                <w:b/>
                <w:szCs w:val="20"/>
              </w:rPr>
              <w:t>, -67.1</w:t>
            </w:r>
            <w:r w:rsidRPr="005A54CD">
              <w:rPr>
                <w:b/>
                <w:szCs w:val="20"/>
              </w:rPr>
              <w:t>)</w:t>
            </w:r>
          </w:p>
        </w:tc>
        <w:tc>
          <w:tcPr>
            <w:tcW w:w="680" w:type="pct"/>
            <w:tcBorders>
              <w:top w:val="single" w:sz="4" w:space="0" w:color="auto"/>
              <w:left w:val="nil"/>
              <w:bottom w:val="single" w:sz="4" w:space="0" w:color="auto"/>
              <w:right w:val="single" w:sz="4" w:space="0" w:color="auto"/>
            </w:tcBorders>
            <w:shd w:val="clear" w:color="auto" w:fill="auto"/>
            <w:vAlign w:val="center"/>
          </w:tcPr>
          <w:p w:rsidR="00CE3DE2" w:rsidRPr="005A54CD" w:rsidRDefault="00CE3DE2" w:rsidP="00912164">
            <w:pPr>
              <w:pStyle w:val="TableText0"/>
              <w:jc w:val="center"/>
              <w:rPr>
                <w:color w:val="000000"/>
                <w:szCs w:val="20"/>
              </w:rPr>
            </w:pPr>
          </w:p>
        </w:tc>
      </w:tr>
    </w:tbl>
    <w:p w:rsidR="009A2BF6" w:rsidRPr="008154B1" w:rsidRDefault="00D0096A" w:rsidP="00912164">
      <w:pPr>
        <w:pStyle w:val="TableFigureFooter"/>
      </w:pPr>
      <w:r w:rsidRPr="008154B1">
        <w:t>Source: Table 2, p2114 of Banerji et al (2018)</w:t>
      </w:r>
      <w:r w:rsidR="00E40AD4" w:rsidRPr="008154B1">
        <w:rPr>
          <w:rStyle w:val="FootnoteReference"/>
          <w:vertAlign w:val="baseline"/>
        </w:rPr>
        <w:footnoteReference w:id="2"/>
      </w:r>
      <w:r w:rsidRPr="008154B1">
        <w:t>, Table 14.2.5.3, p372 of the HELP CSR.</w:t>
      </w:r>
      <w:r w:rsidR="009A2BF6" w:rsidRPr="008154B1">
        <w:rPr>
          <w:b/>
        </w:rPr>
        <w:t xml:space="preserve"> Results in bold are statistically significant.</w:t>
      </w:r>
      <w:r w:rsidR="00AC5332" w:rsidRPr="008154B1">
        <w:rPr>
          <w:b/>
        </w:rPr>
        <w:t xml:space="preserve"> </w:t>
      </w:r>
      <w:r w:rsidR="00AC5332" w:rsidRPr="008154B1">
        <w:t>Blue shading indicates data presented in the previous submission</w:t>
      </w:r>
      <w:r w:rsidR="004C6E36">
        <w:t xml:space="preserve"> and </w:t>
      </w:r>
      <w:r w:rsidR="004C6E36" w:rsidRPr="008154B1">
        <w:t>considered by PBAC previously.</w:t>
      </w:r>
    </w:p>
    <w:p w:rsidR="00D0096A" w:rsidRPr="008154B1" w:rsidRDefault="00D0096A" w:rsidP="00912164">
      <w:pPr>
        <w:pStyle w:val="TableFigureFooter"/>
      </w:pPr>
      <w:r w:rsidRPr="008154B1">
        <w:t xml:space="preserve">CI = confidence interval; PBO = placebo; </w:t>
      </w:r>
      <w:r w:rsidR="0022734B" w:rsidRPr="008154B1">
        <w:t xml:space="preserve">Q2W = every 2 weeks; Q4W = every 4 weeks; </w:t>
      </w:r>
      <w:r w:rsidRPr="008154B1">
        <w:t>SC = subcutaneous</w:t>
      </w:r>
      <w:r w:rsidR="00B73299" w:rsidRPr="008154B1">
        <w:t>; SD = standard deviation</w:t>
      </w:r>
      <w:r w:rsidRPr="008154B1">
        <w:t>.</w:t>
      </w:r>
    </w:p>
    <w:p w:rsidR="00D0096A" w:rsidRPr="008154B1" w:rsidRDefault="00D0096A" w:rsidP="00912164">
      <w:pPr>
        <w:pStyle w:val="TableFigureFooter"/>
        <w:ind w:left="142" w:hanging="142"/>
      </w:pPr>
      <w:r w:rsidRPr="008154B1">
        <w:rPr>
          <w:vertAlign w:val="superscript"/>
        </w:rPr>
        <w:t>a</w:t>
      </w:r>
      <w:r w:rsidR="00B73299" w:rsidRPr="008154B1">
        <w:t xml:space="preserve"> </w:t>
      </w:r>
      <w:r w:rsidRPr="008154B1">
        <w:t>All patients received injections every 2 weeks, with those in the every-4-week groups receiving placebo in between active treatments</w:t>
      </w:r>
    </w:p>
    <w:p w:rsidR="00D0096A" w:rsidRPr="008154B1" w:rsidRDefault="00D0096A" w:rsidP="00912164">
      <w:pPr>
        <w:pStyle w:val="TableFigureFooter"/>
        <w:ind w:left="142" w:hanging="142"/>
      </w:pPr>
      <w:r w:rsidRPr="008154B1">
        <w:rPr>
          <w:vertAlign w:val="superscript"/>
        </w:rPr>
        <w:t>b</w:t>
      </w:r>
      <w:r w:rsidR="00B73299" w:rsidRPr="008154B1">
        <w:t xml:space="preserve"> </w:t>
      </w:r>
      <w:r w:rsidRPr="008154B1">
        <w:t>Attack rates are model-based mean attacks per month, defined as 4 weeks.</w:t>
      </w:r>
    </w:p>
    <w:p w:rsidR="00D0096A" w:rsidRPr="008154B1" w:rsidRDefault="00D0096A" w:rsidP="00912164">
      <w:pPr>
        <w:pStyle w:val="TableFigureFooter"/>
        <w:ind w:left="142" w:hanging="142"/>
      </w:pPr>
      <w:r w:rsidRPr="008154B1">
        <w:rPr>
          <w:vertAlign w:val="superscript"/>
        </w:rPr>
        <w:t>c</w:t>
      </w:r>
      <w:r w:rsidR="00B73299" w:rsidRPr="008154B1">
        <w:t xml:space="preserve"> </w:t>
      </w:r>
      <w:r w:rsidRPr="008154B1">
        <w:t xml:space="preserve">Results are from a Poisson regression model accounting for </w:t>
      </w:r>
      <w:r w:rsidR="00E76803" w:rsidRPr="008154B1">
        <w:t>over dispersion</w:t>
      </w:r>
      <w:r w:rsidRPr="008154B1">
        <w:t>; treatment group and normalized baseline attack rate were fixed effects. The logarithm of time (days) each patient was observed during the treatment period was an offset variable. All P values (Wald test) reported vs placebo</w:t>
      </w:r>
    </w:p>
    <w:p w:rsidR="00D0096A" w:rsidRPr="008154B1" w:rsidRDefault="00D0096A" w:rsidP="00912164">
      <w:pPr>
        <w:pStyle w:val="TableFigureFooter"/>
        <w:ind w:left="142" w:hanging="142"/>
      </w:pPr>
      <w:r w:rsidRPr="008154B1">
        <w:rPr>
          <w:vertAlign w:val="superscript"/>
        </w:rPr>
        <w:t>d</w:t>
      </w:r>
      <w:r w:rsidR="0022734B" w:rsidRPr="008154B1">
        <w:t xml:space="preserve"> </w:t>
      </w:r>
      <w:r w:rsidRPr="008154B1">
        <w:t>Estimated from a nonlinear function of the model parameters. All P values (Wald test) reported vs placebo</w:t>
      </w:r>
    </w:p>
    <w:p w:rsidR="00D0096A" w:rsidRPr="008154B1" w:rsidRDefault="00D0096A" w:rsidP="00912164">
      <w:pPr>
        <w:pStyle w:val="TableFigureFooter"/>
        <w:ind w:left="142" w:hanging="142"/>
      </w:pPr>
      <w:r w:rsidRPr="008154B1">
        <w:rPr>
          <w:vertAlign w:val="superscript"/>
        </w:rPr>
        <w:t>e</w:t>
      </w:r>
      <w:r w:rsidRPr="008154B1">
        <w:t xml:space="preserve"> p-value adjusted for multiple testing</w:t>
      </w:r>
    </w:p>
    <w:p w:rsidR="00D0096A" w:rsidRPr="008154B1" w:rsidRDefault="00D0096A" w:rsidP="00912164">
      <w:pPr>
        <w:pStyle w:val="TableFigureFooter"/>
        <w:ind w:left="142" w:hanging="142"/>
      </w:pPr>
      <w:r w:rsidRPr="008154B1">
        <w:rPr>
          <w:vertAlign w:val="superscript"/>
        </w:rPr>
        <w:t>f</w:t>
      </w:r>
      <w:r w:rsidR="00B73299" w:rsidRPr="008154B1">
        <w:t xml:space="preserve"> </w:t>
      </w:r>
      <w:r w:rsidRPr="008154B1">
        <w:t xml:space="preserve">% change in mean rate corresponds to 100% × (Estimated mean rate ratio – 1) – Rounded. A negative sign for % reduction </w:t>
      </w:r>
      <w:r w:rsidR="00AD5A4A" w:rsidRPr="008154B1">
        <w:t>versus</w:t>
      </w:r>
      <w:r w:rsidRPr="008154B1">
        <w:t xml:space="preserve"> PBO implies a reduction in mean attack rate favouring lanadelumab over placebo. </w:t>
      </w:r>
    </w:p>
    <w:p w:rsidR="00D0096A" w:rsidRPr="008154B1" w:rsidRDefault="00D0096A" w:rsidP="00912164">
      <w:pPr>
        <w:pStyle w:val="TableFigureFooter"/>
      </w:pPr>
    </w:p>
    <w:p w:rsidR="00067751" w:rsidRPr="008154B1" w:rsidRDefault="00067751" w:rsidP="00912164">
      <w:pPr>
        <w:pStyle w:val="3-BodyText"/>
      </w:pPr>
      <w:r w:rsidRPr="008154B1">
        <w:t>The results for the primary outcome are also presented in the figure below.</w:t>
      </w:r>
    </w:p>
    <w:p w:rsidR="00067751" w:rsidRPr="008154B1" w:rsidRDefault="00067751" w:rsidP="005A54CD">
      <w:pPr>
        <w:pStyle w:val="TableFigureHeading"/>
      </w:pPr>
      <w:r w:rsidRPr="008154B1">
        <w:t xml:space="preserve">Figure </w:t>
      </w:r>
      <w:r w:rsidR="00EF7C1A" w:rsidRPr="008154B1">
        <w:t>1</w:t>
      </w:r>
      <w:r w:rsidRPr="008154B1">
        <w:t xml:space="preserve">: </w:t>
      </w:r>
      <w:r w:rsidR="00691DCE" w:rsidRPr="008154B1">
        <w:t>Investigator-confirmed HAE attacks during the treatment period by treatment group (ITT population</w:t>
      </w:r>
      <w:r w:rsidR="000973F5" w:rsidRPr="008154B1">
        <w:t>, Poisson regression, Day 0 to Day 182</w:t>
      </w:r>
      <w:r w:rsidR="00691DCE" w:rsidRPr="008154B1">
        <w:t>)</w:t>
      </w:r>
    </w:p>
    <w:p w:rsidR="00691DCE" w:rsidRPr="008154B1" w:rsidRDefault="000973F5" w:rsidP="000973F5">
      <w:pPr>
        <w:pStyle w:val="3-BodyText"/>
        <w:keepNext/>
        <w:keepLines/>
        <w:numPr>
          <w:ilvl w:val="0"/>
          <w:numId w:val="0"/>
        </w:numPr>
        <w:ind w:left="720" w:hanging="720"/>
        <w:jc w:val="left"/>
      </w:pPr>
      <w:r w:rsidRPr="008154B1">
        <w:rPr>
          <w:noProof/>
        </w:rPr>
        <w:drawing>
          <wp:inline distT="0" distB="0" distL="0" distR="0" wp14:anchorId="0D51CBCD" wp14:editId="2D24812E">
            <wp:extent cx="5556250" cy="302133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3840" r="3069"/>
                    <a:stretch/>
                  </pic:blipFill>
                  <pic:spPr bwMode="auto">
                    <a:xfrm>
                      <a:off x="0" y="0"/>
                      <a:ext cx="5556250" cy="3021330"/>
                    </a:xfrm>
                    <a:prstGeom prst="rect">
                      <a:avLst/>
                    </a:prstGeom>
                    <a:ln>
                      <a:noFill/>
                    </a:ln>
                    <a:extLst>
                      <a:ext uri="{53640926-AAD7-44D8-BBD7-CCE9431645EC}">
                        <a14:shadowObscured xmlns:a14="http://schemas.microsoft.com/office/drawing/2010/main"/>
                      </a:ext>
                    </a:extLst>
                  </pic:spPr>
                </pic:pic>
              </a:graphicData>
            </a:graphic>
          </wp:inline>
        </w:drawing>
      </w:r>
    </w:p>
    <w:p w:rsidR="00067751" w:rsidRPr="008154B1" w:rsidRDefault="00691DCE" w:rsidP="005A54CD">
      <w:pPr>
        <w:pStyle w:val="TableFigureFooter"/>
      </w:pPr>
      <w:r w:rsidRPr="008154B1">
        <w:t>Source: Figure 4, HELP trial CSR</w:t>
      </w:r>
    </w:p>
    <w:p w:rsidR="00691DCE" w:rsidRPr="008154B1" w:rsidRDefault="00691DCE" w:rsidP="005A54CD">
      <w:pPr>
        <w:pStyle w:val="TableFigureFooter"/>
      </w:pPr>
      <w:r w:rsidRPr="008154B1">
        <w:t>HAE = hereditary angioedema; ITT = intent-to-treat</w:t>
      </w:r>
    </w:p>
    <w:p w:rsidR="00691DCE" w:rsidRPr="008154B1" w:rsidRDefault="00691DCE" w:rsidP="00691DCE">
      <w:pPr>
        <w:pStyle w:val="3-BodyText"/>
      </w:pPr>
      <w:r w:rsidRPr="008154B1">
        <w:t>For Day 0 to Day 182 (26 weeks of follow-up), the</w:t>
      </w:r>
      <w:r w:rsidR="00CE3DE2" w:rsidRPr="008154B1">
        <w:t xml:space="preserve"> lanadelumab 300 mg Q4W and 300 </w:t>
      </w:r>
      <w:r w:rsidRPr="008154B1">
        <w:t>mg Q2W treatment regimens resulted in statistically significant reductions in the mean HAE attack rate (per month) versus the placebo treatment arm (73.3% and 86.9% reductions, respectively; p&lt;0.001).</w:t>
      </w:r>
      <w:r w:rsidR="00CE3DE2" w:rsidRPr="008154B1">
        <w:t xml:space="preserve"> The PBAC noted that the lanadelumab 150 mg Q4W regimen also resulted in a statistically significant reduction in the mean HAE attack rate versus placebo (75.6% reduction; p&lt;0.001).</w:t>
      </w:r>
    </w:p>
    <w:p w:rsidR="00691DCE" w:rsidRPr="008154B1" w:rsidRDefault="00691DCE" w:rsidP="00691DCE">
      <w:pPr>
        <w:pStyle w:val="3-BodyText"/>
      </w:pPr>
      <w:r w:rsidRPr="008154B1">
        <w:t>Statistically significant reductions associated with the lanadelumab 300 mg Q4W and 300 mg Q2W treatment regimens versus placebo (Day 0 to Day 182) were also observed for the endpoints of:</w:t>
      </w:r>
    </w:p>
    <w:p w:rsidR="00691DCE" w:rsidRPr="008154B1" w:rsidRDefault="00691DCE" w:rsidP="00950926">
      <w:pPr>
        <w:pStyle w:val="ListParagraph"/>
        <w:numPr>
          <w:ilvl w:val="0"/>
          <w:numId w:val="8"/>
        </w:numPr>
        <w:tabs>
          <w:tab w:val="left" w:pos="1134"/>
        </w:tabs>
        <w:spacing w:before="120"/>
        <w:ind w:left="1219" w:hanging="357"/>
        <w:contextualSpacing/>
      </w:pPr>
      <w:r w:rsidRPr="008154B1">
        <w:t>Attacks/month requiring rescue or acute treatment (74.2% and 87.3% reductions, respectively); and</w:t>
      </w:r>
    </w:p>
    <w:p w:rsidR="00691DCE" w:rsidRPr="008154B1" w:rsidRDefault="00691DCE" w:rsidP="00950926">
      <w:pPr>
        <w:pStyle w:val="ListParagraph"/>
        <w:numPr>
          <w:ilvl w:val="0"/>
          <w:numId w:val="8"/>
        </w:numPr>
        <w:tabs>
          <w:tab w:val="left" w:pos="1134"/>
        </w:tabs>
        <w:spacing w:before="120"/>
        <w:ind w:left="1219" w:hanging="357"/>
      </w:pPr>
      <w:r w:rsidRPr="008154B1">
        <w:t>Moderate or severe attacks/month (73.3% and 83.4% reductions, respectively).</w:t>
      </w:r>
    </w:p>
    <w:p w:rsidR="00446FD9" w:rsidRPr="008154B1" w:rsidRDefault="005D6F2D" w:rsidP="00912164">
      <w:pPr>
        <w:pStyle w:val="3-BodyText"/>
      </w:pPr>
      <w:r w:rsidRPr="008154B1">
        <w:t>The extent of clinical benefit associated with lanadelumab over placebo</w:t>
      </w:r>
      <w:r w:rsidR="009A7646" w:rsidRPr="008154B1">
        <w:t xml:space="preserve"> observed in the HELP trial</w:t>
      </w:r>
      <w:r w:rsidRPr="008154B1">
        <w:t xml:space="preserve">, although significant, was associated with wide confidence intervals, </w:t>
      </w:r>
      <w:r w:rsidR="009A7646" w:rsidRPr="008154B1">
        <w:t xml:space="preserve">primarily due to the </w:t>
      </w:r>
      <w:r w:rsidRPr="008154B1">
        <w:t>small size of the study</w:t>
      </w:r>
      <w:r w:rsidR="009A7646" w:rsidRPr="008154B1">
        <w:t xml:space="preserve">. </w:t>
      </w:r>
    </w:p>
    <w:p w:rsidR="005D6F2D" w:rsidRPr="008154B1" w:rsidRDefault="00DA6246" w:rsidP="00912164">
      <w:pPr>
        <w:pStyle w:val="3-BodyText"/>
      </w:pPr>
      <w:r w:rsidRPr="008154B1">
        <w:t xml:space="preserve">The </w:t>
      </w:r>
      <w:r w:rsidR="002149E8" w:rsidRPr="008154B1">
        <w:t>evaluation</w:t>
      </w:r>
      <w:r w:rsidRPr="008154B1">
        <w:t xml:space="preserve"> considered that l</w:t>
      </w:r>
      <w:r w:rsidR="009A7646" w:rsidRPr="008154B1">
        <w:t>ong term comparative efficacy is also lacking (given the 26-week HELP study period), considering that therapy is likely to be on-going in many patients.</w:t>
      </w:r>
      <w:r w:rsidR="00287705" w:rsidRPr="008154B1">
        <w:t xml:space="preserve"> The </w:t>
      </w:r>
      <w:r w:rsidR="004C2080">
        <w:t>Pre-Sub-Committee Response (PSCR)</w:t>
      </w:r>
      <w:r w:rsidR="00020AE1" w:rsidRPr="008154B1">
        <w:t xml:space="preserve"> </w:t>
      </w:r>
      <w:r w:rsidR="00287705" w:rsidRPr="008154B1">
        <w:t xml:space="preserve">provided data from the </w:t>
      </w:r>
      <w:r w:rsidR="00287705" w:rsidRPr="008154B1">
        <w:lastRenderedPageBreak/>
        <w:t xml:space="preserve">extension phase of the HELP trial in which all patients were offered the opportunity to roll-over into an extension study. </w:t>
      </w:r>
      <w:r w:rsidR="00B029B6" w:rsidRPr="008154B1">
        <w:t>The PSCR</w:t>
      </w:r>
      <w:r w:rsidR="00020AE1" w:rsidRPr="008154B1">
        <w:t xml:space="preserve"> </w:t>
      </w:r>
      <w:r w:rsidR="00B029B6" w:rsidRPr="008154B1">
        <w:t>stated that a</w:t>
      </w:r>
      <w:r w:rsidR="00287705" w:rsidRPr="008154B1">
        <w:t xml:space="preserve">t the time of submission, the collective total subject-time for the 109 rollover </w:t>
      </w:r>
      <w:r w:rsidR="00B029B6" w:rsidRPr="008154B1">
        <w:t>patient</w:t>
      </w:r>
      <w:r w:rsidR="00287705" w:rsidRPr="008154B1">
        <w:t xml:space="preserve">s was </w:t>
      </w:r>
      <w:r w:rsidR="00B029B6" w:rsidRPr="008154B1">
        <w:t>714</w:t>
      </w:r>
      <w:r w:rsidR="00287705" w:rsidRPr="008154B1">
        <w:t xml:space="preserve"> months. In the extension study, the lanadelumab treatment effect was maintained with the </w:t>
      </w:r>
      <w:r w:rsidR="00B029B6" w:rsidRPr="008154B1">
        <w:t xml:space="preserve">mean </w:t>
      </w:r>
      <w:r w:rsidR="00EF7C1A" w:rsidRPr="008154B1">
        <w:t xml:space="preserve">HAE attack rate in lanadelumab-treated patients </w:t>
      </w:r>
      <w:r w:rsidR="00287705" w:rsidRPr="008154B1">
        <w:t xml:space="preserve">(300mg </w:t>
      </w:r>
      <w:r w:rsidR="00B029B6" w:rsidRPr="008154B1">
        <w:t>Q2W</w:t>
      </w:r>
      <w:r w:rsidR="00287705" w:rsidRPr="008154B1">
        <w:t>) decreasing from 0.26</w:t>
      </w:r>
      <w:r w:rsidR="00B029B6" w:rsidRPr="008154B1">
        <w:t xml:space="preserve"> attacks per </w:t>
      </w:r>
      <w:r w:rsidR="00287705" w:rsidRPr="008154B1">
        <w:t xml:space="preserve">month </w:t>
      </w:r>
      <w:r w:rsidR="00B029B6" w:rsidRPr="008154B1">
        <w:t xml:space="preserve">during the randomised period </w:t>
      </w:r>
      <w:r w:rsidR="00287705" w:rsidRPr="008154B1">
        <w:t>to 0.18</w:t>
      </w:r>
      <w:r w:rsidR="00B029B6" w:rsidRPr="008154B1">
        <w:t xml:space="preserve"> attacks per </w:t>
      </w:r>
      <w:r w:rsidR="00287705" w:rsidRPr="008154B1">
        <w:t>month</w:t>
      </w:r>
      <w:r w:rsidR="00B029B6" w:rsidRPr="008154B1">
        <w:t xml:space="preserve"> during the extension study</w:t>
      </w:r>
      <w:r w:rsidR="00287705" w:rsidRPr="008154B1">
        <w:t xml:space="preserve">. </w:t>
      </w:r>
    </w:p>
    <w:p w:rsidR="00460BA5" w:rsidRPr="008154B1" w:rsidRDefault="00193285" w:rsidP="00912164">
      <w:pPr>
        <w:pStyle w:val="3-BodyText"/>
      </w:pPr>
      <w:r w:rsidRPr="008154B1">
        <w:t>The TGA evaluation report</w:t>
      </w:r>
      <w:r w:rsidR="00B45E5C" w:rsidRPr="008154B1">
        <w:t xml:space="preserve"> </w:t>
      </w:r>
      <w:r w:rsidRPr="008154B1">
        <w:t>noted that the limitations regarding the efficacy results relate to the small number of patients included in the HELP trial and the inherent variability and unpredictability in HAE attack pattern and frequency. This was demonstrated by 1) some responders in the HELP trial who subsequently became non-responders (N</w:t>
      </w:r>
      <w:r w:rsidR="007865C6" w:rsidRPr="008154B1">
        <w:t xml:space="preserve"> </w:t>
      </w:r>
      <w:r w:rsidRPr="008154B1">
        <w:t>= 3) in the HELP extension phase due to “significant life-changing stress events”, and 2) the substantial reduction in HAE attack rate per month in the placebo arm of HELP (median of 3.00 attacks/month during the run-in period to a median of 1.69 attacks/month in the treatment period). This inherent variability in HAE attack rates and the potential for unpredictable changes in life events to trigger attacks raises concerns regarding the results of the main efficacy study in the context of the small study size, and that the study results may be confounded by this variability and reflect changes in life events rather than the effects of lanadelumab.</w:t>
      </w:r>
    </w:p>
    <w:p w:rsidR="00D0096A" w:rsidRPr="008154B1" w:rsidRDefault="00D0096A" w:rsidP="00912164">
      <w:pPr>
        <w:pStyle w:val="3-BodyText"/>
      </w:pPr>
      <w:r w:rsidRPr="008154B1">
        <w:t xml:space="preserve">The resubmission stated that </w:t>
      </w:r>
      <w:r w:rsidR="007865C6" w:rsidRPr="008154B1">
        <w:t xml:space="preserve">patients </w:t>
      </w:r>
      <w:r w:rsidRPr="008154B1">
        <w:t xml:space="preserve">treated with lanadelumab experienced a significantly greater reduction (i.e., improvement) in the </w:t>
      </w:r>
      <w:r w:rsidR="0008520A" w:rsidRPr="008154B1">
        <w:t xml:space="preserve">Angioedema Quality of Life </w:t>
      </w:r>
      <w:r w:rsidRPr="008154B1">
        <w:t>(AE-QoL) total score and all domain (functioning, fatigue/mood, fear/shame, and nutrition) scores, relative to the placebo arm (p &lt;</w:t>
      </w:r>
      <w:r w:rsidR="004975E5" w:rsidRPr="008154B1">
        <w:t> </w:t>
      </w:r>
      <w:r w:rsidRPr="008154B1">
        <w:t xml:space="preserve">0.04 for the AE-QoL total and all domain scores). These analyses </w:t>
      </w:r>
      <w:r w:rsidR="009F7D8A" w:rsidRPr="008154B1">
        <w:t xml:space="preserve">were conducted </w:t>
      </w:r>
      <w:r w:rsidRPr="008154B1">
        <w:t>post hoc and no apparent adjustment for multiplicity testing was conducted. There were no significant changes in EQ-5D results.</w:t>
      </w:r>
    </w:p>
    <w:p w:rsidR="00D0096A" w:rsidRPr="008154B1" w:rsidRDefault="009A2BF6" w:rsidP="00EF7C1A">
      <w:pPr>
        <w:pStyle w:val="3-BodyText"/>
      </w:pPr>
      <w:r w:rsidRPr="008154B1">
        <w:t>T</w:t>
      </w:r>
      <w:r w:rsidR="008160D9" w:rsidRPr="008154B1">
        <w:t xml:space="preserve">he HELP trial did not permit (by design) routine prophylaxis (short or long term) during the randomised treatment phase. </w:t>
      </w:r>
      <w:r w:rsidR="002973B2" w:rsidRPr="008154B1">
        <w:t>The resubmission stated that danazol (AZOL®) was being withdrawn from the market by the supplier Mylan</w:t>
      </w:r>
      <w:r w:rsidR="002973B2" w:rsidRPr="008154B1">
        <w:rPr>
          <w:vertAlign w:val="superscript"/>
        </w:rPr>
        <w:footnoteReference w:id="3"/>
      </w:r>
      <w:r w:rsidR="002973B2" w:rsidRPr="008154B1">
        <w:t xml:space="preserve">, however it is noted that </w:t>
      </w:r>
      <w:r w:rsidR="00045F55" w:rsidRPr="008154B1">
        <w:t xml:space="preserve">danazol is still listed on the PBS and </w:t>
      </w:r>
      <w:r w:rsidR="002973B2" w:rsidRPr="008154B1">
        <w:t>resupply may occur, with multiple danazol brands potentially available from other suppliers</w:t>
      </w:r>
      <w:r w:rsidR="002973B2" w:rsidRPr="008154B1">
        <w:rPr>
          <w:vertAlign w:val="superscript"/>
        </w:rPr>
        <w:footnoteReference w:id="4"/>
      </w:r>
      <w:r w:rsidR="002973B2" w:rsidRPr="008154B1">
        <w:t xml:space="preserve">. </w:t>
      </w:r>
      <w:r w:rsidR="00D0096A" w:rsidRPr="008154B1">
        <w:rPr>
          <w:rFonts w:ascii="Calibri" w:hAnsi="Calibri"/>
          <w:szCs w:val="22"/>
          <w:lang w:eastAsia="en-US"/>
        </w:rPr>
        <w:t xml:space="preserve">The comparative benefit in reduction of attack rates favouring </w:t>
      </w:r>
      <w:r w:rsidR="00EF7C1A" w:rsidRPr="008154B1">
        <w:rPr>
          <w:rFonts w:ascii="Calibri" w:hAnsi="Calibri"/>
          <w:szCs w:val="22"/>
          <w:lang w:eastAsia="en-US"/>
        </w:rPr>
        <w:t>lanadelumab observed in HELP may be an overestimate if SOC in clinical practice constitutes some form of routine prophylaxis, including use of oral prophylaxis (or SC C1-INH in patients with severe HAE).</w:t>
      </w:r>
      <w:r w:rsidR="00153499" w:rsidRPr="008154B1">
        <w:rPr>
          <w:rFonts w:ascii="Calibri" w:hAnsi="Calibri"/>
          <w:szCs w:val="22"/>
          <w:lang w:eastAsia="en-US"/>
        </w:rPr>
        <w:t xml:space="preserve"> </w:t>
      </w:r>
    </w:p>
    <w:p w:rsidR="00CD1BD7" w:rsidRPr="008154B1" w:rsidRDefault="00CD1BD7" w:rsidP="00912164">
      <w:pPr>
        <w:pStyle w:val="3-BodyText"/>
      </w:pPr>
      <w:r w:rsidRPr="008154B1">
        <w:t xml:space="preserve">The PSCR stated ‘it is expected that patients not achieving adequate efficacy and/or experiencing unacceptable toxicities with oral prophylaxis would switch to lanadelumab as the sole prophylactic agent. The ESC agreed that lanadelumab was unlikely to be used in combination with oral prophylaxis in clinical practice, but noted </w:t>
      </w:r>
      <w:r w:rsidRPr="008154B1">
        <w:lastRenderedPageBreak/>
        <w:t xml:space="preserve">that the </w:t>
      </w:r>
      <w:r w:rsidR="006A7B75" w:rsidRPr="008154B1">
        <w:t xml:space="preserve">incremental benefit may be reduced if the comparison was </w:t>
      </w:r>
      <w:r w:rsidRPr="008154B1">
        <w:t xml:space="preserve">SOC </w:t>
      </w:r>
      <w:r w:rsidR="006A7B75" w:rsidRPr="008154B1">
        <w:t>including</w:t>
      </w:r>
      <w:r w:rsidRPr="008154B1">
        <w:t xml:space="preserve"> oral prophylaxis versus lanadelumab. The ESC agreed with the PSCR that ‘if danazol is not available on the PBS, the limited use of oral prophylaxis in the trial is consistent with current clinical practice’.</w:t>
      </w:r>
    </w:p>
    <w:p w:rsidR="00D0096A" w:rsidRPr="008154B1" w:rsidRDefault="004975E5" w:rsidP="00912164">
      <w:pPr>
        <w:pStyle w:val="3-BodyText"/>
      </w:pPr>
      <w:r w:rsidRPr="008154B1">
        <w:t>Further applicability concerns included the baseline attack frequency and period of assessment in the HELP trial compared with</w:t>
      </w:r>
      <w:r w:rsidR="00CC7240" w:rsidRPr="008154B1">
        <w:t xml:space="preserve"> </w:t>
      </w:r>
      <w:r w:rsidR="00D0096A" w:rsidRPr="008154B1">
        <w:t>Australian clinical practice. The required baseline attack rate threshold for enrolment into HELP (equivalent of ≥</w:t>
      </w:r>
      <w:r w:rsidR="00F520E0" w:rsidRPr="008154B1">
        <w:t> </w:t>
      </w:r>
      <w:r w:rsidR="00172AB8" w:rsidRPr="008154B1">
        <w:t>1</w:t>
      </w:r>
      <w:r w:rsidR="00D0096A" w:rsidRPr="008154B1">
        <w:t xml:space="preserve"> investigator-confirmed HAE attack per month), and corresponding monitoring period (8 weeks run in) were both lower and shorter, respectively, compared those proposed in the requested restriction (threshold of ≥</w:t>
      </w:r>
      <w:r w:rsidR="008278FA" w:rsidRPr="008154B1">
        <w:t> </w:t>
      </w:r>
      <w:r w:rsidR="00D0096A" w:rsidRPr="008154B1">
        <w:t xml:space="preserve">12 treated acute attacks per </w:t>
      </w:r>
      <w:r w:rsidR="00172AB8" w:rsidRPr="008154B1">
        <w:t>6</w:t>
      </w:r>
      <w:r w:rsidR="00D0096A" w:rsidRPr="008154B1">
        <w:t>-month (equivalent of ≥</w:t>
      </w:r>
      <w:r w:rsidR="008278FA" w:rsidRPr="008154B1">
        <w:t> </w:t>
      </w:r>
      <w:r w:rsidR="00D0096A" w:rsidRPr="008154B1">
        <w:t>2 treated attacks per month</w:t>
      </w:r>
      <w:r w:rsidR="00CC7240" w:rsidRPr="008154B1">
        <w:t>)</w:t>
      </w:r>
      <w:r w:rsidR="00D0096A" w:rsidRPr="008154B1">
        <w:t xml:space="preserve"> with a proposed monitoring period of “within” 6 months). </w:t>
      </w:r>
      <w:r w:rsidR="00EF7C1A" w:rsidRPr="008154B1">
        <w:t>The</w:t>
      </w:r>
      <w:r w:rsidR="00D0096A" w:rsidRPr="008154B1">
        <w:t xml:space="preserve"> run in monitoring period </w:t>
      </w:r>
      <w:r w:rsidR="006A7B75" w:rsidRPr="008154B1">
        <w:t xml:space="preserve">of up to 8 weeks </w:t>
      </w:r>
      <w:r w:rsidR="00D0096A" w:rsidRPr="008154B1">
        <w:t xml:space="preserve">in HELP may not </w:t>
      </w:r>
      <w:r w:rsidR="00CC7240" w:rsidRPr="008154B1">
        <w:t>have been</w:t>
      </w:r>
      <w:r w:rsidR="00D0096A" w:rsidRPr="008154B1">
        <w:t xml:space="preserve"> sufficiently long to capture a stable </w:t>
      </w:r>
      <w:r w:rsidR="00CC7240" w:rsidRPr="008154B1">
        <w:t xml:space="preserve">baseline </w:t>
      </w:r>
      <w:r w:rsidR="00D0096A" w:rsidRPr="008154B1">
        <w:t xml:space="preserve">attack rate distribution </w:t>
      </w:r>
      <w:r w:rsidR="00CC7240" w:rsidRPr="008154B1">
        <w:t xml:space="preserve">in </w:t>
      </w:r>
      <w:r w:rsidR="00D0096A" w:rsidRPr="008154B1">
        <w:t>the enrolled patients. Data on HAE frequency/severity in HAE patients from Australian clinical practice were limited.</w:t>
      </w:r>
    </w:p>
    <w:p w:rsidR="00D0096A" w:rsidRPr="008154B1" w:rsidRDefault="00D0096A" w:rsidP="00912164">
      <w:pPr>
        <w:pStyle w:val="3-BodyText"/>
      </w:pPr>
      <w:r w:rsidRPr="008154B1">
        <w:t>The reduction of lanadelumab 300</w:t>
      </w:r>
      <w:r w:rsidR="006D3C9F" w:rsidRPr="008154B1">
        <w:t> </w:t>
      </w:r>
      <w:r w:rsidRPr="008154B1">
        <w:t>mg dose frequency</w:t>
      </w:r>
      <w:r w:rsidR="00263EF0" w:rsidRPr="008154B1">
        <w:t>,</w:t>
      </w:r>
      <w:r w:rsidRPr="008154B1">
        <w:t xml:space="preserve"> from Q2W to Q4W for patients who are “stably” attack free</w:t>
      </w:r>
      <w:r w:rsidR="00263EF0" w:rsidRPr="008154B1">
        <w:t>,</w:t>
      </w:r>
      <w:r w:rsidR="005D2216" w:rsidRPr="008154B1">
        <w:t xml:space="preserve"> </w:t>
      </w:r>
      <w:r w:rsidRPr="008154B1">
        <w:t>was not addressed in the HELP trial, in which lanadelumab treatment arms were fixed dose regimens.</w:t>
      </w:r>
      <w:r w:rsidR="006A7B75" w:rsidRPr="008154B1">
        <w:t xml:space="preserve"> The ESC noted </w:t>
      </w:r>
      <w:r w:rsidR="003E2FDE" w:rsidRPr="008154B1">
        <w:t xml:space="preserve">that the HELP extension study only investigated the Q2W dose, but </w:t>
      </w:r>
      <w:r w:rsidR="006A7B75" w:rsidRPr="008154B1">
        <w:t xml:space="preserve">there </w:t>
      </w:r>
      <w:r w:rsidR="001008C3" w:rsidRPr="008154B1">
        <w:t>i</w:t>
      </w:r>
      <w:r w:rsidR="006A7B75" w:rsidRPr="008154B1">
        <w:t xml:space="preserve">s an ongoing open-label study in Japan assessing the use of lanadelumab Q2W for 26 weeks followed by a 26-week treatment period in which patients </w:t>
      </w:r>
      <w:r w:rsidR="003E2FDE" w:rsidRPr="008154B1">
        <w:t>could remain on the Q2W regimen or receive the Q4W regimen</w:t>
      </w:r>
      <w:r w:rsidR="006A7B75" w:rsidRPr="008154B1">
        <w:t>.</w:t>
      </w:r>
      <w:r w:rsidR="003E2FDE" w:rsidRPr="008154B1">
        <w:rPr>
          <w:rStyle w:val="FootnoteReference"/>
        </w:rPr>
        <w:footnoteReference w:id="5"/>
      </w:r>
      <w:r w:rsidR="003E2FDE" w:rsidRPr="008154B1">
        <w:t xml:space="preserve"> The ESC considered that clinical immunologists</w:t>
      </w:r>
      <w:r w:rsidR="00A32BDC" w:rsidRPr="008154B1">
        <w:t xml:space="preserve"> </w:t>
      </w:r>
      <w:r w:rsidR="000139E1" w:rsidRPr="008154B1">
        <w:t>are experienced at down-titrating medications</w:t>
      </w:r>
      <w:r w:rsidR="00A32BDC" w:rsidRPr="008154B1">
        <w:t xml:space="preserve"> </w:t>
      </w:r>
      <w:r w:rsidR="000139E1" w:rsidRPr="008154B1">
        <w:t xml:space="preserve">and </w:t>
      </w:r>
      <w:r w:rsidR="003E2FDE" w:rsidRPr="008154B1">
        <w:t xml:space="preserve">would likely try to use the lowest effective dose once </w:t>
      </w:r>
      <w:r w:rsidR="00A32BDC" w:rsidRPr="008154B1">
        <w:t>a patient’s</w:t>
      </w:r>
      <w:r w:rsidR="003E2FDE" w:rsidRPr="008154B1">
        <w:t xml:space="preserve"> condition is </w:t>
      </w:r>
      <w:r w:rsidR="00A32BDC" w:rsidRPr="008154B1">
        <w:t>stabilised</w:t>
      </w:r>
      <w:r w:rsidR="000139E1" w:rsidRPr="008154B1">
        <w:t xml:space="preserve">. The ESC </w:t>
      </w:r>
      <w:r w:rsidR="00A2798F" w:rsidRPr="008154B1">
        <w:t xml:space="preserve">further </w:t>
      </w:r>
      <w:r w:rsidR="003E2FDE" w:rsidRPr="008154B1">
        <w:t xml:space="preserve">noted </w:t>
      </w:r>
      <w:r w:rsidR="00A2798F" w:rsidRPr="008154B1">
        <w:t>that</w:t>
      </w:r>
      <w:r w:rsidR="000139E1" w:rsidRPr="008154B1">
        <w:t xml:space="preserve"> there may be a patient preference, among some patients, for </w:t>
      </w:r>
      <w:r w:rsidR="00A2798F" w:rsidRPr="008154B1">
        <w:t xml:space="preserve">Q4W </w:t>
      </w:r>
      <w:r w:rsidR="000139E1" w:rsidRPr="008154B1">
        <w:t>rather than</w:t>
      </w:r>
      <w:r w:rsidR="00A2798F" w:rsidRPr="008154B1">
        <w:t xml:space="preserve"> </w:t>
      </w:r>
      <w:r w:rsidR="000139E1" w:rsidRPr="008154B1">
        <w:t>Q2W</w:t>
      </w:r>
      <w:r w:rsidR="00A32BDC" w:rsidRPr="008154B1">
        <w:t xml:space="preserve"> dosing</w:t>
      </w:r>
      <w:r w:rsidR="003E2FDE" w:rsidRPr="008154B1">
        <w:t xml:space="preserve">. </w:t>
      </w:r>
      <w:r w:rsidR="00A2798F" w:rsidRPr="008154B1">
        <w:t xml:space="preserve">The ESC considered </w:t>
      </w:r>
      <w:r w:rsidR="003E2FDE" w:rsidRPr="008154B1">
        <w:t xml:space="preserve">it was unclear </w:t>
      </w:r>
      <w:r w:rsidR="00A2798F" w:rsidRPr="008154B1">
        <w:t>what proportion of</w:t>
      </w:r>
      <w:r w:rsidR="003E2FDE" w:rsidRPr="008154B1">
        <w:t xml:space="preserve"> patients in clinical practice would transition to the Q4W dose</w:t>
      </w:r>
      <w:r w:rsidR="00A2798F" w:rsidRPr="008154B1">
        <w:t xml:space="preserve">, but considered that the resubmission’s assumption that </w:t>
      </w:r>
      <w:r w:rsidR="005E18BF">
        <w:rPr>
          <w:noProof/>
          <w:color w:val="000000"/>
          <w:highlight w:val="black"/>
        </w:rPr>
        <w:t>''''''</w:t>
      </w:r>
      <w:r w:rsidR="003E2FDE" w:rsidRPr="008154B1">
        <w:t xml:space="preserve">% of patients would down-titrate </w:t>
      </w:r>
      <w:r w:rsidR="00A2798F" w:rsidRPr="008154B1">
        <w:t xml:space="preserve">was likely to overestimate the use of the Q4W regimen in </w:t>
      </w:r>
      <w:r w:rsidR="003E2FDE" w:rsidRPr="008154B1">
        <w:t xml:space="preserve">clinical practice. </w:t>
      </w:r>
    </w:p>
    <w:p w:rsidR="00B60939" w:rsidRPr="008154B1" w:rsidRDefault="00B60939" w:rsidP="00912164">
      <w:pPr>
        <w:pStyle w:val="4-SubsectionHeading"/>
      </w:pPr>
      <w:bookmarkStart w:id="15" w:name="_Toc22897642"/>
      <w:bookmarkStart w:id="16" w:name="_Toc40185430"/>
      <w:r w:rsidRPr="008154B1">
        <w:t>Comparative harms</w:t>
      </w:r>
      <w:bookmarkEnd w:id="15"/>
      <w:bookmarkEnd w:id="16"/>
    </w:p>
    <w:p w:rsidR="00361E12" w:rsidRPr="008154B1" w:rsidRDefault="00361E12" w:rsidP="00912164">
      <w:pPr>
        <w:pStyle w:val="3-BodyText"/>
      </w:pPr>
      <w:r w:rsidRPr="008154B1">
        <w:t>Safety data from the HELP trial have not changed from the previous submission. A summary of key adverse events (AEs) in HELP is provided below.</w:t>
      </w:r>
    </w:p>
    <w:p w:rsidR="00361E12" w:rsidRPr="008154B1" w:rsidRDefault="00361E12" w:rsidP="00912164">
      <w:pPr>
        <w:pStyle w:val="TableFigureHeading"/>
      </w:pPr>
      <w:r w:rsidRPr="008154B1">
        <w:lastRenderedPageBreak/>
        <w:t xml:space="preserve">Table </w:t>
      </w:r>
      <w:r w:rsidR="00EA3C26" w:rsidRPr="008154B1">
        <w:t>6</w:t>
      </w:r>
      <w:r w:rsidRPr="008154B1">
        <w:t>: Summary of key adverse events in the HELP trial</w:t>
      </w:r>
    </w:p>
    <w:tbl>
      <w:tblPr>
        <w:tblW w:w="5000" w:type="pct"/>
        <w:shd w:val="clear" w:color="auto" w:fill="DAEEF3" w:themeFill="accent5" w:themeFillTint="33"/>
        <w:tblLook w:val="04A0" w:firstRow="1" w:lastRow="0" w:firstColumn="1" w:lastColumn="0" w:noHBand="0" w:noVBand="1"/>
      </w:tblPr>
      <w:tblGrid>
        <w:gridCol w:w="2461"/>
        <w:gridCol w:w="1078"/>
        <w:gridCol w:w="1623"/>
        <w:gridCol w:w="1351"/>
        <w:gridCol w:w="1353"/>
        <w:gridCol w:w="1151"/>
      </w:tblGrid>
      <w:tr w:rsidR="00361E12" w:rsidRPr="008154B1" w:rsidTr="005A54CD">
        <w:trPr>
          <w:trHeight w:val="20"/>
        </w:trPr>
        <w:tc>
          <w:tcPr>
            <w:tcW w:w="1365" w:type="pct"/>
            <w:vMerge w:val="restart"/>
            <w:tcBorders>
              <w:top w:val="single" w:sz="4" w:space="0" w:color="auto"/>
              <w:left w:val="single" w:sz="4" w:space="0" w:color="auto"/>
              <w:bottom w:val="single" w:sz="4" w:space="0" w:color="auto"/>
              <w:right w:val="nil"/>
            </w:tcBorders>
            <w:shd w:val="clear" w:color="auto" w:fill="DAEEF3" w:themeFill="accent5" w:themeFillTint="33"/>
            <w:noWrap/>
            <w:vAlign w:val="center"/>
            <w:hideMark/>
          </w:tcPr>
          <w:p w:rsidR="00361E12" w:rsidRPr="005A54CD" w:rsidRDefault="00361E12" w:rsidP="00912164">
            <w:pPr>
              <w:pStyle w:val="In-tableHeading"/>
              <w:rPr>
                <w:szCs w:val="20"/>
                <w:lang w:val="en-AU"/>
              </w:rPr>
            </w:pPr>
            <w:r w:rsidRPr="005A54CD">
              <w:rPr>
                <w:szCs w:val="20"/>
                <w:lang w:val="en-AU"/>
              </w:rPr>
              <w:t>AE</w:t>
            </w:r>
          </w:p>
        </w:tc>
        <w:tc>
          <w:tcPr>
            <w:tcW w:w="2997" w:type="pct"/>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361E12" w:rsidRPr="005A54CD" w:rsidRDefault="00361E12" w:rsidP="00912164">
            <w:pPr>
              <w:pStyle w:val="In-tableHeading"/>
              <w:jc w:val="center"/>
              <w:rPr>
                <w:szCs w:val="20"/>
                <w:lang w:val="en-AU"/>
              </w:rPr>
            </w:pPr>
            <w:r w:rsidRPr="005A54CD">
              <w:rPr>
                <w:szCs w:val="20"/>
                <w:lang w:val="en-AU"/>
              </w:rPr>
              <w:t>Lanadelumab</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In-tableHeading"/>
              <w:jc w:val="center"/>
              <w:rPr>
                <w:szCs w:val="20"/>
                <w:lang w:val="en-AU"/>
              </w:rPr>
            </w:pPr>
            <w:r w:rsidRPr="005A54CD">
              <w:rPr>
                <w:szCs w:val="20"/>
                <w:lang w:val="en-AU"/>
              </w:rPr>
              <w:t>Placebo</w:t>
            </w:r>
          </w:p>
          <w:p w:rsidR="00361E12" w:rsidRPr="005A54CD" w:rsidRDefault="00361E12" w:rsidP="00912164">
            <w:pPr>
              <w:pStyle w:val="In-tableHeading"/>
              <w:jc w:val="center"/>
              <w:rPr>
                <w:szCs w:val="20"/>
                <w:lang w:val="en-AU"/>
              </w:rPr>
            </w:pPr>
            <w:r w:rsidRPr="005A54CD">
              <w:rPr>
                <w:szCs w:val="20"/>
                <w:lang w:val="en-AU"/>
              </w:rPr>
              <w:t>N=41</w:t>
            </w:r>
          </w:p>
        </w:tc>
      </w:tr>
      <w:tr w:rsidR="00361E12" w:rsidRPr="008154B1" w:rsidTr="005A54CD">
        <w:trPr>
          <w:trHeight w:val="20"/>
        </w:trPr>
        <w:tc>
          <w:tcPr>
            <w:tcW w:w="1365" w:type="pct"/>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rPr>
                <w:szCs w:val="20"/>
              </w:rPr>
            </w:pPr>
          </w:p>
        </w:tc>
        <w:tc>
          <w:tcPr>
            <w:tcW w:w="598" w:type="pct"/>
            <w:tcBorders>
              <w:top w:val="nil"/>
              <w:left w:val="nil"/>
              <w:bottom w:val="single" w:sz="4" w:space="0" w:color="auto"/>
              <w:right w:val="nil"/>
            </w:tcBorders>
            <w:shd w:val="clear" w:color="auto" w:fill="DAEEF3" w:themeFill="accent5" w:themeFillTint="33"/>
            <w:vAlign w:val="center"/>
            <w:hideMark/>
          </w:tcPr>
          <w:p w:rsidR="00361E12" w:rsidRPr="005A54CD" w:rsidRDefault="00361E12" w:rsidP="00912164">
            <w:pPr>
              <w:pStyle w:val="In-tableHeading"/>
              <w:jc w:val="center"/>
              <w:rPr>
                <w:szCs w:val="20"/>
                <w:lang w:val="en-AU"/>
              </w:rPr>
            </w:pPr>
            <w:r w:rsidRPr="005A54CD">
              <w:rPr>
                <w:szCs w:val="20"/>
                <w:lang w:val="en-AU"/>
              </w:rPr>
              <w:t>150 mg Q4W</w:t>
            </w:r>
          </w:p>
          <w:p w:rsidR="00361E12" w:rsidRPr="005A54CD" w:rsidRDefault="00361E12" w:rsidP="00912164">
            <w:pPr>
              <w:pStyle w:val="In-tableHeading"/>
              <w:jc w:val="center"/>
              <w:rPr>
                <w:szCs w:val="20"/>
                <w:lang w:val="en-AU"/>
              </w:rPr>
            </w:pPr>
            <w:r w:rsidRPr="005A54CD">
              <w:rPr>
                <w:szCs w:val="20"/>
                <w:lang w:val="en-AU"/>
              </w:rPr>
              <w:t>N=28</w:t>
            </w:r>
          </w:p>
        </w:tc>
        <w:tc>
          <w:tcPr>
            <w:tcW w:w="900" w:type="pct"/>
            <w:tcBorders>
              <w:top w:val="nil"/>
              <w:left w:val="single" w:sz="4" w:space="0" w:color="auto"/>
              <w:bottom w:val="single" w:sz="4" w:space="0" w:color="auto"/>
              <w:right w:val="nil"/>
            </w:tcBorders>
            <w:shd w:val="clear" w:color="auto" w:fill="DAEEF3" w:themeFill="accent5" w:themeFillTint="33"/>
            <w:vAlign w:val="center"/>
            <w:hideMark/>
          </w:tcPr>
          <w:p w:rsidR="00361E12" w:rsidRPr="005A54CD" w:rsidRDefault="00361E12" w:rsidP="00912164">
            <w:pPr>
              <w:pStyle w:val="In-tableHeading"/>
              <w:jc w:val="center"/>
              <w:rPr>
                <w:szCs w:val="20"/>
                <w:lang w:val="en-AU"/>
              </w:rPr>
            </w:pPr>
            <w:r w:rsidRPr="005A54CD">
              <w:rPr>
                <w:szCs w:val="20"/>
                <w:lang w:val="en-AU"/>
              </w:rPr>
              <w:t>300 mg Q4W</w:t>
            </w:r>
          </w:p>
          <w:p w:rsidR="00361E12" w:rsidRPr="005A54CD" w:rsidRDefault="00361E12" w:rsidP="00912164">
            <w:pPr>
              <w:pStyle w:val="In-tableHeading"/>
              <w:jc w:val="center"/>
              <w:rPr>
                <w:szCs w:val="20"/>
                <w:lang w:val="en-AU"/>
              </w:rPr>
            </w:pPr>
            <w:r w:rsidRPr="005A54CD">
              <w:rPr>
                <w:szCs w:val="20"/>
                <w:lang w:val="en-AU"/>
              </w:rPr>
              <w:t>N=29</w:t>
            </w:r>
          </w:p>
        </w:tc>
        <w:tc>
          <w:tcPr>
            <w:tcW w:w="749" w:type="pct"/>
            <w:tcBorders>
              <w:top w:val="nil"/>
              <w:left w:val="single" w:sz="4" w:space="0" w:color="auto"/>
              <w:bottom w:val="single" w:sz="4" w:space="0" w:color="auto"/>
              <w:right w:val="nil"/>
            </w:tcBorders>
            <w:shd w:val="clear" w:color="auto" w:fill="DAEEF3" w:themeFill="accent5" w:themeFillTint="33"/>
            <w:vAlign w:val="center"/>
            <w:hideMark/>
          </w:tcPr>
          <w:p w:rsidR="00361E12" w:rsidRPr="005A54CD" w:rsidRDefault="00361E12" w:rsidP="00912164">
            <w:pPr>
              <w:pStyle w:val="In-tableHeading"/>
              <w:jc w:val="center"/>
              <w:rPr>
                <w:szCs w:val="20"/>
                <w:lang w:val="en-AU"/>
              </w:rPr>
            </w:pPr>
            <w:r w:rsidRPr="005A54CD">
              <w:rPr>
                <w:szCs w:val="20"/>
                <w:lang w:val="en-AU"/>
              </w:rPr>
              <w:t>300 mg Q2W</w:t>
            </w:r>
          </w:p>
          <w:p w:rsidR="00361E12" w:rsidRPr="005A54CD" w:rsidRDefault="00361E12" w:rsidP="00912164">
            <w:pPr>
              <w:pStyle w:val="In-tableHeading"/>
              <w:jc w:val="center"/>
              <w:rPr>
                <w:szCs w:val="20"/>
                <w:lang w:val="en-AU"/>
              </w:rPr>
            </w:pPr>
            <w:r w:rsidRPr="005A54CD">
              <w:rPr>
                <w:szCs w:val="20"/>
                <w:lang w:val="en-AU"/>
              </w:rPr>
              <w:t>N=27</w:t>
            </w:r>
          </w:p>
        </w:tc>
        <w:tc>
          <w:tcPr>
            <w:tcW w:w="750" w:type="pct"/>
            <w:tcBorders>
              <w:top w:val="nil"/>
              <w:left w:val="single" w:sz="4" w:space="0" w:color="auto"/>
              <w:bottom w:val="single" w:sz="4" w:space="0" w:color="auto"/>
              <w:right w:val="nil"/>
            </w:tcBorders>
            <w:shd w:val="clear" w:color="auto" w:fill="DAEEF3" w:themeFill="accent5" w:themeFillTint="33"/>
            <w:vAlign w:val="center"/>
            <w:hideMark/>
          </w:tcPr>
          <w:p w:rsidR="00361E12" w:rsidRPr="005A54CD" w:rsidRDefault="00361E12" w:rsidP="00912164">
            <w:pPr>
              <w:pStyle w:val="In-tableHeading"/>
              <w:jc w:val="center"/>
              <w:rPr>
                <w:szCs w:val="20"/>
                <w:lang w:val="en-AU"/>
              </w:rPr>
            </w:pPr>
            <w:r w:rsidRPr="005A54CD">
              <w:rPr>
                <w:szCs w:val="20"/>
                <w:lang w:val="en-AU"/>
              </w:rPr>
              <w:t>Total</w:t>
            </w:r>
          </w:p>
          <w:p w:rsidR="00361E12" w:rsidRPr="005A54CD" w:rsidRDefault="00361E12" w:rsidP="00912164">
            <w:pPr>
              <w:pStyle w:val="In-tableHeading"/>
              <w:jc w:val="center"/>
              <w:rPr>
                <w:szCs w:val="20"/>
                <w:lang w:val="en-AU"/>
              </w:rPr>
            </w:pPr>
            <w:r w:rsidRPr="005A54CD">
              <w:rPr>
                <w:szCs w:val="20"/>
                <w:lang w:val="en-AU"/>
              </w:rPr>
              <w:t>N=84</w:t>
            </w:r>
          </w:p>
        </w:tc>
        <w:tc>
          <w:tcPr>
            <w:tcW w:w="638" w:type="pct"/>
            <w:vMerge/>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61E12" w:rsidRPr="005A54CD" w:rsidRDefault="00361E12" w:rsidP="00912164">
            <w:pPr>
              <w:pStyle w:val="TableText0"/>
              <w:rPr>
                <w:szCs w:val="20"/>
              </w:rPr>
            </w:pPr>
          </w:p>
        </w:tc>
      </w:tr>
      <w:tr w:rsidR="00361E12" w:rsidRPr="008154B1" w:rsidTr="005A54CD">
        <w:trPr>
          <w:trHeight w:val="20"/>
        </w:trPr>
        <w:tc>
          <w:tcPr>
            <w:tcW w:w="1365" w:type="pct"/>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rPr>
                <w:szCs w:val="20"/>
              </w:rPr>
            </w:pPr>
          </w:p>
        </w:tc>
        <w:tc>
          <w:tcPr>
            <w:tcW w:w="598"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n (%)</w:t>
            </w:r>
          </w:p>
        </w:tc>
        <w:tc>
          <w:tcPr>
            <w:tcW w:w="900"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n (%)</w:t>
            </w:r>
          </w:p>
        </w:tc>
        <w:tc>
          <w:tcPr>
            <w:tcW w:w="749"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n (%)</w:t>
            </w:r>
          </w:p>
        </w:tc>
        <w:tc>
          <w:tcPr>
            <w:tcW w:w="750"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n (%)</w:t>
            </w:r>
          </w:p>
        </w:tc>
        <w:tc>
          <w:tcPr>
            <w:tcW w:w="638"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n (%)</w:t>
            </w:r>
          </w:p>
        </w:tc>
      </w:tr>
      <w:tr w:rsidR="00361E12" w:rsidRPr="008154B1" w:rsidTr="005A54CD">
        <w:trPr>
          <w:trHeight w:val="20"/>
        </w:trPr>
        <w:tc>
          <w:tcPr>
            <w:tcW w:w="1365"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rPr>
                <w:szCs w:val="20"/>
              </w:rPr>
            </w:pPr>
            <w:r w:rsidRPr="005A54CD">
              <w:rPr>
                <w:szCs w:val="20"/>
              </w:rPr>
              <w:t>Any TEAE</w:t>
            </w:r>
          </w:p>
        </w:tc>
        <w:tc>
          <w:tcPr>
            <w:tcW w:w="598"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25 (89.3%)</w:t>
            </w:r>
          </w:p>
        </w:tc>
        <w:tc>
          <w:tcPr>
            <w:tcW w:w="900"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25 (86.2%)</w:t>
            </w:r>
          </w:p>
        </w:tc>
        <w:tc>
          <w:tcPr>
            <w:tcW w:w="749"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26 (96.3%)</w:t>
            </w:r>
          </w:p>
        </w:tc>
        <w:tc>
          <w:tcPr>
            <w:tcW w:w="750"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76 (90.5%)</w:t>
            </w:r>
          </w:p>
        </w:tc>
        <w:tc>
          <w:tcPr>
            <w:tcW w:w="638"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31 (75.6%)</w:t>
            </w:r>
          </w:p>
        </w:tc>
      </w:tr>
      <w:tr w:rsidR="00361E12" w:rsidRPr="008154B1" w:rsidTr="005A54CD">
        <w:trPr>
          <w:trHeight w:val="20"/>
        </w:trPr>
        <w:tc>
          <w:tcPr>
            <w:tcW w:w="1365"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rPr>
                <w:szCs w:val="20"/>
              </w:rPr>
            </w:pPr>
            <w:r w:rsidRPr="005A54CD">
              <w:rPr>
                <w:szCs w:val="20"/>
              </w:rPr>
              <w:t>Any treatment-related TEAE</w:t>
            </w:r>
          </w:p>
        </w:tc>
        <w:tc>
          <w:tcPr>
            <w:tcW w:w="598"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17 (60.7%)</w:t>
            </w:r>
          </w:p>
        </w:tc>
        <w:tc>
          <w:tcPr>
            <w:tcW w:w="900"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14 (48.3%)</w:t>
            </w:r>
          </w:p>
        </w:tc>
        <w:tc>
          <w:tcPr>
            <w:tcW w:w="749"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19 (70.4%)</w:t>
            </w:r>
          </w:p>
        </w:tc>
        <w:tc>
          <w:tcPr>
            <w:tcW w:w="750"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50 (59.5%)</w:t>
            </w:r>
          </w:p>
        </w:tc>
        <w:tc>
          <w:tcPr>
            <w:tcW w:w="638"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14 (34.1%)</w:t>
            </w:r>
          </w:p>
        </w:tc>
      </w:tr>
      <w:tr w:rsidR="00361E12" w:rsidRPr="008154B1" w:rsidTr="005A54CD">
        <w:trPr>
          <w:trHeight w:val="20"/>
        </w:trPr>
        <w:tc>
          <w:tcPr>
            <w:tcW w:w="1365"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rPr>
                <w:szCs w:val="20"/>
              </w:rPr>
            </w:pPr>
            <w:r w:rsidRPr="005A54CD">
              <w:rPr>
                <w:szCs w:val="20"/>
              </w:rPr>
              <w:t>Any SAE</w:t>
            </w:r>
          </w:p>
        </w:tc>
        <w:tc>
          <w:tcPr>
            <w:tcW w:w="598"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0 (0%)</w:t>
            </w:r>
          </w:p>
        </w:tc>
        <w:tc>
          <w:tcPr>
            <w:tcW w:w="900"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3 (10.3%)</w:t>
            </w:r>
          </w:p>
        </w:tc>
        <w:tc>
          <w:tcPr>
            <w:tcW w:w="749"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1 (3.7%)</w:t>
            </w:r>
          </w:p>
        </w:tc>
        <w:tc>
          <w:tcPr>
            <w:tcW w:w="750"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4 (4.8%)</w:t>
            </w:r>
          </w:p>
        </w:tc>
        <w:tc>
          <w:tcPr>
            <w:tcW w:w="638"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0 (0%)</w:t>
            </w:r>
          </w:p>
        </w:tc>
      </w:tr>
      <w:tr w:rsidR="00361E12" w:rsidRPr="008154B1" w:rsidTr="005A54CD">
        <w:trPr>
          <w:trHeight w:val="20"/>
        </w:trPr>
        <w:tc>
          <w:tcPr>
            <w:tcW w:w="1365"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rPr>
                <w:szCs w:val="20"/>
              </w:rPr>
            </w:pPr>
            <w:r w:rsidRPr="005A54CD">
              <w:rPr>
                <w:szCs w:val="20"/>
              </w:rPr>
              <w:t>Any treatment-related SAE</w:t>
            </w:r>
          </w:p>
        </w:tc>
        <w:tc>
          <w:tcPr>
            <w:tcW w:w="598"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0 (0%)</w:t>
            </w:r>
          </w:p>
        </w:tc>
        <w:tc>
          <w:tcPr>
            <w:tcW w:w="900"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0 (0%)</w:t>
            </w:r>
          </w:p>
        </w:tc>
        <w:tc>
          <w:tcPr>
            <w:tcW w:w="749"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0 (0%)</w:t>
            </w:r>
          </w:p>
        </w:tc>
        <w:tc>
          <w:tcPr>
            <w:tcW w:w="750"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0 (0%)</w:t>
            </w:r>
          </w:p>
        </w:tc>
        <w:tc>
          <w:tcPr>
            <w:tcW w:w="638"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0 (0%)</w:t>
            </w:r>
          </w:p>
        </w:tc>
      </w:tr>
      <w:tr w:rsidR="00361E12" w:rsidRPr="008154B1" w:rsidTr="005A54CD">
        <w:trPr>
          <w:trHeight w:val="20"/>
        </w:trPr>
        <w:tc>
          <w:tcPr>
            <w:tcW w:w="1365"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rPr>
                <w:szCs w:val="20"/>
              </w:rPr>
            </w:pPr>
            <w:r w:rsidRPr="005A54CD">
              <w:rPr>
                <w:szCs w:val="20"/>
              </w:rPr>
              <w:t>Any severe (grade 3/4) TEAE</w:t>
            </w:r>
          </w:p>
        </w:tc>
        <w:tc>
          <w:tcPr>
            <w:tcW w:w="598"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2 (7.1%)</w:t>
            </w:r>
          </w:p>
        </w:tc>
        <w:tc>
          <w:tcPr>
            <w:tcW w:w="900"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4 (13.8%)</w:t>
            </w:r>
          </w:p>
        </w:tc>
        <w:tc>
          <w:tcPr>
            <w:tcW w:w="749"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2 (7.4%)</w:t>
            </w:r>
          </w:p>
        </w:tc>
        <w:tc>
          <w:tcPr>
            <w:tcW w:w="750"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8 (9.5%)</w:t>
            </w:r>
          </w:p>
        </w:tc>
        <w:tc>
          <w:tcPr>
            <w:tcW w:w="638"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4 (9.8%)</w:t>
            </w:r>
          </w:p>
        </w:tc>
      </w:tr>
      <w:tr w:rsidR="00361E12" w:rsidRPr="008154B1" w:rsidTr="005A54CD">
        <w:trPr>
          <w:trHeight w:val="20"/>
        </w:trPr>
        <w:tc>
          <w:tcPr>
            <w:tcW w:w="1365"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rPr>
                <w:szCs w:val="20"/>
              </w:rPr>
            </w:pPr>
            <w:r w:rsidRPr="005A54CD">
              <w:rPr>
                <w:szCs w:val="20"/>
              </w:rPr>
              <w:t>Any treatment-related severe TEAE</w:t>
            </w:r>
          </w:p>
        </w:tc>
        <w:tc>
          <w:tcPr>
            <w:tcW w:w="598"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0 (0%)</w:t>
            </w:r>
          </w:p>
        </w:tc>
        <w:tc>
          <w:tcPr>
            <w:tcW w:w="900"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1 (3.4%)</w:t>
            </w:r>
          </w:p>
        </w:tc>
        <w:tc>
          <w:tcPr>
            <w:tcW w:w="749"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0 (0%)</w:t>
            </w:r>
          </w:p>
        </w:tc>
        <w:tc>
          <w:tcPr>
            <w:tcW w:w="750"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1 (1.2%)</w:t>
            </w:r>
          </w:p>
        </w:tc>
        <w:tc>
          <w:tcPr>
            <w:tcW w:w="638"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1 (2.4%)</w:t>
            </w:r>
          </w:p>
        </w:tc>
      </w:tr>
      <w:tr w:rsidR="00361E12" w:rsidRPr="008154B1" w:rsidTr="005A54CD">
        <w:trPr>
          <w:trHeight w:val="20"/>
        </w:trPr>
        <w:tc>
          <w:tcPr>
            <w:tcW w:w="1365"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rPr>
                <w:szCs w:val="20"/>
              </w:rPr>
            </w:pPr>
            <w:r w:rsidRPr="005A54CD">
              <w:rPr>
                <w:szCs w:val="20"/>
              </w:rPr>
              <w:t>Any investigator reported AESI</w:t>
            </w:r>
          </w:p>
        </w:tc>
        <w:tc>
          <w:tcPr>
            <w:tcW w:w="598"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1 (3.6%)</w:t>
            </w:r>
          </w:p>
        </w:tc>
        <w:tc>
          <w:tcPr>
            <w:tcW w:w="900"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1 (3.4%)</w:t>
            </w:r>
          </w:p>
        </w:tc>
        <w:tc>
          <w:tcPr>
            <w:tcW w:w="749"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3 (11.1%)</w:t>
            </w:r>
          </w:p>
        </w:tc>
        <w:tc>
          <w:tcPr>
            <w:tcW w:w="750"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5 (6.0%)</w:t>
            </w:r>
          </w:p>
        </w:tc>
        <w:tc>
          <w:tcPr>
            <w:tcW w:w="638"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0 (0%)</w:t>
            </w:r>
          </w:p>
        </w:tc>
      </w:tr>
      <w:tr w:rsidR="00361E12" w:rsidRPr="008154B1" w:rsidTr="005A54CD">
        <w:trPr>
          <w:trHeight w:val="20"/>
        </w:trPr>
        <w:tc>
          <w:tcPr>
            <w:tcW w:w="1365"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rPr>
                <w:szCs w:val="20"/>
              </w:rPr>
            </w:pPr>
            <w:r w:rsidRPr="005A54CD">
              <w:rPr>
                <w:szCs w:val="20"/>
              </w:rPr>
              <w:t>Death</w:t>
            </w:r>
          </w:p>
        </w:tc>
        <w:tc>
          <w:tcPr>
            <w:tcW w:w="598"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0 (0 %)</w:t>
            </w:r>
          </w:p>
        </w:tc>
        <w:tc>
          <w:tcPr>
            <w:tcW w:w="900"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0 (0%)</w:t>
            </w:r>
          </w:p>
        </w:tc>
        <w:tc>
          <w:tcPr>
            <w:tcW w:w="749"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0 (0%)</w:t>
            </w:r>
          </w:p>
        </w:tc>
        <w:tc>
          <w:tcPr>
            <w:tcW w:w="750"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0 (0%)</w:t>
            </w:r>
          </w:p>
        </w:tc>
        <w:tc>
          <w:tcPr>
            <w:tcW w:w="638"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0 (0%)</w:t>
            </w:r>
          </w:p>
        </w:tc>
      </w:tr>
      <w:tr w:rsidR="00361E12" w:rsidRPr="008154B1" w:rsidTr="005A54CD">
        <w:trPr>
          <w:trHeight w:val="20"/>
        </w:trPr>
        <w:tc>
          <w:tcPr>
            <w:tcW w:w="1365"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rPr>
                <w:szCs w:val="20"/>
              </w:rPr>
            </w:pPr>
            <w:r w:rsidRPr="005A54CD">
              <w:rPr>
                <w:szCs w:val="20"/>
              </w:rPr>
              <w:t>Discontinuation due to TEAE</w:t>
            </w:r>
          </w:p>
        </w:tc>
        <w:tc>
          <w:tcPr>
            <w:tcW w:w="598"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0 (0%)</w:t>
            </w:r>
          </w:p>
        </w:tc>
        <w:tc>
          <w:tcPr>
            <w:tcW w:w="900"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1 (3.4%)</w:t>
            </w:r>
          </w:p>
        </w:tc>
        <w:tc>
          <w:tcPr>
            <w:tcW w:w="749"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0 (0%)</w:t>
            </w:r>
          </w:p>
        </w:tc>
        <w:tc>
          <w:tcPr>
            <w:tcW w:w="750"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1 (1.2%)</w:t>
            </w:r>
          </w:p>
        </w:tc>
        <w:tc>
          <w:tcPr>
            <w:tcW w:w="638" w:type="pct"/>
            <w:tcBorders>
              <w:top w:val="nil"/>
              <w:left w:val="nil"/>
              <w:bottom w:val="single" w:sz="4" w:space="0" w:color="auto"/>
              <w:right w:val="single" w:sz="4" w:space="0" w:color="auto"/>
            </w:tcBorders>
            <w:shd w:val="clear" w:color="auto" w:fill="DAEEF3" w:themeFill="accent5" w:themeFillTint="33"/>
            <w:vAlign w:val="center"/>
            <w:hideMark/>
          </w:tcPr>
          <w:p w:rsidR="00361E12" w:rsidRPr="005A54CD" w:rsidRDefault="00361E12" w:rsidP="00912164">
            <w:pPr>
              <w:pStyle w:val="TableText0"/>
              <w:jc w:val="center"/>
              <w:rPr>
                <w:szCs w:val="20"/>
              </w:rPr>
            </w:pPr>
            <w:r w:rsidRPr="005A54CD">
              <w:rPr>
                <w:szCs w:val="20"/>
              </w:rPr>
              <w:t>1 (2.4%)</w:t>
            </w:r>
          </w:p>
        </w:tc>
      </w:tr>
    </w:tbl>
    <w:p w:rsidR="00361E12" w:rsidRPr="008154B1" w:rsidRDefault="00361E12" w:rsidP="00912164">
      <w:pPr>
        <w:pStyle w:val="TableFigureFooter"/>
      </w:pPr>
      <w:r w:rsidRPr="008154B1">
        <w:t>Source: Table 36, p64 of the resubmission.</w:t>
      </w:r>
    </w:p>
    <w:p w:rsidR="00361E12" w:rsidRPr="008154B1" w:rsidRDefault="00361E12" w:rsidP="00912164">
      <w:pPr>
        <w:pStyle w:val="TableFigureFooter"/>
        <w:rPr>
          <w:rFonts w:ascii="Calibri" w:hAnsi="Calibri"/>
          <w:sz w:val="24"/>
        </w:rPr>
      </w:pPr>
      <w:r w:rsidRPr="008154B1">
        <w:t>AE = adverse event; AESI = adverse event of special interest; Q2W = every 2 weeks; Q4W = every 4 weeks; SAE = serious adverse event; TEAE = treatment emergent adverse event</w:t>
      </w:r>
      <w:r w:rsidR="0022734B" w:rsidRPr="008154B1">
        <w:t>.</w:t>
      </w:r>
    </w:p>
    <w:p w:rsidR="00361E12" w:rsidRPr="008154B1" w:rsidRDefault="00361E12" w:rsidP="00912164">
      <w:pPr>
        <w:pStyle w:val="TableFigureFooter"/>
      </w:pPr>
      <w:r w:rsidRPr="008154B1">
        <w:t>Blue shaded results were those considered by PBAC previously.</w:t>
      </w:r>
    </w:p>
    <w:p w:rsidR="00361E12" w:rsidRPr="008154B1" w:rsidRDefault="00361E12" w:rsidP="00912164">
      <w:pPr>
        <w:pStyle w:val="3-BodyText"/>
      </w:pPr>
      <w:r w:rsidRPr="008154B1">
        <w:t>Treatment-related AEs reported in ≥</w:t>
      </w:r>
      <w:r w:rsidR="006D3C9F" w:rsidRPr="008154B1">
        <w:t> </w:t>
      </w:r>
      <w:r w:rsidRPr="008154B1">
        <w:t xml:space="preserve">5% of patients receiving lanadelumab (% of lanadelumab treated patients vs % of placebo treated patients) were: injection site pain (41.7% vs 26.8%), headache (7.1% vs 2.4%), injection site erythema (9.5% vs 2.4%) and injection site bruising (6.0% vs 0%). </w:t>
      </w:r>
    </w:p>
    <w:p w:rsidR="005D26B4" w:rsidRPr="008154B1" w:rsidRDefault="00361E12" w:rsidP="00912164">
      <w:pPr>
        <w:pStyle w:val="3-BodyText"/>
      </w:pPr>
      <w:r w:rsidRPr="008154B1">
        <w:t>The TGA evaluator concluded that lanadelumab appears to be well tolerated but noted that only a small number of patients have been exposed and only for relatively short periods of time, although it is proposed for long-term use.</w:t>
      </w:r>
    </w:p>
    <w:p w:rsidR="007F1017" w:rsidRPr="008154B1" w:rsidRDefault="007F1017" w:rsidP="00912164">
      <w:pPr>
        <w:pStyle w:val="4-SubsectionHeading"/>
      </w:pPr>
      <w:bookmarkStart w:id="17" w:name="_Toc22897643"/>
      <w:bookmarkStart w:id="18" w:name="_Toc40185431"/>
      <w:r w:rsidRPr="008154B1">
        <w:t>Benefits/harms</w:t>
      </w:r>
      <w:bookmarkEnd w:id="17"/>
      <w:bookmarkEnd w:id="18"/>
    </w:p>
    <w:p w:rsidR="00DB4371" w:rsidRPr="008154B1" w:rsidRDefault="00DB4371" w:rsidP="00912164">
      <w:pPr>
        <w:pStyle w:val="3-BodyText"/>
        <w:rPr>
          <w:rStyle w:val="CommentReference"/>
        </w:rPr>
      </w:pPr>
      <w:r w:rsidRPr="008154B1">
        <w:t>A summary of the comparative benefits and harms for lanadelumab versus placebo is presented in the table below.</w:t>
      </w:r>
    </w:p>
    <w:p w:rsidR="00DB4371" w:rsidRPr="008154B1" w:rsidRDefault="00DB4371" w:rsidP="00912164">
      <w:pPr>
        <w:pStyle w:val="TableFigureHeading"/>
        <w:rPr>
          <w:rStyle w:val="CommentReference"/>
          <w:rFonts w:ascii="Calibri" w:hAnsi="Calibri"/>
          <w:b/>
          <w:sz w:val="18"/>
          <w:szCs w:val="18"/>
        </w:rPr>
      </w:pPr>
      <w:r w:rsidRPr="008154B1">
        <w:lastRenderedPageBreak/>
        <w:t xml:space="preserve">Table </w:t>
      </w:r>
      <w:r w:rsidR="00EA3C26" w:rsidRPr="008154B1">
        <w:t>7</w:t>
      </w:r>
      <w:r w:rsidRPr="008154B1">
        <w:t xml:space="preserve">: </w:t>
      </w:r>
      <w:r w:rsidRPr="008154B1">
        <w:rPr>
          <w:rStyle w:val="CommentReference"/>
          <w:b/>
          <w:szCs w:val="24"/>
        </w:rPr>
        <w:t>Summary of comparative benefits and harms for lanadelumab and placebo</w:t>
      </w:r>
    </w:p>
    <w:tbl>
      <w:tblPr>
        <w:tblW w:w="5000" w:type="pct"/>
        <w:tblCellMar>
          <w:left w:w="28" w:type="dxa"/>
          <w:right w:w="28" w:type="dxa"/>
        </w:tblCellMar>
        <w:tblLook w:val="04A0" w:firstRow="1" w:lastRow="0" w:firstColumn="1" w:lastColumn="0" w:noHBand="0" w:noVBand="1"/>
      </w:tblPr>
      <w:tblGrid>
        <w:gridCol w:w="1554"/>
        <w:gridCol w:w="566"/>
        <w:gridCol w:w="711"/>
        <w:gridCol w:w="849"/>
        <w:gridCol w:w="142"/>
        <w:gridCol w:w="855"/>
        <w:gridCol w:w="449"/>
        <w:gridCol w:w="256"/>
        <w:gridCol w:w="848"/>
        <w:gridCol w:w="146"/>
        <w:gridCol w:w="855"/>
        <w:gridCol w:w="278"/>
        <w:gridCol w:w="1508"/>
      </w:tblGrid>
      <w:tr w:rsidR="00DB4371" w:rsidRPr="005A54CD" w:rsidTr="005A54CD">
        <w:trPr>
          <w:cantSplit/>
        </w:trPr>
        <w:tc>
          <w:tcPr>
            <w:tcW w:w="5000" w:type="pct"/>
            <w:gridSpan w:val="13"/>
            <w:tcBorders>
              <w:top w:val="double" w:sz="4" w:space="0" w:color="auto"/>
              <w:left w:val="single" w:sz="4" w:space="0" w:color="auto"/>
              <w:bottom w:val="single" w:sz="4" w:space="0" w:color="auto"/>
              <w:right w:val="single" w:sz="4" w:space="0" w:color="auto"/>
            </w:tcBorders>
            <w:shd w:val="clear" w:color="auto" w:fill="auto"/>
            <w:vAlign w:val="center"/>
          </w:tcPr>
          <w:p w:rsidR="00DB4371" w:rsidRPr="005A54CD" w:rsidRDefault="00DB4371" w:rsidP="00912164">
            <w:pPr>
              <w:pStyle w:val="In-tableHeading"/>
              <w:rPr>
                <w:szCs w:val="20"/>
                <w:lang w:val="en-AU"/>
              </w:rPr>
            </w:pPr>
            <w:r w:rsidRPr="005A54CD">
              <w:rPr>
                <w:szCs w:val="20"/>
                <w:lang w:val="en-AU"/>
              </w:rPr>
              <w:t>Benefit</w:t>
            </w:r>
          </w:p>
        </w:tc>
      </w:tr>
      <w:tr w:rsidR="00DB4371" w:rsidRPr="005A54CD" w:rsidTr="005A54CD">
        <w:trPr>
          <w:cantSplit/>
          <w:trHeight w:val="225"/>
        </w:trPr>
        <w:tc>
          <w:tcPr>
            <w:tcW w:w="117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4371" w:rsidRPr="005A54CD" w:rsidRDefault="00DB4371" w:rsidP="00912164">
            <w:pPr>
              <w:pStyle w:val="TableText0"/>
              <w:rPr>
                <w:szCs w:val="20"/>
              </w:rPr>
            </w:pPr>
          </w:p>
        </w:tc>
        <w:tc>
          <w:tcPr>
            <w:tcW w:w="1418" w:type="pct"/>
            <w:gridSpan w:val="4"/>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In-tableHeading"/>
              <w:jc w:val="center"/>
              <w:rPr>
                <w:szCs w:val="20"/>
                <w:lang w:val="en-AU"/>
              </w:rPr>
            </w:pPr>
            <w:r w:rsidRPr="005A54CD">
              <w:rPr>
                <w:szCs w:val="20"/>
                <w:lang w:val="en-AU"/>
              </w:rPr>
              <w:t>Lanadelumab 300mg Q2W</w:t>
            </w:r>
          </w:p>
        </w:tc>
        <w:tc>
          <w:tcPr>
            <w:tcW w:w="1416" w:type="pct"/>
            <w:gridSpan w:val="5"/>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In-tableHeading"/>
              <w:jc w:val="center"/>
              <w:rPr>
                <w:szCs w:val="20"/>
                <w:lang w:val="en-AU"/>
              </w:rPr>
            </w:pPr>
            <w:r w:rsidRPr="005A54CD">
              <w:rPr>
                <w:szCs w:val="20"/>
                <w:lang w:val="en-AU"/>
              </w:rPr>
              <w:t>PBO</w:t>
            </w:r>
          </w:p>
        </w:tc>
        <w:tc>
          <w:tcPr>
            <w:tcW w:w="990" w:type="pct"/>
            <w:gridSpan w:val="2"/>
            <w:vMerge w:val="restart"/>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In-tableHeading"/>
              <w:jc w:val="center"/>
              <w:rPr>
                <w:szCs w:val="20"/>
                <w:lang w:val="en-AU"/>
              </w:rPr>
            </w:pPr>
            <w:r w:rsidRPr="005A54CD">
              <w:rPr>
                <w:szCs w:val="20"/>
                <w:lang w:val="en-AU"/>
              </w:rPr>
              <w:t>Mean difference:</w:t>
            </w:r>
          </w:p>
          <w:p w:rsidR="00DB4371" w:rsidRPr="005A54CD" w:rsidRDefault="00DB4371" w:rsidP="00912164">
            <w:pPr>
              <w:pStyle w:val="In-tableHeading"/>
              <w:jc w:val="center"/>
              <w:rPr>
                <w:szCs w:val="20"/>
                <w:lang w:val="en-AU"/>
              </w:rPr>
            </w:pPr>
            <w:r w:rsidRPr="005A54CD">
              <w:rPr>
                <w:szCs w:val="20"/>
                <w:lang w:val="en-AU"/>
              </w:rPr>
              <w:t>Lanadelumab vs PBO</w:t>
            </w:r>
          </w:p>
          <w:p w:rsidR="00DB4371" w:rsidRPr="005A54CD" w:rsidRDefault="00DB4371" w:rsidP="00912164">
            <w:pPr>
              <w:pStyle w:val="In-tableHeading"/>
              <w:jc w:val="center"/>
              <w:rPr>
                <w:szCs w:val="20"/>
                <w:lang w:val="en-AU"/>
              </w:rPr>
            </w:pPr>
            <w:r w:rsidRPr="005A54CD">
              <w:rPr>
                <w:szCs w:val="20"/>
                <w:lang w:val="en-AU"/>
              </w:rPr>
              <w:t>(95% CI)</w:t>
            </w:r>
          </w:p>
        </w:tc>
      </w:tr>
      <w:tr w:rsidR="005B30A0" w:rsidRPr="005A54CD" w:rsidTr="005A54CD">
        <w:trPr>
          <w:cantSplit/>
          <w:trHeight w:val="225"/>
        </w:trPr>
        <w:tc>
          <w:tcPr>
            <w:tcW w:w="117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B4371" w:rsidRPr="005A54CD" w:rsidRDefault="00DB4371" w:rsidP="00912164">
            <w:pPr>
              <w:keepNext/>
              <w:keepLines/>
              <w:rPr>
                <w:rFonts w:ascii="Arial Narrow" w:hAnsi="Arial Narrow"/>
                <w:color w:val="000000"/>
                <w:sz w:val="20"/>
                <w:szCs w:val="20"/>
              </w:rPr>
            </w:pPr>
          </w:p>
        </w:tc>
        <w:tc>
          <w:tcPr>
            <w:tcW w:w="394" w:type="pct"/>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In-tableHeading"/>
              <w:jc w:val="center"/>
              <w:rPr>
                <w:szCs w:val="20"/>
                <w:lang w:val="en-AU"/>
              </w:rPr>
            </w:pPr>
            <w:r w:rsidRPr="005A54CD">
              <w:rPr>
                <w:szCs w:val="20"/>
                <w:lang w:val="en-AU"/>
              </w:rPr>
              <w:t>N</w:t>
            </w:r>
          </w:p>
        </w:tc>
        <w:tc>
          <w:tcPr>
            <w:tcW w:w="471" w:type="pct"/>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In-tableHeading"/>
              <w:jc w:val="center"/>
              <w:rPr>
                <w:szCs w:val="20"/>
                <w:lang w:val="en-AU"/>
              </w:rPr>
            </w:pPr>
            <w:r w:rsidRPr="005A54CD">
              <w:rPr>
                <w:szCs w:val="20"/>
                <w:lang w:val="en-AU"/>
              </w:rPr>
              <w:t>Mean</w:t>
            </w:r>
          </w:p>
        </w:tc>
        <w:tc>
          <w:tcPr>
            <w:tcW w:w="553" w:type="pct"/>
            <w:gridSpan w:val="2"/>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In-tableHeading"/>
              <w:jc w:val="center"/>
              <w:rPr>
                <w:szCs w:val="20"/>
                <w:lang w:val="en-AU"/>
              </w:rPr>
            </w:pPr>
            <w:r w:rsidRPr="005A54CD">
              <w:rPr>
                <w:szCs w:val="20"/>
                <w:lang w:val="en-AU"/>
              </w:rPr>
              <w:t>95% CI</w:t>
            </w:r>
          </w:p>
        </w:tc>
        <w:tc>
          <w:tcPr>
            <w:tcW w:w="391" w:type="pct"/>
            <w:gridSpan w:val="2"/>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In-tableHeading"/>
              <w:jc w:val="center"/>
              <w:rPr>
                <w:szCs w:val="20"/>
                <w:lang w:val="en-AU"/>
              </w:rPr>
            </w:pPr>
            <w:r w:rsidRPr="005A54CD">
              <w:rPr>
                <w:szCs w:val="20"/>
                <w:lang w:val="en-AU"/>
              </w:rPr>
              <w:t>N</w:t>
            </w:r>
          </w:p>
        </w:tc>
        <w:tc>
          <w:tcPr>
            <w:tcW w:w="470" w:type="pct"/>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In-tableHeading"/>
              <w:jc w:val="center"/>
              <w:rPr>
                <w:szCs w:val="20"/>
                <w:lang w:val="en-AU"/>
              </w:rPr>
            </w:pPr>
            <w:r w:rsidRPr="005A54CD">
              <w:rPr>
                <w:szCs w:val="20"/>
                <w:lang w:val="en-AU"/>
              </w:rPr>
              <w:t>Mean</w:t>
            </w:r>
          </w:p>
        </w:tc>
        <w:tc>
          <w:tcPr>
            <w:tcW w:w="555" w:type="pct"/>
            <w:gridSpan w:val="2"/>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In-tableHeading"/>
              <w:jc w:val="center"/>
              <w:rPr>
                <w:szCs w:val="20"/>
                <w:lang w:val="en-AU"/>
              </w:rPr>
            </w:pPr>
            <w:r w:rsidRPr="005A54CD">
              <w:rPr>
                <w:szCs w:val="20"/>
                <w:lang w:val="en-AU"/>
              </w:rPr>
              <w:t>95% CI</w:t>
            </w:r>
          </w:p>
        </w:tc>
        <w:tc>
          <w:tcPr>
            <w:tcW w:w="990" w:type="pct"/>
            <w:gridSpan w:val="2"/>
            <w:vMerge/>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keepNext/>
              <w:keepLines/>
              <w:jc w:val="center"/>
              <w:rPr>
                <w:rFonts w:ascii="Arial Narrow" w:hAnsi="Arial Narrow"/>
                <w:b/>
                <w:sz w:val="20"/>
                <w:szCs w:val="20"/>
              </w:rPr>
            </w:pPr>
          </w:p>
        </w:tc>
      </w:tr>
      <w:tr w:rsidR="005B30A0" w:rsidRPr="005A54CD" w:rsidTr="005A54CD">
        <w:trPr>
          <w:cantSplit/>
        </w:trPr>
        <w:tc>
          <w:tcPr>
            <w:tcW w:w="11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371" w:rsidRPr="005A54CD" w:rsidRDefault="00DB4371" w:rsidP="00912164">
            <w:pPr>
              <w:pStyle w:val="TableText0"/>
              <w:rPr>
                <w:szCs w:val="20"/>
              </w:rPr>
            </w:pPr>
            <w:r w:rsidRPr="005A54CD">
              <w:rPr>
                <w:szCs w:val="20"/>
              </w:rPr>
              <w:t>Attack rate per month during treatment period*</w:t>
            </w:r>
          </w:p>
        </w:tc>
        <w:tc>
          <w:tcPr>
            <w:tcW w:w="394" w:type="pct"/>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TableText0"/>
              <w:jc w:val="center"/>
              <w:rPr>
                <w:szCs w:val="20"/>
              </w:rPr>
            </w:pPr>
            <w:r w:rsidRPr="005A54CD">
              <w:rPr>
                <w:szCs w:val="20"/>
              </w:rPr>
              <w:t>27</w:t>
            </w:r>
          </w:p>
        </w:tc>
        <w:tc>
          <w:tcPr>
            <w:tcW w:w="471" w:type="pct"/>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TableText0"/>
              <w:jc w:val="center"/>
              <w:rPr>
                <w:szCs w:val="20"/>
              </w:rPr>
            </w:pPr>
            <w:r w:rsidRPr="005A54CD">
              <w:rPr>
                <w:szCs w:val="20"/>
              </w:rPr>
              <w:t>0.26</w:t>
            </w:r>
          </w:p>
        </w:tc>
        <w:tc>
          <w:tcPr>
            <w:tcW w:w="553" w:type="pct"/>
            <w:gridSpan w:val="2"/>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TableText0"/>
              <w:jc w:val="center"/>
              <w:rPr>
                <w:szCs w:val="20"/>
              </w:rPr>
            </w:pPr>
            <w:r w:rsidRPr="005A54CD">
              <w:rPr>
                <w:szCs w:val="20"/>
              </w:rPr>
              <w:t>0.15, 0.46</w:t>
            </w:r>
          </w:p>
        </w:tc>
        <w:tc>
          <w:tcPr>
            <w:tcW w:w="391" w:type="pct"/>
            <w:gridSpan w:val="2"/>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TableText0"/>
              <w:jc w:val="center"/>
              <w:rPr>
                <w:szCs w:val="20"/>
              </w:rPr>
            </w:pPr>
            <w:r w:rsidRPr="005A54CD">
              <w:rPr>
                <w:szCs w:val="20"/>
              </w:rPr>
              <w:t>41</w:t>
            </w:r>
          </w:p>
        </w:tc>
        <w:tc>
          <w:tcPr>
            <w:tcW w:w="470" w:type="pct"/>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TableText0"/>
              <w:jc w:val="center"/>
              <w:rPr>
                <w:szCs w:val="20"/>
              </w:rPr>
            </w:pPr>
            <w:r w:rsidRPr="005A54CD">
              <w:rPr>
                <w:szCs w:val="20"/>
              </w:rPr>
              <w:t>1.97</w:t>
            </w:r>
          </w:p>
        </w:tc>
        <w:tc>
          <w:tcPr>
            <w:tcW w:w="555" w:type="pct"/>
            <w:gridSpan w:val="2"/>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TableText0"/>
              <w:jc w:val="center"/>
              <w:rPr>
                <w:szCs w:val="20"/>
              </w:rPr>
            </w:pPr>
            <w:r w:rsidRPr="005A54CD">
              <w:rPr>
                <w:szCs w:val="20"/>
              </w:rPr>
              <w:t>1.64, 2.36</w:t>
            </w:r>
          </w:p>
        </w:tc>
        <w:tc>
          <w:tcPr>
            <w:tcW w:w="990" w:type="pct"/>
            <w:gridSpan w:val="2"/>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TableText0"/>
              <w:jc w:val="center"/>
              <w:rPr>
                <w:b/>
                <w:szCs w:val="20"/>
              </w:rPr>
            </w:pPr>
            <w:r w:rsidRPr="005A54CD">
              <w:rPr>
                <w:b/>
                <w:szCs w:val="20"/>
              </w:rPr>
              <w:t>-1.71 (-2.09, -1.33)</w:t>
            </w:r>
          </w:p>
        </w:tc>
      </w:tr>
      <w:tr w:rsidR="00DB4371" w:rsidRPr="005A54CD" w:rsidTr="005A54CD">
        <w:tc>
          <w:tcPr>
            <w:tcW w:w="5000" w:type="pct"/>
            <w:gridSpan w:val="13"/>
            <w:tcBorders>
              <w:top w:val="double" w:sz="4" w:space="0" w:color="auto"/>
              <w:left w:val="single" w:sz="4" w:space="0" w:color="auto"/>
              <w:bottom w:val="single" w:sz="4" w:space="0" w:color="auto"/>
              <w:right w:val="single" w:sz="4" w:space="0" w:color="auto"/>
            </w:tcBorders>
            <w:shd w:val="clear" w:color="auto" w:fill="auto"/>
            <w:vAlign w:val="center"/>
          </w:tcPr>
          <w:p w:rsidR="00DB4371" w:rsidRPr="005A54CD" w:rsidRDefault="00DB4371" w:rsidP="00912164">
            <w:pPr>
              <w:pStyle w:val="In-tableHeading"/>
              <w:rPr>
                <w:szCs w:val="20"/>
                <w:lang w:val="en-AU"/>
              </w:rPr>
            </w:pPr>
            <w:r w:rsidRPr="005A54CD">
              <w:rPr>
                <w:szCs w:val="20"/>
                <w:lang w:val="en-AU"/>
              </w:rPr>
              <w:t xml:space="preserve">Harms </w:t>
            </w:r>
          </w:p>
        </w:tc>
      </w:tr>
      <w:tr w:rsidR="005B30A0" w:rsidRPr="005A54CD" w:rsidTr="005A54CD">
        <w:trPr>
          <w:trHeight w:val="70"/>
        </w:trPr>
        <w:tc>
          <w:tcPr>
            <w:tcW w:w="8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4371" w:rsidRPr="005A54CD" w:rsidRDefault="00DB4371" w:rsidP="00912164">
            <w:pPr>
              <w:pStyle w:val="In-tableHeading"/>
              <w:rPr>
                <w:szCs w:val="20"/>
                <w:lang w:val="en-AU"/>
              </w:rPr>
            </w:pPr>
          </w:p>
        </w:tc>
        <w:tc>
          <w:tcPr>
            <w:tcW w:w="708" w:type="pct"/>
            <w:gridSpan w:val="2"/>
            <w:vMerge w:val="restart"/>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In-tableHeading"/>
              <w:jc w:val="center"/>
              <w:rPr>
                <w:szCs w:val="20"/>
                <w:lang w:val="en-AU"/>
              </w:rPr>
            </w:pPr>
            <w:r w:rsidRPr="005A54CD">
              <w:rPr>
                <w:szCs w:val="20"/>
                <w:lang w:val="en-AU"/>
              </w:rPr>
              <w:t>Lanadelumab**</w:t>
            </w:r>
          </w:p>
          <w:p w:rsidR="00DB4371" w:rsidRPr="005A54CD" w:rsidRDefault="00DB4371" w:rsidP="00912164">
            <w:pPr>
              <w:pStyle w:val="In-tableHeading"/>
              <w:jc w:val="center"/>
              <w:rPr>
                <w:szCs w:val="20"/>
                <w:lang w:val="en-AU"/>
              </w:rPr>
            </w:pPr>
            <w:r w:rsidRPr="005A54CD">
              <w:rPr>
                <w:szCs w:val="20"/>
                <w:lang w:val="en-AU"/>
              </w:rPr>
              <w:t>n/N</w:t>
            </w:r>
          </w:p>
        </w:tc>
        <w:tc>
          <w:tcPr>
            <w:tcW w:w="550" w:type="pct"/>
            <w:gridSpan w:val="2"/>
            <w:vMerge w:val="restart"/>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In-tableHeading"/>
              <w:jc w:val="center"/>
              <w:rPr>
                <w:szCs w:val="20"/>
                <w:lang w:val="en-AU"/>
              </w:rPr>
            </w:pPr>
            <w:r w:rsidRPr="005A54CD">
              <w:rPr>
                <w:szCs w:val="20"/>
                <w:lang w:val="en-AU"/>
              </w:rPr>
              <w:t>PBO</w:t>
            </w:r>
          </w:p>
          <w:p w:rsidR="00DB4371" w:rsidRPr="005A54CD" w:rsidRDefault="00DB4371" w:rsidP="00912164">
            <w:pPr>
              <w:pStyle w:val="In-tableHeading"/>
              <w:jc w:val="center"/>
              <w:rPr>
                <w:szCs w:val="20"/>
                <w:lang w:val="en-AU"/>
              </w:rPr>
            </w:pPr>
            <w:r w:rsidRPr="005A54CD">
              <w:rPr>
                <w:szCs w:val="20"/>
                <w:lang w:val="en-AU"/>
              </w:rPr>
              <w:t>n/N</w:t>
            </w:r>
          </w:p>
        </w:tc>
        <w:tc>
          <w:tcPr>
            <w:tcW w:w="723" w:type="pct"/>
            <w:gridSpan w:val="2"/>
            <w:vMerge w:val="restart"/>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In-tableHeading"/>
              <w:jc w:val="center"/>
              <w:rPr>
                <w:szCs w:val="20"/>
                <w:lang w:val="en-AU"/>
              </w:rPr>
            </w:pPr>
            <w:r w:rsidRPr="005A54CD">
              <w:rPr>
                <w:szCs w:val="20"/>
                <w:lang w:val="en-AU"/>
              </w:rPr>
              <w:t>RR</w:t>
            </w:r>
          </w:p>
          <w:p w:rsidR="00DB4371" w:rsidRPr="005A54CD" w:rsidRDefault="00DB4371" w:rsidP="00912164">
            <w:pPr>
              <w:pStyle w:val="In-tableHeading"/>
              <w:jc w:val="center"/>
              <w:rPr>
                <w:szCs w:val="20"/>
                <w:lang w:val="en-AU"/>
              </w:rPr>
            </w:pPr>
            <w:r w:rsidRPr="005A54CD">
              <w:rPr>
                <w:szCs w:val="20"/>
                <w:lang w:val="en-AU"/>
              </w:rPr>
              <w:t>(95% CI)</w:t>
            </w:r>
          </w:p>
        </w:tc>
        <w:tc>
          <w:tcPr>
            <w:tcW w:w="1321" w:type="pct"/>
            <w:gridSpan w:val="5"/>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In-tableHeading"/>
              <w:jc w:val="center"/>
              <w:rPr>
                <w:szCs w:val="20"/>
                <w:lang w:val="en-AU"/>
              </w:rPr>
            </w:pPr>
            <w:r w:rsidRPr="005A54CD">
              <w:rPr>
                <w:szCs w:val="20"/>
                <w:lang w:val="en-AU"/>
              </w:rPr>
              <w:t>Event rate/100 patients*</w:t>
            </w:r>
          </w:p>
        </w:tc>
        <w:tc>
          <w:tcPr>
            <w:tcW w:w="836" w:type="pct"/>
            <w:vMerge w:val="restart"/>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In-tableHeading"/>
              <w:jc w:val="center"/>
              <w:rPr>
                <w:szCs w:val="20"/>
                <w:lang w:val="en-AU"/>
              </w:rPr>
            </w:pPr>
            <w:r w:rsidRPr="005A54CD">
              <w:rPr>
                <w:szCs w:val="20"/>
                <w:lang w:val="en-AU"/>
              </w:rPr>
              <w:t>RD</w:t>
            </w:r>
          </w:p>
          <w:p w:rsidR="00DB4371" w:rsidRPr="005A54CD" w:rsidRDefault="00DB4371" w:rsidP="00912164">
            <w:pPr>
              <w:pStyle w:val="In-tableHeading"/>
              <w:jc w:val="center"/>
              <w:rPr>
                <w:szCs w:val="20"/>
                <w:lang w:val="en-AU"/>
              </w:rPr>
            </w:pPr>
            <w:r w:rsidRPr="005A54CD">
              <w:rPr>
                <w:szCs w:val="20"/>
                <w:lang w:val="en-AU"/>
              </w:rPr>
              <w:t>(95% CI)</w:t>
            </w:r>
          </w:p>
        </w:tc>
      </w:tr>
      <w:tr w:rsidR="005B30A0" w:rsidRPr="005A54CD" w:rsidTr="005A54CD">
        <w:trPr>
          <w:trHeight w:val="390"/>
        </w:trPr>
        <w:tc>
          <w:tcPr>
            <w:tcW w:w="862" w:type="pct"/>
            <w:vMerge/>
            <w:tcBorders>
              <w:top w:val="single" w:sz="4" w:space="0" w:color="auto"/>
              <w:left w:val="single" w:sz="4" w:space="0" w:color="auto"/>
              <w:bottom w:val="single" w:sz="4" w:space="0" w:color="auto"/>
              <w:right w:val="single" w:sz="4" w:space="0" w:color="auto"/>
            </w:tcBorders>
            <w:shd w:val="clear" w:color="auto" w:fill="auto"/>
            <w:vAlign w:val="center"/>
          </w:tcPr>
          <w:p w:rsidR="00DB4371" w:rsidRPr="005A54CD" w:rsidRDefault="00DB4371" w:rsidP="00912164">
            <w:pPr>
              <w:pStyle w:val="In-tableHeading"/>
              <w:rPr>
                <w:szCs w:val="20"/>
                <w:lang w:val="en-AU"/>
              </w:rPr>
            </w:pPr>
          </w:p>
        </w:tc>
        <w:tc>
          <w:tcPr>
            <w:tcW w:w="708" w:type="pct"/>
            <w:gridSpan w:val="2"/>
            <w:vMerge/>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In-tableHeading"/>
              <w:rPr>
                <w:szCs w:val="20"/>
                <w:lang w:val="en-AU"/>
              </w:rPr>
            </w:pPr>
          </w:p>
        </w:tc>
        <w:tc>
          <w:tcPr>
            <w:tcW w:w="550" w:type="pct"/>
            <w:gridSpan w:val="2"/>
            <w:vMerge/>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In-tableHeading"/>
              <w:rPr>
                <w:szCs w:val="20"/>
                <w:lang w:val="en-AU"/>
              </w:rPr>
            </w:pPr>
          </w:p>
        </w:tc>
        <w:tc>
          <w:tcPr>
            <w:tcW w:w="723" w:type="pct"/>
            <w:gridSpan w:val="2"/>
            <w:vMerge/>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In-tableHeading"/>
              <w:rPr>
                <w:szCs w:val="20"/>
                <w:lang w:val="en-AU"/>
              </w:rPr>
            </w:pPr>
          </w:p>
        </w:tc>
        <w:tc>
          <w:tcPr>
            <w:tcW w:w="693" w:type="pct"/>
            <w:gridSpan w:val="3"/>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In-tableHeading"/>
              <w:jc w:val="center"/>
              <w:rPr>
                <w:szCs w:val="20"/>
                <w:lang w:val="en-AU"/>
              </w:rPr>
            </w:pPr>
            <w:r w:rsidRPr="005A54CD">
              <w:rPr>
                <w:szCs w:val="20"/>
                <w:lang w:val="en-AU"/>
              </w:rPr>
              <w:t>Lanadelumab</w:t>
            </w:r>
          </w:p>
        </w:tc>
        <w:tc>
          <w:tcPr>
            <w:tcW w:w="628" w:type="pct"/>
            <w:gridSpan w:val="2"/>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In-tableHeading"/>
              <w:jc w:val="center"/>
              <w:rPr>
                <w:szCs w:val="20"/>
                <w:lang w:val="en-AU"/>
              </w:rPr>
            </w:pPr>
            <w:r w:rsidRPr="005A54CD">
              <w:rPr>
                <w:szCs w:val="20"/>
                <w:lang w:val="en-AU"/>
              </w:rPr>
              <w:t>PBO</w:t>
            </w:r>
          </w:p>
        </w:tc>
        <w:tc>
          <w:tcPr>
            <w:tcW w:w="836" w:type="pct"/>
            <w:vMerge/>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In-tableHeading"/>
              <w:rPr>
                <w:szCs w:val="20"/>
                <w:lang w:val="en-AU"/>
              </w:rPr>
            </w:pPr>
          </w:p>
        </w:tc>
      </w:tr>
      <w:tr w:rsidR="005B30A0" w:rsidRPr="005A54CD" w:rsidTr="005A54CD">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DB4371" w:rsidRPr="005A54CD" w:rsidRDefault="00DB4371" w:rsidP="00912164">
            <w:pPr>
              <w:pStyle w:val="TableText0"/>
              <w:rPr>
                <w:szCs w:val="20"/>
              </w:rPr>
            </w:pPr>
            <w:r w:rsidRPr="005A54CD">
              <w:rPr>
                <w:szCs w:val="20"/>
              </w:rPr>
              <w:t>Any treatment-related TEAE</w:t>
            </w:r>
          </w:p>
        </w:tc>
        <w:tc>
          <w:tcPr>
            <w:tcW w:w="708" w:type="pct"/>
            <w:gridSpan w:val="2"/>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TableText0"/>
              <w:jc w:val="center"/>
              <w:rPr>
                <w:szCs w:val="20"/>
              </w:rPr>
            </w:pPr>
            <w:r w:rsidRPr="005A54CD">
              <w:rPr>
                <w:szCs w:val="20"/>
              </w:rPr>
              <w:t>50/84</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TableText0"/>
              <w:jc w:val="center"/>
              <w:rPr>
                <w:szCs w:val="20"/>
              </w:rPr>
            </w:pPr>
            <w:r w:rsidRPr="005A54CD">
              <w:rPr>
                <w:szCs w:val="20"/>
              </w:rPr>
              <w:t>14/41</w:t>
            </w:r>
          </w:p>
        </w:tc>
        <w:tc>
          <w:tcPr>
            <w:tcW w:w="723" w:type="pct"/>
            <w:gridSpan w:val="2"/>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TableText0"/>
              <w:jc w:val="center"/>
              <w:rPr>
                <w:szCs w:val="20"/>
              </w:rPr>
            </w:pPr>
            <w:r w:rsidRPr="005A54CD">
              <w:rPr>
                <w:szCs w:val="20"/>
              </w:rPr>
              <w:t>1.74 (1.10, 2.76)</w:t>
            </w:r>
          </w:p>
        </w:tc>
        <w:tc>
          <w:tcPr>
            <w:tcW w:w="693" w:type="pct"/>
            <w:gridSpan w:val="3"/>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TableText0"/>
              <w:jc w:val="center"/>
              <w:rPr>
                <w:szCs w:val="20"/>
              </w:rPr>
            </w:pPr>
            <w:r w:rsidRPr="005A54CD">
              <w:rPr>
                <w:szCs w:val="20"/>
              </w:rPr>
              <w:t>59.5</w:t>
            </w:r>
          </w:p>
        </w:tc>
        <w:tc>
          <w:tcPr>
            <w:tcW w:w="628" w:type="pct"/>
            <w:gridSpan w:val="2"/>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TableText0"/>
              <w:jc w:val="center"/>
              <w:rPr>
                <w:szCs w:val="20"/>
              </w:rPr>
            </w:pPr>
            <w:r w:rsidRPr="005A54CD">
              <w:rPr>
                <w:szCs w:val="20"/>
              </w:rPr>
              <w:t>34.1</w:t>
            </w:r>
          </w:p>
        </w:tc>
        <w:tc>
          <w:tcPr>
            <w:tcW w:w="836" w:type="pct"/>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TableText0"/>
              <w:jc w:val="center"/>
              <w:rPr>
                <w:b/>
                <w:szCs w:val="20"/>
              </w:rPr>
            </w:pPr>
            <w:r w:rsidRPr="005A54CD">
              <w:rPr>
                <w:b/>
                <w:szCs w:val="20"/>
              </w:rPr>
              <w:t>0.25 (0.07, 0.43)</w:t>
            </w:r>
          </w:p>
        </w:tc>
      </w:tr>
      <w:tr w:rsidR="005B30A0" w:rsidRPr="005A54CD" w:rsidTr="005A54CD">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DB4371" w:rsidRPr="005A54CD" w:rsidRDefault="00DB4371" w:rsidP="00912164">
            <w:pPr>
              <w:pStyle w:val="TableText0"/>
              <w:rPr>
                <w:szCs w:val="20"/>
              </w:rPr>
            </w:pPr>
            <w:r w:rsidRPr="005A54CD">
              <w:rPr>
                <w:szCs w:val="20"/>
              </w:rPr>
              <w:t>Any SAE</w:t>
            </w:r>
          </w:p>
        </w:tc>
        <w:tc>
          <w:tcPr>
            <w:tcW w:w="708" w:type="pct"/>
            <w:gridSpan w:val="2"/>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TableText0"/>
              <w:jc w:val="center"/>
              <w:rPr>
                <w:szCs w:val="20"/>
              </w:rPr>
            </w:pPr>
            <w:r w:rsidRPr="005A54CD">
              <w:rPr>
                <w:szCs w:val="20"/>
              </w:rPr>
              <w:t>4/84</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TableText0"/>
              <w:jc w:val="center"/>
              <w:rPr>
                <w:szCs w:val="20"/>
              </w:rPr>
            </w:pPr>
            <w:r w:rsidRPr="005A54CD">
              <w:rPr>
                <w:szCs w:val="20"/>
              </w:rPr>
              <w:t>0/41</w:t>
            </w:r>
          </w:p>
        </w:tc>
        <w:tc>
          <w:tcPr>
            <w:tcW w:w="723" w:type="pct"/>
            <w:gridSpan w:val="2"/>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TableText0"/>
              <w:jc w:val="center"/>
              <w:rPr>
                <w:szCs w:val="20"/>
              </w:rPr>
            </w:pPr>
            <w:r w:rsidRPr="005A54CD">
              <w:rPr>
                <w:szCs w:val="20"/>
              </w:rPr>
              <w:t>NE</w:t>
            </w:r>
          </w:p>
        </w:tc>
        <w:tc>
          <w:tcPr>
            <w:tcW w:w="693" w:type="pct"/>
            <w:gridSpan w:val="3"/>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TableText0"/>
              <w:jc w:val="center"/>
              <w:rPr>
                <w:szCs w:val="20"/>
              </w:rPr>
            </w:pPr>
            <w:r w:rsidRPr="005A54CD">
              <w:rPr>
                <w:szCs w:val="20"/>
              </w:rPr>
              <w:t>4.8</w:t>
            </w:r>
          </w:p>
        </w:tc>
        <w:tc>
          <w:tcPr>
            <w:tcW w:w="628" w:type="pct"/>
            <w:gridSpan w:val="2"/>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TableText0"/>
              <w:jc w:val="center"/>
              <w:rPr>
                <w:szCs w:val="20"/>
              </w:rPr>
            </w:pPr>
            <w:r w:rsidRPr="005A54CD">
              <w:rPr>
                <w:szCs w:val="20"/>
              </w:rPr>
              <w:t>0</w:t>
            </w:r>
          </w:p>
        </w:tc>
        <w:tc>
          <w:tcPr>
            <w:tcW w:w="836" w:type="pct"/>
            <w:tcBorders>
              <w:top w:val="single" w:sz="4" w:space="0" w:color="auto"/>
              <w:left w:val="single" w:sz="4" w:space="0" w:color="auto"/>
              <w:bottom w:val="single" w:sz="4" w:space="0" w:color="auto"/>
              <w:right w:val="single" w:sz="4" w:space="0" w:color="auto"/>
            </w:tcBorders>
            <w:vAlign w:val="center"/>
          </w:tcPr>
          <w:p w:rsidR="00DB4371" w:rsidRPr="005A54CD" w:rsidRDefault="00DB4371" w:rsidP="00912164">
            <w:pPr>
              <w:pStyle w:val="TableText0"/>
              <w:jc w:val="center"/>
              <w:rPr>
                <w:szCs w:val="20"/>
              </w:rPr>
            </w:pPr>
            <w:r w:rsidRPr="005A54CD">
              <w:rPr>
                <w:szCs w:val="20"/>
              </w:rPr>
              <w:t>0.05 (0.00, 0.09)</w:t>
            </w:r>
          </w:p>
        </w:tc>
      </w:tr>
    </w:tbl>
    <w:p w:rsidR="00DB4371" w:rsidRPr="008154B1" w:rsidRDefault="008406BF" w:rsidP="00912164">
      <w:pPr>
        <w:pStyle w:val="TableFigureFooter"/>
        <w:rPr>
          <w:sz w:val="20"/>
        </w:rPr>
      </w:pPr>
      <w:r w:rsidRPr="008154B1">
        <w:t>Source: Table 2, p2114 of Banerji et al (2018)</w:t>
      </w:r>
      <w:r w:rsidR="00BD12CB" w:rsidRPr="008154B1">
        <w:rPr>
          <w:rStyle w:val="FootnoteReference"/>
        </w:rPr>
        <w:footnoteReference w:id="6"/>
      </w:r>
      <w:r w:rsidRPr="008154B1">
        <w:t>, Table 14.2.5.3, p372 of the HELP CSR, and Table 30, p50 of the resubmission</w:t>
      </w:r>
      <w:r w:rsidR="00DB4371" w:rsidRPr="008154B1">
        <w:t>.</w:t>
      </w:r>
    </w:p>
    <w:p w:rsidR="00DB4371" w:rsidRPr="008154B1" w:rsidRDefault="00DB4371" w:rsidP="00912164">
      <w:pPr>
        <w:pStyle w:val="TableFigureFooter"/>
      </w:pPr>
      <w:r w:rsidRPr="008154B1">
        <w:t xml:space="preserve">CI = confidence interval; </w:t>
      </w:r>
      <w:r w:rsidR="0022734B" w:rsidRPr="008154B1">
        <w:t xml:space="preserve">NE = not evaluable; </w:t>
      </w:r>
      <w:r w:rsidRPr="008154B1">
        <w:t xml:space="preserve">PBO = placebo; </w:t>
      </w:r>
      <w:r w:rsidR="0022734B" w:rsidRPr="008154B1">
        <w:t xml:space="preserve">Q2W =every 2 weeks; </w:t>
      </w:r>
      <w:r w:rsidRPr="008154B1">
        <w:t>RD = risk difference; RR = risk ratio, TEAE = treatment emergent adverse eve</w:t>
      </w:r>
      <w:r w:rsidR="0022734B" w:rsidRPr="008154B1">
        <w:t>nt; SAE = serious adverse event.</w:t>
      </w:r>
    </w:p>
    <w:p w:rsidR="00DB4371" w:rsidRPr="008154B1" w:rsidRDefault="00DB4371" w:rsidP="00912164">
      <w:pPr>
        <w:pStyle w:val="TableFigureFooter"/>
      </w:pPr>
      <w:r w:rsidRPr="008154B1">
        <w:t>* 26 weeks of treatment period</w:t>
      </w:r>
    </w:p>
    <w:p w:rsidR="00DB4371" w:rsidRPr="008154B1" w:rsidRDefault="00DB4371" w:rsidP="00912164">
      <w:pPr>
        <w:pStyle w:val="TableFigureFooter"/>
      </w:pPr>
      <w:r w:rsidRPr="008154B1">
        <w:t>**all patients treated with lanadelumab, regardless of dose regimens.</w:t>
      </w:r>
    </w:p>
    <w:p w:rsidR="00DB4371" w:rsidRPr="008154B1" w:rsidRDefault="00DB4371" w:rsidP="00912164">
      <w:pPr>
        <w:pStyle w:val="3-BodyText"/>
      </w:pPr>
      <w:r w:rsidRPr="008154B1">
        <w:t>On the basis of direct evidence presented by the resubmission, for patients treated with lanadelumab 300</w:t>
      </w:r>
      <w:r w:rsidR="00F520E0" w:rsidRPr="008154B1">
        <w:t> </w:t>
      </w:r>
      <w:r w:rsidRPr="008154B1">
        <w:t xml:space="preserve">mg Q2W in comparison with placebo over </w:t>
      </w:r>
      <w:r w:rsidR="00BE5505" w:rsidRPr="008154B1">
        <w:t xml:space="preserve">a </w:t>
      </w:r>
      <w:r w:rsidRPr="008154B1">
        <w:t>26 week treatment period, they will experience</w:t>
      </w:r>
      <w:r w:rsidR="008406BF" w:rsidRPr="008154B1">
        <w:t>, on average,</w:t>
      </w:r>
      <w:r w:rsidRPr="008154B1">
        <w:t xml:space="preserve"> 1.71 fewer HAE attacks per month.</w:t>
      </w:r>
      <w:r w:rsidR="008406BF" w:rsidRPr="008154B1">
        <w:t xml:space="preserve"> This corresponded to an approximate 87% reduction in </w:t>
      </w:r>
      <w:r w:rsidR="003D0583" w:rsidRPr="008154B1">
        <w:t xml:space="preserve">the </w:t>
      </w:r>
      <w:r w:rsidR="008406BF" w:rsidRPr="008154B1">
        <w:t>mean attack rate compared with placebo.</w:t>
      </w:r>
    </w:p>
    <w:p w:rsidR="00DB4371" w:rsidRPr="008154B1" w:rsidRDefault="00DB4371" w:rsidP="00912164">
      <w:pPr>
        <w:pStyle w:val="3-BodyText"/>
      </w:pPr>
      <w:r w:rsidRPr="008154B1">
        <w:t xml:space="preserve">For every 100 patients treated with lanadelumab in comparison with placebo over </w:t>
      </w:r>
      <w:r w:rsidR="00BE5505" w:rsidRPr="008154B1">
        <w:t xml:space="preserve">a </w:t>
      </w:r>
      <w:r w:rsidRPr="008154B1">
        <w:t>26 week treatment period:</w:t>
      </w:r>
    </w:p>
    <w:p w:rsidR="00DB4371" w:rsidRPr="008154B1" w:rsidRDefault="00DB4371" w:rsidP="00950926">
      <w:pPr>
        <w:pStyle w:val="ListParagraph"/>
        <w:numPr>
          <w:ilvl w:val="0"/>
          <w:numId w:val="8"/>
        </w:numPr>
        <w:tabs>
          <w:tab w:val="left" w:pos="1134"/>
        </w:tabs>
        <w:spacing w:before="120"/>
        <w:ind w:left="1134" w:hanging="425"/>
      </w:pPr>
      <w:r w:rsidRPr="008154B1">
        <w:t>Approximately 25 additional patients would experience a treatment related treatment-emergent adverse event;</w:t>
      </w:r>
    </w:p>
    <w:p w:rsidR="00DB4371" w:rsidRPr="008154B1" w:rsidRDefault="00DB4371" w:rsidP="00950926">
      <w:pPr>
        <w:pStyle w:val="ListParagraph"/>
        <w:numPr>
          <w:ilvl w:val="0"/>
          <w:numId w:val="8"/>
        </w:numPr>
        <w:tabs>
          <w:tab w:val="left" w:pos="1134"/>
        </w:tabs>
        <w:spacing w:before="120"/>
        <w:ind w:left="1134" w:hanging="425"/>
      </w:pPr>
      <w:r w:rsidRPr="008154B1">
        <w:t>Approximately 5 additional patients would experience a serious adverse event.</w:t>
      </w:r>
    </w:p>
    <w:p w:rsidR="00DB4371" w:rsidRPr="008154B1" w:rsidRDefault="00DB4371" w:rsidP="00912164">
      <w:pPr>
        <w:pStyle w:val="4-SubsectionHeading"/>
      </w:pPr>
      <w:bookmarkStart w:id="19" w:name="_Toc22897644"/>
      <w:bookmarkStart w:id="20" w:name="_Toc40185432"/>
      <w:r w:rsidRPr="008154B1">
        <w:t>Clinical claim</w:t>
      </w:r>
      <w:bookmarkEnd w:id="19"/>
      <w:bookmarkEnd w:id="20"/>
    </w:p>
    <w:p w:rsidR="00DB4371" w:rsidRPr="008154B1" w:rsidRDefault="00DB4371" w:rsidP="00912164">
      <w:pPr>
        <w:pStyle w:val="3-BodyText"/>
      </w:pPr>
      <w:r w:rsidRPr="008154B1">
        <w:t>The resubmission described lanadelumab as superior in terms of effectiveness and inferior in terms of safety compared to placebo.</w:t>
      </w:r>
    </w:p>
    <w:p w:rsidR="00DB4371" w:rsidRPr="008154B1" w:rsidRDefault="00DB4371" w:rsidP="00912164">
      <w:pPr>
        <w:pStyle w:val="3-BodyText"/>
      </w:pPr>
      <w:r w:rsidRPr="008154B1">
        <w:t xml:space="preserve">The therapeutic conclusion presented in the resubmission, between lanadelumab + ODT, and placebo (no routine prophylaxis) + ODT, was adequately supported by the evidence from the HELP trial. However, </w:t>
      </w:r>
      <w:r w:rsidR="00800618" w:rsidRPr="008154B1">
        <w:t xml:space="preserve">the </w:t>
      </w:r>
      <w:r w:rsidR="002149E8" w:rsidRPr="008154B1">
        <w:t>evaluation</w:t>
      </w:r>
      <w:r w:rsidR="00AF5584" w:rsidRPr="008154B1">
        <w:t xml:space="preserve"> and the ESC considered that the </w:t>
      </w:r>
      <w:r w:rsidR="00800618" w:rsidRPr="008154B1">
        <w:t xml:space="preserve">evidence should be interpreted with caution given </w:t>
      </w:r>
      <w:r w:rsidRPr="008154B1">
        <w:t>the following issues:</w:t>
      </w:r>
    </w:p>
    <w:p w:rsidR="00A2798F" w:rsidRPr="008154B1" w:rsidRDefault="00A2798F" w:rsidP="00950926">
      <w:pPr>
        <w:pStyle w:val="ListParagraph"/>
        <w:numPr>
          <w:ilvl w:val="0"/>
          <w:numId w:val="7"/>
        </w:numPr>
        <w:ind w:left="1080"/>
      </w:pPr>
      <w:r w:rsidRPr="008154B1">
        <w:t xml:space="preserve">The applicability of the clinical benefit from the key HELP trial, associated with lanadelumab versus placebo, to Australian clinical practice remains potentially uncertain. </w:t>
      </w:r>
      <w:r w:rsidR="007F5F59" w:rsidRPr="008154B1">
        <w:t xml:space="preserve">Around half (56%) of the patients in the HELP trial had used a form of </w:t>
      </w:r>
      <w:r w:rsidR="007F5F59" w:rsidRPr="008154B1">
        <w:lastRenderedPageBreak/>
        <w:t>long-term prophylaxis within three months prior to screening (the majority of prophylaxis was with IV C1</w:t>
      </w:r>
      <w:r w:rsidR="007F5F59" w:rsidRPr="008154B1">
        <w:noBreakHyphen/>
        <w:t>INH).</w:t>
      </w:r>
      <w:r w:rsidRPr="008154B1">
        <w:t xml:space="preserve"> Should routine prophylaxis (oral prophylaxis with danazol/tranexamic acid, or </w:t>
      </w:r>
      <w:r w:rsidR="001008C3" w:rsidRPr="008154B1">
        <w:t>with</w:t>
      </w:r>
      <w:r w:rsidRPr="008154B1">
        <w:t xml:space="preserve"> C1-INH in NBA qualifying patients) remain a main part of the clinical management of HAE in Australian SOC, the comparative effectiveness result from HELP may be an overestimate of clinical practice given a selection bias for more treatment experienced patients with the proposed </w:t>
      </w:r>
      <w:r w:rsidR="007F5F59" w:rsidRPr="008154B1">
        <w:t>restriction</w:t>
      </w:r>
      <w:r w:rsidRPr="008154B1">
        <w:t>.</w:t>
      </w:r>
    </w:p>
    <w:p w:rsidR="004412E7" w:rsidRPr="008154B1" w:rsidRDefault="00DB4371" w:rsidP="00950926">
      <w:pPr>
        <w:pStyle w:val="ListParagraph"/>
        <w:numPr>
          <w:ilvl w:val="0"/>
          <w:numId w:val="7"/>
        </w:numPr>
        <w:ind w:left="1080"/>
      </w:pPr>
      <w:r w:rsidRPr="008154B1">
        <w:t xml:space="preserve">The </w:t>
      </w:r>
      <w:r w:rsidR="00A2798F" w:rsidRPr="008154B1">
        <w:t xml:space="preserve">evaluation considered that the </w:t>
      </w:r>
      <w:r w:rsidRPr="008154B1">
        <w:t>extent of benefit in terms of a reduction of attack rates, associated with lanadelumab 300</w:t>
      </w:r>
      <w:r w:rsidR="00F520E0" w:rsidRPr="008154B1">
        <w:t> </w:t>
      </w:r>
      <w:r w:rsidRPr="008154B1">
        <w:t xml:space="preserve">mg (Q2W or Q4W regimens) versus placebo, was imprecise due to the small number of patients as reflected </w:t>
      </w:r>
      <w:r w:rsidR="00CC22DC" w:rsidRPr="008154B1">
        <w:t xml:space="preserve">by </w:t>
      </w:r>
      <w:r w:rsidRPr="008154B1">
        <w:t xml:space="preserve">the wide 95% confidence intervals. </w:t>
      </w:r>
      <w:r w:rsidR="00446FD9" w:rsidRPr="008154B1">
        <w:t>The ESC considered that the incremental benefit of lanadelumab observed in the HELP trial was clinically meaningful even at the upper limit of the 95% CI, with a reduction in the mean HAE attack rate per month of 86.9% (95% CI: 92.8%, 76.2%) in the Q2W arm versus placebo.</w:t>
      </w:r>
    </w:p>
    <w:p w:rsidR="00DB4371" w:rsidRPr="008154B1" w:rsidRDefault="004412E7" w:rsidP="00950926">
      <w:pPr>
        <w:pStyle w:val="ListParagraph"/>
        <w:numPr>
          <w:ilvl w:val="0"/>
          <w:numId w:val="7"/>
        </w:numPr>
        <w:ind w:left="1080"/>
      </w:pPr>
      <w:r w:rsidRPr="008154B1">
        <w:t>The evaluation considered that l</w:t>
      </w:r>
      <w:r w:rsidR="00DB4371" w:rsidRPr="008154B1">
        <w:t xml:space="preserve">ong term comparative efficacy </w:t>
      </w:r>
      <w:r w:rsidRPr="008154B1">
        <w:t>was</w:t>
      </w:r>
      <w:r w:rsidR="00DB4371" w:rsidRPr="008154B1">
        <w:t xml:space="preserve"> lacking (given the 26-week HELP study period), considering that therapy is likely to be on-going in many patients</w:t>
      </w:r>
      <w:r w:rsidR="00A2798F" w:rsidRPr="008154B1">
        <w:t>.</w:t>
      </w:r>
      <w:r w:rsidRPr="008154B1">
        <w:t xml:space="preserve"> However, the ESC noted that data from the extension study provided in the PSCR, while non-comparative</w:t>
      </w:r>
      <w:r w:rsidR="007F5F59" w:rsidRPr="008154B1">
        <w:t xml:space="preserve"> and based on the Q2W regimen only</w:t>
      </w:r>
      <w:r w:rsidRPr="008154B1">
        <w:t>, indicated that the treatment effect of lanadelumab appeared to be maintained over time.</w:t>
      </w:r>
    </w:p>
    <w:p w:rsidR="00BE110C" w:rsidRPr="008154B1" w:rsidRDefault="00BE110C" w:rsidP="00BE110C">
      <w:pPr>
        <w:pStyle w:val="3-BodyText"/>
      </w:pPr>
      <w:r w:rsidRPr="008154B1">
        <w:t>The PBAC considered that the claim of superior comparative effectiveness was reasonable</w:t>
      </w:r>
      <w:r w:rsidR="00757A3E" w:rsidRPr="008154B1">
        <w:t>, but considered there was residual uncertainty in the magnitude of benefit due to the small patient numbers in the trial and potential applicability issues</w:t>
      </w:r>
      <w:r w:rsidRPr="008154B1">
        <w:t>.</w:t>
      </w:r>
    </w:p>
    <w:p w:rsidR="00BE110C" w:rsidRPr="008154B1" w:rsidRDefault="00BE110C" w:rsidP="00BE110C">
      <w:pPr>
        <w:pStyle w:val="3-BodyText"/>
      </w:pPr>
      <w:r w:rsidRPr="008154B1">
        <w:t>The PBAC considered that the claim of inferior comparative safety was reasonable</w:t>
      </w:r>
      <w:r w:rsidR="00757A3E" w:rsidRPr="008154B1">
        <w:t>, and that, based on the evidence available, lanadelumab appears to be well tolerated.</w:t>
      </w:r>
    </w:p>
    <w:p w:rsidR="00AD67B3" w:rsidRPr="008154B1" w:rsidRDefault="00AD67B3" w:rsidP="00912164">
      <w:pPr>
        <w:pStyle w:val="4-SubsectionHeading"/>
      </w:pPr>
      <w:bookmarkStart w:id="21" w:name="_Toc22897645"/>
      <w:bookmarkStart w:id="22" w:name="_Toc40174755"/>
      <w:bookmarkStart w:id="23" w:name="_Toc40185433"/>
      <w:bookmarkStart w:id="24" w:name="_Toc22897646"/>
      <w:r w:rsidRPr="008154B1">
        <w:t>Economic analysis</w:t>
      </w:r>
      <w:bookmarkEnd w:id="21"/>
      <w:bookmarkEnd w:id="22"/>
      <w:bookmarkEnd w:id="23"/>
      <w:r w:rsidRPr="008154B1">
        <w:t xml:space="preserve"> </w:t>
      </w:r>
    </w:p>
    <w:p w:rsidR="00AD67B3" w:rsidRPr="008154B1" w:rsidRDefault="00AD67B3" w:rsidP="00912164">
      <w:pPr>
        <w:pStyle w:val="3-BodyText"/>
        <w:rPr>
          <w:color w:val="000000" w:themeColor="text1"/>
        </w:rPr>
      </w:pPr>
      <w:r w:rsidRPr="008154B1">
        <w:t>The resubmission presented a stepped economic evaluation based on the direct randomised trial HELP and implementing a modelled evaluation.</w:t>
      </w:r>
      <w:r w:rsidRPr="008154B1">
        <w:rPr>
          <w:iCs/>
        </w:rPr>
        <w:t xml:space="preserve"> The economic evaluation only assessed the cost-effectiveness of lanadelumab compared with SOC. </w:t>
      </w:r>
      <w:r w:rsidR="00B650B8" w:rsidRPr="008154B1">
        <w:rPr>
          <w:iCs/>
        </w:rPr>
        <w:t>The evaluation considered that, f</w:t>
      </w:r>
      <w:r w:rsidRPr="008154B1">
        <w:rPr>
          <w:iCs/>
          <w:color w:val="000000" w:themeColor="text1"/>
        </w:rPr>
        <w:t xml:space="preserve">or patients who experience 8 or more attacks per month, prophylactic C1-INH may have been a more appropriate comparator, especially given that the availability of the subcutaneous injection of C1-INH is likely to increase uptake in eligible patients. However, it </w:t>
      </w:r>
      <w:r w:rsidR="00482029" w:rsidRPr="008154B1">
        <w:rPr>
          <w:iCs/>
          <w:color w:val="000000" w:themeColor="text1"/>
        </w:rPr>
        <w:t>wa</w:t>
      </w:r>
      <w:r w:rsidRPr="008154B1">
        <w:rPr>
          <w:iCs/>
          <w:color w:val="000000" w:themeColor="text1"/>
        </w:rPr>
        <w:t xml:space="preserve">s acknowledged that there is a lack of comparative evidence in terms of lanadelumab versus SC C1-INH, and that these patients would only be expected to represent a small proportion of the proposed PBS population for lanadelumab. The previous submission presented a cost-minimisation analysis of lanadelumab compared with IV C1-INH, based on an indirect comparison of these two treatments. </w:t>
      </w:r>
    </w:p>
    <w:p w:rsidR="00AD67B3" w:rsidRPr="008154B1" w:rsidRDefault="00AD67B3" w:rsidP="00912164">
      <w:pPr>
        <w:pStyle w:val="3-BodyText"/>
      </w:pPr>
      <w:r w:rsidRPr="008154B1">
        <w:t>The model structure, key inputs and rationale are summarised below.</w:t>
      </w:r>
    </w:p>
    <w:p w:rsidR="00AD67B3" w:rsidRPr="008154B1" w:rsidRDefault="00AD67B3" w:rsidP="00912164">
      <w:pPr>
        <w:pStyle w:val="TableFigureHeading"/>
        <w:rPr>
          <w:rStyle w:val="CommentReference"/>
          <w:rFonts w:asciiTheme="minorHAnsi" w:hAnsiTheme="minorHAnsi"/>
          <w:color w:val="000000" w:themeColor="text1"/>
          <w:sz w:val="24"/>
          <w:szCs w:val="24"/>
        </w:rPr>
      </w:pPr>
      <w:r w:rsidRPr="008154B1">
        <w:lastRenderedPageBreak/>
        <w:t xml:space="preserve">Table </w:t>
      </w:r>
      <w:r w:rsidR="00EA3C26" w:rsidRPr="008154B1">
        <w:t>8</w:t>
      </w:r>
      <w:r w:rsidRPr="008154B1">
        <w:t xml:space="preserve">: </w:t>
      </w:r>
      <w:r w:rsidRPr="008154B1">
        <w:rPr>
          <w:rStyle w:val="CommentReference"/>
          <w:b/>
          <w:szCs w:val="24"/>
        </w:rPr>
        <w:t>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89"/>
        <w:gridCol w:w="6328"/>
      </w:tblGrid>
      <w:tr w:rsidR="00AD67B3" w:rsidRPr="008154B1" w:rsidTr="005A54CD">
        <w:tc>
          <w:tcPr>
            <w:tcW w:w="1491" w:type="pct"/>
            <w:vAlign w:val="center"/>
          </w:tcPr>
          <w:p w:rsidR="00AD67B3" w:rsidRPr="008154B1" w:rsidRDefault="00AD67B3" w:rsidP="00912164">
            <w:pPr>
              <w:pStyle w:val="In-tableHeading"/>
              <w:rPr>
                <w:lang w:val="en-AU"/>
              </w:rPr>
            </w:pPr>
            <w:r w:rsidRPr="008154B1">
              <w:rPr>
                <w:lang w:val="en-AU"/>
              </w:rPr>
              <w:t>Component</w:t>
            </w:r>
          </w:p>
        </w:tc>
        <w:tc>
          <w:tcPr>
            <w:tcW w:w="3509" w:type="pct"/>
          </w:tcPr>
          <w:p w:rsidR="00AD67B3" w:rsidRPr="008154B1" w:rsidRDefault="00AD67B3" w:rsidP="00912164">
            <w:pPr>
              <w:pStyle w:val="In-tableHeading"/>
              <w:jc w:val="center"/>
              <w:rPr>
                <w:lang w:val="en-AU"/>
              </w:rPr>
            </w:pPr>
            <w:r w:rsidRPr="008154B1">
              <w:rPr>
                <w:lang w:val="en-AU"/>
              </w:rPr>
              <w:t>Description</w:t>
            </w:r>
          </w:p>
        </w:tc>
      </w:tr>
      <w:tr w:rsidR="00AD67B3" w:rsidRPr="008154B1" w:rsidTr="005A54CD">
        <w:tc>
          <w:tcPr>
            <w:tcW w:w="1491" w:type="pct"/>
            <w:vAlign w:val="center"/>
          </w:tcPr>
          <w:p w:rsidR="00AD67B3" w:rsidRPr="008154B1" w:rsidRDefault="00AD67B3" w:rsidP="00912164">
            <w:pPr>
              <w:pStyle w:val="TableText0"/>
            </w:pPr>
            <w:r w:rsidRPr="008154B1">
              <w:t>Treatment</w:t>
            </w:r>
          </w:p>
        </w:tc>
        <w:tc>
          <w:tcPr>
            <w:tcW w:w="3509" w:type="pct"/>
          </w:tcPr>
          <w:p w:rsidR="00AD67B3" w:rsidRPr="008154B1" w:rsidRDefault="00AD67B3" w:rsidP="00912164">
            <w:pPr>
              <w:pStyle w:val="TableText0"/>
              <w:rPr>
                <w:iCs/>
              </w:rPr>
            </w:pPr>
            <w:r w:rsidRPr="008154B1">
              <w:rPr>
                <w:iCs/>
              </w:rPr>
              <w:t>Lanadelumab versus SOC</w:t>
            </w:r>
          </w:p>
        </w:tc>
      </w:tr>
      <w:tr w:rsidR="00AD67B3" w:rsidRPr="008154B1" w:rsidTr="005A54CD">
        <w:tc>
          <w:tcPr>
            <w:tcW w:w="1491" w:type="pct"/>
            <w:vAlign w:val="center"/>
          </w:tcPr>
          <w:p w:rsidR="00AD67B3" w:rsidRPr="008154B1" w:rsidRDefault="00AD67B3" w:rsidP="00912164">
            <w:pPr>
              <w:pStyle w:val="TableText0"/>
            </w:pPr>
            <w:r w:rsidRPr="008154B1">
              <w:t>Population</w:t>
            </w:r>
          </w:p>
        </w:tc>
        <w:tc>
          <w:tcPr>
            <w:tcW w:w="3509" w:type="pct"/>
          </w:tcPr>
          <w:p w:rsidR="00AD67B3" w:rsidRPr="008154B1" w:rsidRDefault="00AD67B3" w:rsidP="00912164">
            <w:pPr>
              <w:pStyle w:val="TableText0"/>
              <w:rPr>
                <w:iCs/>
              </w:rPr>
            </w:pPr>
            <w:r w:rsidRPr="008154B1">
              <w:rPr>
                <w:iCs/>
              </w:rPr>
              <w:t>Patients experiencing ≥ 24 treated attacks over 12 months</w:t>
            </w:r>
          </w:p>
        </w:tc>
      </w:tr>
      <w:tr w:rsidR="00AD67B3" w:rsidRPr="008154B1" w:rsidTr="005A54CD">
        <w:tc>
          <w:tcPr>
            <w:tcW w:w="1491" w:type="pct"/>
            <w:vAlign w:val="center"/>
          </w:tcPr>
          <w:p w:rsidR="00AD67B3" w:rsidRPr="008154B1" w:rsidRDefault="00AD67B3" w:rsidP="00912164">
            <w:pPr>
              <w:pStyle w:val="TableText0"/>
            </w:pPr>
            <w:r w:rsidRPr="008154B1">
              <w:t>Type of analysis</w:t>
            </w:r>
          </w:p>
        </w:tc>
        <w:tc>
          <w:tcPr>
            <w:tcW w:w="3509" w:type="pct"/>
          </w:tcPr>
          <w:p w:rsidR="00AD67B3" w:rsidRPr="008154B1" w:rsidRDefault="00AD67B3" w:rsidP="00912164">
            <w:pPr>
              <w:pStyle w:val="TableText0"/>
            </w:pPr>
            <w:r w:rsidRPr="008154B1">
              <w:t>Cost-utility analysis</w:t>
            </w:r>
          </w:p>
        </w:tc>
      </w:tr>
      <w:tr w:rsidR="00AD67B3" w:rsidRPr="008154B1" w:rsidTr="005A54CD">
        <w:tc>
          <w:tcPr>
            <w:tcW w:w="1491" w:type="pct"/>
            <w:vAlign w:val="center"/>
          </w:tcPr>
          <w:p w:rsidR="00AD67B3" w:rsidRPr="008154B1" w:rsidRDefault="00AD67B3" w:rsidP="00912164">
            <w:pPr>
              <w:pStyle w:val="TableText0"/>
            </w:pPr>
            <w:r w:rsidRPr="008154B1">
              <w:t>Time horizon</w:t>
            </w:r>
          </w:p>
        </w:tc>
        <w:tc>
          <w:tcPr>
            <w:tcW w:w="3509" w:type="pct"/>
            <w:vAlign w:val="center"/>
          </w:tcPr>
          <w:p w:rsidR="00AD67B3" w:rsidRPr="008154B1" w:rsidRDefault="00AD67B3" w:rsidP="00912164">
            <w:pPr>
              <w:pStyle w:val="TableText0"/>
            </w:pPr>
            <w:r w:rsidRPr="008154B1">
              <w:t>1 year</w:t>
            </w:r>
          </w:p>
        </w:tc>
      </w:tr>
      <w:tr w:rsidR="00AD67B3" w:rsidRPr="008154B1" w:rsidTr="005A54CD">
        <w:tc>
          <w:tcPr>
            <w:tcW w:w="1491" w:type="pct"/>
            <w:vAlign w:val="center"/>
          </w:tcPr>
          <w:p w:rsidR="00AD67B3" w:rsidRPr="008154B1" w:rsidRDefault="00AD67B3" w:rsidP="00912164">
            <w:pPr>
              <w:pStyle w:val="TableText0"/>
            </w:pPr>
            <w:r w:rsidRPr="008154B1">
              <w:t>Outcomes</w:t>
            </w:r>
          </w:p>
        </w:tc>
        <w:tc>
          <w:tcPr>
            <w:tcW w:w="3509" w:type="pct"/>
            <w:vAlign w:val="center"/>
          </w:tcPr>
          <w:p w:rsidR="00AD67B3" w:rsidRPr="008154B1" w:rsidRDefault="00AD67B3" w:rsidP="00912164">
            <w:pPr>
              <w:pStyle w:val="TableText0"/>
            </w:pPr>
            <w:r w:rsidRPr="008154B1">
              <w:t>HAE attacks, quality-adjusted life years</w:t>
            </w:r>
          </w:p>
        </w:tc>
      </w:tr>
      <w:tr w:rsidR="00AD67B3" w:rsidRPr="008154B1" w:rsidTr="005A54CD">
        <w:tc>
          <w:tcPr>
            <w:tcW w:w="1491" w:type="pct"/>
            <w:vAlign w:val="center"/>
          </w:tcPr>
          <w:p w:rsidR="00AD67B3" w:rsidRPr="008154B1" w:rsidRDefault="00AD67B3" w:rsidP="00912164">
            <w:pPr>
              <w:pStyle w:val="TableText0"/>
            </w:pPr>
            <w:r w:rsidRPr="008154B1">
              <w:t>Utilities</w:t>
            </w:r>
          </w:p>
        </w:tc>
        <w:tc>
          <w:tcPr>
            <w:tcW w:w="3509" w:type="pct"/>
            <w:vAlign w:val="center"/>
          </w:tcPr>
          <w:p w:rsidR="00AD67B3" w:rsidRPr="008154B1" w:rsidRDefault="00AD67B3" w:rsidP="00912164">
            <w:pPr>
              <w:pStyle w:val="TableText0"/>
            </w:pPr>
            <w:r w:rsidRPr="008154B1">
              <w:t xml:space="preserve">‘Between-attack’ utility: </w:t>
            </w:r>
          </w:p>
          <w:p w:rsidR="00AD67B3" w:rsidRPr="008154B1" w:rsidRDefault="00AD67B3" w:rsidP="00912164">
            <w:pPr>
              <w:pStyle w:val="TableText0"/>
            </w:pPr>
            <w:r w:rsidRPr="008154B1">
              <w:t>&lt;1 attack/28 days 0.88, 1 to &lt;2 attacks/28 days 0.80, ≥2 attacks/28 days 0.64</w:t>
            </w:r>
          </w:p>
          <w:p w:rsidR="00AD67B3" w:rsidRPr="008154B1" w:rsidRDefault="00AD67B3" w:rsidP="00912164">
            <w:pPr>
              <w:pStyle w:val="TableText0"/>
            </w:pPr>
            <w:r w:rsidRPr="008154B1">
              <w:t>‘In-attack’ disutility:</w:t>
            </w:r>
          </w:p>
          <w:p w:rsidR="00AD67B3" w:rsidRPr="008154B1" w:rsidRDefault="00AD67B3" w:rsidP="00912164">
            <w:pPr>
              <w:pStyle w:val="TableText0"/>
            </w:pPr>
            <w:r w:rsidRPr="008154B1">
              <w:t>Mild attack 0.070, moderate attack 0.369, severe attack 0.486</w:t>
            </w:r>
          </w:p>
        </w:tc>
      </w:tr>
      <w:tr w:rsidR="00AD67B3" w:rsidRPr="008154B1" w:rsidTr="005A54CD">
        <w:tc>
          <w:tcPr>
            <w:tcW w:w="1491" w:type="pct"/>
            <w:vAlign w:val="center"/>
          </w:tcPr>
          <w:p w:rsidR="00AD67B3" w:rsidRPr="008154B1" w:rsidRDefault="00AD67B3" w:rsidP="00912164">
            <w:pPr>
              <w:pStyle w:val="TableText0"/>
            </w:pPr>
            <w:r w:rsidRPr="008154B1">
              <w:t>Methods used to generate results</w:t>
            </w:r>
          </w:p>
        </w:tc>
        <w:tc>
          <w:tcPr>
            <w:tcW w:w="3509" w:type="pct"/>
            <w:vAlign w:val="center"/>
          </w:tcPr>
          <w:p w:rsidR="00AD67B3" w:rsidRPr="008154B1" w:rsidRDefault="00AD67B3" w:rsidP="00912164">
            <w:pPr>
              <w:pStyle w:val="TableText0"/>
            </w:pPr>
            <w:r w:rsidRPr="008154B1">
              <w:t>Cohort expected value</w:t>
            </w:r>
          </w:p>
        </w:tc>
      </w:tr>
      <w:tr w:rsidR="00AD67B3" w:rsidRPr="008154B1" w:rsidTr="005A54CD">
        <w:tc>
          <w:tcPr>
            <w:tcW w:w="1491" w:type="pct"/>
            <w:vAlign w:val="center"/>
          </w:tcPr>
          <w:p w:rsidR="00AD67B3" w:rsidRPr="008154B1" w:rsidRDefault="00AD67B3" w:rsidP="00912164">
            <w:pPr>
              <w:pStyle w:val="TableText0"/>
              <w:rPr>
                <w:highlight w:val="yellow"/>
              </w:rPr>
            </w:pPr>
            <w:r w:rsidRPr="008154B1">
              <w:t>Health-related quality of life</w:t>
            </w:r>
          </w:p>
        </w:tc>
        <w:tc>
          <w:tcPr>
            <w:tcW w:w="3509" w:type="pct"/>
            <w:vAlign w:val="center"/>
          </w:tcPr>
          <w:p w:rsidR="00AD67B3" w:rsidRPr="008154B1" w:rsidRDefault="00AD67B3" w:rsidP="00912164">
            <w:pPr>
              <w:pStyle w:val="TableText0"/>
              <w:rPr>
                <w:iCs/>
                <w:highlight w:val="yellow"/>
              </w:rPr>
            </w:pPr>
            <w:r w:rsidRPr="008154B1">
              <w:rPr>
                <w:iCs/>
              </w:rPr>
              <w:t>‘Between-attack’ utility reflecting frequency, average severity and duration of HAE attacks was applied. An ‘in-attack’ disutility was also applied.</w:t>
            </w:r>
          </w:p>
        </w:tc>
      </w:tr>
      <w:tr w:rsidR="00AD67B3" w:rsidRPr="008154B1" w:rsidTr="005A54CD">
        <w:tc>
          <w:tcPr>
            <w:tcW w:w="1491" w:type="pct"/>
            <w:vAlign w:val="center"/>
          </w:tcPr>
          <w:p w:rsidR="00AD67B3" w:rsidRPr="008154B1" w:rsidRDefault="00AD67B3" w:rsidP="00912164">
            <w:pPr>
              <w:pStyle w:val="TableText0"/>
            </w:pPr>
            <w:r w:rsidRPr="008154B1">
              <w:t>Software package</w:t>
            </w:r>
          </w:p>
        </w:tc>
        <w:tc>
          <w:tcPr>
            <w:tcW w:w="3509" w:type="pct"/>
          </w:tcPr>
          <w:p w:rsidR="00AD67B3" w:rsidRPr="008154B1" w:rsidRDefault="00AD67B3" w:rsidP="00912164">
            <w:pPr>
              <w:pStyle w:val="TableText0"/>
            </w:pPr>
            <w:r w:rsidRPr="008154B1">
              <w:t>Excel 2016</w:t>
            </w:r>
          </w:p>
        </w:tc>
      </w:tr>
    </w:tbl>
    <w:p w:rsidR="00AD67B3" w:rsidRPr="008154B1" w:rsidRDefault="00AD67B3" w:rsidP="00912164">
      <w:pPr>
        <w:pStyle w:val="TableFigureFooter"/>
      </w:pPr>
      <w:r w:rsidRPr="008154B1">
        <w:t>Source: Table 48, p94 of the resubmission</w:t>
      </w:r>
    </w:p>
    <w:p w:rsidR="00AD67B3" w:rsidRPr="008154B1" w:rsidRDefault="00AD67B3" w:rsidP="00912164">
      <w:pPr>
        <w:pStyle w:val="TableFigureFooter"/>
      </w:pPr>
      <w:r w:rsidRPr="008154B1">
        <w:t>HAE = hereditary angioedema; SOC = standard of care.</w:t>
      </w:r>
    </w:p>
    <w:p w:rsidR="00AD67B3" w:rsidRPr="008154B1" w:rsidRDefault="00AD67B3" w:rsidP="00912164">
      <w:pPr>
        <w:pStyle w:val="3-BodyText"/>
      </w:pPr>
      <w:r w:rsidRPr="008154B1">
        <w:t xml:space="preserve">The model in the resubmission was a cohort expected value analysis with a one-year time horizon. While lanadelumab is intended to be used for ongoing prophylaxis of HAE attacks, the extrapolation of outcomes from a 6-month </w:t>
      </w:r>
      <w:r w:rsidR="002E1D61" w:rsidRPr="008154B1">
        <w:t xml:space="preserve">comparative </w:t>
      </w:r>
      <w:r w:rsidRPr="008154B1">
        <w:t>trial over an extended period would have added considerably to the existing uncertainty regarding the validity of the outcome of the model.</w:t>
      </w:r>
    </w:p>
    <w:p w:rsidR="00AD67B3" w:rsidRPr="008154B1" w:rsidRDefault="00AD67B3" w:rsidP="00912164">
      <w:pPr>
        <w:pStyle w:val="3-BodyText"/>
      </w:pPr>
      <w:r w:rsidRPr="008154B1">
        <w:t>The steps in the economic evaluation, as presented in the resubmission, are summarised below.</w:t>
      </w:r>
    </w:p>
    <w:p w:rsidR="00AD67B3" w:rsidRPr="008154B1" w:rsidRDefault="00AD67B3" w:rsidP="00912164">
      <w:pPr>
        <w:pStyle w:val="TableFigureHeading"/>
        <w:rPr>
          <w:rStyle w:val="CommentReference"/>
          <w:rFonts w:ascii="Calibri" w:hAnsi="Calibri"/>
          <w:b/>
          <w:sz w:val="18"/>
          <w:szCs w:val="18"/>
        </w:rPr>
      </w:pPr>
      <w:r w:rsidRPr="008154B1">
        <w:t xml:space="preserve">Table </w:t>
      </w:r>
      <w:r w:rsidR="00EA3C26" w:rsidRPr="008154B1">
        <w:t>9</w:t>
      </w:r>
      <w:r w:rsidRPr="008154B1">
        <w:t>:</w:t>
      </w:r>
      <w:r w:rsidRPr="008154B1">
        <w:rPr>
          <w:rStyle w:val="CommentReference"/>
          <w:b/>
          <w:szCs w:val="24"/>
        </w:rPr>
        <w:t xml:space="preserve"> Steps in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4"/>
        <w:gridCol w:w="7893"/>
      </w:tblGrid>
      <w:tr w:rsidR="00AD67B3" w:rsidRPr="008154B1" w:rsidTr="005A54CD">
        <w:trPr>
          <w:tblHeader/>
        </w:trPr>
        <w:tc>
          <w:tcPr>
            <w:tcW w:w="623" w:type="pct"/>
            <w:vAlign w:val="center"/>
          </w:tcPr>
          <w:p w:rsidR="00AD67B3" w:rsidRPr="008154B1" w:rsidRDefault="00AD67B3" w:rsidP="00912164">
            <w:pPr>
              <w:pStyle w:val="In-tableHeading"/>
              <w:rPr>
                <w:lang w:val="en-AU"/>
              </w:rPr>
            </w:pPr>
            <w:r w:rsidRPr="008154B1">
              <w:rPr>
                <w:lang w:val="en-AU"/>
              </w:rPr>
              <w:t>Step</w:t>
            </w:r>
          </w:p>
        </w:tc>
        <w:tc>
          <w:tcPr>
            <w:tcW w:w="4377" w:type="pct"/>
          </w:tcPr>
          <w:p w:rsidR="00AD67B3" w:rsidRPr="008154B1" w:rsidRDefault="00AD67B3" w:rsidP="00912164">
            <w:pPr>
              <w:pStyle w:val="In-tableHeading"/>
              <w:rPr>
                <w:lang w:val="en-AU"/>
              </w:rPr>
            </w:pPr>
            <w:r w:rsidRPr="008154B1">
              <w:rPr>
                <w:lang w:val="en-AU"/>
              </w:rPr>
              <w:t>Description</w:t>
            </w:r>
          </w:p>
        </w:tc>
      </w:tr>
      <w:tr w:rsidR="00AD67B3" w:rsidRPr="008154B1" w:rsidTr="005A54CD">
        <w:tc>
          <w:tcPr>
            <w:tcW w:w="623" w:type="pct"/>
            <w:vAlign w:val="center"/>
          </w:tcPr>
          <w:p w:rsidR="00AD67B3" w:rsidRPr="008154B1" w:rsidRDefault="00AD67B3" w:rsidP="00912164">
            <w:pPr>
              <w:pStyle w:val="TableText0"/>
              <w:ind w:right="402"/>
            </w:pPr>
            <w:r w:rsidRPr="008154B1">
              <w:t>Step 1</w:t>
            </w:r>
          </w:p>
        </w:tc>
        <w:tc>
          <w:tcPr>
            <w:tcW w:w="4377" w:type="pct"/>
          </w:tcPr>
          <w:p w:rsidR="00AD67B3" w:rsidRPr="008154B1" w:rsidRDefault="00AD67B3" w:rsidP="00912164">
            <w:pPr>
              <w:pStyle w:val="TableText0"/>
            </w:pPr>
            <w:r w:rsidRPr="008154B1">
              <w:t>Trial-based analysis: cost per investigator-confirmed HAE attack avoided within trial period (182 days) (primary outcome of HELP), 13 doses of prophylaxis in the lanadelumab arm (300 mg Q2W).</w:t>
            </w:r>
          </w:p>
        </w:tc>
      </w:tr>
      <w:tr w:rsidR="00AD67B3" w:rsidRPr="008154B1" w:rsidTr="005A54CD">
        <w:tc>
          <w:tcPr>
            <w:tcW w:w="623" w:type="pct"/>
            <w:vAlign w:val="center"/>
          </w:tcPr>
          <w:p w:rsidR="00AD67B3" w:rsidRPr="008154B1" w:rsidRDefault="00AD67B3" w:rsidP="00912164">
            <w:pPr>
              <w:pStyle w:val="TableText0"/>
            </w:pPr>
            <w:r w:rsidRPr="008154B1">
              <w:t>Step 2</w:t>
            </w:r>
          </w:p>
        </w:tc>
        <w:tc>
          <w:tcPr>
            <w:tcW w:w="4377" w:type="pct"/>
          </w:tcPr>
          <w:p w:rsidR="00AD67B3" w:rsidRPr="008154B1" w:rsidRDefault="00AD67B3" w:rsidP="00912164">
            <w:pPr>
              <w:pStyle w:val="TableText0"/>
            </w:pPr>
            <w:r w:rsidRPr="008154B1">
              <w:t xml:space="preserve">Trial-based analysis: as above but using the outcome of cost per investigator-confirmed HAE attack </w:t>
            </w:r>
            <w:r w:rsidRPr="008154B1">
              <w:rPr>
                <w:bCs w:val="0"/>
              </w:rPr>
              <w:t>requiring acute treatment</w:t>
            </w:r>
            <w:r w:rsidRPr="008154B1">
              <w:t xml:space="preserve"> avoided.</w:t>
            </w:r>
          </w:p>
        </w:tc>
      </w:tr>
      <w:tr w:rsidR="00AD67B3" w:rsidRPr="008154B1" w:rsidTr="005A54CD">
        <w:tc>
          <w:tcPr>
            <w:tcW w:w="623" w:type="pct"/>
            <w:vAlign w:val="center"/>
          </w:tcPr>
          <w:p w:rsidR="00AD67B3" w:rsidRPr="008154B1" w:rsidRDefault="00AD67B3" w:rsidP="00912164">
            <w:pPr>
              <w:pStyle w:val="TableText0"/>
            </w:pPr>
            <w:r w:rsidRPr="008154B1">
              <w:t>Step 3</w:t>
            </w:r>
          </w:p>
        </w:tc>
        <w:tc>
          <w:tcPr>
            <w:tcW w:w="4377" w:type="pct"/>
          </w:tcPr>
          <w:p w:rsidR="00AD67B3" w:rsidRPr="008154B1" w:rsidRDefault="00AD67B3" w:rsidP="00912164">
            <w:pPr>
              <w:pStyle w:val="TableText0"/>
            </w:pPr>
            <w:r w:rsidRPr="008154B1">
              <w:t>Economic model: Extrapolation to 1 year, assuming a baseline attack rate of 24 treated HAE attacks per year. Patients in the lanadelumab arm assumed to receive 26 doses of prophylaxis per year.</w:t>
            </w:r>
          </w:p>
        </w:tc>
      </w:tr>
      <w:tr w:rsidR="00AD67B3" w:rsidRPr="008154B1" w:rsidTr="005A54CD">
        <w:tc>
          <w:tcPr>
            <w:tcW w:w="623" w:type="pct"/>
            <w:vAlign w:val="center"/>
          </w:tcPr>
          <w:p w:rsidR="00AD67B3" w:rsidRPr="008154B1" w:rsidRDefault="00AD67B3" w:rsidP="00912164">
            <w:pPr>
              <w:pStyle w:val="TableText0"/>
            </w:pPr>
            <w:r w:rsidRPr="008154B1">
              <w:t>Step 4</w:t>
            </w:r>
          </w:p>
        </w:tc>
        <w:tc>
          <w:tcPr>
            <w:tcW w:w="4377" w:type="pct"/>
          </w:tcPr>
          <w:p w:rsidR="00AD67B3" w:rsidRPr="008154B1" w:rsidRDefault="00AD67B3" w:rsidP="00912164">
            <w:pPr>
              <w:pStyle w:val="TableText0"/>
            </w:pPr>
            <w:r w:rsidRPr="008154B1">
              <w:t xml:space="preserve">Treated attacks avoided transformed to QALYs gained, and assuming patients in the lanadelumab arm receive </w:t>
            </w:r>
            <w:r w:rsidR="005E18BF">
              <w:rPr>
                <w:noProof/>
                <w:color w:val="000000"/>
                <w:highlight w:val="black"/>
              </w:rPr>
              <w:t>'''''''''''''</w:t>
            </w:r>
            <w:r w:rsidRPr="008154B1">
              <w:t xml:space="preserve"> doses of prophylaxis per year (based on the assumption that </w:t>
            </w:r>
            <w:r w:rsidR="005E18BF">
              <w:rPr>
                <w:noProof/>
                <w:color w:val="000000"/>
                <w:highlight w:val="black"/>
              </w:rPr>
              <w:t>'''''''''''</w:t>
            </w:r>
            <w:r w:rsidRPr="008154B1">
              <w:t>% of patients receive the reduced dose of 300 mg Q4W).</w:t>
            </w:r>
          </w:p>
        </w:tc>
      </w:tr>
      <w:tr w:rsidR="00AD67B3" w:rsidRPr="008154B1" w:rsidTr="005A54CD">
        <w:tc>
          <w:tcPr>
            <w:tcW w:w="623" w:type="pct"/>
            <w:vAlign w:val="center"/>
          </w:tcPr>
          <w:p w:rsidR="00AD67B3" w:rsidRPr="008154B1" w:rsidRDefault="00AD67B3" w:rsidP="00912164">
            <w:pPr>
              <w:pStyle w:val="TableText0"/>
            </w:pPr>
            <w:r w:rsidRPr="008154B1">
              <w:t>Step 5</w:t>
            </w:r>
          </w:p>
        </w:tc>
        <w:tc>
          <w:tcPr>
            <w:tcW w:w="4377" w:type="pct"/>
          </w:tcPr>
          <w:p w:rsidR="00AD67B3" w:rsidRPr="008154B1" w:rsidRDefault="00AD67B3" w:rsidP="00912164">
            <w:pPr>
              <w:pStyle w:val="TableText0"/>
            </w:pPr>
            <w:r w:rsidRPr="008154B1">
              <w:t>Incorporating cost of treating acute HAE attacks</w:t>
            </w:r>
          </w:p>
        </w:tc>
      </w:tr>
      <w:tr w:rsidR="00AD67B3" w:rsidRPr="008154B1" w:rsidTr="005A54CD">
        <w:tc>
          <w:tcPr>
            <w:tcW w:w="623" w:type="pct"/>
            <w:vAlign w:val="center"/>
          </w:tcPr>
          <w:p w:rsidR="00AD67B3" w:rsidRPr="008154B1" w:rsidRDefault="00AD67B3" w:rsidP="00912164">
            <w:pPr>
              <w:pStyle w:val="TableText0"/>
            </w:pPr>
            <w:r w:rsidRPr="008154B1">
              <w:t>Step 6</w:t>
            </w:r>
          </w:p>
        </w:tc>
        <w:tc>
          <w:tcPr>
            <w:tcW w:w="4377" w:type="pct"/>
          </w:tcPr>
          <w:p w:rsidR="00AD67B3" w:rsidRPr="008154B1" w:rsidRDefault="00AD67B3" w:rsidP="00912164">
            <w:pPr>
              <w:pStyle w:val="TableText0"/>
            </w:pPr>
            <w:r w:rsidRPr="008154B1">
              <w:t>Weighted ICER calculated by applying baseline treated HAE attack frequency distribution sourced from PBS data for use of icatibant.</w:t>
            </w:r>
          </w:p>
        </w:tc>
      </w:tr>
    </w:tbl>
    <w:p w:rsidR="00AD67B3" w:rsidRPr="008154B1" w:rsidRDefault="00AD67B3" w:rsidP="00912164">
      <w:pPr>
        <w:pStyle w:val="TableFigureFooter"/>
      </w:pPr>
      <w:r w:rsidRPr="008154B1">
        <w:t>Source: Table 65, p110 of the resubmission.</w:t>
      </w:r>
    </w:p>
    <w:p w:rsidR="00AD67B3" w:rsidRPr="008154B1" w:rsidRDefault="00AD67B3" w:rsidP="00912164">
      <w:pPr>
        <w:pStyle w:val="TableFigureFooter"/>
      </w:pPr>
      <w:r w:rsidRPr="008154B1">
        <w:t>DUSC = Drug Utilisation Subcommittee; HAE = hereditary angioedema; ICER = incremental cost-effectiveness ratio; Q2W = every 2 weeks; Q4W = every 4 weeks; QALY = quality-adjusted life-year.</w:t>
      </w:r>
    </w:p>
    <w:p w:rsidR="00AD67B3" w:rsidRPr="008154B1" w:rsidRDefault="00AD67B3" w:rsidP="005A54CD">
      <w:pPr>
        <w:pStyle w:val="3-BodyText"/>
        <w:keepNext/>
      </w:pPr>
      <w:r w:rsidRPr="008154B1">
        <w:lastRenderedPageBreak/>
        <w:t>The resubmission used the following approach:</w:t>
      </w:r>
    </w:p>
    <w:p w:rsidR="00AD67B3" w:rsidRPr="008154B1" w:rsidRDefault="00AD67B3" w:rsidP="00950926">
      <w:pPr>
        <w:pStyle w:val="ListParagraph"/>
        <w:keepNext/>
        <w:keepLines/>
        <w:numPr>
          <w:ilvl w:val="0"/>
          <w:numId w:val="7"/>
        </w:numPr>
        <w:ind w:left="1080"/>
      </w:pPr>
      <w:r w:rsidRPr="008154B1">
        <w:t>An analysis was undertaken by the DUSC Secretariat based on a 100% PBS data sample to derive the number of icatibant injections dispensed to initiating patients over 12-months, for patients initiating on icatibant between 1 August 2012 and 31 October 2015</w:t>
      </w:r>
      <w:r w:rsidR="00FC311A" w:rsidRPr="008154B1">
        <w:t>. Icatibant injections were</w:t>
      </w:r>
      <w:r w:rsidRPr="008154B1">
        <w:t xml:space="preserve"> used as a proxy for the number of treated HAE attacks per year. The resubmission identified 11 patients who had been dispensed ≥ 24 injections of icatibant over a 12-month period, who were considered to be eligible for lanadelumab. The baseline frequency of HAE attacks in the SOC arm of the model was based on these 11 patients.</w:t>
      </w:r>
    </w:p>
    <w:p w:rsidR="00AD67B3" w:rsidRPr="008154B1" w:rsidRDefault="00AD67B3" w:rsidP="00950926">
      <w:pPr>
        <w:pStyle w:val="ListParagraph"/>
        <w:numPr>
          <w:ilvl w:val="0"/>
          <w:numId w:val="7"/>
        </w:numPr>
        <w:ind w:left="1080"/>
      </w:pPr>
      <w:r w:rsidRPr="008154B1">
        <w:t>The distribution of HAE attacks in the lanadelumab arm was then estimated by applying the relative risk reduction from the lanadelumab 300 mg Q2W arm of HELP to the number of attacks for each of the 11 patients.</w:t>
      </w:r>
    </w:p>
    <w:p w:rsidR="00AD67B3" w:rsidRPr="008154B1" w:rsidRDefault="00AD67B3" w:rsidP="00950926">
      <w:pPr>
        <w:pStyle w:val="ListParagraph"/>
        <w:numPr>
          <w:ilvl w:val="0"/>
          <w:numId w:val="7"/>
        </w:numPr>
        <w:ind w:left="1080"/>
      </w:pPr>
      <w:r w:rsidRPr="008154B1">
        <w:t xml:space="preserve">‘Between-attack’ utilities were derived based on the frequency, severity and duration of attacks, with the severity and duration in each arm sourced from the HELP trial, and applied over the entire one-year time horizon. Disutilities for each severity of attack (mild, moderate or severe) were applied for the duration of each attack. </w:t>
      </w:r>
    </w:p>
    <w:p w:rsidR="00AD67B3" w:rsidRPr="008154B1" w:rsidRDefault="00AD67B3" w:rsidP="00950926">
      <w:pPr>
        <w:pStyle w:val="ListParagraph"/>
        <w:numPr>
          <w:ilvl w:val="0"/>
          <w:numId w:val="7"/>
        </w:numPr>
        <w:ind w:left="1080"/>
      </w:pPr>
      <w:r w:rsidRPr="008154B1">
        <w:t xml:space="preserve">The costs and quality-adjusted life-years (QALYs) accrued in each treatment arm were calculated for each baseline frequency of attacks reported for the 11 eligible patients identified from the PBS data. </w:t>
      </w:r>
    </w:p>
    <w:p w:rsidR="00AD67B3" w:rsidRPr="008154B1" w:rsidRDefault="00AD67B3" w:rsidP="00950926">
      <w:pPr>
        <w:pStyle w:val="ListParagraph"/>
        <w:numPr>
          <w:ilvl w:val="0"/>
          <w:numId w:val="7"/>
        </w:numPr>
        <w:ind w:left="1080"/>
        <w:rPr>
          <w:iCs/>
        </w:rPr>
      </w:pPr>
      <w:r w:rsidRPr="008154B1">
        <w:t>A weighted incremental cost-effectiveness ratio (ICER) was derived by calculating the mean incremental costs and the mean incremental QALYs for these 11 patients.</w:t>
      </w:r>
    </w:p>
    <w:p w:rsidR="00AD67B3" w:rsidRPr="008154B1" w:rsidRDefault="00AD67B3" w:rsidP="00912164">
      <w:pPr>
        <w:pStyle w:val="3-BodyText"/>
      </w:pPr>
      <w:r w:rsidRPr="008154B1">
        <w:t xml:space="preserve">The distribution of baseline frequency of HAE attacks applied in the economic model was highly uncertain given that it was based on only 11 patients. In addition, the number of injections of icatibant dispensed may not be a reliable proxy for the number of treated HAE attacks, as patients may require more than one injection of icatibant per attack, and some patients may have multiple injections on hand in anticipation of attacks. </w:t>
      </w:r>
    </w:p>
    <w:p w:rsidR="00AD67B3" w:rsidRPr="008154B1" w:rsidRDefault="00AD67B3" w:rsidP="00912164">
      <w:pPr>
        <w:pStyle w:val="3-BodyText"/>
        <w:rPr>
          <w:color w:val="000000" w:themeColor="text1"/>
        </w:rPr>
      </w:pPr>
      <w:r w:rsidRPr="008154B1">
        <w:t xml:space="preserve">As in the previous submission, in the economic evaluation, the cost of lanadelumab was based on the assumption that </w:t>
      </w:r>
      <w:r w:rsidR="005E18BF">
        <w:rPr>
          <w:noProof/>
          <w:color w:val="000000"/>
          <w:highlight w:val="black"/>
        </w:rPr>
        <w:t>'''''''</w:t>
      </w:r>
      <w:r w:rsidRPr="008154B1">
        <w:t xml:space="preserve">% of patients would receive lanadelumab 300 mg Q2W and </w:t>
      </w:r>
      <w:r w:rsidR="005E18BF">
        <w:rPr>
          <w:noProof/>
          <w:color w:val="000000"/>
          <w:highlight w:val="black"/>
        </w:rPr>
        <w:t>''''''''</w:t>
      </w:r>
      <w:r w:rsidRPr="008154B1">
        <w:t>% would receive the lower dose of 300 mg Q4W. However, the efficacy of lanadelumab in the model was based on data from the 300 mg Q2W treatment arm of HELP. The cost of lanadelumab should have been consistent with the dosing regimen on which the efficacy was based (300 mg Q2W). Furthermore, the PBAC previously considered that this assumption had resulted in an underestimate of the number of vials per patient (paragraph 7.13, lanadelumab PSD, July 2019 PBAC meeting). Therefore, the cost/patient/year for lanadelumab was likely to be an underestimate.</w:t>
      </w:r>
    </w:p>
    <w:p w:rsidR="00AD67B3" w:rsidRPr="008154B1" w:rsidRDefault="00AD67B3" w:rsidP="00742422">
      <w:pPr>
        <w:pStyle w:val="3-BodyText"/>
      </w:pPr>
      <w:r w:rsidRPr="008154B1">
        <w:lastRenderedPageBreak/>
        <w:t>The utilities applied in the economic model were sourced from Nordenfelt 2014 and Nordenfelt 2017</w:t>
      </w:r>
      <w:r w:rsidRPr="008154B1">
        <w:rPr>
          <w:rStyle w:val="FootnoteReference"/>
        </w:rPr>
        <w:footnoteReference w:id="7"/>
      </w:r>
      <w:r w:rsidRPr="008154B1">
        <w:t xml:space="preserve">, both of which assessed health-related quality of life (HRQoL) in Swedish patients with HAE. Within the model, patient quality of life (QoL) was dependent upon attack frequency, severity and duration. The resubmission applied both ‘between-attack’ utilities and ‘in-attack’ disutilities in the economic model. </w:t>
      </w:r>
    </w:p>
    <w:p w:rsidR="00AD67B3" w:rsidRPr="008154B1" w:rsidRDefault="00AD67B3" w:rsidP="00912164">
      <w:pPr>
        <w:pStyle w:val="3-BodyText"/>
      </w:pPr>
      <w:r w:rsidRPr="008154B1">
        <w:t>The ‘between-attack’ utility, which was a background utility value, varied between treatment arms, given the difference in frequency, severity and duration of the HAE attacks observed in the HELP trial.</w:t>
      </w:r>
    </w:p>
    <w:p w:rsidR="00AD67B3" w:rsidRPr="008154B1" w:rsidRDefault="0030437B" w:rsidP="00912164">
      <w:pPr>
        <w:pStyle w:val="3-BodyText"/>
      </w:pPr>
      <w:r w:rsidRPr="008154B1">
        <w:t>To inform</w:t>
      </w:r>
      <w:r w:rsidR="00FC311A" w:rsidRPr="008154B1">
        <w:t xml:space="preserve"> the</w:t>
      </w:r>
      <w:r w:rsidRPr="008154B1">
        <w:t xml:space="preserve"> ‘between-attack’ utility, d</w:t>
      </w:r>
      <w:r w:rsidR="00AD67B3" w:rsidRPr="008154B1">
        <w:t>ata on the maximum attack severity and the mean duration of attacks for patients in the lanadelumab 300 mg Q2W and the placebo arms of the HELP trial were mapped to Angioedema Activity Scores (AAS). The average AAS score per attack was multiplied by the number of attacks per 28 days to generate an AAS28 score, and translated to utility values based on the values reported in Nordenfelt 2017.</w:t>
      </w:r>
    </w:p>
    <w:p w:rsidR="00AD67B3" w:rsidRPr="008154B1" w:rsidRDefault="00AD67B3" w:rsidP="00912164">
      <w:pPr>
        <w:pStyle w:val="3-BodyText"/>
      </w:pPr>
      <w:r w:rsidRPr="008154B1">
        <w:t>The approach used in the resubmission may have overestimated the average AAS points per attack, given:</w:t>
      </w:r>
    </w:p>
    <w:p w:rsidR="00AD67B3" w:rsidRPr="008154B1" w:rsidRDefault="00AD67B3" w:rsidP="00950926">
      <w:pPr>
        <w:pStyle w:val="ListParagraph"/>
        <w:numPr>
          <w:ilvl w:val="0"/>
          <w:numId w:val="7"/>
        </w:numPr>
        <w:ind w:left="1080"/>
      </w:pPr>
      <w:r w:rsidRPr="008154B1">
        <w:t>The attack severity for all attacks was based on the maximum severity attack experienced by each patient throughout the entire 6 months of the trial, rather than the mean severity, i.e. every attack was assumed to be of the most severe intensity that the patient experienced during the trial;</w:t>
      </w:r>
    </w:p>
    <w:p w:rsidR="00AD67B3" w:rsidRPr="008154B1" w:rsidRDefault="00AD67B3" w:rsidP="00950926">
      <w:pPr>
        <w:pStyle w:val="ListParagraph"/>
        <w:numPr>
          <w:ilvl w:val="0"/>
          <w:numId w:val="7"/>
        </w:numPr>
        <w:ind w:left="1080"/>
      </w:pPr>
      <w:r w:rsidRPr="008154B1">
        <w:t>The AAS scores for attacks lasting &gt;24-48 hours and &gt;48 hours were estimated by, respectively, doubling and tripling the AAS scores for attacks &gt;12-24 hour duration; this approach implicitly assumed that the severity of the attack was maintained over the extended time period.</w:t>
      </w:r>
    </w:p>
    <w:p w:rsidR="00AD67B3" w:rsidRPr="008154B1" w:rsidRDefault="00AD67B3" w:rsidP="00912164">
      <w:pPr>
        <w:pStyle w:val="3-BodyText"/>
      </w:pPr>
      <w:r w:rsidRPr="008154B1">
        <w:t xml:space="preserve">As the average AAS score per attack was likely to be overestimated, the AAS28 scores were also likely to be overestimated. This is likely to have resulted in an overestimation of the utility decrement associated with each incremental increase in the number of attacks experienced per 28 days. As attacks were more frequent in the SOC arm, this would favour lanadelumab over SOC. </w:t>
      </w:r>
      <w:r w:rsidR="00876A9E" w:rsidRPr="008154B1">
        <w:t xml:space="preserve">The resubmission’s approach to transforming treated attacks avoided to QALYs gained was complicated, involving multiple steps, each of which was subject to uncertainty in terms of validity and application. </w:t>
      </w:r>
      <w:r w:rsidRPr="008154B1">
        <w:t>The ‘between-attack’ utilities were important drivers of the model results.</w:t>
      </w:r>
    </w:p>
    <w:p w:rsidR="004259D5" w:rsidRPr="008154B1" w:rsidRDefault="00876A9E" w:rsidP="00912164">
      <w:pPr>
        <w:pStyle w:val="3-BodyText"/>
      </w:pPr>
      <w:r w:rsidRPr="008154B1">
        <w:t>T</w:t>
      </w:r>
      <w:r w:rsidR="000755BF" w:rsidRPr="008154B1">
        <w:t xml:space="preserve">he </w:t>
      </w:r>
      <w:r w:rsidR="004259D5" w:rsidRPr="008154B1">
        <w:t xml:space="preserve">table below shows </w:t>
      </w:r>
      <w:r w:rsidR="004E5309" w:rsidRPr="008154B1">
        <w:t>that the utilit</w:t>
      </w:r>
      <w:r w:rsidR="00602658" w:rsidRPr="008154B1">
        <w:t>i</w:t>
      </w:r>
      <w:r w:rsidR="004E5309" w:rsidRPr="008154B1">
        <w:t>es applied in the base case (Nordenfelt 2017) were based on a</w:t>
      </w:r>
      <w:r w:rsidR="004259D5" w:rsidRPr="008154B1">
        <w:t xml:space="preserve"> small sample </w:t>
      </w:r>
      <w:r w:rsidR="004E5309" w:rsidRPr="008154B1">
        <w:t xml:space="preserve">size. </w:t>
      </w:r>
      <w:r w:rsidR="002C63E6" w:rsidRPr="008154B1">
        <w:t>For example, nine</w:t>
      </w:r>
      <w:r w:rsidR="004259D5" w:rsidRPr="008154B1">
        <w:t xml:space="preserve"> patients informed the utility value that</w:t>
      </w:r>
      <w:r w:rsidR="00C834F5" w:rsidRPr="008154B1">
        <w:t xml:space="preserve"> was a key </w:t>
      </w:r>
      <w:r w:rsidR="004259D5" w:rsidRPr="008154B1">
        <w:t>drive</w:t>
      </w:r>
      <w:r w:rsidR="00C834F5" w:rsidRPr="008154B1">
        <w:t>r of the model</w:t>
      </w:r>
      <w:r w:rsidR="002C63E6" w:rsidRPr="008154B1">
        <w:t xml:space="preserve"> (the</w:t>
      </w:r>
      <w:r w:rsidR="001008C3" w:rsidRPr="008154B1">
        <w:t xml:space="preserve"> utility value for a</w:t>
      </w:r>
      <w:r w:rsidR="002C63E6" w:rsidRPr="008154B1">
        <w:t xml:space="preserve"> </w:t>
      </w:r>
      <w:r w:rsidR="00E007FC" w:rsidRPr="008154B1">
        <w:t>‘</w:t>
      </w:r>
      <w:r w:rsidR="002C63E6" w:rsidRPr="008154B1">
        <w:t>moderate</w:t>
      </w:r>
      <w:r w:rsidR="00E007FC" w:rsidRPr="008154B1">
        <w:t>’</w:t>
      </w:r>
      <w:r w:rsidR="002C63E6" w:rsidRPr="008154B1">
        <w:t xml:space="preserve"> </w:t>
      </w:r>
      <w:r w:rsidR="001008C3" w:rsidRPr="008154B1">
        <w:t xml:space="preserve">level of </w:t>
      </w:r>
      <w:r w:rsidR="002C63E6" w:rsidRPr="008154B1">
        <w:lastRenderedPageBreak/>
        <w:t xml:space="preserve">AAS28 </w:t>
      </w:r>
      <w:r w:rsidR="004E5309" w:rsidRPr="008154B1">
        <w:t xml:space="preserve">(0.64) was applied to 10 of the </w:t>
      </w:r>
      <w:r w:rsidR="002C63E6" w:rsidRPr="008154B1">
        <w:t xml:space="preserve">11 patients in the SOC arm, while the </w:t>
      </w:r>
      <w:r w:rsidR="00E007FC" w:rsidRPr="008154B1">
        <w:t>utility value for ‘</w:t>
      </w:r>
      <w:r w:rsidR="002C63E6" w:rsidRPr="008154B1">
        <w:t>zero</w:t>
      </w:r>
      <w:r w:rsidR="00E007FC" w:rsidRPr="008154B1">
        <w:t>’ level of</w:t>
      </w:r>
      <w:r w:rsidR="002C63E6" w:rsidRPr="008154B1">
        <w:t xml:space="preserve"> AAS28 (0.88) was applied to all patients in the lanadelumab arm)</w:t>
      </w:r>
      <w:r w:rsidR="004259D5" w:rsidRPr="008154B1">
        <w:t>.</w:t>
      </w:r>
    </w:p>
    <w:p w:rsidR="00BA3526" w:rsidRPr="008154B1" w:rsidRDefault="00BA3526" w:rsidP="00912164">
      <w:pPr>
        <w:pStyle w:val="TableFigureHeading"/>
      </w:pPr>
      <w:bookmarkStart w:id="25" w:name="_Ref36190306"/>
      <w:r w:rsidRPr="008154B1">
        <w:t xml:space="preserve">Table </w:t>
      </w:r>
      <w:bookmarkEnd w:id="25"/>
      <w:r w:rsidR="00AD3609" w:rsidRPr="008154B1">
        <w:t>10</w:t>
      </w:r>
      <w:r w:rsidRPr="008154B1">
        <w:t>: Utility value by level of AAS28 (Nordenfelt 2017)</w:t>
      </w:r>
    </w:p>
    <w:tbl>
      <w:tblPr>
        <w:tblStyle w:val="TableGrid"/>
        <w:tblW w:w="5000" w:type="pct"/>
        <w:tblLook w:val="04A0" w:firstRow="1" w:lastRow="0" w:firstColumn="1" w:lastColumn="0" w:noHBand="0" w:noVBand="1"/>
      </w:tblPr>
      <w:tblGrid>
        <w:gridCol w:w="3557"/>
        <w:gridCol w:w="1365"/>
        <w:gridCol w:w="1365"/>
        <w:gridCol w:w="1365"/>
        <w:gridCol w:w="1365"/>
      </w:tblGrid>
      <w:tr w:rsidR="00BA3526" w:rsidRPr="008154B1" w:rsidTr="005A54CD">
        <w:tc>
          <w:tcPr>
            <w:tcW w:w="1972" w:type="pct"/>
            <w:tcBorders>
              <w:bottom w:val="nil"/>
            </w:tcBorders>
          </w:tcPr>
          <w:p w:rsidR="00BA3526" w:rsidRPr="008154B1" w:rsidRDefault="00BA3526" w:rsidP="00912164">
            <w:pPr>
              <w:pStyle w:val="In-tableHeading"/>
              <w:rPr>
                <w:lang w:val="en-AU"/>
              </w:rPr>
            </w:pPr>
          </w:p>
        </w:tc>
        <w:tc>
          <w:tcPr>
            <w:tcW w:w="3028" w:type="pct"/>
            <w:gridSpan w:val="4"/>
          </w:tcPr>
          <w:p w:rsidR="00BA3526" w:rsidRPr="008154B1" w:rsidRDefault="00BA3526" w:rsidP="00912164">
            <w:pPr>
              <w:pStyle w:val="In-tableHeading"/>
              <w:jc w:val="center"/>
              <w:rPr>
                <w:lang w:val="en-AU"/>
              </w:rPr>
            </w:pPr>
            <w:r w:rsidRPr="008154B1">
              <w:rPr>
                <w:lang w:val="en-AU"/>
              </w:rPr>
              <w:t xml:space="preserve">Level of AAS28 </w:t>
            </w:r>
          </w:p>
        </w:tc>
      </w:tr>
      <w:tr w:rsidR="00BA3526" w:rsidRPr="008154B1" w:rsidTr="005A54CD">
        <w:tc>
          <w:tcPr>
            <w:tcW w:w="1972" w:type="pct"/>
            <w:tcBorders>
              <w:top w:val="nil"/>
            </w:tcBorders>
          </w:tcPr>
          <w:p w:rsidR="00BA3526" w:rsidRPr="008154B1" w:rsidRDefault="00BA3526" w:rsidP="00912164">
            <w:pPr>
              <w:pStyle w:val="In-tableHeading"/>
              <w:rPr>
                <w:lang w:val="en-AU"/>
              </w:rPr>
            </w:pPr>
          </w:p>
        </w:tc>
        <w:tc>
          <w:tcPr>
            <w:tcW w:w="757" w:type="pct"/>
          </w:tcPr>
          <w:p w:rsidR="00BA3526" w:rsidRPr="008154B1" w:rsidRDefault="00BA3526" w:rsidP="00912164">
            <w:pPr>
              <w:pStyle w:val="In-tableHeading"/>
              <w:jc w:val="center"/>
              <w:rPr>
                <w:lang w:val="en-AU"/>
              </w:rPr>
            </w:pPr>
            <w:r w:rsidRPr="008154B1">
              <w:rPr>
                <w:lang w:val="en-AU"/>
              </w:rPr>
              <w:t>Zero</w:t>
            </w:r>
          </w:p>
        </w:tc>
        <w:tc>
          <w:tcPr>
            <w:tcW w:w="757" w:type="pct"/>
          </w:tcPr>
          <w:p w:rsidR="00BA3526" w:rsidRPr="008154B1" w:rsidRDefault="00BA3526" w:rsidP="00912164">
            <w:pPr>
              <w:pStyle w:val="In-tableHeading"/>
              <w:jc w:val="center"/>
              <w:rPr>
                <w:lang w:val="en-AU"/>
              </w:rPr>
            </w:pPr>
            <w:r w:rsidRPr="008154B1">
              <w:rPr>
                <w:lang w:val="en-AU"/>
              </w:rPr>
              <w:t>Low</w:t>
            </w:r>
          </w:p>
        </w:tc>
        <w:tc>
          <w:tcPr>
            <w:tcW w:w="757" w:type="pct"/>
          </w:tcPr>
          <w:p w:rsidR="00BA3526" w:rsidRPr="008154B1" w:rsidRDefault="00BA3526" w:rsidP="00912164">
            <w:pPr>
              <w:pStyle w:val="In-tableHeading"/>
              <w:jc w:val="center"/>
              <w:rPr>
                <w:lang w:val="en-AU"/>
              </w:rPr>
            </w:pPr>
            <w:r w:rsidRPr="008154B1">
              <w:rPr>
                <w:lang w:val="en-AU"/>
              </w:rPr>
              <w:t>Moderate</w:t>
            </w:r>
          </w:p>
        </w:tc>
        <w:tc>
          <w:tcPr>
            <w:tcW w:w="757" w:type="pct"/>
          </w:tcPr>
          <w:p w:rsidR="00BA3526" w:rsidRPr="008154B1" w:rsidRDefault="00BA3526" w:rsidP="00912164">
            <w:pPr>
              <w:pStyle w:val="In-tableHeading"/>
              <w:jc w:val="center"/>
              <w:rPr>
                <w:lang w:val="en-AU"/>
              </w:rPr>
            </w:pPr>
            <w:r w:rsidRPr="008154B1">
              <w:rPr>
                <w:lang w:val="en-AU"/>
              </w:rPr>
              <w:t>High</w:t>
            </w:r>
          </w:p>
        </w:tc>
      </w:tr>
      <w:tr w:rsidR="00BA3526" w:rsidRPr="008154B1" w:rsidTr="005A54CD">
        <w:tc>
          <w:tcPr>
            <w:tcW w:w="1972" w:type="pct"/>
            <w:tcBorders>
              <w:top w:val="nil"/>
            </w:tcBorders>
          </w:tcPr>
          <w:p w:rsidR="00BA3526" w:rsidRPr="008154B1" w:rsidRDefault="00BA3526" w:rsidP="00912164">
            <w:pPr>
              <w:pStyle w:val="In-tableHeading"/>
              <w:rPr>
                <w:lang w:val="en-AU"/>
              </w:rPr>
            </w:pPr>
          </w:p>
        </w:tc>
        <w:tc>
          <w:tcPr>
            <w:tcW w:w="757" w:type="pct"/>
          </w:tcPr>
          <w:p w:rsidR="00BA3526" w:rsidRPr="008154B1" w:rsidRDefault="00BA3526" w:rsidP="00912164">
            <w:pPr>
              <w:pStyle w:val="In-tableHeading"/>
              <w:jc w:val="center"/>
              <w:rPr>
                <w:lang w:val="en-AU"/>
              </w:rPr>
            </w:pPr>
            <w:r w:rsidRPr="008154B1">
              <w:rPr>
                <w:lang w:val="en-AU"/>
              </w:rPr>
              <w:t>n = 24</w:t>
            </w:r>
          </w:p>
        </w:tc>
        <w:tc>
          <w:tcPr>
            <w:tcW w:w="757" w:type="pct"/>
          </w:tcPr>
          <w:p w:rsidR="00BA3526" w:rsidRPr="008154B1" w:rsidRDefault="00BA3526" w:rsidP="00912164">
            <w:pPr>
              <w:pStyle w:val="In-tableHeading"/>
              <w:jc w:val="center"/>
              <w:rPr>
                <w:lang w:val="en-AU"/>
              </w:rPr>
            </w:pPr>
            <w:r w:rsidRPr="008154B1">
              <w:rPr>
                <w:lang w:val="en-AU"/>
              </w:rPr>
              <w:t xml:space="preserve">n = 14 </w:t>
            </w:r>
          </w:p>
        </w:tc>
        <w:tc>
          <w:tcPr>
            <w:tcW w:w="757" w:type="pct"/>
          </w:tcPr>
          <w:p w:rsidR="00BA3526" w:rsidRPr="008154B1" w:rsidRDefault="00BA3526" w:rsidP="00912164">
            <w:pPr>
              <w:pStyle w:val="In-tableHeading"/>
              <w:jc w:val="center"/>
              <w:rPr>
                <w:lang w:val="en-AU"/>
              </w:rPr>
            </w:pPr>
            <w:r w:rsidRPr="008154B1">
              <w:rPr>
                <w:lang w:val="en-AU"/>
              </w:rPr>
              <w:t>n = 9</w:t>
            </w:r>
          </w:p>
        </w:tc>
        <w:tc>
          <w:tcPr>
            <w:tcW w:w="757" w:type="pct"/>
          </w:tcPr>
          <w:p w:rsidR="00BA3526" w:rsidRPr="008154B1" w:rsidRDefault="00BA3526" w:rsidP="00912164">
            <w:pPr>
              <w:pStyle w:val="In-tableHeading"/>
              <w:jc w:val="center"/>
              <w:rPr>
                <w:lang w:val="en-AU"/>
              </w:rPr>
            </w:pPr>
          </w:p>
        </w:tc>
      </w:tr>
      <w:tr w:rsidR="002C63E6" w:rsidRPr="008154B1" w:rsidTr="005A54CD">
        <w:tc>
          <w:tcPr>
            <w:tcW w:w="1972" w:type="pct"/>
            <w:tcBorders>
              <w:top w:val="nil"/>
            </w:tcBorders>
          </w:tcPr>
          <w:p w:rsidR="002C63E6" w:rsidRPr="008154B1" w:rsidRDefault="002C63E6" w:rsidP="00912164">
            <w:pPr>
              <w:pStyle w:val="In-tableHeading"/>
              <w:rPr>
                <w:b w:val="0"/>
                <w:lang w:val="en-AU"/>
              </w:rPr>
            </w:pPr>
            <w:r w:rsidRPr="008154B1">
              <w:rPr>
                <w:b w:val="0"/>
                <w:lang w:val="en-AU"/>
              </w:rPr>
              <w:t>Number of attacks/28 days to fall within each category (as applied in model)</w:t>
            </w:r>
          </w:p>
        </w:tc>
        <w:tc>
          <w:tcPr>
            <w:tcW w:w="757" w:type="pct"/>
          </w:tcPr>
          <w:p w:rsidR="002C63E6" w:rsidRPr="008154B1" w:rsidRDefault="002C63E6" w:rsidP="00912164">
            <w:pPr>
              <w:pStyle w:val="In-tableHeading"/>
              <w:jc w:val="center"/>
              <w:rPr>
                <w:b w:val="0"/>
                <w:lang w:val="en-AU"/>
              </w:rPr>
            </w:pPr>
            <w:r w:rsidRPr="008154B1">
              <w:rPr>
                <w:b w:val="0"/>
                <w:lang w:val="en-AU"/>
              </w:rPr>
              <w:t>0</w:t>
            </w:r>
          </w:p>
        </w:tc>
        <w:tc>
          <w:tcPr>
            <w:tcW w:w="757" w:type="pct"/>
          </w:tcPr>
          <w:p w:rsidR="002C63E6" w:rsidRPr="008154B1" w:rsidRDefault="002C63E6" w:rsidP="00912164">
            <w:pPr>
              <w:pStyle w:val="In-tableHeading"/>
              <w:jc w:val="center"/>
              <w:rPr>
                <w:b w:val="0"/>
                <w:lang w:val="en-AU"/>
              </w:rPr>
            </w:pPr>
            <w:r w:rsidRPr="008154B1">
              <w:rPr>
                <w:b w:val="0"/>
                <w:lang w:val="en-AU"/>
              </w:rPr>
              <w:t>1</w:t>
            </w:r>
          </w:p>
        </w:tc>
        <w:tc>
          <w:tcPr>
            <w:tcW w:w="757" w:type="pct"/>
          </w:tcPr>
          <w:p w:rsidR="002C63E6" w:rsidRPr="008154B1" w:rsidRDefault="002C63E6" w:rsidP="00912164">
            <w:pPr>
              <w:pStyle w:val="In-tableHeading"/>
              <w:jc w:val="center"/>
              <w:rPr>
                <w:b w:val="0"/>
                <w:lang w:val="en-AU"/>
              </w:rPr>
            </w:pPr>
            <w:r w:rsidRPr="008154B1">
              <w:rPr>
                <w:b w:val="0"/>
                <w:lang w:val="en-AU"/>
              </w:rPr>
              <w:t>≥2</w:t>
            </w:r>
          </w:p>
        </w:tc>
        <w:tc>
          <w:tcPr>
            <w:tcW w:w="757" w:type="pct"/>
          </w:tcPr>
          <w:p w:rsidR="002C63E6" w:rsidRPr="008154B1" w:rsidRDefault="002C63E6" w:rsidP="00912164">
            <w:pPr>
              <w:pStyle w:val="In-tableHeading"/>
              <w:jc w:val="center"/>
              <w:rPr>
                <w:b w:val="0"/>
                <w:lang w:val="en-AU"/>
              </w:rPr>
            </w:pPr>
          </w:p>
        </w:tc>
      </w:tr>
      <w:tr w:rsidR="00BA3526" w:rsidRPr="008154B1" w:rsidTr="005A54CD">
        <w:tc>
          <w:tcPr>
            <w:tcW w:w="1972" w:type="pct"/>
          </w:tcPr>
          <w:p w:rsidR="00BA3526" w:rsidRPr="008154B1" w:rsidRDefault="00BA3526" w:rsidP="00912164">
            <w:pPr>
              <w:pStyle w:val="TableText0"/>
            </w:pPr>
            <w:r w:rsidRPr="008154B1">
              <w:t>AAS28 score</w:t>
            </w:r>
          </w:p>
        </w:tc>
        <w:tc>
          <w:tcPr>
            <w:tcW w:w="757" w:type="pct"/>
          </w:tcPr>
          <w:p w:rsidR="00BA3526" w:rsidRPr="008154B1" w:rsidRDefault="00BA3526" w:rsidP="00912164">
            <w:pPr>
              <w:pStyle w:val="TableText0"/>
              <w:jc w:val="center"/>
            </w:pPr>
            <w:r w:rsidRPr="008154B1">
              <w:t>0</w:t>
            </w:r>
          </w:p>
        </w:tc>
        <w:tc>
          <w:tcPr>
            <w:tcW w:w="757" w:type="pct"/>
          </w:tcPr>
          <w:p w:rsidR="00BA3526" w:rsidRPr="008154B1" w:rsidRDefault="00BA3526" w:rsidP="00912164">
            <w:pPr>
              <w:pStyle w:val="TableText0"/>
              <w:jc w:val="center"/>
            </w:pPr>
            <w:r w:rsidRPr="008154B1">
              <w:t>1-2</w:t>
            </w:r>
            <w:r w:rsidR="000755BF" w:rsidRPr="008154B1">
              <w:t>4</w:t>
            </w:r>
          </w:p>
        </w:tc>
        <w:tc>
          <w:tcPr>
            <w:tcW w:w="757" w:type="pct"/>
          </w:tcPr>
          <w:p w:rsidR="00BA3526" w:rsidRPr="008154B1" w:rsidRDefault="00BA3526" w:rsidP="00912164">
            <w:pPr>
              <w:pStyle w:val="TableText0"/>
              <w:jc w:val="center"/>
            </w:pPr>
            <w:r w:rsidRPr="008154B1">
              <w:t>2</w:t>
            </w:r>
            <w:r w:rsidR="000755BF" w:rsidRPr="008154B1">
              <w:t>5</w:t>
            </w:r>
            <w:r w:rsidRPr="008154B1">
              <w:t>-75</w:t>
            </w:r>
          </w:p>
        </w:tc>
        <w:tc>
          <w:tcPr>
            <w:tcW w:w="757" w:type="pct"/>
          </w:tcPr>
          <w:p w:rsidR="00BA3526" w:rsidRPr="008154B1" w:rsidRDefault="00BA3526" w:rsidP="00912164">
            <w:pPr>
              <w:pStyle w:val="TableText0"/>
              <w:jc w:val="center"/>
            </w:pPr>
            <w:r w:rsidRPr="008154B1">
              <w:t>76-420</w:t>
            </w:r>
          </w:p>
        </w:tc>
      </w:tr>
      <w:tr w:rsidR="00BA3526" w:rsidRPr="008154B1" w:rsidTr="005A54CD">
        <w:tc>
          <w:tcPr>
            <w:tcW w:w="1972" w:type="pct"/>
          </w:tcPr>
          <w:p w:rsidR="00BA3526" w:rsidRPr="008154B1" w:rsidRDefault="00BA3526" w:rsidP="00912164">
            <w:pPr>
              <w:pStyle w:val="TableText0"/>
            </w:pPr>
            <w:r w:rsidRPr="008154B1">
              <w:t>EQ-5D-5L utility value, median (range)</w:t>
            </w:r>
          </w:p>
        </w:tc>
        <w:tc>
          <w:tcPr>
            <w:tcW w:w="757" w:type="pct"/>
          </w:tcPr>
          <w:p w:rsidR="00BA3526" w:rsidRPr="008154B1" w:rsidRDefault="00BA3526" w:rsidP="00912164">
            <w:pPr>
              <w:pStyle w:val="TableText0"/>
              <w:jc w:val="center"/>
            </w:pPr>
            <w:r w:rsidRPr="008154B1">
              <w:t>0.88</w:t>
            </w:r>
            <w:r w:rsidRPr="008154B1">
              <w:br/>
              <w:t>(0.55-1.00)</w:t>
            </w:r>
          </w:p>
        </w:tc>
        <w:tc>
          <w:tcPr>
            <w:tcW w:w="757" w:type="pct"/>
          </w:tcPr>
          <w:p w:rsidR="00BA3526" w:rsidRPr="008154B1" w:rsidRDefault="00BA3526" w:rsidP="00912164">
            <w:pPr>
              <w:pStyle w:val="TableText0"/>
              <w:jc w:val="center"/>
            </w:pPr>
            <w:r w:rsidRPr="008154B1">
              <w:t>0.80</w:t>
            </w:r>
            <w:r w:rsidRPr="008154B1">
              <w:br/>
              <w:t>(0.30-1.00)</w:t>
            </w:r>
          </w:p>
        </w:tc>
        <w:tc>
          <w:tcPr>
            <w:tcW w:w="757" w:type="pct"/>
          </w:tcPr>
          <w:p w:rsidR="00BA3526" w:rsidRPr="008154B1" w:rsidRDefault="00BA3526" w:rsidP="00912164">
            <w:pPr>
              <w:pStyle w:val="TableText0"/>
              <w:jc w:val="center"/>
            </w:pPr>
            <w:r w:rsidRPr="008154B1">
              <w:t>0.64</w:t>
            </w:r>
            <w:r w:rsidRPr="008154B1">
              <w:br/>
              <w:t>(0.1-1.00)</w:t>
            </w:r>
          </w:p>
        </w:tc>
        <w:tc>
          <w:tcPr>
            <w:tcW w:w="757" w:type="pct"/>
          </w:tcPr>
          <w:p w:rsidR="00BA3526" w:rsidRPr="008154B1" w:rsidRDefault="00BA3526" w:rsidP="00912164">
            <w:pPr>
              <w:pStyle w:val="TableText0"/>
              <w:jc w:val="center"/>
              <w:rPr>
                <w:iCs/>
                <w:vertAlign w:val="superscript"/>
              </w:rPr>
            </w:pPr>
            <w:r w:rsidRPr="008154B1">
              <w:rPr>
                <w:iCs/>
              </w:rPr>
              <w:t>No data</w:t>
            </w:r>
            <w:r w:rsidRPr="008154B1">
              <w:rPr>
                <w:iCs/>
                <w:vertAlign w:val="superscript"/>
              </w:rPr>
              <w:t>a</w:t>
            </w:r>
          </w:p>
        </w:tc>
      </w:tr>
    </w:tbl>
    <w:p w:rsidR="00BA3526" w:rsidRPr="008154B1" w:rsidRDefault="00BA3526" w:rsidP="00912164">
      <w:pPr>
        <w:pStyle w:val="TableFigureFooter"/>
      </w:pPr>
      <w:r w:rsidRPr="008154B1">
        <w:t>Source: Table 54, p102 of the resubmission; Table 5, p452 Nordenfelt 2017.</w:t>
      </w:r>
    </w:p>
    <w:p w:rsidR="00BA3526" w:rsidRPr="008154B1" w:rsidRDefault="00BA3526" w:rsidP="00912164">
      <w:pPr>
        <w:pStyle w:val="TableFigureFooter"/>
      </w:pPr>
      <w:r w:rsidRPr="008154B1">
        <w:t>AAS28 = Angioedema Activity Score for 28 consecutive days; EQ-5D-5L = EuroQol 5 dimensions 5 level.</w:t>
      </w:r>
    </w:p>
    <w:p w:rsidR="00BA3526" w:rsidRPr="008154B1" w:rsidRDefault="0030437B" w:rsidP="00912164">
      <w:pPr>
        <w:pStyle w:val="TableFigureFooter"/>
      </w:pPr>
      <w:r w:rsidRPr="008154B1">
        <w:t>a Only one patient in Nordenfelt 2017 had a high AAS28 level; this patient was omitted from the analysis because of skewing of the data.</w:t>
      </w:r>
    </w:p>
    <w:p w:rsidR="004259D5" w:rsidRPr="008154B1" w:rsidRDefault="004259D5" w:rsidP="00912164">
      <w:pPr>
        <w:pStyle w:val="3-BodyText"/>
      </w:pPr>
      <w:r w:rsidRPr="008154B1">
        <w:t>Nordenfelt 2014</w:t>
      </w:r>
      <w:r w:rsidR="00876A9E" w:rsidRPr="008154B1">
        <w:t xml:space="preserve"> (</w:t>
      </w:r>
      <w:r w:rsidR="00E84CA9" w:rsidRPr="008154B1">
        <w:t xml:space="preserve">which was used by </w:t>
      </w:r>
      <w:r w:rsidR="00876A9E" w:rsidRPr="008154B1">
        <w:t>the resubmission</w:t>
      </w:r>
      <w:r w:rsidR="00E84CA9" w:rsidRPr="008154B1">
        <w:t xml:space="preserve"> to estimate the in-attack disutility)</w:t>
      </w:r>
      <w:r w:rsidRPr="008154B1">
        <w:t xml:space="preserve"> reported an alternative approach to estimating between</w:t>
      </w:r>
      <w:r w:rsidR="00E84CA9" w:rsidRPr="008154B1">
        <w:t>-</w:t>
      </w:r>
      <w:r w:rsidRPr="008154B1">
        <w:t>attack utilit</w:t>
      </w:r>
      <w:r w:rsidR="000139E1" w:rsidRPr="008154B1">
        <w:t>ies</w:t>
      </w:r>
      <w:r w:rsidRPr="008154B1">
        <w:t>, based on a multiple regression model on EQ</w:t>
      </w:r>
      <w:r w:rsidR="000139E1" w:rsidRPr="008154B1">
        <w:t>-</w:t>
      </w:r>
      <w:r w:rsidRPr="008154B1">
        <w:t>5D scores, using data from 103 patients. This model estimated a utility decrement of 0.0043 per attack</w:t>
      </w:r>
      <w:r w:rsidR="000755BF" w:rsidRPr="008154B1">
        <w:t xml:space="preserve"> (and </w:t>
      </w:r>
      <w:r w:rsidR="000635DA" w:rsidRPr="008154B1">
        <w:t xml:space="preserve">a </w:t>
      </w:r>
      <w:r w:rsidR="000755BF" w:rsidRPr="008154B1">
        <w:t xml:space="preserve">mean EQ-5D ‘between-attack’ utility </w:t>
      </w:r>
      <w:r w:rsidR="000635DA" w:rsidRPr="008154B1">
        <w:t>of</w:t>
      </w:r>
      <w:r w:rsidR="000755BF" w:rsidRPr="008154B1">
        <w:t xml:space="preserve"> 0.825</w:t>
      </w:r>
      <w:r w:rsidR="00C834F5" w:rsidRPr="008154B1">
        <w:t>, adjustments were also applied for patient age</w:t>
      </w:r>
      <w:r w:rsidR="000755BF" w:rsidRPr="008154B1">
        <w:t>)</w:t>
      </w:r>
      <w:r w:rsidRPr="008154B1">
        <w:t>.</w:t>
      </w:r>
    </w:p>
    <w:p w:rsidR="004259D5" w:rsidRPr="008154B1" w:rsidRDefault="00C834F5" w:rsidP="00912164">
      <w:pPr>
        <w:pStyle w:val="3-BodyText"/>
      </w:pPr>
      <w:r w:rsidRPr="008154B1">
        <w:t xml:space="preserve">The PSCR argued that the between-attack utility using the Nordenfelt 2014 decrement underestimates the true nature of HAE attacks because it applies a single decrement per attack irrespective of </w:t>
      </w:r>
      <w:r w:rsidR="004E5309" w:rsidRPr="008154B1">
        <w:t xml:space="preserve">the </w:t>
      </w:r>
      <w:r w:rsidRPr="008154B1">
        <w:t xml:space="preserve">duration or severity of the attack. However, the ESC considered that </w:t>
      </w:r>
      <w:r w:rsidR="004E5309" w:rsidRPr="008154B1">
        <w:t xml:space="preserve">it would be more reasonable to apply </w:t>
      </w:r>
      <w:r w:rsidRPr="008154B1">
        <w:t xml:space="preserve">the utilities from </w:t>
      </w:r>
      <w:r w:rsidR="0030437B" w:rsidRPr="008154B1">
        <w:t xml:space="preserve">Nordenfelt 2014 in the base case </w:t>
      </w:r>
      <w:r w:rsidRPr="008154B1">
        <w:t>due to</w:t>
      </w:r>
      <w:r w:rsidR="004259D5" w:rsidRPr="008154B1">
        <w:t xml:space="preserve"> the larger sample </w:t>
      </w:r>
      <w:r w:rsidRPr="008154B1">
        <w:t xml:space="preserve">size of the study </w:t>
      </w:r>
      <w:r w:rsidR="004259D5" w:rsidRPr="008154B1">
        <w:t xml:space="preserve">and </w:t>
      </w:r>
      <w:r w:rsidRPr="008154B1">
        <w:t xml:space="preserve">given </w:t>
      </w:r>
      <w:r w:rsidR="004259D5" w:rsidRPr="008154B1">
        <w:t xml:space="preserve">that no </w:t>
      </w:r>
      <w:r w:rsidR="00E84CA9" w:rsidRPr="008154B1">
        <w:t xml:space="preserve">significant </w:t>
      </w:r>
      <w:r w:rsidR="004259D5" w:rsidRPr="008154B1">
        <w:t>difference in EQ</w:t>
      </w:r>
      <w:r w:rsidR="000139E1" w:rsidRPr="008154B1">
        <w:t>-</w:t>
      </w:r>
      <w:r w:rsidR="004259D5" w:rsidRPr="008154B1">
        <w:t xml:space="preserve">5D scores was observed </w:t>
      </w:r>
      <w:r w:rsidR="00E84CA9" w:rsidRPr="008154B1">
        <w:t>between the placebo arm and any of the lanadelumab arms in the HELP trial</w:t>
      </w:r>
      <w:r w:rsidR="004259D5" w:rsidRPr="008154B1">
        <w:t>.</w:t>
      </w:r>
    </w:p>
    <w:p w:rsidR="00FC20FF" w:rsidRPr="008154B1" w:rsidRDefault="002F1E6F" w:rsidP="00FC20FF">
      <w:pPr>
        <w:pStyle w:val="3-BodyText"/>
      </w:pPr>
      <w:r w:rsidRPr="008154B1">
        <w:t xml:space="preserve">The pre-PBAC response </w:t>
      </w:r>
      <w:r w:rsidR="005814A8" w:rsidRPr="008154B1">
        <w:t xml:space="preserve">argued that Nordenfelt 2017: (1) </w:t>
      </w:r>
      <w:r w:rsidRPr="008154B1">
        <w:t xml:space="preserve">uses a validated disease specific instrument (AAS28) which </w:t>
      </w:r>
      <w:r w:rsidR="005814A8" w:rsidRPr="008154B1">
        <w:t xml:space="preserve">the pre-PBAC response stated </w:t>
      </w:r>
      <w:r w:rsidRPr="008154B1">
        <w:t>better describes and differentiates the different aspects of HRQoL among patients with HAE than the EQ-5D instrument alone, which was used in the Nordenfelt 2014 study</w:t>
      </w:r>
      <w:r w:rsidR="005814A8" w:rsidRPr="008154B1">
        <w:t>;</w:t>
      </w:r>
      <w:r w:rsidRPr="008154B1">
        <w:t xml:space="preserve"> </w:t>
      </w:r>
      <w:r w:rsidR="005814A8" w:rsidRPr="008154B1">
        <w:t xml:space="preserve">(2) </w:t>
      </w:r>
      <w:r w:rsidRPr="008154B1">
        <w:t xml:space="preserve">was less likely to be subject to recall bias as </w:t>
      </w:r>
      <w:r w:rsidR="005814A8" w:rsidRPr="008154B1">
        <w:t>data were</w:t>
      </w:r>
      <w:r w:rsidRPr="008154B1">
        <w:t xml:space="preserve"> collected prospectively, in contrast to the Nordenfelt 2014 study</w:t>
      </w:r>
      <w:r w:rsidR="005814A8" w:rsidRPr="008154B1">
        <w:t>; and (3) account</w:t>
      </w:r>
      <w:r w:rsidR="00CC1AA4" w:rsidRPr="008154B1">
        <w:t>s</w:t>
      </w:r>
      <w:r w:rsidR="005814A8" w:rsidRPr="008154B1">
        <w:t xml:space="preserve"> for the</w:t>
      </w:r>
      <w:r w:rsidRPr="008154B1">
        <w:t xml:space="preserve"> severity and duration of attacks </w:t>
      </w:r>
      <w:r w:rsidR="005814A8" w:rsidRPr="008154B1">
        <w:t>(</w:t>
      </w:r>
      <w:r w:rsidRPr="008154B1">
        <w:t xml:space="preserve">which are </w:t>
      </w:r>
      <w:r w:rsidR="005814A8" w:rsidRPr="008154B1">
        <w:t xml:space="preserve">not accounted for in </w:t>
      </w:r>
      <w:r w:rsidRPr="008154B1">
        <w:t>Nordenfelt 201</w:t>
      </w:r>
      <w:r w:rsidR="005814A8" w:rsidRPr="008154B1">
        <w:t>4)</w:t>
      </w:r>
      <w:r w:rsidRPr="008154B1">
        <w:t>.</w:t>
      </w:r>
      <w:r w:rsidR="00CC1AA4" w:rsidRPr="008154B1">
        <w:t xml:space="preserve"> </w:t>
      </w:r>
    </w:p>
    <w:p w:rsidR="002F1E6F" w:rsidRPr="008154B1" w:rsidRDefault="00CC1AA4" w:rsidP="00FC20FF">
      <w:pPr>
        <w:pStyle w:val="3-BodyText"/>
      </w:pPr>
      <w:r w:rsidRPr="008154B1">
        <w:t xml:space="preserve">However, the PBAC agreed with the ESC that the </w:t>
      </w:r>
      <w:r w:rsidR="00E4711C" w:rsidRPr="008154B1">
        <w:t xml:space="preserve">submission’s </w:t>
      </w:r>
      <w:r w:rsidRPr="008154B1">
        <w:t xml:space="preserve">approach </w:t>
      </w:r>
      <w:r w:rsidR="00E4711C" w:rsidRPr="008154B1">
        <w:t xml:space="preserve">to estimating between-attack utilities </w:t>
      </w:r>
      <w:r w:rsidRPr="008154B1">
        <w:t xml:space="preserve">likely overestimated the utility decrement associated with each incremental increase in the number of treated attacks </w:t>
      </w:r>
      <w:r w:rsidR="00FC20FF" w:rsidRPr="008154B1">
        <w:t>as the average AAS score per attack was likely to have been overestimated</w:t>
      </w:r>
      <w:r w:rsidR="00D46A0F" w:rsidRPr="008154B1">
        <w:t>. Further, the PBAC acknowledged the ESC’s advice</w:t>
      </w:r>
      <w:r w:rsidR="00FC20FF" w:rsidRPr="008154B1">
        <w:t xml:space="preserve"> the </w:t>
      </w:r>
      <w:r w:rsidR="00E4711C" w:rsidRPr="008154B1">
        <w:t xml:space="preserve">overall approach </w:t>
      </w:r>
      <w:r w:rsidR="00FC20FF" w:rsidRPr="008154B1">
        <w:t>was complicated, involving multiple steps, each of which was subject to uncertainty in terms of validity and application (as outlined in Paragraphs 6.</w:t>
      </w:r>
      <w:r w:rsidR="00AC5332" w:rsidRPr="008154B1">
        <w:t>39</w:t>
      </w:r>
      <w:r w:rsidR="00FC20FF" w:rsidRPr="008154B1">
        <w:t xml:space="preserve"> to 6.4</w:t>
      </w:r>
      <w:r w:rsidR="00AC5332" w:rsidRPr="008154B1">
        <w:t>0</w:t>
      </w:r>
      <w:r w:rsidR="00FC20FF" w:rsidRPr="008154B1">
        <w:t xml:space="preserve">). </w:t>
      </w:r>
    </w:p>
    <w:p w:rsidR="00AD67B3" w:rsidRPr="008154B1" w:rsidRDefault="00AD67B3" w:rsidP="00912164">
      <w:pPr>
        <w:pStyle w:val="3-BodyText"/>
      </w:pPr>
      <w:r w:rsidRPr="008154B1">
        <w:lastRenderedPageBreak/>
        <w:t>‘In-attack’ disutility values were obtained from Nordenfelt 2014. The model was less sensitive to the ‘in-attack’ disutility due to the short durations to which the disutility applied.</w:t>
      </w:r>
    </w:p>
    <w:p w:rsidR="00AD67B3" w:rsidRPr="008154B1" w:rsidRDefault="00AD67B3" w:rsidP="00912164">
      <w:pPr>
        <w:pStyle w:val="3-BodyText"/>
      </w:pPr>
      <w:r w:rsidRPr="008154B1">
        <w:t>The key drivers of the model are summarised below.</w:t>
      </w:r>
    </w:p>
    <w:p w:rsidR="00AD67B3" w:rsidRPr="008154B1" w:rsidRDefault="00AD67B3" w:rsidP="00912164">
      <w:pPr>
        <w:pStyle w:val="TableFigureHeading"/>
        <w:rPr>
          <w:rStyle w:val="CommentReference"/>
          <w:rFonts w:ascii="Calibri" w:hAnsi="Calibri"/>
          <w:b/>
          <w:sz w:val="18"/>
          <w:szCs w:val="18"/>
        </w:rPr>
      </w:pPr>
      <w:r w:rsidRPr="008154B1">
        <w:t xml:space="preserve">Table </w:t>
      </w:r>
      <w:r w:rsidR="00AD3609" w:rsidRPr="008154B1">
        <w:t>11</w:t>
      </w:r>
      <w:r w:rsidRPr="008154B1">
        <w:t xml:space="preserve">: </w:t>
      </w:r>
      <w:r w:rsidRPr="008154B1">
        <w:rPr>
          <w:rStyle w:val="CommentReference"/>
          <w:b/>
          <w:szCs w:val="24"/>
        </w:rPr>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3"/>
        <w:gridCol w:w="4676"/>
        <w:gridCol w:w="2218"/>
      </w:tblGrid>
      <w:tr w:rsidR="00AD67B3" w:rsidRPr="008154B1" w:rsidTr="005A54CD">
        <w:trPr>
          <w:tblHeader/>
        </w:trPr>
        <w:tc>
          <w:tcPr>
            <w:tcW w:w="1177" w:type="pct"/>
            <w:shd w:val="clear" w:color="auto" w:fill="auto"/>
            <w:vAlign w:val="center"/>
          </w:tcPr>
          <w:p w:rsidR="00AD67B3" w:rsidRPr="008154B1" w:rsidRDefault="00AD67B3" w:rsidP="00912164">
            <w:pPr>
              <w:pStyle w:val="In-tableHeading"/>
              <w:rPr>
                <w:lang w:val="en-AU"/>
              </w:rPr>
            </w:pPr>
            <w:r w:rsidRPr="008154B1">
              <w:rPr>
                <w:lang w:val="en-AU"/>
              </w:rPr>
              <w:t>Description</w:t>
            </w:r>
          </w:p>
        </w:tc>
        <w:tc>
          <w:tcPr>
            <w:tcW w:w="2593" w:type="pct"/>
            <w:shd w:val="clear" w:color="auto" w:fill="auto"/>
            <w:vAlign w:val="center"/>
          </w:tcPr>
          <w:p w:rsidR="00AD67B3" w:rsidRPr="008154B1" w:rsidRDefault="00AD67B3" w:rsidP="00912164">
            <w:pPr>
              <w:pStyle w:val="In-tableHeading"/>
              <w:jc w:val="center"/>
              <w:rPr>
                <w:lang w:val="en-AU"/>
              </w:rPr>
            </w:pPr>
            <w:r w:rsidRPr="008154B1">
              <w:rPr>
                <w:lang w:val="en-AU"/>
              </w:rPr>
              <w:t>Method/Value</w:t>
            </w:r>
          </w:p>
        </w:tc>
        <w:tc>
          <w:tcPr>
            <w:tcW w:w="1230" w:type="pct"/>
            <w:shd w:val="clear" w:color="auto" w:fill="auto"/>
            <w:vAlign w:val="center"/>
          </w:tcPr>
          <w:p w:rsidR="00AD67B3" w:rsidRPr="008154B1" w:rsidRDefault="00AD67B3" w:rsidP="00912164">
            <w:pPr>
              <w:pStyle w:val="In-tableHeading"/>
              <w:jc w:val="center"/>
              <w:rPr>
                <w:lang w:val="en-AU"/>
              </w:rPr>
            </w:pPr>
            <w:r w:rsidRPr="008154B1">
              <w:rPr>
                <w:lang w:val="en-AU"/>
              </w:rPr>
              <w:t>Impact</w:t>
            </w:r>
          </w:p>
        </w:tc>
      </w:tr>
      <w:tr w:rsidR="00AD67B3" w:rsidRPr="008154B1" w:rsidTr="005A54CD">
        <w:tc>
          <w:tcPr>
            <w:tcW w:w="1177" w:type="pct"/>
            <w:shd w:val="clear" w:color="auto" w:fill="auto"/>
            <w:vAlign w:val="center"/>
          </w:tcPr>
          <w:p w:rsidR="00AD67B3" w:rsidRPr="008154B1" w:rsidRDefault="00AD67B3" w:rsidP="00912164">
            <w:pPr>
              <w:pStyle w:val="TableText0"/>
            </w:pPr>
            <w:r w:rsidRPr="008154B1">
              <w:rPr>
                <w:iCs/>
              </w:rPr>
              <w:t>The mean cost/patient/year for lanadelumab</w:t>
            </w:r>
          </w:p>
        </w:tc>
        <w:tc>
          <w:tcPr>
            <w:tcW w:w="2593" w:type="pct"/>
            <w:shd w:val="clear" w:color="auto" w:fill="auto"/>
            <w:vAlign w:val="center"/>
          </w:tcPr>
          <w:p w:rsidR="00AD67B3" w:rsidRPr="008154B1" w:rsidRDefault="00AD67B3" w:rsidP="00912164">
            <w:pPr>
              <w:pStyle w:val="TableText0"/>
            </w:pPr>
            <w:r w:rsidRPr="008154B1">
              <w:t xml:space="preserve">Assuming that </w:t>
            </w:r>
            <w:r w:rsidR="005E18BF">
              <w:rPr>
                <w:noProof/>
                <w:color w:val="000000"/>
                <w:highlight w:val="black"/>
              </w:rPr>
              <w:t>''''''''''</w:t>
            </w:r>
            <w:r w:rsidRPr="008154B1">
              <w:t>% of patients receive the reduced dose of 300 mg Q4W</w:t>
            </w:r>
          </w:p>
        </w:tc>
        <w:tc>
          <w:tcPr>
            <w:tcW w:w="1230" w:type="pct"/>
            <w:shd w:val="clear" w:color="auto" w:fill="auto"/>
            <w:vAlign w:val="center"/>
          </w:tcPr>
          <w:p w:rsidR="00AD67B3" w:rsidRPr="008154B1" w:rsidRDefault="00AD67B3" w:rsidP="00912164">
            <w:pPr>
              <w:pStyle w:val="TableText0"/>
            </w:pPr>
            <w:r w:rsidRPr="008154B1">
              <w:t>High, favours lanadelumab</w:t>
            </w:r>
          </w:p>
        </w:tc>
      </w:tr>
      <w:tr w:rsidR="00DE2599" w:rsidRPr="008154B1" w:rsidTr="005A54CD">
        <w:tc>
          <w:tcPr>
            <w:tcW w:w="1177" w:type="pct"/>
            <w:shd w:val="clear" w:color="auto" w:fill="auto"/>
            <w:vAlign w:val="center"/>
          </w:tcPr>
          <w:p w:rsidR="00DE2599" w:rsidRPr="008154B1" w:rsidRDefault="00DE2599" w:rsidP="00912164">
            <w:pPr>
              <w:pStyle w:val="TableText0"/>
            </w:pPr>
            <w:r w:rsidRPr="008154B1">
              <w:rPr>
                <w:iCs/>
              </w:rPr>
              <w:t>The distribution of baseline attack frequency</w:t>
            </w:r>
          </w:p>
        </w:tc>
        <w:tc>
          <w:tcPr>
            <w:tcW w:w="2593" w:type="pct"/>
            <w:shd w:val="clear" w:color="auto" w:fill="auto"/>
            <w:vAlign w:val="center"/>
          </w:tcPr>
          <w:p w:rsidR="00DE2599" w:rsidRPr="008154B1" w:rsidRDefault="00DE2599" w:rsidP="00912164">
            <w:pPr>
              <w:pStyle w:val="TableText0"/>
            </w:pPr>
            <w:r w:rsidRPr="008154B1">
              <w:t>Baseline attack frequencies of 11 patients who had been dispensed ≥ 24 injections of icatibant over a 12-month period, as reported in PBS data.</w:t>
            </w:r>
          </w:p>
        </w:tc>
        <w:tc>
          <w:tcPr>
            <w:tcW w:w="1230" w:type="pct"/>
            <w:shd w:val="clear" w:color="auto" w:fill="auto"/>
            <w:vAlign w:val="center"/>
          </w:tcPr>
          <w:p w:rsidR="00DE2599" w:rsidRPr="008154B1" w:rsidRDefault="00DE2599" w:rsidP="00912164">
            <w:pPr>
              <w:pStyle w:val="TableText0"/>
            </w:pPr>
            <w:r w:rsidRPr="008154B1">
              <w:t xml:space="preserve">High </w:t>
            </w:r>
          </w:p>
        </w:tc>
      </w:tr>
      <w:tr w:rsidR="00DE2599" w:rsidRPr="008154B1" w:rsidTr="005A54CD">
        <w:tc>
          <w:tcPr>
            <w:tcW w:w="1177" w:type="pct"/>
            <w:shd w:val="clear" w:color="auto" w:fill="auto"/>
            <w:vAlign w:val="center"/>
          </w:tcPr>
          <w:p w:rsidR="00DE2599" w:rsidRPr="008154B1" w:rsidRDefault="00DE2599" w:rsidP="00912164">
            <w:pPr>
              <w:pStyle w:val="TableText0"/>
            </w:pPr>
            <w:r w:rsidRPr="008154B1">
              <w:rPr>
                <w:iCs/>
              </w:rPr>
              <w:t>The ‘between-attack’ (background) utility values</w:t>
            </w:r>
          </w:p>
        </w:tc>
        <w:tc>
          <w:tcPr>
            <w:tcW w:w="2593" w:type="pct"/>
            <w:shd w:val="clear" w:color="auto" w:fill="auto"/>
            <w:vAlign w:val="center"/>
          </w:tcPr>
          <w:p w:rsidR="00DE2599" w:rsidRPr="008154B1" w:rsidRDefault="00DE2599" w:rsidP="00912164">
            <w:pPr>
              <w:pStyle w:val="TableText0"/>
            </w:pPr>
            <w:r w:rsidRPr="008154B1">
              <w:t>Assigned to each member of the cohort on the basis of the estimated number of attacks per 28 days</w:t>
            </w:r>
          </w:p>
        </w:tc>
        <w:tc>
          <w:tcPr>
            <w:tcW w:w="1230" w:type="pct"/>
            <w:shd w:val="clear" w:color="auto" w:fill="auto"/>
            <w:vAlign w:val="center"/>
          </w:tcPr>
          <w:p w:rsidR="00DE2599" w:rsidRPr="008154B1" w:rsidRDefault="00DE2599" w:rsidP="00912164">
            <w:pPr>
              <w:pStyle w:val="TableText0"/>
            </w:pPr>
            <w:r w:rsidRPr="008154B1">
              <w:t>High, favours lanadelumab</w:t>
            </w:r>
          </w:p>
        </w:tc>
      </w:tr>
      <w:tr w:rsidR="00DE2599" w:rsidRPr="008154B1" w:rsidTr="005A54CD">
        <w:tc>
          <w:tcPr>
            <w:tcW w:w="1177" w:type="pct"/>
            <w:shd w:val="clear" w:color="auto" w:fill="auto"/>
            <w:vAlign w:val="center"/>
          </w:tcPr>
          <w:p w:rsidR="00DE2599" w:rsidRPr="008154B1" w:rsidRDefault="00DE2599" w:rsidP="00912164">
            <w:pPr>
              <w:pStyle w:val="TableText0"/>
              <w:rPr>
                <w:iCs/>
              </w:rPr>
            </w:pPr>
            <w:r w:rsidRPr="008154B1">
              <w:rPr>
                <w:iCs/>
              </w:rPr>
              <w:t>Efficacy of lanadelumab versus SOC</w:t>
            </w:r>
          </w:p>
        </w:tc>
        <w:tc>
          <w:tcPr>
            <w:tcW w:w="2593" w:type="pct"/>
            <w:shd w:val="clear" w:color="auto" w:fill="auto"/>
            <w:vAlign w:val="center"/>
          </w:tcPr>
          <w:p w:rsidR="00DE2599" w:rsidRPr="008154B1" w:rsidRDefault="00DE2599" w:rsidP="00912164">
            <w:pPr>
              <w:pStyle w:val="TableText0"/>
            </w:pPr>
            <w:r w:rsidRPr="008154B1">
              <w:t>Based on the RRR for HAE attacks requiring acute treatment in the lanadelumab 300 mg Q2W arm of HELP, rather than using the weighted RRR for the Q2W arm (</w:t>
            </w:r>
            <w:r w:rsidR="005E18BF">
              <w:rPr>
                <w:noProof/>
                <w:color w:val="000000"/>
                <w:highlight w:val="black"/>
              </w:rPr>
              <w:t>''''''''''''</w:t>
            </w:r>
            <w:r w:rsidRPr="008154B1">
              <w:t>%) and the Q4W arm (</w:t>
            </w:r>
            <w:r w:rsidR="005E18BF">
              <w:rPr>
                <w:noProof/>
                <w:color w:val="000000"/>
                <w:highlight w:val="black"/>
              </w:rPr>
              <w:t>''''''''''</w:t>
            </w:r>
            <w:r w:rsidRPr="008154B1">
              <w:t>%), consistent with the costings for lanadelumab.</w:t>
            </w:r>
          </w:p>
        </w:tc>
        <w:tc>
          <w:tcPr>
            <w:tcW w:w="1230" w:type="pct"/>
            <w:shd w:val="clear" w:color="auto" w:fill="auto"/>
            <w:vAlign w:val="center"/>
          </w:tcPr>
          <w:p w:rsidR="00DE2599" w:rsidRPr="008154B1" w:rsidRDefault="00DE2599" w:rsidP="00912164">
            <w:pPr>
              <w:pStyle w:val="TableText0"/>
            </w:pPr>
            <w:r w:rsidRPr="008154B1">
              <w:t>High, favours lanadelumab</w:t>
            </w:r>
          </w:p>
        </w:tc>
      </w:tr>
    </w:tbl>
    <w:p w:rsidR="00AD67B3" w:rsidRPr="008154B1" w:rsidRDefault="00AD67B3" w:rsidP="00912164">
      <w:pPr>
        <w:pStyle w:val="TableFigureFooter"/>
      </w:pPr>
      <w:r w:rsidRPr="008154B1">
        <w:t>Source: Table 65, p109 of the resubmission; Excel workbook ‘LANA_resubmission_HAE_Sec3_CUA</w:t>
      </w:r>
    </w:p>
    <w:p w:rsidR="00AD67B3" w:rsidRPr="008154B1" w:rsidRDefault="00AD67B3" w:rsidP="00912164">
      <w:pPr>
        <w:pStyle w:val="TableFigureFooter"/>
      </w:pPr>
      <w:r w:rsidRPr="008154B1">
        <w:t>HAE = hereditary angioedema; Q4W = every 4 weeks; RRR = relative risk reduction; SOC = standard of care.</w:t>
      </w:r>
    </w:p>
    <w:p w:rsidR="00AD67B3" w:rsidRPr="008154B1" w:rsidRDefault="00AD67B3" w:rsidP="00912164">
      <w:pPr>
        <w:pStyle w:val="3-BodyText"/>
      </w:pPr>
      <w:r w:rsidRPr="008154B1">
        <w:t>The results of the stepped economic evaluation are summarised below.</w:t>
      </w:r>
    </w:p>
    <w:p w:rsidR="00AD67B3" w:rsidRPr="008154B1" w:rsidRDefault="00AD67B3" w:rsidP="00912164">
      <w:pPr>
        <w:pStyle w:val="TableFigureHeading"/>
        <w:rPr>
          <w:color w:val="4F81BD" w:themeColor="accent1"/>
        </w:rPr>
      </w:pPr>
      <w:r w:rsidRPr="008154B1">
        <w:lastRenderedPageBreak/>
        <w:t xml:space="preserve">Table </w:t>
      </w:r>
      <w:r w:rsidR="00EA3C26" w:rsidRPr="008154B1">
        <w:t>1</w:t>
      </w:r>
      <w:r w:rsidR="00AD3609" w:rsidRPr="008154B1">
        <w:t>2</w:t>
      </w:r>
      <w:r w:rsidRPr="008154B1">
        <w:t>: Results of the stepped economic evaluation</w:t>
      </w:r>
    </w:p>
    <w:tbl>
      <w:tblPr>
        <w:tblStyle w:val="TableGrid"/>
        <w:tblW w:w="5000" w:type="pct"/>
        <w:tblLook w:val="04A0" w:firstRow="1" w:lastRow="0" w:firstColumn="1" w:lastColumn="0" w:noHBand="0" w:noVBand="1"/>
      </w:tblPr>
      <w:tblGrid>
        <w:gridCol w:w="2410"/>
        <w:gridCol w:w="996"/>
        <w:gridCol w:w="901"/>
        <w:gridCol w:w="968"/>
        <w:gridCol w:w="718"/>
        <w:gridCol w:w="690"/>
        <w:gridCol w:w="718"/>
        <w:gridCol w:w="1616"/>
      </w:tblGrid>
      <w:tr w:rsidR="00AD67B3" w:rsidRPr="008154B1" w:rsidTr="005A54CD">
        <w:tc>
          <w:tcPr>
            <w:tcW w:w="1348" w:type="pct"/>
            <w:vMerge w:val="restart"/>
          </w:tcPr>
          <w:p w:rsidR="00AD67B3" w:rsidRPr="005A54CD" w:rsidRDefault="00AD67B3" w:rsidP="00912164">
            <w:pPr>
              <w:pStyle w:val="In-tableHeading"/>
              <w:rPr>
                <w:szCs w:val="20"/>
                <w:lang w:val="en-AU"/>
              </w:rPr>
            </w:pPr>
          </w:p>
        </w:tc>
        <w:tc>
          <w:tcPr>
            <w:tcW w:w="1532" w:type="pct"/>
            <w:gridSpan w:val="3"/>
            <w:tcBorders>
              <w:right w:val="single" w:sz="4" w:space="0" w:color="auto"/>
            </w:tcBorders>
          </w:tcPr>
          <w:p w:rsidR="00AD67B3" w:rsidRPr="005A54CD" w:rsidRDefault="00AD67B3" w:rsidP="00912164">
            <w:pPr>
              <w:pStyle w:val="In-tableHeading"/>
              <w:jc w:val="center"/>
              <w:rPr>
                <w:szCs w:val="20"/>
                <w:lang w:val="en-AU"/>
              </w:rPr>
            </w:pPr>
            <w:r w:rsidRPr="005A54CD">
              <w:rPr>
                <w:szCs w:val="20"/>
                <w:lang w:val="en-AU"/>
              </w:rPr>
              <w:t>Costs</w:t>
            </w:r>
          </w:p>
        </w:tc>
        <w:tc>
          <w:tcPr>
            <w:tcW w:w="1213" w:type="pct"/>
            <w:gridSpan w:val="3"/>
            <w:tcBorders>
              <w:right w:val="single" w:sz="4" w:space="0" w:color="auto"/>
            </w:tcBorders>
          </w:tcPr>
          <w:p w:rsidR="00AD67B3" w:rsidRPr="005A54CD" w:rsidRDefault="00AD67B3" w:rsidP="00912164">
            <w:pPr>
              <w:pStyle w:val="In-tableHeading"/>
              <w:jc w:val="center"/>
              <w:rPr>
                <w:szCs w:val="20"/>
                <w:lang w:val="en-AU"/>
              </w:rPr>
            </w:pPr>
            <w:r w:rsidRPr="005A54CD">
              <w:rPr>
                <w:szCs w:val="20"/>
                <w:lang w:val="en-AU"/>
              </w:rPr>
              <w:t>Outcomes</w:t>
            </w:r>
          </w:p>
        </w:tc>
        <w:tc>
          <w:tcPr>
            <w:tcW w:w="908" w:type="pct"/>
            <w:vMerge w:val="restart"/>
            <w:tcBorders>
              <w:right w:val="single" w:sz="4" w:space="0" w:color="auto"/>
            </w:tcBorders>
          </w:tcPr>
          <w:p w:rsidR="00AD67B3" w:rsidRPr="005A54CD" w:rsidRDefault="00AD67B3" w:rsidP="00912164">
            <w:pPr>
              <w:pStyle w:val="In-tableHeading"/>
              <w:jc w:val="center"/>
              <w:rPr>
                <w:szCs w:val="20"/>
                <w:lang w:val="en-AU"/>
              </w:rPr>
            </w:pPr>
            <w:r w:rsidRPr="005A54CD">
              <w:rPr>
                <w:szCs w:val="20"/>
                <w:lang w:val="en-AU"/>
              </w:rPr>
              <w:t>ICER</w:t>
            </w:r>
          </w:p>
        </w:tc>
      </w:tr>
      <w:tr w:rsidR="00AD67B3" w:rsidRPr="008154B1" w:rsidTr="005A54CD">
        <w:tc>
          <w:tcPr>
            <w:tcW w:w="1348" w:type="pct"/>
            <w:vMerge/>
          </w:tcPr>
          <w:p w:rsidR="00AD67B3" w:rsidRPr="005A54CD" w:rsidRDefault="00AD67B3" w:rsidP="00912164">
            <w:pPr>
              <w:pStyle w:val="TableText0"/>
              <w:rPr>
                <w:szCs w:val="20"/>
              </w:rPr>
            </w:pPr>
          </w:p>
        </w:tc>
        <w:tc>
          <w:tcPr>
            <w:tcW w:w="532" w:type="pct"/>
            <w:tcBorders>
              <w:right w:val="single" w:sz="4" w:space="0" w:color="auto"/>
            </w:tcBorders>
          </w:tcPr>
          <w:p w:rsidR="00AD67B3" w:rsidRPr="005A54CD" w:rsidRDefault="00AD67B3" w:rsidP="00912164">
            <w:pPr>
              <w:pStyle w:val="In-tableHeading"/>
              <w:jc w:val="center"/>
              <w:rPr>
                <w:szCs w:val="20"/>
                <w:lang w:val="en-AU"/>
              </w:rPr>
            </w:pPr>
            <w:r w:rsidRPr="005A54CD">
              <w:rPr>
                <w:szCs w:val="20"/>
                <w:lang w:val="en-AU"/>
              </w:rPr>
              <w:t>LANA</w:t>
            </w:r>
          </w:p>
        </w:tc>
        <w:tc>
          <w:tcPr>
            <w:tcW w:w="500" w:type="pct"/>
            <w:tcBorders>
              <w:right w:val="single" w:sz="4" w:space="0" w:color="auto"/>
            </w:tcBorders>
          </w:tcPr>
          <w:p w:rsidR="00AD67B3" w:rsidRPr="005A54CD" w:rsidRDefault="00AD67B3" w:rsidP="00912164">
            <w:pPr>
              <w:pStyle w:val="In-tableHeading"/>
              <w:jc w:val="center"/>
              <w:rPr>
                <w:szCs w:val="20"/>
                <w:lang w:val="en-AU"/>
              </w:rPr>
            </w:pPr>
            <w:r w:rsidRPr="005A54CD">
              <w:rPr>
                <w:szCs w:val="20"/>
                <w:lang w:val="en-AU"/>
              </w:rPr>
              <w:t>SOC</w:t>
            </w:r>
          </w:p>
        </w:tc>
        <w:tc>
          <w:tcPr>
            <w:tcW w:w="500" w:type="pct"/>
            <w:tcBorders>
              <w:right w:val="single" w:sz="4" w:space="0" w:color="auto"/>
            </w:tcBorders>
          </w:tcPr>
          <w:p w:rsidR="00AD67B3" w:rsidRPr="005A54CD" w:rsidRDefault="00AD67B3" w:rsidP="00912164">
            <w:pPr>
              <w:pStyle w:val="In-tableHeading"/>
              <w:jc w:val="center"/>
              <w:rPr>
                <w:szCs w:val="20"/>
                <w:lang w:val="en-AU"/>
              </w:rPr>
            </w:pPr>
            <w:r w:rsidRPr="005A54CD">
              <w:rPr>
                <w:szCs w:val="20"/>
                <w:lang w:val="en-AU"/>
              </w:rPr>
              <w:t>Inc</w:t>
            </w:r>
          </w:p>
        </w:tc>
        <w:tc>
          <w:tcPr>
            <w:tcW w:w="403" w:type="pct"/>
            <w:tcBorders>
              <w:right w:val="single" w:sz="4" w:space="0" w:color="auto"/>
            </w:tcBorders>
          </w:tcPr>
          <w:p w:rsidR="00AD67B3" w:rsidRPr="005A54CD" w:rsidRDefault="00AD67B3" w:rsidP="00912164">
            <w:pPr>
              <w:pStyle w:val="In-tableHeading"/>
              <w:jc w:val="center"/>
              <w:rPr>
                <w:szCs w:val="20"/>
                <w:lang w:val="en-AU"/>
              </w:rPr>
            </w:pPr>
            <w:r w:rsidRPr="005A54CD">
              <w:rPr>
                <w:szCs w:val="20"/>
                <w:lang w:val="en-AU"/>
              </w:rPr>
              <w:t>LANA</w:t>
            </w:r>
          </w:p>
        </w:tc>
        <w:tc>
          <w:tcPr>
            <w:tcW w:w="412" w:type="pct"/>
          </w:tcPr>
          <w:p w:rsidR="00AD67B3" w:rsidRPr="005A54CD" w:rsidRDefault="00AD67B3" w:rsidP="00912164">
            <w:pPr>
              <w:pStyle w:val="In-tableHeading"/>
              <w:jc w:val="center"/>
              <w:rPr>
                <w:szCs w:val="20"/>
                <w:lang w:val="en-AU"/>
              </w:rPr>
            </w:pPr>
            <w:r w:rsidRPr="005A54CD">
              <w:rPr>
                <w:szCs w:val="20"/>
                <w:lang w:val="en-AU"/>
              </w:rPr>
              <w:t>SOC</w:t>
            </w:r>
          </w:p>
        </w:tc>
        <w:tc>
          <w:tcPr>
            <w:tcW w:w="398" w:type="pct"/>
            <w:tcBorders>
              <w:right w:val="single" w:sz="4" w:space="0" w:color="auto"/>
            </w:tcBorders>
          </w:tcPr>
          <w:p w:rsidR="00AD67B3" w:rsidRPr="005A54CD" w:rsidRDefault="00AD67B3" w:rsidP="00912164">
            <w:pPr>
              <w:pStyle w:val="In-tableHeading"/>
              <w:jc w:val="center"/>
              <w:rPr>
                <w:szCs w:val="20"/>
                <w:lang w:val="en-AU"/>
              </w:rPr>
            </w:pPr>
            <w:r w:rsidRPr="005A54CD">
              <w:rPr>
                <w:szCs w:val="20"/>
                <w:lang w:val="en-AU"/>
              </w:rPr>
              <w:t>Inc</w:t>
            </w:r>
          </w:p>
        </w:tc>
        <w:tc>
          <w:tcPr>
            <w:tcW w:w="908" w:type="pct"/>
            <w:vMerge/>
            <w:tcBorders>
              <w:right w:val="single" w:sz="4" w:space="0" w:color="auto"/>
            </w:tcBorders>
          </w:tcPr>
          <w:p w:rsidR="00AD67B3" w:rsidRPr="005A54CD" w:rsidRDefault="00AD67B3" w:rsidP="00912164">
            <w:pPr>
              <w:pStyle w:val="TableText0"/>
              <w:jc w:val="center"/>
              <w:rPr>
                <w:szCs w:val="20"/>
              </w:rPr>
            </w:pPr>
          </w:p>
        </w:tc>
      </w:tr>
      <w:tr w:rsidR="00AD67B3" w:rsidRPr="008154B1" w:rsidTr="005A54CD">
        <w:tc>
          <w:tcPr>
            <w:tcW w:w="1348" w:type="pct"/>
          </w:tcPr>
          <w:p w:rsidR="00AD67B3" w:rsidRPr="005A54CD" w:rsidRDefault="00AD67B3" w:rsidP="00912164">
            <w:pPr>
              <w:pStyle w:val="TableText0"/>
              <w:ind w:left="165" w:hanging="165"/>
              <w:rPr>
                <w:szCs w:val="20"/>
              </w:rPr>
            </w:pPr>
            <w:r w:rsidRPr="005A54CD">
              <w:rPr>
                <w:szCs w:val="20"/>
              </w:rPr>
              <w:t>1) HELP trial-based analysis: Cost per investigator-confirmed HAE attack avoided at 182 days (13 doses)</w:t>
            </w:r>
          </w:p>
        </w:tc>
        <w:tc>
          <w:tcPr>
            <w:tcW w:w="532" w:type="pct"/>
            <w:tcBorders>
              <w:right w:val="single" w:sz="4" w:space="0" w:color="auto"/>
            </w:tcBorders>
            <w:vAlign w:val="center"/>
          </w:tcPr>
          <w:p w:rsidR="00AD67B3" w:rsidRPr="005A54CD" w:rsidRDefault="00AD67B3" w:rsidP="00912164">
            <w:pPr>
              <w:pStyle w:val="TableText0"/>
              <w:jc w:val="right"/>
              <w:rPr>
                <w:szCs w:val="20"/>
              </w:rPr>
            </w:pPr>
            <w:r w:rsidRPr="005A54CD">
              <w:rPr>
                <w:szCs w:val="20"/>
              </w:rPr>
              <w:t>$</w:t>
            </w:r>
            <w:r w:rsidR="005E18BF">
              <w:rPr>
                <w:noProof/>
                <w:color w:val="000000"/>
                <w:szCs w:val="20"/>
                <w:highlight w:val="black"/>
              </w:rPr>
              <w:t>'''''''''''''''''</w:t>
            </w:r>
          </w:p>
        </w:tc>
        <w:tc>
          <w:tcPr>
            <w:tcW w:w="500" w:type="pct"/>
            <w:tcBorders>
              <w:right w:val="single" w:sz="4" w:space="0" w:color="auto"/>
            </w:tcBorders>
            <w:vAlign w:val="center"/>
          </w:tcPr>
          <w:p w:rsidR="00AD67B3" w:rsidRPr="005A54CD" w:rsidRDefault="00AD67B3" w:rsidP="00912164">
            <w:pPr>
              <w:pStyle w:val="TableText0"/>
              <w:jc w:val="right"/>
              <w:rPr>
                <w:szCs w:val="20"/>
              </w:rPr>
            </w:pPr>
            <w:r w:rsidRPr="005A54CD">
              <w:rPr>
                <w:szCs w:val="20"/>
              </w:rPr>
              <w:t>$0.00</w:t>
            </w:r>
          </w:p>
        </w:tc>
        <w:tc>
          <w:tcPr>
            <w:tcW w:w="500" w:type="pct"/>
            <w:tcBorders>
              <w:right w:val="single" w:sz="4" w:space="0" w:color="auto"/>
            </w:tcBorders>
            <w:vAlign w:val="center"/>
          </w:tcPr>
          <w:p w:rsidR="00AD67B3" w:rsidRPr="005A54CD" w:rsidRDefault="00AD67B3" w:rsidP="00912164">
            <w:pPr>
              <w:pStyle w:val="TableText0"/>
              <w:jc w:val="right"/>
              <w:rPr>
                <w:szCs w:val="20"/>
              </w:rPr>
            </w:pPr>
            <w:r w:rsidRPr="005A54CD">
              <w:rPr>
                <w:szCs w:val="20"/>
              </w:rPr>
              <w:t>$</w:t>
            </w:r>
            <w:r w:rsidR="005E18BF">
              <w:rPr>
                <w:noProof/>
                <w:color w:val="000000"/>
                <w:szCs w:val="20"/>
                <w:highlight w:val="black"/>
              </w:rPr>
              <w:t>''''''''''''''''''''</w:t>
            </w:r>
          </w:p>
        </w:tc>
        <w:tc>
          <w:tcPr>
            <w:tcW w:w="403" w:type="pct"/>
            <w:tcBorders>
              <w:right w:val="single" w:sz="4" w:space="0" w:color="auto"/>
            </w:tcBorders>
            <w:vAlign w:val="center"/>
          </w:tcPr>
          <w:p w:rsidR="00AD67B3" w:rsidRPr="005A54CD" w:rsidRDefault="00AD67B3" w:rsidP="00912164">
            <w:pPr>
              <w:pStyle w:val="TableText0"/>
              <w:jc w:val="center"/>
              <w:rPr>
                <w:szCs w:val="20"/>
              </w:rPr>
            </w:pPr>
            <w:r w:rsidRPr="005A54CD">
              <w:rPr>
                <w:szCs w:val="20"/>
              </w:rPr>
              <w:t>12.786</w:t>
            </w:r>
          </w:p>
        </w:tc>
        <w:tc>
          <w:tcPr>
            <w:tcW w:w="412" w:type="pct"/>
            <w:vAlign w:val="center"/>
          </w:tcPr>
          <w:p w:rsidR="00AD67B3" w:rsidRPr="005A54CD" w:rsidRDefault="00AD67B3" w:rsidP="00912164">
            <w:pPr>
              <w:pStyle w:val="TableText0"/>
              <w:jc w:val="center"/>
              <w:rPr>
                <w:szCs w:val="20"/>
              </w:rPr>
            </w:pPr>
            <w:r w:rsidRPr="005A54CD">
              <w:rPr>
                <w:szCs w:val="20"/>
              </w:rPr>
              <w:t>1.672</w:t>
            </w:r>
          </w:p>
        </w:tc>
        <w:tc>
          <w:tcPr>
            <w:tcW w:w="398" w:type="pct"/>
            <w:tcBorders>
              <w:right w:val="single" w:sz="4" w:space="0" w:color="auto"/>
            </w:tcBorders>
            <w:vAlign w:val="center"/>
          </w:tcPr>
          <w:p w:rsidR="00AD67B3" w:rsidRPr="005A54CD" w:rsidRDefault="00AD67B3" w:rsidP="00912164">
            <w:pPr>
              <w:pStyle w:val="TableText0"/>
              <w:jc w:val="center"/>
              <w:rPr>
                <w:szCs w:val="20"/>
              </w:rPr>
            </w:pPr>
            <w:r w:rsidRPr="005A54CD">
              <w:rPr>
                <w:szCs w:val="20"/>
              </w:rPr>
              <w:t>11.113</w:t>
            </w:r>
          </w:p>
        </w:tc>
        <w:tc>
          <w:tcPr>
            <w:tcW w:w="908" w:type="pct"/>
            <w:tcBorders>
              <w:right w:val="single" w:sz="4" w:space="0" w:color="auto"/>
            </w:tcBorders>
            <w:vAlign w:val="center"/>
          </w:tcPr>
          <w:p w:rsidR="00AD67B3" w:rsidRPr="005A54CD" w:rsidRDefault="00AD67B3" w:rsidP="003D4E78">
            <w:pPr>
              <w:pStyle w:val="TableText0"/>
              <w:jc w:val="center"/>
              <w:rPr>
                <w:szCs w:val="20"/>
              </w:rPr>
            </w:pPr>
            <w:r w:rsidRPr="005A54CD">
              <w:rPr>
                <w:szCs w:val="20"/>
              </w:rPr>
              <w:t xml:space="preserve"> </w:t>
            </w:r>
            <w:r w:rsidR="003D4E78">
              <w:rPr>
                <w:szCs w:val="20"/>
              </w:rPr>
              <w:t xml:space="preserve">less than $15,000 </w:t>
            </w:r>
            <w:r w:rsidRPr="005A54CD">
              <w:rPr>
                <w:szCs w:val="20"/>
              </w:rPr>
              <w:t>per HAE attack avoided</w:t>
            </w:r>
          </w:p>
        </w:tc>
      </w:tr>
      <w:tr w:rsidR="00AD67B3" w:rsidRPr="008154B1" w:rsidTr="005A54CD">
        <w:tc>
          <w:tcPr>
            <w:tcW w:w="1348" w:type="pct"/>
          </w:tcPr>
          <w:p w:rsidR="00AD67B3" w:rsidRPr="005A54CD" w:rsidRDefault="00AD67B3" w:rsidP="00912164">
            <w:pPr>
              <w:pStyle w:val="TableText0"/>
              <w:ind w:left="165" w:hanging="165"/>
              <w:rPr>
                <w:szCs w:val="20"/>
              </w:rPr>
            </w:pPr>
            <w:r w:rsidRPr="005A54CD">
              <w:rPr>
                <w:szCs w:val="20"/>
              </w:rPr>
              <w:t>2) As above but with HAE attack "</w:t>
            </w:r>
            <w:r w:rsidRPr="005A54CD">
              <w:rPr>
                <w:iCs/>
                <w:szCs w:val="20"/>
              </w:rPr>
              <w:t>requiring acute treatmen</w:t>
            </w:r>
            <w:r w:rsidRPr="005A54CD">
              <w:rPr>
                <w:szCs w:val="20"/>
              </w:rPr>
              <w:t>t" endpoint</w:t>
            </w:r>
          </w:p>
        </w:tc>
        <w:tc>
          <w:tcPr>
            <w:tcW w:w="532" w:type="pct"/>
            <w:tcBorders>
              <w:right w:val="single" w:sz="4" w:space="0" w:color="auto"/>
            </w:tcBorders>
            <w:vAlign w:val="center"/>
          </w:tcPr>
          <w:p w:rsidR="00AD67B3" w:rsidRPr="005A54CD" w:rsidRDefault="00AD67B3" w:rsidP="00912164">
            <w:pPr>
              <w:pStyle w:val="TableText0"/>
              <w:jc w:val="right"/>
              <w:rPr>
                <w:szCs w:val="20"/>
              </w:rPr>
            </w:pPr>
            <w:r w:rsidRPr="005A54CD">
              <w:rPr>
                <w:szCs w:val="20"/>
              </w:rPr>
              <w:t>$</w:t>
            </w:r>
            <w:r w:rsidR="005E18BF">
              <w:rPr>
                <w:noProof/>
                <w:color w:val="000000"/>
                <w:szCs w:val="20"/>
                <w:highlight w:val="black"/>
              </w:rPr>
              <w:t>'''''''''''''''''</w:t>
            </w:r>
          </w:p>
        </w:tc>
        <w:tc>
          <w:tcPr>
            <w:tcW w:w="500" w:type="pct"/>
            <w:tcBorders>
              <w:right w:val="single" w:sz="4" w:space="0" w:color="auto"/>
            </w:tcBorders>
            <w:vAlign w:val="center"/>
          </w:tcPr>
          <w:p w:rsidR="00AD67B3" w:rsidRPr="005A54CD" w:rsidRDefault="00AD67B3" w:rsidP="00912164">
            <w:pPr>
              <w:pStyle w:val="TableText0"/>
              <w:jc w:val="right"/>
              <w:rPr>
                <w:szCs w:val="20"/>
              </w:rPr>
            </w:pPr>
            <w:r w:rsidRPr="005A54CD">
              <w:rPr>
                <w:szCs w:val="20"/>
              </w:rPr>
              <w:t>$0.00</w:t>
            </w:r>
          </w:p>
        </w:tc>
        <w:tc>
          <w:tcPr>
            <w:tcW w:w="500" w:type="pct"/>
            <w:tcBorders>
              <w:right w:val="single" w:sz="4" w:space="0" w:color="auto"/>
            </w:tcBorders>
            <w:vAlign w:val="center"/>
          </w:tcPr>
          <w:p w:rsidR="00AD67B3" w:rsidRPr="005A54CD" w:rsidRDefault="00AD67B3" w:rsidP="00912164">
            <w:pPr>
              <w:pStyle w:val="TableText0"/>
              <w:jc w:val="right"/>
              <w:rPr>
                <w:szCs w:val="20"/>
              </w:rPr>
            </w:pPr>
            <w:r w:rsidRPr="005A54CD">
              <w:rPr>
                <w:szCs w:val="20"/>
              </w:rPr>
              <w:t>$</w:t>
            </w:r>
            <w:r w:rsidR="005E18BF">
              <w:rPr>
                <w:noProof/>
                <w:color w:val="000000"/>
                <w:szCs w:val="20"/>
                <w:highlight w:val="black"/>
              </w:rPr>
              <w:t>''''''''''''''''''''</w:t>
            </w:r>
          </w:p>
        </w:tc>
        <w:tc>
          <w:tcPr>
            <w:tcW w:w="403" w:type="pct"/>
            <w:tcBorders>
              <w:right w:val="single" w:sz="4" w:space="0" w:color="auto"/>
            </w:tcBorders>
            <w:vAlign w:val="center"/>
          </w:tcPr>
          <w:p w:rsidR="00AD67B3" w:rsidRPr="005A54CD" w:rsidRDefault="00AD67B3" w:rsidP="00912164">
            <w:pPr>
              <w:pStyle w:val="TableText0"/>
              <w:jc w:val="center"/>
              <w:rPr>
                <w:szCs w:val="20"/>
              </w:rPr>
            </w:pPr>
            <w:r w:rsidRPr="005A54CD">
              <w:rPr>
                <w:szCs w:val="20"/>
              </w:rPr>
              <w:t>10.641</w:t>
            </w:r>
          </w:p>
        </w:tc>
        <w:tc>
          <w:tcPr>
            <w:tcW w:w="412" w:type="pct"/>
            <w:vAlign w:val="center"/>
          </w:tcPr>
          <w:p w:rsidR="00AD67B3" w:rsidRPr="005A54CD" w:rsidRDefault="00AD67B3" w:rsidP="00912164">
            <w:pPr>
              <w:pStyle w:val="TableText0"/>
              <w:jc w:val="center"/>
              <w:rPr>
                <w:szCs w:val="20"/>
              </w:rPr>
            </w:pPr>
            <w:r w:rsidRPr="005A54CD">
              <w:rPr>
                <w:szCs w:val="20"/>
              </w:rPr>
              <w:t>1.392</w:t>
            </w:r>
          </w:p>
        </w:tc>
        <w:tc>
          <w:tcPr>
            <w:tcW w:w="398" w:type="pct"/>
            <w:tcBorders>
              <w:right w:val="single" w:sz="4" w:space="0" w:color="auto"/>
            </w:tcBorders>
            <w:vAlign w:val="center"/>
          </w:tcPr>
          <w:p w:rsidR="00AD67B3" w:rsidRPr="005A54CD" w:rsidRDefault="00AD67B3" w:rsidP="00912164">
            <w:pPr>
              <w:pStyle w:val="TableText0"/>
              <w:jc w:val="center"/>
              <w:rPr>
                <w:szCs w:val="20"/>
              </w:rPr>
            </w:pPr>
            <w:r w:rsidRPr="005A54CD">
              <w:rPr>
                <w:szCs w:val="20"/>
              </w:rPr>
              <w:t>9.249</w:t>
            </w:r>
          </w:p>
        </w:tc>
        <w:tc>
          <w:tcPr>
            <w:tcW w:w="908" w:type="pct"/>
            <w:tcBorders>
              <w:right w:val="single" w:sz="4" w:space="0" w:color="auto"/>
            </w:tcBorders>
            <w:vAlign w:val="center"/>
          </w:tcPr>
          <w:p w:rsidR="00AD67B3" w:rsidRPr="005A54CD" w:rsidRDefault="003D4E78" w:rsidP="003D4E78">
            <w:pPr>
              <w:pStyle w:val="TableText0"/>
              <w:jc w:val="center"/>
              <w:rPr>
                <w:szCs w:val="20"/>
              </w:rPr>
            </w:pPr>
            <w:r>
              <w:rPr>
                <w:szCs w:val="20"/>
              </w:rPr>
              <w:t xml:space="preserve">$15,000 - $45,000 </w:t>
            </w:r>
            <w:r w:rsidR="00AD67B3" w:rsidRPr="005A54CD">
              <w:rPr>
                <w:szCs w:val="20"/>
              </w:rPr>
              <w:t>per HAE attack requiring treatment avoided</w:t>
            </w:r>
          </w:p>
        </w:tc>
      </w:tr>
      <w:tr w:rsidR="00AD67B3" w:rsidRPr="008154B1" w:rsidTr="005A54CD">
        <w:tc>
          <w:tcPr>
            <w:tcW w:w="1348" w:type="pct"/>
          </w:tcPr>
          <w:p w:rsidR="00AD67B3" w:rsidRPr="005A54CD" w:rsidRDefault="00AD67B3" w:rsidP="00912164">
            <w:pPr>
              <w:pStyle w:val="TableText0"/>
              <w:ind w:left="165" w:hanging="165"/>
              <w:rPr>
                <w:szCs w:val="20"/>
              </w:rPr>
            </w:pPr>
            <w:r w:rsidRPr="005A54CD">
              <w:rPr>
                <w:szCs w:val="20"/>
              </w:rPr>
              <w:t>3 Economic model: 24-attacks a year baseline rate, cost per HAE attack requiring treatment avoided at 1-year (26-doses)</w:t>
            </w:r>
          </w:p>
        </w:tc>
        <w:tc>
          <w:tcPr>
            <w:tcW w:w="532" w:type="pct"/>
            <w:tcBorders>
              <w:right w:val="single" w:sz="4" w:space="0" w:color="auto"/>
            </w:tcBorders>
            <w:vAlign w:val="center"/>
          </w:tcPr>
          <w:p w:rsidR="00AD67B3" w:rsidRPr="005A54CD" w:rsidRDefault="00AD67B3" w:rsidP="00912164">
            <w:pPr>
              <w:pStyle w:val="TableText0"/>
              <w:jc w:val="right"/>
              <w:rPr>
                <w:szCs w:val="20"/>
              </w:rPr>
            </w:pPr>
            <w:r w:rsidRPr="005A54CD">
              <w:rPr>
                <w:szCs w:val="20"/>
              </w:rPr>
              <w:t>$</w:t>
            </w:r>
            <w:r w:rsidR="005E18BF">
              <w:rPr>
                <w:noProof/>
                <w:color w:val="000000"/>
                <w:szCs w:val="20"/>
                <w:highlight w:val="black"/>
              </w:rPr>
              <w:t>''''''''''''''''''</w:t>
            </w:r>
          </w:p>
        </w:tc>
        <w:tc>
          <w:tcPr>
            <w:tcW w:w="500" w:type="pct"/>
            <w:tcBorders>
              <w:right w:val="single" w:sz="4" w:space="0" w:color="auto"/>
            </w:tcBorders>
            <w:vAlign w:val="center"/>
          </w:tcPr>
          <w:p w:rsidR="00AD67B3" w:rsidRPr="005A54CD" w:rsidRDefault="00AD67B3" w:rsidP="00912164">
            <w:pPr>
              <w:pStyle w:val="TableText0"/>
              <w:jc w:val="right"/>
              <w:rPr>
                <w:szCs w:val="20"/>
              </w:rPr>
            </w:pPr>
            <w:r w:rsidRPr="005A54CD">
              <w:rPr>
                <w:szCs w:val="20"/>
              </w:rPr>
              <w:t>$0.00</w:t>
            </w:r>
          </w:p>
        </w:tc>
        <w:tc>
          <w:tcPr>
            <w:tcW w:w="500" w:type="pct"/>
            <w:tcBorders>
              <w:right w:val="single" w:sz="4" w:space="0" w:color="auto"/>
            </w:tcBorders>
            <w:vAlign w:val="center"/>
          </w:tcPr>
          <w:p w:rsidR="00AD67B3" w:rsidRPr="005A54CD" w:rsidRDefault="00AD67B3" w:rsidP="00912164">
            <w:pPr>
              <w:pStyle w:val="TableText0"/>
              <w:jc w:val="right"/>
              <w:rPr>
                <w:szCs w:val="20"/>
              </w:rPr>
            </w:pPr>
            <w:r w:rsidRPr="005A54CD">
              <w:rPr>
                <w:szCs w:val="20"/>
              </w:rPr>
              <w:t>$</w:t>
            </w:r>
            <w:r w:rsidR="005E18BF">
              <w:rPr>
                <w:noProof/>
                <w:color w:val="000000"/>
                <w:szCs w:val="20"/>
                <w:highlight w:val="black"/>
              </w:rPr>
              <w:t>'''''''''''''''''''''</w:t>
            </w:r>
          </w:p>
        </w:tc>
        <w:tc>
          <w:tcPr>
            <w:tcW w:w="403" w:type="pct"/>
            <w:tcBorders>
              <w:right w:val="single" w:sz="4" w:space="0" w:color="auto"/>
            </w:tcBorders>
            <w:vAlign w:val="center"/>
          </w:tcPr>
          <w:p w:rsidR="00AD67B3" w:rsidRPr="005A54CD" w:rsidRDefault="00AD67B3" w:rsidP="00912164">
            <w:pPr>
              <w:pStyle w:val="TableText0"/>
              <w:jc w:val="center"/>
              <w:rPr>
                <w:szCs w:val="20"/>
              </w:rPr>
            </w:pPr>
            <w:r w:rsidRPr="005A54CD">
              <w:rPr>
                <w:szCs w:val="20"/>
              </w:rPr>
              <w:t>24.000</w:t>
            </w:r>
          </w:p>
        </w:tc>
        <w:tc>
          <w:tcPr>
            <w:tcW w:w="412" w:type="pct"/>
            <w:vAlign w:val="center"/>
          </w:tcPr>
          <w:p w:rsidR="00AD67B3" w:rsidRPr="005A54CD" w:rsidRDefault="00AD67B3" w:rsidP="00912164">
            <w:pPr>
              <w:pStyle w:val="TableText0"/>
              <w:jc w:val="center"/>
              <w:rPr>
                <w:szCs w:val="20"/>
              </w:rPr>
            </w:pPr>
            <w:r w:rsidRPr="005A54CD">
              <w:rPr>
                <w:szCs w:val="20"/>
              </w:rPr>
              <w:t>3.048</w:t>
            </w:r>
          </w:p>
        </w:tc>
        <w:tc>
          <w:tcPr>
            <w:tcW w:w="398" w:type="pct"/>
            <w:tcBorders>
              <w:right w:val="single" w:sz="4" w:space="0" w:color="auto"/>
            </w:tcBorders>
            <w:vAlign w:val="center"/>
          </w:tcPr>
          <w:p w:rsidR="00AD67B3" w:rsidRPr="005A54CD" w:rsidRDefault="00AD67B3" w:rsidP="00912164">
            <w:pPr>
              <w:pStyle w:val="TableText0"/>
              <w:jc w:val="center"/>
              <w:rPr>
                <w:szCs w:val="20"/>
              </w:rPr>
            </w:pPr>
            <w:r w:rsidRPr="005A54CD">
              <w:rPr>
                <w:szCs w:val="20"/>
              </w:rPr>
              <w:t>20.952</w:t>
            </w:r>
          </w:p>
        </w:tc>
        <w:tc>
          <w:tcPr>
            <w:tcW w:w="908" w:type="pct"/>
            <w:tcBorders>
              <w:right w:val="single" w:sz="4" w:space="0" w:color="auto"/>
            </w:tcBorders>
            <w:vAlign w:val="center"/>
          </w:tcPr>
          <w:p w:rsidR="00AD67B3" w:rsidRPr="005A54CD" w:rsidRDefault="003D4E78" w:rsidP="003D4E78">
            <w:pPr>
              <w:pStyle w:val="TableText0"/>
              <w:jc w:val="center"/>
              <w:rPr>
                <w:szCs w:val="20"/>
              </w:rPr>
            </w:pPr>
            <w:r>
              <w:rPr>
                <w:szCs w:val="20"/>
              </w:rPr>
              <w:t xml:space="preserve"> less than $15,000 </w:t>
            </w:r>
            <w:r w:rsidR="00AD67B3" w:rsidRPr="005A54CD">
              <w:rPr>
                <w:szCs w:val="20"/>
              </w:rPr>
              <w:t>per HAE attack requiring treatment avoided</w:t>
            </w:r>
          </w:p>
        </w:tc>
      </w:tr>
      <w:tr w:rsidR="00AD67B3" w:rsidRPr="008154B1" w:rsidTr="005A54CD">
        <w:tc>
          <w:tcPr>
            <w:tcW w:w="1348" w:type="pct"/>
          </w:tcPr>
          <w:p w:rsidR="00AD67B3" w:rsidRPr="005A54CD" w:rsidRDefault="00AD67B3" w:rsidP="00912164">
            <w:pPr>
              <w:pStyle w:val="TableText0"/>
              <w:ind w:left="165" w:hanging="165"/>
              <w:rPr>
                <w:iCs/>
                <w:szCs w:val="20"/>
              </w:rPr>
            </w:pPr>
            <w:r w:rsidRPr="005A54CD">
              <w:rPr>
                <w:iCs/>
                <w:szCs w:val="20"/>
              </w:rPr>
              <w:t>4a) As above, HAE attacks transformed to QALYs gained (26 doses)</w:t>
            </w:r>
            <w:r w:rsidRPr="005A54CD">
              <w:rPr>
                <w:iCs/>
                <w:szCs w:val="20"/>
                <w:vertAlign w:val="superscript"/>
              </w:rPr>
              <w:t>a</w:t>
            </w:r>
          </w:p>
        </w:tc>
        <w:tc>
          <w:tcPr>
            <w:tcW w:w="532" w:type="pct"/>
            <w:tcBorders>
              <w:right w:val="single" w:sz="4" w:space="0" w:color="auto"/>
            </w:tcBorders>
            <w:vAlign w:val="center"/>
          </w:tcPr>
          <w:p w:rsidR="00AD67B3" w:rsidRPr="005A54CD" w:rsidRDefault="00AD67B3" w:rsidP="00912164">
            <w:pPr>
              <w:pStyle w:val="TableText0"/>
              <w:jc w:val="right"/>
              <w:rPr>
                <w:iCs/>
                <w:szCs w:val="20"/>
              </w:rPr>
            </w:pPr>
            <w:r w:rsidRPr="005A54CD">
              <w:rPr>
                <w:iCs/>
                <w:szCs w:val="20"/>
              </w:rPr>
              <w:t>$</w:t>
            </w:r>
            <w:r w:rsidR="005E18BF">
              <w:rPr>
                <w:iCs/>
                <w:noProof/>
                <w:color w:val="000000"/>
                <w:szCs w:val="20"/>
                <w:highlight w:val="black"/>
              </w:rPr>
              <w:t>'''''''''''''''''</w:t>
            </w:r>
          </w:p>
        </w:tc>
        <w:tc>
          <w:tcPr>
            <w:tcW w:w="500" w:type="pct"/>
            <w:tcBorders>
              <w:right w:val="single" w:sz="4" w:space="0" w:color="auto"/>
            </w:tcBorders>
            <w:vAlign w:val="center"/>
          </w:tcPr>
          <w:p w:rsidR="00AD67B3" w:rsidRPr="005A54CD" w:rsidRDefault="00AD67B3" w:rsidP="00912164">
            <w:pPr>
              <w:pStyle w:val="TableText0"/>
              <w:jc w:val="right"/>
              <w:rPr>
                <w:iCs/>
                <w:szCs w:val="20"/>
              </w:rPr>
            </w:pPr>
            <w:r w:rsidRPr="005A54CD">
              <w:rPr>
                <w:iCs/>
                <w:szCs w:val="20"/>
              </w:rPr>
              <w:t>$0.00</w:t>
            </w:r>
          </w:p>
        </w:tc>
        <w:tc>
          <w:tcPr>
            <w:tcW w:w="500" w:type="pct"/>
            <w:tcBorders>
              <w:right w:val="single" w:sz="4" w:space="0" w:color="auto"/>
            </w:tcBorders>
            <w:vAlign w:val="center"/>
          </w:tcPr>
          <w:p w:rsidR="00AD67B3" w:rsidRPr="005A54CD" w:rsidRDefault="00AD67B3" w:rsidP="00912164">
            <w:pPr>
              <w:pStyle w:val="TableText0"/>
              <w:jc w:val="right"/>
              <w:rPr>
                <w:iCs/>
                <w:szCs w:val="20"/>
              </w:rPr>
            </w:pPr>
            <w:r w:rsidRPr="005A54CD">
              <w:rPr>
                <w:iCs/>
                <w:szCs w:val="20"/>
              </w:rPr>
              <w:t>$</w:t>
            </w:r>
            <w:r w:rsidR="005E18BF">
              <w:rPr>
                <w:iCs/>
                <w:noProof/>
                <w:color w:val="000000"/>
                <w:szCs w:val="20"/>
                <w:highlight w:val="black"/>
              </w:rPr>
              <w:t>'''''''''''''''''''''</w:t>
            </w:r>
          </w:p>
        </w:tc>
        <w:tc>
          <w:tcPr>
            <w:tcW w:w="403" w:type="pct"/>
            <w:tcBorders>
              <w:right w:val="single" w:sz="4" w:space="0" w:color="auto"/>
            </w:tcBorders>
            <w:vAlign w:val="center"/>
          </w:tcPr>
          <w:p w:rsidR="00AD67B3" w:rsidRPr="005E18BF" w:rsidRDefault="005E18BF" w:rsidP="00912164">
            <w:pPr>
              <w:pStyle w:val="TableText0"/>
              <w:jc w:val="center"/>
              <w:rPr>
                <w:iCs/>
                <w:szCs w:val="20"/>
                <w:highlight w:val="black"/>
              </w:rPr>
            </w:pPr>
            <w:r>
              <w:rPr>
                <w:iCs/>
                <w:noProof/>
                <w:color w:val="000000"/>
                <w:szCs w:val="20"/>
                <w:highlight w:val="black"/>
              </w:rPr>
              <w:t>''''''''''''</w:t>
            </w:r>
          </w:p>
        </w:tc>
        <w:tc>
          <w:tcPr>
            <w:tcW w:w="412" w:type="pct"/>
            <w:vAlign w:val="center"/>
          </w:tcPr>
          <w:p w:rsidR="00AD67B3" w:rsidRPr="005E18BF" w:rsidRDefault="005E18BF" w:rsidP="00912164">
            <w:pPr>
              <w:pStyle w:val="TableText0"/>
              <w:jc w:val="center"/>
              <w:rPr>
                <w:iCs/>
                <w:szCs w:val="20"/>
                <w:highlight w:val="black"/>
              </w:rPr>
            </w:pPr>
            <w:r>
              <w:rPr>
                <w:iCs/>
                <w:noProof/>
                <w:color w:val="000000"/>
                <w:szCs w:val="20"/>
                <w:highlight w:val="black"/>
              </w:rPr>
              <w:t>'''''''''''''''</w:t>
            </w:r>
          </w:p>
        </w:tc>
        <w:tc>
          <w:tcPr>
            <w:tcW w:w="398" w:type="pct"/>
            <w:tcBorders>
              <w:right w:val="single" w:sz="4" w:space="0" w:color="auto"/>
            </w:tcBorders>
            <w:vAlign w:val="center"/>
          </w:tcPr>
          <w:p w:rsidR="00AD67B3" w:rsidRPr="005E18BF" w:rsidRDefault="005E18BF" w:rsidP="00912164">
            <w:pPr>
              <w:pStyle w:val="TableText0"/>
              <w:jc w:val="center"/>
              <w:rPr>
                <w:iCs/>
                <w:szCs w:val="20"/>
                <w:highlight w:val="black"/>
              </w:rPr>
            </w:pPr>
            <w:r>
              <w:rPr>
                <w:iCs/>
                <w:noProof/>
                <w:color w:val="000000"/>
                <w:szCs w:val="20"/>
                <w:highlight w:val="black"/>
              </w:rPr>
              <w:t>''''''''''''''</w:t>
            </w:r>
          </w:p>
        </w:tc>
        <w:tc>
          <w:tcPr>
            <w:tcW w:w="908" w:type="pct"/>
            <w:tcBorders>
              <w:right w:val="single" w:sz="4" w:space="0" w:color="auto"/>
            </w:tcBorders>
            <w:vAlign w:val="center"/>
          </w:tcPr>
          <w:p w:rsidR="00AD67B3" w:rsidRPr="005A54CD" w:rsidRDefault="003D4E78" w:rsidP="00912164">
            <w:pPr>
              <w:pStyle w:val="TableText0"/>
              <w:jc w:val="right"/>
              <w:rPr>
                <w:iCs/>
                <w:szCs w:val="20"/>
              </w:rPr>
            </w:pPr>
            <w:r>
              <w:rPr>
                <w:iCs/>
                <w:szCs w:val="20"/>
              </w:rPr>
              <w:t xml:space="preserve"> more than $200,000</w:t>
            </w:r>
            <w:r w:rsidR="00AD67B3" w:rsidRPr="005A54CD">
              <w:rPr>
                <w:iCs/>
                <w:szCs w:val="20"/>
              </w:rPr>
              <w:t>/QALY</w:t>
            </w:r>
          </w:p>
        </w:tc>
      </w:tr>
      <w:tr w:rsidR="00AD67B3" w:rsidRPr="008154B1" w:rsidTr="005A54CD">
        <w:tc>
          <w:tcPr>
            <w:tcW w:w="1348" w:type="pct"/>
          </w:tcPr>
          <w:p w:rsidR="00AD67B3" w:rsidRPr="005A54CD" w:rsidRDefault="00AD67B3" w:rsidP="00912164">
            <w:pPr>
              <w:pStyle w:val="TableText0"/>
              <w:ind w:left="165" w:hanging="165"/>
              <w:rPr>
                <w:szCs w:val="20"/>
              </w:rPr>
            </w:pPr>
            <w:r w:rsidRPr="005A54CD">
              <w:rPr>
                <w:szCs w:val="20"/>
              </w:rPr>
              <w:t xml:space="preserve">4b) As for 4a, assuming </w:t>
            </w:r>
            <w:r w:rsidR="005E18BF">
              <w:rPr>
                <w:noProof/>
                <w:color w:val="000000"/>
                <w:szCs w:val="20"/>
                <w:highlight w:val="black"/>
              </w:rPr>
              <w:t>''''''''''''''</w:t>
            </w:r>
            <w:r w:rsidRPr="005A54CD">
              <w:rPr>
                <w:szCs w:val="20"/>
              </w:rPr>
              <w:t xml:space="preserve"> doses</w:t>
            </w:r>
            <w:r w:rsidRPr="005A54CD">
              <w:rPr>
                <w:szCs w:val="20"/>
                <w:vertAlign w:val="superscript"/>
              </w:rPr>
              <w:t>a</w:t>
            </w:r>
          </w:p>
        </w:tc>
        <w:tc>
          <w:tcPr>
            <w:tcW w:w="532" w:type="pct"/>
            <w:tcBorders>
              <w:right w:val="single" w:sz="4" w:space="0" w:color="auto"/>
            </w:tcBorders>
            <w:vAlign w:val="center"/>
          </w:tcPr>
          <w:p w:rsidR="00AD67B3" w:rsidRPr="005A54CD" w:rsidRDefault="00AD67B3" w:rsidP="00912164">
            <w:pPr>
              <w:pStyle w:val="TableText0"/>
              <w:jc w:val="right"/>
              <w:rPr>
                <w:szCs w:val="20"/>
              </w:rPr>
            </w:pPr>
            <w:r w:rsidRPr="005A54CD">
              <w:rPr>
                <w:szCs w:val="20"/>
              </w:rPr>
              <w:t>$</w:t>
            </w:r>
            <w:r w:rsidR="005E18BF">
              <w:rPr>
                <w:noProof/>
                <w:color w:val="000000"/>
                <w:szCs w:val="20"/>
                <w:highlight w:val="black"/>
              </w:rPr>
              <w:t>'''''''''''''''''''''</w:t>
            </w:r>
          </w:p>
          <w:p w:rsidR="00AD67B3" w:rsidRPr="005A54CD" w:rsidRDefault="00AD67B3" w:rsidP="00912164">
            <w:pPr>
              <w:pStyle w:val="TableText0"/>
              <w:jc w:val="right"/>
              <w:rPr>
                <w:iCs/>
                <w:szCs w:val="20"/>
                <w:vertAlign w:val="superscript"/>
              </w:rPr>
            </w:pPr>
            <w:r w:rsidRPr="005A54CD">
              <w:rPr>
                <w:iCs/>
                <w:szCs w:val="20"/>
              </w:rPr>
              <w:t>$</w:t>
            </w:r>
            <w:r w:rsidR="005E18BF">
              <w:rPr>
                <w:iCs/>
                <w:noProof/>
                <w:color w:val="000000"/>
                <w:szCs w:val="20"/>
                <w:highlight w:val="black"/>
              </w:rPr>
              <w:t>''''''''''''''''''''</w:t>
            </w:r>
            <w:r w:rsidRPr="005A54CD">
              <w:rPr>
                <w:iCs/>
                <w:szCs w:val="20"/>
                <w:vertAlign w:val="superscript"/>
              </w:rPr>
              <w:t>b</w:t>
            </w:r>
          </w:p>
        </w:tc>
        <w:tc>
          <w:tcPr>
            <w:tcW w:w="500" w:type="pct"/>
            <w:tcBorders>
              <w:right w:val="single" w:sz="4" w:space="0" w:color="auto"/>
            </w:tcBorders>
            <w:vAlign w:val="center"/>
          </w:tcPr>
          <w:p w:rsidR="00AD67B3" w:rsidRPr="005A54CD" w:rsidRDefault="00AD67B3" w:rsidP="00912164">
            <w:pPr>
              <w:pStyle w:val="TableText0"/>
              <w:jc w:val="right"/>
              <w:rPr>
                <w:szCs w:val="20"/>
              </w:rPr>
            </w:pPr>
            <w:r w:rsidRPr="005A54CD">
              <w:rPr>
                <w:szCs w:val="20"/>
              </w:rPr>
              <w:t>$0.00</w:t>
            </w:r>
          </w:p>
        </w:tc>
        <w:tc>
          <w:tcPr>
            <w:tcW w:w="500" w:type="pct"/>
            <w:tcBorders>
              <w:right w:val="single" w:sz="4" w:space="0" w:color="auto"/>
            </w:tcBorders>
            <w:vAlign w:val="center"/>
          </w:tcPr>
          <w:p w:rsidR="00AD67B3" w:rsidRPr="005A54CD" w:rsidRDefault="00AD67B3" w:rsidP="00912164">
            <w:pPr>
              <w:pStyle w:val="TableText0"/>
              <w:jc w:val="right"/>
              <w:rPr>
                <w:szCs w:val="20"/>
              </w:rPr>
            </w:pPr>
            <w:r w:rsidRPr="005A54CD">
              <w:rPr>
                <w:szCs w:val="20"/>
              </w:rPr>
              <w:t>$</w:t>
            </w:r>
            <w:r w:rsidR="005E18BF">
              <w:rPr>
                <w:noProof/>
                <w:color w:val="000000"/>
                <w:szCs w:val="20"/>
                <w:highlight w:val="black"/>
              </w:rPr>
              <w:t>'''''''''''''''''''''</w:t>
            </w:r>
          </w:p>
          <w:p w:rsidR="00AD67B3" w:rsidRPr="005A54CD" w:rsidRDefault="00AD67B3" w:rsidP="00912164">
            <w:pPr>
              <w:pStyle w:val="TableText0"/>
              <w:jc w:val="right"/>
              <w:rPr>
                <w:szCs w:val="20"/>
              </w:rPr>
            </w:pPr>
            <w:r w:rsidRPr="005A54CD">
              <w:rPr>
                <w:iCs/>
                <w:szCs w:val="20"/>
              </w:rPr>
              <w:t>$</w:t>
            </w:r>
            <w:r w:rsidR="005E18BF">
              <w:rPr>
                <w:iCs/>
                <w:noProof/>
                <w:color w:val="000000"/>
                <w:szCs w:val="20"/>
                <w:highlight w:val="black"/>
              </w:rPr>
              <w:t>'''''''''''''''''''''</w:t>
            </w:r>
          </w:p>
        </w:tc>
        <w:tc>
          <w:tcPr>
            <w:tcW w:w="403" w:type="pct"/>
            <w:tcBorders>
              <w:right w:val="single" w:sz="4" w:space="0" w:color="auto"/>
            </w:tcBorders>
            <w:vAlign w:val="center"/>
          </w:tcPr>
          <w:p w:rsidR="00AD67B3" w:rsidRPr="005E18BF" w:rsidRDefault="005E18BF" w:rsidP="00912164">
            <w:pPr>
              <w:pStyle w:val="TableText0"/>
              <w:jc w:val="center"/>
              <w:rPr>
                <w:szCs w:val="20"/>
                <w:highlight w:val="black"/>
              </w:rPr>
            </w:pPr>
            <w:r>
              <w:rPr>
                <w:noProof/>
                <w:color w:val="000000"/>
                <w:szCs w:val="20"/>
                <w:highlight w:val="black"/>
              </w:rPr>
              <w:t>'''''''''''''''</w:t>
            </w:r>
          </w:p>
        </w:tc>
        <w:tc>
          <w:tcPr>
            <w:tcW w:w="412" w:type="pct"/>
            <w:vAlign w:val="center"/>
          </w:tcPr>
          <w:p w:rsidR="00AD67B3" w:rsidRPr="005E18BF" w:rsidRDefault="005E18BF" w:rsidP="00912164">
            <w:pPr>
              <w:pStyle w:val="TableText0"/>
              <w:jc w:val="center"/>
              <w:rPr>
                <w:szCs w:val="20"/>
                <w:highlight w:val="black"/>
              </w:rPr>
            </w:pPr>
            <w:r>
              <w:rPr>
                <w:noProof/>
                <w:color w:val="000000"/>
                <w:szCs w:val="20"/>
                <w:highlight w:val="black"/>
              </w:rPr>
              <w:t>''''''''''''''</w:t>
            </w:r>
          </w:p>
        </w:tc>
        <w:tc>
          <w:tcPr>
            <w:tcW w:w="398" w:type="pct"/>
            <w:tcBorders>
              <w:right w:val="single" w:sz="4" w:space="0" w:color="auto"/>
            </w:tcBorders>
            <w:vAlign w:val="center"/>
          </w:tcPr>
          <w:p w:rsidR="00AD67B3" w:rsidRPr="005E18BF" w:rsidRDefault="005E18BF" w:rsidP="00912164">
            <w:pPr>
              <w:pStyle w:val="TableText0"/>
              <w:jc w:val="center"/>
              <w:rPr>
                <w:szCs w:val="20"/>
                <w:highlight w:val="black"/>
              </w:rPr>
            </w:pPr>
            <w:r>
              <w:rPr>
                <w:noProof/>
                <w:color w:val="000000"/>
                <w:szCs w:val="20"/>
                <w:highlight w:val="black"/>
              </w:rPr>
              <w:t>''''''''''''''</w:t>
            </w:r>
          </w:p>
        </w:tc>
        <w:tc>
          <w:tcPr>
            <w:tcW w:w="908" w:type="pct"/>
            <w:tcBorders>
              <w:right w:val="single" w:sz="4" w:space="0" w:color="auto"/>
            </w:tcBorders>
            <w:vAlign w:val="center"/>
          </w:tcPr>
          <w:p w:rsidR="00AD67B3" w:rsidRPr="005A54CD" w:rsidRDefault="003D4E78" w:rsidP="00912164">
            <w:pPr>
              <w:pStyle w:val="TableText0"/>
              <w:jc w:val="right"/>
              <w:rPr>
                <w:szCs w:val="20"/>
              </w:rPr>
            </w:pPr>
            <w:r>
              <w:rPr>
                <w:iCs/>
                <w:szCs w:val="20"/>
              </w:rPr>
              <w:t xml:space="preserve">  more than $200,000</w:t>
            </w:r>
            <w:r>
              <w:rPr>
                <w:szCs w:val="20"/>
              </w:rPr>
              <w:t xml:space="preserve"> </w:t>
            </w:r>
            <w:r w:rsidR="00AD67B3" w:rsidRPr="005A54CD">
              <w:rPr>
                <w:szCs w:val="20"/>
              </w:rPr>
              <w:t>/QALY</w:t>
            </w:r>
          </w:p>
          <w:p w:rsidR="00AD67B3" w:rsidRPr="005A54CD" w:rsidRDefault="003D4E78" w:rsidP="007D1E58">
            <w:pPr>
              <w:pStyle w:val="TableText0"/>
              <w:jc w:val="right"/>
              <w:rPr>
                <w:iCs/>
                <w:szCs w:val="20"/>
              </w:rPr>
            </w:pPr>
            <w:r>
              <w:rPr>
                <w:iCs/>
                <w:szCs w:val="20"/>
              </w:rPr>
              <w:t>more than $200,000</w:t>
            </w:r>
            <w:r w:rsidR="00AD67B3" w:rsidRPr="005A54CD">
              <w:rPr>
                <w:iCs/>
                <w:szCs w:val="20"/>
              </w:rPr>
              <w:t>/QALY</w:t>
            </w:r>
            <w:r w:rsidR="00DE37BA" w:rsidRPr="005A54CD">
              <w:rPr>
                <w:iCs/>
                <w:szCs w:val="20"/>
                <w:vertAlign w:val="superscript"/>
              </w:rPr>
              <w:t xml:space="preserve"> b</w:t>
            </w:r>
          </w:p>
        </w:tc>
      </w:tr>
      <w:tr w:rsidR="00AD67B3" w:rsidRPr="008154B1" w:rsidTr="005A54CD">
        <w:tc>
          <w:tcPr>
            <w:tcW w:w="1348" w:type="pct"/>
          </w:tcPr>
          <w:p w:rsidR="00AD67B3" w:rsidRPr="005A54CD" w:rsidRDefault="00AD67B3" w:rsidP="00912164">
            <w:pPr>
              <w:pStyle w:val="TableText0"/>
              <w:ind w:left="165" w:hanging="165"/>
              <w:rPr>
                <w:szCs w:val="20"/>
              </w:rPr>
            </w:pPr>
            <w:r w:rsidRPr="005A54CD">
              <w:rPr>
                <w:szCs w:val="20"/>
              </w:rPr>
              <w:t>5) As above, including costs of treating acute HAE attacks</w:t>
            </w:r>
          </w:p>
        </w:tc>
        <w:tc>
          <w:tcPr>
            <w:tcW w:w="532" w:type="pct"/>
            <w:tcBorders>
              <w:right w:val="single" w:sz="4" w:space="0" w:color="auto"/>
            </w:tcBorders>
            <w:vAlign w:val="center"/>
          </w:tcPr>
          <w:p w:rsidR="00AD67B3" w:rsidRPr="005A54CD" w:rsidRDefault="00AD67B3" w:rsidP="00912164">
            <w:pPr>
              <w:pStyle w:val="TableText0"/>
              <w:jc w:val="right"/>
              <w:rPr>
                <w:szCs w:val="20"/>
              </w:rPr>
            </w:pPr>
            <w:r w:rsidRPr="005A54CD">
              <w:rPr>
                <w:szCs w:val="20"/>
              </w:rPr>
              <w:t>$</w:t>
            </w:r>
            <w:r w:rsidR="005E18BF">
              <w:rPr>
                <w:noProof/>
                <w:color w:val="000000"/>
                <w:szCs w:val="20"/>
                <w:highlight w:val="black"/>
              </w:rPr>
              <w:t>''''''''''''''''''</w:t>
            </w:r>
          </w:p>
          <w:p w:rsidR="00AD67B3" w:rsidRPr="005A54CD" w:rsidRDefault="00AD67B3" w:rsidP="00912164">
            <w:pPr>
              <w:pStyle w:val="TableText0"/>
              <w:jc w:val="right"/>
              <w:rPr>
                <w:iCs/>
                <w:szCs w:val="20"/>
              </w:rPr>
            </w:pPr>
            <w:r w:rsidRPr="005A54CD">
              <w:rPr>
                <w:iCs/>
                <w:szCs w:val="20"/>
              </w:rPr>
              <w:t>$</w:t>
            </w:r>
            <w:r w:rsidR="005E18BF">
              <w:rPr>
                <w:iCs/>
                <w:noProof/>
                <w:color w:val="000000"/>
                <w:szCs w:val="20"/>
                <w:highlight w:val="black"/>
              </w:rPr>
              <w:t>''''''''''''''''''''</w:t>
            </w:r>
          </w:p>
        </w:tc>
        <w:tc>
          <w:tcPr>
            <w:tcW w:w="500" w:type="pct"/>
            <w:tcBorders>
              <w:right w:val="single" w:sz="4" w:space="0" w:color="auto"/>
            </w:tcBorders>
            <w:vAlign w:val="center"/>
          </w:tcPr>
          <w:p w:rsidR="00AD67B3" w:rsidRPr="005A54CD" w:rsidRDefault="00AD67B3" w:rsidP="00912164">
            <w:pPr>
              <w:pStyle w:val="TableText0"/>
              <w:jc w:val="right"/>
              <w:rPr>
                <w:szCs w:val="20"/>
              </w:rPr>
            </w:pPr>
            <w:r w:rsidRPr="005A54CD">
              <w:rPr>
                <w:szCs w:val="20"/>
              </w:rPr>
              <w:t>$80,817</w:t>
            </w:r>
          </w:p>
        </w:tc>
        <w:tc>
          <w:tcPr>
            <w:tcW w:w="500" w:type="pct"/>
            <w:tcBorders>
              <w:right w:val="single" w:sz="4" w:space="0" w:color="auto"/>
            </w:tcBorders>
            <w:vAlign w:val="center"/>
          </w:tcPr>
          <w:p w:rsidR="00AD67B3" w:rsidRPr="005A54CD" w:rsidRDefault="00AD67B3" w:rsidP="00912164">
            <w:pPr>
              <w:pStyle w:val="TableText0"/>
              <w:jc w:val="right"/>
              <w:rPr>
                <w:szCs w:val="20"/>
              </w:rPr>
            </w:pPr>
            <w:r w:rsidRPr="005A54CD">
              <w:rPr>
                <w:szCs w:val="20"/>
              </w:rPr>
              <w:t>$</w:t>
            </w:r>
            <w:r w:rsidR="005E18BF">
              <w:rPr>
                <w:noProof/>
                <w:color w:val="000000"/>
                <w:szCs w:val="20"/>
                <w:highlight w:val="black"/>
              </w:rPr>
              <w:t>'''''''''''''''''''</w:t>
            </w:r>
          </w:p>
          <w:p w:rsidR="00AD67B3" w:rsidRPr="005A54CD" w:rsidRDefault="00AD4825" w:rsidP="00912164">
            <w:pPr>
              <w:pStyle w:val="TableText0"/>
              <w:jc w:val="right"/>
              <w:rPr>
                <w:iCs/>
                <w:szCs w:val="20"/>
              </w:rPr>
            </w:pPr>
            <w:r>
              <w:rPr>
                <w:iCs/>
                <w:szCs w:val="20"/>
              </w:rPr>
              <w:t>$</w:t>
            </w:r>
            <w:r w:rsidR="005E18BF">
              <w:rPr>
                <w:iCs/>
                <w:noProof/>
                <w:color w:val="000000"/>
                <w:szCs w:val="20"/>
                <w:highlight w:val="black"/>
              </w:rPr>
              <w:t>''''''''''''''''''</w:t>
            </w:r>
          </w:p>
        </w:tc>
        <w:tc>
          <w:tcPr>
            <w:tcW w:w="403" w:type="pct"/>
            <w:tcBorders>
              <w:right w:val="single" w:sz="4" w:space="0" w:color="auto"/>
            </w:tcBorders>
            <w:vAlign w:val="center"/>
          </w:tcPr>
          <w:p w:rsidR="00AD67B3" w:rsidRPr="005E18BF" w:rsidRDefault="005E18BF" w:rsidP="00912164">
            <w:pPr>
              <w:pStyle w:val="TableText0"/>
              <w:jc w:val="center"/>
              <w:rPr>
                <w:szCs w:val="20"/>
                <w:highlight w:val="black"/>
              </w:rPr>
            </w:pPr>
            <w:r>
              <w:rPr>
                <w:noProof/>
                <w:color w:val="000000"/>
                <w:szCs w:val="20"/>
                <w:highlight w:val="black"/>
              </w:rPr>
              <w:t>'''''''''''''</w:t>
            </w:r>
          </w:p>
        </w:tc>
        <w:tc>
          <w:tcPr>
            <w:tcW w:w="412" w:type="pct"/>
            <w:vAlign w:val="center"/>
          </w:tcPr>
          <w:p w:rsidR="00AD67B3" w:rsidRPr="005E18BF" w:rsidRDefault="005E18BF" w:rsidP="00912164">
            <w:pPr>
              <w:pStyle w:val="TableText0"/>
              <w:jc w:val="center"/>
              <w:rPr>
                <w:szCs w:val="20"/>
                <w:highlight w:val="black"/>
              </w:rPr>
            </w:pPr>
            <w:r>
              <w:rPr>
                <w:noProof/>
                <w:color w:val="000000"/>
                <w:szCs w:val="20"/>
                <w:highlight w:val="black"/>
              </w:rPr>
              <w:t>''''''''''''''</w:t>
            </w:r>
          </w:p>
        </w:tc>
        <w:tc>
          <w:tcPr>
            <w:tcW w:w="398" w:type="pct"/>
            <w:tcBorders>
              <w:right w:val="single" w:sz="4" w:space="0" w:color="auto"/>
            </w:tcBorders>
            <w:vAlign w:val="center"/>
          </w:tcPr>
          <w:p w:rsidR="00AD67B3" w:rsidRPr="005E18BF" w:rsidRDefault="005E18BF" w:rsidP="00912164">
            <w:pPr>
              <w:pStyle w:val="TableText0"/>
              <w:jc w:val="center"/>
              <w:rPr>
                <w:szCs w:val="20"/>
                <w:highlight w:val="black"/>
              </w:rPr>
            </w:pPr>
            <w:r>
              <w:rPr>
                <w:noProof/>
                <w:color w:val="000000"/>
                <w:szCs w:val="20"/>
                <w:highlight w:val="black"/>
              </w:rPr>
              <w:t>''''''''''''''</w:t>
            </w:r>
          </w:p>
        </w:tc>
        <w:tc>
          <w:tcPr>
            <w:tcW w:w="908" w:type="pct"/>
            <w:tcBorders>
              <w:right w:val="single" w:sz="4" w:space="0" w:color="auto"/>
            </w:tcBorders>
            <w:vAlign w:val="center"/>
          </w:tcPr>
          <w:p w:rsidR="00AD67B3" w:rsidRPr="005A54CD" w:rsidRDefault="003D4E78" w:rsidP="00912164">
            <w:pPr>
              <w:pStyle w:val="TableText0"/>
              <w:jc w:val="right"/>
              <w:rPr>
                <w:szCs w:val="20"/>
              </w:rPr>
            </w:pPr>
            <w:r>
              <w:rPr>
                <w:iCs/>
                <w:szCs w:val="20"/>
              </w:rPr>
              <w:t>more than $200,000</w:t>
            </w:r>
            <w:r w:rsidR="00AD67B3" w:rsidRPr="005A54CD">
              <w:rPr>
                <w:szCs w:val="20"/>
              </w:rPr>
              <w:t>/QALY</w:t>
            </w:r>
          </w:p>
          <w:p w:rsidR="00AD67B3" w:rsidRPr="005A54CD" w:rsidRDefault="003D4E78" w:rsidP="00912164">
            <w:pPr>
              <w:pStyle w:val="TableText0"/>
              <w:jc w:val="right"/>
              <w:rPr>
                <w:b/>
                <w:iCs/>
                <w:szCs w:val="20"/>
              </w:rPr>
            </w:pPr>
            <w:r>
              <w:rPr>
                <w:iCs/>
                <w:szCs w:val="20"/>
              </w:rPr>
              <w:t>more than $200,000</w:t>
            </w:r>
            <w:r w:rsidR="00AD67B3" w:rsidRPr="005A54CD">
              <w:rPr>
                <w:iCs/>
                <w:szCs w:val="20"/>
              </w:rPr>
              <w:t>/QALY</w:t>
            </w:r>
            <w:r w:rsidR="00DE37BA" w:rsidRPr="005A54CD">
              <w:rPr>
                <w:iCs/>
                <w:szCs w:val="20"/>
                <w:vertAlign w:val="superscript"/>
              </w:rPr>
              <w:t xml:space="preserve"> b</w:t>
            </w:r>
          </w:p>
        </w:tc>
      </w:tr>
      <w:tr w:rsidR="00AD67B3" w:rsidRPr="008154B1" w:rsidTr="005A54CD">
        <w:tc>
          <w:tcPr>
            <w:tcW w:w="1348" w:type="pct"/>
            <w:tcBorders>
              <w:bottom w:val="single" w:sz="4" w:space="0" w:color="auto"/>
            </w:tcBorders>
          </w:tcPr>
          <w:p w:rsidR="00AD67B3" w:rsidRPr="005A54CD" w:rsidRDefault="00AD67B3" w:rsidP="00912164">
            <w:pPr>
              <w:pStyle w:val="TableText0"/>
              <w:ind w:left="165" w:hanging="165"/>
              <w:rPr>
                <w:bCs w:val="0"/>
                <w:szCs w:val="20"/>
              </w:rPr>
            </w:pPr>
            <w:r w:rsidRPr="005A54CD">
              <w:rPr>
                <w:bCs w:val="0"/>
                <w:szCs w:val="20"/>
              </w:rPr>
              <w:t>6) As above, weighted using the mean incremental cost and incremental QALY for the 11 baseline attack frequencies reported by the 11 patients from PBS data (base case)</w:t>
            </w:r>
          </w:p>
        </w:tc>
        <w:tc>
          <w:tcPr>
            <w:tcW w:w="532" w:type="pct"/>
            <w:tcBorders>
              <w:bottom w:val="single" w:sz="4" w:space="0" w:color="auto"/>
              <w:right w:val="single" w:sz="4" w:space="0" w:color="auto"/>
            </w:tcBorders>
            <w:vAlign w:val="center"/>
          </w:tcPr>
          <w:p w:rsidR="00AD67B3" w:rsidRPr="005A54CD" w:rsidRDefault="00AD67B3" w:rsidP="00912164">
            <w:pPr>
              <w:pStyle w:val="TableText0"/>
              <w:jc w:val="right"/>
              <w:rPr>
                <w:bCs w:val="0"/>
                <w:szCs w:val="20"/>
              </w:rPr>
            </w:pPr>
            <w:r w:rsidRPr="005A54CD">
              <w:rPr>
                <w:bCs w:val="0"/>
                <w:szCs w:val="20"/>
              </w:rPr>
              <w:t>$</w:t>
            </w:r>
            <w:r w:rsidR="005E18BF">
              <w:rPr>
                <w:bCs w:val="0"/>
                <w:noProof/>
                <w:color w:val="000000"/>
                <w:szCs w:val="20"/>
                <w:highlight w:val="black"/>
              </w:rPr>
              <w:t>''''''''''''''''''''</w:t>
            </w:r>
          </w:p>
        </w:tc>
        <w:tc>
          <w:tcPr>
            <w:tcW w:w="500" w:type="pct"/>
            <w:tcBorders>
              <w:bottom w:val="single" w:sz="4" w:space="0" w:color="auto"/>
              <w:right w:val="single" w:sz="4" w:space="0" w:color="auto"/>
            </w:tcBorders>
            <w:vAlign w:val="center"/>
          </w:tcPr>
          <w:p w:rsidR="00AD67B3" w:rsidRPr="005A54CD" w:rsidRDefault="00AD67B3" w:rsidP="00912164">
            <w:pPr>
              <w:pStyle w:val="TableText0"/>
              <w:jc w:val="right"/>
              <w:rPr>
                <w:bCs w:val="0"/>
                <w:szCs w:val="20"/>
              </w:rPr>
            </w:pPr>
            <w:r w:rsidRPr="005A54CD">
              <w:rPr>
                <w:bCs w:val="0"/>
                <w:szCs w:val="20"/>
              </w:rPr>
              <w:t>$185,205</w:t>
            </w:r>
          </w:p>
        </w:tc>
        <w:tc>
          <w:tcPr>
            <w:tcW w:w="500" w:type="pct"/>
            <w:tcBorders>
              <w:right w:val="single" w:sz="4" w:space="0" w:color="auto"/>
            </w:tcBorders>
            <w:vAlign w:val="center"/>
          </w:tcPr>
          <w:p w:rsidR="00AD67B3" w:rsidRPr="005A54CD" w:rsidRDefault="00AD67B3" w:rsidP="00912164">
            <w:pPr>
              <w:pStyle w:val="TableText0"/>
              <w:jc w:val="right"/>
              <w:rPr>
                <w:bCs w:val="0"/>
                <w:szCs w:val="20"/>
              </w:rPr>
            </w:pPr>
            <w:r w:rsidRPr="005A54CD">
              <w:rPr>
                <w:bCs w:val="0"/>
                <w:szCs w:val="20"/>
              </w:rPr>
              <w:t>$</w:t>
            </w:r>
            <w:r w:rsidR="005E18BF">
              <w:rPr>
                <w:bCs w:val="0"/>
                <w:noProof/>
                <w:color w:val="000000"/>
                <w:szCs w:val="20"/>
                <w:highlight w:val="black"/>
              </w:rPr>
              <w:t>''''''''''''''''</w:t>
            </w:r>
          </w:p>
        </w:tc>
        <w:tc>
          <w:tcPr>
            <w:tcW w:w="403" w:type="pct"/>
            <w:tcBorders>
              <w:right w:val="single" w:sz="4" w:space="0" w:color="auto"/>
            </w:tcBorders>
            <w:vAlign w:val="center"/>
          </w:tcPr>
          <w:p w:rsidR="00AD67B3" w:rsidRPr="005E18BF" w:rsidRDefault="005E18BF" w:rsidP="00912164">
            <w:pPr>
              <w:pStyle w:val="TableText0"/>
              <w:jc w:val="center"/>
              <w:rPr>
                <w:bCs w:val="0"/>
                <w:szCs w:val="20"/>
                <w:highlight w:val="black"/>
              </w:rPr>
            </w:pPr>
            <w:r>
              <w:rPr>
                <w:bCs w:val="0"/>
                <w:noProof/>
                <w:color w:val="000000"/>
                <w:szCs w:val="20"/>
                <w:highlight w:val="black"/>
              </w:rPr>
              <w:t>''''''''''''''</w:t>
            </w:r>
          </w:p>
        </w:tc>
        <w:tc>
          <w:tcPr>
            <w:tcW w:w="412" w:type="pct"/>
            <w:vAlign w:val="center"/>
          </w:tcPr>
          <w:p w:rsidR="00AD67B3" w:rsidRPr="005E18BF" w:rsidRDefault="005E18BF" w:rsidP="00912164">
            <w:pPr>
              <w:pStyle w:val="TableText0"/>
              <w:jc w:val="center"/>
              <w:rPr>
                <w:bCs w:val="0"/>
                <w:szCs w:val="20"/>
                <w:highlight w:val="black"/>
              </w:rPr>
            </w:pPr>
            <w:r>
              <w:rPr>
                <w:bCs w:val="0"/>
                <w:noProof/>
                <w:color w:val="000000"/>
                <w:szCs w:val="20"/>
                <w:highlight w:val="black"/>
              </w:rPr>
              <w:t>''''''''''''''</w:t>
            </w:r>
          </w:p>
        </w:tc>
        <w:tc>
          <w:tcPr>
            <w:tcW w:w="398" w:type="pct"/>
            <w:tcBorders>
              <w:right w:val="single" w:sz="4" w:space="0" w:color="auto"/>
            </w:tcBorders>
            <w:vAlign w:val="center"/>
          </w:tcPr>
          <w:p w:rsidR="00AD67B3" w:rsidRPr="005E18BF" w:rsidRDefault="005E18BF" w:rsidP="00912164">
            <w:pPr>
              <w:pStyle w:val="TableText0"/>
              <w:jc w:val="center"/>
              <w:rPr>
                <w:bCs w:val="0"/>
                <w:szCs w:val="20"/>
                <w:highlight w:val="black"/>
              </w:rPr>
            </w:pPr>
            <w:r>
              <w:rPr>
                <w:bCs w:val="0"/>
                <w:noProof/>
                <w:color w:val="000000"/>
                <w:szCs w:val="20"/>
                <w:highlight w:val="black"/>
              </w:rPr>
              <w:t>''''''''''''''</w:t>
            </w:r>
          </w:p>
        </w:tc>
        <w:tc>
          <w:tcPr>
            <w:tcW w:w="908" w:type="pct"/>
            <w:tcBorders>
              <w:right w:val="single" w:sz="4" w:space="0" w:color="auto"/>
            </w:tcBorders>
            <w:vAlign w:val="center"/>
          </w:tcPr>
          <w:p w:rsidR="00AD67B3" w:rsidRPr="005A54CD" w:rsidRDefault="003D4E78" w:rsidP="003D4E78">
            <w:pPr>
              <w:pStyle w:val="TableText0"/>
              <w:jc w:val="right"/>
              <w:rPr>
                <w:bCs w:val="0"/>
                <w:szCs w:val="20"/>
              </w:rPr>
            </w:pPr>
            <w:r>
              <w:rPr>
                <w:bCs w:val="0"/>
                <w:szCs w:val="20"/>
              </w:rPr>
              <w:t>$45,000 - $75,000</w:t>
            </w:r>
          </w:p>
        </w:tc>
      </w:tr>
    </w:tbl>
    <w:p w:rsidR="00AD67B3" w:rsidRPr="008154B1" w:rsidRDefault="00AD67B3" w:rsidP="00912164">
      <w:pPr>
        <w:pStyle w:val="TableFigureFooter"/>
      </w:pPr>
      <w:r w:rsidRPr="008154B1">
        <w:t>Source: Table 65, p109 of the resubmission; Excel workbook ‘LANA_resubmission_HAE_Sec3_CUA</w:t>
      </w:r>
    </w:p>
    <w:p w:rsidR="00AD67B3" w:rsidRPr="008154B1" w:rsidRDefault="00AD67B3" w:rsidP="00912164">
      <w:pPr>
        <w:pStyle w:val="TableFigureFooter"/>
      </w:pPr>
      <w:r w:rsidRPr="008154B1">
        <w:t>HAE = hereditary angioedema; ICER = incremental cost-effectiveness ratio; Inc = increment; LANA = lanadelumab; QALY = quality-adjusted life-year; SOC = standard of care.</w:t>
      </w:r>
    </w:p>
    <w:p w:rsidR="00AD67B3" w:rsidRPr="008154B1" w:rsidRDefault="00AD67B3" w:rsidP="00912164">
      <w:pPr>
        <w:pStyle w:val="TableFigureFooter"/>
        <w:ind w:left="142" w:hanging="142"/>
      </w:pPr>
      <w:r w:rsidRPr="008154B1">
        <w:rPr>
          <w:iCs/>
          <w:snapToGrid/>
          <w:szCs w:val="18"/>
          <w:vertAlign w:val="superscript"/>
        </w:rPr>
        <w:t xml:space="preserve">a </w:t>
      </w:r>
      <w:r w:rsidRPr="008154B1">
        <w:rPr>
          <w:iCs/>
        </w:rPr>
        <w:t xml:space="preserve">For the purposes of the evaluation, this was performed in 2 steps: firstly, transforming attacks to QALYs (26 doses of lanadelumab) and, secondly, applying the weighted mean dose of </w:t>
      </w:r>
      <w:r w:rsidR="005E18BF">
        <w:rPr>
          <w:iCs/>
          <w:noProof/>
          <w:color w:val="000000"/>
          <w:highlight w:val="black"/>
        </w:rPr>
        <w:t>''''''''''''</w:t>
      </w:r>
      <w:r w:rsidRPr="008154B1">
        <w:rPr>
          <w:iCs/>
        </w:rPr>
        <w:t xml:space="preserve"> doses per patient</w:t>
      </w:r>
      <w:r w:rsidR="00DE37BA" w:rsidRPr="008154B1">
        <w:rPr>
          <w:iCs/>
        </w:rPr>
        <w:t>.</w:t>
      </w:r>
    </w:p>
    <w:p w:rsidR="00AD67B3" w:rsidRPr="008154B1" w:rsidRDefault="00AD67B3" w:rsidP="00912164">
      <w:pPr>
        <w:pStyle w:val="TableFigureFooter"/>
        <w:rPr>
          <w:iCs/>
        </w:rPr>
      </w:pPr>
      <w:r w:rsidRPr="008154B1">
        <w:rPr>
          <w:vertAlign w:val="superscript"/>
        </w:rPr>
        <w:t>b</w:t>
      </w:r>
      <w:r w:rsidRPr="008154B1">
        <w:t xml:space="preserve"> </w:t>
      </w:r>
      <w:r w:rsidRPr="008154B1">
        <w:rPr>
          <w:iCs/>
        </w:rPr>
        <w:t>In Section 3.8.1, p107 and the Section 3 Excel workbook the cost/patient/ year for lanadelumab (</w:t>
      </w:r>
      <w:r w:rsidR="005E18BF">
        <w:rPr>
          <w:iCs/>
          <w:noProof/>
          <w:color w:val="000000"/>
          <w:highlight w:val="black"/>
        </w:rPr>
        <w:t>'''''''''''''''</w:t>
      </w:r>
      <w:r w:rsidRPr="008154B1">
        <w:rPr>
          <w:iCs/>
        </w:rPr>
        <w:t xml:space="preserve"> doses) was reported as $</w:t>
      </w:r>
      <w:r w:rsidR="005E18BF">
        <w:rPr>
          <w:iCs/>
          <w:noProof/>
          <w:color w:val="000000"/>
          <w:highlight w:val="black"/>
        </w:rPr>
        <w:t>''''''''''''''''''''</w:t>
      </w:r>
      <w:r w:rsidRPr="008154B1">
        <w:rPr>
          <w:iCs/>
        </w:rPr>
        <w:t xml:space="preserve">. </w:t>
      </w:r>
    </w:p>
    <w:p w:rsidR="00AD67B3" w:rsidRPr="008154B1" w:rsidRDefault="00AD67B3" w:rsidP="00912164">
      <w:pPr>
        <w:pStyle w:val="3-BodyText"/>
      </w:pPr>
      <w:r w:rsidRPr="008154B1">
        <w:t xml:space="preserve">The following steps had </w:t>
      </w:r>
      <w:r w:rsidR="00AD3609" w:rsidRPr="008154B1">
        <w:t xml:space="preserve">a </w:t>
      </w:r>
      <w:r w:rsidRPr="008154B1">
        <w:t>considerable impact on the model results:</w:t>
      </w:r>
    </w:p>
    <w:p w:rsidR="00AD67B3" w:rsidRPr="008154B1" w:rsidRDefault="00AD67B3" w:rsidP="00950926">
      <w:pPr>
        <w:pStyle w:val="ListParagraph"/>
        <w:numPr>
          <w:ilvl w:val="0"/>
          <w:numId w:val="7"/>
        </w:numPr>
        <w:ind w:left="1080"/>
      </w:pPr>
      <w:r w:rsidRPr="008154B1">
        <w:t>The transformation of treated attacks avoided to QALYs gained;</w:t>
      </w:r>
    </w:p>
    <w:p w:rsidR="00AD67B3" w:rsidRPr="008154B1" w:rsidRDefault="00AD67B3" w:rsidP="00950926">
      <w:pPr>
        <w:pStyle w:val="ListParagraph"/>
        <w:numPr>
          <w:ilvl w:val="0"/>
          <w:numId w:val="7"/>
        </w:numPr>
        <w:ind w:left="1080"/>
      </w:pPr>
      <w:r w:rsidRPr="008154B1">
        <w:t xml:space="preserve">The assumption that only </w:t>
      </w:r>
      <w:r w:rsidR="005E18BF">
        <w:rPr>
          <w:noProof/>
          <w:color w:val="000000"/>
          <w:highlight w:val="black"/>
        </w:rPr>
        <w:t>''''''''</w:t>
      </w:r>
      <w:r w:rsidRPr="008154B1">
        <w:t xml:space="preserve">% of patients would require a dose of lanadelumab 300 mg Q2W (26 doses per year), with the remaining </w:t>
      </w:r>
      <w:r w:rsidR="005E18BF">
        <w:rPr>
          <w:noProof/>
          <w:color w:val="000000"/>
          <w:highlight w:val="black"/>
        </w:rPr>
        <w:t>'''''''''</w:t>
      </w:r>
      <w:r w:rsidRPr="008154B1">
        <w:t>% of patients receiving lanadelumab 300 mg Q4W (13 doses per year);</w:t>
      </w:r>
    </w:p>
    <w:p w:rsidR="00AD67B3" w:rsidRPr="008154B1" w:rsidRDefault="00AD67B3" w:rsidP="00950926">
      <w:pPr>
        <w:pStyle w:val="ListParagraph"/>
        <w:numPr>
          <w:ilvl w:val="0"/>
          <w:numId w:val="7"/>
        </w:numPr>
        <w:ind w:left="1080"/>
      </w:pPr>
      <w:r w:rsidRPr="008154B1">
        <w:t>The inclusion of the costs associated with treatment of acute HAE attacks; and</w:t>
      </w:r>
    </w:p>
    <w:p w:rsidR="00AD67B3" w:rsidRPr="008154B1" w:rsidRDefault="00AD67B3" w:rsidP="00950926">
      <w:pPr>
        <w:pStyle w:val="ListParagraph"/>
        <w:numPr>
          <w:ilvl w:val="0"/>
          <w:numId w:val="7"/>
        </w:numPr>
        <w:ind w:left="1080"/>
      </w:pPr>
      <w:r w:rsidRPr="008154B1">
        <w:t xml:space="preserve">The application of the weighted frequency of baseline attacks based on the PBS data for icatibant (steps 3-5 assumed 24 attacks per year; distribution derived </w:t>
      </w:r>
      <w:r w:rsidR="00AC5332" w:rsidRPr="008154B1">
        <w:t xml:space="preserve">using data provided by the </w:t>
      </w:r>
      <w:r w:rsidRPr="008154B1">
        <w:t>DUSC Secretariat: mean 55 attacks per year).</w:t>
      </w:r>
    </w:p>
    <w:p w:rsidR="00AD67B3" w:rsidRPr="008154B1" w:rsidRDefault="00AD67B3" w:rsidP="00912164">
      <w:pPr>
        <w:pStyle w:val="3-BodyText"/>
      </w:pPr>
      <w:r w:rsidRPr="008154B1">
        <w:lastRenderedPageBreak/>
        <w:t xml:space="preserve">The results of key sensitivity analyses presented in the resubmission and performed during the evaluation </w:t>
      </w:r>
      <w:r w:rsidR="00D46A0F" w:rsidRPr="008154B1">
        <w:t xml:space="preserve">and by ESC </w:t>
      </w:r>
      <w:r w:rsidRPr="008154B1">
        <w:t>are summarised below.</w:t>
      </w:r>
      <w:r w:rsidR="00120EEF" w:rsidRPr="008154B1">
        <w:t xml:space="preserve"> </w:t>
      </w:r>
    </w:p>
    <w:p w:rsidR="00AA102E" w:rsidRPr="008154B1" w:rsidRDefault="00AA102E" w:rsidP="00912164">
      <w:pPr>
        <w:pStyle w:val="TableFigureHeading"/>
        <w:rPr>
          <w:rStyle w:val="CommentReference"/>
          <w:rFonts w:ascii="Calibri" w:hAnsi="Calibri"/>
          <w:b/>
          <w:sz w:val="18"/>
          <w:szCs w:val="18"/>
        </w:rPr>
      </w:pPr>
      <w:r w:rsidRPr="008154B1">
        <w:t>Table 1</w:t>
      </w:r>
      <w:r w:rsidR="00AD3609" w:rsidRPr="008154B1">
        <w:t>3</w:t>
      </w:r>
      <w:r w:rsidRPr="008154B1">
        <w:t>:</w:t>
      </w:r>
      <w:r w:rsidRPr="008154B1">
        <w:rPr>
          <w:rStyle w:val="CommentReference"/>
          <w:b/>
          <w:szCs w:val="24"/>
        </w:rPr>
        <w:t xml:space="preserve"> Results of key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
        <w:gridCol w:w="5024"/>
        <w:gridCol w:w="1234"/>
        <w:gridCol w:w="1234"/>
        <w:gridCol w:w="1154"/>
        <w:gridCol w:w="9"/>
      </w:tblGrid>
      <w:tr w:rsidR="003B4A86" w:rsidRPr="008154B1" w:rsidTr="005A54CD">
        <w:trPr>
          <w:tblHeader/>
        </w:trPr>
        <w:tc>
          <w:tcPr>
            <w:tcW w:w="2987" w:type="pct"/>
            <w:gridSpan w:val="2"/>
          </w:tcPr>
          <w:p w:rsidR="003B4A86" w:rsidRPr="005A54CD" w:rsidRDefault="003B4A86" w:rsidP="00912164">
            <w:pPr>
              <w:pStyle w:val="In-tableHeading"/>
              <w:rPr>
                <w:szCs w:val="20"/>
                <w:lang w:val="en-AU"/>
              </w:rPr>
            </w:pPr>
            <w:r w:rsidRPr="005A54CD">
              <w:rPr>
                <w:szCs w:val="20"/>
                <w:lang w:val="en-AU"/>
              </w:rPr>
              <w:t>Analyses</w:t>
            </w:r>
          </w:p>
        </w:tc>
        <w:tc>
          <w:tcPr>
            <w:tcW w:w="684" w:type="pct"/>
            <w:vAlign w:val="center"/>
          </w:tcPr>
          <w:p w:rsidR="003B4A86" w:rsidRPr="005A54CD" w:rsidRDefault="003B4A86" w:rsidP="00912164">
            <w:pPr>
              <w:pStyle w:val="In-tableHeading"/>
              <w:jc w:val="center"/>
              <w:rPr>
                <w:szCs w:val="20"/>
                <w:lang w:val="en-AU"/>
              </w:rPr>
            </w:pPr>
            <w:r w:rsidRPr="005A54CD">
              <w:rPr>
                <w:szCs w:val="20"/>
                <w:lang w:val="en-AU"/>
              </w:rPr>
              <w:t>Incremental</w:t>
            </w:r>
            <w:r w:rsidRPr="005A54CD">
              <w:rPr>
                <w:szCs w:val="20"/>
                <w:lang w:val="en-AU"/>
              </w:rPr>
              <w:br/>
              <w:t>cost</w:t>
            </w:r>
          </w:p>
        </w:tc>
        <w:tc>
          <w:tcPr>
            <w:tcW w:w="684" w:type="pct"/>
            <w:vAlign w:val="center"/>
          </w:tcPr>
          <w:p w:rsidR="003B4A86" w:rsidRPr="005A54CD" w:rsidRDefault="003B4A86" w:rsidP="00912164">
            <w:pPr>
              <w:pStyle w:val="In-tableHeading"/>
              <w:jc w:val="center"/>
              <w:rPr>
                <w:szCs w:val="20"/>
                <w:lang w:val="en-AU"/>
              </w:rPr>
            </w:pPr>
            <w:r w:rsidRPr="005A54CD">
              <w:rPr>
                <w:szCs w:val="20"/>
                <w:lang w:val="en-AU"/>
              </w:rPr>
              <w:t xml:space="preserve">Incremental </w:t>
            </w:r>
            <w:r w:rsidRPr="005A54CD">
              <w:rPr>
                <w:szCs w:val="20"/>
                <w:lang w:val="en-AU"/>
              </w:rPr>
              <w:br/>
              <w:t>QALY</w:t>
            </w:r>
          </w:p>
        </w:tc>
        <w:tc>
          <w:tcPr>
            <w:tcW w:w="645" w:type="pct"/>
            <w:gridSpan w:val="2"/>
            <w:vAlign w:val="center"/>
          </w:tcPr>
          <w:p w:rsidR="003B4A86" w:rsidRPr="005A54CD" w:rsidRDefault="003B4A86" w:rsidP="00912164">
            <w:pPr>
              <w:pStyle w:val="In-tableHeading"/>
              <w:jc w:val="center"/>
              <w:rPr>
                <w:szCs w:val="20"/>
                <w:lang w:val="en-AU"/>
              </w:rPr>
            </w:pPr>
            <w:r w:rsidRPr="005A54CD">
              <w:rPr>
                <w:szCs w:val="20"/>
                <w:lang w:val="en-AU"/>
              </w:rPr>
              <w:t>ICER</w:t>
            </w:r>
          </w:p>
          <w:p w:rsidR="003B4A86" w:rsidRPr="005A54CD" w:rsidRDefault="003B4A86" w:rsidP="00912164">
            <w:pPr>
              <w:pStyle w:val="In-tableHeading"/>
              <w:jc w:val="center"/>
              <w:rPr>
                <w:szCs w:val="20"/>
                <w:lang w:val="en-AU"/>
              </w:rPr>
            </w:pPr>
            <w:r w:rsidRPr="005A54CD">
              <w:rPr>
                <w:szCs w:val="20"/>
                <w:lang w:val="en-AU"/>
              </w:rPr>
              <w:t>$/QALY gained</w:t>
            </w:r>
          </w:p>
        </w:tc>
      </w:tr>
      <w:tr w:rsidR="003B4A86" w:rsidRPr="008154B1" w:rsidTr="005A54CD">
        <w:tc>
          <w:tcPr>
            <w:tcW w:w="2987" w:type="pct"/>
            <w:gridSpan w:val="2"/>
            <w:tcBorders>
              <w:bottom w:val="single" w:sz="4" w:space="0" w:color="auto"/>
            </w:tcBorders>
          </w:tcPr>
          <w:p w:rsidR="003B4A86" w:rsidRPr="005A54CD" w:rsidRDefault="003B4A86" w:rsidP="00912164">
            <w:pPr>
              <w:pStyle w:val="TableText0"/>
              <w:rPr>
                <w:b/>
                <w:szCs w:val="20"/>
              </w:rPr>
            </w:pPr>
            <w:r w:rsidRPr="005A54CD">
              <w:rPr>
                <w:b/>
                <w:szCs w:val="20"/>
              </w:rPr>
              <w:t>Base case</w:t>
            </w:r>
          </w:p>
        </w:tc>
        <w:tc>
          <w:tcPr>
            <w:tcW w:w="684" w:type="pct"/>
            <w:tcBorders>
              <w:bottom w:val="single" w:sz="4" w:space="0" w:color="auto"/>
            </w:tcBorders>
          </w:tcPr>
          <w:p w:rsidR="003B4A86" w:rsidRPr="005A54CD" w:rsidRDefault="003B4A86" w:rsidP="00912164">
            <w:pPr>
              <w:pStyle w:val="TableText0"/>
              <w:jc w:val="center"/>
              <w:rPr>
                <w:b/>
                <w:szCs w:val="20"/>
              </w:rPr>
            </w:pPr>
            <w:r w:rsidRPr="005A54CD">
              <w:rPr>
                <w:b/>
                <w:szCs w:val="20"/>
              </w:rPr>
              <w:t>$</w:t>
            </w:r>
            <w:r w:rsidR="005E18BF">
              <w:rPr>
                <w:b/>
                <w:noProof/>
                <w:color w:val="000000"/>
                <w:szCs w:val="20"/>
                <w:highlight w:val="black"/>
              </w:rPr>
              <w:t>''''''''''''</w:t>
            </w:r>
          </w:p>
        </w:tc>
        <w:tc>
          <w:tcPr>
            <w:tcW w:w="684" w:type="pct"/>
            <w:tcBorders>
              <w:bottom w:val="single" w:sz="4" w:space="0" w:color="auto"/>
            </w:tcBorders>
          </w:tcPr>
          <w:p w:rsidR="003B4A86" w:rsidRPr="005E18BF" w:rsidRDefault="005E18BF" w:rsidP="00912164">
            <w:pPr>
              <w:pStyle w:val="TableText0"/>
              <w:jc w:val="center"/>
              <w:rPr>
                <w:b/>
                <w:szCs w:val="20"/>
                <w:highlight w:val="black"/>
              </w:rPr>
            </w:pPr>
            <w:r>
              <w:rPr>
                <w:b/>
                <w:noProof/>
                <w:color w:val="000000"/>
                <w:szCs w:val="20"/>
                <w:highlight w:val="black"/>
              </w:rPr>
              <w:t>'''''''''''</w:t>
            </w:r>
          </w:p>
        </w:tc>
        <w:tc>
          <w:tcPr>
            <w:tcW w:w="645" w:type="pct"/>
            <w:gridSpan w:val="2"/>
            <w:tcBorders>
              <w:bottom w:val="single" w:sz="4" w:space="0" w:color="auto"/>
            </w:tcBorders>
          </w:tcPr>
          <w:p w:rsidR="003B4A86" w:rsidRPr="005A54CD" w:rsidRDefault="003B4A86" w:rsidP="00912164">
            <w:pPr>
              <w:pStyle w:val="TableText0"/>
              <w:jc w:val="center"/>
              <w:rPr>
                <w:b/>
                <w:szCs w:val="20"/>
              </w:rPr>
            </w:pPr>
            <w:r w:rsidRPr="005A54CD">
              <w:rPr>
                <w:b/>
                <w:szCs w:val="20"/>
              </w:rPr>
              <w:t>$</w:t>
            </w:r>
            <w:r w:rsidR="005E18BF">
              <w:rPr>
                <w:b/>
                <w:noProof/>
                <w:color w:val="000000"/>
                <w:szCs w:val="20"/>
                <w:highlight w:val="black"/>
              </w:rPr>
              <w:t>''''''''''''''</w:t>
            </w:r>
          </w:p>
        </w:tc>
      </w:tr>
      <w:tr w:rsidR="003B4A86" w:rsidRPr="008154B1" w:rsidTr="005A54CD">
        <w:tc>
          <w:tcPr>
            <w:tcW w:w="2987" w:type="pct"/>
            <w:gridSpan w:val="2"/>
            <w:tcBorders>
              <w:bottom w:val="single" w:sz="4" w:space="0" w:color="auto"/>
              <w:right w:val="nil"/>
            </w:tcBorders>
          </w:tcPr>
          <w:p w:rsidR="003B4A86" w:rsidRPr="005A54CD" w:rsidRDefault="003B4A86" w:rsidP="00912164">
            <w:pPr>
              <w:pStyle w:val="TableText0"/>
              <w:rPr>
                <w:b/>
                <w:szCs w:val="20"/>
              </w:rPr>
            </w:pPr>
            <w:r w:rsidRPr="005A54CD">
              <w:rPr>
                <w:b/>
                <w:szCs w:val="20"/>
              </w:rPr>
              <w:t>Univariate sensitivity analyses</w:t>
            </w:r>
          </w:p>
        </w:tc>
        <w:tc>
          <w:tcPr>
            <w:tcW w:w="684" w:type="pct"/>
            <w:tcBorders>
              <w:left w:val="nil"/>
              <w:bottom w:val="single" w:sz="4" w:space="0" w:color="auto"/>
              <w:right w:val="nil"/>
            </w:tcBorders>
          </w:tcPr>
          <w:p w:rsidR="003B4A86" w:rsidRPr="005A54CD" w:rsidRDefault="003B4A86" w:rsidP="00912164">
            <w:pPr>
              <w:pStyle w:val="TableText0"/>
              <w:jc w:val="center"/>
              <w:rPr>
                <w:b/>
                <w:szCs w:val="20"/>
              </w:rPr>
            </w:pPr>
          </w:p>
        </w:tc>
        <w:tc>
          <w:tcPr>
            <w:tcW w:w="684" w:type="pct"/>
            <w:tcBorders>
              <w:left w:val="nil"/>
              <w:bottom w:val="single" w:sz="4" w:space="0" w:color="auto"/>
              <w:right w:val="nil"/>
            </w:tcBorders>
          </w:tcPr>
          <w:p w:rsidR="003B4A86" w:rsidRPr="005A54CD" w:rsidRDefault="003B4A86" w:rsidP="00912164">
            <w:pPr>
              <w:pStyle w:val="TableText0"/>
              <w:jc w:val="center"/>
              <w:rPr>
                <w:b/>
                <w:szCs w:val="20"/>
              </w:rPr>
            </w:pPr>
          </w:p>
        </w:tc>
        <w:tc>
          <w:tcPr>
            <w:tcW w:w="645" w:type="pct"/>
            <w:gridSpan w:val="2"/>
            <w:tcBorders>
              <w:left w:val="nil"/>
              <w:bottom w:val="single" w:sz="4" w:space="0" w:color="auto"/>
            </w:tcBorders>
          </w:tcPr>
          <w:p w:rsidR="003B4A86" w:rsidRPr="005A54CD" w:rsidRDefault="003B4A86" w:rsidP="00912164">
            <w:pPr>
              <w:pStyle w:val="TableText0"/>
              <w:jc w:val="center"/>
              <w:rPr>
                <w:b/>
                <w:szCs w:val="20"/>
              </w:rPr>
            </w:pPr>
          </w:p>
        </w:tc>
      </w:tr>
      <w:tr w:rsidR="00EB76DC" w:rsidRPr="008154B1" w:rsidTr="005A54CD">
        <w:tc>
          <w:tcPr>
            <w:tcW w:w="201" w:type="pct"/>
            <w:tcBorders>
              <w:top w:val="nil"/>
            </w:tcBorders>
          </w:tcPr>
          <w:p w:rsidR="00EB76DC" w:rsidRPr="005A54CD" w:rsidRDefault="00EB76DC" w:rsidP="00950926">
            <w:pPr>
              <w:pStyle w:val="TableText0"/>
              <w:numPr>
                <w:ilvl w:val="0"/>
                <w:numId w:val="13"/>
              </w:numPr>
              <w:ind w:left="168" w:hanging="142"/>
              <w:rPr>
                <w:b/>
                <w:iCs/>
                <w:szCs w:val="20"/>
              </w:rPr>
            </w:pPr>
          </w:p>
        </w:tc>
        <w:tc>
          <w:tcPr>
            <w:tcW w:w="2786" w:type="pct"/>
            <w:tcBorders>
              <w:top w:val="nil"/>
            </w:tcBorders>
          </w:tcPr>
          <w:p w:rsidR="00EB76DC" w:rsidRPr="005A54CD" w:rsidRDefault="00EB76DC" w:rsidP="00912164">
            <w:pPr>
              <w:pStyle w:val="TableText0"/>
              <w:rPr>
                <w:iCs/>
                <w:szCs w:val="20"/>
              </w:rPr>
            </w:pPr>
            <w:r w:rsidRPr="005A54CD">
              <w:rPr>
                <w:iCs/>
                <w:szCs w:val="20"/>
              </w:rPr>
              <w:t>Excluding the patient with 136 attacks per year</w:t>
            </w:r>
            <w:r w:rsidR="003B4A86" w:rsidRPr="005A54CD">
              <w:rPr>
                <w:iCs/>
                <w:szCs w:val="20"/>
                <w:vertAlign w:val="superscript"/>
              </w:rPr>
              <w:t xml:space="preserve"> a</w:t>
            </w:r>
          </w:p>
        </w:tc>
        <w:tc>
          <w:tcPr>
            <w:tcW w:w="684" w:type="pct"/>
            <w:tcBorders>
              <w:top w:val="nil"/>
            </w:tcBorders>
          </w:tcPr>
          <w:p w:rsidR="00EB76DC" w:rsidRPr="005A54CD" w:rsidRDefault="00EB76DC" w:rsidP="00912164">
            <w:pPr>
              <w:pStyle w:val="TableText0"/>
              <w:jc w:val="center"/>
              <w:rPr>
                <w:iCs/>
                <w:szCs w:val="20"/>
              </w:rPr>
            </w:pPr>
            <w:r w:rsidRPr="005A54CD">
              <w:rPr>
                <w:iCs/>
                <w:szCs w:val="20"/>
              </w:rPr>
              <w:t>$</w:t>
            </w:r>
            <w:r w:rsidR="005E18BF">
              <w:rPr>
                <w:iCs/>
                <w:noProof/>
                <w:color w:val="000000"/>
                <w:szCs w:val="20"/>
                <w:highlight w:val="black"/>
              </w:rPr>
              <w:t>''''''''''''''''</w:t>
            </w:r>
          </w:p>
        </w:tc>
        <w:tc>
          <w:tcPr>
            <w:tcW w:w="684" w:type="pct"/>
            <w:tcBorders>
              <w:top w:val="nil"/>
            </w:tcBorders>
          </w:tcPr>
          <w:p w:rsidR="00EB76DC" w:rsidRPr="005E18BF" w:rsidRDefault="005E18BF" w:rsidP="00912164">
            <w:pPr>
              <w:pStyle w:val="TableText0"/>
              <w:jc w:val="center"/>
              <w:rPr>
                <w:iCs/>
                <w:szCs w:val="20"/>
                <w:highlight w:val="black"/>
              </w:rPr>
            </w:pPr>
            <w:r>
              <w:rPr>
                <w:iCs/>
                <w:noProof/>
                <w:color w:val="000000"/>
                <w:szCs w:val="20"/>
                <w:highlight w:val="black"/>
              </w:rPr>
              <w:t>'''''''''''''''''</w:t>
            </w:r>
          </w:p>
        </w:tc>
        <w:tc>
          <w:tcPr>
            <w:tcW w:w="645" w:type="pct"/>
            <w:gridSpan w:val="2"/>
            <w:tcBorders>
              <w:top w:val="nil"/>
            </w:tcBorders>
          </w:tcPr>
          <w:p w:rsidR="00EB76DC" w:rsidRPr="005A54CD" w:rsidRDefault="00EB76DC" w:rsidP="00912164">
            <w:pPr>
              <w:pStyle w:val="TableText0"/>
              <w:jc w:val="center"/>
              <w:rPr>
                <w:iCs/>
                <w:szCs w:val="20"/>
              </w:rPr>
            </w:pPr>
            <w:r w:rsidRPr="005A54CD">
              <w:rPr>
                <w:iCs/>
                <w:szCs w:val="20"/>
              </w:rPr>
              <w:t>$</w:t>
            </w:r>
            <w:r w:rsidR="005E18BF">
              <w:rPr>
                <w:iCs/>
                <w:noProof/>
                <w:color w:val="000000"/>
                <w:szCs w:val="20"/>
                <w:highlight w:val="black"/>
              </w:rPr>
              <w:t>''''''''''''''''''</w:t>
            </w:r>
          </w:p>
        </w:tc>
      </w:tr>
      <w:tr w:rsidR="00EB76DC" w:rsidRPr="008154B1" w:rsidTr="005A54CD">
        <w:tc>
          <w:tcPr>
            <w:tcW w:w="201" w:type="pct"/>
            <w:tcBorders>
              <w:bottom w:val="single" w:sz="4" w:space="0" w:color="auto"/>
            </w:tcBorders>
          </w:tcPr>
          <w:p w:rsidR="00EB76DC" w:rsidRPr="005A54CD" w:rsidRDefault="00EB76DC" w:rsidP="00950926">
            <w:pPr>
              <w:pStyle w:val="TableText0"/>
              <w:numPr>
                <w:ilvl w:val="0"/>
                <w:numId w:val="13"/>
              </w:numPr>
              <w:ind w:left="168" w:hanging="142"/>
              <w:rPr>
                <w:b/>
                <w:iCs/>
                <w:szCs w:val="20"/>
              </w:rPr>
            </w:pPr>
          </w:p>
        </w:tc>
        <w:tc>
          <w:tcPr>
            <w:tcW w:w="4799" w:type="pct"/>
            <w:gridSpan w:val="5"/>
            <w:tcBorders>
              <w:bottom w:val="single" w:sz="4" w:space="0" w:color="auto"/>
            </w:tcBorders>
          </w:tcPr>
          <w:p w:rsidR="00EB76DC" w:rsidRPr="005A54CD" w:rsidRDefault="00EB76DC" w:rsidP="00912164">
            <w:pPr>
              <w:pStyle w:val="TableText0"/>
              <w:rPr>
                <w:iCs/>
                <w:szCs w:val="20"/>
              </w:rPr>
            </w:pPr>
            <w:r w:rsidRPr="005A54CD">
              <w:rPr>
                <w:iCs/>
                <w:szCs w:val="20"/>
              </w:rPr>
              <w:t xml:space="preserve">Cost of lanadelumab (Base case </w:t>
            </w:r>
            <w:r w:rsidR="005E18BF">
              <w:rPr>
                <w:iCs/>
                <w:noProof/>
                <w:color w:val="000000"/>
                <w:szCs w:val="20"/>
                <w:highlight w:val="black"/>
              </w:rPr>
              <w:t>''''''</w:t>
            </w:r>
            <w:r w:rsidRPr="005A54CD">
              <w:rPr>
                <w:iCs/>
                <w:szCs w:val="20"/>
              </w:rPr>
              <w:t xml:space="preserve">% Q2W, </w:t>
            </w:r>
            <w:r w:rsidR="005E18BF">
              <w:rPr>
                <w:iCs/>
                <w:noProof/>
                <w:color w:val="000000"/>
                <w:szCs w:val="20"/>
                <w:highlight w:val="black"/>
              </w:rPr>
              <w:t>''''''</w:t>
            </w:r>
            <w:r w:rsidRPr="005A54CD">
              <w:rPr>
                <w:iCs/>
                <w:szCs w:val="20"/>
              </w:rPr>
              <w:t xml:space="preserve">% Q4W; mean </w:t>
            </w:r>
            <w:r w:rsidR="005E18BF">
              <w:rPr>
                <w:iCs/>
                <w:noProof/>
                <w:color w:val="000000"/>
                <w:szCs w:val="20"/>
                <w:highlight w:val="black"/>
              </w:rPr>
              <w:t>''''''</w:t>
            </w:r>
            <w:r w:rsidRPr="005A54CD">
              <w:rPr>
                <w:iCs/>
                <w:szCs w:val="20"/>
              </w:rPr>
              <w:t xml:space="preserve"> doses/patient/year)</w:t>
            </w:r>
          </w:p>
        </w:tc>
      </w:tr>
      <w:tr w:rsidR="00EB76DC" w:rsidRPr="008154B1" w:rsidTr="005A54CD">
        <w:tc>
          <w:tcPr>
            <w:tcW w:w="201" w:type="pct"/>
            <w:tcBorders>
              <w:bottom w:val="single" w:sz="4" w:space="0" w:color="auto"/>
            </w:tcBorders>
          </w:tcPr>
          <w:p w:rsidR="00EB76DC" w:rsidRPr="005A54CD" w:rsidRDefault="00EB76DC" w:rsidP="00912164">
            <w:pPr>
              <w:pStyle w:val="TableText0"/>
              <w:rPr>
                <w:b/>
                <w:iCs/>
                <w:szCs w:val="20"/>
              </w:rPr>
            </w:pPr>
          </w:p>
        </w:tc>
        <w:tc>
          <w:tcPr>
            <w:tcW w:w="2786" w:type="pct"/>
            <w:tcBorders>
              <w:bottom w:val="single" w:sz="4" w:space="0" w:color="auto"/>
            </w:tcBorders>
          </w:tcPr>
          <w:p w:rsidR="00EB76DC" w:rsidRPr="005A54CD" w:rsidRDefault="00EB76DC" w:rsidP="00950926">
            <w:pPr>
              <w:pStyle w:val="TableText0"/>
              <w:numPr>
                <w:ilvl w:val="0"/>
                <w:numId w:val="14"/>
              </w:numPr>
              <w:ind w:left="461" w:hanging="293"/>
              <w:rPr>
                <w:iCs/>
                <w:szCs w:val="20"/>
              </w:rPr>
            </w:pPr>
            <w:r w:rsidRPr="005A54CD">
              <w:rPr>
                <w:iCs/>
                <w:szCs w:val="20"/>
              </w:rPr>
              <w:t>100% Q2W (26 doses/year)</w:t>
            </w:r>
          </w:p>
          <w:p w:rsidR="00EB76DC" w:rsidRPr="005A54CD" w:rsidRDefault="00EB76DC" w:rsidP="00950926">
            <w:pPr>
              <w:pStyle w:val="TableText0"/>
              <w:numPr>
                <w:ilvl w:val="0"/>
                <w:numId w:val="14"/>
              </w:numPr>
              <w:ind w:left="461" w:hanging="293"/>
              <w:rPr>
                <w:iCs/>
                <w:szCs w:val="20"/>
              </w:rPr>
            </w:pPr>
            <w:r w:rsidRPr="005A54CD">
              <w:rPr>
                <w:iCs/>
                <w:szCs w:val="20"/>
              </w:rPr>
              <w:t>50% Q2W, 50% Q4W (mean 19.5 doses/year)</w:t>
            </w:r>
          </w:p>
          <w:p w:rsidR="00EB76DC" w:rsidRPr="005A54CD" w:rsidRDefault="00EB76DC" w:rsidP="00950926">
            <w:pPr>
              <w:pStyle w:val="TableText0"/>
              <w:numPr>
                <w:ilvl w:val="0"/>
                <w:numId w:val="14"/>
              </w:numPr>
              <w:ind w:left="461" w:hanging="293"/>
              <w:rPr>
                <w:iCs/>
                <w:szCs w:val="20"/>
              </w:rPr>
            </w:pPr>
            <w:r w:rsidRPr="005A54CD">
              <w:rPr>
                <w:iCs/>
                <w:szCs w:val="20"/>
              </w:rPr>
              <w:t>100% Q4W (13 doses/year)</w:t>
            </w:r>
          </w:p>
        </w:tc>
        <w:tc>
          <w:tcPr>
            <w:tcW w:w="684" w:type="pct"/>
            <w:tcBorders>
              <w:bottom w:val="single" w:sz="4" w:space="0" w:color="auto"/>
            </w:tcBorders>
          </w:tcPr>
          <w:p w:rsidR="00EB76DC" w:rsidRPr="005A54CD" w:rsidRDefault="00EB76DC" w:rsidP="00912164">
            <w:pPr>
              <w:pStyle w:val="TableText0"/>
              <w:spacing w:after="20"/>
              <w:jc w:val="center"/>
              <w:rPr>
                <w:iCs/>
                <w:szCs w:val="20"/>
              </w:rPr>
            </w:pPr>
            <w:r w:rsidRPr="005A54CD">
              <w:rPr>
                <w:iCs/>
                <w:szCs w:val="20"/>
              </w:rPr>
              <w:t>$</w:t>
            </w:r>
            <w:r w:rsidR="005E18BF">
              <w:rPr>
                <w:iCs/>
                <w:noProof/>
                <w:color w:val="000000"/>
                <w:szCs w:val="20"/>
                <w:highlight w:val="black"/>
              </w:rPr>
              <w:t>''''''''''''''''''</w:t>
            </w:r>
          </w:p>
          <w:p w:rsidR="00EB76DC" w:rsidRPr="005A54CD" w:rsidRDefault="00EB76DC" w:rsidP="00912164">
            <w:pPr>
              <w:pStyle w:val="TableText0"/>
              <w:spacing w:after="20"/>
              <w:jc w:val="center"/>
              <w:rPr>
                <w:iCs/>
                <w:szCs w:val="20"/>
              </w:rPr>
            </w:pPr>
            <w:r w:rsidRPr="005A54CD">
              <w:rPr>
                <w:iCs/>
                <w:szCs w:val="20"/>
              </w:rPr>
              <w:t>$</w:t>
            </w:r>
            <w:r w:rsidR="005E18BF">
              <w:rPr>
                <w:iCs/>
                <w:noProof/>
                <w:color w:val="000000"/>
                <w:szCs w:val="20"/>
                <w:highlight w:val="black"/>
              </w:rPr>
              <w:t>''''''''''''''''</w:t>
            </w:r>
          </w:p>
          <w:p w:rsidR="00EB76DC" w:rsidRPr="005A54CD" w:rsidRDefault="00EB76DC" w:rsidP="00912164">
            <w:pPr>
              <w:pStyle w:val="TableText0"/>
              <w:spacing w:after="20"/>
              <w:jc w:val="center"/>
              <w:rPr>
                <w:iCs/>
                <w:szCs w:val="20"/>
              </w:rPr>
            </w:pPr>
            <w:r w:rsidRPr="005A54CD">
              <w:rPr>
                <w:iCs/>
                <w:szCs w:val="20"/>
              </w:rPr>
              <w:t>-$</w:t>
            </w:r>
            <w:r w:rsidR="005E18BF">
              <w:rPr>
                <w:iCs/>
                <w:noProof/>
                <w:color w:val="000000"/>
                <w:szCs w:val="20"/>
                <w:highlight w:val="black"/>
              </w:rPr>
              <w:t>'''''''''''''''</w:t>
            </w:r>
          </w:p>
        </w:tc>
        <w:tc>
          <w:tcPr>
            <w:tcW w:w="684" w:type="pct"/>
            <w:tcBorders>
              <w:bottom w:val="single" w:sz="4" w:space="0" w:color="auto"/>
            </w:tcBorders>
          </w:tcPr>
          <w:p w:rsidR="00EB76DC" w:rsidRPr="005E18BF" w:rsidRDefault="005E18BF" w:rsidP="00912164">
            <w:pPr>
              <w:pStyle w:val="TableText0"/>
              <w:spacing w:after="20"/>
              <w:jc w:val="center"/>
              <w:rPr>
                <w:szCs w:val="20"/>
                <w:highlight w:val="black"/>
              </w:rPr>
            </w:pPr>
            <w:r>
              <w:rPr>
                <w:noProof/>
                <w:color w:val="000000"/>
                <w:szCs w:val="20"/>
                <w:highlight w:val="black"/>
              </w:rPr>
              <w:t>'''''''''''''''</w:t>
            </w:r>
          </w:p>
          <w:p w:rsidR="00EB76DC" w:rsidRPr="005E18BF" w:rsidRDefault="005E18BF" w:rsidP="00912164">
            <w:pPr>
              <w:pStyle w:val="TableText0"/>
              <w:spacing w:after="20"/>
              <w:jc w:val="center"/>
              <w:rPr>
                <w:szCs w:val="20"/>
                <w:highlight w:val="black"/>
              </w:rPr>
            </w:pPr>
            <w:r>
              <w:rPr>
                <w:noProof/>
                <w:color w:val="000000"/>
                <w:szCs w:val="20"/>
                <w:highlight w:val="black"/>
              </w:rPr>
              <w:t>''''''''''''''''</w:t>
            </w:r>
          </w:p>
          <w:p w:rsidR="00EB76DC" w:rsidRPr="005E18BF" w:rsidRDefault="005E18BF" w:rsidP="00912164">
            <w:pPr>
              <w:pStyle w:val="TableText0"/>
              <w:spacing w:after="20"/>
              <w:jc w:val="center"/>
              <w:rPr>
                <w:iCs/>
                <w:szCs w:val="20"/>
                <w:highlight w:val="black"/>
              </w:rPr>
            </w:pPr>
            <w:r>
              <w:rPr>
                <w:noProof/>
                <w:color w:val="000000"/>
                <w:szCs w:val="20"/>
                <w:highlight w:val="black"/>
              </w:rPr>
              <w:t>'''''''''''''''''</w:t>
            </w:r>
          </w:p>
        </w:tc>
        <w:tc>
          <w:tcPr>
            <w:tcW w:w="645" w:type="pct"/>
            <w:gridSpan w:val="2"/>
            <w:tcBorders>
              <w:bottom w:val="single" w:sz="4" w:space="0" w:color="auto"/>
            </w:tcBorders>
          </w:tcPr>
          <w:p w:rsidR="00EB76DC" w:rsidRPr="005A54CD" w:rsidRDefault="00EB76DC" w:rsidP="00912164">
            <w:pPr>
              <w:pStyle w:val="TableText0"/>
              <w:spacing w:after="20"/>
              <w:jc w:val="center"/>
              <w:rPr>
                <w:iCs/>
                <w:szCs w:val="20"/>
              </w:rPr>
            </w:pPr>
            <w:r w:rsidRPr="005A54CD">
              <w:rPr>
                <w:iCs/>
                <w:szCs w:val="20"/>
              </w:rPr>
              <w:t>$</w:t>
            </w:r>
            <w:r w:rsidR="005E18BF">
              <w:rPr>
                <w:iCs/>
                <w:noProof/>
                <w:color w:val="000000"/>
                <w:szCs w:val="20"/>
                <w:highlight w:val="black"/>
              </w:rPr>
              <w:t>''''''''''''''''''''</w:t>
            </w:r>
          </w:p>
          <w:p w:rsidR="00EB76DC" w:rsidRPr="005A54CD" w:rsidRDefault="00EB76DC" w:rsidP="00912164">
            <w:pPr>
              <w:pStyle w:val="TableText0"/>
              <w:spacing w:after="20"/>
              <w:jc w:val="center"/>
              <w:rPr>
                <w:iCs/>
                <w:szCs w:val="20"/>
              </w:rPr>
            </w:pPr>
            <w:r w:rsidRPr="005A54CD">
              <w:rPr>
                <w:iCs/>
                <w:szCs w:val="20"/>
              </w:rPr>
              <w:t>$</w:t>
            </w:r>
            <w:r w:rsidR="005E18BF">
              <w:rPr>
                <w:iCs/>
                <w:noProof/>
                <w:color w:val="000000"/>
                <w:szCs w:val="20"/>
                <w:highlight w:val="black"/>
              </w:rPr>
              <w:t>'''''''''''''''''</w:t>
            </w:r>
          </w:p>
          <w:p w:rsidR="00EB76DC" w:rsidRPr="005A54CD" w:rsidRDefault="00EB76DC" w:rsidP="00912164">
            <w:pPr>
              <w:pStyle w:val="TableText0"/>
              <w:spacing w:after="20"/>
              <w:jc w:val="center"/>
              <w:rPr>
                <w:iCs/>
                <w:szCs w:val="20"/>
              </w:rPr>
            </w:pPr>
            <w:r w:rsidRPr="005A54CD">
              <w:rPr>
                <w:iCs/>
                <w:szCs w:val="20"/>
              </w:rPr>
              <w:t>Dominant</w:t>
            </w:r>
          </w:p>
        </w:tc>
      </w:tr>
      <w:tr w:rsidR="00EB76DC" w:rsidRPr="008154B1" w:rsidTr="005A54CD">
        <w:tc>
          <w:tcPr>
            <w:tcW w:w="201" w:type="pct"/>
          </w:tcPr>
          <w:p w:rsidR="00EB76DC" w:rsidRPr="005A54CD" w:rsidRDefault="00EB76DC" w:rsidP="00950926">
            <w:pPr>
              <w:pStyle w:val="TableText0"/>
              <w:numPr>
                <w:ilvl w:val="0"/>
                <w:numId w:val="13"/>
              </w:numPr>
              <w:ind w:left="168" w:hanging="142"/>
              <w:rPr>
                <w:b/>
                <w:szCs w:val="20"/>
              </w:rPr>
            </w:pPr>
          </w:p>
        </w:tc>
        <w:tc>
          <w:tcPr>
            <w:tcW w:w="4799" w:type="pct"/>
            <w:gridSpan w:val="5"/>
          </w:tcPr>
          <w:p w:rsidR="00EB76DC" w:rsidRPr="005A54CD" w:rsidRDefault="00EB76DC" w:rsidP="00912164">
            <w:pPr>
              <w:pStyle w:val="TableText0"/>
              <w:ind w:left="26"/>
              <w:rPr>
                <w:szCs w:val="20"/>
              </w:rPr>
            </w:pPr>
            <w:r w:rsidRPr="005A54CD">
              <w:rPr>
                <w:szCs w:val="20"/>
              </w:rPr>
              <w:t xml:space="preserve">LANA efficacy (Base case: </w:t>
            </w:r>
            <w:r w:rsidR="00BC40AF" w:rsidRPr="005A54CD">
              <w:rPr>
                <w:szCs w:val="20"/>
              </w:rPr>
              <w:t xml:space="preserve">100% </w:t>
            </w:r>
            <w:r w:rsidRPr="005A54CD">
              <w:rPr>
                <w:szCs w:val="20"/>
              </w:rPr>
              <w:t>Q2W RRR 0.87</w:t>
            </w:r>
            <w:r w:rsidR="00BC40AF" w:rsidRPr="005A54CD">
              <w:rPr>
                <w:szCs w:val="20"/>
              </w:rPr>
              <w:t>3</w:t>
            </w:r>
            <w:r w:rsidRPr="005A54CD">
              <w:rPr>
                <w:szCs w:val="20"/>
              </w:rPr>
              <w:t>)</w:t>
            </w:r>
          </w:p>
        </w:tc>
      </w:tr>
      <w:tr w:rsidR="00EB76DC" w:rsidRPr="008154B1" w:rsidTr="005A54CD">
        <w:tc>
          <w:tcPr>
            <w:tcW w:w="201" w:type="pct"/>
          </w:tcPr>
          <w:p w:rsidR="00EB76DC" w:rsidRPr="005A54CD" w:rsidRDefault="00EB76DC" w:rsidP="00912164">
            <w:pPr>
              <w:pStyle w:val="TableText0"/>
              <w:ind w:left="168"/>
              <w:rPr>
                <w:b/>
                <w:szCs w:val="20"/>
              </w:rPr>
            </w:pPr>
          </w:p>
        </w:tc>
        <w:tc>
          <w:tcPr>
            <w:tcW w:w="2786" w:type="pct"/>
          </w:tcPr>
          <w:p w:rsidR="00EB76DC" w:rsidRPr="005A54CD" w:rsidRDefault="00BC40AF" w:rsidP="00950926">
            <w:pPr>
              <w:pStyle w:val="TableText0"/>
              <w:numPr>
                <w:ilvl w:val="0"/>
                <w:numId w:val="15"/>
              </w:numPr>
              <w:ind w:left="461" w:hanging="284"/>
              <w:rPr>
                <w:szCs w:val="20"/>
              </w:rPr>
            </w:pPr>
            <w:r w:rsidRPr="005A54CD">
              <w:rPr>
                <w:iCs/>
                <w:szCs w:val="20"/>
              </w:rPr>
              <w:t xml:space="preserve">Weighted </w:t>
            </w:r>
            <w:r w:rsidR="005E18BF">
              <w:rPr>
                <w:iCs/>
                <w:noProof/>
                <w:color w:val="000000"/>
                <w:szCs w:val="20"/>
                <w:highlight w:val="black"/>
              </w:rPr>
              <w:t>'''''''</w:t>
            </w:r>
            <w:r w:rsidR="00EB76DC" w:rsidRPr="005A54CD">
              <w:rPr>
                <w:iCs/>
                <w:szCs w:val="20"/>
              </w:rPr>
              <w:t>%:</w:t>
            </w:r>
            <w:r w:rsidR="005E18BF">
              <w:rPr>
                <w:iCs/>
                <w:noProof/>
                <w:color w:val="000000"/>
                <w:szCs w:val="20"/>
                <w:highlight w:val="black"/>
              </w:rPr>
              <w:t>''''''</w:t>
            </w:r>
            <w:r w:rsidR="00EB76DC" w:rsidRPr="005A54CD">
              <w:rPr>
                <w:iCs/>
                <w:szCs w:val="20"/>
              </w:rPr>
              <w:t>% Q2W:Q4W (</w:t>
            </w:r>
            <w:r w:rsidR="005E18BF">
              <w:rPr>
                <w:iCs/>
                <w:noProof/>
                <w:color w:val="000000"/>
                <w:szCs w:val="20"/>
                <w:highlight w:val="black"/>
              </w:rPr>
              <w:t>'''''''''''''</w:t>
            </w:r>
            <w:r w:rsidR="00EB76DC" w:rsidRPr="005A54CD">
              <w:rPr>
                <w:iCs/>
                <w:szCs w:val="20"/>
              </w:rPr>
              <w:t>)</w:t>
            </w:r>
          </w:p>
          <w:p w:rsidR="00BC40AF" w:rsidRPr="005A54CD" w:rsidRDefault="00BC40AF" w:rsidP="00950926">
            <w:pPr>
              <w:pStyle w:val="TableText0"/>
              <w:numPr>
                <w:ilvl w:val="0"/>
                <w:numId w:val="15"/>
              </w:numPr>
              <w:ind w:left="461" w:hanging="284"/>
              <w:rPr>
                <w:szCs w:val="20"/>
              </w:rPr>
            </w:pPr>
            <w:r w:rsidRPr="005A54CD">
              <w:rPr>
                <w:iCs/>
                <w:szCs w:val="20"/>
              </w:rPr>
              <w:t>Weighted 50:50% Q2W:Q4W (0.</w:t>
            </w:r>
            <w:r w:rsidR="005D4D79" w:rsidRPr="005A54CD">
              <w:rPr>
                <w:iCs/>
                <w:szCs w:val="20"/>
              </w:rPr>
              <w:t>80</w:t>
            </w:r>
            <w:r w:rsidR="008E5D60" w:rsidRPr="005A54CD">
              <w:rPr>
                <w:iCs/>
                <w:szCs w:val="20"/>
              </w:rPr>
              <w:t>7</w:t>
            </w:r>
            <w:r w:rsidRPr="005A54CD">
              <w:rPr>
                <w:iCs/>
                <w:szCs w:val="20"/>
              </w:rPr>
              <w:t>)</w:t>
            </w:r>
          </w:p>
          <w:p w:rsidR="008C3CAE" w:rsidRPr="005A54CD" w:rsidRDefault="008C3CAE" w:rsidP="00950926">
            <w:pPr>
              <w:pStyle w:val="TableText0"/>
              <w:numPr>
                <w:ilvl w:val="0"/>
                <w:numId w:val="15"/>
              </w:numPr>
              <w:ind w:left="461" w:hanging="284"/>
              <w:rPr>
                <w:szCs w:val="20"/>
              </w:rPr>
            </w:pPr>
            <w:r w:rsidRPr="005A54CD">
              <w:rPr>
                <w:szCs w:val="20"/>
              </w:rPr>
              <w:t>100% Q4W</w:t>
            </w:r>
            <w:r w:rsidR="00BC40AF" w:rsidRPr="005A54CD">
              <w:rPr>
                <w:szCs w:val="20"/>
              </w:rPr>
              <w:t xml:space="preserve"> (0.742)</w:t>
            </w:r>
          </w:p>
        </w:tc>
        <w:tc>
          <w:tcPr>
            <w:tcW w:w="684" w:type="pct"/>
          </w:tcPr>
          <w:p w:rsidR="00EB76DC" w:rsidRPr="005A54CD" w:rsidRDefault="00EB76DC" w:rsidP="00912164">
            <w:pPr>
              <w:pStyle w:val="TableText0"/>
              <w:spacing w:after="20"/>
              <w:jc w:val="center"/>
              <w:rPr>
                <w:iCs/>
                <w:szCs w:val="20"/>
              </w:rPr>
            </w:pPr>
            <w:r w:rsidRPr="005A54CD">
              <w:rPr>
                <w:iCs/>
                <w:szCs w:val="20"/>
              </w:rPr>
              <w:t>$</w:t>
            </w:r>
            <w:r w:rsidR="005E18BF">
              <w:rPr>
                <w:iCs/>
                <w:noProof/>
                <w:color w:val="000000"/>
                <w:szCs w:val="20"/>
                <w:highlight w:val="black"/>
              </w:rPr>
              <w:t>''''''''''''''''''</w:t>
            </w:r>
          </w:p>
          <w:p w:rsidR="00BC40AF" w:rsidRPr="005A54CD" w:rsidRDefault="00A770CD" w:rsidP="00912164">
            <w:pPr>
              <w:pStyle w:val="TableText0"/>
              <w:spacing w:after="20"/>
              <w:jc w:val="center"/>
              <w:rPr>
                <w:szCs w:val="20"/>
              </w:rPr>
            </w:pPr>
            <w:r w:rsidRPr="005A54CD">
              <w:rPr>
                <w:szCs w:val="20"/>
              </w:rPr>
              <w:t>$</w:t>
            </w:r>
            <w:r w:rsidR="005E18BF">
              <w:rPr>
                <w:noProof/>
                <w:color w:val="000000"/>
                <w:szCs w:val="20"/>
                <w:highlight w:val="black"/>
              </w:rPr>
              <w:t>'''''''''''''''</w:t>
            </w:r>
          </w:p>
          <w:p w:rsidR="00BC40AF" w:rsidRPr="005A54CD" w:rsidRDefault="0054552E" w:rsidP="00912164">
            <w:pPr>
              <w:pStyle w:val="TableText0"/>
              <w:spacing w:after="20"/>
              <w:jc w:val="center"/>
              <w:rPr>
                <w:szCs w:val="20"/>
              </w:rPr>
            </w:pPr>
            <w:r w:rsidRPr="005A54CD">
              <w:rPr>
                <w:szCs w:val="20"/>
              </w:rPr>
              <w:t>$</w:t>
            </w:r>
            <w:r w:rsidR="005E18BF">
              <w:rPr>
                <w:noProof/>
                <w:color w:val="000000"/>
                <w:szCs w:val="20"/>
                <w:highlight w:val="black"/>
              </w:rPr>
              <w:t>''''''''''''''''''</w:t>
            </w:r>
          </w:p>
        </w:tc>
        <w:tc>
          <w:tcPr>
            <w:tcW w:w="684" w:type="pct"/>
          </w:tcPr>
          <w:p w:rsidR="00EB76DC" w:rsidRPr="005E18BF" w:rsidRDefault="005E18BF" w:rsidP="00912164">
            <w:pPr>
              <w:pStyle w:val="TableText0"/>
              <w:spacing w:after="20"/>
              <w:jc w:val="center"/>
              <w:rPr>
                <w:iCs/>
                <w:szCs w:val="20"/>
                <w:highlight w:val="black"/>
              </w:rPr>
            </w:pPr>
            <w:r>
              <w:rPr>
                <w:iCs/>
                <w:noProof/>
                <w:color w:val="000000"/>
                <w:szCs w:val="20"/>
                <w:highlight w:val="black"/>
              </w:rPr>
              <w:t>''''''''''''''''</w:t>
            </w:r>
          </w:p>
          <w:p w:rsidR="00BC40AF" w:rsidRPr="005E18BF" w:rsidRDefault="005E18BF" w:rsidP="00912164">
            <w:pPr>
              <w:pStyle w:val="TableText0"/>
              <w:spacing w:after="20"/>
              <w:jc w:val="center"/>
              <w:rPr>
                <w:szCs w:val="20"/>
                <w:highlight w:val="black"/>
              </w:rPr>
            </w:pPr>
            <w:r>
              <w:rPr>
                <w:noProof/>
                <w:color w:val="000000"/>
                <w:szCs w:val="20"/>
                <w:highlight w:val="black"/>
              </w:rPr>
              <w:t>'''''''''''''''''</w:t>
            </w:r>
          </w:p>
          <w:p w:rsidR="0054552E" w:rsidRPr="005E18BF" w:rsidRDefault="005E18BF" w:rsidP="00912164">
            <w:pPr>
              <w:pStyle w:val="TableText0"/>
              <w:spacing w:after="20"/>
              <w:jc w:val="center"/>
              <w:rPr>
                <w:szCs w:val="20"/>
                <w:highlight w:val="black"/>
              </w:rPr>
            </w:pPr>
            <w:r>
              <w:rPr>
                <w:noProof/>
                <w:color w:val="000000"/>
                <w:szCs w:val="20"/>
                <w:highlight w:val="black"/>
              </w:rPr>
              <w:t>'''''''''''''''''</w:t>
            </w:r>
          </w:p>
        </w:tc>
        <w:tc>
          <w:tcPr>
            <w:tcW w:w="645" w:type="pct"/>
            <w:gridSpan w:val="2"/>
          </w:tcPr>
          <w:p w:rsidR="00EB76DC" w:rsidRPr="005A54CD" w:rsidRDefault="00EB76DC" w:rsidP="00912164">
            <w:pPr>
              <w:pStyle w:val="TableText0"/>
              <w:spacing w:after="20"/>
              <w:jc w:val="center"/>
              <w:rPr>
                <w:iCs/>
                <w:szCs w:val="20"/>
              </w:rPr>
            </w:pPr>
            <w:r w:rsidRPr="005A54CD">
              <w:rPr>
                <w:iCs/>
                <w:szCs w:val="20"/>
              </w:rPr>
              <w:t>$</w:t>
            </w:r>
            <w:r w:rsidR="005E18BF">
              <w:rPr>
                <w:iCs/>
                <w:noProof/>
                <w:color w:val="000000"/>
                <w:szCs w:val="20"/>
                <w:highlight w:val="black"/>
              </w:rPr>
              <w:t>'''''''''''''''''''''</w:t>
            </w:r>
          </w:p>
          <w:p w:rsidR="00BC40AF" w:rsidRPr="005A54CD" w:rsidRDefault="00A770CD" w:rsidP="00912164">
            <w:pPr>
              <w:pStyle w:val="TableText0"/>
              <w:spacing w:after="20"/>
              <w:jc w:val="center"/>
              <w:rPr>
                <w:szCs w:val="20"/>
              </w:rPr>
            </w:pPr>
            <w:r w:rsidRPr="005A54CD">
              <w:rPr>
                <w:szCs w:val="20"/>
              </w:rPr>
              <w:t>$</w:t>
            </w:r>
            <w:r w:rsidR="005E18BF">
              <w:rPr>
                <w:noProof/>
                <w:color w:val="000000"/>
                <w:szCs w:val="20"/>
                <w:highlight w:val="black"/>
              </w:rPr>
              <w:t>'''''''''''''''''</w:t>
            </w:r>
          </w:p>
          <w:p w:rsidR="0054552E" w:rsidRPr="005A54CD" w:rsidRDefault="0054552E" w:rsidP="00912164">
            <w:pPr>
              <w:pStyle w:val="TableText0"/>
              <w:spacing w:after="20"/>
              <w:jc w:val="center"/>
              <w:rPr>
                <w:szCs w:val="20"/>
              </w:rPr>
            </w:pPr>
            <w:r w:rsidRPr="005A54CD">
              <w:rPr>
                <w:szCs w:val="20"/>
              </w:rPr>
              <w:t>$</w:t>
            </w:r>
            <w:r w:rsidR="005E18BF">
              <w:rPr>
                <w:noProof/>
                <w:color w:val="000000"/>
                <w:szCs w:val="20"/>
                <w:highlight w:val="black"/>
              </w:rPr>
              <w:t>''''''''''''''''''</w:t>
            </w:r>
          </w:p>
        </w:tc>
      </w:tr>
      <w:tr w:rsidR="00EB76DC" w:rsidRPr="008154B1" w:rsidTr="005A54CD">
        <w:tc>
          <w:tcPr>
            <w:tcW w:w="201" w:type="pct"/>
            <w:tcBorders>
              <w:bottom w:val="nil"/>
            </w:tcBorders>
          </w:tcPr>
          <w:p w:rsidR="00EB76DC" w:rsidRPr="005A54CD" w:rsidRDefault="00EB76DC" w:rsidP="00950926">
            <w:pPr>
              <w:pStyle w:val="TableText0"/>
              <w:numPr>
                <w:ilvl w:val="0"/>
                <w:numId w:val="13"/>
              </w:numPr>
              <w:ind w:left="168" w:hanging="142"/>
              <w:rPr>
                <w:b/>
                <w:szCs w:val="20"/>
              </w:rPr>
            </w:pPr>
          </w:p>
        </w:tc>
        <w:tc>
          <w:tcPr>
            <w:tcW w:w="4799" w:type="pct"/>
            <w:gridSpan w:val="5"/>
            <w:tcBorders>
              <w:bottom w:val="single" w:sz="4" w:space="0" w:color="auto"/>
            </w:tcBorders>
          </w:tcPr>
          <w:p w:rsidR="00EB76DC" w:rsidRPr="005A54CD" w:rsidRDefault="00EB76DC" w:rsidP="00912164">
            <w:pPr>
              <w:pStyle w:val="TableText0"/>
              <w:rPr>
                <w:szCs w:val="20"/>
              </w:rPr>
            </w:pPr>
            <w:r w:rsidRPr="005A54CD">
              <w:rPr>
                <w:szCs w:val="20"/>
              </w:rPr>
              <w:t>‘Between-attack’ utility values (Base case: no attacks 0.88; 1 attack/28 days 0.80; ≥2 attacks/28 days 0.64)</w:t>
            </w:r>
          </w:p>
        </w:tc>
      </w:tr>
      <w:tr w:rsidR="00EB76DC" w:rsidRPr="008154B1" w:rsidTr="005A54CD">
        <w:tc>
          <w:tcPr>
            <w:tcW w:w="201" w:type="pct"/>
            <w:tcBorders>
              <w:top w:val="nil"/>
              <w:bottom w:val="single" w:sz="4" w:space="0" w:color="auto"/>
            </w:tcBorders>
          </w:tcPr>
          <w:p w:rsidR="00EB76DC" w:rsidRPr="005A54CD" w:rsidRDefault="00EB76DC" w:rsidP="00912164">
            <w:pPr>
              <w:pStyle w:val="TableText0"/>
              <w:ind w:left="360"/>
              <w:rPr>
                <w:iCs/>
                <w:szCs w:val="20"/>
              </w:rPr>
            </w:pPr>
          </w:p>
        </w:tc>
        <w:tc>
          <w:tcPr>
            <w:tcW w:w="2786" w:type="pct"/>
            <w:tcBorders>
              <w:top w:val="single" w:sz="4" w:space="0" w:color="auto"/>
              <w:bottom w:val="single" w:sz="4" w:space="0" w:color="auto"/>
            </w:tcBorders>
          </w:tcPr>
          <w:p w:rsidR="00EB76DC" w:rsidRPr="005A54CD" w:rsidRDefault="00EB76DC" w:rsidP="00912164">
            <w:pPr>
              <w:pStyle w:val="TableText0"/>
              <w:rPr>
                <w:iCs/>
                <w:szCs w:val="20"/>
              </w:rPr>
            </w:pPr>
            <w:r w:rsidRPr="005A54CD">
              <w:rPr>
                <w:iCs/>
                <w:szCs w:val="20"/>
              </w:rPr>
              <w:t>Nordenfelt 2014 (0.825 for 0 attacks, decreasing by 0.0043 for each additional attack per 28 days)</w:t>
            </w:r>
            <w:r w:rsidR="003B4A86" w:rsidRPr="005A54CD">
              <w:rPr>
                <w:iCs/>
                <w:szCs w:val="20"/>
              </w:rPr>
              <w:t xml:space="preserve"> </w:t>
            </w:r>
            <w:r w:rsidR="003B4A86" w:rsidRPr="005A54CD">
              <w:rPr>
                <w:iCs/>
                <w:szCs w:val="20"/>
                <w:vertAlign w:val="superscript"/>
              </w:rPr>
              <w:t>b</w:t>
            </w:r>
          </w:p>
        </w:tc>
        <w:tc>
          <w:tcPr>
            <w:tcW w:w="684" w:type="pct"/>
            <w:tcBorders>
              <w:top w:val="single" w:sz="4" w:space="0" w:color="auto"/>
              <w:bottom w:val="single" w:sz="4" w:space="0" w:color="auto"/>
            </w:tcBorders>
          </w:tcPr>
          <w:p w:rsidR="00EB76DC" w:rsidRPr="005A54CD" w:rsidRDefault="00EB76DC" w:rsidP="00912164">
            <w:pPr>
              <w:pStyle w:val="TableText0"/>
              <w:jc w:val="center"/>
              <w:rPr>
                <w:szCs w:val="20"/>
              </w:rPr>
            </w:pPr>
            <w:r w:rsidRPr="005A54CD">
              <w:rPr>
                <w:szCs w:val="20"/>
              </w:rPr>
              <w:t>$</w:t>
            </w:r>
            <w:r w:rsidR="005E18BF">
              <w:rPr>
                <w:noProof/>
                <w:color w:val="000000"/>
                <w:szCs w:val="20"/>
                <w:highlight w:val="black"/>
              </w:rPr>
              <w:t>''''''''''''''''</w:t>
            </w:r>
          </w:p>
        </w:tc>
        <w:tc>
          <w:tcPr>
            <w:tcW w:w="684" w:type="pct"/>
            <w:tcBorders>
              <w:top w:val="single" w:sz="4" w:space="0" w:color="auto"/>
              <w:bottom w:val="single" w:sz="4" w:space="0" w:color="auto"/>
            </w:tcBorders>
          </w:tcPr>
          <w:p w:rsidR="00EB76DC" w:rsidRPr="005A54CD" w:rsidRDefault="00EB76DC" w:rsidP="00912164">
            <w:pPr>
              <w:pStyle w:val="TableText0"/>
              <w:jc w:val="center"/>
              <w:rPr>
                <w:iCs/>
                <w:szCs w:val="20"/>
              </w:rPr>
            </w:pPr>
            <w:r w:rsidRPr="005A54CD">
              <w:rPr>
                <w:iCs/>
                <w:szCs w:val="20"/>
              </w:rPr>
              <w:t>0.0934</w:t>
            </w:r>
          </w:p>
        </w:tc>
        <w:tc>
          <w:tcPr>
            <w:tcW w:w="645" w:type="pct"/>
            <w:gridSpan w:val="2"/>
            <w:tcBorders>
              <w:top w:val="single" w:sz="4" w:space="0" w:color="auto"/>
              <w:bottom w:val="single" w:sz="4" w:space="0" w:color="auto"/>
            </w:tcBorders>
          </w:tcPr>
          <w:p w:rsidR="00EB76DC" w:rsidRPr="005A54CD" w:rsidRDefault="00EB76DC" w:rsidP="00912164">
            <w:pPr>
              <w:pStyle w:val="TableText0"/>
              <w:jc w:val="center"/>
              <w:rPr>
                <w:iCs/>
                <w:szCs w:val="20"/>
              </w:rPr>
            </w:pPr>
            <w:r w:rsidRPr="005A54CD">
              <w:rPr>
                <w:iCs/>
                <w:szCs w:val="20"/>
              </w:rPr>
              <w:t>$</w:t>
            </w:r>
            <w:r w:rsidR="005E18BF">
              <w:rPr>
                <w:iCs/>
                <w:noProof/>
                <w:color w:val="000000"/>
                <w:szCs w:val="20"/>
                <w:highlight w:val="black"/>
              </w:rPr>
              <w:t>''''''''''''''''''''</w:t>
            </w:r>
          </w:p>
        </w:tc>
      </w:tr>
      <w:tr w:rsidR="003B4A86" w:rsidRPr="008154B1" w:rsidTr="005A54CD">
        <w:tc>
          <w:tcPr>
            <w:tcW w:w="2987" w:type="pct"/>
            <w:gridSpan w:val="2"/>
            <w:tcBorders>
              <w:top w:val="single" w:sz="4" w:space="0" w:color="auto"/>
              <w:bottom w:val="single" w:sz="4" w:space="0" w:color="auto"/>
              <w:right w:val="single" w:sz="4" w:space="0" w:color="auto"/>
            </w:tcBorders>
          </w:tcPr>
          <w:p w:rsidR="003B4A86" w:rsidRPr="005A54CD" w:rsidRDefault="003B4A86" w:rsidP="00912164">
            <w:pPr>
              <w:pStyle w:val="TableText0"/>
              <w:rPr>
                <w:szCs w:val="20"/>
              </w:rPr>
            </w:pPr>
            <w:r w:rsidRPr="005A54CD">
              <w:rPr>
                <w:b/>
                <w:szCs w:val="20"/>
              </w:rPr>
              <w:t>Multivariate sensitivity analyses</w:t>
            </w:r>
          </w:p>
        </w:tc>
        <w:tc>
          <w:tcPr>
            <w:tcW w:w="684" w:type="pct"/>
            <w:tcBorders>
              <w:top w:val="single" w:sz="4" w:space="0" w:color="auto"/>
              <w:left w:val="single" w:sz="4" w:space="0" w:color="auto"/>
              <w:bottom w:val="single" w:sz="4" w:space="0" w:color="auto"/>
              <w:right w:val="single" w:sz="4" w:space="0" w:color="auto"/>
            </w:tcBorders>
          </w:tcPr>
          <w:p w:rsidR="003B4A86" w:rsidRPr="005A54CD" w:rsidRDefault="003B4A86" w:rsidP="00912164">
            <w:pPr>
              <w:pStyle w:val="TableText0"/>
              <w:jc w:val="center"/>
              <w:rPr>
                <w:szCs w:val="20"/>
              </w:rPr>
            </w:pPr>
          </w:p>
        </w:tc>
        <w:tc>
          <w:tcPr>
            <w:tcW w:w="684" w:type="pct"/>
            <w:tcBorders>
              <w:top w:val="single" w:sz="4" w:space="0" w:color="auto"/>
              <w:left w:val="single" w:sz="4" w:space="0" w:color="auto"/>
              <w:bottom w:val="single" w:sz="4" w:space="0" w:color="auto"/>
              <w:right w:val="single" w:sz="4" w:space="0" w:color="auto"/>
            </w:tcBorders>
          </w:tcPr>
          <w:p w:rsidR="003B4A86" w:rsidRPr="005A54CD" w:rsidRDefault="003B4A86" w:rsidP="00912164">
            <w:pPr>
              <w:pStyle w:val="TableText0"/>
              <w:jc w:val="center"/>
              <w:rPr>
                <w:szCs w:val="20"/>
              </w:rPr>
            </w:pPr>
          </w:p>
        </w:tc>
        <w:tc>
          <w:tcPr>
            <w:tcW w:w="645" w:type="pct"/>
            <w:gridSpan w:val="2"/>
            <w:tcBorders>
              <w:top w:val="single" w:sz="4" w:space="0" w:color="auto"/>
              <w:left w:val="single" w:sz="4" w:space="0" w:color="auto"/>
              <w:bottom w:val="single" w:sz="4" w:space="0" w:color="auto"/>
            </w:tcBorders>
          </w:tcPr>
          <w:p w:rsidR="003B4A86" w:rsidRPr="005A54CD" w:rsidRDefault="003B4A86" w:rsidP="00912164">
            <w:pPr>
              <w:pStyle w:val="TableText0"/>
              <w:jc w:val="center"/>
              <w:rPr>
                <w:szCs w:val="20"/>
              </w:rPr>
            </w:pPr>
          </w:p>
        </w:tc>
      </w:tr>
      <w:tr w:rsidR="00B53ADD" w:rsidRPr="005A54CD" w:rsidTr="005A54CD">
        <w:trPr>
          <w:gridAfter w:val="1"/>
          <w:wAfter w:w="5" w:type="pct"/>
        </w:trPr>
        <w:tc>
          <w:tcPr>
            <w:tcW w:w="201" w:type="pct"/>
            <w:tcBorders>
              <w:top w:val="single" w:sz="4" w:space="0" w:color="auto"/>
              <w:bottom w:val="single" w:sz="4" w:space="0" w:color="auto"/>
            </w:tcBorders>
          </w:tcPr>
          <w:p w:rsidR="00B53ADD" w:rsidRPr="005A54CD" w:rsidRDefault="00B53ADD" w:rsidP="00950926">
            <w:pPr>
              <w:pStyle w:val="TableText0"/>
              <w:numPr>
                <w:ilvl w:val="0"/>
                <w:numId w:val="13"/>
              </w:numPr>
              <w:ind w:left="316" w:hanging="316"/>
              <w:rPr>
                <w:b/>
                <w:szCs w:val="20"/>
              </w:rPr>
            </w:pPr>
          </w:p>
        </w:tc>
        <w:tc>
          <w:tcPr>
            <w:tcW w:w="2786" w:type="pct"/>
            <w:tcBorders>
              <w:top w:val="single" w:sz="4" w:space="0" w:color="auto"/>
              <w:bottom w:val="single" w:sz="4" w:space="0" w:color="auto"/>
            </w:tcBorders>
          </w:tcPr>
          <w:p w:rsidR="00B53ADD" w:rsidRPr="005A54CD" w:rsidRDefault="00B53ADD" w:rsidP="00912164">
            <w:pPr>
              <w:pStyle w:val="TableText0"/>
              <w:ind w:left="-24" w:firstLine="24"/>
              <w:rPr>
                <w:b/>
                <w:szCs w:val="20"/>
              </w:rPr>
            </w:pPr>
            <w:r w:rsidRPr="005A54CD">
              <w:rPr>
                <w:b/>
                <w:szCs w:val="20"/>
              </w:rPr>
              <w:t>2b+3b</w:t>
            </w:r>
            <w:r w:rsidRPr="005A54CD">
              <w:rPr>
                <w:szCs w:val="20"/>
              </w:rPr>
              <w:t>: Cost and efficacy of lanadelumab based on 50% Q2W; 50% Q4W (RRR: 0.80</w:t>
            </w:r>
            <w:r w:rsidR="008E5D60" w:rsidRPr="005A54CD">
              <w:rPr>
                <w:szCs w:val="20"/>
              </w:rPr>
              <w:t>7</w:t>
            </w:r>
            <w:r w:rsidRPr="005A54CD">
              <w:rPr>
                <w:szCs w:val="20"/>
              </w:rPr>
              <w:t xml:space="preserve"> and mean 19.5 doses/year)</w:t>
            </w:r>
          </w:p>
        </w:tc>
        <w:tc>
          <w:tcPr>
            <w:tcW w:w="684" w:type="pct"/>
            <w:tcBorders>
              <w:top w:val="single" w:sz="4" w:space="0" w:color="auto"/>
              <w:bottom w:val="single" w:sz="4" w:space="0" w:color="auto"/>
            </w:tcBorders>
          </w:tcPr>
          <w:p w:rsidR="00B53ADD" w:rsidRPr="005A54CD" w:rsidRDefault="00A770CD" w:rsidP="00912164">
            <w:pPr>
              <w:pStyle w:val="TableText0"/>
              <w:jc w:val="center"/>
              <w:rPr>
                <w:szCs w:val="20"/>
              </w:rPr>
            </w:pPr>
            <w:r w:rsidRPr="005A54CD">
              <w:rPr>
                <w:szCs w:val="20"/>
              </w:rPr>
              <w:t>$</w:t>
            </w:r>
            <w:r w:rsidR="005E18BF">
              <w:rPr>
                <w:noProof/>
                <w:color w:val="000000"/>
                <w:szCs w:val="20"/>
                <w:highlight w:val="black"/>
              </w:rPr>
              <w:t>'''''''''''''''''</w:t>
            </w:r>
          </w:p>
        </w:tc>
        <w:tc>
          <w:tcPr>
            <w:tcW w:w="684" w:type="pct"/>
            <w:tcBorders>
              <w:top w:val="single" w:sz="4" w:space="0" w:color="auto"/>
              <w:bottom w:val="single" w:sz="4" w:space="0" w:color="auto"/>
            </w:tcBorders>
          </w:tcPr>
          <w:p w:rsidR="00B53ADD" w:rsidRPr="005A54CD" w:rsidRDefault="00A770CD" w:rsidP="00912164">
            <w:pPr>
              <w:pStyle w:val="TableText0"/>
              <w:jc w:val="center"/>
              <w:rPr>
                <w:szCs w:val="20"/>
              </w:rPr>
            </w:pPr>
            <w:r w:rsidRPr="005A54CD">
              <w:rPr>
                <w:szCs w:val="20"/>
              </w:rPr>
              <w:t>0.2633</w:t>
            </w:r>
          </w:p>
        </w:tc>
        <w:tc>
          <w:tcPr>
            <w:tcW w:w="640" w:type="pct"/>
            <w:tcBorders>
              <w:top w:val="single" w:sz="4" w:space="0" w:color="auto"/>
              <w:bottom w:val="single" w:sz="4" w:space="0" w:color="auto"/>
            </w:tcBorders>
          </w:tcPr>
          <w:p w:rsidR="00B53ADD" w:rsidRPr="005A54CD" w:rsidRDefault="00A770CD" w:rsidP="00912164">
            <w:pPr>
              <w:pStyle w:val="TableText0"/>
              <w:jc w:val="center"/>
              <w:rPr>
                <w:szCs w:val="20"/>
              </w:rPr>
            </w:pPr>
            <w:r w:rsidRPr="005A54CD">
              <w:rPr>
                <w:szCs w:val="20"/>
              </w:rPr>
              <w:t>$</w:t>
            </w:r>
            <w:r w:rsidR="005E18BF">
              <w:rPr>
                <w:noProof/>
                <w:color w:val="000000"/>
                <w:szCs w:val="20"/>
                <w:highlight w:val="black"/>
              </w:rPr>
              <w:t>'''''''''''''''''''</w:t>
            </w:r>
          </w:p>
        </w:tc>
      </w:tr>
      <w:tr w:rsidR="008E5D60" w:rsidRPr="008154B1" w:rsidTr="005A54CD">
        <w:tc>
          <w:tcPr>
            <w:tcW w:w="2987" w:type="pct"/>
            <w:gridSpan w:val="2"/>
            <w:tcBorders>
              <w:top w:val="single" w:sz="4" w:space="0" w:color="auto"/>
              <w:bottom w:val="single" w:sz="4" w:space="0" w:color="auto"/>
            </w:tcBorders>
          </w:tcPr>
          <w:p w:rsidR="008E5D60" w:rsidRPr="005A54CD" w:rsidRDefault="008E5D60" w:rsidP="00912164">
            <w:pPr>
              <w:pStyle w:val="TableText0"/>
              <w:rPr>
                <w:szCs w:val="20"/>
              </w:rPr>
            </w:pPr>
            <w:r w:rsidRPr="005A54CD">
              <w:rPr>
                <w:b/>
                <w:szCs w:val="20"/>
              </w:rPr>
              <w:t xml:space="preserve">5 + 4: </w:t>
            </w:r>
            <w:r w:rsidRPr="005A54CD">
              <w:rPr>
                <w:szCs w:val="20"/>
              </w:rPr>
              <w:t xml:space="preserve">Cost and efficacy 50% Q2W: 50% Q4W  </w:t>
            </w:r>
          </w:p>
          <w:p w:rsidR="008E5D60" w:rsidRPr="005A54CD" w:rsidRDefault="008E5D60" w:rsidP="00912164">
            <w:pPr>
              <w:pStyle w:val="TableText0"/>
              <w:rPr>
                <w:b/>
                <w:szCs w:val="20"/>
              </w:rPr>
            </w:pPr>
            <w:r w:rsidRPr="005A54CD">
              <w:rPr>
                <w:szCs w:val="20"/>
              </w:rPr>
              <w:t>+ Nordenfelt 2014 utilities</w:t>
            </w:r>
          </w:p>
        </w:tc>
        <w:tc>
          <w:tcPr>
            <w:tcW w:w="684" w:type="pct"/>
            <w:tcBorders>
              <w:top w:val="single" w:sz="4" w:space="0" w:color="auto"/>
              <w:left w:val="nil"/>
              <w:bottom w:val="single" w:sz="4" w:space="0" w:color="auto"/>
              <w:right w:val="single" w:sz="4" w:space="0" w:color="auto"/>
            </w:tcBorders>
          </w:tcPr>
          <w:p w:rsidR="008E5D60" w:rsidRPr="005A54CD" w:rsidRDefault="008E5D60" w:rsidP="00912164">
            <w:pPr>
              <w:pStyle w:val="TableText0"/>
              <w:jc w:val="center"/>
              <w:rPr>
                <w:szCs w:val="20"/>
              </w:rPr>
            </w:pPr>
            <w:r w:rsidRPr="005A54CD">
              <w:rPr>
                <w:iCs/>
                <w:szCs w:val="20"/>
              </w:rPr>
              <w:t>$</w:t>
            </w:r>
            <w:r w:rsidR="005E18BF">
              <w:rPr>
                <w:iCs/>
                <w:noProof/>
                <w:color w:val="000000"/>
                <w:szCs w:val="20"/>
                <w:highlight w:val="black"/>
              </w:rPr>
              <w:t>''''''''''''''''</w:t>
            </w:r>
          </w:p>
        </w:tc>
        <w:tc>
          <w:tcPr>
            <w:tcW w:w="684" w:type="pct"/>
            <w:tcBorders>
              <w:top w:val="single" w:sz="4" w:space="0" w:color="auto"/>
              <w:left w:val="single" w:sz="4" w:space="0" w:color="auto"/>
              <w:bottom w:val="single" w:sz="4" w:space="0" w:color="auto"/>
              <w:right w:val="single" w:sz="4" w:space="0" w:color="auto"/>
            </w:tcBorders>
          </w:tcPr>
          <w:p w:rsidR="008E5D60" w:rsidRPr="005A54CD" w:rsidRDefault="008E5D60" w:rsidP="00912164">
            <w:pPr>
              <w:pStyle w:val="TableText0"/>
              <w:jc w:val="center"/>
              <w:rPr>
                <w:szCs w:val="20"/>
              </w:rPr>
            </w:pPr>
            <w:r w:rsidRPr="005A54CD">
              <w:rPr>
                <w:iCs/>
                <w:szCs w:val="20"/>
              </w:rPr>
              <w:t>0.0755</w:t>
            </w:r>
          </w:p>
        </w:tc>
        <w:tc>
          <w:tcPr>
            <w:tcW w:w="645" w:type="pct"/>
            <w:gridSpan w:val="2"/>
            <w:tcBorders>
              <w:top w:val="single" w:sz="4" w:space="0" w:color="auto"/>
              <w:left w:val="single" w:sz="4" w:space="0" w:color="auto"/>
              <w:bottom w:val="single" w:sz="4" w:space="0" w:color="auto"/>
              <w:right w:val="single" w:sz="4" w:space="0" w:color="auto"/>
            </w:tcBorders>
          </w:tcPr>
          <w:p w:rsidR="008E5D60" w:rsidRPr="005A54CD" w:rsidRDefault="008E5D60" w:rsidP="00912164">
            <w:pPr>
              <w:pStyle w:val="TableText0"/>
              <w:jc w:val="center"/>
              <w:rPr>
                <w:szCs w:val="20"/>
              </w:rPr>
            </w:pPr>
            <w:r w:rsidRPr="005A54CD">
              <w:rPr>
                <w:iCs/>
                <w:szCs w:val="20"/>
              </w:rPr>
              <w:t>$</w:t>
            </w:r>
            <w:r w:rsidR="005E18BF">
              <w:rPr>
                <w:iCs/>
                <w:noProof/>
                <w:color w:val="000000"/>
                <w:szCs w:val="20"/>
                <w:highlight w:val="black"/>
              </w:rPr>
              <w:t>''''''''''''''''''''</w:t>
            </w:r>
          </w:p>
        </w:tc>
      </w:tr>
      <w:tr w:rsidR="008E5D60" w:rsidRPr="008154B1" w:rsidTr="005A54CD">
        <w:tc>
          <w:tcPr>
            <w:tcW w:w="2987" w:type="pct"/>
            <w:gridSpan w:val="2"/>
            <w:tcBorders>
              <w:top w:val="single" w:sz="4" w:space="0" w:color="auto"/>
              <w:bottom w:val="single" w:sz="4" w:space="0" w:color="auto"/>
            </w:tcBorders>
          </w:tcPr>
          <w:p w:rsidR="008E5D60" w:rsidRPr="005A54CD" w:rsidRDefault="008E5D60" w:rsidP="00912164">
            <w:pPr>
              <w:pStyle w:val="TableText0"/>
              <w:rPr>
                <w:szCs w:val="20"/>
              </w:rPr>
            </w:pPr>
            <w:r w:rsidRPr="005A54CD">
              <w:rPr>
                <w:b/>
                <w:szCs w:val="20"/>
              </w:rPr>
              <w:t xml:space="preserve">5 + 1 </w:t>
            </w:r>
            <w:r w:rsidRPr="005A54CD">
              <w:rPr>
                <w:szCs w:val="20"/>
              </w:rPr>
              <w:t xml:space="preserve">Cost and efficacy 50% Q2W: 50% Q4W  </w:t>
            </w:r>
          </w:p>
          <w:p w:rsidR="008E5D60" w:rsidRPr="005A54CD" w:rsidRDefault="008E5D60" w:rsidP="00912164">
            <w:pPr>
              <w:pStyle w:val="TableText0"/>
              <w:rPr>
                <w:b/>
                <w:szCs w:val="20"/>
              </w:rPr>
            </w:pPr>
            <w:r w:rsidRPr="005A54CD">
              <w:rPr>
                <w:szCs w:val="20"/>
              </w:rPr>
              <w:t>+ exclude 136 attacks/yr</w:t>
            </w:r>
          </w:p>
        </w:tc>
        <w:tc>
          <w:tcPr>
            <w:tcW w:w="684" w:type="pct"/>
            <w:tcBorders>
              <w:top w:val="single" w:sz="4" w:space="0" w:color="auto"/>
              <w:left w:val="nil"/>
              <w:bottom w:val="single" w:sz="4" w:space="0" w:color="auto"/>
              <w:right w:val="single" w:sz="4" w:space="0" w:color="auto"/>
            </w:tcBorders>
          </w:tcPr>
          <w:p w:rsidR="008E5D60" w:rsidRPr="005A54CD" w:rsidRDefault="008E5D60" w:rsidP="00912164">
            <w:pPr>
              <w:pStyle w:val="TableText0"/>
              <w:jc w:val="center"/>
              <w:rPr>
                <w:szCs w:val="20"/>
              </w:rPr>
            </w:pPr>
            <w:r w:rsidRPr="005A54CD">
              <w:rPr>
                <w:iCs/>
                <w:szCs w:val="20"/>
              </w:rPr>
              <w:t>$</w:t>
            </w:r>
            <w:r w:rsidR="005E18BF">
              <w:rPr>
                <w:iCs/>
                <w:noProof/>
                <w:color w:val="000000"/>
                <w:szCs w:val="20"/>
                <w:highlight w:val="black"/>
              </w:rPr>
              <w:t>''''''''''''''''''</w:t>
            </w:r>
          </w:p>
        </w:tc>
        <w:tc>
          <w:tcPr>
            <w:tcW w:w="684" w:type="pct"/>
            <w:tcBorders>
              <w:top w:val="single" w:sz="4" w:space="0" w:color="auto"/>
              <w:left w:val="single" w:sz="4" w:space="0" w:color="auto"/>
              <w:bottom w:val="single" w:sz="4" w:space="0" w:color="auto"/>
              <w:right w:val="single" w:sz="4" w:space="0" w:color="auto"/>
            </w:tcBorders>
          </w:tcPr>
          <w:p w:rsidR="008E5D60" w:rsidRPr="005A54CD" w:rsidRDefault="008E5D60" w:rsidP="00912164">
            <w:pPr>
              <w:pStyle w:val="TableText0"/>
              <w:jc w:val="center"/>
              <w:rPr>
                <w:szCs w:val="20"/>
              </w:rPr>
            </w:pPr>
            <w:r w:rsidRPr="005A54CD">
              <w:rPr>
                <w:iCs/>
                <w:szCs w:val="20"/>
              </w:rPr>
              <w:t>0.2713</w:t>
            </w:r>
          </w:p>
        </w:tc>
        <w:tc>
          <w:tcPr>
            <w:tcW w:w="645" w:type="pct"/>
            <w:gridSpan w:val="2"/>
            <w:tcBorders>
              <w:top w:val="single" w:sz="4" w:space="0" w:color="auto"/>
              <w:left w:val="single" w:sz="4" w:space="0" w:color="auto"/>
              <w:bottom w:val="single" w:sz="4" w:space="0" w:color="auto"/>
              <w:right w:val="single" w:sz="4" w:space="0" w:color="auto"/>
            </w:tcBorders>
          </w:tcPr>
          <w:p w:rsidR="008E5D60" w:rsidRPr="005A54CD" w:rsidRDefault="008E5D60" w:rsidP="00912164">
            <w:pPr>
              <w:pStyle w:val="TableText0"/>
              <w:jc w:val="center"/>
              <w:rPr>
                <w:szCs w:val="20"/>
              </w:rPr>
            </w:pPr>
            <w:r w:rsidRPr="005A54CD">
              <w:rPr>
                <w:iCs/>
                <w:szCs w:val="20"/>
              </w:rPr>
              <w:t>$</w:t>
            </w:r>
            <w:r w:rsidR="005E18BF">
              <w:rPr>
                <w:iCs/>
                <w:noProof/>
                <w:color w:val="000000"/>
                <w:szCs w:val="20"/>
                <w:highlight w:val="black"/>
              </w:rPr>
              <w:t>''''''''''''''''''</w:t>
            </w:r>
          </w:p>
        </w:tc>
      </w:tr>
      <w:tr w:rsidR="008E5D60" w:rsidRPr="008154B1" w:rsidTr="005A54CD">
        <w:tc>
          <w:tcPr>
            <w:tcW w:w="2987" w:type="pct"/>
            <w:gridSpan w:val="2"/>
            <w:tcBorders>
              <w:top w:val="single" w:sz="4" w:space="0" w:color="auto"/>
              <w:bottom w:val="single" w:sz="4" w:space="0" w:color="auto"/>
            </w:tcBorders>
          </w:tcPr>
          <w:p w:rsidR="008E5D60" w:rsidRPr="005A54CD" w:rsidRDefault="008E5D60" w:rsidP="00912164">
            <w:pPr>
              <w:pStyle w:val="TableText0"/>
              <w:rPr>
                <w:b/>
                <w:szCs w:val="20"/>
              </w:rPr>
            </w:pPr>
            <w:r w:rsidRPr="005A54CD">
              <w:rPr>
                <w:b/>
                <w:szCs w:val="20"/>
              </w:rPr>
              <w:t xml:space="preserve">5 + 1 + 4 </w:t>
            </w:r>
            <w:r w:rsidRPr="005A54CD">
              <w:rPr>
                <w:szCs w:val="20"/>
              </w:rPr>
              <w:t>Cost and efficacy 50% Q2W: 50% Q4W  + exclude 136 attacks/yr + Nordenfelt 2014 utilities</w:t>
            </w:r>
          </w:p>
        </w:tc>
        <w:tc>
          <w:tcPr>
            <w:tcW w:w="684" w:type="pct"/>
            <w:tcBorders>
              <w:top w:val="single" w:sz="4" w:space="0" w:color="auto"/>
              <w:left w:val="nil"/>
              <w:bottom w:val="single" w:sz="4" w:space="0" w:color="auto"/>
              <w:right w:val="single" w:sz="4" w:space="0" w:color="auto"/>
            </w:tcBorders>
          </w:tcPr>
          <w:p w:rsidR="008E5D60" w:rsidRPr="005A54CD" w:rsidRDefault="008E5D60" w:rsidP="00912164">
            <w:pPr>
              <w:pStyle w:val="TableText0"/>
              <w:jc w:val="center"/>
              <w:rPr>
                <w:szCs w:val="20"/>
              </w:rPr>
            </w:pPr>
            <w:r w:rsidRPr="005A54CD">
              <w:rPr>
                <w:iCs/>
                <w:szCs w:val="20"/>
              </w:rPr>
              <w:t>$</w:t>
            </w:r>
            <w:r w:rsidR="005E18BF">
              <w:rPr>
                <w:iCs/>
                <w:noProof/>
                <w:color w:val="000000"/>
                <w:szCs w:val="20"/>
                <w:highlight w:val="black"/>
              </w:rPr>
              <w:t>''''''''''''''''</w:t>
            </w:r>
          </w:p>
        </w:tc>
        <w:tc>
          <w:tcPr>
            <w:tcW w:w="684" w:type="pct"/>
            <w:tcBorders>
              <w:top w:val="single" w:sz="4" w:space="0" w:color="auto"/>
              <w:left w:val="single" w:sz="4" w:space="0" w:color="auto"/>
              <w:bottom w:val="single" w:sz="4" w:space="0" w:color="auto"/>
              <w:right w:val="single" w:sz="4" w:space="0" w:color="auto"/>
            </w:tcBorders>
          </w:tcPr>
          <w:p w:rsidR="008E5D60" w:rsidRPr="005A54CD" w:rsidRDefault="008E5D60" w:rsidP="00912164">
            <w:pPr>
              <w:pStyle w:val="TableText0"/>
              <w:jc w:val="center"/>
              <w:rPr>
                <w:szCs w:val="20"/>
              </w:rPr>
            </w:pPr>
            <w:r w:rsidRPr="005A54CD">
              <w:rPr>
                <w:iCs/>
                <w:szCs w:val="20"/>
              </w:rPr>
              <w:t>0.0613</w:t>
            </w:r>
          </w:p>
        </w:tc>
        <w:tc>
          <w:tcPr>
            <w:tcW w:w="645" w:type="pct"/>
            <w:gridSpan w:val="2"/>
            <w:tcBorders>
              <w:top w:val="single" w:sz="4" w:space="0" w:color="auto"/>
              <w:left w:val="single" w:sz="4" w:space="0" w:color="auto"/>
              <w:bottom w:val="single" w:sz="4" w:space="0" w:color="auto"/>
              <w:right w:val="single" w:sz="4" w:space="0" w:color="auto"/>
            </w:tcBorders>
          </w:tcPr>
          <w:p w:rsidR="008E5D60" w:rsidRPr="005A54CD" w:rsidRDefault="008E5D60" w:rsidP="00912164">
            <w:pPr>
              <w:pStyle w:val="TableText0"/>
              <w:jc w:val="center"/>
              <w:rPr>
                <w:szCs w:val="20"/>
              </w:rPr>
            </w:pPr>
            <w:r w:rsidRPr="005A54CD">
              <w:rPr>
                <w:iCs/>
                <w:szCs w:val="20"/>
              </w:rPr>
              <w:t>$</w:t>
            </w:r>
            <w:r w:rsidR="005E18BF">
              <w:rPr>
                <w:iCs/>
                <w:noProof/>
                <w:color w:val="000000"/>
                <w:szCs w:val="20"/>
                <w:highlight w:val="black"/>
              </w:rPr>
              <w:t>''''''''''''''''''''''''</w:t>
            </w:r>
          </w:p>
        </w:tc>
      </w:tr>
      <w:tr w:rsidR="0054552E" w:rsidRPr="008154B1" w:rsidTr="005A54CD">
        <w:tc>
          <w:tcPr>
            <w:tcW w:w="2987" w:type="pct"/>
            <w:gridSpan w:val="2"/>
            <w:tcBorders>
              <w:top w:val="single" w:sz="4" w:space="0" w:color="auto"/>
              <w:bottom w:val="single" w:sz="4" w:space="0" w:color="auto"/>
            </w:tcBorders>
          </w:tcPr>
          <w:p w:rsidR="0054552E" w:rsidRPr="005A54CD" w:rsidRDefault="0054552E" w:rsidP="00912164">
            <w:pPr>
              <w:pStyle w:val="TableText0"/>
              <w:rPr>
                <w:b/>
                <w:szCs w:val="20"/>
              </w:rPr>
            </w:pPr>
            <w:r w:rsidRPr="005A54CD">
              <w:rPr>
                <w:b/>
                <w:szCs w:val="20"/>
              </w:rPr>
              <w:t xml:space="preserve">1 + 3a + 4: </w:t>
            </w:r>
            <w:r w:rsidRPr="005A54CD">
              <w:rPr>
                <w:szCs w:val="20"/>
              </w:rPr>
              <w:t xml:space="preserve">Exclude 136 attacks/yr + </w:t>
            </w:r>
            <w:r w:rsidR="000F762C" w:rsidRPr="005A54CD">
              <w:rPr>
                <w:szCs w:val="20"/>
              </w:rPr>
              <w:t>RR</w:t>
            </w:r>
            <w:r w:rsidRPr="005A54CD">
              <w:rPr>
                <w:szCs w:val="20"/>
              </w:rPr>
              <w:t>R 0.77 + Nordenfelt 2014 utilities</w:t>
            </w:r>
          </w:p>
        </w:tc>
        <w:tc>
          <w:tcPr>
            <w:tcW w:w="684" w:type="pct"/>
            <w:tcBorders>
              <w:top w:val="single" w:sz="4" w:space="0" w:color="auto"/>
              <w:bottom w:val="single" w:sz="4" w:space="0" w:color="auto"/>
            </w:tcBorders>
          </w:tcPr>
          <w:p w:rsidR="0054552E" w:rsidRPr="005A54CD" w:rsidRDefault="0054552E" w:rsidP="00912164">
            <w:pPr>
              <w:pStyle w:val="TableText0"/>
              <w:jc w:val="center"/>
              <w:rPr>
                <w:szCs w:val="20"/>
              </w:rPr>
            </w:pPr>
            <w:r w:rsidRPr="005A54CD">
              <w:rPr>
                <w:iCs/>
                <w:szCs w:val="20"/>
              </w:rPr>
              <w:t>$</w:t>
            </w:r>
            <w:r w:rsidR="005E18BF">
              <w:rPr>
                <w:iCs/>
                <w:noProof/>
                <w:color w:val="000000"/>
                <w:szCs w:val="20"/>
                <w:highlight w:val="black"/>
              </w:rPr>
              <w:t>''''''''''''''''</w:t>
            </w:r>
          </w:p>
        </w:tc>
        <w:tc>
          <w:tcPr>
            <w:tcW w:w="684" w:type="pct"/>
            <w:tcBorders>
              <w:top w:val="single" w:sz="4" w:space="0" w:color="auto"/>
              <w:bottom w:val="single" w:sz="4" w:space="0" w:color="auto"/>
            </w:tcBorders>
          </w:tcPr>
          <w:p w:rsidR="0054552E" w:rsidRPr="005E18BF" w:rsidRDefault="005E18BF" w:rsidP="00912164">
            <w:pPr>
              <w:pStyle w:val="TableText0"/>
              <w:jc w:val="center"/>
              <w:rPr>
                <w:szCs w:val="20"/>
                <w:highlight w:val="black"/>
              </w:rPr>
            </w:pPr>
            <w:r>
              <w:rPr>
                <w:iCs/>
                <w:noProof/>
                <w:color w:val="000000"/>
                <w:szCs w:val="20"/>
                <w:highlight w:val="black"/>
              </w:rPr>
              <w:t>''''''''''''''''''</w:t>
            </w:r>
          </w:p>
        </w:tc>
        <w:tc>
          <w:tcPr>
            <w:tcW w:w="645" w:type="pct"/>
            <w:gridSpan w:val="2"/>
            <w:tcBorders>
              <w:top w:val="single" w:sz="4" w:space="0" w:color="auto"/>
              <w:bottom w:val="single" w:sz="4" w:space="0" w:color="auto"/>
            </w:tcBorders>
          </w:tcPr>
          <w:p w:rsidR="0054552E" w:rsidRPr="005A54CD" w:rsidRDefault="0054552E" w:rsidP="00912164">
            <w:pPr>
              <w:pStyle w:val="TableText0"/>
              <w:jc w:val="center"/>
              <w:rPr>
                <w:szCs w:val="20"/>
              </w:rPr>
            </w:pPr>
            <w:r w:rsidRPr="005A54CD">
              <w:rPr>
                <w:iCs/>
                <w:szCs w:val="20"/>
              </w:rPr>
              <w:t>$</w:t>
            </w:r>
            <w:r w:rsidR="005E18BF">
              <w:rPr>
                <w:iCs/>
                <w:noProof/>
                <w:color w:val="000000"/>
                <w:szCs w:val="20"/>
                <w:highlight w:val="black"/>
              </w:rPr>
              <w:t>'''''''''''''''''''''''''</w:t>
            </w:r>
          </w:p>
        </w:tc>
      </w:tr>
    </w:tbl>
    <w:p w:rsidR="00AA102E" w:rsidRPr="008154B1" w:rsidRDefault="00AA102E" w:rsidP="00912164">
      <w:pPr>
        <w:pStyle w:val="TableFigureFooter"/>
      </w:pPr>
      <w:r w:rsidRPr="008154B1">
        <w:t>Source: Table 69, p113 of the resubmission; Excel workbook “LANA_REsubmisison_HAE_Sec3_CUA”</w:t>
      </w:r>
    </w:p>
    <w:p w:rsidR="00AA102E" w:rsidRPr="008154B1" w:rsidRDefault="00AA102E" w:rsidP="00912164">
      <w:pPr>
        <w:pStyle w:val="TableFigureFooter"/>
      </w:pPr>
      <w:r w:rsidRPr="008154B1">
        <w:t>AAS = Angioedema Activity Score; CI = confidence interval; ICER = incremental cost-effectiveness ratio; LANA = lanadelumab; Q2W = every 2 weeks; Q4W = every 4 weeks; QALY = quality-adjusted life-years; RRR = relative risk reduction; SOC = standard of care.</w:t>
      </w:r>
    </w:p>
    <w:p w:rsidR="00AA102E" w:rsidRPr="008154B1" w:rsidRDefault="003B4A86" w:rsidP="00912164">
      <w:pPr>
        <w:pStyle w:val="TableFigureFooter"/>
        <w:ind w:left="142" w:hanging="142"/>
        <w:rPr>
          <w:iCs/>
        </w:rPr>
      </w:pPr>
      <w:r w:rsidRPr="008154B1">
        <w:rPr>
          <w:iCs/>
          <w:vertAlign w:val="superscript"/>
        </w:rPr>
        <w:t>a</w:t>
      </w:r>
      <w:r w:rsidR="00AA102E" w:rsidRPr="008154B1">
        <w:rPr>
          <w:iCs/>
        </w:rPr>
        <w:t xml:space="preserve"> As this patient experienced, on average, more than 8 attacks per month, routine prophylaxis with C1-INH may be a more appropriate comparator than SOC in this patient.</w:t>
      </w:r>
    </w:p>
    <w:p w:rsidR="00AA102E" w:rsidRDefault="003B4A86" w:rsidP="00912164">
      <w:pPr>
        <w:pStyle w:val="TableFigureFooter"/>
        <w:ind w:left="142" w:hanging="142"/>
        <w:rPr>
          <w:iCs/>
        </w:rPr>
      </w:pPr>
      <w:r w:rsidRPr="008154B1">
        <w:rPr>
          <w:iCs/>
          <w:vertAlign w:val="superscript"/>
        </w:rPr>
        <w:t>b</w:t>
      </w:r>
      <w:r w:rsidR="00AA102E" w:rsidRPr="008154B1">
        <w:rPr>
          <w:iCs/>
          <w:vertAlign w:val="superscript"/>
        </w:rPr>
        <w:t xml:space="preserve"> </w:t>
      </w:r>
      <w:r w:rsidR="00AA102E" w:rsidRPr="008154B1">
        <w:rPr>
          <w:iCs/>
        </w:rPr>
        <w:t>Both the Institute of Clinical and Economic Review and CADTH applied the formula:  Utility = 0.825 – 0.043*#attacks – 0.2205* age, where #attacks was the mean number of attacks per month, and age was measured in increments of 10 years. This formula was based on the results reported in Nordenfelt 2014.</w:t>
      </w:r>
    </w:p>
    <w:p w:rsidR="003D4E78" w:rsidRPr="003D4E78" w:rsidRDefault="003D4E78" w:rsidP="00912164">
      <w:pPr>
        <w:pStyle w:val="TableFigureFooter"/>
        <w:ind w:left="142" w:hanging="142"/>
        <w:rPr>
          <w:i/>
          <w:iCs/>
          <w:sz w:val="24"/>
          <w:szCs w:val="24"/>
        </w:rPr>
      </w:pPr>
    </w:p>
    <w:p w:rsidR="004E5309" w:rsidRPr="008154B1" w:rsidRDefault="003D4E78" w:rsidP="00912164">
      <w:pPr>
        <w:pStyle w:val="3-BodyText"/>
      </w:pPr>
      <w:r w:rsidRPr="0024686F">
        <w:t>The redacted table shows ICERs in the range of $ 45,000/QALY - $75,000/QALY to more than $200,000/QALY.</w:t>
      </w:r>
      <w:r w:rsidR="004E5309" w:rsidRPr="008154B1">
        <w:t xml:space="preserve">As discussed above, when determining the ‘between-attack’ utility based on the frequency, severity and duration of attacks, the resubmission may have overestimated the utility decrement associated with each incremental increase in the number of treated attacks experienced per 28 days. The sensitivity analysis performed during the evaluation, using an alternative ‘between-attack’ utility (0.825 for 0 attacks, with a decrement of 0.0043 for each additional attack per 28 days, based on results from Nordenfelt 2014) resulted in an ICER of </w:t>
      </w:r>
      <w:r w:rsidR="00480C27">
        <w:rPr>
          <w:rFonts w:cstheme="minorHAnsi"/>
        </w:rPr>
        <w:t>$105,000</w:t>
      </w:r>
      <w:r w:rsidR="004E5309" w:rsidRPr="008154B1">
        <w:t>/QALY</w:t>
      </w:r>
      <w:r w:rsidR="00480C27">
        <w:t xml:space="preserve"> - $200,000/QALY</w:t>
      </w:r>
      <w:r w:rsidR="004E5309" w:rsidRPr="008154B1">
        <w:t xml:space="preserve"> gained. </w:t>
      </w:r>
      <w:r w:rsidR="00CA3A9A" w:rsidRPr="008154B1">
        <w:t>T</w:t>
      </w:r>
      <w:r w:rsidR="004E5309" w:rsidRPr="008154B1">
        <w:t>he ESC considered th</w:t>
      </w:r>
      <w:r w:rsidR="004B53CE" w:rsidRPr="008154B1">
        <w:t xml:space="preserve">at the Nordenfelt 2014 utilities were more appropriate to use in the base case. </w:t>
      </w:r>
    </w:p>
    <w:p w:rsidR="00AD67B3" w:rsidRPr="008154B1" w:rsidRDefault="00DE37BA" w:rsidP="00912164">
      <w:pPr>
        <w:pStyle w:val="3-BodyText"/>
      </w:pPr>
      <w:r w:rsidRPr="008154B1">
        <w:lastRenderedPageBreak/>
        <w:t xml:space="preserve">Figure 2 </w:t>
      </w:r>
      <w:r w:rsidR="00F87C3E" w:rsidRPr="008154B1">
        <w:t>illustrates t</w:t>
      </w:r>
      <w:r w:rsidR="00AD67B3" w:rsidRPr="008154B1">
        <w:t xml:space="preserve">he impact of the baseline frequency of treated HAE attacks on the outcome of the economic model, firstly for the base case, in which </w:t>
      </w:r>
      <w:r w:rsidR="005E18BF">
        <w:rPr>
          <w:noProof/>
          <w:color w:val="000000"/>
          <w:highlight w:val="black"/>
        </w:rPr>
        <w:t>'''''</w:t>
      </w:r>
      <w:r w:rsidR="00AD67B3" w:rsidRPr="008154B1">
        <w:t>% of patients were assumed to receive the less frequent dose of lanadelumab (300 mg Q4W)</w:t>
      </w:r>
      <w:r w:rsidR="00F87C3E" w:rsidRPr="008154B1">
        <w:t>, and secondly</w:t>
      </w:r>
      <w:r w:rsidR="00AD67B3" w:rsidRPr="008154B1">
        <w:t xml:space="preserve"> assuming that all patients receive lanadelumab 300 mg Q2W.</w:t>
      </w:r>
    </w:p>
    <w:p w:rsidR="00AD67B3" w:rsidRPr="008154B1" w:rsidRDefault="00AD67B3" w:rsidP="00912164">
      <w:pPr>
        <w:pStyle w:val="TableFigureHeading"/>
      </w:pPr>
      <w:bookmarkStart w:id="26" w:name="_Ref39908647"/>
      <w:r w:rsidRPr="008154B1">
        <w:t>Figure</w:t>
      </w:r>
      <w:bookmarkEnd w:id="26"/>
      <w:r w:rsidR="00DE37BA" w:rsidRPr="008154B1">
        <w:t xml:space="preserve"> 2</w:t>
      </w:r>
      <w:r w:rsidRPr="008154B1">
        <w:t>: Impact of the baseline frequency of treated HAE attacks and the proportion of patients assumed to receive the less frequent dose of lanadelumab (300 mg Q4W) on the outcome of the economic model.</w:t>
      </w:r>
    </w:p>
    <w:p w:rsidR="00AD67B3" w:rsidRPr="008154B1" w:rsidRDefault="005E18BF" w:rsidP="00912164">
      <w:pPr>
        <w:pStyle w:val="3-BodyText"/>
        <w:numPr>
          <w:ilvl w:val="0"/>
          <w:numId w:val="0"/>
        </w:numPr>
        <w:ind w:left="142"/>
      </w:pPr>
      <w:r>
        <w:rPr>
          <w:noProof/>
          <w:snapToGrid/>
        </w:rPr>
        <w:drawing>
          <wp:inline distT="0" distB="0" distL="0" distR="0">
            <wp:extent cx="5596890" cy="3560445"/>
            <wp:effectExtent l="0" t="0" r="3810" b="190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596890" cy="3560445"/>
                    </a:xfrm>
                    <a:prstGeom prst="rect">
                      <a:avLst/>
                    </a:prstGeom>
                  </pic:spPr>
                </pic:pic>
              </a:graphicData>
            </a:graphic>
          </wp:inline>
        </w:drawing>
      </w:r>
    </w:p>
    <w:p w:rsidR="00AD67B3" w:rsidRPr="008154B1" w:rsidRDefault="00AD67B3" w:rsidP="00912164">
      <w:pPr>
        <w:pStyle w:val="TableFigureFooter"/>
        <w:keepNext/>
        <w:rPr>
          <w:iCs/>
        </w:rPr>
      </w:pPr>
      <w:r w:rsidRPr="008154B1">
        <w:rPr>
          <w:iCs/>
        </w:rPr>
        <w:t>Source: Constructed during the evaluation from data in the Excel workbook “LANA_REsubmisison_HAE_Sec3_CUA”</w:t>
      </w:r>
    </w:p>
    <w:p w:rsidR="00AD67B3" w:rsidRPr="008154B1" w:rsidRDefault="00AD67B3" w:rsidP="00912164">
      <w:pPr>
        <w:pStyle w:val="TableFigureFooter"/>
      </w:pPr>
      <w:r w:rsidRPr="008154B1">
        <w:t>ICER = incremental cost-effectiveness ratio; HAE = hereditary angioedema; Q2W = every 2 weeks; Q4W = every 4 weeks; QALY = quality-adjusted life-year</w:t>
      </w:r>
    </w:p>
    <w:p w:rsidR="00AD67B3" w:rsidRPr="008154B1" w:rsidRDefault="00AD67B3" w:rsidP="00912164">
      <w:pPr>
        <w:pStyle w:val="TableFigureFooter"/>
      </w:pPr>
      <w:r w:rsidRPr="008154B1">
        <w:t>Note: the mean number of attacks requiring acute treatment in the placebo arm of HELP was 1.64 per 4 weeks (approximately 21 per year).</w:t>
      </w:r>
    </w:p>
    <w:p w:rsidR="00AD67B3" w:rsidRPr="008154B1" w:rsidRDefault="00AD67B3" w:rsidP="007D1E58">
      <w:pPr>
        <w:pStyle w:val="3-BodyText"/>
      </w:pPr>
      <w:r w:rsidRPr="008154B1">
        <w:t xml:space="preserve">The cost-effectiveness of lanadelumab for the prophylaxis of HAE attacks was highly sensitive to the baseline HAE attack rate. As discussed above, the distribution of baseline attack rates was a major source of uncertainty in the economic model. The estimated ICER in patients experiencing a baseline treated attack rate of 24 treated attacks per year (an approximation for the threshold PBS eligibility attack rate of 12 treated attacks in 6 months) was </w:t>
      </w:r>
      <w:r w:rsidR="00480C27">
        <w:t>more than $200,000</w:t>
      </w:r>
      <w:r w:rsidRPr="008154B1">
        <w:t xml:space="preserve">/QALY gained. The ICER fell below </w:t>
      </w:r>
      <w:r w:rsidR="007D1E58">
        <w:t>$</w:t>
      </w:r>
      <w:r w:rsidR="007D1E58" w:rsidRPr="007D1E58">
        <w:t>75,000/QALY – $105,000/QALY</w:t>
      </w:r>
      <w:r w:rsidR="007D1E58">
        <w:t xml:space="preserve"> </w:t>
      </w:r>
      <w:r w:rsidRPr="008154B1">
        <w:t xml:space="preserve">at a baseline attack frequency of 50 treated attacks per year, with lanadelumab dominating at baseline rates of ≥ 60 per year. Given that C1-INH may be a more appropriate comparator than placebo in patients experiencing ≥ 8 treated attacks per month (96 per year), </w:t>
      </w:r>
      <w:r w:rsidR="00DE37BA" w:rsidRPr="008154B1">
        <w:t xml:space="preserve">the evaluation considered </w:t>
      </w:r>
      <w:r w:rsidRPr="008154B1">
        <w:t xml:space="preserve">it may have been appropriate to exclude these patients from the cost-effectiveness analysis versus placebo. When the patient from the PBS data who received 136 injections of icatibant over 12 months was excluded from the analysis, the ICER increased to </w:t>
      </w:r>
      <w:r w:rsidR="00480C27" w:rsidRPr="007D1E58">
        <w:rPr>
          <w:rFonts w:cstheme="minorHAnsi"/>
        </w:rPr>
        <w:t>$105,000/QALY - $200,000</w:t>
      </w:r>
      <w:r w:rsidRPr="008154B1">
        <w:t>/QALY gained.</w:t>
      </w:r>
    </w:p>
    <w:p w:rsidR="004E70BD" w:rsidRPr="008154B1" w:rsidRDefault="004E70BD" w:rsidP="00912164">
      <w:pPr>
        <w:pStyle w:val="3-BodyText"/>
      </w:pPr>
      <w:r w:rsidRPr="008154B1">
        <w:lastRenderedPageBreak/>
        <w:t>The ESC considered that variability in HAE attack rates has a major impact on the results of the economic model, and noted that there is a large degree of variability in HAE attack rates between and within patients as evidenced by the differences in baseline HAE attack rates between arms in the HELP trial (ranging from 4.02 attacks per month in the plac</w:t>
      </w:r>
      <w:r w:rsidR="00F0341A" w:rsidRPr="008154B1">
        <w:t>ebo arm to 3.52 in the Q2W arm</w:t>
      </w:r>
      <w:r w:rsidRPr="008154B1">
        <w:t xml:space="preserve">). </w:t>
      </w:r>
      <w:r w:rsidR="00787DD3" w:rsidRPr="008154B1">
        <w:t>The ESC considered this added to the uncertainty in the model.</w:t>
      </w:r>
    </w:p>
    <w:p w:rsidR="008C3CAE" w:rsidRPr="008154B1" w:rsidRDefault="00AD67B3" w:rsidP="00912164">
      <w:pPr>
        <w:pStyle w:val="3-BodyText"/>
      </w:pPr>
      <w:r w:rsidRPr="008154B1">
        <w:t xml:space="preserve">The proportion of patients who were assumed to receive the less frequent dose of lanadelumab (300 mg Q4W) also had a considerable impact on the result of the economic model. If all patients were assumed to receive lanadelumab 300 mg Q2W, consistent with the dose at which the efficacy results applied in the model were observed, the ICER increased to </w:t>
      </w:r>
      <w:r w:rsidR="00480C27">
        <w:rPr>
          <w:rFonts w:cstheme="minorHAnsi"/>
        </w:rPr>
        <w:t>more than $200,000</w:t>
      </w:r>
      <w:r w:rsidRPr="008154B1">
        <w:t>/QALY gained.</w:t>
      </w:r>
      <w:r w:rsidR="007045AD" w:rsidRPr="008154B1">
        <w:t xml:space="preserve"> </w:t>
      </w:r>
      <w:r w:rsidR="00825E75" w:rsidRPr="008154B1">
        <w:t>On the other hand, t</w:t>
      </w:r>
      <w:r w:rsidR="00825E75" w:rsidRPr="008154B1">
        <w:rPr>
          <w:iCs/>
        </w:rPr>
        <w:t>he ESC noted that the ICER is dominant if all patients are treated with the Q4W regimen, noting that the TGA Product Information recommends that the Q4W dose may be considered for patients who are ‘stably attack free on treatment’.</w:t>
      </w:r>
    </w:p>
    <w:p w:rsidR="00AD67B3" w:rsidRPr="008154B1" w:rsidRDefault="00892B57" w:rsidP="00912164">
      <w:pPr>
        <w:pStyle w:val="3-BodyText"/>
      </w:pPr>
      <w:r w:rsidRPr="008154B1">
        <w:t xml:space="preserve">The ESC considered that, while clinical immunologists would generally try to use the lowest effective dose once the condition is stabilised, it was unlikely that the proportion of patients transitioning to the Q4W dosing regimen would be as high as the </w:t>
      </w:r>
      <w:r w:rsidR="005E18BF">
        <w:rPr>
          <w:noProof/>
          <w:color w:val="000000"/>
          <w:highlight w:val="black"/>
        </w:rPr>
        <w:t>'''''</w:t>
      </w:r>
      <w:r w:rsidRPr="008154B1">
        <w:t xml:space="preserve">% assumed in the resubmission. </w:t>
      </w:r>
      <w:r w:rsidR="009E49F7" w:rsidRPr="008154B1">
        <w:t>The ESC considered that it was unclear what proportion of patients would transition to the Q4W dose in clinical practice, but noted that a multivariate sensitivity analysis in which costs and efficacy were both adjusted to account for 50% of patients remain</w:t>
      </w:r>
      <w:r w:rsidR="004E5309" w:rsidRPr="008154B1">
        <w:t>ing</w:t>
      </w:r>
      <w:r w:rsidR="009E49F7" w:rsidRPr="008154B1">
        <w:t xml:space="preserve"> on the Q2W dose (and 50% transitioning to Q4W) resulted in an ICER of </w:t>
      </w:r>
      <w:r w:rsidR="00480C27">
        <w:rPr>
          <w:rFonts w:cstheme="minorHAnsi"/>
        </w:rPr>
        <w:t>more than $200,000</w:t>
      </w:r>
      <w:r w:rsidR="007D57CA" w:rsidRPr="008154B1">
        <w:t>/QALY</w:t>
      </w:r>
      <w:r w:rsidR="008154B1">
        <w:t xml:space="preserve">. </w:t>
      </w:r>
    </w:p>
    <w:p w:rsidR="00AD67B3" w:rsidRPr="008154B1" w:rsidRDefault="00AD67B3" w:rsidP="00912164">
      <w:pPr>
        <w:pStyle w:val="4-SubsectionHeading"/>
      </w:pPr>
      <w:bookmarkStart w:id="27" w:name="_Toc40174756"/>
      <w:bookmarkStart w:id="28" w:name="_Toc40185434"/>
      <w:bookmarkStart w:id="29" w:name="_Toc22897650"/>
      <w:bookmarkEnd w:id="24"/>
      <w:r w:rsidRPr="008154B1">
        <w:t>Drug cost/patient/year</w:t>
      </w:r>
      <w:bookmarkEnd w:id="27"/>
      <w:bookmarkEnd w:id="28"/>
    </w:p>
    <w:p w:rsidR="00AD67B3" w:rsidRPr="008154B1" w:rsidRDefault="00AD67B3" w:rsidP="00912164">
      <w:pPr>
        <w:pStyle w:val="TableFigureHeading"/>
      </w:pPr>
      <w:r w:rsidRPr="008154B1">
        <w:t xml:space="preserve">Table </w:t>
      </w:r>
      <w:r w:rsidR="00AD3609" w:rsidRPr="008154B1">
        <w:t>14</w:t>
      </w:r>
      <w:r w:rsidRPr="008154B1">
        <w:t>: Drug cost per patient per year for lanadelumab (effective price)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54"/>
        <w:gridCol w:w="2088"/>
        <w:gridCol w:w="2088"/>
        <w:gridCol w:w="2087"/>
      </w:tblGrid>
      <w:tr w:rsidR="00AD67B3" w:rsidRPr="005A54CD" w:rsidTr="005A54CD">
        <w:trPr>
          <w:jc w:val="center"/>
        </w:trPr>
        <w:tc>
          <w:tcPr>
            <w:tcW w:w="1527" w:type="pct"/>
            <w:shd w:val="clear" w:color="auto" w:fill="auto"/>
          </w:tcPr>
          <w:p w:rsidR="00AD67B3" w:rsidRPr="005A54CD" w:rsidRDefault="00AD67B3" w:rsidP="00912164">
            <w:pPr>
              <w:pStyle w:val="In-tableHeading"/>
              <w:jc w:val="center"/>
              <w:rPr>
                <w:szCs w:val="20"/>
                <w:lang w:val="en-AU"/>
              </w:rPr>
            </w:pPr>
          </w:p>
        </w:tc>
        <w:tc>
          <w:tcPr>
            <w:tcW w:w="1158" w:type="pct"/>
            <w:shd w:val="clear" w:color="auto" w:fill="auto"/>
          </w:tcPr>
          <w:p w:rsidR="00AD67B3" w:rsidRPr="005A54CD" w:rsidRDefault="00AD67B3" w:rsidP="00912164">
            <w:pPr>
              <w:pStyle w:val="In-tableHeading"/>
              <w:jc w:val="center"/>
              <w:rPr>
                <w:szCs w:val="20"/>
                <w:lang w:val="en-AU"/>
              </w:rPr>
            </w:pPr>
            <w:r w:rsidRPr="005A54CD">
              <w:rPr>
                <w:szCs w:val="20"/>
                <w:lang w:val="en-AU"/>
              </w:rPr>
              <w:t>Trial dose</w:t>
            </w:r>
            <w:r w:rsidRPr="005A54CD">
              <w:rPr>
                <w:szCs w:val="20"/>
                <w:vertAlign w:val="superscript"/>
                <w:lang w:val="en-AU"/>
              </w:rPr>
              <w:t>a</w:t>
            </w:r>
          </w:p>
        </w:tc>
        <w:tc>
          <w:tcPr>
            <w:tcW w:w="1158" w:type="pct"/>
            <w:shd w:val="clear" w:color="auto" w:fill="auto"/>
          </w:tcPr>
          <w:p w:rsidR="00AD67B3" w:rsidRPr="005A54CD" w:rsidRDefault="00AD67B3" w:rsidP="00912164">
            <w:pPr>
              <w:pStyle w:val="In-tableHeading"/>
              <w:jc w:val="center"/>
              <w:rPr>
                <w:szCs w:val="20"/>
                <w:lang w:val="en-AU"/>
              </w:rPr>
            </w:pPr>
            <w:r w:rsidRPr="005A54CD">
              <w:rPr>
                <w:szCs w:val="20"/>
                <w:lang w:val="en-AU"/>
              </w:rPr>
              <w:t>Model</w:t>
            </w:r>
          </w:p>
        </w:tc>
        <w:tc>
          <w:tcPr>
            <w:tcW w:w="1157" w:type="pct"/>
            <w:shd w:val="clear" w:color="auto" w:fill="auto"/>
          </w:tcPr>
          <w:p w:rsidR="00AD67B3" w:rsidRPr="005A54CD" w:rsidRDefault="00AD67B3" w:rsidP="00912164">
            <w:pPr>
              <w:pStyle w:val="In-tableHeading"/>
              <w:jc w:val="center"/>
              <w:rPr>
                <w:szCs w:val="20"/>
                <w:lang w:val="en-AU"/>
              </w:rPr>
            </w:pPr>
            <w:r w:rsidRPr="005A54CD">
              <w:rPr>
                <w:szCs w:val="20"/>
                <w:lang w:val="en-AU"/>
              </w:rPr>
              <w:t>Financial estimates</w:t>
            </w:r>
          </w:p>
        </w:tc>
      </w:tr>
      <w:tr w:rsidR="00AD67B3" w:rsidRPr="005A54CD" w:rsidTr="005A54CD">
        <w:trPr>
          <w:jc w:val="center"/>
        </w:trPr>
        <w:tc>
          <w:tcPr>
            <w:tcW w:w="1527" w:type="pct"/>
            <w:shd w:val="clear" w:color="auto" w:fill="auto"/>
            <w:vAlign w:val="center"/>
          </w:tcPr>
          <w:p w:rsidR="00AD67B3" w:rsidRPr="005A54CD" w:rsidRDefault="00AD67B3" w:rsidP="00912164">
            <w:pPr>
              <w:pStyle w:val="TableText0"/>
              <w:ind w:right="-45"/>
              <w:rPr>
                <w:szCs w:val="20"/>
              </w:rPr>
            </w:pPr>
            <w:r w:rsidRPr="005A54CD">
              <w:rPr>
                <w:szCs w:val="20"/>
              </w:rPr>
              <w:t>Mean dose</w:t>
            </w:r>
          </w:p>
        </w:tc>
        <w:tc>
          <w:tcPr>
            <w:tcW w:w="1158" w:type="pct"/>
            <w:shd w:val="clear" w:color="auto" w:fill="auto"/>
            <w:vAlign w:val="center"/>
          </w:tcPr>
          <w:p w:rsidR="00AD67B3" w:rsidRPr="005A54CD" w:rsidRDefault="00AD67B3" w:rsidP="00912164">
            <w:pPr>
              <w:pStyle w:val="TableText0"/>
              <w:jc w:val="center"/>
              <w:rPr>
                <w:szCs w:val="20"/>
                <w:vertAlign w:val="superscript"/>
              </w:rPr>
            </w:pPr>
            <w:r w:rsidRPr="005A54CD">
              <w:rPr>
                <w:szCs w:val="20"/>
              </w:rPr>
              <w:t>300 mg Q2W</w:t>
            </w:r>
            <w:r w:rsidRPr="005A54CD">
              <w:rPr>
                <w:szCs w:val="20"/>
                <w:vertAlign w:val="superscript"/>
              </w:rPr>
              <w:t>a</w:t>
            </w:r>
          </w:p>
        </w:tc>
        <w:tc>
          <w:tcPr>
            <w:tcW w:w="1158" w:type="pct"/>
            <w:shd w:val="clear" w:color="auto" w:fill="auto"/>
          </w:tcPr>
          <w:p w:rsidR="00AD67B3" w:rsidRPr="000A0AF8" w:rsidRDefault="00AD67B3" w:rsidP="00912164">
            <w:pPr>
              <w:pStyle w:val="TableText0"/>
              <w:jc w:val="center"/>
              <w:rPr>
                <w:szCs w:val="20"/>
              </w:rPr>
            </w:pPr>
            <w:r w:rsidRPr="000A0AF8">
              <w:rPr>
                <w:szCs w:val="20"/>
              </w:rPr>
              <w:t>23% 300 mg Q2W</w:t>
            </w:r>
          </w:p>
          <w:p w:rsidR="00AD67B3" w:rsidRPr="000A0AF8" w:rsidRDefault="005E18BF" w:rsidP="00912164">
            <w:pPr>
              <w:pStyle w:val="TableText0"/>
              <w:jc w:val="center"/>
              <w:rPr>
                <w:szCs w:val="20"/>
              </w:rPr>
            </w:pPr>
            <w:r>
              <w:rPr>
                <w:noProof/>
                <w:color w:val="000000"/>
                <w:szCs w:val="20"/>
                <w:highlight w:val="black"/>
              </w:rPr>
              <w:t>''''''</w:t>
            </w:r>
            <w:r w:rsidR="00AD67B3" w:rsidRPr="000A0AF8">
              <w:rPr>
                <w:szCs w:val="20"/>
              </w:rPr>
              <w:t>% 300 mg Q4W</w:t>
            </w:r>
          </w:p>
        </w:tc>
        <w:tc>
          <w:tcPr>
            <w:tcW w:w="1157" w:type="pct"/>
            <w:shd w:val="clear" w:color="auto" w:fill="auto"/>
          </w:tcPr>
          <w:p w:rsidR="00AD67B3" w:rsidRPr="000A0AF8" w:rsidRDefault="005E18BF" w:rsidP="00912164">
            <w:pPr>
              <w:pStyle w:val="TableText0"/>
              <w:jc w:val="center"/>
              <w:rPr>
                <w:szCs w:val="20"/>
              </w:rPr>
            </w:pPr>
            <w:r>
              <w:rPr>
                <w:noProof/>
                <w:color w:val="000000"/>
                <w:szCs w:val="20"/>
                <w:highlight w:val="black"/>
              </w:rPr>
              <w:t>''''''</w:t>
            </w:r>
            <w:r w:rsidR="00AD67B3" w:rsidRPr="000A0AF8">
              <w:rPr>
                <w:szCs w:val="20"/>
              </w:rPr>
              <w:t>% 300 mg Q2W</w:t>
            </w:r>
          </w:p>
          <w:p w:rsidR="00AD67B3" w:rsidRPr="000A0AF8" w:rsidRDefault="005E18BF" w:rsidP="00912164">
            <w:pPr>
              <w:pStyle w:val="TableText0"/>
              <w:jc w:val="center"/>
              <w:rPr>
                <w:szCs w:val="20"/>
              </w:rPr>
            </w:pPr>
            <w:r>
              <w:rPr>
                <w:noProof/>
                <w:color w:val="000000"/>
                <w:szCs w:val="20"/>
                <w:highlight w:val="black"/>
              </w:rPr>
              <w:t>''''''</w:t>
            </w:r>
            <w:r w:rsidR="00AD67B3" w:rsidRPr="000A0AF8">
              <w:rPr>
                <w:szCs w:val="20"/>
              </w:rPr>
              <w:t>% 300 mg Q4W</w:t>
            </w:r>
          </w:p>
        </w:tc>
      </w:tr>
      <w:tr w:rsidR="00AD67B3" w:rsidRPr="005A54CD" w:rsidTr="005A54CD">
        <w:trPr>
          <w:jc w:val="center"/>
        </w:trPr>
        <w:tc>
          <w:tcPr>
            <w:tcW w:w="1527" w:type="pct"/>
            <w:shd w:val="clear" w:color="auto" w:fill="auto"/>
            <w:vAlign w:val="center"/>
          </w:tcPr>
          <w:p w:rsidR="00AD67B3" w:rsidRPr="005A54CD" w:rsidRDefault="00AD67B3" w:rsidP="00912164">
            <w:pPr>
              <w:pStyle w:val="TableText0"/>
              <w:rPr>
                <w:szCs w:val="20"/>
              </w:rPr>
            </w:pPr>
            <w:r w:rsidRPr="005A54CD">
              <w:rPr>
                <w:szCs w:val="20"/>
              </w:rPr>
              <w:t>Mean number of doses/patient/year</w:t>
            </w:r>
          </w:p>
        </w:tc>
        <w:tc>
          <w:tcPr>
            <w:tcW w:w="1158" w:type="pct"/>
            <w:shd w:val="clear" w:color="auto" w:fill="auto"/>
          </w:tcPr>
          <w:p w:rsidR="00AD67B3" w:rsidRPr="005A54CD" w:rsidRDefault="00AD67B3" w:rsidP="00912164">
            <w:pPr>
              <w:pStyle w:val="TableText0"/>
              <w:jc w:val="center"/>
              <w:rPr>
                <w:szCs w:val="20"/>
                <w:vertAlign w:val="superscript"/>
              </w:rPr>
            </w:pPr>
            <w:r w:rsidRPr="005A54CD">
              <w:rPr>
                <w:szCs w:val="20"/>
              </w:rPr>
              <w:t>26.0</w:t>
            </w:r>
            <w:r w:rsidRPr="005A54CD">
              <w:rPr>
                <w:szCs w:val="20"/>
                <w:vertAlign w:val="superscript"/>
              </w:rPr>
              <w:t>a</w:t>
            </w:r>
          </w:p>
        </w:tc>
        <w:tc>
          <w:tcPr>
            <w:tcW w:w="1158" w:type="pct"/>
            <w:shd w:val="clear" w:color="auto" w:fill="auto"/>
          </w:tcPr>
          <w:p w:rsidR="00AD67B3" w:rsidRPr="005E18BF" w:rsidRDefault="005E18BF" w:rsidP="00912164">
            <w:pPr>
              <w:pStyle w:val="TableText0"/>
              <w:jc w:val="center"/>
              <w:rPr>
                <w:szCs w:val="20"/>
                <w:highlight w:val="black"/>
              </w:rPr>
            </w:pPr>
            <w:r>
              <w:rPr>
                <w:noProof/>
                <w:color w:val="000000"/>
                <w:szCs w:val="20"/>
                <w:highlight w:val="black"/>
              </w:rPr>
              <w:t>'''''''''''''</w:t>
            </w:r>
          </w:p>
        </w:tc>
        <w:tc>
          <w:tcPr>
            <w:tcW w:w="1157" w:type="pct"/>
            <w:shd w:val="clear" w:color="auto" w:fill="auto"/>
          </w:tcPr>
          <w:p w:rsidR="00AD67B3" w:rsidRPr="005E18BF" w:rsidRDefault="005E18BF" w:rsidP="00912164">
            <w:pPr>
              <w:pStyle w:val="TableText0"/>
              <w:jc w:val="center"/>
              <w:rPr>
                <w:szCs w:val="20"/>
                <w:highlight w:val="black"/>
              </w:rPr>
            </w:pPr>
            <w:r>
              <w:rPr>
                <w:noProof/>
                <w:color w:val="000000"/>
                <w:szCs w:val="20"/>
                <w:highlight w:val="black"/>
              </w:rPr>
              <w:t>''''''''''''''</w:t>
            </w:r>
          </w:p>
        </w:tc>
      </w:tr>
      <w:tr w:rsidR="00AD67B3" w:rsidRPr="005A54CD" w:rsidTr="005A54CD">
        <w:trPr>
          <w:jc w:val="center"/>
        </w:trPr>
        <w:tc>
          <w:tcPr>
            <w:tcW w:w="1527" w:type="pct"/>
            <w:shd w:val="clear" w:color="auto" w:fill="auto"/>
            <w:vAlign w:val="center"/>
          </w:tcPr>
          <w:p w:rsidR="00AD67B3" w:rsidRPr="005A54CD" w:rsidRDefault="00AD67B3" w:rsidP="00912164">
            <w:pPr>
              <w:pStyle w:val="TableText0"/>
              <w:rPr>
                <w:szCs w:val="20"/>
              </w:rPr>
            </w:pPr>
            <w:r w:rsidRPr="005A54CD">
              <w:rPr>
                <w:szCs w:val="20"/>
              </w:rPr>
              <w:t>Cost/patient/month</w:t>
            </w:r>
          </w:p>
        </w:tc>
        <w:tc>
          <w:tcPr>
            <w:tcW w:w="1158" w:type="pct"/>
            <w:shd w:val="clear" w:color="auto" w:fill="auto"/>
          </w:tcPr>
          <w:p w:rsidR="00AD67B3" w:rsidRPr="005A54CD" w:rsidRDefault="00AD67B3" w:rsidP="00912164">
            <w:pPr>
              <w:pStyle w:val="TableText0"/>
              <w:jc w:val="center"/>
              <w:rPr>
                <w:szCs w:val="20"/>
                <w:vertAlign w:val="superscript"/>
              </w:rPr>
            </w:pPr>
            <w:r w:rsidRPr="005A54CD">
              <w:rPr>
                <w:szCs w:val="20"/>
              </w:rPr>
              <w:t>$</w:t>
            </w:r>
            <w:r w:rsidR="005E18BF">
              <w:rPr>
                <w:noProof/>
                <w:color w:val="000000"/>
                <w:szCs w:val="20"/>
                <w:highlight w:val="black"/>
              </w:rPr>
              <w:t>''''''''''''''''</w:t>
            </w:r>
            <w:r w:rsidR="00045CE4" w:rsidRPr="005A54CD">
              <w:rPr>
                <w:szCs w:val="20"/>
                <w:vertAlign w:val="superscript"/>
              </w:rPr>
              <w:t xml:space="preserve"> b</w:t>
            </w:r>
          </w:p>
        </w:tc>
        <w:tc>
          <w:tcPr>
            <w:tcW w:w="1158" w:type="pct"/>
            <w:shd w:val="clear" w:color="auto" w:fill="auto"/>
          </w:tcPr>
          <w:p w:rsidR="00AD67B3" w:rsidRPr="000A0AF8" w:rsidRDefault="00AD67B3" w:rsidP="00912164">
            <w:pPr>
              <w:pStyle w:val="TableText0"/>
              <w:jc w:val="center"/>
              <w:rPr>
                <w:iCs/>
                <w:szCs w:val="20"/>
                <w:vertAlign w:val="superscript"/>
              </w:rPr>
            </w:pPr>
            <w:r w:rsidRPr="000A0AF8">
              <w:rPr>
                <w:iCs/>
                <w:szCs w:val="20"/>
              </w:rPr>
              <w:t>$</w:t>
            </w:r>
            <w:r w:rsidR="005E18BF">
              <w:rPr>
                <w:iCs/>
                <w:noProof/>
                <w:color w:val="000000"/>
                <w:szCs w:val="20"/>
                <w:highlight w:val="black"/>
              </w:rPr>
              <w:t>''''''''''''''''</w:t>
            </w:r>
            <w:r w:rsidR="00045CE4" w:rsidRPr="000A0AF8">
              <w:rPr>
                <w:szCs w:val="20"/>
                <w:vertAlign w:val="superscript"/>
              </w:rPr>
              <w:t xml:space="preserve"> b</w:t>
            </w:r>
          </w:p>
        </w:tc>
        <w:tc>
          <w:tcPr>
            <w:tcW w:w="1157" w:type="pct"/>
            <w:shd w:val="clear" w:color="auto" w:fill="auto"/>
          </w:tcPr>
          <w:p w:rsidR="00AD67B3" w:rsidRPr="000A0AF8" w:rsidRDefault="00AD67B3" w:rsidP="00912164">
            <w:pPr>
              <w:pStyle w:val="TableText0"/>
              <w:jc w:val="center"/>
              <w:rPr>
                <w:iCs/>
                <w:szCs w:val="20"/>
              </w:rPr>
            </w:pPr>
            <w:r w:rsidRPr="000A0AF8">
              <w:rPr>
                <w:iCs/>
                <w:szCs w:val="20"/>
              </w:rPr>
              <w:t>$</w:t>
            </w:r>
            <w:r w:rsidR="005E18BF">
              <w:rPr>
                <w:iCs/>
                <w:noProof/>
                <w:color w:val="000000"/>
                <w:szCs w:val="20"/>
                <w:highlight w:val="black"/>
              </w:rPr>
              <w:t>'''''''''''''''</w:t>
            </w:r>
            <w:r w:rsidR="00045CE4" w:rsidRPr="000A0AF8">
              <w:rPr>
                <w:szCs w:val="20"/>
                <w:vertAlign w:val="superscript"/>
              </w:rPr>
              <w:t xml:space="preserve"> b</w:t>
            </w:r>
          </w:p>
        </w:tc>
      </w:tr>
      <w:tr w:rsidR="00AD67B3" w:rsidRPr="005A54CD" w:rsidTr="005A54CD">
        <w:trPr>
          <w:jc w:val="center"/>
        </w:trPr>
        <w:tc>
          <w:tcPr>
            <w:tcW w:w="1527" w:type="pct"/>
            <w:shd w:val="clear" w:color="auto" w:fill="auto"/>
            <w:vAlign w:val="center"/>
          </w:tcPr>
          <w:p w:rsidR="00AD67B3" w:rsidRPr="005A54CD" w:rsidRDefault="00AD67B3" w:rsidP="00912164">
            <w:pPr>
              <w:pStyle w:val="TableText0"/>
              <w:rPr>
                <w:szCs w:val="20"/>
              </w:rPr>
            </w:pPr>
            <w:r w:rsidRPr="005A54CD">
              <w:rPr>
                <w:szCs w:val="20"/>
              </w:rPr>
              <w:t>Cost/patient/year</w:t>
            </w:r>
          </w:p>
        </w:tc>
        <w:tc>
          <w:tcPr>
            <w:tcW w:w="1158" w:type="pct"/>
            <w:shd w:val="clear" w:color="auto" w:fill="auto"/>
          </w:tcPr>
          <w:p w:rsidR="00AD67B3" w:rsidRPr="005A54CD" w:rsidRDefault="00AD67B3" w:rsidP="00912164">
            <w:pPr>
              <w:pStyle w:val="TableText0"/>
              <w:jc w:val="center"/>
              <w:rPr>
                <w:iCs/>
                <w:szCs w:val="20"/>
                <w:vertAlign w:val="superscript"/>
              </w:rPr>
            </w:pPr>
            <w:r w:rsidRPr="005A54CD">
              <w:rPr>
                <w:iCs/>
                <w:szCs w:val="20"/>
              </w:rPr>
              <w:t>$</w:t>
            </w:r>
            <w:r w:rsidR="005E18BF">
              <w:rPr>
                <w:iCs/>
                <w:noProof/>
                <w:color w:val="000000"/>
                <w:szCs w:val="20"/>
                <w:highlight w:val="black"/>
              </w:rPr>
              <w:t>'''''''''''''''''''''</w:t>
            </w:r>
            <w:r w:rsidR="00045CE4" w:rsidRPr="005A54CD">
              <w:rPr>
                <w:szCs w:val="20"/>
                <w:vertAlign w:val="superscript"/>
              </w:rPr>
              <w:t xml:space="preserve"> b</w:t>
            </w:r>
          </w:p>
        </w:tc>
        <w:tc>
          <w:tcPr>
            <w:tcW w:w="1158" w:type="pct"/>
            <w:shd w:val="clear" w:color="auto" w:fill="auto"/>
          </w:tcPr>
          <w:p w:rsidR="00AD67B3" w:rsidRPr="000A0AF8" w:rsidRDefault="00AD67B3" w:rsidP="00912164">
            <w:pPr>
              <w:pStyle w:val="TableText0"/>
              <w:jc w:val="center"/>
              <w:rPr>
                <w:iCs/>
                <w:szCs w:val="20"/>
                <w:vertAlign w:val="superscript"/>
              </w:rPr>
            </w:pPr>
            <w:r w:rsidRPr="000A0AF8">
              <w:rPr>
                <w:iCs/>
                <w:szCs w:val="20"/>
              </w:rPr>
              <w:t>$</w:t>
            </w:r>
            <w:r w:rsidR="005E18BF">
              <w:rPr>
                <w:iCs/>
                <w:noProof/>
                <w:color w:val="000000"/>
                <w:szCs w:val="20"/>
                <w:highlight w:val="black"/>
              </w:rPr>
              <w:t>''''''''''''''''''</w:t>
            </w:r>
            <w:r w:rsidR="00045CE4" w:rsidRPr="000A0AF8">
              <w:rPr>
                <w:szCs w:val="20"/>
                <w:vertAlign w:val="superscript"/>
              </w:rPr>
              <w:t xml:space="preserve"> b</w:t>
            </w:r>
          </w:p>
        </w:tc>
        <w:tc>
          <w:tcPr>
            <w:tcW w:w="1157" w:type="pct"/>
            <w:shd w:val="clear" w:color="auto" w:fill="auto"/>
          </w:tcPr>
          <w:p w:rsidR="00AD67B3" w:rsidRPr="000A0AF8" w:rsidRDefault="00AD67B3" w:rsidP="00912164">
            <w:pPr>
              <w:pStyle w:val="TableText0"/>
              <w:jc w:val="center"/>
              <w:rPr>
                <w:szCs w:val="20"/>
                <w:vertAlign w:val="superscript"/>
              </w:rPr>
            </w:pPr>
            <w:r w:rsidRPr="000A0AF8">
              <w:rPr>
                <w:iCs/>
                <w:szCs w:val="20"/>
              </w:rPr>
              <w:t>$</w:t>
            </w:r>
            <w:r w:rsidR="005E18BF">
              <w:rPr>
                <w:iCs/>
                <w:noProof/>
                <w:color w:val="000000"/>
                <w:szCs w:val="20"/>
                <w:highlight w:val="black"/>
              </w:rPr>
              <w:t>'''''''''''''''''</w:t>
            </w:r>
            <w:r w:rsidR="00045CE4" w:rsidRPr="000A0AF8">
              <w:rPr>
                <w:szCs w:val="20"/>
                <w:vertAlign w:val="superscript"/>
              </w:rPr>
              <w:t xml:space="preserve"> b</w:t>
            </w:r>
          </w:p>
        </w:tc>
      </w:tr>
    </w:tbl>
    <w:p w:rsidR="00AD67B3" w:rsidRPr="005A54CD" w:rsidRDefault="00AD67B3" w:rsidP="00912164">
      <w:pPr>
        <w:pStyle w:val="TableFigureFooter"/>
        <w:rPr>
          <w:szCs w:val="18"/>
        </w:rPr>
      </w:pPr>
      <w:r w:rsidRPr="005A54CD">
        <w:rPr>
          <w:szCs w:val="18"/>
        </w:rPr>
        <w:t>Source: Table 14, p21 and Section 3.8.1 p107 of the submission.</w:t>
      </w:r>
    </w:p>
    <w:p w:rsidR="00AD67B3" w:rsidRPr="005A54CD" w:rsidRDefault="00AD67B3" w:rsidP="00912164">
      <w:pPr>
        <w:pStyle w:val="TableFigureFooter"/>
        <w:rPr>
          <w:szCs w:val="18"/>
        </w:rPr>
      </w:pPr>
      <w:r w:rsidRPr="005A54CD">
        <w:rPr>
          <w:szCs w:val="18"/>
        </w:rPr>
        <w:t>Q2W = every 2 weeks; Q4W = every 4 weeks</w:t>
      </w:r>
    </w:p>
    <w:p w:rsidR="00AD67B3" w:rsidRPr="005A54CD" w:rsidRDefault="00AD67B3" w:rsidP="00912164">
      <w:pPr>
        <w:pStyle w:val="TableFigureFooter"/>
        <w:ind w:left="142" w:hanging="142"/>
        <w:rPr>
          <w:szCs w:val="18"/>
        </w:rPr>
      </w:pPr>
      <w:r w:rsidRPr="005A54CD">
        <w:rPr>
          <w:szCs w:val="18"/>
          <w:vertAlign w:val="superscript"/>
        </w:rPr>
        <w:t>a</w:t>
      </w:r>
      <w:r w:rsidRPr="005A54CD">
        <w:rPr>
          <w:szCs w:val="18"/>
        </w:rPr>
        <w:t xml:space="preserve"> In both Sections 3 and 4 of the resubmission, the efficacy of lanadelumab was based on the results for the lanadelumab 300 mg Q2W arm of the HELP trial. </w:t>
      </w:r>
    </w:p>
    <w:p w:rsidR="00AD67B3" w:rsidRPr="005A54CD" w:rsidRDefault="00AD67B3" w:rsidP="00912164">
      <w:pPr>
        <w:pStyle w:val="TableFigureFooter"/>
        <w:ind w:left="142" w:hanging="142"/>
        <w:rPr>
          <w:iCs/>
          <w:szCs w:val="18"/>
        </w:rPr>
      </w:pPr>
      <w:r w:rsidRPr="005A54CD">
        <w:rPr>
          <w:szCs w:val="18"/>
          <w:vertAlign w:val="superscript"/>
        </w:rPr>
        <w:t xml:space="preserve">b </w:t>
      </w:r>
      <w:r w:rsidRPr="005A54CD">
        <w:rPr>
          <w:szCs w:val="18"/>
        </w:rPr>
        <w:t>The dispensed price use in the resubmission assumed that patients only received one 300 mg vial of lanadelumab per script. The requested maximum quantity was two vials.</w:t>
      </w:r>
      <w:r w:rsidR="00045CE4" w:rsidRPr="005A54CD">
        <w:rPr>
          <w:szCs w:val="18"/>
        </w:rPr>
        <w:t xml:space="preserve"> Thus the cost</w:t>
      </w:r>
      <w:r w:rsidR="00045CE4" w:rsidRPr="005A54CD">
        <w:rPr>
          <w:iCs/>
          <w:szCs w:val="18"/>
        </w:rPr>
        <w:t xml:space="preserve">/patient/year </w:t>
      </w:r>
      <w:r w:rsidR="006055DC" w:rsidRPr="005A54CD">
        <w:rPr>
          <w:iCs/>
          <w:szCs w:val="18"/>
        </w:rPr>
        <w:t xml:space="preserve">was </w:t>
      </w:r>
      <w:r w:rsidR="006055DC" w:rsidRPr="005A54CD">
        <w:rPr>
          <w:szCs w:val="18"/>
        </w:rPr>
        <w:t>updated</w:t>
      </w:r>
      <w:r w:rsidR="00045CE4" w:rsidRPr="005A54CD">
        <w:rPr>
          <w:szCs w:val="18"/>
        </w:rPr>
        <w:t xml:space="preserve"> during evaluation </w:t>
      </w:r>
      <w:r w:rsidRPr="005A54CD">
        <w:rPr>
          <w:iCs/>
          <w:szCs w:val="18"/>
        </w:rPr>
        <w:t>based on the DPMQ, i.e. assuming that patients receive 2 x 300 mg vials of lanadelumab per script.</w:t>
      </w:r>
    </w:p>
    <w:p w:rsidR="00AD67B3" w:rsidRPr="00B94A2F" w:rsidRDefault="00AD67B3" w:rsidP="00912164">
      <w:pPr>
        <w:pStyle w:val="3-BodyText"/>
      </w:pPr>
      <w:r w:rsidRPr="008154B1">
        <w:t xml:space="preserve">The </w:t>
      </w:r>
      <w:r w:rsidR="00045CE4" w:rsidRPr="00B94A2F">
        <w:t>estimated</w:t>
      </w:r>
      <w:r w:rsidRPr="00B94A2F">
        <w:t xml:space="preserve"> cost of la</w:t>
      </w:r>
      <w:r w:rsidR="00045CE4" w:rsidRPr="00B94A2F">
        <w:t xml:space="preserve">nadelumab per patient per year </w:t>
      </w:r>
      <w:r w:rsidRPr="00B94A2F">
        <w:t>was $</w:t>
      </w:r>
      <w:r w:rsidR="005E18BF">
        <w:rPr>
          <w:noProof/>
          <w:color w:val="000000"/>
          <w:highlight w:val="black"/>
        </w:rPr>
        <w:t>''''''''''''''''</w:t>
      </w:r>
      <w:r w:rsidRPr="00B94A2F">
        <w:t xml:space="preserve">. This was based on a proposed effective dispensed price of </w:t>
      </w:r>
      <w:r w:rsidR="00045CE4" w:rsidRPr="00B94A2F">
        <w:rPr>
          <w:iCs/>
        </w:rPr>
        <w:t>$</w:t>
      </w:r>
      <w:r w:rsidR="005E18BF">
        <w:rPr>
          <w:iCs/>
          <w:noProof/>
          <w:color w:val="000000"/>
          <w:highlight w:val="black"/>
        </w:rPr>
        <w:t>''''''''''''</w:t>
      </w:r>
      <w:r w:rsidR="00045CE4" w:rsidRPr="00B94A2F">
        <w:t xml:space="preserve"> </w:t>
      </w:r>
      <w:r w:rsidRPr="00B94A2F">
        <w:t xml:space="preserve">for </w:t>
      </w:r>
      <w:r w:rsidR="00045CE4" w:rsidRPr="00B94A2F">
        <w:t>two</w:t>
      </w:r>
      <w:r w:rsidRPr="00B94A2F">
        <w:t xml:space="preserve"> 300 mg vial</w:t>
      </w:r>
      <w:r w:rsidR="00045CE4" w:rsidRPr="00B94A2F">
        <w:t>s</w:t>
      </w:r>
      <w:r w:rsidRPr="00B94A2F">
        <w:t xml:space="preserve">, assuming </w:t>
      </w:r>
      <w:r w:rsidR="005E18BF">
        <w:rPr>
          <w:noProof/>
          <w:color w:val="000000"/>
          <w:highlight w:val="black"/>
        </w:rPr>
        <w:t>'''''''''</w:t>
      </w:r>
      <w:r w:rsidRPr="00B94A2F">
        <w:t xml:space="preserve">% of patients receive 300 mg Q4W (13 vials per year) and </w:t>
      </w:r>
      <w:r w:rsidR="005E18BF">
        <w:rPr>
          <w:noProof/>
          <w:color w:val="000000"/>
          <w:highlight w:val="black"/>
        </w:rPr>
        <w:t>'''''''''</w:t>
      </w:r>
      <w:r w:rsidRPr="00B94A2F">
        <w:t xml:space="preserve">% receive 300 mg Q2W (26 vials per year) (weighted mean of </w:t>
      </w:r>
      <w:r w:rsidR="005E18BF">
        <w:rPr>
          <w:noProof/>
          <w:color w:val="000000"/>
          <w:highlight w:val="black"/>
        </w:rPr>
        <w:t>'''''''''''</w:t>
      </w:r>
      <w:r w:rsidRPr="00B94A2F">
        <w:t xml:space="preserve"> vials per patient per year). </w:t>
      </w:r>
    </w:p>
    <w:p w:rsidR="00AD67B3" w:rsidRPr="008154B1" w:rsidRDefault="00AD67B3" w:rsidP="00912164">
      <w:pPr>
        <w:pStyle w:val="3-BodyText"/>
        <w:rPr>
          <w:snapToGrid/>
        </w:rPr>
      </w:pPr>
      <w:r w:rsidRPr="008154B1">
        <w:t>This compared to an estimated cost/patient/year of $</w:t>
      </w:r>
      <w:r w:rsidR="005E18BF">
        <w:rPr>
          <w:noProof/>
          <w:color w:val="000000"/>
          <w:highlight w:val="black"/>
        </w:rPr>
        <w:t>'''''''''''''''</w:t>
      </w:r>
      <w:r w:rsidRPr="008154B1">
        <w:t xml:space="preserve"> in the previous submission. This was based on a proposed DPMQ of $</w:t>
      </w:r>
      <w:r w:rsidR="005E18BF">
        <w:rPr>
          <w:noProof/>
          <w:color w:val="000000"/>
          <w:highlight w:val="black"/>
        </w:rPr>
        <w:t>'''''''''''''''''''</w:t>
      </w:r>
      <w:r w:rsidRPr="008154B1">
        <w:t xml:space="preserve"> (</w:t>
      </w:r>
      <w:r w:rsidR="006055DC">
        <w:t>A</w:t>
      </w:r>
      <w:r w:rsidRPr="008154B1">
        <w:t>EMP $</w:t>
      </w:r>
      <w:r w:rsidR="005E18BF">
        <w:rPr>
          <w:noProof/>
          <w:color w:val="000000"/>
          <w:highlight w:val="black"/>
        </w:rPr>
        <w:t>''''''''''''''''''</w:t>
      </w:r>
      <w:r w:rsidRPr="008154B1">
        <w:t xml:space="preserve">) </w:t>
      </w:r>
      <w:r w:rsidRPr="008154B1">
        <w:lastRenderedPageBreak/>
        <w:t xml:space="preserve">for one 300 mg vial of lanadelumab, and a weighted mean of </w:t>
      </w:r>
      <w:r w:rsidR="005E18BF">
        <w:rPr>
          <w:noProof/>
          <w:color w:val="000000"/>
          <w:highlight w:val="black"/>
        </w:rPr>
        <w:t>'''''''''''</w:t>
      </w:r>
      <w:r w:rsidRPr="008154B1">
        <w:t xml:space="preserve"> vials per patient per year</w:t>
      </w:r>
      <w:r w:rsidR="008154B1">
        <w:t xml:space="preserve">. </w:t>
      </w:r>
    </w:p>
    <w:p w:rsidR="00AD67B3" w:rsidRPr="008154B1" w:rsidRDefault="00AD67B3" w:rsidP="00912164">
      <w:pPr>
        <w:pStyle w:val="4-SubsectionHeading"/>
      </w:pPr>
      <w:bookmarkStart w:id="30" w:name="_Toc22897647"/>
      <w:bookmarkStart w:id="31" w:name="_Toc40174757"/>
      <w:bookmarkStart w:id="32" w:name="_Toc40185435"/>
      <w:r w:rsidRPr="008154B1">
        <w:t>Estimated PBS usage &amp; financial implications</w:t>
      </w:r>
      <w:bookmarkEnd w:id="30"/>
      <w:bookmarkEnd w:id="31"/>
      <w:bookmarkEnd w:id="32"/>
    </w:p>
    <w:p w:rsidR="00AD67B3" w:rsidRPr="008154B1" w:rsidRDefault="00AD67B3" w:rsidP="00912164">
      <w:pPr>
        <w:pStyle w:val="3-BodyText"/>
      </w:pPr>
      <w:r w:rsidRPr="008154B1">
        <w:t xml:space="preserve">This resubmission </w:t>
      </w:r>
      <w:r w:rsidR="0086314C" w:rsidRPr="008154B1">
        <w:t>was not</w:t>
      </w:r>
      <w:r w:rsidRPr="008154B1">
        <w:t xml:space="preserve"> considered by DUSC. </w:t>
      </w:r>
    </w:p>
    <w:p w:rsidR="00AD67B3" w:rsidRPr="008154B1" w:rsidRDefault="00AD67B3" w:rsidP="00912164">
      <w:pPr>
        <w:pStyle w:val="3-BodyText"/>
      </w:pPr>
      <w:r w:rsidRPr="008154B1">
        <w:t>The resubmission estimated the use of lanadelumab in two patient populations, consistent with the two initial treatment restrictions outlined above:</w:t>
      </w:r>
    </w:p>
    <w:p w:rsidR="00AD67B3" w:rsidRPr="008154B1" w:rsidRDefault="00AD67B3" w:rsidP="00950926">
      <w:pPr>
        <w:pStyle w:val="ListParagraph"/>
        <w:numPr>
          <w:ilvl w:val="0"/>
          <w:numId w:val="7"/>
        </w:numPr>
        <w:ind w:left="1080"/>
        <w:rPr>
          <w:iCs/>
        </w:rPr>
      </w:pPr>
      <w:r w:rsidRPr="008154B1">
        <w:rPr>
          <w:iCs/>
        </w:rPr>
        <w:t xml:space="preserve">Patients who are not receiving routine prophylaxis with C1-INH but who qualify for lanadelumab under the proposed ‘initial treatment – 1’ restriction requiring patients to have experienced at least 12 treated acute attacks of HAE within a period of 6 months </w:t>
      </w:r>
      <w:r w:rsidR="002149E8" w:rsidRPr="008154B1">
        <w:t>(referred to as population 1</w:t>
      </w:r>
      <w:r w:rsidRPr="008154B1">
        <w:t>)</w:t>
      </w:r>
      <w:r w:rsidRPr="008154B1">
        <w:rPr>
          <w:iCs/>
        </w:rPr>
        <w:t>; and</w:t>
      </w:r>
    </w:p>
    <w:p w:rsidR="00AD67B3" w:rsidRPr="008154B1" w:rsidRDefault="00AD67B3" w:rsidP="00950926">
      <w:pPr>
        <w:pStyle w:val="ListParagraph"/>
        <w:numPr>
          <w:ilvl w:val="0"/>
          <w:numId w:val="7"/>
        </w:numPr>
        <w:ind w:left="1080"/>
      </w:pPr>
      <w:r w:rsidRPr="008154B1">
        <w:rPr>
          <w:iCs/>
        </w:rPr>
        <w:t xml:space="preserve">Patients receiving C1-INH as routine prophylaxis of HAE when lanadelumab is listed, who choose to switch to lanadelumab </w:t>
      </w:r>
      <w:r w:rsidRPr="008154B1">
        <w:t>(referred to as population 2).</w:t>
      </w:r>
    </w:p>
    <w:p w:rsidR="00AD67B3" w:rsidRPr="008154B1" w:rsidRDefault="00AD67B3" w:rsidP="00912164">
      <w:pPr>
        <w:pStyle w:val="3-BodyText"/>
        <w:numPr>
          <w:ilvl w:val="0"/>
          <w:numId w:val="0"/>
        </w:numPr>
        <w:ind w:left="862"/>
      </w:pPr>
      <w:r w:rsidRPr="008154B1">
        <w:t xml:space="preserve">The resubmission did not establish the comparative effectiveness and safety of lanadelumab versus C1-INH, nor did it demonstrate that lanadelumab is cost-effective compared with C1-INH for prophylaxis of HAE attacks. </w:t>
      </w:r>
    </w:p>
    <w:p w:rsidR="00AD67B3" w:rsidRPr="008154B1" w:rsidRDefault="00AD67B3" w:rsidP="00912164">
      <w:pPr>
        <w:pStyle w:val="3-BodyText"/>
      </w:pPr>
      <w:r w:rsidRPr="008154B1">
        <w:t>The key inputs in the financial estimates are outlined below.</w:t>
      </w:r>
    </w:p>
    <w:p w:rsidR="00AD67B3" w:rsidRPr="008154B1" w:rsidRDefault="00AD67B3" w:rsidP="00912164">
      <w:pPr>
        <w:pStyle w:val="TableFigureHeading"/>
      </w:pPr>
      <w:r w:rsidRPr="008154B1">
        <w:lastRenderedPageBreak/>
        <w:t xml:space="preserve">Table </w:t>
      </w:r>
      <w:r w:rsidR="00AD3609" w:rsidRPr="008154B1">
        <w:t>15</w:t>
      </w:r>
      <w:r w:rsidRPr="008154B1">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47"/>
        <w:gridCol w:w="4072"/>
        <w:gridCol w:w="3398"/>
      </w:tblGrid>
      <w:tr w:rsidR="00AD67B3" w:rsidRPr="008154B1" w:rsidTr="005A54CD">
        <w:trPr>
          <w:tblHeader/>
        </w:trPr>
        <w:tc>
          <w:tcPr>
            <w:tcW w:w="858" w:type="pct"/>
            <w:shd w:val="clear" w:color="auto" w:fill="auto"/>
            <w:vAlign w:val="center"/>
          </w:tcPr>
          <w:p w:rsidR="00AD67B3" w:rsidRPr="008154B1" w:rsidRDefault="00AD67B3" w:rsidP="00912164">
            <w:pPr>
              <w:pStyle w:val="In-tableHeading"/>
              <w:rPr>
                <w:lang w:val="en-AU"/>
              </w:rPr>
            </w:pPr>
            <w:r w:rsidRPr="008154B1">
              <w:rPr>
                <w:lang w:val="en-AU"/>
              </w:rPr>
              <w:t>Parameter</w:t>
            </w:r>
          </w:p>
        </w:tc>
        <w:tc>
          <w:tcPr>
            <w:tcW w:w="2258" w:type="pct"/>
            <w:shd w:val="clear" w:color="auto" w:fill="auto"/>
            <w:vAlign w:val="center"/>
          </w:tcPr>
          <w:p w:rsidR="00AD67B3" w:rsidRPr="008154B1" w:rsidRDefault="00AD67B3" w:rsidP="00912164">
            <w:pPr>
              <w:pStyle w:val="In-tableHeading"/>
              <w:rPr>
                <w:lang w:val="en-AU"/>
              </w:rPr>
            </w:pPr>
            <w:r w:rsidRPr="008154B1">
              <w:rPr>
                <w:lang w:val="en-AU"/>
              </w:rPr>
              <w:t>Value applied and source</w:t>
            </w:r>
          </w:p>
        </w:tc>
        <w:tc>
          <w:tcPr>
            <w:tcW w:w="1884" w:type="pct"/>
            <w:shd w:val="clear" w:color="auto" w:fill="auto"/>
            <w:vAlign w:val="center"/>
          </w:tcPr>
          <w:p w:rsidR="00AD67B3" w:rsidRPr="008154B1" w:rsidRDefault="00AD67B3" w:rsidP="00912164">
            <w:pPr>
              <w:pStyle w:val="In-tableHeading"/>
              <w:rPr>
                <w:lang w:val="en-AU"/>
              </w:rPr>
            </w:pPr>
            <w:r w:rsidRPr="008154B1">
              <w:rPr>
                <w:lang w:val="en-AU"/>
              </w:rPr>
              <w:t>Comment</w:t>
            </w:r>
          </w:p>
        </w:tc>
      </w:tr>
      <w:tr w:rsidR="00AD67B3" w:rsidRPr="008154B1" w:rsidTr="005A54CD">
        <w:tc>
          <w:tcPr>
            <w:tcW w:w="5000" w:type="pct"/>
            <w:gridSpan w:val="3"/>
            <w:shd w:val="clear" w:color="auto" w:fill="auto"/>
            <w:vAlign w:val="center"/>
          </w:tcPr>
          <w:p w:rsidR="00AD67B3" w:rsidRPr="008154B1" w:rsidRDefault="00AD67B3" w:rsidP="00912164">
            <w:pPr>
              <w:pStyle w:val="TableText0"/>
            </w:pPr>
            <w:r w:rsidRPr="008154B1">
              <w:rPr>
                <w:b/>
                <w:bCs w:val="0"/>
              </w:rPr>
              <w:t>Population 1 (patients who experience ≥ 12 treated HAE attacks within 6 months)</w:t>
            </w:r>
          </w:p>
        </w:tc>
      </w:tr>
      <w:tr w:rsidR="00AD67B3" w:rsidRPr="008154B1" w:rsidTr="005A54CD">
        <w:tc>
          <w:tcPr>
            <w:tcW w:w="858" w:type="pct"/>
            <w:shd w:val="clear" w:color="auto" w:fill="auto"/>
            <w:vAlign w:val="center"/>
          </w:tcPr>
          <w:p w:rsidR="00AD67B3" w:rsidRPr="008154B1" w:rsidRDefault="00AD67B3" w:rsidP="00912164">
            <w:pPr>
              <w:pStyle w:val="TableText0"/>
            </w:pPr>
            <w:r w:rsidRPr="008154B1">
              <w:t>Prevalent HAE population</w:t>
            </w:r>
          </w:p>
        </w:tc>
        <w:tc>
          <w:tcPr>
            <w:tcW w:w="2258" w:type="pct"/>
            <w:shd w:val="clear" w:color="auto" w:fill="auto"/>
            <w:vAlign w:val="center"/>
          </w:tcPr>
          <w:p w:rsidR="00AD67B3" w:rsidRPr="008154B1" w:rsidRDefault="00AD67B3" w:rsidP="00912164">
            <w:pPr>
              <w:pStyle w:val="TableText0"/>
            </w:pPr>
            <w:r w:rsidRPr="008154B1">
              <w:t>Prevalence of 1 in 50,000 based on literature review</w:t>
            </w:r>
          </w:p>
        </w:tc>
        <w:tc>
          <w:tcPr>
            <w:tcW w:w="1884" w:type="pct"/>
            <w:shd w:val="clear" w:color="auto" w:fill="auto"/>
            <w:vAlign w:val="center"/>
          </w:tcPr>
          <w:p w:rsidR="00AD67B3" w:rsidRPr="008154B1" w:rsidRDefault="00AD67B3" w:rsidP="00912164">
            <w:pPr>
              <w:pStyle w:val="TableText0"/>
            </w:pPr>
            <w:r w:rsidRPr="008154B1">
              <w:t>While this source was reasonable, the prevalence of HAE in Australia is uncertain.</w:t>
            </w:r>
          </w:p>
        </w:tc>
      </w:tr>
      <w:tr w:rsidR="00AD67B3" w:rsidRPr="008154B1" w:rsidTr="005A54CD">
        <w:trPr>
          <w:cantSplit/>
        </w:trPr>
        <w:tc>
          <w:tcPr>
            <w:tcW w:w="858" w:type="pct"/>
            <w:shd w:val="clear" w:color="auto" w:fill="auto"/>
            <w:vAlign w:val="center"/>
          </w:tcPr>
          <w:p w:rsidR="00AD67B3" w:rsidRPr="008154B1" w:rsidRDefault="00AD67B3" w:rsidP="00912164">
            <w:pPr>
              <w:pStyle w:val="TableText0"/>
            </w:pPr>
            <w:r w:rsidRPr="008154B1">
              <w:t>% patients eligible (≥ 12 treated attacks in 6 months)</w:t>
            </w:r>
          </w:p>
        </w:tc>
        <w:tc>
          <w:tcPr>
            <w:tcW w:w="2258" w:type="pct"/>
            <w:shd w:val="clear" w:color="auto" w:fill="auto"/>
            <w:vAlign w:val="center"/>
          </w:tcPr>
          <w:p w:rsidR="00AD67B3" w:rsidRPr="008154B1" w:rsidRDefault="005E18BF" w:rsidP="00912164">
            <w:pPr>
              <w:pStyle w:val="TableText0"/>
            </w:pPr>
            <w:r>
              <w:rPr>
                <w:noProof/>
                <w:color w:val="000000"/>
                <w:highlight w:val="black"/>
              </w:rPr>
              <w:t>''''''''</w:t>
            </w:r>
            <w:r w:rsidR="00AD67B3" w:rsidRPr="008154B1">
              <w:t>%</w:t>
            </w:r>
          </w:p>
          <w:p w:rsidR="00AD67B3" w:rsidRPr="008154B1" w:rsidRDefault="00AD67B3" w:rsidP="00912164">
            <w:pPr>
              <w:pStyle w:val="TableText0"/>
            </w:pPr>
            <w:r w:rsidRPr="008154B1">
              <w:t>Proportion of patients from PBS utilisation data for icatibant who received ≥24 injections of icatibant within 12 months of initial supply.</w:t>
            </w:r>
          </w:p>
        </w:tc>
        <w:tc>
          <w:tcPr>
            <w:tcW w:w="1884" w:type="pct"/>
            <w:shd w:val="clear" w:color="auto" w:fill="auto"/>
            <w:vAlign w:val="center"/>
          </w:tcPr>
          <w:p w:rsidR="00AD67B3" w:rsidRPr="008154B1" w:rsidRDefault="00AD67B3" w:rsidP="00912164">
            <w:pPr>
              <w:pStyle w:val="TableText0"/>
              <w:rPr>
                <w:iCs/>
              </w:rPr>
            </w:pPr>
            <w:r w:rsidRPr="008154B1">
              <w:rPr>
                <w:iCs/>
              </w:rPr>
              <w:t>Icatibant utilisation data may not represent a reliable proxy for determining the number of treated HAE attacks.</w:t>
            </w:r>
          </w:p>
          <w:p w:rsidR="00AD67B3" w:rsidRPr="008154B1" w:rsidRDefault="00AD67B3" w:rsidP="00912164">
            <w:pPr>
              <w:pStyle w:val="TableText0"/>
            </w:pPr>
            <w:r w:rsidRPr="008154B1">
              <w:rPr>
                <w:iCs/>
              </w:rPr>
              <w:t>This was a major source of uncertainty in the financial estimates.</w:t>
            </w:r>
          </w:p>
        </w:tc>
      </w:tr>
      <w:tr w:rsidR="00AD67B3" w:rsidRPr="008154B1" w:rsidTr="005A54CD">
        <w:tc>
          <w:tcPr>
            <w:tcW w:w="858" w:type="pct"/>
            <w:shd w:val="clear" w:color="auto" w:fill="auto"/>
            <w:vAlign w:val="center"/>
          </w:tcPr>
          <w:p w:rsidR="00AD67B3" w:rsidRPr="008154B1" w:rsidRDefault="00AD67B3" w:rsidP="00912164">
            <w:pPr>
              <w:pStyle w:val="TableText0"/>
            </w:pPr>
            <w:r w:rsidRPr="008154B1">
              <w:t>Initiating patients</w:t>
            </w:r>
          </w:p>
        </w:tc>
        <w:tc>
          <w:tcPr>
            <w:tcW w:w="2258" w:type="pct"/>
            <w:shd w:val="clear" w:color="auto" w:fill="auto"/>
            <w:vAlign w:val="center"/>
          </w:tcPr>
          <w:p w:rsidR="00AD67B3" w:rsidRPr="008154B1" w:rsidRDefault="005E18BF" w:rsidP="00912164">
            <w:pPr>
              <w:pStyle w:val="TableText0"/>
            </w:pPr>
            <w:r>
              <w:rPr>
                <w:noProof/>
                <w:color w:val="000000"/>
                <w:highlight w:val="black"/>
              </w:rPr>
              <w:t>''''''''''''' '''''''''' ''''''''''''''''</w:t>
            </w:r>
            <w:r w:rsidR="00AD67B3" w:rsidRPr="008154B1">
              <w:t xml:space="preserve"> patients in Years 1-3, </w:t>
            </w:r>
            <w:r>
              <w:rPr>
                <w:noProof/>
                <w:color w:val="000000"/>
                <w:highlight w:val="black"/>
              </w:rPr>
              <w:t xml:space="preserve"> ''''''''' '''''''''' ''''''''''''''''</w:t>
            </w:r>
            <w:r w:rsidR="000A0AF8" w:rsidRPr="008154B1">
              <w:t xml:space="preserve"> </w:t>
            </w:r>
            <w:r w:rsidR="00AD67B3" w:rsidRPr="008154B1">
              <w:t>patients in Years 4-6.</w:t>
            </w:r>
          </w:p>
          <w:p w:rsidR="00AD67B3" w:rsidRPr="008154B1" w:rsidRDefault="00AD67B3" w:rsidP="00912164">
            <w:pPr>
              <w:pStyle w:val="TableText0"/>
            </w:pPr>
            <w:r w:rsidRPr="008154B1">
              <w:t>Derived from the number of prevalent HAE patients (minus the number of patients receiving C1-INH prophylaxis), the % of patients eligible, and the uptake rate (</w:t>
            </w:r>
            <w:r w:rsidR="005E18BF">
              <w:rPr>
                <w:noProof/>
                <w:color w:val="000000"/>
                <w:highlight w:val="black"/>
              </w:rPr>
              <w:t>''''''</w:t>
            </w:r>
            <w:r w:rsidRPr="008154B1">
              <w:t>% in all years), with adjustment for discontinuations (15% in all years).</w:t>
            </w:r>
          </w:p>
        </w:tc>
        <w:tc>
          <w:tcPr>
            <w:tcW w:w="1884" w:type="pct"/>
            <w:shd w:val="clear" w:color="auto" w:fill="auto"/>
            <w:vAlign w:val="center"/>
          </w:tcPr>
          <w:p w:rsidR="00AD67B3" w:rsidRPr="008154B1" w:rsidRDefault="00AD67B3" w:rsidP="00912164">
            <w:pPr>
              <w:pStyle w:val="TableText0"/>
            </w:pPr>
            <w:r w:rsidRPr="008154B1">
              <w:t>The resubmission inappropriately used prevalence data to estimate the number of patients initiating lanadelumab treatment each year.</w:t>
            </w:r>
          </w:p>
        </w:tc>
      </w:tr>
      <w:tr w:rsidR="00AD67B3" w:rsidRPr="008154B1" w:rsidTr="005A54CD">
        <w:tc>
          <w:tcPr>
            <w:tcW w:w="858" w:type="pct"/>
            <w:shd w:val="clear" w:color="auto" w:fill="auto"/>
            <w:vAlign w:val="center"/>
          </w:tcPr>
          <w:p w:rsidR="00AD67B3" w:rsidRPr="008154B1" w:rsidRDefault="00AD67B3" w:rsidP="00912164">
            <w:pPr>
              <w:pStyle w:val="TableText0"/>
            </w:pPr>
            <w:r w:rsidRPr="008154B1">
              <w:t xml:space="preserve">Continuing patients </w:t>
            </w:r>
          </w:p>
        </w:tc>
        <w:tc>
          <w:tcPr>
            <w:tcW w:w="2258" w:type="pct"/>
            <w:shd w:val="clear" w:color="auto" w:fill="auto"/>
            <w:vAlign w:val="center"/>
          </w:tcPr>
          <w:p w:rsidR="00AD67B3" w:rsidRPr="008154B1" w:rsidRDefault="005E18BF" w:rsidP="00912164">
            <w:pPr>
              <w:pStyle w:val="TableText0"/>
            </w:pPr>
            <w:r>
              <w:rPr>
                <w:noProof/>
                <w:color w:val="000000"/>
                <w:highlight w:val="black"/>
              </w:rPr>
              <w:t xml:space="preserve"> ''''''''''' '''''''''' ''''''''''''''''</w:t>
            </w:r>
            <w:r w:rsidR="000A0AF8" w:rsidRPr="008154B1">
              <w:t xml:space="preserve"> </w:t>
            </w:r>
            <w:r w:rsidR="00AD67B3" w:rsidRPr="008154B1">
              <w:t xml:space="preserve"> in Year 2, increasing to </w:t>
            </w:r>
            <w:r>
              <w:rPr>
                <w:noProof/>
                <w:color w:val="000000"/>
                <w:highlight w:val="black"/>
              </w:rPr>
              <w:t xml:space="preserve"> ''''''''' ''''''''''' '''''''''''''''</w:t>
            </w:r>
            <w:r w:rsidR="000A0AF8" w:rsidRPr="008154B1">
              <w:t xml:space="preserve"> </w:t>
            </w:r>
            <w:r w:rsidR="00AD67B3" w:rsidRPr="008154B1">
              <w:t xml:space="preserve"> in Year 6.</w:t>
            </w:r>
          </w:p>
          <w:p w:rsidR="00AD67B3" w:rsidRPr="008154B1" w:rsidRDefault="00AD67B3" w:rsidP="00912164">
            <w:pPr>
              <w:pStyle w:val="TableText0"/>
            </w:pPr>
            <w:r w:rsidRPr="008154B1">
              <w:t>Patients not discontinuing treatment were carried over to the following year.</w:t>
            </w:r>
          </w:p>
        </w:tc>
        <w:tc>
          <w:tcPr>
            <w:tcW w:w="1884" w:type="pct"/>
            <w:shd w:val="clear" w:color="auto" w:fill="auto"/>
            <w:vAlign w:val="center"/>
          </w:tcPr>
          <w:p w:rsidR="00AD67B3" w:rsidRPr="008154B1" w:rsidRDefault="00AD67B3" w:rsidP="009D5B1B">
            <w:pPr>
              <w:pStyle w:val="TableText0"/>
            </w:pPr>
            <w:r w:rsidRPr="008154B1">
              <w:t>This considerable increase in continuing patients over Years 1-6 was due to the application of prevalence data to derive incident patients</w:t>
            </w:r>
            <w:r w:rsidR="008154B1">
              <w:t xml:space="preserve">. </w:t>
            </w:r>
          </w:p>
        </w:tc>
      </w:tr>
      <w:tr w:rsidR="00AD67B3" w:rsidRPr="008154B1" w:rsidTr="005A54CD">
        <w:tc>
          <w:tcPr>
            <w:tcW w:w="858" w:type="pct"/>
            <w:shd w:val="clear" w:color="auto" w:fill="auto"/>
            <w:vAlign w:val="center"/>
          </w:tcPr>
          <w:p w:rsidR="00AD67B3" w:rsidRPr="008154B1" w:rsidRDefault="00AD67B3" w:rsidP="00912164">
            <w:pPr>
              <w:pStyle w:val="TableText0"/>
            </w:pPr>
            <w:r w:rsidRPr="008154B1">
              <w:t>Total patient years of treatment</w:t>
            </w:r>
          </w:p>
        </w:tc>
        <w:tc>
          <w:tcPr>
            <w:tcW w:w="2258" w:type="pct"/>
            <w:shd w:val="clear" w:color="auto" w:fill="auto"/>
            <w:vAlign w:val="center"/>
          </w:tcPr>
          <w:p w:rsidR="00AD67B3" w:rsidRPr="008154B1" w:rsidRDefault="005E18BF" w:rsidP="00912164">
            <w:pPr>
              <w:pStyle w:val="TableText0"/>
            </w:pPr>
            <w:r>
              <w:rPr>
                <w:noProof/>
                <w:color w:val="000000"/>
                <w:highlight w:val="black"/>
              </w:rPr>
              <w:t>''''''''''''' ''''''''''' '''''''''''''''</w:t>
            </w:r>
            <w:r w:rsidR="00AD67B3" w:rsidRPr="008154B1">
              <w:t xml:space="preserve"> in Year 1, increasing to </w:t>
            </w:r>
            <w:r>
              <w:rPr>
                <w:noProof/>
                <w:color w:val="000000"/>
                <w:highlight w:val="black"/>
              </w:rPr>
              <w:t>''''''''' '''''''''' '''''''''''''''''</w:t>
            </w:r>
            <w:r w:rsidR="00AD67B3" w:rsidRPr="008154B1">
              <w:t xml:space="preserve"> in Year 6.</w:t>
            </w:r>
          </w:p>
          <w:p w:rsidR="00AD67B3" w:rsidRPr="008154B1" w:rsidRDefault="00AD67B3" w:rsidP="00912164">
            <w:pPr>
              <w:pStyle w:val="TableText0"/>
            </w:pPr>
            <w:r w:rsidRPr="008154B1">
              <w:t xml:space="preserve">The number of patients each year in population 1 was multiplied by 92.5% to account for 15% discontinuation over each year (i.e. patients who discontinue assumed to receive 6 months of lanadelumab). </w:t>
            </w:r>
          </w:p>
        </w:tc>
        <w:tc>
          <w:tcPr>
            <w:tcW w:w="1884" w:type="pct"/>
            <w:shd w:val="clear" w:color="auto" w:fill="auto"/>
            <w:vAlign w:val="center"/>
          </w:tcPr>
          <w:p w:rsidR="00AD67B3" w:rsidRPr="008154B1" w:rsidRDefault="00AD67B3" w:rsidP="00912164">
            <w:pPr>
              <w:pStyle w:val="TableText0"/>
            </w:pPr>
            <w:r w:rsidRPr="008154B1">
              <w:t>-</w:t>
            </w:r>
          </w:p>
        </w:tc>
      </w:tr>
      <w:tr w:rsidR="00AD67B3" w:rsidRPr="008154B1" w:rsidTr="005A54CD">
        <w:tc>
          <w:tcPr>
            <w:tcW w:w="5000" w:type="pct"/>
            <w:gridSpan w:val="3"/>
            <w:shd w:val="clear" w:color="auto" w:fill="auto"/>
            <w:vAlign w:val="center"/>
          </w:tcPr>
          <w:p w:rsidR="00AD67B3" w:rsidRPr="008154B1" w:rsidRDefault="00AD67B3" w:rsidP="00912164">
            <w:pPr>
              <w:pStyle w:val="TableText0"/>
            </w:pPr>
            <w:r w:rsidRPr="008154B1">
              <w:rPr>
                <w:b/>
                <w:bCs w:val="0"/>
              </w:rPr>
              <w:t>Population 2 (patients receiving C1-INH prophylaxis when lanadelumab is listed and who switch to lanadelumab)</w:t>
            </w:r>
          </w:p>
        </w:tc>
      </w:tr>
      <w:tr w:rsidR="00AD67B3" w:rsidRPr="008154B1" w:rsidTr="005A54CD">
        <w:tc>
          <w:tcPr>
            <w:tcW w:w="858" w:type="pct"/>
            <w:shd w:val="clear" w:color="auto" w:fill="auto"/>
            <w:vAlign w:val="center"/>
          </w:tcPr>
          <w:p w:rsidR="00AD67B3" w:rsidRPr="008154B1" w:rsidRDefault="00AD67B3" w:rsidP="00912164">
            <w:pPr>
              <w:pStyle w:val="TableText0"/>
            </w:pPr>
            <w:r w:rsidRPr="008154B1">
              <w:t>Total patients who would receive C1-INH prophylaxis in the absence of lanadelumab</w:t>
            </w:r>
          </w:p>
        </w:tc>
        <w:tc>
          <w:tcPr>
            <w:tcW w:w="2258" w:type="pct"/>
            <w:shd w:val="clear" w:color="auto" w:fill="auto"/>
            <w:vAlign w:val="center"/>
          </w:tcPr>
          <w:p w:rsidR="00AD67B3" w:rsidRPr="008154B1" w:rsidRDefault="005E18BF" w:rsidP="00912164">
            <w:pPr>
              <w:pStyle w:val="TableText0"/>
            </w:pPr>
            <w:r>
              <w:rPr>
                <w:noProof/>
                <w:color w:val="000000"/>
                <w:highlight w:val="black"/>
              </w:rPr>
              <w:t>'''''''''' '''''''''' '''''''''''''''''</w:t>
            </w:r>
            <w:r w:rsidR="00AD67B3" w:rsidRPr="008154B1">
              <w:t xml:space="preserve"> in Year 1, increasing to </w:t>
            </w:r>
            <w:r>
              <w:rPr>
                <w:noProof/>
                <w:color w:val="000000"/>
                <w:highlight w:val="black"/>
              </w:rPr>
              <w:t>'''''''''' ''''''''''' '''''''''''''''</w:t>
            </w:r>
            <w:r w:rsidR="00AD67B3" w:rsidRPr="008154B1">
              <w:t xml:space="preserve"> in Year 6.</w:t>
            </w:r>
          </w:p>
          <w:p w:rsidR="00AD67B3" w:rsidRPr="008154B1" w:rsidRDefault="00AD67B3" w:rsidP="00912164">
            <w:pPr>
              <w:pStyle w:val="TableText0"/>
            </w:pPr>
            <w:r w:rsidRPr="008154B1">
              <w:t>Derived from NBA data on the utilization of IV C1-INH (vials dispensed).</w:t>
            </w:r>
          </w:p>
          <w:p w:rsidR="00AD67B3" w:rsidRPr="008154B1" w:rsidRDefault="00AD67B3" w:rsidP="00912164">
            <w:pPr>
              <w:pStyle w:val="TableText0"/>
            </w:pPr>
            <w:r w:rsidRPr="008154B1">
              <w:t>Assumed 75% of use was for routine prophylaxis</w:t>
            </w:r>
            <w:r w:rsidR="00311914" w:rsidRPr="008154B1">
              <w:t>.</w:t>
            </w:r>
          </w:p>
          <w:p w:rsidR="00AD67B3" w:rsidRPr="008154B1" w:rsidRDefault="00AD67B3" w:rsidP="00912164">
            <w:pPr>
              <w:pStyle w:val="TableText0"/>
            </w:pPr>
            <w:r w:rsidRPr="008154B1">
              <w:t>Number of patients derived assuming an average of 3.52 vials per dose and 104 doses per year (366 vials per patient per year)</w:t>
            </w:r>
            <w:r w:rsidR="00311914" w:rsidRPr="008154B1">
              <w:t>.</w:t>
            </w:r>
          </w:p>
        </w:tc>
        <w:tc>
          <w:tcPr>
            <w:tcW w:w="1884" w:type="pct"/>
            <w:shd w:val="clear" w:color="auto" w:fill="auto"/>
            <w:vAlign w:val="center"/>
          </w:tcPr>
          <w:p w:rsidR="00AD67B3" w:rsidRPr="008154B1" w:rsidRDefault="00AD67B3" w:rsidP="00912164">
            <w:pPr>
              <w:pStyle w:val="TableText0"/>
            </w:pPr>
            <w:r w:rsidRPr="008154B1">
              <w:t xml:space="preserve">This is likely to be an overestimate, given that only </w:t>
            </w:r>
            <w:r w:rsidR="005E18BF">
              <w:rPr>
                <w:noProof/>
                <w:color w:val="000000"/>
                <w:highlight w:val="black"/>
              </w:rPr>
              <w:t xml:space="preserve">'''''''''' '''''''''' ''''''''''''''''' </w:t>
            </w:r>
            <w:r w:rsidRPr="008154B1">
              <w:t>patients were estimated to meet the initial treatment - 1 criteria (≥ 12 attacks within 6 months).</w:t>
            </w:r>
          </w:p>
          <w:p w:rsidR="00AD67B3" w:rsidRPr="008154B1" w:rsidRDefault="00AD67B3" w:rsidP="00912164">
            <w:pPr>
              <w:pStyle w:val="TableText0"/>
            </w:pPr>
            <w:r w:rsidRPr="008154B1">
              <w:t>The proportion of use of IV C1-INH that was for routine prophylaxis was a major source of uncertainty in the financial estimates.</w:t>
            </w:r>
          </w:p>
        </w:tc>
      </w:tr>
      <w:tr w:rsidR="00AD67B3" w:rsidRPr="008154B1" w:rsidTr="005A54CD">
        <w:tc>
          <w:tcPr>
            <w:tcW w:w="858" w:type="pct"/>
            <w:shd w:val="clear" w:color="auto" w:fill="auto"/>
            <w:vAlign w:val="center"/>
          </w:tcPr>
          <w:p w:rsidR="00AD67B3" w:rsidRPr="008154B1" w:rsidRDefault="00AD67B3" w:rsidP="00912164">
            <w:pPr>
              <w:pStyle w:val="TableText0"/>
            </w:pPr>
            <w:r w:rsidRPr="008154B1">
              <w:t>Uptake rate</w:t>
            </w:r>
          </w:p>
        </w:tc>
        <w:tc>
          <w:tcPr>
            <w:tcW w:w="2258" w:type="pct"/>
            <w:shd w:val="clear" w:color="auto" w:fill="auto"/>
            <w:vAlign w:val="center"/>
          </w:tcPr>
          <w:p w:rsidR="00AD67B3" w:rsidRPr="008154B1" w:rsidRDefault="00AD67B3" w:rsidP="00912164">
            <w:pPr>
              <w:pStyle w:val="TableText0"/>
            </w:pPr>
            <w:r w:rsidRPr="008154B1">
              <w:t xml:space="preserve">The resubmission assumed </w:t>
            </w:r>
            <w:r w:rsidR="005E18BF">
              <w:rPr>
                <w:noProof/>
                <w:color w:val="000000"/>
                <w:highlight w:val="black"/>
              </w:rPr>
              <w:t>''''''</w:t>
            </w:r>
            <w:r w:rsidRPr="008154B1">
              <w:t xml:space="preserve">% uptake in Year 1 and a further </w:t>
            </w:r>
            <w:r w:rsidR="005E18BF">
              <w:rPr>
                <w:noProof/>
                <w:color w:val="000000"/>
                <w:highlight w:val="black"/>
              </w:rPr>
              <w:t>''''''</w:t>
            </w:r>
            <w:r w:rsidRPr="008154B1">
              <w:t xml:space="preserve">% of those not switching in Year 1 assumed to switch in Year 2 (i.e. 15% x </w:t>
            </w:r>
            <w:r w:rsidR="005E18BF">
              <w:rPr>
                <w:noProof/>
                <w:color w:val="000000"/>
                <w:highlight w:val="black"/>
              </w:rPr>
              <w:t>'''''''</w:t>
            </w:r>
            <w:r w:rsidRPr="008154B1">
              <w:t xml:space="preserve">% = </w:t>
            </w:r>
            <w:r w:rsidR="005E18BF">
              <w:rPr>
                <w:noProof/>
                <w:color w:val="000000"/>
                <w:highlight w:val="black"/>
              </w:rPr>
              <w:t>''''</w:t>
            </w:r>
            <w:r w:rsidRPr="008154B1">
              <w:t xml:space="preserve">%), resulting in a cumulative uptake of </w:t>
            </w:r>
            <w:r w:rsidR="005E18BF">
              <w:rPr>
                <w:noProof/>
                <w:color w:val="000000"/>
                <w:highlight w:val="black"/>
              </w:rPr>
              <w:t>''''''</w:t>
            </w:r>
            <w:r w:rsidRPr="008154B1">
              <w:t>% in Years 2-6.</w:t>
            </w:r>
          </w:p>
        </w:tc>
        <w:tc>
          <w:tcPr>
            <w:tcW w:w="1884" w:type="pct"/>
            <w:shd w:val="clear" w:color="auto" w:fill="auto"/>
            <w:vAlign w:val="center"/>
          </w:tcPr>
          <w:p w:rsidR="00AD67B3" w:rsidRPr="008154B1" w:rsidRDefault="00AD67B3" w:rsidP="000A0AF8">
            <w:pPr>
              <w:pStyle w:val="TableText0"/>
            </w:pPr>
            <w:r w:rsidRPr="008154B1">
              <w:t xml:space="preserve">This uptake rate should have been applied to the number of patients who were receiving C1-INH prophylaxis when lanadelumab is first listed (i.e. </w:t>
            </w:r>
            <w:r w:rsidR="005E18BF">
              <w:rPr>
                <w:noProof/>
                <w:color w:val="000000"/>
                <w:highlight w:val="black"/>
              </w:rPr>
              <w:t>'''''''' '''''''''''' '''''''''''''''''</w:t>
            </w:r>
            <w:r w:rsidRPr="008154B1">
              <w:t xml:space="preserve"> patients in Year 1 of listing), but in Years 2-6, the uptake rate of </w:t>
            </w:r>
            <w:r w:rsidR="005E18BF">
              <w:rPr>
                <w:noProof/>
                <w:color w:val="000000"/>
                <w:highlight w:val="black"/>
              </w:rPr>
              <w:t>''''''</w:t>
            </w:r>
            <w:r w:rsidRPr="008154B1">
              <w:t>% was applied to the total patients who would receive C1-INH prophylaxis in the absence of lanadelumab.</w:t>
            </w:r>
          </w:p>
        </w:tc>
      </w:tr>
      <w:tr w:rsidR="00AD67B3" w:rsidRPr="008154B1" w:rsidTr="005A54CD">
        <w:tc>
          <w:tcPr>
            <w:tcW w:w="5000" w:type="pct"/>
            <w:gridSpan w:val="3"/>
            <w:shd w:val="clear" w:color="auto" w:fill="auto"/>
            <w:vAlign w:val="center"/>
          </w:tcPr>
          <w:p w:rsidR="00AD67B3" w:rsidRPr="008154B1" w:rsidRDefault="00AD67B3" w:rsidP="00912164">
            <w:pPr>
              <w:pStyle w:val="TableText0"/>
            </w:pPr>
            <w:r w:rsidRPr="008154B1">
              <w:rPr>
                <w:b/>
                <w:bCs w:val="0"/>
              </w:rPr>
              <w:t>Number of vials</w:t>
            </w:r>
          </w:p>
        </w:tc>
      </w:tr>
      <w:tr w:rsidR="00AD67B3" w:rsidRPr="008154B1" w:rsidTr="005A54CD">
        <w:tc>
          <w:tcPr>
            <w:tcW w:w="858" w:type="pct"/>
            <w:shd w:val="clear" w:color="auto" w:fill="auto"/>
            <w:vAlign w:val="center"/>
          </w:tcPr>
          <w:p w:rsidR="00AD67B3" w:rsidRPr="008154B1" w:rsidRDefault="00AD67B3" w:rsidP="00912164">
            <w:pPr>
              <w:pStyle w:val="TableText0"/>
            </w:pPr>
            <w:r w:rsidRPr="008154B1">
              <w:t>Vials/patient/year</w:t>
            </w:r>
          </w:p>
        </w:tc>
        <w:tc>
          <w:tcPr>
            <w:tcW w:w="2258" w:type="pct"/>
            <w:shd w:val="clear" w:color="auto" w:fill="auto"/>
            <w:vAlign w:val="center"/>
          </w:tcPr>
          <w:p w:rsidR="00AD67B3" w:rsidRPr="005E18BF" w:rsidRDefault="005E18BF" w:rsidP="00912164">
            <w:pPr>
              <w:pStyle w:val="TableText0"/>
              <w:rPr>
                <w:highlight w:val="black"/>
              </w:rPr>
            </w:pPr>
            <w:r>
              <w:rPr>
                <w:noProof/>
                <w:color w:val="000000"/>
                <w:highlight w:val="black"/>
              </w:rPr>
              <w:t>'''''''''''''</w:t>
            </w:r>
          </w:p>
          <w:p w:rsidR="00AD67B3" w:rsidRPr="008154B1" w:rsidRDefault="00AD67B3" w:rsidP="00912164">
            <w:pPr>
              <w:pStyle w:val="TableText0"/>
            </w:pPr>
            <w:r w:rsidRPr="008154B1">
              <w:t xml:space="preserve">The resubmission assumed that </w:t>
            </w:r>
            <w:r w:rsidR="005E18BF">
              <w:rPr>
                <w:noProof/>
                <w:color w:val="000000"/>
                <w:highlight w:val="black"/>
              </w:rPr>
              <w:t>''''''</w:t>
            </w:r>
            <w:r w:rsidRPr="008154B1">
              <w:t xml:space="preserve">% of patients receive 300 mg Q4W and </w:t>
            </w:r>
            <w:r w:rsidR="005E18BF">
              <w:rPr>
                <w:noProof/>
                <w:color w:val="000000"/>
                <w:highlight w:val="black"/>
              </w:rPr>
              <w:t>'''''''</w:t>
            </w:r>
            <w:r w:rsidRPr="008154B1">
              <w:t>% received 300 mg Q2W.</w:t>
            </w:r>
          </w:p>
        </w:tc>
        <w:tc>
          <w:tcPr>
            <w:tcW w:w="1884" w:type="pct"/>
            <w:shd w:val="clear" w:color="auto" w:fill="auto"/>
            <w:vAlign w:val="center"/>
          </w:tcPr>
          <w:p w:rsidR="00AD67B3" w:rsidRPr="008154B1" w:rsidRDefault="00AD67B3" w:rsidP="00912164">
            <w:pPr>
              <w:pStyle w:val="TableText0"/>
            </w:pPr>
            <w:r w:rsidRPr="008154B1">
              <w:t>The PBAC previously considered that this assumption had underestimated the number of vials per patient (Para 7.13, lanadelumab PSD, July 2019). This was a major source of uncertainty in the financial estimates.</w:t>
            </w:r>
          </w:p>
        </w:tc>
      </w:tr>
    </w:tbl>
    <w:p w:rsidR="00AD67B3" w:rsidRPr="008154B1" w:rsidRDefault="00AD67B3" w:rsidP="00912164">
      <w:pPr>
        <w:pStyle w:val="TableFigureFooter"/>
      </w:pPr>
      <w:r w:rsidRPr="008154B1">
        <w:t>Source: Sections 4.1 - 4.3 of the resubmission; Excel workbook “Electronic_Files_LANA_HAE_Sec4_BIM”</w:t>
      </w:r>
    </w:p>
    <w:p w:rsidR="00AD67B3" w:rsidRPr="008154B1" w:rsidRDefault="00AD67B3" w:rsidP="00912164">
      <w:pPr>
        <w:pStyle w:val="TableFigureFooter"/>
      </w:pPr>
      <w:r w:rsidRPr="008154B1">
        <w:t>C1-INH = C1 esterase inhibitor; HAE = hereditary angioedema; IV = intravenous; NBA = National Blood Authority; PSD = Public Summary Document; Q2W = every 2 weeks; Q4W = every 4 weeks.</w:t>
      </w:r>
    </w:p>
    <w:p w:rsidR="00AD67B3" w:rsidRPr="008154B1" w:rsidRDefault="00AD67B3" w:rsidP="005A54CD">
      <w:pPr>
        <w:pStyle w:val="3-BodyText"/>
        <w:keepNext/>
        <w:numPr>
          <w:ilvl w:val="0"/>
          <w:numId w:val="0"/>
        </w:numPr>
        <w:ind w:left="709" w:hanging="709"/>
      </w:pPr>
      <w:r w:rsidRPr="008154B1">
        <w:rPr>
          <w:b/>
          <w:bCs/>
        </w:rPr>
        <w:lastRenderedPageBreak/>
        <w:t>Population 1</w:t>
      </w:r>
      <w:r w:rsidRPr="008154B1">
        <w:t xml:space="preserve"> (patients who experience ≥ 12 treated HAE attacks within 6 months)</w:t>
      </w:r>
    </w:p>
    <w:p w:rsidR="00AD67B3" w:rsidRPr="008154B1" w:rsidRDefault="00AD67B3" w:rsidP="00912164">
      <w:pPr>
        <w:pStyle w:val="3-BodyText"/>
      </w:pPr>
      <w:r w:rsidRPr="008154B1">
        <w:t>The resubmission used an epidemiological approach to estimate the number of patients likely to initiate lanadelumab under the ‘initial treatment - 1' criteria.</w:t>
      </w:r>
    </w:p>
    <w:p w:rsidR="000F0588" w:rsidRPr="008154B1" w:rsidRDefault="00AD67B3" w:rsidP="00912164">
      <w:pPr>
        <w:pStyle w:val="3-BodyText"/>
      </w:pPr>
      <w:r w:rsidRPr="008154B1">
        <w:t xml:space="preserve">The resubmission estimated the number of eligible patients by </w:t>
      </w:r>
      <w:r w:rsidR="000F0588" w:rsidRPr="008154B1">
        <w:t xml:space="preserve">estimating the number of ‘at risk’ patients, which comprised the prevalent HAE patient population (1 in 50,000 based on the ASCIA Position Paper and the literature more broadly) excluding patients </w:t>
      </w:r>
      <w:r w:rsidR="005578B7" w:rsidRPr="008154B1">
        <w:t xml:space="preserve">who were already captured in Population 2 (those </w:t>
      </w:r>
      <w:r w:rsidR="000F0588" w:rsidRPr="008154B1">
        <w:t>receiving C1-INH prophylaxis</w:t>
      </w:r>
      <w:r w:rsidR="005578B7" w:rsidRPr="008154B1">
        <w:t>).</w:t>
      </w:r>
    </w:p>
    <w:p w:rsidR="00AD67B3" w:rsidRPr="008154B1" w:rsidRDefault="000F0588" w:rsidP="00912164">
      <w:pPr>
        <w:pStyle w:val="3-BodyText"/>
      </w:pPr>
      <w:r w:rsidRPr="008154B1">
        <w:t xml:space="preserve">The resubmission then </w:t>
      </w:r>
      <w:r w:rsidR="00AD67B3" w:rsidRPr="008154B1">
        <w:t>assum</w:t>
      </w:r>
      <w:r w:rsidRPr="008154B1">
        <w:t>ed that</w:t>
      </w:r>
      <w:r w:rsidR="00AD67B3" w:rsidRPr="008154B1">
        <w:t xml:space="preserve"> </w:t>
      </w:r>
      <w:r w:rsidR="005E18BF">
        <w:rPr>
          <w:noProof/>
          <w:color w:val="000000"/>
          <w:highlight w:val="black"/>
        </w:rPr>
        <w:t>'''''''</w:t>
      </w:r>
      <w:r w:rsidR="00AD67B3" w:rsidRPr="008154B1">
        <w:t>% of ‘at risk’ patients</w:t>
      </w:r>
      <w:r w:rsidR="00AD67B3" w:rsidRPr="008154B1">
        <w:rPr>
          <w:rStyle w:val="FootnoteReference"/>
        </w:rPr>
        <w:footnoteReference w:id="8"/>
      </w:r>
      <w:r w:rsidR="00AD67B3" w:rsidRPr="008154B1">
        <w:t xml:space="preserve"> experienced at least 24 treated attacks in 12 months. This was based on the PBS utilisation data for icatibant. The limitations of using these data as a proxy for the number of eligible patients </w:t>
      </w:r>
      <w:r w:rsidR="008244C8" w:rsidRPr="008154B1">
        <w:t xml:space="preserve">are </w:t>
      </w:r>
      <w:r w:rsidR="00AD67B3" w:rsidRPr="008154B1">
        <w:t xml:space="preserve">discussed above. This step estimated the number of patients in the prevalent HAE population who would be eligible for lanadelumab, but the resubmission applied the estimates as incident patients. </w:t>
      </w:r>
      <w:r w:rsidR="00516851" w:rsidRPr="008154B1">
        <w:t>The evaluation considered t</w:t>
      </w:r>
      <w:r w:rsidR="00AD67B3" w:rsidRPr="008154B1">
        <w:t>his was not appropriate, as incident patients are already captured in the prevalent patient pool.</w:t>
      </w:r>
    </w:p>
    <w:p w:rsidR="00AD67B3" w:rsidRPr="008154B1" w:rsidRDefault="00AD67B3" w:rsidP="00912164">
      <w:pPr>
        <w:pStyle w:val="3-BodyText"/>
      </w:pPr>
      <w:r w:rsidRPr="008154B1">
        <w:t xml:space="preserve">The resubmission assumed an uptake rate of </w:t>
      </w:r>
      <w:r w:rsidR="005E18BF">
        <w:rPr>
          <w:noProof/>
          <w:color w:val="000000"/>
          <w:highlight w:val="black"/>
        </w:rPr>
        <w:t>'''''</w:t>
      </w:r>
      <w:r w:rsidRPr="008154B1">
        <w:t xml:space="preserve">% each year, and applied the resulting number of patients as the number initiating treatment each year. A discontinuation rate of 15% each year was applied to determine the number of continuing patients in the following year. </w:t>
      </w:r>
      <w:r w:rsidRPr="008154B1">
        <w:rPr>
          <w:iCs/>
        </w:rPr>
        <w:t xml:space="preserve">As a result of using the prevalence data as incidence data, the estimated number of patients likely to be treated </w:t>
      </w:r>
      <w:r w:rsidR="00AB0993" w:rsidRPr="008154B1">
        <w:rPr>
          <w:iCs/>
        </w:rPr>
        <w:t>inappropriately</w:t>
      </w:r>
      <w:r w:rsidRPr="008154B1">
        <w:rPr>
          <w:iCs/>
        </w:rPr>
        <w:t xml:space="preserve"> increased from </w:t>
      </w:r>
      <w:r w:rsidR="00995D4C">
        <w:rPr>
          <w:iCs/>
        </w:rPr>
        <w:t>less than 10,000</w:t>
      </w:r>
      <w:r w:rsidRPr="008154B1">
        <w:rPr>
          <w:iCs/>
        </w:rPr>
        <w:t xml:space="preserve"> in Year 1 of listing (</w:t>
      </w:r>
      <w:r w:rsidR="005E18BF">
        <w:rPr>
          <w:iCs/>
          <w:noProof/>
          <w:color w:val="000000"/>
          <w:highlight w:val="black"/>
        </w:rPr>
        <w:t>'''''''</w:t>
      </w:r>
      <w:r w:rsidRPr="008154B1">
        <w:rPr>
          <w:iCs/>
        </w:rPr>
        <w:t xml:space="preserve">% of the HAE population) to </w:t>
      </w:r>
      <w:r w:rsidR="00995D4C">
        <w:rPr>
          <w:iCs/>
        </w:rPr>
        <w:t xml:space="preserve">less than 10,000 </w:t>
      </w:r>
      <w:r w:rsidRPr="008154B1">
        <w:rPr>
          <w:iCs/>
        </w:rPr>
        <w:t>patients in Year 6 (14.3% of the HAE population) (</w:t>
      </w:r>
      <w:r w:rsidR="00EA3C26" w:rsidRPr="008154B1">
        <w:rPr>
          <w:iCs/>
        </w:rPr>
        <w:t>Table 15</w:t>
      </w:r>
      <w:r w:rsidRPr="008154B1">
        <w:rPr>
          <w:iCs/>
        </w:rPr>
        <w:t>).</w:t>
      </w:r>
    </w:p>
    <w:p w:rsidR="00814BBF" w:rsidRPr="008154B1" w:rsidRDefault="00AD67B3" w:rsidP="00912164">
      <w:pPr>
        <w:pStyle w:val="3-BodyText"/>
      </w:pPr>
      <w:r w:rsidRPr="008154B1">
        <w:t xml:space="preserve">For the purposes of the evaluation, the financial estimates were recalculated, assuming that </w:t>
      </w:r>
      <w:r w:rsidR="005E18BF">
        <w:rPr>
          <w:noProof/>
          <w:color w:val="000000"/>
          <w:highlight w:val="black"/>
        </w:rPr>
        <w:t>''''''</w:t>
      </w:r>
      <w:r w:rsidRPr="008154B1">
        <w:t>% of the prevalent HAE patient population who were not receiving C1-INH prophylaxis would be eligible for lanadelumab under the ‘initial treatment - 1’ restriction. Given the considerable uncertainty in the estimated number of patients likely to be treated, discontinuations were not taken into consideration in the re-analysis.</w:t>
      </w:r>
      <w:r w:rsidR="00A500D5" w:rsidRPr="008154B1">
        <w:t xml:space="preserve"> </w:t>
      </w:r>
    </w:p>
    <w:p w:rsidR="00814BBF" w:rsidRPr="008154B1" w:rsidRDefault="00814BBF" w:rsidP="00912164">
      <w:pPr>
        <w:pStyle w:val="3-BodyText"/>
      </w:pPr>
      <w:r w:rsidRPr="008154B1">
        <w:t xml:space="preserve">The PSCR argued that the ‘approach to estimating the number of patients is correct as a prevalent pool of patients is constantly “at risk” of becoming eligible over time’. </w:t>
      </w:r>
      <w:r w:rsidRPr="008154B1">
        <w:rPr>
          <w:iCs/>
        </w:rPr>
        <w:t>The ESC agreed with the evalua</w:t>
      </w:r>
      <w:r w:rsidR="00AB0993" w:rsidRPr="008154B1">
        <w:rPr>
          <w:iCs/>
        </w:rPr>
        <w:t xml:space="preserve">tion that the resubmission had effectively </w:t>
      </w:r>
      <w:r w:rsidRPr="008154B1">
        <w:rPr>
          <w:iCs/>
        </w:rPr>
        <w:t>applied prevalence estimates as incidence rates</w:t>
      </w:r>
      <w:r w:rsidR="00AC0588" w:rsidRPr="008154B1">
        <w:rPr>
          <w:iCs/>
        </w:rPr>
        <w:t>,</w:t>
      </w:r>
      <w:r w:rsidRPr="008154B1">
        <w:t xml:space="preserve"> and considered that it was unlikely that an additional </w:t>
      </w:r>
      <w:r w:rsidR="005E18BF">
        <w:rPr>
          <w:noProof/>
          <w:color w:val="000000"/>
          <w:highlight w:val="black"/>
        </w:rPr>
        <w:t>'''''''</w:t>
      </w:r>
      <w:r w:rsidRPr="008154B1">
        <w:t xml:space="preserve">% of the prevalent population will become eligible each year (noting that this would accumulate to </w:t>
      </w:r>
      <w:r w:rsidR="005E18BF">
        <w:rPr>
          <w:noProof/>
          <w:color w:val="000000"/>
          <w:highlight w:val="black"/>
        </w:rPr>
        <w:t>''''''''</w:t>
      </w:r>
      <w:r w:rsidRPr="008154B1">
        <w:t xml:space="preserve">% of HAE patients being treated with lanadelumab by Year 6). However, </w:t>
      </w:r>
      <w:r w:rsidRPr="008154B1">
        <w:rPr>
          <w:iCs/>
        </w:rPr>
        <w:t xml:space="preserve">the ESC considered that </w:t>
      </w:r>
      <w:r w:rsidRPr="008154B1">
        <w:t>it was likely that the number of treated patients would increase over time, and that</w:t>
      </w:r>
      <w:r w:rsidRPr="008154B1">
        <w:rPr>
          <w:iCs/>
        </w:rPr>
        <w:t xml:space="preserve"> the evaluator</w:t>
      </w:r>
      <w:r w:rsidR="00E007FC" w:rsidRPr="008154B1">
        <w:rPr>
          <w:iCs/>
        </w:rPr>
        <w:t>’</w:t>
      </w:r>
      <w:r w:rsidRPr="008154B1">
        <w:rPr>
          <w:iCs/>
        </w:rPr>
        <w:t xml:space="preserve">s approach may have </w:t>
      </w:r>
      <w:r w:rsidRPr="008154B1">
        <w:rPr>
          <w:iCs/>
        </w:rPr>
        <w:lastRenderedPageBreak/>
        <w:t>underestimated patient numbers as it did not account for new incident patients each year</w:t>
      </w:r>
      <w:r w:rsidRPr="008154B1">
        <w:t>.</w:t>
      </w:r>
    </w:p>
    <w:p w:rsidR="00AD67B3" w:rsidRPr="008154B1" w:rsidRDefault="00AD67B3" w:rsidP="00912164">
      <w:pPr>
        <w:pStyle w:val="3-BodyText"/>
        <w:numPr>
          <w:ilvl w:val="0"/>
          <w:numId w:val="0"/>
        </w:numPr>
      </w:pPr>
      <w:r w:rsidRPr="008154B1">
        <w:rPr>
          <w:b/>
          <w:bCs/>
        </w:rPr>
        <w:t xml:space="preserve">Population 2 </w:t>
      </w:r>
      <w:r w:rsidRPr="008154B1">
        <w:t xml:space="preserve">(patients </w:t>
      </w:r>
      <w:r w:rsidR="00516851" w:rsidRPr="008154B1">
        <w:t>who would otherwise receive C1-INH prophylaxis</w:t>
      </w:r>
      <w:r w:rsidRPr="008154B1">
        <w:t>)</w:t>
      </w:r>
    </w:p>
    <w:p w:rsidR="00AD67B3" w:rsidRPr="008154B1" w:rsidRDefault="00AD67B3" w:rsidP="00912164">
      <w:pPr>
        <w:pStyle w:val="3-BodyText"/>
      </w:pPr>
      <w:r w:rsidRPr="008154B1">
        <w:t xml:space="preserve">The resubmission used a market share approach to estimate the number of patients likely to initiate lanadelumab under the ‘initial treatment - 2’ criteria. </w:t>
      </w:r>
    </w:p>
    <w:p w:rsidR="00AD67B3" w:rsidRPr="008154B1" w:rsidRDefault="00AD67B3" w:rsidP="00912164">
      <w:pPr>
        <w:pStyle w:val="3-BodyText"/>
      </w:pPr>
      <w:r w:rsidRPr="008154B1">
        <w:t>The resubmission assumed that 75% of IV C1-INH use was for routine prophylaxis, and that each patient requires 366 x 500 IU vials per year</w:t>
      </w:r>
      <w:r w:rsidRPr="008154B1">
        <w:rPr>
          <w:rStyle w:val="FootnoteReference"/>
        </w:rPr>
        <w:footnoteReference w:id="9"/>
      </w:r>
      <w:r w:rsidRPr="008154B1">
        <w:t xml:space="preserve">. </w:t>
      </w:r>
      <w:r w:rsidRPr="008154B1">
        <w:rPr>
          <w:iCs/>
        </w:rPr>
        <w:t>As NBA utilisation data w</w:t>
      </w:r>
      <w:r w:rsidR="00311914" w:rsidRPr="008154B1">
        <w:rPr>
          <w:iCs/>
        </w:rPr>
        <w:t>ere</w:t>
      </w:r>
      <w:r w:rsidRPr="008154B1">
        <w:rPr>
          <w:iCs/>
        </w:rPr>
        <w:t xml:space="preserve"> not available by indication, t</w:t>
      </w:r>
      <w:r w:rsidRPr="008154B1">
        <w:t>he proportion of use of IV C1-INH that was for routine prophylaxis was a major source of uncertainty.</w:t>
      </w:r>
    </w:p>
    <w:p w:rsidR="00AD67B3" w:rsidRPr="008154B1" w:rsidRDefault="00AD67B3" w:rsidP="00912164">
      <w:pPr>
        <w:pStyle w:val="3-BodyText"/>
      </w:pPr>
      <w:r w:rsidRPr="008154B1">
        <w:t xml:space="preserve">The resubmission noted that the MSAC </w:t>
      </w:r>
      <w:r w:rsidR="003C5BD2" w:rsidRPr="008154B1">
        <w:t>Assessment Report</w:t>
      </w:r>
      <w:r w:rsidRPr="008154B1">
        <w:t xml:space="preserve"> for C1-INH estimated that between 4 and 8 patients would be eligible </w:t>
      </w:r>
      <w:r w:rsidR="003C5BD2" w:rsidRPr="008154B1">
        <w:t xml:space="preserve">for routine prophylaxis </w:t>
      </w:r>
      <w:r w:rsidRPr="008154B1">
        <w:t>each year</w:t>
      </w:r>
      <w:r w:rsidR="003C5BD2" w:rsidRPr="008154B1">
        <w:t>,</w:t>
      </w:r>
      <w:r w:rsidRPr="008154B1">
        <w:t xml:space="preserve"> and added that this suggest</w:t>
      </w:r>
      <w:r w:rsidR="003C5BD2" w:rsidRPr="008154B1">
        <w:t>ed</w:t>
      </w:r>
      <w:r w:rsidRPr="008154B1">
        <w:t xml:space="preserve"> over 30 patients would have initiated routine prophylaxis in the five years </w:t>
      </w:r>
      <w:r w:rsidR="003C5BD2" w:rsidRPr="008154B1">
        <w:t xml:space="preserve">that </w:t>
      </w:r>
      <w:r w:rsidRPr="008154B1">
        <w:t xml:space="preserve">IV C1-INH has been included on the NBA’s NPL. </w:t>
      </w:r>
      <w:r w:rsidRPr="008154B1">
        <w:rPr>
          <w:iCs/>
        </w:rPr>
        <w:t xml:space="preserve">The 4 to 8 patients each year in the MSAC </w:t>
      </w:r>
      <w:r w:rsidR="003C5BD2" w:rsidRPr="008154B1">
        <w:rPr>
          <w:iCs/>
        </w:rPr>
        <w:t>Assessment Report</w:t>
      </w:r>
      <w:r w:rsidRPr="008154B1">
        <w:rPr>
          <w:iCs/>
        </w:rPr>
        <w:t xml:space="preserve"> for C1-INH was the total number of HAE patients expected to receive C1-INH each year, not the number of patients initiating treatment each year</w:t>
      </w:r>
      <w:r w:rsidR="00EF7275" w:rsidRPr="008154B1">
        <w:rPr>
          <w:iCs/>
        </w:rPr>
        <w:t>.</w:t>
      </w:r>
      <w:r w:rsidRPr="008154B1">
        <w:t xml:space="preserve"> The resubmission estimated that, in the absence of lanadelumab, </w:t>
      </w:r>
      <w:r w:rsidR="00995D4C">
        <w:t>less than 10,000 p</w:t>
      </w:r>
      <w:r w:rsidRPr="008154B1">
        <w:t xml:space="preserve">atients would receive routine prophylaxis with C1-INH. </w:t>
      </w:r>
      <w:r w:rsidRPr="008154B1">
        <w:rPr>
          <w:iCs/>
        </w:rPr>
        <w:t xml:space="preserve">This represents approximately </w:t>
      </w:r>
      <w:r w:rsidR="005E18BF">
        <w:rPr>
          <w:iCs/>
          <w:noProof/>
          <w:color w:val="000000"/>
          <w:highlight w:val="black"/>
        </w:rPr>
        <w:t>'''</w:t>
      </w:r>
      <w:r w:rsidRPr="008154B1">
        <w:rPr>
          <w:iCs/>
        </w:rPr>
        <w:t xml:space="preserve">% of the estimated total HAE patient population in Australia, yet, on the basis of the PBS utilisation data, which was collected prior to the listing of C1-INH on the NBA’s NPL, the resubmission estimated that only </w:t>
      </w:r>
      <w:r w:rsidR="005E18BF">
        <w:rPr>
          <w:iCs/>
          <w:noProof/>
          <w:color w:val="000000"/>
          <w:highlight w:val="black"/>
        </w:rPr>
        <w:t>''''''</w:t>
      </w:r>
      <w:r w:rsidRPr="008154B1">
        <w:rPr>
          <w:iCs/>
        </w:rPr>
        <w:t xml:space="preserve">% of HAE patients would experience ≥ 24 HAE attacks per year. These assumptions are not internally consistent given that current C1-INH patients </w:t>
      </w:r>
      <w:r w:rsidR="00445C4D" w:rsidRPr="008154B1">
        <w:rPr>
          <w:iCs/>
        </w:rPr>
        <w:t>would</w:t>
      </w:r>
      <w:r w:rsidRPr="008154B1">
        <w:rPr>
          <w:iCs/>
        </w:rPr>
        <w:t xml:space="preserve"> only represent a small proportion of the proposed PBS population for lanadelumab. </w:t>
      </w:r>
    </w:p>
    <w:p w:rsidR="00AD67B3" w:rsidRPr="008154B1" w:rsidRDefault="00AD67B3" w:rsidP="00912164">
      <w:pPr>
        <w:pStyle w:val="3-BodyText"/>
      </w:pPr>
      <w:r w:rsidRPr="008154B1">
        <w:t xml:space="preserve">The resubmission indicated that an uptake rate of </w:t>
      </w:r>
      <w:r w:rsidR="005E18BF">
        <w:rPr>
          <w:noProof/>
          <w:color w:val="000000"/>
          <w:highlight w:val="black"/>
        </w:rPr>
        <w:t>'''''</w:t>
      </w:r>
      <w:r w:rsidRPr="008154B1">
        <w:t xml:space="preserve">% was assumed in Year 1, with a further </w:t>
      </w:r>
      <w:r w:rsidR="005E18BF">
        <w:rPr>
          <w:noProof/>
          <w:color w:val="000000"/>
          <w:highlight w:val="black"/>
        </w:rPr>
        <w:t>'''''</w:t>
      </w:r>
      <w:r w:rsidRPr="008154B1">
        <w:t xml:space="preserve">% of those not switching in Year 1 assumed to switch in Year 2 (i.e. </w:t>
      </w:r>
      <w:r w:rsidR="005E18BF">
        <w:rPr>
          <w:noProof/>
          <w:color w:val="000000"/>
          <w:highlight w:val="black"/>
        </w:rPr>
        <w:t>'''''</w:t>
      </w:r>
      <w:r w:rsidRPr="008154B1">
        <w:t xml:space="preserve">% x </w:t>
      </w:r>
      <w:r w:rsidR="005E18BF">
        <w:rPr>
          <w:noProof/>
          <w:color w:val="000000"/>
          <w:highlight w:val="black"/>
        </w:rPr>
        <w:t>'''''</w:t>
      </w:r>
      <w:r w:rsidRPr="008154B1">
        <w:t xml:space="preserve">% = </w:t>
      </w:r>
      <w:r w:rsidR="005E18BF">
        <w:rPr>
          <w:noProof/>
          <w:color w:val="000000"/>
          <w:highlight w:val="black"/>
        </w:rPr>
        <w:t>'''</w:t>
      </w:r>
      <w:r w:rsidRPr="008154B1">
        <w:t xml:space="preserve">%), with no further uptake in Years 3-6, resulting in a cumulative uptake of </w:t>
      </w:r>
      <w:r w:rsidR="005E18BF">
        <w:rPr>
          <w:noProof/>
          <w:color w:val="000000"/>
          <w:highlight w:val="black"/>
        </w:rPr>
        <w:t>'''''</w:t>
      </w:r>
      <w:r w:rsidRPr="008154B1">
        <w:t xml:space="preserve">%. </w:t>
      </w:r>
      <w:r w:rsidRPr="008154B1">
        <w:rPr>
          <w:iCs/>
        </w:rPr>
        <w:t xml:space="preserve">In the calculations in the Excel workbook for Section 4, an uptake rate of </w:t>
      </w:r>
      <w:r w:rsidR="005E18BF">
        <w:rPr>
          <w:iCs/>
          <w:noProof/>
          <w:color w:val="000000"/>
          <w:highlight w:val="black"/>
        </w:rPr>
        <w:t>'''''</w:t>
      </w:r>
      <w:r w:rsidRPr="008154B1">
        <w:rPr>
          <w:iCs/>
        </w:rPr>
        <w:t xml:space="preserve">% was applied to the number of patients who, in the absence of lanadelumab, would receive C1-INH prophylaxis, resulting in further uptake in Years 3-6. The </w:t>
      </w:r>
      <w:r w:rsidR="00516851" w:rsidRPr="008154B1">
        <w:rPr>
          <w:iCs/>
        </w:rPr>
        <w:t xml:space="preserve">evaluation considered that the </w:t>
      </w:r>
      <w:r w:rsidRPr="008154B1">
        <w:rPr>
          <w:iCs/>
        </w:rPr>
        <w:t>resubmission’s approach result</w:t>
      </w:r>
      <w:r w:rsidR="00A82AA8" w:rsidRPr="008154B1">
        <w:rPr>
          <w:iCs/>
        </w:rPr>
        <w:t>ed</w:t>
      </w:r>
      <w:r w:rsidRPr="008154B1">
        <w:rPr>
          <w:iCs/>
        </w:rPr>
        <w:t xml:space="preserve"> in a considerable overestimate of the number of patients switching from C1-INH prophylaxis to lanadelumab.</w:t>
      </w:r>
    </w:p>
    <w:p w:rsidR="00AD67B3" w:rsidRPr="008154B1" w:rsidRDefault="00AD67B3" w:rsidP="00912164">
      <w:pPr>
        <w:pStyle w:val="3-BodyText"/>
      </w:pPr>
      <w:r w:rsidRPr="008154B1">
        <w:t>With the recent listing of the subcutaneous preparation of C1-INH on the NBA’s NPL, uptake of lanadelumab in patients eligible for prophylactic treatment with C1-INH may be lower than assumed in the resubmission.</w:t>
      </w:r>
    </w:p>
    <w:p w:rsidR="00AD67B3" w:rsidRPr="008154B1" w:rsidRDefault="00AD67B3" w:rsidP="00912164">
      <w:pPr>
        <w:pStyle w:val="3-BodyText"/>
      </w:pPr>
      <w:r w:rsidRPr="008154B1">
        <w:t xml:space="preserve">As in Section 3, the resubmission assumed that </w:t>
      </w:r>
      <w:r w:rsidR="005E18BF">
        <w:rPr>
          <w:noProof/>
          <w:color w:val="000000"/>
          <w:highlight w:val="black"/>
        </w:rPr>
        <w:t>'''''''''</w:t>
      </w:r>
      <w:r w:rsidRPr="008154B1">
        <w:t xml:space="preserve"> % of patients would receive lanadelumab 300 mg Q4W and </w:t>
      </w:r>
      <w:r w:rsidR="005E18BF">
        <w:rPr>
          <w:noProof/>
          <w:color w:val="000000"/>
          <w:highlight w:val="black"/>
        </w:rPr>
        <w:t>'''''''''</w:t>
      </w:r>
      <w:r w:rsidRPr="008154B1">
        <w:t xml:space="preserve">% would receive 300 mg Q2W, with a weighted average of </w:t>
      </w:r>
      <w:r w:rsidR="005E18BF">
        <w:rPr>
          <w:noProof/>
          <w:color w:val="000000"/>
          <w:highlight w:val="black"/>
        </w:rPr>
        <w:t>'''''''''''</w:t>
      </w:r>
      <w:r w:rsidRPr="008154B1">
        <w:t xml:space="preserve"> vials per patient per year. </w:t>
      </w:r>
      <w:r w:rsidRPr="008154B1">
        <w:rPr>
          <w:iCs/>
        </w:rPr>
        <w:t xml:space="preserve">The PBAC previously considered that this </w:t>
      </w:r>
      <w:r w:rsidRPr="008154B1">
        <w:rPr>
          <w:iCs/>
        </w:rPr>
        <w:lastRenderedPageBreak/>
        <w:t xml:space="preserve">assumption had underestimated the number of vials per patient (paragraph 7.13, lanadelumab, PSD, July 2019 PBAC meeting). </w:t>
      </w:r>
    </w:p>
    <w:p w:rsidR="00AD67B3" w:rsidRPr="008154B1" w:rsidRDefault="00AD67B3" w:rsidP="00912164">
      <w:pPr>
        <w:pStyle w:val="3-BodyText"/>
      </w:pPr>
      <w:r w:rsidRPr="008154B1">
        <w:t>The impact of lanadelumab on the reduced use of icatibant as ODT was calculated from the additional patients estimated to receive prophylaxis (either C1-INH or lanadelumab), the effectiveness of lanadelumab in reducing acute HAE attacks, and the expected attack frequency in patients who would receive lanadelumab but who, in the absence of lanadelumab, would not have received prophylaxis with C1-INH (referred to as the ‘broader population’ in the resubmission). The mean attack frequency applied in these estimates (33.6 treated attacks/year) was based on five patients from the PBS icatibant data who experienced ≥ 24 attacks but &lt; 48 attacks per annum.</w:t>
      </w:r>
      <w:r w:rsidRPr="008154B1">
        <w:rPr>
          <w:iCs/>
        </w:rPr>
        <w:t xml:space="preserve"> While the use of an upper limit of 48 attacks per annum was conservative, given the small sample size and the unpredictability of acute attacks, any estimates derived from these data are subject to considerable uncertainty. The resubmission did not estimate the differential impact on the use of icatibant with lanadelumab versus C1-INH prophylaxis, inherently assuming that lanadelumab and C1-INH were equi-effective in reducing the number of HAE attacks requiring ODT.</w:t>
      </w:r>
    </w:p>
    <w:p w:rsidR="00AD67B3" w:rsidRPr="008154B1" w:rsidRDefault="00AD67B3" w:rsidP="00912164">
      <w:pPr>
        <w:pStyle w:val="3-BodyText"/>
      </w:pPr>
      <w:r w:rsidRPr="008154B1">
        <w:t xml:space="preserve">The resubmission used a similar approach as that used for icatibant to estimate the savings to the Australian Government resulting from the reduction in the use of IV C1-INH for treatment of acute HAE attacks. The resubmission also estimated the savings resulting from patients switching from prophylaxis with IV C1-INH to lanadelumab, assuming that patients receive an average of 3.52 vials per dose and 104 doses per year (366 vials/patient/year). </w:t>
      </w:r>
      <w:r w:rsidRPr="008154B1">
        <w:rPr>
          <w:iCs/>
        </w:rPr>
        <w:t xml:space="preserve">As discussed above, the </w:t>
      </w:r>
      <w:r w:rsidR="00516851" w:rsidRPr="008154B1">
        <w:rPr>
          <w:iCs/>
        </w:rPr>
        <w:t xml:space="preserve">evaluation considered that the </w:t>
      </w:r>
      <w:r w:rsidRPr="008154B1">
        <w:rPr>
          <w:iCs/>
        </w:rPr>
        <w:t>number of patients likely to switch from C1-INH to lanadelumab was likely to be overestimated in the resubmission.</w:t>
      </w:r>
    </w:p>
    <w:p w:rsidR="00AD67B3" w:rsidRPr="008154B1" w:rsidRDefault="00AD67B3" w:rsidP="00912164">
      <w:pPr>
        <w:pStyle w:val="3-BodyText"/>
      </w:pPr>
      <w:r w:rsidRPr="008154B1">
        <w:t>The estimated net financial implications to the PBS/RPBS and to the Australian Government health budget, based on the proposed effective price of lanadelumab, are summarised below.</w:t>
      </w:r>
    </w:p>
    <w:p w:rsidR="00AD67B3" w:rsidRPr="008154B1" w:rsidRDefault="00AD67B3" w:rsidP="00912164">
      <w:pPr>
        <w:pStyle w:val="TableFigureHeading"/>
      </w:pPr>
      <w:bookmarkStart w:id="33" w:name="_Ref37767501"/>
      <w:r w:rsidRPr="008154B1">
        <w:lastRenderedPageBreak/>
        <w:t xml:space="preserve">Table </w:t>
      </w:r>
      <w:r w:rsidR="00AD3609" w:rsidRPr="008154B1">
        <w:t>16</w:t>
      </w:r>
      <w:bookmarkEnd w:id="33"/>
      <w:r w:rsidRPr="008154B1">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AD67B3" w:rsidRPr="008154B1" w:rsidTr="00376BD1">
        <w:trPr>
          <w:tblHeader/>
        </w:trPr>
        <w:tc>
          <w:tcPr>
            <w:tcW w:w="1116" w:type="pct"/>
            <w:shd w:val="clear" w:color="auto" w:fill="auto"/>
            <w:vAlign w:val="center"/>
          </w:tcPr>
          <w:p w:rsidR="00AD67B3" w:rsidRPr="00376BD1" w:rsidRDefault="00AD67B3" w:rsidP="00912164">
            <w:pPr>
              <w:pStyle w:val="In-tableHeading"/>
              <w:jc w:val="center"/>
              <w:rPr>
                <w:szCs w:val="20"/>
                <w:lang w:val="en-AU"/>
              </w:rPr>
            </w:pPr>
          </w:p>
        </w:tc>
        <w:tc>
          <w:tcPr>
            <w:tcW w:w="647" w:type="pct"/>
            <w:shd w:val="clear" w:color="auto" w:fill="auto"/>
            <w:vAlign w:val="center"/>
          </w:tcPr>
          <w:p w:rsidR="00AD67B3" w:rsidRPr="00376BD1" w:rsidRDefault="00AD67B3" w:rsidP="00912164">
            <w:pPr>
              <w:pStyle w:val="In-tableHeading"/>
              <w:jc w:val="center"/>
              <w:rPr>
                <w:szCs w:val="20"/>
                <w:lang w:val="en-AU"/>
              </w:rPr>
            </w:pPr>
            <w:r w:rsidRPr="00376BD1">
              <w:rPr>
                <w:szCs w:val="20"/>
                <w:lang w:val="en-AU"/>
              </w:rPr>
              <w:t>Year 1</w:t>
            </w:r>
          </w:p>
        </w:tc>
        <w:tc>
          <w:tcPr>
            <w:tcW w:w="647" w:type="pct"/>
            <w:shd w:val="clear" w:color="auto" w:fill="auto"/>
            <w:vAlign w:val="center"/>
          </w:tcPr>
          <w:p w:rsidR="00AD67B3" w:rsidRPr="00376BD1" w:rsidRDefault="00AD67B3" w:rsidP="00912164">
            <w:pPr>
              <w:pStyle w:val="In-tableHeading"/>
              <w:jc w:val="center"/>
              <w:rPr>
                <w:szCs w:val="20"/>
                <w:lang w:val="en-AU"/>
              </w:rPr>
            </w:pPr>
            <w:r w:rsidRPr="00376BD1">
              <w:rPr>
                <w:szCs w:val="20"/>
                <w:lang w:val="en-AU"/>
              </w:rPr>
              <w:t>Year 2</w:t>
            </w:r>
          </w:p>
        </w:tc>
        <w:tc>
          <w:tcPr>
            <w:tcW w:w="647" w:type="pct"/>
            <w:shd w:val="clear" w:color="auto" w:fill="auto"/>
            <w:vAlign w:val="center"/>
          </w:tcPr>
          <w:p w:rsidR="00AD67B3" w:rsidRPr="00376BD1" w:rsidRDefault="00AD67B3" w:rsidP="00912164">
            <w:pPr>
              <w:pStyle w:val="In-tableHeading"/>
              <w:jc w:val="center"/>
              <w:rPr>
                <w:szCs w:val="20"/>
                <w:lang w:val="en-AU"/>
              </w:rPr>
            </w:pPr>
            <w:r w:rsidRPr="00376BD1">
              <w:rPr>
                <w:szCs w:val="20"/>
                <w:lang w:val="en-AU"/>
              </w:rPr>
              <w:t>Year 3</w:t>
            </w:r>
          </w:p>
        </w:tc>
        <w:tc>
          <w:tcPr>
            <w:tcW w:w="647" w:type="pct"/>
            <w:shd w:val="clear" w:color="auto" w:fill="auto"/>
            <w:vAlign w:val="center"/>
          </w:tcPr>
          <w:p w:rsidR="00AD67B3" w:rsidRPr="00376BD1" w:rsidRDefault="00AD67B3" w:rsidP="00912164">
            <w:pPr>
              <w:pStyle w:val="In-tableHeading"/>
              <w:jc w:val="center"/>
              <w:rPr>
                <w:szCs w:val="20"/>
                <w:lang w:val="en-AU"/>
              </w:rPr>
            </w:pPr>
            <w:r w:rsidRPr="00376BD1">
              <w:rPr>
                <w:szCs w:val="20"/>
                <w:lang w:val="en-AU"/>
              </w:rPr>
              <w:t>Year 4</w:t>
            </w:r>
          </w:p>
        </w:tc>
        <w:tc>
          <w:tcPr>
            <w:tcW w:w="647" w:type="pct"/>
            <w:shd w:val="clear" w:color="auto" w:fill="auto"/>
            <w:vAlign w:val="center"/>
          </w:tcPr>
          <w:p w:rsidR="00AD67B3" w:rsidRPr="00376BD1" w:rsidRDefault="00AD67B3" w:rsidP="00912164">
            <w:pPr>
              <w:pStyle w:val="In-tableHeading"/>
              <w:jc w:val="center"/>
              <w:rPr>
                <w:szCs w:val="20"/>
                <w:lang w:val="en-AU"/>
              </w:rPr>
            </w:pPr>
            <w:r w:rsidRPr="00376BD1">
              <w:rPr>
                <w:szCs w:val="20"/>
                <w:lang w:val="en-AU"/>
              </w:rPr>
              <w:t>Year 5</w:t>
            </w:r>
          </w:p>
        </w:tc>
        <w:tc>
          <w:tcPr>
            <w:tcW w:w="649" w:type="pct"/>
          </w:tcPr>
          <w:p w:rsidR="00AD67B3" w:rsidRPr="00376BD1" w:rsidRDefault="00AD67B3" w:rsidP="00912164">
            <w:pPr>
              <w:pStyle w:val="In-tableHeading"/>
              <w:jc w:val="center"/>
              <w:rPr>
                <w:szCs w:val="20"/>
                <w:lang w:val="en-AU"/>
              </w:rPr>
            </w:pPr>
            <w:r w:rsidRPr="00376BD1">
              <w:rPr>
                <w:szCs w:val="20"/>
                <w:lang w:val="en-AU"/>
              </w:rPr>
              <w:t>Year 6</w:t>
            </w:r>
          </w:p>
        </w:tc>
      </w:tr>
      <w:tr w:rsidR="00AD67B3" w:rsidRPr="008154B1" w:rsidTr="00376BD1">
        <w:tc>
          <w:tcPr>
            <w:tcW w:w="5000" w:type="pct"/>
            <w:gridSpan w:val="7"/>
            <w:shd w:val="clear" w:color="auto" w:fill="auto"/>
            <w:vAlign w:val="center"/>
          </w:tcPr>
          <w:p w:rsidR="00AD67B3" w:rsidRPr="00376BD1" w:rsidRDefault="00AD67B3" w:rsidP="00912164">
            <w:pPr>
              <w:pStyle w:val="In-tableHeading"/>
              <w:rPr>
                <w:bCs/>
                <w:color w:val="000000"/>
                <w:szCs w:val="20"/>
                <w:lang w:val="en-AU"/>
              </w:rPr>
            </w:pPr>
            <w:r w:rsidRPr="00376BD1">
              <w:rPr>
                <w:bCs/>
                <w:color w:val="000000"/>
                <w:szCs w:val="20"/>
                <w:lang w:val="en-AU"/>
              </w:rPr>
              <w:t>Estimated extent of use</w:t>
            </w:r>
          </w:p>
        </w:tc>
      </w:tr>
      <w:tr w:rsidR="00AD67B3" w:rsidRPr="008154B1" w:rsidTr="00376BD1">
        <w:tc>
          <w:tcPr>
            <w:tcW w:w="1116" w:type="pct"/>
            <w:tcBorders>
              <w:bottom w:val="single" w:sz="4" w:space="0" w:color="auto"/>
            </w:tcBorders>
            <w:shd w:val="clear" w:color="auto" w:fill="auto"/>
            <w:vAlign w:val="center"/>
          </w:tcPr>
          <w:p w:rsidR="00AD67B3" w:rsidRPr="00376BD1" w:rsidRDefault="00AD67B3" w:rsidP="00912164">
            <w:pPr>
              <w:pStyle w:val="TableText0"/>
              <w:rPr>
                <w:szCs w:val="20"/>
              </w:rPr>
            </w:pPr>
            <w:r w:rsidRPr="00376BD1">
              <w:rPr>
                <w:szCs w:val="20"/>
              </w:rPr>
              <w:t>Number of patients treated</w:t>
            </w:r>
          </w:p>
        </w:tc>
        <w:tc>
          <w:tcPr>
            <w:tcW w:w="647" w:type="pct"/>
            <w:tcBorders>
              <w:bottom w:val="single" w:sz="4" w:space="0" w:color="auto"/>
            </w:tcBorders>
            <w:shd w:val="clear" w:color="auto" w:fill="auto"/>
            <w:vAlign w:val="center"/>
          </w:tcPr>
          <w:p w:rsidR="00AD67B3" w:rsidRPr="00376BD1" w:rsidRDefault="00AD67B3" w:rsidP="00912164">
            <w:pPr>
              <w:pStyle w:val="TableText0"/>
              <w:jc w:val="center"/>
              <w:rPr>
                <w:color w:val="000000"/>
                <w:szCs w:val="20"/>
              </w:rPr>
            </w:pPr>
          </w:p>
        </w:tc>
        <w:tc>
          <w:tcPr>
            <w:tcW w:w="647" w:type="pct"/>
            <w:tcBorders>
              <w:bottom w:val="single" w:sz="4" w:space="0" w:color="auto"/>
            </w:tcBorders>
            <w:shd w:val="clear" w:color="auto" w:fill="auto"/>
            <w:vAlign w:val="center"/>
          </w:tcPr>
          <w:p w:rsidR="00AD67B3" w:rsidRPr="00376BD1" w:rsidRDefault="00AD67B3" w:rsidP="00912164">
            <w:pPr>
              <w:pStyle w:val="TableText0"/>
              <w:jc w:val="center"/>
              <w:rPr>
                <w:color w:val="000000"/>
                <w:szCs w:val="20"/>
              </w:rPr>
            </w:pPr>
          </w:p>
        </w:tc>
        <w:tc>
          <w:tcPr>
            <w:tcW w:w="647" w:type="pct"/>
            <w:tcBorders>
              <w:bottom w:val="single" w:sz="4" w:space="0" w:color="auto"/>
            </w:tcBorders>
            <w:shd w:val="clear" w:color="auto" w:fill="auto"/>
            <w:vAlign w:val="center"/>
          </w:tcPr>
          <w:p w:rsidR="00AD67B3" w:rsidRPr="00376BD1" w:rsidRDefault="00AD67B3" w:rsidP="00912164">
            <w:pPr>
              <w:pStyle w:val="TableText0"/>
              <w:jc w:val="center"/>
              <w:rPr>
                <w:color w:val="000000"/>
                <w:szCs w:val="20"/>
              </w:rPr>
            </w:pPr>
          </w:p>
        </w:tc>
        <w:tc>
          <w:tcPr>
            <w:tcW w:w="647" w:type="pct"/>
            <w:tcBorders>
              <w:bottom w:val="single" w:sz="4" w:space="0" w:color="auto"/>
            </w:tcBorders>
            <w:shd w:val="clear" w:color="auto" w:fill="auto"/>
            <w:vAlign w:val="center"/>
          </w:tcPr>
          <w:p w:rsidR="00AD67B3" w:rsidRPr="00376BD1" w:rsidRDefault="00AD67B3" w:rsidP="00912164">
            <w:pPr>
              <w:pStyle w:val="TableText0"/>
              <w:jc w:val="center"/>
              <w:rPr>
                <w:color w:val="000000"/>
                <w:szCs w:val="20"/>
              </w:rPr>
            </w:pPr>
          </w:p>
        </w:tc>
        <w:tc>
          <w:tcPr>
            <w:tcW w:w="647" w:type="pct"/>
            <w:tcBorders>
              <w:bottom w:val="single" w:sz="4" w:space="0" w:color="auto"/>
            </w:tcBorders>
            <w:shd w:val="clear" w:color="auto" w:fill="auto"/>
            <w:vAlign w:val="center"/>
          </w:tcPr>
          <w:p w:rsidR="00AD67B3" w:rsidRPr="00376BD1" w:rsidRDefault="00AD67B3" w:rsidP="00912164">
            <w:pPr>
              <w:pStyle w:val="TableText0"/>
              <w:jc w:val="center"/>
              <w:rPr>
                <w:color w:val="000000"/>
                <w:szCs w:val="20"/>
              </w:rPr>
            </w:pPr>
          </w:p>
        </w:tc>
        <w:tc>
          <w:tcPr>
            <w:tcW w:w="649" w:type="pct"/>
            <w:tcBorders>
              <w:bottom w:val="single" w:sz="4" w:space="0" w:color="auto"/>
            </w:tcBorders>
          </w:tcPr>
          <w:p w:rsidR="00AD67B3" w:rsidRPr="00376BD1" w:rsidRDefault="00AD67B3" w:rsidP="00912164">
            <w:pPr>
              <w:pStyle w:val="TableText0"/>
              <w:jc w:val="center"/>
              <w:rPr>
                <w:color w:val="000000"/>
                <w:szCs w:val="20"/>
              </w:rPr>
            </w:pPr>
          </w:p>
        </w:tc>
      </w:tr>
      <w:tr w:rsidR="00AD67B3" w:rsidRPr="008154B1" w:rsidTr="00376BD1">
        <w:tc>
          <w:tcPr>
            <w:tcW w:w="1116" w:type="pct"/>
            <w:tcBorders>
              <w:bottom w:val="nil"/>
            </w:tcBorders>
            <w:shd w:val="clear" w:color="auto" w:fill="auto"/>
            <w:vAlign w:val="center"/>
          </w:tcPr>
          <w:p w:rsidR="00AD67B3" w:rsidRPr="00376BD1" w:rsidRDefault="00AD67B3" w:rsidP="00912164">
            <w:pPr>
              <w:pStyle w:val="TableText0"/>
              <w:ind w:left="257"/>
              <w:rPr>
                <w:szCs w:val="20"/>
              </w:rPr>
            </w:pPr>
            <w:r w:rsidRPr="00376BD1">
              <w:rPr>
                <w:szCs w:val="20"/>
              </w:rPr>
              <w:t>Population 1</w:t>
            </w:r>
          </w:p>
        </w:tc>
        <w:tc>
          <w:tcPr>
            <w:tcW w:w="647" w:type="pct"/>
            <w:tcBorders>
              <w:bottom w:val="nil"/>
            </w:tcBorders>
            <w:shd w:val="clear" w:color="auto" w:fill="auto"/>
            <w:vAlign w:val="center"/>
          </w:tcPr>
          <w:p w:rsidR="00AD67B3" w:rsidRPr="005E18BF" w:rsidRDefault="005E18BF" w:rsidP="00912164">
            <w:pPr>
              <w:pStyle w:val="TableText0"/>
              <w:jc w:val="center"/>
              <w:rPr>
                <w:color w:val="000000"/>
                <w:szCs w:val="20"/>
                <w:highlight w:val="black"/>
              </w:rPr>
            </w:pPr>
            <w:r>
              <w:rPr>
                <w:noProof/>
                <w:color w:val="000000"/>
                <w:szCs w:val="20"/>
                <w:highlight w:val="black"/>
              </w:rPr>
              <w:t>''''''</w:t>
            </w:r>
          </w:p>
        </w:tc>
        <w:tc>
          <w:tcPr>
            <w:tcW w:w="647" w:type="pct"/>
            <w:tcBorders>
              <w:bottom w:val="nil"/>
            </w:tcBorders>
            <w:shd w:val="clear" w:color="auto" w:fill="auto"/>
            <w:vAlign w:val="center"/>
          </w:tcPr>
          <w:p w:rsidR="00AD67B3" w:rsidRPr="005E18BF" w:rsidRDefault="005E18BF" w:rsidP="00912164">
            <w:pPr>
              <w:pStyle w:val="TableText0"/>
              <w:jc w:val="center"/>
              <w:rPr>
                <w:color w:val="000000"/>
                <w:szCs w:val="20"/>
                <w:highlight w:val="black"/>
              </w:rPr>
            </w:pPr>
            <w:r>
              <w:rPr>
                <w:noProof/>
                <w:color w:val="000000"/>
                <w:szCs w:val="20"/>
                <w:highlight w:val="black"/>
              </w:rPr>
              <w:t>''''''</w:t>
            </w:r>
          </w:p>
        </w:tc>
        <w:tc>
          <w:tcPr>
            <w:tcW w:w="647" w:type="pct"/>
            <w:tcBorders>
              <w:bottom w:val="nil"/>
            </w:tcBorders>
            <w:shd w:val="clear" w:color="auto" w:fill="auto"/>
            <w:vAlign w:val="center"/>
          </w:tcPr>
          <w:p w:rsidR="00AD67B3" w:rsidRPr="005E18BF" w:rsidRDefault="005E18BF" w:rsidP="00912164">
            <w:pPr>
              <w:pStyle w:val="TableText0"/>
              <w:jc w:val="center"/>
              <w:rPr>
                <w:color w:val="000000"/>
                <w:szCs w:val="20"/>
                <w:highlight w:val="black"/>
              </w:rPr>
            </w:pPr>
            <w:r>
              <w:rPr>
                <w:noProof/>
                <w:color w:val="000000"/>
                <w:szCs w:val="20"/>
                <w:highlight w:val="black"/>
              </w:rPr>
              <w:t>''''''</w:t>
            </w:r>
          </w:p>
        </w:tc>
        <w:tc>
          <w:tcPr>
            <w:tcW w:w="647" w:type="pct"/>
            <w:tcBorders>
              <w:bottom w:val="nil"/>
            </w:tcBorders>
            <w:shd w:val="clear" w:color="auto" w:fill="auto"/>
            <w:vAlign w:val="center"/>
          </w:tcPr>
          <w:p w:rsidR="00AD67B3" w:rsidRPr="005E18BF" w:rsidRDefault="005E18BF" w:rsidP="00912164">
            <w:pPr>
              <w:pStyle w:val="TableText0"/>
              <w:jc w:val="center"/>
              <w:rPr>
                <w:color w:val="000000"/>
                <w:szCs w:val="20"/>
                <w:highlight w:val="black"/>
              </w:rPr>
            </w:pPr>
            <w:r>
              <w:rPr>
                <w:noProof/>
                <w:color w:val="000000"/>
                <w:szCs w:val="20"/>
                <w:highlight w:val="black"/>
              </w:rPr>
              <w:t>'''''''</w:t>
            </w:r>
          </w:p>
        </w:tc>
        <w:tc>
          <w:tcPr>
            <w:tcW w:w="647" w:type="pct"/>
            <w:tcBorders>
              <w:bottom w:val="nil"/>
            </w:tcBorders>
            <w:shd w:val="clear" w:color="auto" w:fill="auto"/>
            <w:vAlign w:val="center"/>
          </w:tcPr>
          <w:p w:rsidR="00AD67B3" w:rsidRPr="005E18BF" w:rsidRDefault="005E18BF" w:rsidP="00912164">
            <w:pPr>
              <w:pStyle w:val="TableText0"/>
              <w:jc w:val="center"/>
              <w:rPr>
                <w:color w:val="000000"/>
                <w:szCs w:val="20"/>
                <w:highlight w:val="black"/>
              </w:rPr>
            </w:pPr>
            <w:r>
              <w:rPr>
                <w:noProof/>
                <w:color w:val="000000"/>
                <w:szCs w:val="20"/>
                <w:highlight w:val="black"/>
              </w:rPr>
              <w:t>''''''</w:t>
            </w:r>
          </w:p>
        </w:tc>
        <w:tc>
          <w:tcPr>
            <w:tcW w:w="649" w:type="pct"/>
            <w:tcBorders>
              <w:bottom w:val="nil"/>
            </w:tcBorders>
            <w:vAlign w:val="center"/>
          </w:tcPr>
          <w:p w:rsidR="00AD67B3" w:rsidRPr="005E18BF" w:rsidRDefault="005E18BF" w:rsidP="00912164">
            <w:pPr>
              <w:pStyle w:val="TableText0"/>
              <w:jc w:val="center"/>
              <w:rPr>
                <w:color w:val="000000"/>
                <w:szCs w:val="20"/>
                <w:highlight w:val="black"/>
              </w:rPr>
            </w:pPr>
            <w:r>
              <w:rPr>
                <w:noProof/>
                <w:color w:val="000000"/>
                <w:szCs w:val="20"/>
                <w:highlight w:val="black"/>
              </w:rPr>
              <w:t>'''''''</w:t>
            </w:r>
          </w:p>
        </w:tc>
      </w:tr>
      <w:tr w:rsidR="00AD67B3" w:rsidRPr="008154B1" w:rsidTr="00376BD1">
        <w:tc>
          <w:tcPr>
            <w:tcW w:w="1116" w:type="pct"/>
            <w:tcBorders>
              <w:top w:val="nil"/>
            </w:tcBorders>
            <w:shd w:val="clear" w:color="auto" w:fill="auto"/>
            <w:vAlign w:val="center"/>
          </w:tcPr>
          <w:p w:rsidR="00AD67B3" w:rsidRPr="00376BD1" w:rsidRDefault="00AD67B3" w:rsidP="00912164">
            <w:pPr>
              <w:pStyle w:val="TableText0"/>
              <w:ind w:left="257"/>
              <w:rPr>
                <w:szCs w:val="20"/>
              </w:rPr>
            </w:pPr>
            <w:r w:rsidRPr="00376BD1">
              <w:rPr>
                <w:iCs/>
                <w:szCs w:val="20"/>
              </w:rPr>
              <w:t>Re-analysis</w:t>
            </w:r>
            <w:r w:rsidRPr="00376BD1">
              <w:rPr>
                <w:iCs/>
                <w:szCs w:val="20"/>
                <w:vertAlign w:val="superscript"/>
              </w:rPr>
              <w:t>a</w:t>
            </w:r>
          </w:p>
        </w:tc>
        <w:tc>
          <w:tcPr>
            <w:tcW w:w="647" w:type="pct"/>
            <w:tcBorders>
              <w:top w:val="nil"/>
            </w:tcBorders>
            <w:shd w:val="clear" w:color="auto" w:fill="auto"/>
            <w:vAlign w:val="center"/>
          </w:tcPr>
          <w:p w:rsidR="00AD67B3" w:rsidRPr="005E18BF" w:rsidRDefault="005E18BF" w:rsidP="00912164">
            <w:pPr>
              <w:pStyle w:val="TableText0"/>
              <w:jc w:val="center"/>
              <w:rPr>
                <w:szCs w:val="20"/>
                <w:highlight w:val="black"/>
              </w:rPr>
            </w:pPr>
            <w:r>
              <w:rPr>
                <w:iCs/>
                <w:noProof/>
                <w:color w:val="000000"/>
                <w:szCs w:val="20"/>
                <w:highlight w:val="black"/>
              </w:rPr>
              <w:t>'''''''</w:t>
            </w:r>
          </w:p>
        </w:tc>
        <w:tc>
          <w:tcPr>
            <w:tcW w:w="647" w:type="pct"/>
            <w:tcBorders>
              <w:top w:val="nil"/>
            </w:tcBorders>
            <w:shd w:val="clear" w:color="auto" w:fill="auto"/>
            <w:vAlign w:val="center"/>
          </w:tcPr>
          <w:p w:rsidR="00AD67B3" w:rsidRPr="005E18BF" w:rsidRDefault="005E18BF" w:rsidP="00912164">
            <w:pPr>
              <w:pStyle w:val="TableText0"/>
              <w:jc w:val="center"/>
              <w:rPr>
                <w:szCs w:val="20"/>
                <w:highlight w:val="black"/>
              </w:rPr>
            </w:pPr>
            <w:r>
              <w:rPr>
                <w:iCs/>
                <w:noProof/>
                <w:color w:val="000000"/>
                <w:szCs w:val="20"/>
                <w:highlight w:val="black"/>
              </w:rPr>
              <w:t>'''''''</w:t>
            </w:r>
          </w:p>
        </w:tc>
        <w:tc>
          <w:tcPr>
            <w:tcW w:w="647" w:type="pct"/>
            <w:tcBorders>
              <w:top w:val="nil"/>
            </w:tcBorders>
            <w:shd w:val="clear" w:color="auto" w:fill="auto"/>
            <w:vAlign w:val="center"/>
          </w:tcPr>
          <w:p w:rsidR="00AD67B3" w:rsidRPr="005E18BF" w:rsidRDefault="005E18BF" w:rsidP="00912164">
            <w:pPr>
              <w:pStyle w:val="TableText0"/>
              <w:jc w:val="center"/>
              <w:rPr>
                <w:szCs w:val="20"/>
                <w:highlight w:val="black"/>
              </w:rPr>
            </w:pPr>
            <w:r>
              <w:rPr>
                <w:iCs/>
                <w:noProof/>
                <w:color w:val="000000"/>
                <w:szCs w:val="20"/>
                <w:highlight w:val="black"/>
              </w:rPr>
              <w:t>''''''</w:t>
            </w:r>
          </w:p>
        </w:tc>
        <w:tc>
          <w:tcPr>
            <w:tcW w:w="647" w:type="pct"/>
            <w:tcBorders>
              <w:top w:val="nil"/>
            </w:tcBorders>
            <w:shd w:val="clear" w:color="auto" w:fill="auto"/>
            <w:vAlign w:val="center"/>
          </w:tcPr>
          <w:p w:rsidR="00AD67B3" w:rsidRPr="005E18BF" w:rsidRDefault="005E18BF" w:rsidP="00912164">
            <w:pPr>
              <w:pStyle w:val="TableText0"/>
              <w:jc w:val="center"/>
              <w:rPr>
                <w:szCs w:val="20"/>
                <w:highlight w:val="black"/>
              </w:rPr>
            </w:pPr>
            <w:r>
              <w:rPr>
                <w:iCs/>
                <w:noProof/>
                <w:color w:val="000000"/>
                <w:szCs w:val="20"/>
                <w:highlight w:val="black"/>
              </w:rPr>
              <w:t>'''''''</w:t>
            </w:r>
          </w:p>
        </w:tc>
        <w:tc>
          <w:tcPr>
            <w:tcW w:w="647" w:type="pct"/>
            <w:tcBorders>
              <w:top w:val="nil"/>
            </w:tcBorders>
            <w:shd w:val="clear" w:color="auto" w:fill="auto"/>
            <w:vAlign w:val="center"/>
          </w:tcPr>
          <w:p w:rsidR="00AD67B3" w:rsidRPr="005E18BF" w:rsidRDefault="005E18BF" w:rsidP="00912164">
            <w:pPr>
              <w:pStyle w:val="TableText0"/>
              <w:jc w:val="center"/>
              <w:rPr>
                <w:szCs w:val="20"/>
                <w:highlight w:val="black"/>
              </w:rPr>
            </w:pPr>
            <w:r>
              <w:rPr>
                <w:iCs/>
                <w:noProof/>
                <w:color w:val="000000"/>
                <w:szCs w:val="20"/>
                <w:highlight w:val="black"/>
              </w:rPr>
              <w:t>''''''</w:t>
            </w:r>
          </w:p>
        </w:tc>
        <w:tc>
          <w:tcPr>
            <w:tcW w:w="649" w:type="pct"/>
            <w:tcBorders>
              <w:top w:val="nil"/>
            </w:tcBorders>
            <w:vAlign w:val="center"/>
          </w:tcPr>
          <w:p w:rsidR="00AD67B3" w:rsidRPr="005E18BF" w:rsidRDefault="005E18BF" w:rsidP="00912164">
            <w:pPr>
              <w:pStyle w:val="TableText0"/>
              <w:jc w:val="center"/>
              <w:rPr>
                <w:szCs w:val="20"/>
                <w:highlight w:val="black"/>
              </w:rPr>
            </w:pPr>
            <w:r>
              <w:rPr>
                <w:iCs/>
                <w:noProof/>
                <w:color w:val="000000"/>
                <w:szCs w:val="20"/>
                <w:highlight w:val="black"/>
              </w:rPr>
              <w:t>'''''''</w:t>
            </w:r>
          </w:p>
        </w:tc>
      </w:tr>
      <w:tr w:rsidR="00AD67B3" w:rsidRPr="008154B1" w:rsidTr="00376BD1">
        <w:tc>
          <w:tcPr>
            <w:tcW w:w="1116" w:type="pct"/>
            <w:tcBorders>
              <w:bottom w:val="single" w:sz="4" w:space="0" w:color="auto"/>
            </w:tcBorders>
            <w:shd w:val="clear" w:color="auto" w:fill="auto"/>
            <w:vAlign w:val="center"/>
          </w:tcPr>
          <w:p w:rsidR="00AD67B3" w:rsidRPr="00376BD1" w:rsidRDefault="00AD67B3" w:rsidP="00912164">
            <w:pPr>
              <w:pStyle w:val="TableText0"/>
              <w:ind w:left="257"/>
              <w:rPr>
                <w:szCs w:val="20"/>
                <w:vertAlign w:val="superscript"/>
              </w:rPr>
            </w:pPr>
            <w:r w:rsidRPr="00376BD1">
              <w:rPr>
                <w:szCs w:val="20"/>
              </w:rPr>
              <w:t>Population 2</w:t>
            </w:r>
            <w:r w:rsidRPr="00376BD1">
              <w:rPr>
                <w:szCs w:val="20"/>
                <w:vertAlign w:val="superscript"/>
              </w:rPr>
              <w:t>b</w:t>
            </w:r>
          </w:p>
        </w:tc>
        <w:tc>
          <w:tcPr>
            <w:tcW w:w="647" w:type="pct"/>
            <w:tcBorders>
              <w:bottom w:val="single" w:sz="4" w:space="0" w:color="auto"/>
            </w:tcBorders>
            <w:shd w:val="clear" w:color="auto" w:fill="auto"/>
          </w:tcPr>
          <w:p w:rsidR="00AD67B3" w:rsidRPr="005E18BF" w:rsidRDefault="005E18BF" w:rsidP="00912164">
            <w:pPr>
              <w:pStyle w:val="TableText0"/>
              <w:jc w:val="center"/>
              <w:rPr>
                <w:szCs w:val="20"/>
                <w:highlight w:val="black"/>
              </w:rPr>
            </w:pPr>
            <w:r>
              <w:rPr>
                <w:noProof/>
                <w:color w:val="000000"/>
                <w:szCs w:val="20"/>
                <w:highlight w:val="black"/>
              </w:rPr>
              <w:t>''''''</w:t>
            </w:r>
          </w:p>
        </w:tc>
        <w:tc>
          <w:tcPr>
            <w:tcW w:w="647" w:type="pct"/>
            <w:tcBorders>
              <w:bottom w:val="single" w:sz="4" w:space="0" w:color="auto"/>
            </w:tcBorders>
            <w:shd w:val="clear" w:color="auto" w:fill="auto"/>
          </w:tcPr>
          <w:p w:rsidR="00AD67B3" w:rsidRPr="005E18BF" w:rsidRDefault="005E18BF" w:rsidP="00912164">
            <w:pPr>
              <w:pStyle w:val="TableText0"/>
              <w:jc w:val="center"/>
              <w:rPr>
                <w:szCs w:val="20"/>
                <w:highlight w:val="black"/>
              </w:rPr>
            </w:pPr>
            <w:r>
              <w:rPr>
                <w:noProof/>
                <w:color w:val="000000"/>
                <w:szCs w:val="20"/>
                <w:highlight w:val="black"/>
              </w:rPr>
              <w:t>''''''</w:t>
            </w:r>
          </w:p>
        </w:tc>
        <w:tc>
          <w:tcPr>
            <w:tcW w:w="647" w:type="pct"/>
            <w:tcBorders>
              <w:bottom w:val="single" w:sz="4" w:space="0" w:color="auto"/>
            </w:tcBorders>
            <w:shd w:val="clear" w:color="auto" w:fill="auto"/>
          </w:tcPr>
          <w:p w:rsidR="00AD67B3" w:rsidRPr="005E18BF" w:rsidRDefault="005E18BF" w:rsidP="00912164">
            <w:pPr>
              <w:pStyle w:val="TableText0"/>
              <w:jc w:val="center"/>
              <w:rPr>
                <w:szCs w:val="20"/>
                <w:highlight w:val="black"/>
              </w:rPr>
            </w:pPr>
            <w:r>
              <w:rPr>
                <w:noProof/>
                <w:color w:val="000000"/>
                <w:szCs w:val="20"/>
                <w:highlight w:val="black"/>
              </w:rPr>
              <w:t>''''''</w:t>
            </w:r>
          </w:p>
        </w:tc>
        <w:tc>
          <w:tcPr>
            <w:tcW w:w="647" w:type="pct"/>
            <w:tcBorders>
              <w:bottom w:val="single" w:sz="4" w:space="0" w:color="auto"/>
            </w:tcBorders>
            <w:shd w:val="clear" w:color="auto" w:fill="auto"/>
          </w:tcPr>
          <w:p w:rsidR="00AD67B3" w:rsidRPr="005E18BF" w:rsidRDefault="005E18BF" w:rsidP="00912164">
            <w:pPr>
              <w:pStyle w:val="TableText0"/>
              <w:jc w:val="center"/>
              <w:rPr>
                <w:szCs w:val="20"/>
                <w:highlight w:val="black"/>
              </w:rPr>
            </w:pPr>
            <w:r>
              <w:rPr>
                <w:noProof/>
                <w:color w:val="000000"/>
                <w:szCs w:val="20"/>
                <w:highlight w:val="black"/>
              </w:rPr>
              <w:t>'''''''</w:t>
            </w:r>
          </w:p>
        </w:tc>
        <w:tc>
          <w:tcPr>
            <w:tcW w:w="647" w:type="pct"/>
            <w:tcBorders>
              <w:bottom w:val="single" w:sz="4" w:space="0" w:color="auto"/>
            </w:tcBorders>
            <w:shd w:val="clear" w:color="auto" w:fill="auto"/>
          </w:tcPr>
          <w:p w:rsidR="00AD67B3" w:rsidRPr="005E18BF" w:rsidRDefault="005E18BF" w:rsidP="00912164">
            <w:pPr>
              <w:pStyle w:val="TableText0"/>
              <w:jc w:val="center"/>
              <w:rPr>
                <w:szCs w:val="20"/>
                <w:highlight w:val="black"/>
              </w:rPr>
            </w:pPr>
            <w:r>
              <w:rPr>
                <w:noProof/>
                <w:color w:val="000000"/>
                <w:szCs w:val="20"/>
                <w:highlight w:val="black"/>
              </w:rPr>
              <w:t>''''''</w:t>
            </w:r>
          </w:p>
        </w:tc>
        <w:tc>
          <w:tcPr>
            <w:tcW w:w="649" w:type="pct"/>
            <w:tcBorders>
              <w:bottom w:val="single" w:sz="4" w:space="0" w:color="auto"/>
            </w:tcBorders>
          </w:tcPr>
          <w:p w:rsidR="00AD67B3" w:rsidRPr="005E18BF" w:rsidRDefault="005E18BF" w:rsidP="00912164">
            <w:pPr>
              <w:pStyle w:val="TableText0"/>
              <w:jc w:val="center"/>
              <w:rPr>
                <w:szCs w:val="20"/>
                <w:highlight w:val="black"/>
              </w:rPr>
            </w:pPr>
            <w:r>
              <w:rPr>
                <w:noProof/>
                <w:color w:val="000000"/>
                <w:szCs w:val="20"/>
                <w:highlight w:val="black"/>
              </w:rPr>
              <w:t>''''''</w:t>
            </w:r>
          </w:p>
        </w:tc>
      </w:tr>
      <w:tr w:rsidR="00AD67B3" w:rsidRPr="008154B1" w:rsidTr="00376BD1">
        <w:tc>
          <w:tcPr>
            <w:tcW w:w="1116" w:type="pct"/>
            <w:tcBorders>
              <w:bottom w:val="nil"/>
            </w:tcBorders>
            <w:shd w:val="clear" w:color="auto" w:fill="auto"/>
            <w:vAlign w:val="center"/>
          </w:tcPr>
          <w:p w:rsidR="00AD67B3" w:rsidRPr="00376BD1" w:rsidRDefault="00AD67B3" w:rsidP="00912164">
            <w:pPr>
              <w:pStyle w:val="TableText0"/>
              <w:rPr>
                <w:szCs w:val="20"/>
              </w:rPr>
            </w:pPr>
            <w:r w:rsidRPr="00376BD1">
              <w:rPr>
                <w:szCs w:val="20"/>
              </w:rPr>
              <w:t>Total patient years</w:t>
            </w:r>
            <w:r w:rsidRPr="00376BD1">
              <w:rPr>
                <w:szCs w:val="20"/>
                <w:vertAlign w:val="superscript"/>
              </w:rPr>
              <w:t>c</w:t>
            </w:r>
            <w:r w:rsidRPr="00376BD1">
              <w:rPr>
                <w:szCs w:val="20"/>
              </w:rPr>
              <w:t xml:space="preserve"> </w:t>
            </w:r>
          </w:p>
        </w:tc>
        <w:tc>
          <w:tcPr>
            <w:tcW w:w="647" w:type="pct"/>
            <w:tcBorders>
              <w:bottom w:val="nil"/>
            </w:tcBorders>
            <w:shd w:val="clear" w:color="auto" w:fill="auto"/>
          </w:tcPr>
          <w:p w:rsidR="00AD67B3" w:rsidRPr="005E18BF" w:rsidRDefault="005E18BF" w:rsidP="00912164">
            <w:pPr>
              <w:pStyle w:val="TableText0"/>
              <w:jc w:val="center"/>
              <w:rPr>
                <w:szCs w:val="20"/>
                <w:highlight w:val="black"/>
              </w:rPr>
            </w:pPr>
            <w:r>
              <w:rPr>
                <w:noProof/>
                <w:color w:val="000000"/>
                <w:szCs w:val="20"/>
                <w:highlight w:val="black"/>
              </w:rPr>
              <w:t>'''''''</w:t>
            </w:r>
          </w:p>
        </w:tc>
        <w:tc>
          <w:tcPr>
            <w:tcW w:w="647" w:type="pct"/>
            <w:tcBorders>
              <w:bottom w:val="nil"/>
            </w:tcBorders>
            <w:shd w:val="clear" w:color="auto" w:fill="auto"/>
          </w:tcPr>
          <w:p w:rsidR="00AD67B3" w:rsidRPr="005E18BF" w:rsidRDefault="005E18BF" w:rsidP="00912164">
            <w:pPr>
              <w:pStyle w:val="TableText0"/>
              <w:jc w:val="center"/>
              <w:rPr>
                <w:szCs w:val="20"/>
                <w:highlight w:val="black"/>
              </w:rPr>
            </w:pPr>
            <w:r>
              <w:rPr>
                <w:noProof/>
                <w:color w:val="000000"/>
                <w:szCs w:val="20"/>
                <w:highlight w:val="black"/>
              </w:rPr>
              <w:t>''''''</w:t>
            </w:r>
          </w:p>
        </w:tc>
        <w:tc>
          <w:tcPr>
            <w:tcW w:w="647" w:type="pct"/>
            <w:tcBorders>
              <w:bottom w:val="nil"/>
            </w:tcBorders>
            <w:shd w:val="clear" w:color="auto" w:fill="auto"/>
          </w:tcPr>
          <w:p w:rsidR="00AD67B3" w:rsidRPr="005E18BF" w:rsidRDefault="005E18BF" w:rsidP="00912164">
            <w:pPr>
              <w:pStyle w:val="TableText0"/>
              <w:jc w:val="center"/>
              <w:rPr>
                <w:szCs w:val="20"/>
                <w:highlight w:val="black"/>
              </w:rPr>
            </w:pPr>
            <w:r>
              <w:rPr>
                <w:noProof/>
                <w:color w:val="000000"/>
                <w:szCs w:val="20"/>
                <w:highlight w:val="black"/>
              </w:rPr>
              <w:t>'''''''</w:t>
            </w:r>
          </w:p>
        </w:tc>
        <w:tc>
          <w:tcPr>
            <w:tcW w:w="647" w:type="pct"/>
            <w:tcBorders>
              <w:bottom w:val="nil"/>
            </w:tcBorders>
            <w:shd w:val="clear" w:color="auto" w:fill="auto"/>
          </w:tcPr>
          <w:p w:rsidR="00AD67B3" w:rsidRPr="005E18BF" w:rsidRDefault="005E18BF" w:rsidP="00912164">
            <w:pPr>
              <w:pStyle w:val="TableText0"/>
              <w:jc w:val="center"/>
              <w:rPr>
                <w:szCs w:val="20"/>
                <w:highlight w:val="black"/>
              </w:rPr>
            </w:pPr>
            <w:r>
              <w:rPr>
                <w:noProof/>
                <w:color w:val="000000"/>
                <w:szCs w:val="20"/>
                <w:highlight w:val="black"/>
              </w:rPr>
              <w:t>''''''</w:t>
            </w:r>
          </w:p>
        </w:tc>
        <w:tc>
          <w:tcPr>
            <w:tcW w:w="647" w:type="pct"/>
            <w:tcBorders>
              <w:bottom w:val="nil"/>
            </w:tcBorders>
            <w:shd w:val="clear" w:color="auto" w:fill="auto"/>
          </w:tcPr>
          <w:p w:rsidR="00AD67B3" w:rsidRPr="005E18BF" w:rsidRDefault="005E18BF" w:rsidP="00912164">
            <w:pPr>
              <w:pStyle w:val="TableText0"/>
              <w:jc w:val="center"/>
              <w:rPr>
                <w:szCs w:val="20"/>
                <w:highlight w:val="black"/>
              </w:rPr>
            </w:pPr>
            <w:r>
              <w:rPr>
                <w:noProof/>
                <w:color w:val="000000"/>
                <w:szCs w:val="20"/>
                <w:highlight w:val="black"/>
              </w:rPr>
              <w:t>'''''''''</w:t>
            </w:r>
          </w:p>
        </w:tc>
        <w:tc>
          <w:tcPr>
            <w:tcW w:w="649" w:type="pct"/>
            <w:tcBorders>
              <w:bottom w:val="nil"/>
            </w:tcBorders>
          </w:tcPr>
          <w:p w:rsidR="00AD67B3" w:rsidRPr="005E18BF" w:rsidRDefault="005E18BF" w:rsidP="00912164">
            <w:pPr>
              <w:pStyle w:val="TableText0"/>
              <w:jc w:val="center"/>
              <w:rPr>
                <w:szCs w:val="20"/>
                <w:highlight w:val="black"/>
              </w:rPr>
            </w:pPr>
            <w:r>
              <w:rPr>
                <w:noProof/>
                <w:color w:val="000000"/>
                <w:szCs w:val="20"/>
                <w:highlight w:val="black"/>
              </w:rPr>
              <w:t>''''''''</w:t>
            </w:r>
          </w:p>
        </w:tc>
      </w:tr>
      <w:tr w:rsidR="00AD67B3" w:rsidRPr="008154B1" w:rsidTr="00376BD1">
        <w:tc>
          <w:tcPr>
            <w:tcW w:w="1116" w:type="pct"/>
            <w:tcBorders>
              <w:top w:val="nil"/>
              <w:bottom w:val="single" w:sz="4" w:space="0" w:color="auto"/>
            </w:tcBorders>
            <w:shd w:val="clear" w:color="auto" w:fill="auto"/>
            <w:vAlign w:val="center"/>
          </w:tcPr>
          <w:p w:rsidR="00AD67B3" w:rsidRPr="00376BD1" w:rsidRDefault="00AD67B3" w:rsidP="00912164">
            <w:pPr>
              <w:pStyle w:val="TableText0"/>
              <w:rPr>
                <w:szCs w:val="20"/>
              </w:rPr>
            </w:pPr>
            <w:r w:rsidRPr="00376BD1">
              <w:rPr>
                <w:iCs/>
                <w:szCs w:val="20"/>
              </w:rPr>
              <w:t>Re-analysis</w:t>
            </w:r>
            <w:r w:rsidRPr="00376BD1">
              <w:rPr>
                <w:iCs/>
                <w:szCs w:val="20"/>
                <w:vertAlign w:val="superscript"/>
              </w:rPr>
              <w:t>a</w:t>
            </w:r>
          </w:p>
        </w:tc>
        <w:tc>
          <w:tcPr>
            <w:tcW w:w="647" w:type="pct"/>
            <w:tcBorders>
              <w:top w:val="nil"/>
              <w:bottom w:val="single" w:sz="4" w:space="0" w:color="auto"/>
            </w:tcBorders>
            <w:shd w:val="clear" w:color="auto" w:fill="auto"/>
            <w:vAlign w:val="center"/>
          </w:tcPr>
          <w:p w:rsidR="00AD67B3" w:rsidRPr="005E18BF" w:rsidRDefault="005E18BF" w:rsidP="00912164">
            <w:pPr>
              <w:pStyle w:val="TableText0"/>
              <w:jc w:val="center"/>
              <w:rPr>
                <w:szCs w:val="20"/>
                <w:highlight w:val="black"/>
              </w:rPr>
            </w:pPr>
            <w:r>
              <w:rPr>
                <w:iCs/>
                <w:noProof/>
                <w:color w:val="000000"/>
                <w:szCs w:val="20"/>
                <w:highlight w:val="black"/>
              </w:rPr>
              <w:t>''''''</w:t>
            </w:r>
          </w:p>
        </w:tc>
        <w:tc>
          <w:tcPr>
            <w:tcW w:w="647" w:type="pct"/>
            <w:tcBorders>
              <w:top w:val="nil"/>
              <w:bottom w:val="single" w:sz="4" w:space="0" w:color="auto"/>
            </w:tcBorders>
            <w:shd w:val="clear" w:color="auto" w:fill="auto"/>
            <w:vAlign w:val="center"/>
          </w:tcPr>
          <w:p w:rsidR="00AD67B3" w:rsidRPr="005E18BF" w:rsidRDefault="005E18BF" w:rsidP="00912164">
            <w:pPr>
              <w:pStyle w:val="TableText0"/>
              <w:jc w:val="center"/>
              <w:rPr>
                <w:szCs w:val="20"/>
                <w:highlight w:val="black"/>
              </w:rPr>
            </w:pPr>
            <w:r>
              <w:rPr>
                <w:iCs/>
                <w:noProof/>
                <w:color w:val="000000"/>
                <w:szCs w:val="20"/>
                <w:highlight w:val="black"/>
              </w:rPr>
              <w:t>''''''</w:t>
            </w:r>
          </w:p>
        </w:tc>
        <w:tc>
          <w:tcPr>
            <w:tcW w:w="647" w:type="pct"/>
            <w:tcBorders>
              <w:top w:val="nil"/>
              <w:bottom w:val="single" w:sz="4" w:space="0" w:color="auto"/>
            </w:tcBorders>
            <w:shd w:val="clear" w:color="auto" w:fill="auto"/>
            <w:vAlign w:val="center"/>
          </w:tcPr>
          <w:p w:rsidR="00AD67B3" w:rsidRPr="005E18BF" w:rsidRDefault="005E18BF" w:rsidP="00912164">
            <w:pPr>
              <w:pStyle w:val="TableText0"/>
              <w:jc w:val="center"/>
              <w:rPr>
                <w:szCs w:val="20"/>
                <w:highlight w:val="black"/>
              </w:rPr>
            </w:pPr>
            <w:r>
              <w:rPr>
                <w:iCs/>
                <w:noProof/>
                <w:color w:val="000000"/>
                <w:szCs w:val="20"/>
                <w:highlight w:val="black"/>
              </w:rPr>
              <w:t>''''''</w:t>
            </w:r>
          </w:p>
        </w:tc>
        <w:tc>
          <w:tcPr>
            <w:tcW w:w="647" w:type="pct"/>
            <w:tcBorders>
              <w:top w:val="nil"/>
              <w:bottom w:val="single" w:sz="4" w:space="0" w:color="auto"/>
            </w:tcBorders>
            <w:shd w:val="clear" w:color="auto" w:fill="auto"/>
            <w:vAlign w:val="center"/>
          </w:tcPr>
          <w:p w:rsidR="00AD67B3" w:rsidRPr="005E18BF" w:rsidRDefault="005E18BF" w:rsidP="00912164">
            <w:pPr>
              <w:pStyle w:val="TableText0"/>
              <w:jc w:val="center"/>
              <w:rPr>
                <w:szCs w:val="20"/>
                <w:highlight w:val="black"/>
              </w:rPr>
            </w:pPr>
            <w:r>
              <w:rPr>
                <w:iCs/>
                <w:noProof/>
                <w:color w:val="000000"/>
                <w:szCs w:val="20"/>
                <w:highlight w:val="black"/>
              </w:rPr>
              <w:t>'''''''</w:t>
            </w:r>
          </w:p>
        </w:tc>
        <w:tc>
          <w:tcPr>
            <w:tcW w:w="647" w:type="pct"/>
            <w:tcBorders>
              <w:top w:val="nil"/>
              <w:bottom w:val="single" w:sz="4" w:space="0" w:color="auto"/>
            </w:tcBorders>
            <w:shd w:val="clear" w:color="auto" w:fill="auto"/>
            <w:vAlign w:val="center"/>
          </w:tcPr>
          <w:p w:rsidR="00AD67B3" w:rsidRPr="005E18BF" w:rsidRDefault="005E18BF" w:rsidP="00912164">
            <w:pPr>
              <w:pStyle w:val="TableText0"/>
              <w:jc w:val="center"/>
              <w:rPr>
                <w:szCs w:val="20"/>
                <w:highlight w:val="black"/>
              </w:rPr>
            </w:pPr>
            <w:r>
              <w:rPr>
                <w:iCs/>
                <w:noProof/>
                <w:color w:val="000000"/>
                <w:szCs w:val="20"/>
                <w:highlight w:val="black"/>
              </w:rPr>
              <w:t>''''''</w:t>
            </w:r>
          </w:p>
        </w:tc>
        <w:tc>
          <w:tcPr>
            <w:tcW w:w="649" w:type="pct"/>
            <w:tcBorders>
              <w:top w:val="nil"/>
              <w:bottom w:val="single" w:sz="4" w:space="0" w:color="auto"/>
            </w:tcBorders>
            <w:vAlign w:val="center"/>
          </w:tcPr>
          <w:p w:rsidR="00AD67B3" w:rsidRPr="005E18BF" w:rsidRDefault="005E18BF" w:rsidP="00912164">
            <w:pPr>
              <w:pStyle w:val="TableText0"/>
              <w:jc w:val="center"/>
              <w:rPr>
                <w:szCs w:val="20"/>
                <w:highlight w:val="black"/>
              </w:rPr>
            </w:pPr>
            <w:r>
              <w:rPr>
                <w:iCs/>
                <w:noProof/>
                <w:color w:val="000000"/>
                <w:szCs w:val="20"/>
                <w:highlight w:val="black"/>
              </w:rPr>
              <w:t>'''''''</w:t>
            </w:r>
          </w:p>
        </w:tc>
      </w:tr>
      <w:tr w:rsidR="00AD67B3" w:rsidRPr="008154B1" w:rsidTr="00376BD1">
        <w:tc>
          <w:tcPr>
            <w:tcW w:w="1116" w:type="pct"/>
            <w:tcBorders>
              <w:bottom w:val="nil"/>
            </w:tcBorders>
            <w:shd w:val="clear" w:color="auto" w:fill="auto"/>
            <w:vAlign w:val="center"/>
          </w:tcPr>
          <w:p w:rsidR="00AD67B3" w:rsidRPr="00376BD1" w:rsidRDefault="00AD67B3" w:rsidP="00912164">
            <w:pPr>
              <w:pStyle w:val="TableText0"/>
              <w:rPr>
                <w:szCs w:val="20"/>
                <w:vertAlign w:val="superscript"/>
              </w:rPr>
            </w:pPr>
            <w:r w:rsidRPr="00376BD1">
              <w:rPr>
                <w:szCs w:val="20"/>
              </w:rPr>
              <w:t>Number of vials dispensed</w:t>
            </w:r>
            <w:r w:rsidRPr="00376BD1">
              <w:rPr>
                <w:szCs w:val="20"/>
                <w:vertAlign w:val="superscript"/>
              </w:rPr>
              <w:t>d</w:t>
            </w:r>
          </w:p>
        </w:tc>
        <w:tc>
          <w:tcPr>
            <w:tcW w:w="647" w:type="pct"/>
            <w:tcBorders>
              <w:bottom w:val="nil"/>
            </w:tcBorders>
            <w:shd w:val="clear" w:color="auto" w:fill="auto"/>
            <w:vAlign w:val="center"/>
          </w:tcPr>
          <w:p w:rsidR="00AD67B3" w:rsidRPr="005E18BF" w:rsidRDefault="005E18BF" w:rsidP="00912164">
            <w:pPr>
              <w:pStyle w:val="TableText0"/>
              <w:jc w:val="center"/>
              <w:rPr>
                <w:color w:val="000000"/>
                <w:szCs w:val="20"/>
                <w:highlight w:val="black"/>
              </w:rPr>
            </w:pPr>
            <w:r>
              <w:rPr>
                <w:noProof/>
                <w:color w:val="000000"/>
                <w:szCs w:val="20"/>
                <w:highlight w:val="black"/>
              </w:rPr>
              <w:t>''''''''''</w:t>
            </w:r>
          </w:p>
        </w:tc>
        <w:tc>
          <w:tcPr>
            <w:tcW w:w="647" w:type="pct"/>
            <w:tcBorders>
              <w:bottom w:val="nil"/>
            </w:tcBorders>
            <w:shd w:val="clear" w:color="auto" w:fill="auto"/>
            <w:vAlign w:val="center"/>
          </w:tcPr>
          <w:p w:rsidR="00AD67B3" w:rsidRPr="005E18BF" w:rsidRDefault="005E18BF" w:rsidP="00912164">
            <w:pPr>
              <w:pStyle w:val="TableText0"/>
              <w:jc w:val="center"/>
              <w:rPr>
                <w:color w:val="000000"/>
                <w:szCs w:val="20"/>
                <w:highlight w:val="black"/>
              </w:rPr>
            </w:pPr>
            <w:r>
              <w:rPr>
                <w:noProof/>
                <w:color w:val="000000"/>
                <w:szCs w:val="20"/>
                <w:highlight w:val="black"/>
              </w:rPr>
              <w:t>'''''''''''''</w:t>
            </w:r>
          </w:p>
        </w:tc>
        <w:tc>
          <w:tcPr>
            <w:tcW w:w="647" w:type="pct"/>
            <w:tcBorders>
              <w:bottom w:val="nil"/>
            </w:tcBorders>
            <w:shd w:val="clear" w:color="auto" w:fill="auto"/>
            <w:vAlign w:val="center"/>
          </w:tcPr>
          <w:p w:rsidR="00AD67B3" w:rsidRPr="005E18BF" w:rsidRDefault="005E18BF" w:rsidP="00912164">
            <w:pPr>
              <w:pStyle w:val="TableText0"/>
              <w:jc w:val="center"/>
              <w:rPr>
                <w:color w:val="000000"/>
                <w:szCs w:val="20"/>
                <w:highlight w:val="black"/>
              </w:rPr>
            </w:pPr>
            <w:r>
              <w:rPr>
                <w:noProof/>
                <w:color w:val="000000"/>
                <w:szCs w:val="20"/>
                <w:highlight w:val="black"/>
              </w:rPr>
              <w:t>''''''''''''''</w:t>
            </w:r>
          </w:p>
        </w:tc>
        <w:tc>
          <w:tcPr>
            <w:tcW w:w="647" w:type="pct"/>
            <w:tcBorders>
              <w:bottom w:val="nil"/>
            </w:tcBorders>
            <w:shd w:val="clear" w:color="auto" w:fill="auto"/>
            <w:vAlign w:val="center"/>
          </w:tcPr>
          <w:p w:rsidR="00AD67B3" w:rsidRPr="005E18BF" w:rsidRDefault="005E18BF" w:rsidP="00912164">
            <w:pPr>
              <w:pStyle w:val="TableText0"/>
              <w:jc w:val="center"/>
              <w:rPr>
                <w:color w:val="000000"/>
                <w:szCs w:val="20"/>
                <w:highlight w:val="black"/>
              </w:rPr>
            </w:pPr>
            <w:r>
              <w:rPr>
                <w:noProof/>
                <w:color w:val="000000"/>
                <w:szCs w:val="20"/>
                <w:highlight w:val="black"/>
              </w:rPr>
              <w:t>''''''''''''''</w:t>
            </w:r>
          </w:p>
        </w:tc>
        <w:tc>
          <w:tcPr>
            <w:tcW w:w="647" w:type="pct"/>
            <w:tcBorders>
              <w:bottom w:val="nil"/>
            </w:tcBorders>
            <w:shd w:val="clear" w:color="auto" w:fill="auto"/>
            <w:vAlign w:val="center"/>
          </w:tcPr>
          <w:p w:rsidR="00AD67B3" w:rsidRPr="005E18BF" w:rsidRDefault="005E18BF" w:rsidP="00912164">
            <w:pPr>
              <w:pStyle w:val="TableText0"/>
              <w:jc w:val="center"/>
              <w:rPr>
                <w:color w:val="000000"/>
                <w:szCs w:val="20"/>
                <w:highlight w:val="black"/>
              </w:rPr>
            </w:pPr>
            <w:r>
              <w:rPr>
                <w:noProof/>
                <w:color w:val="000000"/>
                <w:szCs w:val="20"/>
                <w:highlight w:val="black"/>
              </w:rPr>
              <w:t>''''''''''''''</w:t>
            </w:r>
          </w:p>
        </w:tc>
        <w:tc>
          <w:tcPr>
            <w:tcW w:w="649" w:type="pct"/>
            <w:tcBorders>
              <w:bottom w:val="nil"/>
            </w:tcBorders>
            <w:vAlign w:val="center"/>
          </w:tcPr>
          <w:p w:rsidR="00AD67B3" w:rsidRPr="005E18BF" w:rsidRDefault="005E18BF" w:rsidP="00912164">
            <w:pPr>
              <w:pStyle w:val="TableText0"/>
              <w:jc w:val="center"/>
              <w:rPr>
                <w:color w:val="000000"/>
                <w:szCs w:val="20"/>
                <w:highlight w:val="black"/>
              </w:rPr>
            </w:pPr>
            <w:r>
              <w:rPr>
                <w:noProof/>
                <w:color w:val="000000"/>
                <w:szCs w:val="20"/>
                <w:highlight w:val="black"/>
              </w:rPr>
              <w:t>''''''''''''''</w:t>
            </w:r>
          </w:p>
        </w:tc>
      </w:tr>
      <w:tr w:rsidR="00AD67B3" w:rsidRPr="008154B1" w:rsidTr="00376BD1">
        <w:tc>
          <w:tcPr>
            <w:tcW w:w="1116" w:type="pct"/>
            <w:tcBorders>
              <w:top w:val="nil"/>
            </w:tcBorders>
            <w:shd w:val="clear" w:color="auto" w:fill="auto"/>
            <w:vAlign w:val="center"/>
          </w:tcPr>
          <w:p w:rsidR="00AD67B3" w:rsidRPr="00376BD1" w:rsidRDefault="00AD67B3" w:rsidP="00912164">
            <w:pPr>
              <w:pStyle w:val="TableText0"/>
              <w:rPr>
                <w:szCs w:val="20"/>
              </w:rPr>
            </w:pPr>
            <w:r w:rsidRPr="00376BD1">
              <w:rPr>
                <w:iCs/>
                <w:szCs w:val="20"/>
              </w:rPr>
              <w:t>Re-analysis</w:t>
            </w:r>
            <w:r w:rsidRPr="00376BD1">
              <w:rPr>
                <w:iCs/>
                <w:szCs w:val="20"/>
                <w:vertAlign w:val="superscript"/>
              </w:rPr>
              <w:t>a</w:t>
            </w:r>
          </w:p>
        </w:tc>
        <w:tc>
          <w:tcPr>
            <w:tcW w:w="647" w:type="pct"/>
            <w:tcBorders>
              <w:top w:val="nil"/>
            </w:tcBorders>
            <w:shd w:val="clear" w:color="auto" w:fill="auto"/>
            <w:vAlign w:val="bottom"/>
          </w:tcPr>
          <w:p w:rsidR="00AD67B3" w:rsidRPr="005E18BF" w:rsidRDefault="005E18BF" w:rsidP="00912164">
            <w:pPr>
              <w:pStyle w:val="TableText0"/>
              <w:jc w:val="center"/>
              <w:rPr>
                <w:szCs w:val="20"/>
                <w:highlight w:val="black"/>
              </w:rPr>
            </w:pPr>
            <w:r>
              <w:rPr>
                <w:iCs/>
                <w:noProof/>
                <w:color w:val="000000"/>
                <w:szCs w:val="20"/>
                <w:highlight w:val="black"/>
              </w:rPr>
              <w:t>''''''''''</w:t>
            </w:r>
          </w:p>
        </w:tc>
        <w:tc>
          <w:tcPr>
            <w:tcW w:w="647" w:type="pct"/>
            <w:tcBorders>
              <w:top w:val="nil"/>
            </w:tcBorders>
            <w:shd w:val="clear" w:color="auto" w:fill="auto"/>
            <w:vAlign w:val="bottom"/>
          </w:tcPr>
          <w:p w:rsidR="00AD67B3" w:rsidRPr="005E18BF" w:rsidRDefault="005E18BF" w:rsidP="00912164">
            <w:pPr>
              <w:pStyle w:val="TableText0"/>
              <w:jc w:val="center"/>
              <w:rPr>
                <w:szCs w:val="20"/>
                <w:highlight w:val="black"/>
              </w:rPr>
            </w:pPr>
            <w:r>
              <w:rPr>
                <w:iCs/>
                <w:noProof/>
                <w:color w:val="000000"/>
                <w:szCs w:val="20"/>
                <w:highlight w:val="black"/>
              </w:rPr>
              <w:t>''''''''''</w:t>
            </w:r>
          </w:p>
        </w:tc>
        <w:tc>
          <w:tcPr>
            <w:tcW w:w="647" w:type="pct"/>
            <w:tcBorders>
              <w:top w:val="nil"/>
            </w:tcBorders>
            <w:shd w:val="clear" w:color="auto" w:fill="auto"/>
            <w:vAlign w:val="bottom"/>
          </w:tcPr>
          <w:p w:rsidR="00AD67B3" w:rsidRPr="005E18BF" w:rsidRDefault="005E18BF" w:rsidP="00912164">
            <w:pPr>
              <w:pStyle w:val="TableText0"/>
              <w:jc w:val="center"/>
              <w:rPr>
                <w:szCs w:val="20"/>
                <w:highlight w:val="black"/>
              </w:rPr>
            </w:pPr>
            <w:r>
              <w:rPr>
                <w:iCs/>
                <w:noProof/>
                <w:color w:val="000000"/>
                <w:szCs w:val="20"/>
                <w:highlight w:val="black"/>
              </w:rPr>
              <w:t>''''''''''</w:t>
            </w:r>
          </w:p>
        </w:tc>
        <w:tc>
          <w:tcPr>
            <w:tcW w:w="647" w:type="pct"/>
            <w:tcBorders>
              <w:top w:val="nil"/>
            </w:tcBorders>
            <w:shd w:val="clear" w:color="auto" w:fill="auto"/>
            <w:vAlign w:val="bottom"/>
          </w:tcPr>
          <w:p w:rsidR="00AD67B3" w:rsidRPr="005E18BF" w:rsidRDefault="005E18BF" w:rsidP="00912164">
            <w:pPr>
              <w:pStyle w:val="TableText0"/>
              <w:jc w:val="center"/>
              <w:rPr>
                <w:szCs w:val="20"/>
                <w:highlight w:val="black"/>
              </w:rPr>
            </w:pPr>
            <w:r>
              <w:rPr>
                <w:iCs/>
                <w:noProof/>
                <w:color w:val="000000"/>
                <w:szCs w:val="20"/>
                <w:highlight w:val="black"/>
              </w:rPr>
              <w:t>''''''''''</w:t>
            </w:r>
          </w:p>
        </w:tc>
        <w:tc>
          <w:tcPr>
            <w:tcW w:w="647" w:type="pct"/>
            <w:tcBorders>
              <w:top w:val="nil"/>
            </w:tcBorders>
            <w:shd w:val="clear" w:color="auto" w:fill="auto"/>
            <w:vAlign w:val="bottom"/>
          </w:tcPr>
          <w:p w:rsidR="00AD67B3" w:rsidRPr="005E18BF" w:rsidRDefault="005E18BF" w:rsidP="00912164">
            <w:pPr>
              <w:pStyle w:val="TableText0"/>
              <w:jc w:val="center"/>
              <w:rPr>
                <w:szCs w:val="20"/>
                <w:highlight w:val="black"/>
              </w:rPr>
            </w:pPr>
            <w:r>
              <w:rPr>
                <w:iCs/>
                <w:noProof/>
                <w:color w:val="000000"/>
                <w:szCs w:val="20"/>
                <w:highlight w:val="black"/>
              </w:rPr>
              <w:t>''''''''</w:t>
            </w:r>
          </w:p>
        </w:tc>
        <w:tc>
          <w:tcPr>
            <w:tcW w:w="649" w:type="pct"/>
            <w:tcBorders>
              <w:top w:val="nil"/>
            </w:tcBorders>
            <w:vAlign w:val="bottom"/>
          </w:tcPr>
          <w:p w:rsidR="00AD67B3" w:rsidRPr="005E18BF" w:rsidRDefault="005E18BF" w:rsidP="00912164">
            <w:pPr>
              <w:pStyle w:val="TableText0"/>
              <w:jc w:val="center"/>
              <w:rPr>
                <w:szCs w:val="20"/>
                <w:highlight w:val="black"/>
              </w:rPr>
            </w:pPr>
            <w:r>
              <w:rPr>
                <w:iCs/>
                <w:noProof/>
                <w:color w:val="000000"/>
                <w:szCs w:val="20"/>
                <w:highlight w:val="black"/>
              </w:rPr>
              <w:t>'''''''''</w:t>
            </w:r>
          </w:p>
        </w:tc>
      </w:tr>
      <w:tr w:rsidR="00AD67B3" w:rsidRPr="008154B1" w:rsidTr="00376BD1">
        <w:tc>
          <w:tcPr>
            <w:tcW w:w="5000" w:type="pct"/>
            <w:gridSpan w:val="7"/>
            <w:shd w:val="clear" w:color="auto" w:fill="auto"/>
            <w:vAlign w:val="center"/>
          </w:tcPr>
          <w:p w:rsidR="00AD67B3" w:rsidRPr="00376BD1" w:rsidRDefault="00AD67B3" w:rsidP="00912164">
            <w:pPr>
              <w:pStyle w:val="In-tableHeading"/>
              <w:rPr>
                <w:szCs w:val="20"/>
                <w:lang w:val="en-AU"/>
              </w:rPr>
            </w:pPr>
            <w:r w:rsidRPr="00376BD1">
              <w:rPr>
                <w:szCs w:val="20"/>
                <w:lang w:val="en-AU"/>
              </w:rPr>
              <w:t>Estimated financial implications of lanadelumab</w:t>
            </w:r>
          </w:p>
        </w:tc>
      </w:tr>
      <w:tr w:rsidR="00AD67B3" w:rsidRPr="008154B1" w:rsidTr="00376BD1">
        <w:tc>
          <w:tcPr>
            <w:tcW w:w="5000" w:type="pct"/>
            <w:gridSpan w:val="7"/>
            <w:tcBorders>
              <w:bottom w:val="single" w:sz="4" w:space="0" w:color="auto"/>
            </w:tcBorders>
            <w:shd w:val="clear" w:color="auto" w:fill="auto"/>
            <w:vAlign w:val="center"/>
          </w:tcPr>
          <w:p w:rsidR="00AD67B3" w:rsidRPr="00376BD1" w:rsidRDefault="00AD67B3" w:rsidP="00912164">
            <w:pPr>
              <w:pStyle w:val="TableText0"/>
              <w:rPr>
                <w:szCs w:val="20"/>
              </w:rPr>
            </w:pPr>
            <w:r w:rsidRPr="00376BD1">
              <w:rPr>
                <w:szCs w:val="20"/>
              </w:rPr>
              <w:t>Cost to PBS/RPBS less copayments</w:t>
            </w:r>
          </w:p>
        </w:tc>
      </w:tr>
      <w:tr w:rsidR="00AD67B3" w:rsidRPr="008154B1" w:rsidTr="00376BD1">
        <w:tc>
          <w:tcPr>
            <w:tcW w:w="1116" w:type="pct"/>
            <w:tcBorders>
              <w:bottom w:val="nil"/>
            </w:tcBorders>
            <w:shd w:val="clear" w:color="auto" w:fill="auto"/>
            <w:vAlign w:val="center"/>
          </w:tcPr>
          <w:p w:rsidR="00AD67B3" w:rsidRPr="00376BD1" w:rsidRDefault="00AD67B3" w:rsidP="00912164">
            <w:pPr>
              <w:pStyle w:val="TableText0"/>
              <w:ind w:left="257"/>
              <w:rPr>
                <w:szCs w:val="20"/>
              </w:rPr>
            </w:pPr>
            <w:r w:rsidRPr="00376BD1">
              <w:rPr>
                <w:szCs w:val="20"/>
              </w:rPr>
              <w:t>Population 1</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9" w:type="pct"/>
            <w:tcBorders>
              <w:bottom w:val="nil"/>
            </w:tcBorders>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r>
      <w:tr w:rsidR="00AD67B3" w:rsidRPr="008154B1" w:rsidTr="00376BD1">
        <w:tc>
          <w:tcPr>
            <w:tcW w:w="1116" w:type="pct"/>
            <w:tcBorders>
              <w:top w:val="nil"/>
            </w:tcBorders>
            <w:shd w:val="clear" w:color="auto" w:fill="auto"/>
            <w:vAlign w:val="center"/>
          </w:tcPr>
          <w:p w:rsidR="00AD67B3" w:rsidRPr="00376BD1" w:rsidRDefault="00AD67B3" w:rsidP="00912164">
            <w:pPr>
              <w:pStyle w:val="TableText0"/>
              <w:ind w:left="257"/>
              <w:rPr>
                <w:szCs w:val="20"/>
              </w:rPr>
            </w:pPr>
            <w:r w:rsidRPr="00376BD1">
              <w:rPr>
                <w:iCs/>
                <w:szCs w:val="20"/>
              </w:rPr>
              <w:t>Re-analysis</w:t>
            </w:r>
            <w:r w:rsidRPr="00376BD1">
              <w:rPr>
                <w:iCs/>
                <w:szCs w:val="20"/>
                <w:vertAlign w:val="superscript"/>
              </w:rPr>
              <w:t>a</w:t>
            </w:r>
          </w:p>
        </w:tc>
        <w:tc>
          <w:tcPr>
            <w:tcW w:w="647" w:type="pct"/>
            <w:tcBorders>
              <w:top w:val="nil"/>
            </w:tcBorders>
            <w:shd w:val="clear" w:color="auto" w:fill="auto"/>
            <w:vAlign w:val="center"/>
          </w:tcPr>
          <w:p w:rsidR="00AD67B3" w:rsidRPr="00376BD1" w:rsidRDefault="00AD67B3" w:rsidP="00912164">
            <w:pPr>
              <w:pStyle w:val="TableText0"/>
              <w:jc w:val="center"/>
              <w:rPr>
                <w:iCs/>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7" w:type="pct"/>
            <w:tcBorders>
              <w:top w:val="nil"/>
            </w:tcBorders>
            <w:shd w:val="clear" w:color="auto" w:fill="auto"/>
            <w:vAlign w:val="center"/>
          </w:tcPr>
          <w:p w:rsidR="00AD67B3" w:rsidRPr="00376BD1" w:rsidRDefault="00AD67B3" w:rsidP="00912164">
            <w:pPr>
              <w:pStyle w:val="TableText0"/>
              <w:jc w:val="center"/>
              <w:rPr>
                <w:iCs/>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7" w:type="pct"/>
            <w:tcBorders>
              <w:top w:val="nil"/>
            </w:tcBorders>
            <w:shd w:val="clear" w:color="auto" w:fill="auto"/>
            <w:vAlign w:val="center"/>
          </w:tcPr>
          <w:p w:rsidR="00AD67B3" w:rsidRPr="00376BD1" w:rsidRDefault="00AD67B3" w:rsidP="00912164">
            <w:pPr>
              <w:pStyle w:val="TableText0"/>
              <w:jc w:val="center"/>
              <w:rPr>
                <w:iCs/>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7" w:type="pct"/>
            <w:tcBorders>
              <w:top w:val="nil"/>
            </w:tcBorders>
            <w:shd w:val="clear" w:color="auto" w:fill="auto"/>
            <w:vAlign w:val="center"/>
          </w:tcPr>
          <w:p w:rsidR="00AD67B3" w:rsidRPr="00376BD1" w:rsidRDefault="00AD67B3" w:rsidP="00912164">
            <w:pPr>
              <w:pStyle w:val="TableText0"/>
              <w:jc w:val="center"/>
              <w:rPr>
                <w:iCs/>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7" w:type="pct"/>
            <w:tcBorders>
              <w:top w:val="nil"/>
            </w:tcBorders>
            <w:shd w:val="clear" w:color="auto" w:fill="auto"/>
            <w:vAlign w:val="center"/>
          </w:tcPr>
          <w:p w:rsidR="00AD67B3" w:rsidRPr="00376BD1" w:rsidRDefault="00AD67B3" w:rsidP="00912164">
            <w:pPr>
              <w:pStyle w:val="TableText0"/>
              <w:jc w:val="center"/>
              <w:rPr>
                <w:iCs/>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9" w:type="pct"/>
            <w:tcBorders>
              <w:top w:val="nil"/>
            </w:tcBorders>
            <w:vAlign w:val="center"/>
          </w:tcPr>
          <w:p w:rsidR="00AD67B3" w:rsidRPr="00376BD1" w:rsidRDefault="00AD67B3" w:rsidP="00912164">
            <w:pPr>
              <w:pStyle w:val="TableText0"/>
              <w:jc w:val="center"/>
              <w:rPr>
                <w:iCs/>
                <w:szCs w:val="20"/>
              </w:rPr>
            </w:pPr>
            <w:r w:rsidRPr="00376BD1">
              <w:rPr>
                <w:iCs/>
                <w:szCs w:val="20"/>
              </w:rPr>
              <w:t>$</w:t>
            </w:r>
            <w:r w:rsidR="005E18BF">
              <w:rPr>
                <w:iCs/>
                <w:noProof/>
                <w:color w:val="000000"/>
                <w:szCs w:val="20"/>
                <w:highlight w:val="black"/>
              </w:rPr>
              <w:t>'''''''''''''''''''''''''</w:t>
            </w:r>
            <w:r w:rsidRPr="00376BD1">
              <w:rPr>
                <w:iCs/>
                <w:szCs w:val="20"/>
              </w:rPr>
              <w:t xml:space="preserve"> </w:t>
            </w:r>
          </w:p>
        </w:tc>
      </w:tr>
      <w:tr w:rsidR="00AD67B3" w:rsidRPr="008154B1" w:rsidTr="00376BD1">
        <w:tc>
          <w:tcPr>
            <w:tcW w:w="1116" w:type="pct"/>
            <w:tcBorders>
              <w:bottom w:val="single" w:sz="4" w:space="0" w:color="auto"/>
            </w:tcBorders>
            <w:shd w:val="clear" w:color="auto" w:fill="auto"/>
            <w:vAlign w:val="center"/>
          </w:tcPr>
          <w:p w:rsidR="00AD67B3" w:rsidRPr="00376BD1" w:rsidRDefault="00AD67B3" w:rsidP="00912164">
            <w:pPr>
              <w:pStyle w:val="TableText0"/>
              <w:ind w:left="257"/>
              <w:rPr>
                <w:szCs w:val="20"/>
              </w:rPr>
            </w:pPr>
            <w:r w:rsidRPr="00376BD1">
              <w:rPr>
                <w:szCs w:val="20"/>
              </w:rPr>
              <w:t>Population 2</w:t>
            </w:r>
          </w:p>
        </w:tc>
        <w:tc>
          <w:tcPr>
            <w:tcW w:w="647" w:type="pct"/>
            <w:tcBorders>
              <w:bottom w:val="single" w:sz="4" w:space="0" w:color="auto"/>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7" w:type="pct"/>
            <w:tcBorders>
              <w:bottom w:val="single" w:sz="4" w:space="0" w:color="auto"/>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7" w:type="pct"/>
            <w:tcBorders>
              <w:bottom w:val="single" w:sz="4" w:space="0" w:color="auto"/>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7" w:type="pct"/>
            <w:tcBorders>
              <w:bottom w:val="single" w:sz="4" w:space="0" w:color="auto"/>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7" w:type="pct"/>
            <w:tcBorders>
              <w:bottom w:val="single" w:sz="4" w:space="0" w:color="auto"/>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9" w:type="pct"/>
            <w:tcBorders>
              <w:bottom w:val="single" w:sz="4" w:space="0" w:color="auto"/>
            </w:tcBorders>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r>
      <w:tr w:rsidR="00AD67B3" w:rsidRPr="008154B1" w:rsidTr="00376BD1">
        <w:tc>
          <w:tcPr>
            <w:tcW w:w="1116" w:type="pct"/>
            <w:tcBorders>
              <w:bottom w:val="nil"/>
            </w:tcBorders>
            <w:shd w:val="clear" w:color="auto" w:fill="auto"/>
            <w:vAlign w:val="center"/>
          </w:tcPr>
          <w:p w:rsidR="00AD67B3" w:rsidRPr="00376BD1" w:rsidRDefault="00AD67B3" w:rsidP="00912164">
            <w:pPr>
              <w:pStyle w:val="TableText0"/>
              <w:rPr>
                <w:szCs w:val="20"/>
              </w:rPr>
            </w:pPr>
            <w:r w:rsidRPr="00376BD1">
              <w:rPr>
                <w:szCs w:val="20"/>
              </w:rPr>
              <w:t>Total</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p>
        </w:tc>
        <w:tc>
          <w:tcPr>
            <w:tcW w:w="649" w:type="pct"/>
            <w:tcBorders>
              <w:bottom w:val="nil"/>
            </w:tcBorders>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p>
        </w:tc>
      </w:tr>
      <w:tr w:rsidR="00AD67B3" w:rsidRPr="008154B1" w:rsidTr="00376BD1">
        <w:tc>
          <w:tcPr>
            <w:tcW w:w="1116" w:type="pct"/>
            <w:tcBorders>
              <w:top w:val="nil"/>
            </w:tcBorders>
            <w:shd w:val="clear" w:color="auto" w:fill="auto"/>
            <w:vAlign w:val="center"/>
          </w:tcPr>
          <w:p w:rsidR="00AD67B3" w:rsidRPr="00376BD1" w:rsidRDefault="00AD67B3" w:rsidP="00912164">
            <w:pPr>
              <w:pStyle w:val="TableText0"/>
              <w:rPr>
                <w:szCs w:val="20"/>
              </w:rPr>
            </w:pPr>
            <w:r w:rsidRPr="00376BD1">
              <w:rPr>
                <w:iCs/>
                <w:szCs w:val="20"/>
              </w:rPr>
              <w:t>Re-analysis</w:t>
            </w:r>
            <w:r w:rsidRPr="00376BD1">
              <w:rPr>
                <w:iCs/>
                <w:szCs w:val="20"/>
                <w:vertAlign w:val="superscript"/>
              </w:rPr>
              <w:t>a</w:t>
            </w:r>
          </w:p>
        </w:tc>
        <w:tc>
          <w:tcPr>
            <w:tcW w:w="647" w:type="pct"/>
            <w:tcBorders>
              <w:top w:val="nil"/>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7" w:type="pct"/>
            <w:tcBorders>
              <w:top w:val="nil"/>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7" w:type="pct"/>
            <w:tcBorders>
              <w:top w:val="nil"/>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7" w:type="pct"/>
            <w:tcBorders>
              <w:top w:val="nil"/>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7" w:type="pct"/>
            <w:tcBorders>
              <w:top w:val="nil"/>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9" w:type="pct"/>
            <w:tcBorders>
              <w:top w:val="nil"/>
            </w:tcBorders>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r>
      <w:tr w:rsidR="00AD67B3" w:rsidRPr="008154B1" w:rsidTr="00376BD1">
        <w:tc>
          <w:tcPr>
            <w:tcW w:w="5000" w:type="pct"/>
            <w:gridSpan w:val="7"/>
            <w:shd w:val="clear" w:color="auto" w:fill="auto"/>
            <w:vAlign w:val="center"/>
          </w:tcPr>
          <w:p w:rsidR="00AD67B3" w:rsidRPr="00376BD1" w:rsidRDefault="00AD67B3" w:rsidP="00912164">
            <w:pPr>
              <w:pStyle w:val="TableText0"/>
              <w:rPr>
                <w:b/>
                <w:szCs w:val="20"/>
              </w:rPr>
            </w:pPr>
            <w:r w:rsidRPr="00376BD1">
              <w:rPr>
                <w:b/>
                <w:szCs w:val="20"/>
              </w:rPr>
              <w:t>Estimated financial implications for icatibant ODT</w:t>
            </w:r>
          </w:p>
        </w:tc>
      </w:tr>
      <w:tr w:rsidR="00AD67B3" w:rsidRPr="008154B1" w:rsidTr="00376BD1">
        <w:tc>
          <w:tcPr>
            <w:tcW w:w="1116" w:type="pct"/>
            <w:tcBorders>
              <w:bottom w:val="nil"/>
            </w:tcBorders>
            <w:shd w:val="clear" w:color="auto" w:fill="auto"/>
            <w:vAlign w:val="center"/>
          </w:tcPr>
          <w:p w:rsidR="00AD67B3" w:rsidRPr="00376BD1" w:rsidRDefault="00AD67B3" w:rsidP="00912164">
            <w:pPr>
              <w:pStyle w:val="TableText0"/>
              <w:rPr>
                <w:szCs w:val="20"/>
              </w:rPr>
            </w:pPr>
            <w:r w:rsidRPr="00376BD1">
              <w:rPr>
                <w:szCs w:val="20"/>
              </w:rPr>
              <w:t>Cost to PBS/RPBS less copayments</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p>
        </w:tc>
        <w:tc>
          <w:tcPr>
            <w:tcW w:w="649" w:type="pct"/>
            <w:tcBorders>
              <w:bottom w:val="nil"/>
            </w:tcBorders>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p>
        </w:tc>
      </w:tr>
      <w:tr w:rsidR="00AD67B3" w:rsidRPr="008154B1" w:rsidTr="00376BD1">
        <w:tc>
          <w:tcPr>
            <w:tcW w:w="1116" w:type="pct"/>
            <w:tcBorders>
              <w:top w:val="nil"/>
            </w:tcBorders>
            <w:shd w:val="clear" w:color="auto" w:fill="auto"/>
            <w:vAlign w:val="center"/>
          </w:tcPr>
          <w:p w:rsidR="00AD67B3" w:rsidRPr="00376BD1" w:rsidRDefault="00AD67B3" w:rsidP="00912164">
            <w:pPr>
              <w:pStyle w:val="TableText0"/>
              <w:rPr>
                <w:szCs w:val="20"/>
              </w:rPr>
            </w:pPr>
            <w:r w:rsidRPr="00376BD1">
              <w:rPr>
                <w:iCs/>
                <w:szCs w:val="20"/>
              </w:rPr>
              <w:t>Re-analysis</w:t>
            </w:r>
            <w:r w:rsidRPr="00376BD1">
              <w:rPr>
                <w:iCs/>
                <w:szCs w:val="20"/>
                <w:vertAlign w:val="superscript"/>
              </w:rPr>
              <w:t>a</w:t>
            </w:r>
          </w:p>
        </w:tc>
        <w:tc>
          <w:tcPr>
            <w:tcW w:w="647" w:type="pct"/>
            <w:tcBorders>
              <w:top w:val="nil"/>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7" w:type="pct"/>
            <w:tcBorders>
              <w:top w:val="nil"/>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p>
        </w:tc>
        <w:tc>
          <w:tcPr>
            <w:tcW w:w="647" w:type="pct"/>
            <w:tcBorders>
              <w:top w:val="nil"/>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7" w:type="pct"/>
            <w:tcBorders>
              <w:top w:val="nil"/>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7" w:type="pct"/>
            <w:tcBorders>
              <w:top w:val="nil"/>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9" w:type="pct"/>
            <w:tcBorders>
              <w:top w:val="nil"/>
            </w:tcBorders>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r>
      <w:tr w:rsidR="00AD67B3" w:rsidRPr="008154B1" w:rsidTr="00376BD1">
        <w:tc>
          <w:tcPr>
            <w:tcW w:w="5000" w:type="pct"/>
            <w:gridSpan w:val="7"/>
            <w:tcBorders>
              <w:bottom w:val="single" w:sz="4" w:space="0" w:color="auto"/>
            </w:tcBorders>
            <w:shd w:val="clear" w:color="auto" w:fill="auto"/>
            <w:vAlign w:val="center"/>
          </w:tcPr>
          <w:p w:rsidR="00AD67B3" w:rsidRPr="00376BD1" w:rsidRDefault="00AD67B3" w:rsidP="00912164">
            <w:pPr>
              <w:pStyle w:val="In-tableHeading"/>
              <w:rPr>
                <w:szCs w:val="20"/>
                <w:lang w:val="en-AU"/>
              </w:rPr>
            </w:pPr>
            <w:r w:rsidRPr="00376BD1">
              <w:rPr>
                <w:szCs w:val="20"/>
                <w:lang w:val="en-AU"/>
              </w:rPr>
              <w:t>Net financial implications for the Australian Government health budget</w:t>
            </w:r>
          </w:p>
        </w:tc>
      </w:tr>
      <w:tr w:rsidR="00AD67B3" w:rsidRPr="008154B1" w:rsidTr="00376BD1">
        <w:tc>
          <w:tcPr>
            <w:tcW w:w="1116" w:type="pct"/>
            <w:tcBorders>
              <w:bottom w:val="nil"/>
            </w:tcBorders>
            <w:shd w:val="clear" w:color="auto" w:fill="auto"/>
            <w:vAlign w:val="center"/>
          </w:tcPr>
          <w:p w:rsidR="00AD67B3" w:rsidRPr="00376BD1" w:rsidRDefault="00AD67B3" w:rsidP="00912164">
            <w:pPr>
              <w:pStyle w:val="TableText0"/>
              <w:rPr>
                <w:szCs w:val="20"/>
              </w:rPr>
            </w:pPr>
            <w:r w:rsidRPr="00376BD1">
              <w:rPr>
                <w:szCs w:val="20"/>
              </w:rPr>
              <w:t>Net cost to PBS/RPBS</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r w:rsidRPr="00376BD1">
              <w:rPr>
                <w:szCs w:val="20"/>
              </w:rPr>
              <w:t xml:space="preserve"> </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r w:rsidRPr="00376BD1">
              <w:rPr>
                <w:szCs w:val="20"/>
              </w:rPr>
              <w:t xml:space="preserve"> </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r w:rsidRPr="00376BD1">
              <w:rPr>
                <w:szCs w:val="20"/>
              </w:rPr>
              <w:t xml:space="preserve"> </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r w:rsidRPr="00376BD1">
              <w:rPr>
                <w:szCs w:val="20"/>
              </w:rPr>
              <w:t xml:space="preserve"> </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r w:rsidRPr="00376BD1">
              <w:rPr>
                <w:szCs w:val="20"/>
              </w:rPr>
              <w:t xml:space="preserve"> </w:t>
            </w:r>
          </w:p>
        </w:tc>
        <w:tc>
          <w:tcPr>
            <w:tcW w:w="649" w:type="pct"/>
            <w:tcBorders>
              <w:bottom w:val="nil"/>
            </w:tcBorders>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r w:rsidRPr="00376BD1">
              <w:rPr>
                <w:szCs w:val="20"/>
              </w:rPr>
              <w:t xml:space="preserve"> </w:t>
            </w:r>
          </w:p>
        </w:tc>
      </w:tr>
      <w:tr w:rsidR="00AD67B3" w:rsidRPr="008154B1" w:rsidTr="00376BD1">
        <w:tc>
          <w:tcPr>
            <w:tcW w:w="1116" w:type="pct"/>
            <w:tcBorders>
              <w:top w:val="nil"/>
              <w:bottom w:val="single" w:sz="4" w:space="0" w:color="auto"/>
            </w:tcBorders>
            <w:shd w:val="clear" w:color="auto" w:fill="auto"/>
            <w:vAlign w:val="center"/>
          </w:tcPr>
          <w:p w:rsidR="00AD67B3" w:rsidRPr="00376BD1" w:rsidRDefault="00AD67B3" w:rsidP="00912164">
            <w:pPr>
              <w:pStyle w:val="TableText0"/>
              <w:rPr>
                <w:szCs w:val="20"/>
              </w:rPr>
            </w:pPr>
            <w:r w:rsidRPr="00376BD1">
              <w:rPr>
                <w:iCs/>
                <w:szCs w:val="20"/>
              </w:rPr>
              <w:t>Re-analysis</w:t>
            </w:r>
            <w:r w:rsidRPr="00376BD1">
              <w:rPr>
                <w:iCs/>
                <w:szCs w:val="20"/>
                <w:vertAlign w:val="superscript"/>
              </w:rPr>
              <w:t>a</w:t>
            </w:r>
          </w:p>
        </w:tc>
        <w:tc>
          <w:tcPr>
            <w:tcW w:w="647" w:type="pct"/>
            <w:tcBorders>
              <w:top w:val="nil"/>
              <w:bottom w:val="single" w:sz="4" w:space="0" w:color="auto"/>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7" w:type="pct"/>
            <w:tcBorders>
              <w:top w:val="nil"/>
              <w:bottom w:val="single" w:sz="4" w:space="0" w:color="auto"/>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7" w:type="pct"/>
            <w:tcBorders>
              <w:top w:val="nil"/>
              <w:bottom w:val="single" w:sz="4" w:space="0" w:color="auto"/>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7" w:type="pct"/>
            <w:tcBorders>
              <w:top w:val="nil"/>
              <w:bottom w:val="single" w:sz="4" w:space="0" w:color="auto"/>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7" w:type="pct"/>
            <w:tcBorders>
              <w:top w:val="nil"/>
              <w:bottom w:val="single" w:sz="4" w:space="0" w:color="auto"/>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c>
          <w:tcPr>
            <w:tcW w:w="649" w:type="pct"/>
            <w:tcBorders>
              <w:top w:val="nil"/>
              <w:bottom w:val="single" w:sz="4" w:space="0" w:color="auto"/>
            </w:tcBorders>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r w:rsidRPr="00376BD1">
              <w:rPr>
                <w:iCs/>
                <w:szCs w:val="20"/>
              </w:rPr>
              <w:t xml:space="preserve"> </w:t>
            </w:r>
          </w:p>
        </w:tc>
      </w:tr>
      <w:tr w:rsidR="00AD67B3" w:rsidRPr="008154B1" w:rsidTr="00376BD1">
        <w:tc>
          <w:tcPr>
            <w:tcW w:w="1116" w:type="pct"/>
            <w:tcBorders>
              <w:bottom w:val="nil"/>
            </w:tcBorders>
            <w:shd w:val="clear" w:color="auto" w:fill="auto"/>
            <w:vAlign w:val="center"/>
          </w:tcPr>
          <w:p w:rsidR="00AD67B3" w:rsidRPr="00376BD1" w:rsidRDefault="00AD67B3" w:rsidP="00912164">
            <w:pPr>
              <w:pStyle w:val="TableText0"/>
              <w:rPr>
                <w:szCs w:val="20"/>
                <w:vertAlign w:val="superscript"/>
              </w:rPr>
            </w:pPr>
            <w:r w:rsidRPr="00376BD1">
              <w:rPr>
                <w:szCs w:val="20"/>
              </w:rPr>
              <w:t>Net cost to federal government for change in use of C1-INH</w:t>
            </w:r>
            <w:r w:rsidRPr="00376BD1">
              <w:rPr>
                <w:szCs w:val="20"/>
                <w:vertAlign w:val="superscript"/>
              </w:rPr>
              <w:t>e</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p>
        </w:tc>
        <w:tc>
          <w:tcPr>
            <w:tcW w:w="647" w:type="pct"/>
            <w:tcBorders>
              <w:bottom w:val="nil"/>
            </w:tcBorders>
            <w:shd w:val="clear" w:color="auto" w:fill="auto"/>
            <w:vAlign w:val="center"/>
          </w:tcPr>
          <w:p w:rsidR="00AD67B3" w:rsidRPr="005E18BF" w:rsidRDefault="00AD67B3" w:rsidP="00912164">
            <w:pPr>
              <w:pStyle w:val="TableText0"/>
              <w:jc w:val="center"/>
              <w:rPr>
                <w:szCs w:val="20"/>
              </w:rPr>
            </w:pPr>
            <w:r w:rsidRPr="0073318E">
              <w:rPr>
                <w:szCs w:val="20"/>
              </w:rPr>
              <w:t>-$</w:t>
            </w:r>
            <w:r w:rsidR="005E18BF">
              <w:rPr>
                <w:noProof/>
                <w:color w:val="000000"/>
                <w:szCs w:val="20"/>
                <w:highlight w:val="black"/>
              </w:rPr>
              <w:t>'''''''''''''''''''''''''''</w:t>
            </w:r>
          </w:p>
        </w:tc>
        <w:tc>
          <w:tcPr>
            <w:tcW w:w="649" w:type="pct"/>
            <w:tcBorders>
              <w:bottom w:val="nil"/>
            </w:tcBorders>
            <w:vAlign w:val="center"/>
          </w:tcPr>
          <w:p w:rsidR="00AD67B3" w:rsidRPr="005E18BF" w:rsidRDefault="00AD67B3" w:rsidP="00912164">
            <w:pPr>
              <w:pStyle w:val="TableText0"/>
              <w:jc w:val="center"/>
              <w:rPr>
                <w:szCs w:val="20"/>
              </w:rPr>
            </w:pPr>
            <w:r w:rsidRPr="0073318E">
              <w:rPr>
                <w:szCs w:val="20"/>
              </w:rPr>
              <w:t>-$</w:t>
            </w:r>
            <w:r w:rsidR="005E18BF">
              <w:rPr>
                <w:noProof/>
                <w:color w:val="000000"/>
                <w:szCs w:val="20"/>
                <w:highlight w:val="black"/>
              </w:rPr>
              <w:t>'''''''''''''''''''''''''''</w:t>
            </w:r>
          </w:p>
        </w:tc>
      </w:tr>
      <w:tr w:rsidR="00AD67B3" w:rsidRPr="008154B1" w:rsidTr="00376BD1">
        <w:tc>
          <w:tcPr>
            <w:tcW w:w="1116" w:type="pct"/>
            <w:tcBorders>
              <w:top w:val="nil"/>
              <w:bottom w:val="single" w:sz="4" w:space="0" w:color="auto"/>
            </w:tcBorders>
            <w:shd w:val="clear" w:color="auto" w:fill="auto"/>
            <w:vAlign w:val="center"/>
          </w:tcPr>
          <w:p w:rsidR="00AD67B3" w:rsidRPr="00376BD1" w:rsidRDefault="00AD67B3" w:rsidP="00912164">
            <w:pPr>
              <w:pStyle w:val="TableText0"/>
              <w:rPr>
                <w:szCs w:val="20"/>
              </w:rPr>
            </w:pPr>
            <w:r w:rsidRPr="00376BD1">
              <w:rPr>
                <w:iCs/>
                <w:szCs w:val="20"/>
              </w:rPr>
              <w:t>Re-analysis</w:t>
            </w:r>
            <w:r w:rsidRPr="00376BD1">
              <w:rPr>
                <w:iCs/>
                <w:szCs w:val="20"/>
                <w:vertAlign w:val="superscript"/>
              </w:rPr>
              <w:t>a</w:t>
            </w:r>
          </w:p>
        </w:tc>
        <w:tc>
          <w:tcPr>
            <w:tcW w:w="647" w:type="pct"/>
            <w:tcBorders>
              <w:top w:val="nil"/>
              <w:bottom w:val="single" w:sz="4" w:space="0" w:color="auto"/>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p>
        </w:tc>
        <w:tc>
          <w:tcPr>
            <w:tcW w:w="647" w:type="pct"/>
            <w:tcBorders>
              <w:top w:val="nil"/>
              <w:bottom w:val="single" w:sz="4" w:space="0" w:color="auto"/>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p>
        </w:tc>
        <w:tc>
          <w:tcPr>
            <w:tcW w:w="647" w:type="pct"/>
            <w:tcBorders>
              <w:top w:val="nil"/>
              <w:bottom w:val="single" w:sz="4" w:space="0" w:color="auto"/>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p>
        </w:tc>
        <w:tc>
          <w:tcPr>
            <w:tcW w:w="647" w:type="pct"/>
            <w:tcBorders>
              <w:top w:val="nil"/>
              <w:bottom w:val="single" w:sz="4" w:space="0" w:color="auto"/>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p>
        </w:tc>
        <w:tc>
          <w:tcPr>
            <w:tcW w:w="647" w:type="pct"/>
            <w:tcBorders>
              <w:top w:val="nil"/>
              <w:bottom w:val="single" w:sz="4" w:space="0" w:color="auto"/>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p>
        </w:tc>
        <w:tc>
          <w:tcPr>
            <w:tcW w:w="649" w:type="pct"/>
            <w:tcBorders>
              <w:top w:val="nil"/>
              <w:bottom w:val="single" w:sz="4" w:space="0" w:color="auto"/>
            </w:tcBorders>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p>
        </w:tc>
      </w:tr>
      <w:tr w:rsidR="00AD67B3" w:rsidRPr="008154B1" w:rsidTr="00376BD1">
        <w:tc>
          <w:tcPr>
            <w:tcW w:w="1116" w:type="pct"/>
            <w:tcBorders>
              <w:bottom w:val="nil"/>
            </w:tcBorders>
            <w:shd w:val="clear" w:color="auto" w:fill="auto"/>
            <w:vAlign w:val="center"/>
          </w:tcPr>
          <w:p w:rsidR="00AD67B3" w:rsidRPr="00376BD1" w:rsidRDefault="00AD67B3" w:rsidP="00912164">
            <w:pPr>
              <w:pStyle w:val="TableText0"/>
              <w:rPr>
                <w:szCs w:val="20"/>
              </w:rPr>
            </w:pPr>
            <w:r w:rsidRPr="00376BD1">
              <w:rPr>
                <w:szCs w:val="20"/>
              </w:rPr>
              <w:t>Net cost to Australian Government health budget</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r w:rsidRPr="00376BD1">
              <w:rPr>
                <w:szCs w:val="20"/>
              </w:rPr>
              <w:t xml:space="preserve"> </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r w:rsidRPr="00376BD1">
              <w:rPr>
                <w:szCs w:val="20"/>
              </w:rPr>
              <w:t xml:space="preserve"> </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r w:rsidRPr="00376BD1">
              <w:rPr>
                <w:szCs w:val="20"/>
              </w:rPr>
              <w:t xml:space="preserve"> </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r w:rsidRPr="00376BD1">
              <w:rPr>
                <w:szCs w:val="20"/>
              </w:rPr>
              <w:t xml:space="preserve"> </w:t>
            </w:r>
          </w:p>
        </w:tc>
        <w:tc>
          <w:tcPr>
            <w:tcW w:w="647" w:type="pct"/>
            <w:tcBorders>
              <w:bottom w:val="nil"/>
            </w:tcBorders>
            <w:shd w:val="clear" w:color="auto" w:fill="auto"/>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r w:rsidRPr="00376BD1">
              <w:rPr>
                <w:szCs w:val="20"/>
              </w:rPr>
              <w:t xml:space="preserve"> </w:t>
            </w:r>
          </w:p>
        </w:tc>
        <w:tc>
          <w:tcPr>
            <w:tcW w:w="649" w:type="pct"/>
            <w:tcBorders>
              <w:bottom w:val="nil"/>
            </w:tcBorders>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r w:rsidRPr="00376BD1">
              <w:rPr>
                <w:szCs w:val="20"/>
              </w:rPr>
              <w:t xml:space="preserve"> </w:t>
            </w:r>
          </w:p>
        </w:tc>
      </w:tr>
      <w:tr w:rsidR="00AD67B3" w:rsidRPr="008154B1" w:rsidTr="00376BD1">
        <w:tc>
          <w:tcPr>
            <w:tcW w:w="1116" w:type="pct"/>
            <w:tcBorders>
              <w:top w:val="nil"/>
            </w:tcBorders>
            <w:shd w:val="clear" w:color="auto" w:fill="auto"/>
            <w:vAlign w:val="center"/>
          </w:tcPr>
          <w:p w:rsidR="00AD67B3" w:rsidRPr="00376BD1" w:rsidRDefault="00AD67B3" w:rsidP="00912164">
            <w:pPr>
              <w:pStyle w:val="TableText0"/>
              <w:rPr>
                <w:szCs w:val="20"/>
              </w:rPr>
            </w:pPr>
            <w:r w:rsidRPr="00376BD1">
              <w:rPr>
                <w:iCs/>
                <w:szCs w:val="20"/>
              </w:rPr>
              <w:t>Re-analysis</w:t>
            </w:r>
            <w:r w:rsidRPr="00376BD1">
              <w:rPr>
                <w:iCs/>
                <w:szCs w:val="20"/>
                <w:vertAlign w:val="superscript"/>
              </w:rPr>
              <w:t>a</w:t>
            </w:r>
          </w:p>
        </w:tc>
        <w:tc>
          <w:tcPr>
            <w:tcW w:w="647" w:type="pct"/>
            <w:tcBorders>
              <w:top w:val="nil"/>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p>
        </w:tc>
        <w:tc>
          <w:tcPr>
            <w:tcW w:w="647" w:type="pct"/>
            <w:tcBorders>
              <w:top w:val="nil"/>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p>
        </w:tc>
        <w:tc>
          <w:tcPr>
            <w:tcW w:w="647" w:type="pct"/>
            <w:tcBorders>
              <w:top w:val="nil"/>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p>
        </w:tc>
        <w:tc>
          <w:tcPr>
            <w:tcW w:w="647" w:type="pct"/>
            <w:tcBorders>
              <w:top w:val="nil"/>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p>
        </w:tc>
        <w:tc>
          <w:tcPr>
            <w:tcW w:w="647" w:type="pct"/>
            <w:tcBorders>
              <w:top w:val="nil"/>
            </w:tcBorders>
            <w:shd w:val="clear" w:color="auto" w:fill="auto"/>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p>
        </w:tc>
        <w:tc>
          <w:tcPr>
            <w:tcW w:w="649" w:type="pct"/>
            <w:tcBorders>
              <w:top w:val="nil"/>
            </w:tcBorders>
            <w:vAlign w:val="center"/>
          </w:tcPr>
          <w:p w:rsidR="00AD67B3" w:rsidRPr="00376BD1" w:rsidRDefault="00AD67B3" w:rsidP="00912164">
            <w:pPr>
              <w:pStyle w:val="TableText0"/>
              <w:jc w:val="center"/>
              <w:rPr>
                <w:szCs w:val="20"/>
              </w:rPr>
            </w:pPr>
            <w:r w:rsidRPr="00376BD1">
              <w:rPr>
                <w:iCs/>
                <w:szCs w:val="20"/>
              </w:rPr>
              <w:t>-$</w:t>
            </w:r>
            <w:r w:rsidR="005E18BF">
              <w:rPr>
                <w:iCs/>
                <w:noProof/>
                <w:color w:val="000000"/>
                <w:szCs w:val="20"/>
                <w:highlight w:val="black"/>
              </w:rPr>
              <w:t>'''''''''''''''''''</w:t>
            </w:r>
          </w:p>
        </w:tc>
      </w:tr>
      <w:tr w:rsidR="00AD67B3" w:rsidRPr="008154B1" w:rsidTr="00376BD1">
        <w:tc>
          <w:tcPr>
            <w:tcW w:w="5000" w:type="pct"/>
            <w:gridSpan w:val="7"/>
            <w:shd w:val="clear" w:color="auto" w:fill="B8CCE4" w:themeFill="accent1" w:themeFillTint="66"/>
            <w:vAlign w:val="center"/>
          </w:tcPr>
          <w:p w:rsidR="00AD67B3" w:rsidRPr="00376BD1" w:rsidRDefault="00AD67B3" w:rsidP="00912164">
            <w:pPr>
              <w:pStyle w:val="In-tableHeading"/>
              <w:rPr>
                <w:szCs w:val="20"/>
                <w:lang w:val="en-AU"/>
              </w:rPr>
            </w:pPr>
            <w:r w:rsidRPr="00376BD1">
              <w:rPr>
                <w:szCs w:val="20"/>
                <w:lang w:val="en-AU"/>
              </w:rPr>
              <w:t>Previous submission July 2019</w:t>
            </w:r>
          </w:p>
        </w:tc>
      </w:tr>
      <w:tr w:rsidR="00AD67B3" w:rsidRPr="008154B1" w:rsidTr="00376BD1">
        <w:tc>
          <w:tcPr>
            <w:tcW w:w="1116" w:type="pct"/>
            <w:shd w:val="clear" w:color="auto" w:fill="B8CCE4" w:themeFill="accent1" w:themeFillTint="66"/>
            <w:vAlign w:val="center"/>
          </w:tcPr>
          <w:p w:rsidR="00AD67B3" w:rsidRPr="00376BD1" w:rsidRDefault="00AD67B3" w:rsidP="00912164">
            <w:pPr>
              <w:pStyle w:val="TableText0"/>
              <w:rPr>
                <w:szCs w:val="20"/>
              </w:rPr>
            </w:pPr>
            <w:r w:rsidRPr="00376BD1">
              <w:rPr>
                <w:szCs w:val="20"/>
              </w:rPr>
              <w:t>Number of patients treated</w:t>
            </w:r>
          </w:p>
        </w:tc>
        <w:tc>
          <w:tcPr>
            <w:tcW w:w="647" w:type="pct"/>
            <w:shd w:val="clear" w:color="auto" w:fill="B8CCE4" w:themeFill="accent1" w:themeFillTint="66"/>
            <w:vAlign w:val="center"/>
          </w:tcPr>
          <w:p w:rsidR="00AD67B3" w:rsidRPr="00376BD1" w:rsidRDefault="00704581" w:rsidP="00912164">
            <w:pPr>
              <w:pStyle w:val="TableText0"/>
              <w:jc w:val="center"/>
              <w:rPr>
                <w:szCs w:val="20"/>
              </w:rPr>
            </w:pPr>
            <w:r>
              <w:rPr>
                <w:iCs/>
                <w:noProof/>
                <w:color w:val="000000"/>
                <w:szCs w:val="20"/>
                <w:highlight w:val="black"/>
              </w:rPr>
              <w:t>'''''''</w:t>
            </w:r>
          </w:p>
        </w:tc>
        <w:tc>
          <w:tcPr>
            <w:tcW w:w="647" w:type="pct"/>
            <w:shd w:val="clear" w:color="auto" w:fill="B8CCE4" w:themeFill="accent1" w:themeFillTint="66"/>
            <w:vAlign w:val="center"/>
          </w:tcPr>
          <w:p w:rsidR="00AD67B3" w:rsidRPr="00376BD1" w:rsidRDefault="00704581" w:rsidP="00912164">
            <w:pPr>
              <w:pStyle w:val="TableText0"/>
              <w:jc w:val="center"/>
              <w:rPr>
                <w:szCs w:val="20"/>
              </w:rPr>
            </w:pPr>
            <w:r>
              <w:rPr>
                <w:iCs/>
                <w:noProof/>
                <w:color w:val="000000"/>
                <w:szCs w:val="20"/>
                <w:highlight w:val="black"/>
              </w:rPr>
              <w:t>'''''''</w:t>
            </w:r>
          </w:p>
        </w:tc>
        <w:tc>
          <w:tcPr>
            <w:tcW w:w="647" w:type="pct"/>
            <w:shd w:val="clear" w:color="auto" w:fill="B8CCE4" w:themeFill="accent1" w:themeFillTint="66"/>
            <w:vAlign w:val="center"/>
          </w:tcPr>
          <w:p w:rsidR="00AD67B3" w:rsidRPr="00376BD1" w:rsidRDefault="00704581" w:rsidP="00912164">
            <w:pPr>
              <w:pStyle w:val="TableText0"/>
              <w:jc w:val="center"/>
              <w:rPr>
                <w:szCs w:val="20"/>
              </w:rPr>
            </w:pPr>
            <w:r>
              <w:rPr>
                <w:iCs/>
                <w:noProof/>
                <w:color w:val="000000"/>
                <w:szCs w:val="20"/>
                <w:highlight w:val="black"/>
              </w:rPr>
              <w:t>'''''''</w:t>
            </w:r>
          </w:p>
        </w:tc>
        <w:tc>
          <w:tcPr>
            <w:tcW w:w="647" w:type="pct"/>
            <w:shd w:val="clear" w:color="auto" w:fill="B8CCE4" w:themeFill="accent1" w:themeFillTint="66"/>
            <w:vAlign w:val="center"/>
          </w:tcPr>
          <w:p w:rsidR="00AD67B3" w:rsidRPr="00376BD1" w:rsidRDefault="00704581" w:rsidP="00912164">
            <w:pPr>
              <w:pStyle w:val="TableText0"/>
              <w:jc w:val="center"/>
              <w:rPr>
                <w:szCs w:val="20"/>
              </w:rPr>
            </w:pPr>
            <w:r>
              <w:rPr>
                <w:iCs/>
                <w:noProof/>
                <w:color w:val="000000"/>
                <w:szCs w:val="20"/>
                <w:highlight w:val="black"/>
              </w:rPr>
              <w:t>'''''''</w:t>
            </w:r>
          </w:p>
        </w:tc>
        <w:tc>
          <w:tcPr>
            <w:tcW w:w="647" w:type="pct"/>
            <w:shd w:val="clear" w:color="auto" w:fill="B8CCE4" w:themeFill="accent1" w:themeFillTint="66"/>
            <w:vAlign w:val="center"/>
          </w:tcPr>
          <w:p w:rsidR="00AD67B3" w:rsidRPr="00376BD1" w:rsidRDefault="00704581" w:rsidP="00912164">
            <w:pPr>
              <w:pStyle w:val="TableText0"/>
              <w:jc w:val="center"/>
              <w:rPr>
                <w:szCs w:val="20"/>
              </w:rPr>
            </w:pPr>
            <w:r>
              <w:rPr>
                <w:iCs/>
                <w:noProof/>
                <w:color w:val="000000"/>
                <w:szCs w:val="20"/>
                <w:highlight w:val="black"/>
              </w:rPr>
              <w:t>'''''''</w:t>
            </w:r>
          </w:p>
        </w:tc>
        <w:tc>
          <w:tcPr>
            <w:tcW w:w="649" w:type="pct"/>
            <w:shd w:val="clear" w:color="auto" w:fill="B8CCE4" w:themeFill="accent1" w:themeFillTint="66"/>
            <w:vAlign w:val="center"/>
          </w:tcPr>
          <w:p w:rsidR="00AD67B3" w:rsidRPr="00376BD1" w:rsidRDefault="00704581" w:rsidP="00912164">
            <w:pPr>
              <w:pStyle w:val="TableText0"/>
              <w:jc w:val="center"/>
              <w:rPr>
                <w:szCs w:val="20"/>
              </w:rPr>
            </w:pPr>
            <w:r>
              <w:rPr>
                <w:iCs/>
                <w:noProof/>
                <w:color w:val="000000"/>
                <w:szCs w:val="20"/>
                <w:highlight w:val="black"/>
              </w:rPr>
              <w:t>'''''''</w:t>
            </w:r>
          </w:p>
        </w:tc>
      </w:tr>
      <w:tr w:rsidR="00AD67B3" w:rsidRPr="008154B1" w:rsidTr="00376BD1">
        <w:tc>
          <w:tcPr>
            <w:tcW w:w="1116" w:type="pct"/>
            <w:shd w:val="clear" w:color="auto" w:fill="B8CCE4" w:themeFill="accent1" w:themeFillTint="66"/>
            <w:vAlign w:val="center"/>
          </w:tcPr>
          <w:p w:rsidR="00AD67B3" w:rsidRPr="00376BD1" w:rsidRDefault="00AD67B3" w:rsidP="00912164">
            <w:pPr>
              <w:pStyle w:val="TableText0"/>
              <w:rPr>
                <w:szCs w:val="20"/>
              </w:rPr>
            </w:pPr>
            <w:r w:rsidRPr="00376BD1">
              <w:rPr>
                <w:szCs w:val="20"/>
              </w:rPr>
              <w:t>Net cost to PBS/RPBS</w:t>
            </w:r>
          </w:p>
        </w:tc>
        <w:tc>
          <w:tcPr>
            <w:tcW w:w="647" w:type="pct"/>
            <w:shd w:val="clear" w:color="auto" w:fill="B8CCE4" w:themeFill="accent1" w:themeFillTint="66"/>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p>
        </w:tc>
        <w:tc>
          <w:tcPr>
            <w:tcW w:w="647" w:type="pct"/>
            <w:shd w:val="clear" w:color="auto" w:fill="B8CCE4" w:themeFill="accent1" w:themeFillTint="66"/>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p>
        </w:tc>
        <w:tc>
          <w:tcPr>
            <w:tcW w:w="647" w:type="pct"/>
            <w:shd w:val="clear" w:color="auto" w:fill="B8CCE4" w:themeFill="accent1" w:themeFillTint="66"/>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p>
        </w:tc>
        <w:tc>
          <w:tcPr>
            <w:tcW w:w="647" w:type="pct"/>
            <w:shd w:val="clear" w:color="auto" w:fill="B8CCE4" w:themeFill="accent1" w:themeFillTint="66"/>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p>
        </w:tc>
        <w:tc>
          <w:tcPr>
            <w:tcW w:w="647" w:type="pct"/>
            <w:shd w:val="clear" w:color="auto" w:fill="B8CCE4" w:themeFill="accent1" w:themeFillTint="66"/>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p>
        </w:tc>
        <w:tc>
          <w:tcPr>
            <w:tcW w:w="649" w:type="pct"/>
            <w:shd w:val="clear" w:color="auto" w:fill="B8CCE4" w:themeFill="accent1" w:themeFillTint="66"/>
            <w:vAlign w:val="center"/>
          </w:tcPr>
          <w:p w:rsidR="00AD67B3" w:rsidRPr="00376BD1" w:rsidRDefault="00AD67B3" w:rsidP="00912164">
            <w:pPr>
              <w:pStyle w:val="TableText0"/>
              <w:jc w:val="center"/>
              <w:rPr>
                <w:szCs w:val="20"/>
              </w:rPr>
            </w:pPr>
            <w:r w:rsidRPr="00376BD1">
              <w:rPr>
                <w:szCs w:val="20"/>
              </w:rPr>
              <w:t>$</w:t>
            </w:r>
            <w:r w:rsidR="005E18BF">
              <w:rPr>
                <w:noProof/>
                <w:color w:val="000000"/>
                <w:szCs w:val="20"/>
                <w:highlight w:val="black"/>
              </w:rPr>
              <w:t>'''''''''''''''''''''''''''''</w:t>
            </w:r>
          </w:p>
        </w:tc>
      </w:tr>
    </w:tbl>
    <w:p w:rsidR="00AD67B3" w:rsidRPr="008154B1" w:rsidRDefault="00AD67B3" w:rsidP="00912164">
      <w:pPr>
        <w:pStyle w:val="TableFigureFooter"/>
      </w:pPr>
      <w:r w:rsidRPr="008154B1">
        <w:t>Source: Table 75 p122, Table 77 p127, Table 78 p127, Table 80 p128, Table 81 p128 and Table 82 p129 of the resubmission; Excel workbook “Electronic_Files_LANA_HAE_Sec4_BIM”.</w:t>
      </w:r>
    </w:p>
    <w:p w:rsidR="00AD67B3" w:rsidRPr="008154B1" w:rsidRDefault="00AD67B3" w:rsidP="00912164">
      <w:pPr>
        <w:pStyle w:val="TableFigureFooter"/>
        <w:rPr>
          <w:rStyle w:val="CommentReference"/>
        </w:rPr>
      </w:pPr>
      <w:r w:rsidRPr="008154B1">
        <w:t>C1-INH = C1 esterase inhibitor; ODT = on-demand treatment.</w:t>
      </w:r>
    </w:p>
    <w:p w:rsidR="00AD67B3" w:rsidRPr="008154B1" w:rsidRDefault="00AD67B3" w:rsidP="00912164">
      <w:pPr>
        <w:pStyle w:val="TableFigureFooter"/>
        <w:rPr>
          <w:iCs/>
        </w:rPr>
      </w:pPr>
      <w:r w:rsidRPr="008154B1">
        <w:rPr>
          <w:vertAlign w:val="superscript"/>
        </w:rPr>
        <w:t xml:space="preserve">a </w:t>
      </w:r>
      <w:r w:rsidRPr="008154B1">
        <w:rPr>
          <w:iCs/>
        </w:rPr>
        <w:t xml:space="preserve">Re-analysis performed during the </w:t>
      </w:r>
      <w:r w:rsidR="00EC43AC" w:rsidRPr="008154B1">
        <w:rPr>
          <w:iCs/>
        </w:rPr>
        <w:t>evaluation</w:t>
      </w:r>
      <w:r w:rsidRPr="008154B1">
        <w:rPr>
          <w:iCs/>
        </w:rPr>
        <w:t>, based on the prevalent population, with no allowance for discontinuations.</w:t>
      </w:r>
    </w:p>
    <w:p w:rsidR="00AD67B3" w:rsidRPr="008154B1" w:rsidRDefault="00AD67B3" w:rsidP="00912164">
      <w:pPr>
        <w:pStyle w:val="TableFigureFooter"/>
        <w:rPr>
          <w:iCs/>
        </w:rPr>
      </w:pPr>
      <w:r w:rsidRPr="008154B1">
        <w:rPr>
          <w:iCs/>
          <w:vertAlign w:val="superscript"/>
        </w:rPr>
        <w:t>b</w:t>
      </w:r>
      <w:r w:rsidRPr="008154B1">
        <w:rPr>
          <w:iCs/>
        </w:rPr>
        <w:t xml:space="preserve"> The resubmission’s estimates of the number of patients </w:t>
      </w:r>
      <w:r w:rsidR="00E22AC7" w:rsidRPr="008154B1">
        <w:rPr>
          <w:iCs/>
        </w:rPr>
        <w:t>in population 2 were</w:t>
      </w:r>
      <w:r w:rsidRPr="008154B1">
        <w:rPr>
          <w:iCs/>
        </w:rPr>
        <w:t xml:space="preserve"> considerably higher than the estimated number of patients likely to receive routine prophyla</w:t>
      </w:r>
      <w:r w:rsidR="00E22AC7" w:rsidRPr="008154B1">
        <w:rPr>
          <w:iCs/>
        </w:rPr>
        <w:t>xis with C1-INH in the MSAC A</w:t>
      </w:r>
      <w:r w:rsidRPr="008154B1">
        <w:rPr>
          <w:iCs/>
        </w:rPr>
        <w:t xml:space="preserve">ssessment </w:t>
      </w:r>
      <w:r w:rsidR="00E22AC7" w:rsidRPr="008154B1">
        <w:rPr>
          <w:iCs/>
        </w:rPr>
        <w:t>Report for</w:t>
      </w:r>
      <w:r w:rsidRPr="008154B1">
        <w:rPr>
          <w:iCs/>
        </w:rPr>
        <w:t xml:space="preserve"> IV C1-INH (approximately 8 per year).</w:t>
      </w:r>
    </w:p>
    <w:p w:rsidR="00AD67B3" w:rsidRPr="008154B1" w:rsidRDefault="00AD67B3" w:rsidP="00912164">
      <w:pPr>
        <w:pStyle w:val="TableFigureFooter"/>
      </w:pPr>
      <w:r w:rsidRPr="008154B1">
        <w:rPr>
          <w:vertAlign w:val="superscript"/>
        </w:rPr>
        <w:t>c</w:t>
      </w:r>
      <w:r w:rsidRPr="008154B1">
        <w:t xml:space="preserve"> Applying 92.5% to the number of patients in population 1 to account for 15% discontinuation over each year (i.e. patients who discontinue assumed to receive 6 months of LANA)</w:t>
      </w:r>
    </w:p>
    <w:p w:rsidR="00AD67B3" w:rsidRPr="008154B1" w:rsidRDefault="00AD67B3" w:rsidP="00912164">
      <w:pPr>
        <w:pStyle w:val="TableFigureFooter"/>
      </w:pPr>
      <w:r w:rsidRPr="008154B1">
        <w:rPr>
          <w:vertAlign w:val="superscript"/>
        </w:rPr>
        <w:t xml:space="preserve">d </w:t>
      </w:r>
      <w:r w:rsidRPr="008154B1">
        <w:t xml:space="preserve">Assuming </w:t>
      </w:r>
      <w:r w:rsidR="005E18BF">
        <w:rPr>
          <w:noProof/>
          <w:color w:val="000000"/>
          <w:highlight w:val="black"/>
        </w:rPr>
        <w:t>'''''''''''''''</w:t>
      </w:r>
      <w:r w:rsidRPr="008154B1">
        <w:t xml:space="preserve"> vials per patient per year as estimated by the submission.</w:t>
      </w:r>
    </w:p>
    <w:p w:rsidR="00AD67B3" w:rsidRPr="008154B1" w:rsidRDefault="00AD67B3" w:rsidP="00912164">
      <w:pPr>
        <w:pStyle w:val="TableFigureFooter"/>
        <w:ind w:left="142" w:hanging="142"/>
      </w:pPr>
      <w:r w:rsidRPr="008154B1">
        <w:rPr>
          <w:vertAlign w:val="superscript"/>
        </w:rPr>
        <w:t>e</w:t>
      </w:r>
      <w:r w:rsidRPr="008154B1">
        <w:t xml:space="preserve"> Cost to the Australian Government for funding of IV C1-INH through the National Blood Agreement, assuming the federal government is responsible for 63% of funding and state/territory governments are responsible for the remaining 37%.</w:t>
      </w:r>
    </w:p>
    <w:p w:rsidR="00AD67B3" w:rsidRPr="008154B1" w:rsidRDefault="00AD67B3" w:rsidP="00912164">
      <w:pPr>
        <w:pStyle w:val="3-BodyText"/>
      </w:pPr>
      <w:r w:rsidRPr="008154B1">
        <w:t xml:space="preserve">The total net cost to the PBS/RPBS of listing lanadelumab, including cost offsets resulting from </w:t>
      </w:r>
      <w:r w:rsidR="00EC43AC" w:rsidRPr="008154B1">
        <w:t>reduced</w:t>
      </w:r>
      <w:r w:rsidRPr="008154B1">
        <w:t xml:space="preserve"> use of icatibant for </w:t>
      </w:r>
      <w:r w:rsidR="006D0F9F" w:rsidRPr="008154B1">
        <w:t xml:space="preserve">the </w:t>
      </w:r>
      <w:r w:rsidRPr="008154B1">
        <w:t xml:space="preserve">treatment of acute HAE attacks, was estimated to be </w:t>
      </w:r>
      <w:r w:rsidR="003D4E78" w:rsidRPr="005A51AA">
        <w:rPr>
          <w:rFonts w:cs="Times New Roman"/>
        </w:rPr>
        <w:t>$10 million to &lt; $20 million</w:t>
      </w:r>
      <w:r w:rsidRPr="008154B1">
        <w:t xml:space="preserve"> million in Year 6, and a total of  </w:t>
      </w:r>
      <w:r w:rsidR="003D4E78">
        <w:t xml:space="preserve">$60 - $100 </w:t>
      </w:r>
      <w:r w:rsidRPr="008154B1">
        <w:t>million in the first 6 years of listing</w:t>
      </w:r>
      <w:r w:rsidRPr="008154B1">
        <w:rPr>
          <w:color w:val="000000" w:themeColor="text1"/>
        </w:rPr>
        <w:t xml:space="preserve">. </w:t>
      </w:r>
      <w:r w:rsidRPr="008154B1">
        <w:rPr>
          <w:iCs/>
          <w:color w:val="000000" w:themeColor="text1"/>
        </w:rPr>
        <w:t xml:space="preserve">This </w:t>
      </w:r>
      <w:r w:rsidR="006D0F9F" w:rsidRPr="008154B1">
        <w:rPr>
          <w:iCs/>
          <w:color w:val="000000" w:themeColor="text1"/>
        </w:rPr>
        <w:t>wa</w:t>
      </w:r>
      <w:r w:rsidRPr="008154B1">
        <w:rPr>
          <w:iCs/>
          <w:color w:val="000000" w:themeColor="text1"/>
        </w:rPr>
        <w:t xml:space="preserve">s a reduction from the original submission (estimated to be nearly </w:t>
      </w:r>
      <w:r w:rsidR="003D4E78">
        <w:rPr>
          <w:iCs/>
          <w:color w:val="000000" w:themeColor="text1"/>
        </w:rPr>
        <w:t>$20 - $30</w:t>
      </w:r>
      <w:r w:rsidRPr="008154B1">
        <w:rPr>
          <w:iCs/>
          <w:color w:val="000000" w:themeColor="text1"/>
        </w:rPr>
        <w:t xml:space="preserve"> million in Year 6), despite increased patient numbers, primarily due to the reduced lanadelumab</w:t>
      </w:r>
      <w:r w:rsidR="00EC43AC" w:rsidRPr="008154B1">
        <w:rPr>
          <w:iCs/>
          <w:color w:val="000000" w:themeColor="text1"/>
        </w:rPr>
        <w:t xml:space="preserve"> price</w:t>
      </w:r>
      <w:r w:rsidRPr="008154B1">
        <w:rPr>
          <w:iCs/>
          <w:color w:val="000000" w:themeColor="text1"/>
        </w:rPr>
        <w:t>.</w:t>
      </w:r>
    </w:p>
    <w:p w:rsidR="00AD67B3" w:rsidRPr="008154B1" w:rsidRDefault="00AD67B3" w:rsidP="00912164">
      <w:pPr>
        <w:pStyle w:val="3-BodyText"/>
      </w:pPr>
      <w:r w:rsidRPr="008154B1">
        <w:lastRenderedPageBreak/>
        <w:t xml:space="preserve">The estimated net implications for government health budgets were highly uncertain. As stated above, the proportion of HAE patients likely to be treated with lanadelumab was potentially overestimated, while the assumption that </w:t>
      </w:r>
      <w:r w:rsidR="005E18BF">
        <w:rPr>
          <w:noProof/>
          <w:color w:val="000000"/>
          <w:highlight w:val="black"/>
        </w:rPr>
        <w:t>'''''</w:t>
      </w:r>
      <w:r w:rsidRPr="008154B1">
        <w:t>% of patients would receive lanadelumab at the lower dosage was likely to have underestimated the average cost of treatment per patient. In addition, the cost offsets resulting from reduced use of C1-INH for prophylaxis of HAE attacks w</w:t>
      </w:r>
      <w:r w:rsidR="00516851" w:rsidRPr="008154B1">
        <w:t>ere</w:t>
      </w:r>
      <w:r w:rsidRPr="008154B1">
        <w:t xml:space="preserve"> likely to be overestimated. There is also considerable potential for use outside the intended population, as there is no reliable way of confirming the frequency and severity of HAE attacks that a patient reports they are experiencing.</w:t>
      </w:r>
    </w:p>
    <w:p w:rsidR="00AD67B3" w:rsidRPr="008154B1" w:rsidRDefault="00AD67B3" w:rsidP="00912164">
      <w:pPr>
        <w:pStyle w:val="3-BodyText"/>
      </w:pPr>
      <w:r w:rsidRPr="008154B1">
        <w:t>The resubmission stated that there were a limited number of patients currently receiving lanadelumab through a patient access program and proposed a grandfather provision to allow these patients to access PBS-subsidised treatment.</w:t>
      </w:r>
      <w:r w:rsidR="00B650B8" w:rsidRPr="008154B1">
        <w:t xml:space="preserve"> The pre-PBAC response stated that, to date, </w:t>
      </w:r>
      <w:r w:rsidR="0060646F">
        <w:t xml:space="preserve">less than 10,000 </w:t>
      </w:r>
      <w:r w:rsidR="00B650B8" w:rsidRPr="008154B1">
        <w:t xml:space="preserve">patients had </w:t>
      </w:r>
      <w:r w:rsidR="00EC43AC" w:rsidRPr="008154B1">
        <w:t>received</w:t>
      </w:r>
      <w:r w:rsidR="00B650B8" w:rsidRPr="008154B1">
        <w:t xml:space="preserve"> lanadelumab through the patient access program.</w:t>
      </w:r>
    </w:p>
    <w:p w:rsidR="00AD67B3" w:rsidRPr="008154B1" w:rsidRDefault="00AD67B3" w:rsidP="00912164">
      <w:pPr>
        <w:pStyle w:val="4-SubsectionHeading"/>
      </w:pPr>
      <w:bookmarkStart w:id="34" w:name="_Toc22897649"/>
      <w:bookmarkStart w:id="35" w:name="_Toc40174758"/>
      <w:bookmarkStart w:id="36" w:name="_Toc40185436"/>
      <w:r w:rsidRPr="008154B1">
        <w:t>Financial Management – Risk Sharing Arrangements</w:t>
      </w:r>
      <w:bookmarkEnd w:id="34"/>
      <w:bookmarkEnd w:id="35"/>
      <w:bookmarkEnd w:id="36"/>
    </w:p>
    <w:p w:rsidR="00D932A3" w:rsidRPr="008154B1" w:rsidRDefault="00AD67B3" w:rsidP="00912164">
      <w:pPr>
        <w:pStyle w:val="3-BodyText"/>
      </w:pPr>
      <w:r w:rsidRPr="008154B1">
        <w:t xml:space="preserve">The resubmission stated that the sponsor was willing to consider </w:t>
      </w:r>
      <w:r w:rsidR="00445C4D" w:rsidRPr="008154B1">
        <w:t xml:space="preserve">an </w:t>
      </w:r>
      <w:r w:rsidRPr="008154B1">
        <w:t>appropriate risk sharing arrangement</w:t>
      </w:r>
      <w:r w:rsidR="00D932A3" w:rsidRPr="008154B1">
        <w:t xml:space="preserve"> (RSA)</w:t>
      </w:r>
      <w:r w:rsidRPr="008154B1">
        <w:t>.</w:t>
      </w:r>
    </w:p>
    <w:p w:rsidR="00AC5332" w:rsidRPr="008154B1" w:rsidRDefault="00AC5332" w:rsidP="00912164">
      <w:pPr>
        <w:pStyle w:val="3-BodyText"/>
      </w:pPr>
      <w:r w:rsidRPr="008154B1">
        <w:t>The PSCR stated ‘in the current absence of any further utilisation data, it is proposed that an appropriate risk sharing arrangement could be used to help manage the uncertainty of lanadelumab utilisation used in the economic model’. However, no specific details were provided.</w:t>
      </w:r>
    </w:p>
    <w:p w:rsidR="00C53296" w:rsidRPr="008154B1" w:rsidRDefault="00EC43AC" w:rsidP="00912164">
      <w:pPr>
        <w:pStyle w:val="3-BodyText"/>
      </w:pPr>
      <w:r w:rsidRPr="008154B1">
        <w:t>The ESC considered that a</w:t>
      </w:r>
      <w:r w:rsidR="00D932A3" w:rsidRPr="008154B1">
        <w:t xml:space="preserve">n RSA may help </w:t>
      </w:r>
      <w:r w:rsidR="00DB5509" w:rsidRPr="008154B1">
        <w:t>manage the risk of lanadelumab not being cost-effective if fewer patients down-titrate to the Q4W regimen in practice than are assumed to down-titrate in the economic model. However, this would only reduce the risk</w:t>
      </w:r>
      <w:r w:rsidR="00C53296" w:rsidRPr="008154B1">
        <w:t xml:space="preserve"> to the Commonwealth</w:t>
      </w:r>
      <w:r w:rsidR="007D57CA" w:rsidRPr="008154B1">
        <w:t xml:space="preserve"> </w:t>
      </w:r>
      <w:r w:rsidR="00C53296" w:rsidRPr="008154B1">
        <w:t xml:space="preserve">if patient numbers are </w:t>
      </w:r>
      <w:r w:rsidR="00FF031E" w:rsidRPr="008154B1">
        <w:t>not overestimated</w:t>
      </w:r>
      <w:r w:rsidR="007D57CA" w:rsidRPr="008154B1">
        <w:t xml:space="preserve"> (i.e. </w:t>
      </w:r>
      <w:r w:rsidR="008D71C2" w:rsidRPr="008154B1">
        <w:t xml:space="preserve">to ensure </w:t>
      </w:r>
      <w:r w:rsidR="007D57CA" w:rsidRPr="008154B1">
        <w:t xml:space="preserve">the caps </w:t>
      </w:r>
      <w:r w:rsidR="008D71C2" w:rsidRPr="008154B1">
        <w:t>are</w:t>
      </w:r>
      <w:r w:rsidR="007D57CA" w:rsidRPr="008154B1">
        <w:t xml:space="preserve"> reached once the vials per patient exceed the threshold), and so any such </w:t>
      </w:r>
      <w:r w:rsidR="00DB5509" w:rsidRPr="008154B1">
        <w:t xml:space="preserve">RSA </w:t>
      </w:r>
      <w:r w:rsidR="007D57CA" w:rsidRPr="008154B1">
        <w:t>would need to be</w:t>
      </w:r>
      <w:r w:rsidR="00DB5509" w:rsidRPr="008154B1">
        <w:t xml:space="preserve"> based on more reliable and conservative patient numbers. </w:t>
      </w:r>
    </w:p>
    <w:p w:rsidR="00E007FC" w:rsidRPr="008154B1" w:rsidRDefault="00DB5509" w:rsidP="00912164">
      <w:pPr>
        <w:pStyle w:val="3-BodyText"/>
      </w:pPr>
      <w:r w:rsidRPr="008154B1">
        <w:t xml:space="preserve">An RSA may also help address </w:t>
      </w:r>
      <w:r w:rsidR="00D932A3" w:rsidRPr="008154B1">
        <w:t>the risk of patients continuing treatment beyond the intent of the continuation criteria.</w:t>
      </w:r>
    </w:p>
    <w:p w:rsidR="00EC43AC" w:rsidRPr="008154B1" w:rsidRDefault="00EC43AC" w:rsidP="00912164">
      <w:pPr>
        <w:pStyle w:val="3-BodyText"/>
      </w:pPr>
      <w:r w:rsidRPr="008154B1">
        <w:t xml:space="preserve">The pre-PBAC response </w:t>
      </w:r>
      <w:r w:rsidR="009D5B1B" w:rsidRPr="008154B1">
        <w:t xml:space="preserve">proposed a </w:t>
      </w:r>
      <w:r w:rsidR="002149E8" w:rsidRPr="008154B1">
        <w:t>tiered RSA:</w:t>
      </w:r>
    </w:p>
    <w:p w:rsidR="009D5B1B" w:rsidRPr="008154B1" w:rsidRDefault="009D5B1B" w:rsidP="00950926">
      <w:pPr>
        <w:pStyle w:val="3-BodyText"/>
        <w:numPr>
          <w:ilvl w:val="0"/>
          <w:numId w:val="18"/>
        </w:numPr>
      </w:pPr>
      <w:r w:rsidRPr="008154B1">
        <w:t xml:space="preserve">Tier 1 was based on the </w:t>
      </w:r>
      <w:r w:rsidR="00D55206" w:rsidRPr="008154B1">
        <w:t xml:space="preserve">patient estimates derived from the </w:t>
      </w:r>
      <w:r w:rsidR="002149E8" w:rsidRPr="008154B1">
        <w:t>evaluation</w:t>
      </w:r>
      <w:r w:rsidRPr="008154B1">
        <w:t>’</w:t>
      </w:r>
      <w:r w:rsidR="00D55206" w:rsidRPr="008154B1">
        <w:t>s re</w:t>
      </w:r>
      <w:r w:rsidR="00D55206" w:rsidRPr="008154B1">
        <w:noBreakHyphen/>
      </w:r>
      <w:r w:rsidRPr="008154B1">
        <w:t xml:space="preserve">analysis </w:t>
      </w:r>
      <w:r w:rsidR="00D55206" w:rsidRPr="008154B1">
        <w:t>of population 1 (i.e. applying</w:t>
      </w:r>
      <w:r w:rsidR="001E31C5" w:rsidRPr="008154B1">
        <w:t xml:space="preserve"> </w:t>
      </w:r>
      <w:r w:rsidR="005E18BF">
        <w:rPr>
          <w:noProof/>
          <w:color w:val="000000"/>
          <w:highlight w:val="black"/>
        </w:rPr>
        <w:t>''''''</w:t>
      </w:r>
      <w:r w:rsidR="00D55206" w:rsidRPr="008154B1">
        <w:t xml:space="preserve">% </w:t>
      </w:r>
      <w:r w:rsidR="001E31C5" w:rsidRPr="008154B1">
        <w:t xml:space="preserve">to the </w:t>
      </w:r>
      <w:r w:rsidR="00D55206" w:rsidRPr="008154B1">
        <w:t>prevalen</w:t>
      </w:r>
      <w:r w:rsidR="001E31C5" w:rsidRPr="008154B1">
        <w:t xml:space="preserve">t population each year, which the pre-PBAC response referred to as the ‘minimum patients from SOC’) </w:t>
      </w:r>
      <w:r w:rsidR="00D55206" w:rsidRPr="008154B1">
        <w:t xml:space="preserve">plus </w:t>
      </w:r>
      <w:r w:rsidR="001E31C5" w:rsidRPr="008154B1">
        <w:t>population 2 (i.e. patients who would otherwise receive C1-INH prophylaxis).</w:t>
      </w:r>
    </w:p>
    <w:p w:rsidR="002149E8" w:rsidRPr="008154B1" w:rsidRDefault="001001F3" w:rsidP="00AD21A9">
      <w:pPr>
        <w:pStyle w:val="3-BodyText"/>
        <w:numPr>
          <w:ilvl w:val="0"/>
          <w:numId w:val="18"/>
        </w:numPr>
      </w:pPr>
      <w:r w:rsidRPr="008154B1">
        <w:t>‘</w:t>
      </w:r>
      <w:r w:rsidR="00BA4531" w:rsidRPr="008154B1">
        <w:t>A</w:t>
      </w:r>
      <w:r w:rsidRPr="008154B1">
        <w:t xml:space="preserve">bove Tier 1’ </w:t>
      </w:r>
      <w:r w:rsidR="00D55206" w:rsidRPr="008154B1">
        <w:t xml:space="preserve">comprised </w:t>
      </w:r>
      <w:r w:rsidRPr="008154B1">
        <w:t xml:space="preserve">new patients switching from SOC each year from Year 2 </w:t>
      </w:r>
      <w:r w:rsidR="00AD21A9" w:rsidRPr="008154B1">
        <w:t xml:space="preserve">onwards </w:t>
      </w:r>
      <w:r w:rsidR="001E31C5" w:rsidRPr="008154B1">
        <w:t>(i.e. the difference between the submission</w:t>
      </w:r>
      <w:r w:rsidR="00AD21A9" w:rsidRPr="008154B1">
        <w:t>’s</w:t>
      </w:r>
      <w:r w:rsidR="001E31C5" w:rsidRPr="008154B1">
        <w:t xml:space="preserve"> and the </w:t>
      </w:r>
      <w:r w:rsidR="002149E8" w:rsidRPr="008154B1">
        <w:t>evaluation</w:t>
      </w:r>
      <w:r w:rsidR="00AD21A9" w:rsidRPr="008154B1">
        <w:t xml:space="preserve">’s </w:t>
      </w:r>
      <w:r w:rsidR="001E31C5" w:rsidRPr="008154B1">
        <w:t>analysis of population 1).</w:t>
      </w:r>
      <w:r w:rsidRPr="008154B1">
        <w:t xml:space="preserve"> The </w:t>
      </w:r>
      <w:r w:rsidR="002149E8" w:rsidRPr="008154B1">
        <w:t xml:space="preserve">evaluation </w:t>
      </w:r>
      <w:r w:rsidRPr="008154B1">
        <w:t xml:space="preserve">and the ESC considered that the population included </w:t>
      </w:r>
      <w:r w:rsidR="002149E8" w:rsidRPr="008154B1">
        <w:t>in this tier</w:t>
      </w:r>
      <w:r w:rsidRPr="008154B1">
        <w:t xml:space="preserve"> </w:t>
      </w:r>
      <w:r w:rsidR="002149E8" w:rsidRPr="008154B1">
        <w:t>should not have been included</w:t>
      </w:r>
      <w:r w:rsidRPr="008154B1">
        <w:t xml:space="preserve"> in the estimates as these </w:t>
      </w:r>
      <w:r w:rsidR="00AD21A9" w:rsidRPr="008154B1">
        <w:t>were</w:t>
      </w:r>
      <w:r w:rsidRPr="008154B1">
        <w:t xml:space="preserve"> prevalent patients added as incident patients each year, although the </w:t>
      </w:r>
      <w:r w:rsidRPr="008154B1">
        <w:lastRenderedPageBreak/>
        <w:t>ESC acknowledged that the evaluat</w:t>
      </w:r>
      <w:r w:rsidR="002149E8" w:rsidRPr="008154B1">
        <w:t>ion</w:t>
      </w:r>
      <w:r w:rsidRPr="008154B1">
        <w:t>’s approach (which the pre-PBAC response uses in Tier 1) may have underestimated patient numbers as it did not account for n</w:t>
      </w:r>
      <w:r w:rsidR="00516851" w:rsidRPr="008154B1">
        <w:t>ew incident patients each year</w:t>
      </w:r>
      <w:r w:rsidRPr="008154B1">
        <w:t xml:space="preserve">. The pre-PBAC response stated ‘Given the lack of data to further inform this scenario, it is proposed that the remaining uncertainty in patient numbers and cost-effectiveness is shared between [the sponsor] and the Commonwealth– that is any expenditure on additional patients above Tier 1 is rebated at </w:t>
      </w:r>
      <w:r w:rsidR="005E18BF">
        <w:rPr>
          <w:noProof/>
          <w:color w:val="000000"/>
          <w:highlight w:val="black"/>
        </w:rPr>
        <w:t>'''''</w:t>
      </w:r>
      <w:r w:rsidRPr="008154B1">
        <w:t>% to the agreed effective price</w:t>
      </w:r>
      <w:r w:rsidR="002149E8" w:rsidRPr="008154B1">
        <w:t>’</w:t>
      </w:r>
      <w:r w:rsidRPr="008154B1">
        <w:t>.</w:t>
      </w:r>
      <w:r w:rsidR="002149E8" w:rsidRPr="008154B1">
        <w:t xml:space="preserve"> The pre-PBAC response did not state whether a higher rebate level would apply for expenditure </w:t>
      </w:r>
      <w:r w:rsidR="00A342DE" w:rsidRPr="008154B1">
        <w:t>above</w:t>
      </w:r>
      <w:r w:rsidR="002149E8" w:rsidRPr="008154B1">
        <w:t xml:space="preserve"> </w:t>
      </w:r>
      <w:r w:rsidR="00950926" w:rsidRPr="008154B1">
        <w:t>this</w:t>
      </w:r>
      <w:r w:rsidR="002149E8" w:rsidRPr="008154B1">
        <w:t xml:space="preserve"> cap.</w:t>
      </w:r>
    </w:p>
    <w:p w:rsidR="002149E8" w:rsidRPr="008154B1" w:rsidRDefault="002149E8" w:rsidP="002149E8">
      <w:pPr>
        <w:pStyle w:val="3-BodyText"/>
      </w:pPr>
      <w:r w:rsidRPr="008154B1">
        <w:t>The RSA proposed in the pre-PBAC response is shown in the table below.</w:t>
      </w:r>
    </w:p>
    <w:p w:rsidR="002149E8" w:rsidRPr="008154B1" w:rsidRDefault="002149E8" w:rsidP="00376BD1">
      <w:pPr>
        <w:pStyle w:val="TableFigureHeading"/>
      </w:pPr>
      <w:r w:rsidRPr="008154B1">
        <w:t>Table 17: RSA proposed in the pre-PBAC response</w:t>
      </w:r>
    </w:p>
    <w:tbl>
      <w:tblPr>
        <w:tblW w:w="0" w:type="auto"/>
        <w:tblInd w:w="-108" w:type="dxa"/>
        <w:tblLayout w:type="fixed"/>
        <w:tblCellMar>
          <w:left w:w="0" w:type="dxa"/>
          <w:right w:w="0" w:type="dxa"/>
        </w:tblCellMar>
        <w:tblLook w:val="04A0" w:firstRow="1" w:lastRow="0" w:firstColumn="1" w:lastColumn="0" w:noHBand="0" w:noVBand="1"/>
      </w:tblPr>
      <w:tblGrid>
        <w:gridCol w:w="9135"/>
      </w:tblGrid>
      <w:tr w:rsidR="001001F3" w:rsidRPr="008154B1" w:rsidTr="00BA4531">
        <w:trPr>
          <w:trHeight w:val="97"/>
        </w:trPr>
        <w:tc>
          <w:tcPr>
            <w:tcW w:w="9135" w:type="dxa"/>
            <w:tcMar>
              <w:top w:w="0" w:type="dxa"/>
              <w:left w:w="108" w:type="dxa"/>
              <w:bottom w:w="0" w:type="dxa"/>
              <w:right w:w="108" w:type="dxa"/>
            </w:tcMar>
            <w:hideMark/>
          </w:tcPr>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249"/>
              <w:gridCol w:w="1166"/>
              <w:gridCol w:w="1166"/>
              <w:gridCol w:w="1166"/>
              <w:gridCol w:w="1166"/>
            </w:tblGrid>
            <w:tr w:rsidR="00BA4531" w:rsidRPr="008154B1" w:rsidTr="00BA4531">
              <w:trPr>
                <w:trHeight w:val="290"/>
              </w:trPr>
              <w:tc>
                <w:tcPr>
                  <w:tcW w:w="2384" w:type="pct"/>
                  <w:noWrap/>
                  <w:tcMar>
                    <w:top w:w="0" w:type="dxa"/>
                    <w:left w:w="108" w:type="dxa"/>
                    <w:bottom w:w="0" w:type="dxa"/>
                    <w:right w:w="108" w:type="dxa"/>
                  </w:tcMar>
                  <w:vAlign w:val="center"/>
                  <w:hideMark/>
                </w:tcPr>
                <w:p w:rsidR="00BA4531" w:rsidRPr="008154B1" w:rsidRDefault="00BA4531" w:rsidP="001001F3">
                  <w:pPr>
                    <w:jc w:val="left"/>
                    <w:rPr>
                      <w:rFonts w:ascii="Arial Narrow" w:eastAsia="Calibri" w:hAnsi="Arial Narrow" w:cs="Calibri"/>
                      <w:sz w:val="20"/>
                      <w:szCs w:val="20"/>
                    </w:rPr>
                  </w:pPr>
                  <w:bookmarkStart w:id="37" w:name="RANGE!C213"/>
                  <w:r w:rsidRPr="008154B1">
                    <w:rPr>
                      <w:rFonts w:ascii="Arial Narrow" w:eastAsia="Calibri" w:hAnsi="Arial Narrow" w:cs="Calibri"/>
                      <w:sz w:val="20"/>
                      <w:szCs w:val="20"/>
                    </w:rPr>
                    <w:t> </w:t>
                  </w:r>
                  <w:bookmarkEnd w:id="37"/>
                </w:p>
              </w:tc>
              <w:tc>
                <w:tcPr>
                  <w:tcW w:w="654" w:type="pct"/>
                  <w:noWrap/>
                  <w:tcMar>
                    <w:top w:w="0" w:type="dxa"/>
                    <w:left w:w="108" w:type="dxa"/>
                    <w:bottom w:w="0" w:type="dxa"/>
                    <w:right w:w="108" w:type="dxa"/>
                  </w:tcMar>
                  <w:vAlign w:val="center"/>
                  <w:hideMark/>
                </w:tcPr>
                <w:p w:rsidR="00BA4531" w:rsidRPr="008154B1" w:rsidRDefault="00BA4531" w:rsidP="001001F3">
                  <w:pPr>
                    <w:jc w:val="center"/>
                    <w:rPr>
                      <w:rFonts w:ascii="Arial Narrow" w:eastAsia="Calibri" w:hAnsi="Arial Narrow" w:cs="Calibri"/>
                      <w:sz w:val="20"/>
                      <w:szCs w:val="20"/>
                    </w:rPr>
                  </w:pPr>
                  <w:r w:rsidRPr="008154B1">
                    <w:rPr>
                      <w:rFonts w:ascii="Arial Narrow" w:eastAsia="Calibri" w:hAnsi="Arial Narrow" w:cs="Calibri"/>
                      <w:b/>
                      <w:bCs/>
                      <w:sz w:val="20"/>
                      <w:szCs w:val="20"/>
                    </w:rPr>
                    <w:t>Year 1</w:t>
                  </w:r>
                </w:p>
              </w:tc>
              <w:tc>
                <w:tcPr>
                  <w:tcW w:w="654" w:type="pct"/>
                  <w:noWrap/>
                  <w:tcMar>
                    <w:top w:w="0" w:type="dxa"/>
                    <w:left w:w="108" w:type="dxa"/>
                    <w:bottom w:w="0" w:type="dxa"/>
                    <w:right w:w="108" w:type="dxa"/>
                  </w:tcMar>
                  <w:vAlign w:val="center"/>
                  <w:hideMark/>
                </w:tcPr>
                <w:p w:rsidR="00BA4531" w:rsidRPr="008154B1" w:rsidRDefault="00BA4531" w:rsidP="001001F3">
                  <w:pPr>
                    <w:jc w:val="center"/>
                    <w:rPr>
                      <w:rFonts w:ascii="Arial Narrow" w:eastAsia="Calibri" w:hAnsi="Arial Narrow" w:cs="Calibri"/>
                      <w:sz w:val="20"/>
                      <w:szCs w:val="20"/>
                    </w:rPr>
                  </w:pPr>
                  <w:r w:rsidRPr="008154B1">
                    <w:rPr>
                      <w:rFonts w:ascii="Arial Narrow" w:eastAsia="Calibri" w:hAnsi="Arial Narrow" w:cs="Calibri"/>
                      <w:b/>
                      <w:bCs/>
                      <w:sz w:val="20"/>
                      <w:szCs w:val="20"/>
                    </w:rPr>
                    <w:t>Year 2</w:t>
                  </w:r>
                </w:p>
              </w:tc>
              <w:tc>
                <w:tcPr>
                  <w:tcW w:w="654" w:type="pct"/>
                  <w:noWrap/>
                  <w:tcMar>
                    <w:top w:w="0" w:type="dxa"/>
                    <w:left w:w="108" w:type="dxa"/>
                    <w:bottom w:w="0" w:type="dxa"/>
                    <w:right w:w="108" w:type="dxa"/>
                  </w:tcMar>
                  <w:vAlign w:val="center"/>
                  <w:hideMark/>
                </w:tcPr>
                <w:p w:rsidR="00BA4531" w:rsidRPr="008154B1" w:rsidRDefault="00BA4531" w:rsidP="001001F3">
                  <w:pPr>
                    <w:jc w:val="center"/>
                    <w:rPr>
                      <w:rFonts w:ascii="Arial Narrow" w:eastAsia="Calibri" w:hAnsi="Arial Narrow" w:cs="Calibri"/>
                      <w:sz w:val="20"/>
                      <w:szCs w:val="20"/>
                    </w:rPr>
                  </w:pPr>
                  <w:r w:rsidRPr="008154B1">
                    <w:rPr>
                      <w:rFonts w:ascii="Arial Narrow" w:eastAsia="Calibri" w:hAnsi="Arial Narrow" w:cs="Calibri"/>
                      <w:b/>
                      <w:bCs/>
                      <w:sz w:val="20"/>
                      <w:szCs w:val="20"/>
                    </w:rPr>
                    <w:t>Year 3</w:t>
                  </w:r>
                </w:p>
              </w:tc>
              <w:tc>
                <w:tcPr>
                  <w:tcW w:w="654" w:type="pct"/>
                  <w:noWrap/>
                  <w:tcMar>
                    <w:top w:w="0" w:type="dxa"/>
                    <w:left w:w="108" w:type="dxa"/>
                    <w:bottom w:w="0" w:type="dxa"/>
                    <w:right w:w="108" w:type="dxa"/>
                  </w:tcMar>
                  <w:vAlign w:val="center"/>
                  <w:hideMark/>
                </w:tcPr>
                <w:p w:rsidR="00BA4531" w:rsidRPr="008154B1" w:rsidRDefault="00BA4531" w:rsidP="001001F3">
                  <w:pPr>
                    <w:jc w:val="center"/>
                    <w:rPr>
                      <w:rFonts w:ascii="Arial Narrow" w:eastAsia="Calibri" w:hAnsi="Arial Narrow" w:cs="Calibri"/>
                      <w:sz w:val="20"/>
                      <w:szCs w:val="20"/>
                    </w:rPr>
                  </w:pPr>
                  <w:r w:rsidRPr="008154B1">
                    <w:rPr>
                      <w:rFonts w:ascii="Arial Narrow" w:eastAsia="Calibri" w:hAnsi="Arial Narrow" w:cs="Calibri"/>
                      <w:b/>
                      <w:bCs/>
                      <w:sz w:val="20"/>
                      <w:szCs w:val="20"/>
                    </w:rPr>
                    <w:t>Year 4</w:t>
                  </w:r>
                </w:p>
              </w:tc>
            </w:tr>
            <w:tr w:rsidR="00BA4531" w:rsidRPr="008154B1" w:rsidTr="00BA4531">
              <w:trPr>
                <w:trHeight w:val="290"/>
              </w:trPr>
              <w:tc>
                <w:tcPr>
                  <w:tcW w:w="5000" w:type="pct"/>
                  <w:gridSpan w:val="5"/>
                  <w:shd w:val="clear" w:color="auto" w:fill="auto"/>
                  <w:noWrap/>
                  <w:tcMar>
                    <w:top w:w="0" w:type="dxa"/>
                    <w:left w:w="108" w:type="dxa"/>
                    <w:bottom w:w="0" w:type="dxa"/>
                    <w:right w:w="108" w:type="dxa"/>
                  </w:tcMar>
                  <w:vAlign w:val="center"/>
                  <w:hideMark/>
                </w:tcPr>
                <w:p w:rsidR="00BA4531" w:rsidRPr="008154B1" w:rsidRDefault="00BA4531" w:rsidP="001001F3">
                  <w:pPr>
                    <w:jc w:val="left"/>
                    <w:rPr>
                      <w:rFonts w:ascii="Arial Narrow" w:eastAsia="Calibri" w:hAnsi="Arial Narrow" w:cs="Calibri"/>
                      <w:sz w:val="20"/>
                      <w:szCs w:val="20"/>
                    </w:rPr>
                  </w:pPr>
                  <w:r w:rsidRPr="008154B1">
                    <w:rPr>
                      <w:rFonts w:ascii="Arial Narrow" w:eastAsia="Calibri" w:hAnsi="Arial Narrow" w:cs="Calibri"/>
                      <w:b/>
                      <w:bCs/>
                      <w:sz w:val="20"/>
                      <w:szCs w:val="20"/>
                    </w:rPr>
                    <w:t>Tier 1</w:t>
                  </w:r>
                </w:p>
              </w:tc>
            </w:tr>
            <w:tr w:rsidR="00BA4531" w:rsidRPr="008154B1" w:rsidTr="00BA4531">
              <w:trPr>
                <w:trHeight w:val="290"/>
              </w:trPr>
              <w:tc>
                <w:tcPr>
                  <w:tcW w:w="2384" w:type="pct"/>
                  <w:noWrap/>
                  <w:tcMar>
                    <w:top w:w="0" w:type="dxa"/>
                    <w:left w:w="108" w:type="dxa"/>
                    <w:bottom w:w="0" w:type="dxa"/>
                    <w:right w:w="108" w:type="dxa"/>
                  </w:tcMar>
                  <w:vAlign w:val="center"/>
                </w:tcPr>
                <w:p w:rsidR="00BA4531" w:rsidRPr="008154B1" w:rsidRDefault="00BA4531" w:rsidP="00A342DE">
                  <w:pPr>
                    <w:jc w:val="left"/>
                    <w:rPr>
                      <w:rFonts w:ascii="Arial Narrow" w:eastAsia="Calibri" w:hAnsi="Arial Narrow" w:cs="Calibri"/>
                      <w:sz w:val="20"/>
                      <w:szCs w:val="20"/>
                    </w:rPr>
                  </w:pPr>
                  <w:r w:rsidRPr="008154B1">
                    <w:rPr>
                      <w:rFonts w:ascii="Arial Narrow" w:eastAsia="Calibri" w:hAnsi="Arial Narrow" w:cs="Calibri"/>
                      <w:sz w:val="20"/>
                      <w:szCs w:val="20"/>
                    </w:rPr>
                    <w:t xml:space="preserve">Patients who switch from SOC - </w:t>
                  </w:r>
                  <w:r w:rsidR="00A342DE" w:rsidRPr="008154B1">
                    <w:rPr>
                      <w:rFonts w:ascii="Arial Narrow" w:eastAsia="Calibri" w:hAnsi="Arial Narrow" w:cs="Calibri"/>
                      <w:sz w:val="20"/>
                      <w:szCs w:val="20"/>
                    </w:rPr>
                    <w:t>p</w:t>
                  </w:r>
                  <w:r w:rsidRPr="008154B1">
                    <w:rPr>
                      <w:rFonts w:ascii="Arial Narrow" w:eastAsia="Calibri" w:hAnsi="Arial Narrow" w:cs="Calibri"/>
                      <w:sz w:val="20"/>
                      <w:szCs w:val="20"/>
                    </w:rPr>
                    <w:t>revalent in Year 1</w:t>
                  </w:r>
                </w:p>
              </w:tc>
              <w:tc>
                <w:tcPr>
                  <w:tcW w:w="654" w:type="pct"/>
                  <w:noWrap/>
                  <w:tcMar>
                    <w:top w:w="0" w:type="dxa"/>
                    <w:left w:w="108" w:type="dxa"/>
                    <w:bottom w:w="0" w:type="dxa"/>
                    <w:right w:w="108" w:type="dxa"/>
                  </w:tcMar>
                  <w:vAlign w:val="center"/>
                </w:tcPr>
                <w:p w:rsidR="00BA4531" w:rsidRPr="005E18BF" w:rsidRDefault="005E18BF" w:rsidP="00BA4531">
                  <w:pPr>
                    <w:jc w:val="center"/>
                    <w:rPr>
                      <w:rFonts w:ascii="Arial Narrow" w:eastAsia="Calibri" w:hAnsi="Arial Narrow" w:cs="Calibri"/>
                      <w:sz w:val="20"/>
                      <w:szCs w:val="20"/>
                      <w:highlight w:val="black"/>
                    </w:rPr>
                  </w:pPr>
                  <w:r>
                    <w:rPr>
                      <w:rFonts w:ascii="Arial Narrow" w:eastAsia="Calibri" w:hAnsi="Arial Narrow" w:cs="Calibri"/>
                      <w:noProof/>
                      <w:color w:val="000000"/>
                      <w:sz w:val="20"/>
                      <w:szCs w:val="20"/>
                      <w:highlight w:val="black"/>
                    </w:rPr>
                    <w:t>'''''''</w:t>
                  </w:r>
                </w:p>
              </w:tc>
              <w:tc>
                <w:tcPr>
                  <w:tcW w:w="654" w:type="pct"/>
                  <w:noWrap/>
                  <w:tcMar>
                    <w:top w:w="0" w:type="dxa"/>
                    <w:left w:w="108" w:type="dxa"/>
                    <w:bottom w:w="0" w:type="dxa"/>
                    <w:right w:w="108" w:type="dxa"/>
                  </w:tcMar>
                  <w:vAlign w:val="center"/>
                </w:tcPr>
                <w:p w:rsidR="00BA4531" w:rsidRPr="005E18BF" w:rsidRDefault="005E18BF" w:rsidP="00BA4531">
                  <w:pPr>
                    <w:jc w:val="center"/>
                    <w:rPr>
                      <w:rFonts w:ascii="Arial Narrow" w:eastAsia="Calibri" w:hAnsi="Arial Narrow" w:cs="Calibri"/>
                      <w:sz w:val="20"/>
                      <w:szCs w:val="20"/>
                      <w:highlight w:val="black"/>
                    </w:rPr>
                  </w:pPr>
                  <w:r>
                    <w:rPr>
                      <w:rFonts w:ascii="Arial Narrow" w:eastAsia="Calibri" w:hAnsi="Arial Narrow" w:cs="Calibri"/>
                      <w:noProof/>
                      <w:color w:val="000000"/>
                      <w:sz w:val="20"/>
                      <w:szCs w:val="20"/>
                      <w:highlight w:val="black"/>
                    </w:rPr>
                    <w:t>''''''</w:t>
                  </w:r>
                </w:p>
              </w:tc>
              <w:tc>
                <w:tcPr>
                  <w:tcW w:w="654" w:type="pct"/>
                  <w:noWrap/>
                  <w:tcMar>
                    <w:top w:w="0" w:type="dxa"/>
                    <w:left w:w="108" w:type="dxa"/>
                    <w:bottom w:w="0" w:type="dxa"/>
                    <w:right w:w="108" w:type="dxa"/>
                  </w:tcMar>
                  <w:vAlign w:val="center"/>
                </w:tcPr>
                <w:p w:rsidR="00BA4531" w:rsidRPr="005E18BF" w:rsidRDefault="005E18BF" w:rsidP="00BA4531">
                  <w:pPr>
                    <w:jc w:val="center"/>
                    <w:rPr>
                      <w:rFonts w:ascii="Arial Narrow" w:eastAsia="Calibri" w:hAnsi="Arial Narrow" w:cs="Calibri"/>
                      <w:sz w:val="20"/>
                      <w:szCs w:val="20"/>
                      <w:highlight w:val="black"/>
                    </w:rPr>
                  </w:pPr>
                  <w:r>
                    <w:rPr>
                      <w:rFonts w:ascii="Arial Narrow" w:eastAsia="Calibri" w:hAnsi="Arial Narrow" w:cs="Calibri"/>
                      <w:noProof/>
                      <w:color w:val="000000"/>
                      <w:sz w:val="20"/>
                      <w:szCs w:val="20"/>
                      <w:highlight w:val="black"/>
                    </w:rPr>
                    <w:t>'''''''</w:t>
                  </w:r>
                </w:p>
              </w:tc>
              <w:tc>
                <w:tcPr>
                  <w:tcW w:w="654" w:type="pct"/>
                  <w:noWrap/>
                  <w:tcMar>
                    <w:top w:w="0" w:type="dxa"/>
                    <w:left w:w="108" w:type="dxa"/>
                    <w:bottom w:w="0" w:type="dxa"/>
                    <w:right w:w="108" w:type="dxa"/>
                  </w:tcMar>
                  <w:vAlign w:val="center"/>
                </w:tcPr>
                <w:p w:rsidR="00BA4531" w:rsidRPr="005E18BF" w:rsidRDefault="005E18BF" w:rsidP="00BA4531">
                  <w:pPr>
                    <w:jc w:val="center"/>
                    <w:rPr>
                      <w:rFonts w:ascii="Arial Narrow" w:eastAsia="Calibri" w:hAnsi="Arial Narrow" w:cs="Calibri"/>
                      <w:sz w:val="20"/>
                      <w:szCs w:val="20"/>
                      <w:highlight w:val="black"/>
                    </w:rPr>
                  </w:pPr>
                  <w:r>
                    <w:rPr>
                      <w:rFonts w:ascii="Arial Narrow" w:eastAsia="Calibri" w:hAnsi="Arial Narrow" w:cs="Calibri"/>
                      <w:noProof/>
                      <w:color w:val="000000"/>
                      <w:sz w:val="20"/>
                      <w:szCs w:val="20"/>
                      <w:highlight w:val="black"/>
                    </w:rPr>
                    <w:t>''''''</w:t>
                  </w:r>
                </w:p>
              </w:tc>
            </w:tr>
            <w:tr w:rsidR="00BA4531" w:rsidRPr="008154B1" w:rsidTr="00BA4531">
              <w:trPr>
                <w:trHeight w:val="290"/>
              </w:trPr>
              <w:tc>
                <w:tcPr>
                  <w:tcW w:w="2384" w:type="pct"/>
                  <w:noWrap/>
                  <w:tcMar>
                    <w:top w:w="0" w:type="dxa"/>
                    <w:left w:w="108" w:type="dxa"/>
                    <w:bottom w:w="0" w:type="dxa"/>
                    <w:right w:w="108" w:type="dxa"/>
                  </w:tcMar>
                  <w:vAlign w:val="center"/>
                  <w:hideMark/>
                </w:tcPr>
                <w:p w:rsidR="00BA4531" w:rsidRPr="008154B1" w:rsidRDefault="00BA4531" w:rsidP="00BA4531">
                  <w:pPr>
                    <w:jc w:val="left"/>
                    <w:rPr>
                      <w:rFonts w:ascii="Arial Narrow" w:eastAsia="Calibri" w:hAnsi="Arial Narrow" w:cs="Calibri"/>
                      <w:sz w:val="20"/>
                      <w:szCs w:val="20"/>
                    </w:rPr>
                  </w:pPr>
                  <w:r w:rsidRPr="008154B1">
                    <w:rPr>
                      <w:rFonts w:ascii="Arial Narrow" w:eastAsia="Calibri" w:hAnsi="Arial Narrow" w:cs="Calibri"/>
                      <w:sz w:val="20"/>
                      <w:szCs w:val="20"/>
                    </w:rPr>
                    <w:t>Patients who switch from C1-INH</w:t>
                  </w:r>
                </w:p>
              </w:tc>
              <w:tc>
                <w:tcPr>
                  <w:tcW w:w="654" w:type="pct"/>
                  <w:noWrap/>
                  <w:tcMar>
                    <w:top w:w="0" w:type="dxa"/>
                    <w:left w:w="108" w:type="dxa"/>
                    <w:bottom w:w="0" w:type="dxa"/>
                    <w:right w:w="108" w:type="dxa"/>
                  </w:tcMar>
                  <w:vAlign w:val="center"/>
                  <w:hideMark/>
                </w:tcPr>
                <w:p w:rsidR="00BA4531" w:rsidRPr="005E18BF" w:rsidRDefault="005E18BF" w:rsidP="00BA4531">
                  <w:pPr>
                    <w:jc w:val="center"/>
                    <w:rPr>
                      <w:rFonts w:ascii="Arial Narrow" w:eastAsia="Calibri" w:hAnsi="Arial Narrow" w:cs="Calibri"/>
                      <w:sz w:val="20"/>
                      <w:szCs w:val="20"/>
                      <w:highlight w:val="black"/>
                    </w:rPr>
                  </w:pPr>
                  <w:r>
                    <w:rPr>
                      <w:rFonts w:ascii="Arial Narrow" w:eastAsia="Calibri" w:hAnsi="Arial Narrow" w:cs="Calibri"/>
                      <w:noProof/>
                      <w:color w:val="000000"/>
                      <w:sz w:val="20"/>
                      <w:szCs w:val="20"/>
                      <w:highlight w:val="black"/>
                    </w:rPr>
                    <w:t>'''''''</w:t>
                  </w:r>
                </w:p>
              </w:tc>
              <w:tc>
                <w:tcPr>
                  <w:tcW w:w="654" w:type="pct"/>
                  <w:noWrap/>
                  <w:tcMar>
                    <w:top w:w="0" w:type="dxa"/>
                    <w:left w:w="108" w:type="dxa"/>
                    <w:bottom w:w="0" w:type="dxa"/>
                    <w:right w:w="108" w:type="dxa"/>
                  </w:tcMar>
                  <w:vAlign w:val="center"/>
                  <w:hideMark/>
                </w:tcPr>
                <w:p w:rsidR="00BA4531" w:rsidRPr="005E18BF" w:rsidRDefault="005E18BF" w:rsidP="00BA4531">
                  <w:pPr>
                    <w:jc w:val="center"/>
                    <w:rPr>
                      <w:rFonts w:ascii="Arial Narrow" w:eastAsia="Calibri" w:hAnsi="Arial Narrow" w:cs="Calibri"/>
                      <w:sz w:val="20"/>
                      <w:szCs w:val="20"/>
                      <w:highlight w:val="black"/>
                    </w:rPr>
                  </w:pPr>
                  <w:r>
                    <w:rPr>
                      <w:rFonts w:ascii="Arial Narrow" w:eastAsia="Calibri" w:hAnsi="Arial Narrow" w:cs="Calibri"/>
                      <w:noProof/>
                      <w:color w:val="000000"/>
                      <w:sz w:val="20"/>
                      <w:szCs w:val="20"/>
                      <w:highlight w:val="black"/>
                    </w:rPr>
                    <w:t>''''''</w:t>
                  </w:r>
                </w:p>
              </w:tc>
              <w:tc>
                <w:tcPr>
                  <w:tcW w:w="654" w:type="pct"/>
                  <w:noWrap/>
                  <w:tcMar>
                    <w:top w:w="0" w:type="dxa"/>
                    <w:left w:w="108" w:type="dxa"/>
                    <w:bottom w:w="0" w:type="dxa"/>
                    <w:right w:w="108" w:type="dxa"/>
                  </w:tcMar>
                  <w:vAlign w:val="center"/>
                  <w:hideMark/>
                </w:tcPr>
                <w:p w:rsidR="00BA4531" w:rsidRPr="005E18BF" w:rsidRDefault="005E18BF" w:rsidP="00BA4531">
                  <w:pPr>
                    <w:jc w:val="center"/>
                    <w:rPr>
                      <w:rFonts w:ascii="Arial Narrow" w:eastAsia="Calibri" w:hAnsi="Arial Narrow" w:cs="Calibri"/>
                      <w:sz w:val="20"/>
                      <w:szCs w:val="20"/>
                      <w:highlight w:val="black"/>
                    </w:rPr>
                  </w:pPr>
                  <w:r>
                    <w:rPr>
                      <w:rFonts w:ascii="Arial Narrow" w:eastAsia="Calibri" w:hAnsi="Arial Narrow" w:cs="Calibri"/>
                      <w:noProof/>
                      <w:color w:val="000000"/>
                      <w:sz w:val="20"/>
                      <w:szCs w:val="20"/>
                      <w:highlight w:val="black"/>
                    </w:rPr>
                    <w:t>''''''</w:t>
                  </w:r>
                </w:p>
              </w:tc>
              <w:tc>
                <w:tcPr>
                  <w:tcW w:w="654" w:type="pct"/>
                  <w:noWrap/>
                  <w:tcMar>
                    <w:top w:w="0" w:type="dxa"/>
                    <w:left w:w="108" w:type="dxa"/>
                    <w:bottom w:w="0" w:type="dxa"/>
                    <w:right w:w="108" w:type="dxa"/>
                  </w:tcMar>
                  <w:vAlign w:val="center"/>
                  <w:hideMark/>
                </w:tcPr>
                <w:p w:rsidR="00BA4531" w:rsidRPr="005E18BF" w:rsidRDefault="005E18BF" w:rsidP="00BA4531">
                  <w:pPr>
                    <w:jc w:val="center"/>
                    <w:rPr>
                      <w:rFonts w:ascii="Arial Narrow" w:eastAsia="Calibri" w:hAnsi="Arial Narrow" w:cs="Calibri"/>
                      <w:sz w:val="20"/>
                      <w:szCs w:val="20"/>
                      <w:highlight w:val="black"/>
                    </w:rPr>
                  </w:pPr>
                  <w:r>
                    <w:rPr>
                      <w:rFonts w:ascii="Arial Narrow" w:eastAsia="Calibri" w:hAnsi="Arial Narrow" w:cs="Calibri"/>
                      <w:noProof/>
                      <w:color w:val="000000"/>
                      <w:sz w:val="20"/>
                      <w:szCs w:val="20"/>
                      <w:highlight w:val="black"/>
                    </w:rPr>
                    <w:t>'''''''</w:t>
                  </w:r>
                </w:p>
              </w:tc>
            </w:tr>
            <w:tr w:rsidR="00BA4531" w:rsidRPr="008154B1" w:rsidTr="00305183">
              <w:trPr>
                <w:trHeight w:val="290"/>
              </w:trPr>
              <w:tc>
                <w:tcPr>
                  <w:tcW w:w="2384" w:type="pct"/>
                  <w:noWrap/>
                  <w:tcMar>
                    <w:top w:w="0" w:type="dxa"/>
                    <w:left w:w="108" w:type="dxa"/>
                    <w:bottom w:w="0" w:type="dxa"/>
                    <w:right w:w="108" w:type="dxa"/>
                  </w:tcMar>
                  <w:vAlign w:val="center"/>
                  <w:hideMark/>
                </w:tcPr>
                <w:p w:rsidR="00BA4531" w:rsidRPr="008154B1" w:rsidRDefault="00BA4531" w:rsidP="00BA4531">
                  <w:pPr>
                    <w:jc w:val="left"/>
                    <w:rPr>
                      <w:rFonts w:ascii="Arial Narrow" w:eastAsia="Calibri" w:hAnsi="Arial Narrow" w:cs="Calibri"/>
                      <w:sz w:val="20"/>
                      <w:szCs w:val="20"/>
                    </w:rPr>
                  </w:pPr>
                  <w:r w:rsidRPr="008154B1">
                    <w:rPr>
                      <w:rFonts w:ascii="Arial Narrow" w:eastAsia="Calibri" w:hAnsi="Arial Narrow" w:cs="Calibri"/>
                      <w:b/>
                      <w:bCs/>
                      <w:sz w:val="20"/>
                      <w:szCs w:val="20"/>
                    </w:rPr>
                    <w:t xml:space="preserve">Cost to PBS/RPBS </w:t>
                  </w:r>
                </w:p>
              </w:tc>
              <w:tc>
                <w:tcPr>
                  <w:tcW w:w="654" w:type="pct"/>
                  <w:noWrap/>
                  <w:tcMar>
                    <w:top w:w="0" w:type="dxa"/>
                    <w:left w:w="108" w:type="dxa"/>
                    <w:bottom w:w="0" w:type="dxa"/>
                    <w:right w:w="108" w:type="dxa"/>
                  </w:tcMar>
                </w:tcPr>
                <w:p w:rsidR="00BA4531" w:rsidRPr="008154B1" w:rsidRDefault="00BA4531" w:rsidP="00BA4531">
                  <w:pPr>
                    <w:jc w:val="center"/>
                    <w:rPr>
                      <w:rFonts w:ascii="Arial Narrow" w:eastAsia="Calibri" w:hAnsi="Arial Narrow" w:cs="Calibri"/>
                      <w:sz w:val="20"/>
                      <w:szCs w:val="20"/>
                    </w:rPr>
                  </w:pPr>
                  <w:r w:rsidRPr="008154B1">
                    <w:rPr>
                      <w:rFonts w:ascii="Arial Narrow" w:eastAsia="Calibri" w:hAnsi="Arial Narrow" w:cs="Calibri"/>
                      <w:sz w:val="20"/>
                      <w:szCs w:val="20"/>
                    </w:rPr>
                    <w:t>$</w:t>
                  </w:r>
                  <w:r w:rsidR="005E18BF">
                    <w:rPr>
                      <w:rFonts w:ascii="Arial Narrow" w:eastAsia="Calibri" w:hAnsi="Arial Narrow" w:cs="Calibri"/>
                      <w:noProof/>
                      <w:color w:val="000000"/>
                      <w:sz w:val="20"/>
                      <w:szCs w:val="20"/>
                      <w:highlight w:val="black"/>
                    </w:rPr>
                    <w:t>''''''''''''''''''''''</w:t>
                  </w:r>
                  <w:r w:rsidRPr="008154B1">
                    <w:rPr>
                      <w:rFonts w:ascii="Arial Narrow" w:eastAsia="Calibri" w:hAnsi="Arial Narrow" w:cs="Calibri"/>
                      <w:sz w:val="20"/>
                      <w:szCs w:val="20"/>
                    </w:rPr>
                    <w:t xml:space="preserve"> </w:t>
                  </w:r>
                </w:p>
              </w:tc>
              <w:tc>
                <w:tcPr>
                  <w:tcW w:w="654" w:type="pct"/>
                  <w:noWrap/>
                  <w:tcMar>
                    <w:top w:w="0" w:type="dxa"/>
                    <w:left w:w="108" w:type="dxa"/>
                    <w:bottom w:w="0" w:type="dxa"/>
                    <w:right w:w="108" w:type="dxa"/>
                  </w:tcMar>
                </w:tcPr>
                <w:p w:rsidR="00BA4531" w:rsidRPr="008154B1" w:rsidRDefault="00BA4531" w:rsidP="00BA4531">
                  <w:pPr>
                    <w:jc w:val="center"/>
                    <w:rPr>
                      <w:rFonts w:ascii="Arial Narrow" w:eastAsia="Calibri" w:hAnsi="Arial Narrow" w:cs="Calibri"/>
                      <w:sz w:val="20"/>
                      <w:szCs w:val="20"/>
                    </w:rPr>
                  </w:pPr>
                  <w:r w:rsidRPr="008154B1">
                    <w:rPr>
                      <w:rFonts w:ascii="Arial Narrow" w:eastAsia="Calibri" w:hAnsi="Arial Narrow" w:cs="Calibri"/>
                      <w:sz w:val="20"/>
                      <w:szCs w:val="20"/>
                    </w:rPr>
                    <w:t>$</w:t>
                  </w:r>
                  <w:r w:rsidR="005E18BF">
                    <w:rPr>
                      <w:rFonts w:ascii="Arial Narrow" w:eastAsia="Calibri" w:hAnsi="Arial Narrow" w:cs="Calibri"/>
                      <w:noProof/>
                      <w:color w:val="000000"/>
                      <w:sz w:val="20"/>
                      <w:szCs w:val="20"/>
                      <w:highlight w:val="black"/>
                    </w:rPr>
                    <w:t>''''''''''''''''''''''''</w:t>
                  </w:r>
                  <w:r w:rsidRPr="008154B1">
                    <w:rPr>
                      <w:rFonts w:ascii="Arial Narrow" w:eastAsia="Calibri" w:hAnsi="Arial Narrow" w:cs="Calibri"/>
                      <w:sz w:val="20"/>
                      <w:szCs w:val="20"/>
                    </w:rPr>
                    <w:t xml:space="preserve"> </w:t>
                  </w:r>
                </w:p>
              </w:tc>
              <w:tc>
                <w:tcPr>
                  <w:tcW w:w="654" w:type="pct"/>
                  <w:noWrap/>
                  <w:tcMar>
                    <w:top w:w="0" w:type="dxa"/>
                    <w:left w:w="108" w:type="dxa"/>
                    <w:bottom w:w="0" w:type="dxa"/>
                    <w:right w:w="108" w:type="dxa"/>
                  </w:tcMar>
                </w:tcPr>
                <w:p w:rsidR="00BA4531" w:rsidRPr="008154B1" w:rsidRDefault="00BA4531" w:rsidP="00BA4531">
                  <w:pPr>
                    <w:jc w:val="center"/>
                    <w:rPr>
                      <w:rFonts w:ascii="Arial Narrow" w:eastAsia="Calibri" w:hAnsi="Arial Narrow" w:cs="Calibri"/>
                      <w:sz w:val="20"/>
                      <w:szCs w:val="20"/>
                    </w:rPr>
                  </w:pPr>
                  <w:r w:rsidRPr="008154B1">
                    <w:rPr>
                      <w:rFonts w:ascii="Arial Narrow" w:eastAsia="Calibri" w:hAnsi="Arial Narrow" w:cs="Calibri"/>
                      <w:sz w:val="20"/>
                      <w:szCs w:val="20"/>
                    </w:rPr>
                    <w:t>$</w:t>
                  </w:r>
                  <w:r w:rsidR="005E18BF">
                    <w:rPr>
                      <w:rFonts w:ascii="Arial Narrow" w:eastAsia="Calibri" w:hAnsi="Arial Narrow" w:cs="Calibri"/>
                      <w:noProof/>
                      <w:color w:val="000000"/>
                      <w:sz w:val="20"/>
                      <w:szCs w:val="20"/>
                      <w:highlight w:val="black"/>
                    </w:rPr>
                    <w:t>''''''''''''''''''''''</w:t>
                  </w:r>
                  <w:r w:rsidRPr="008154B1">
                    <w:rPr>
                      <w:rFonts w:ascii="Arial Narrow" w:eastAsia="Calibri" w:hAnsi="Arial Narrow" w:cs="Calibri"/>
                      <w:sz w:val="20"/>
                      <w:szCs w:val="20"/>
                    </w:rPr>
                    <w:t xml:space="preserve"> </w:t>
                  </w:r>
                </w:p>
              </w:tc>
              <w:tc>
                <w:tcPr>
                  <w:tcW w:w="654" w:type="pct"/>
                  <w:noWrap/>
                  <w:tcMar>
                    <w:top w:w="0" w:type="dxa"/>
                    <w:left w:w="108" w:type="dxa"/>
                    <w:bottom w:w="0" w:type="dxa"/>
                    <w:right w:w="108" w:type="dxa"/>
                  </w:tcMar>
                </w:tcPr>
                <w:p w:rsidR="00BA4531" w:rsidRPr="008154B1" w:rsidRDefault="00BA4531" w:rsidP="00BA4531">
                  <w:pPr>
                    <w:jc w:val="center"/>
                    <w:rPr>
                      <w:rFonts w:ascii="Arial Narrow" w:eastAsia="Calibri" w:hAnsi="Arial Narrow" w:cs="Calibri"/>
                      <w:sz w:val="20"/>
                      <w:szCs w:val="20"/>
                    </w:rPr>
                  </w:pPr>
                  <w:r w:rsidRPr="008154B1">
                    <w:rPr>
                      <w:rFonts w:ascii="Arial Narrow" w:eastAsia="Calibri" w:hAnsi="Arial Narrow" w:cs="Calibri"/>
                      <w:sz w:val="20"/>
                      <w:szCs w:val="20"/>
                    </w:rPr>
                    <w:t>$</w:t>
                  </w:r>
                  <w:r w:rsidR="005E18BF">
                    <w:rPr>
                      <w:rFonts w:ascii="Arial Narrow" w:eastAsia="Calibri" w:hAnsi="Arial Narrow" w:cs="Calibri"/>
                      <w:noProof/>
                      <w:color w:val="000000"/>
                      <w:sz w:val="20"/>
                      <w:szCs w:val="20"/>
                      <w:highlight w:val="black"/>
                    </w:rPr>
                    <w:t>'''''''''''''''''''''''''</w:t>
                  </w:r>
                  <w:r w:rsidRPr="008154B1">
                    <w:rPr>
                      <w:rFonts w:ascii="Arial Narrow" w:eastAsia="Calibri" w:hAnsi="Arial Narrow" w:cs="Calibri"/>
                      <w:sz w:val="20"/>
                      <w:szCs w:val="20"/>
                    </w:rPr>
                    <w:t xml:space="preserve"> </w:t>
                  </w:r>
                </w:p>
              </w:tc>
            </w:tr>
            <w:tr w:rsidR="00BA4531" w:rsidRPr="008154B1" w:rsidTr="00BA4531">
              <w:trPr>
                <w:trHeight w:val="290"/>
              </w:trPr>
              <w:tc>
                <w:tcPr>
                  <w:tcW w:w="5000" w:type="pct"/>
                  <w:gridSpan w:val="5"/>
                  <w:shd w:val="clear" w:color="auto" w:fill="auto"/>
                  <w:noWrap/>
                  <w:tcMar>
                    <w:top w:w="0" w:type="dxa"/>
                    <w:left w:w="108" w:type="dxa"/>
                    <w:bottom w:w="0" w:type="dxa"/>
                    <w:right w:w="108" w:type="dxa"/>
                  </w:tcMar>
                  <w:vAlign w:val="center"/>
                  <w:hideMark/>
                </w:tcPr>
                <w:p w:rsidR="00BA4531" w:rsidRPr="008154B1" w:rsidRDefault="00BA4531" w:rsidP="00BA4531">
                  <w:pPr>
                    <w:jc w:val="left"/>
                    <w:rPr>
                      <w:rFonts w:ascii="Arial Narrow" w:eastAsia="Calibri" w:hAnsi="Arial Narrow" w:cs="Calibri"/>
                      <w:sz w:val="20"/>
                      <w:szCs w:val="20"/>
                    </w:rPr>
                  </w:pPr>
                  <w:r w:rsidRPr="008154B1">
                    <w:rPr>
                      <w:rFonts w:ascii="Arial Narrow" w:eastAsia="Calibri" w:hAnsi="Arial Narrow" w:cs="Calibri"/>
                      <w:b/>
                      <w:bCs/>
                      <w:sz w:val="20"/>
                      <w:szCs w:val="20"/>
                    </w:rPr>
                    <w:t>Above Tier 1</w:t>
                  </w:r>
                </w:p>
              </w:tc>
            </w:tr>
            <w:tr w:rsidR="00BA4531" w:rsidRPr="008154B1" w:rsidTr="00BA4531">
              <w:trPr>
                <w:trHeight w:val="290"/>
              </w:trPr>
              <w:tc>
                <w:tcPr>
                  <w:tcW w:w="2384" w:type="pct"/>
                  <w:noWrap/>
                  <w:tcMar>
                    <w:top w:w="0" w:type="dxa"/>
                    <w:left w:w="108" w:type="dxa"/>
                    <w:bottom w:w="0" w:type="dxa"/>
                    <w:right w:w="108" w:type="dxa"/>
                  </w:tcMar>
                  <w:vAlign w:val="center"/>
                  <w:hideMark/>
                </w:tcPr>
                <w:p w:rsidR="00BA4531" w:rsidRPr="008154B1" w:rsidRDefault="00BA4531" w:rsidP="00A342DE">
                  <w:pPr>
                    <w:jc w:val="left"/>
                    <w:rPr>
                      <w:rFonts w:ascii="Arial Narrow" w:eastAsia="Calibri" w:hAnsi="Arial Narrow" w:cs="Calibri"/>
                      <w:sz w:val="20"/>
                      <w:szCs w:val="20"/>
                    </w:rPr>
                  </w:pPr>
                  <w:r w:rsidRPr="008154B1">
                    <w:rPr>
                      <w:rFonts w:ascii="Arial Narrow" w:eastAsia="Calibri" w:hAnsi="Arial Narrow" w:cs="Calibri"/>
                      <w:sz w:val="20"/>
                      <w:szCs w:val="20"/>
                    </w:rPr>
                    <w:t xml:space="preserve">Patients who switch from SOC - </w:t>
                  </w:r>
                  <w:r w:rsidR="00A342DE" w:rsidRPr="008154B1">
                    <w:rPr>
                      <w:rFonts w:ascii="Arial Narrow" w:eastAsia="Calibri" w:hAnsi="Arial Narrow" w:cs="Calibri"/>
                      <w:sz w:val="20"/>
                      <w:szCs w:val="20"/>
                    </w:rPr>
                    <w:t>p</w:t>
                  </w:r>
                  <w:r w:rsidRPr="008154B1">
                    <w:rPr>
                      <w:rFonts w:ascii="Arial Narrow" w:eastAsia="Calibri" w:hAnsi="Arial Narrow" w:cs="Calibri"/>
                      <w:sz w:val="20"/>
                      <w:szCs w:val="20"/>
                    </w:rPr>
                    <w:t>revalent in Year 2 onwards</w:t>
                  </w:r>
                </w:p>
              </w:tc>
              <w:tc>
                <w:tcPr>
                  <w:tcW w:w="654" w:type="pct"/>
                  <w:noWrap/>
                  <w:tcMar>
                    <w:top w:w="0" w:type="dxa"/>
                    <w:left w:w="108" w:type="dxa"/>
                    <w:bottom w:w="0" w:type="dxa"/>
                    <w:right w:w="108" w:type="dxa"/>
                  </w:tcMar>
                  <w:vAlign w:val="center"/>
                  <w:hideMark/>
                </w:tcPr>
                <w:p w:rsidR="00BA4531" w:rsidRPr="005E18BF" w:rsidRDefault="005E18BF" w:rsidP="00BA4531">
                  <w:pPr>
                    <w:jc w:val="center"/>
                    <w:rPr>
                      <w:rFonts w:ascii="Arial Narrow" w:eastAsia="Calibri" w:hAnsi="Arial Narrow" w:cs="Calibri"/>
                      <w:sz w:val="20"/>
                      <w:szCs w:val="20"/>
                      <w:highlight w:val="black"/>
                    </w:rPr>
                  </w:pPr>
                  <w:r>
                    <w:rPr>
                      <w:rFonts w:ascii="Arial Narrow" w:eastAsia="Calibri" w:hAnsi="Arial Narrow" w:cs="Calibri"/>
                      <w:noProof/>
                      <w:color w:val="000000"/>
                      <w:sz w:val="20"/>
                      <w:szCs w:val="20"/>
                      <w:highlight w:val="black"/>
                    </w:rPr>
                    <w:t>''''</w:t>
                  </w:r>
                </w:p>
              </w:tc>
              <w:tc>
                <w:tcPr>
                  <w:tcW w:w="654" w:type="pct"/>
                  <w:noWrap/>
                  <w:tcMar>
                    <w:top w:w="0" w:type="dxa"/>
                    <w:left w:w="108" w:type="dxa"/>
                    <w:bottom w:w="0" w:type="dxa"/>
                    <w:right w:w="108" w:type="dxa"/>
                  </w:tcMar>
                  <w:vAlign w:val="center"/>
                  <w:hideMark/>
                </w:tcPr>
                <w:p w:rsidR="00BA4531" w:rsidRPr="005E18BF" w:rsidRDefault="005E18BF" w:rsidP="00BA4531">
                  <w:pPr>
                    <w:jc w:val="center"/>
                    <w:rPr>
                      <w:rFonts w:ascii="Arial Narrow" w:eastAsia="Calibri" w:hAnsi="Arial Narrow" w:cs="Calibri"/>
                      <w:sz w:val="20"/>
                      <w:szCs w:val="20"/>
                      <w:highlight w:val="black"/>
                    </w:rPr>
                  </w:pPr>
                  <w:r>
                    <w:rPr>
                      <w:rFonts w:ascii="Arial Narrow" w:eastAsia="Calibri" w:hAnsi="Arial Narrow" w:cs="Calibri"/>
                      <w:noProof/>
                      <w:color w:val="000000"/>
                      <w:sz w:val="20"/>
                      <w:szCs w:val="20"/>
                      <w:highlight w:val="black"/>
                    </w:rPr>
                    <w:t>'''''''</w:t>
                  </w:r>
                </w:p>
              </w:tc>
              <w:tc>
                <w:tcPr>
                  <w:tcW w:w="654" w:type="pct"/>
                  <w:noWrap/>
                  <w:tcMar>
                    <w:top w:w="0" w:type="dxa"/>
                    <w:left w:w="108" w:type="dxa"/>
                    <w:bottom w:w="0" w:type="dxa"/>
                    <w:right w:w="108" w:type="dxa"/>
                  </w:tcMar>
                  <w:vAlign w:val="center"/>
                  <w:hideMark/>
                </w:tcPr>
                <w:p w:rsidR="00BA4531" w:rsidRPr="005E18BF" w:rsidRDefault="005E18BF" w:rsidP="00BA4531">
                  <w:pPr>
                    <w:jc w:val="center"/>
                    <w:rPr>
                      <w:rFonts w:ascii="Arial Narrow" w:eastAsia="Calibri" w:hAnsi="Arial Narrow" w:cs="Calibri"/>
                      <w:sz w:val="20"/>
                      <w:szCs w:val="20"/>
                      <w:highlight w:val="black"/>
                    </w:rPr>
                  </w:pPr>
                  <w:r>
                    <w:rPr>
                      <w:rFonts w:ascii="Arial Narrow" w:eastAsia="Calibri" w:hAnsi="Arial Narrow" w:cs="Calibri"/>
                      <w:noProof/>
                      <w:color w:val="000000"/>
                      <w:sz w:val="20"/>
                      <w:szCs w:val="20"/>
                      <w:highlight w:val="black"/>
                    </w:rPr>
                    <w:t>'''''''</w:t>
                  </w:r>
                </w:p>
              </w:tc>
              <w:tc>
                <w:tcPr>
                  <w:tcW w:w="654" w:type="pct"/>
                  <w:noWrap/>
                  <w:tcMar>
                    <w:top w:w="0" w:type="dxa"/>
                    <w:left w:w="108" w:type="dxa"/>
                    <w:bottom w:w="0" w:type="dxa"/>
                    <w:right w:w="108" w:type="dxa"/>
                  </w:tcMar>
                  <w:vAlign w:val="center"/>
                  <w:hideMark/>
                </w:tcPr>
                <w:p w:rsidR="00BA4531" w:rsidRPr="005E18BF" w:rsidRDefault="005E18BF" w:rsidP="00BA4531">
                  <w:pPr>
                    <w:jc w:val="center"/>
                    <w:rPr>
                      <w:rFonts w:ascii="Arial Narrow" w:eastAsia="Calibri" w:hAnsi="Arial Narrow" w:cs="Calibri"/>
                      <w:sz w:val="20"/>
                      <w:szCs w:val="20"/>
                      <w:highlight w:val="black"/>
                    </w:rPr>
                  </w:pPr>
                  <w:r>
                    <w:rPr>
                      <w:rFonts w:ascii="Arial Narrow" w:eastAsia="Calibri" w:hAnsi="Arial Narrow" w:cs="Calibri"/>
                      <w:noProof/>
                      <w:color w:val="000000"/>
                      <w:sz w:val="20"/>
                      <w:szCs w:val="20"/>
                      <w:highlight w:val="black"/>
                    </w:rPr>
                    <w:t>'''''''</w:t>
                  </w:r>
                </w:p>
              </w:tc>
            </w:tr>
            <w:tr w:rsidR="00BA4531" w:rsidRPr="008154B1" w:rsidTr="00BA4531">
              <w:trPr>
                <w:trHeight w:val="290"/>
              </w:trPr>
              <w:tc>
                <w:tcPr>
                  <w:tcW w:w="2384" w:type="pct"/>
                  <w:noWrap/>
                  <w:tcMar>
                    <w:top w:w="0" w:type="dxa"/>
                    <w:left w:w="108" w:type="dxa"/>
                    <w:bottom w:w="0" w:type="dxa"/>
                    <w:right w:w="108" w:type="dxa"/>
                  </w:tcMar>
                  <w:vAlign w:val="center"/>
                </w:tcPr>
                <w:p w:rsidR="00BA4531" w:rsidRPr="008154B1" w:rsidRDefault="00BA4531" w:rsidP="00BA4531">
                  <w:pPr>
                    <w:jc w:val="left"/>
                    <w:rPr>
                      <w:rFonts w:ascii="Arial Narrow" w:eastAsia="Calibri" w:hAnsi="Arial Narrow" w:cs="Calibri"/>
                      <w:sz w:val="20"/>
                      <w:szCs w:val="20"/>
                    </w:rPr>
                  </w:pPr>
                  <w:r w:rsidRPr="008154B1">
                    <w:rPr>
                      <w:rFonts w:ascii="Arial Narrow" w:eastAsia="Calibri" w:hAnsi="Arial Narrow" w:cs="Calibri"/>
                      <w:sz w:val="20"/>
                      <w:szCs w:val="20"/>
                    </w:rPr>
                    <w:t xml:space="preserve">Cost with </w:t>
                  </w:r>
                  <w:r w:rsidR="005E18BF">
                    <w:rPr>
                      <w:rFonts w:ascii="Arial Narrow" w:eastAsia="Calibri" w:hAnsi="Arial Narrow" w:cs="Calibri"/>
                      <w:noProof/>
                      <w:color w:val="000000"/>
                      <w:sz w:val="20"/>
                      <w:szCs w:val="20"/>
                      <w:highlight w:val="black"/>
                    </w:rPr>
                    <w:t>'''''''</w:t>
                  </w:r>
                  <w:r w:rsidRPr="008154B1">
                    <w:rPr>
                      <w:rFonts w:ascii="Arial Narrow" w:eastAsia="Calibri" w:hAnsi="Arial Narrow" w:cs="Calibri"/>
                      <w:sz w:val="20"/>
                      <w:szCs w:val="20"/>
                    </w:rPr>
                    <w:t>% rebate</w:t>
                  </w:r>
                </w:p>
              </w:tc>
              <w:tc>
                <w:tcPr>
                  <w:tcW w:w="654" w:type="pct"/>
                  <w:noWrap/>
                  <w:tcMar>
                    <w:top w:w="0" w:type="dxa"/>
                    <w:left w:w="108" w:type="dxa"/>
                    <w:bottom w:w="0" w:type="dxa"/>
                    <w:right w:w="108" w:type="dxa"/>
                  </w:tcMar>
                  <w:vAlign w:val="center"/>
                </w:tcPr>
                <w:p w:rsidR="00BA4531" w:rsidRPr="005E18BF" w:rsidRDefault="005E18BF" w:rsidP="00BA4531">
                  <w:pPr>
                    <w:jc w:val="center"/>
                    <w:rPr>
                      <w:rFonts w:ascii="Arial Narrow" w:eastAsia="Calibri" w:hAnsi="Arial Narrow" w:cs="Calibri"/>
                      <w:sz w:val="20"/>
                      <w:szCs w:val="20"/>
                      <w:highlight w:val="black"/>
                    </w:rPr>
                  </w:pPr>
                  <w:r>
                    <w:rPr>
                      <w:rFonts w:ascii="Arial Narrow" w:eastAsia="Calibri" w:hAnsi="Arial Narrow" w:cs="Calibri"/>
                      <w:noProof/>
                      <w:color w:val="000000"/>
                      <w:sz w:val="20"/>
                      <w:szCs w:val="20"/>
                      <w:highlight w:val="black"/>
                    </w:rPr>
                    <w:t>''''</w:t>
                  </w:r>
                </w:p>
              </w:tc>
              <w:tc>
                <w:tcPr>
                  <w:tcW w:w="654" w:type="pct"/>
                  <w:noWrap/>
                  <w:tcMar>
                    <w:top w:w="0" w:type="dxa"/>
                    <w:left w:w="108" w:type="dxa"/>
                    <w:bottom w:w="0" w:type="dxa"/>
                    <w:right w:w="108" w:type="dxa"/>
                  </w:tcMar>
                  <w:vAlign w:val="center"/>
                </w:tcPr>
                <w:p w:rsidR="00BA4531" w:rsidRPr="008154B1" w:rsidRDefault="00BA4531" w:rsidP="00BA4531">
                  <w:pPr>
                    <w:jc w:val="center"/>
                    <w:rPr>
                      <w:rFonts w:ascii="Arial Narrow" w:eastAsia="Calibri" w:hAnsi="Arial Narrow" w:cs="Calibri"/>
                      <w:sz w:val="20"/>
                      <w:szCs w:val="20"/>
                    </w:rPr>
                  </w:pPr>
                  <w:r w:rsidRPr="008154B1">
                    <w:rPr>
                      <w:rFonts w:ascii="Arial Narrow" w:eastAsia="Calibri" w:hAnsi="Arial Narrow" w:cs="Calibri"/>
                      <w:sz w:val="20"/>
                      <w:szCs w:val="20"/>
                    </w:rPr>
                    <w:t>$</w:t>
                  </w:r>
                  <w:r w:rsidR="005E18BF">
                    <w:rPr>
                      <w:rFonts w:ascii="Arial Narrow" w:eastAsia="Calibri" w:hAnsi="Arial Narrow" w:cs="Calibri"/>
                      <w:noProof/>
                      <w:color w:val="000000"/>
                      <w:sz w:val="20"/>
                      <w:szCs w:val="20"/>
                      <w:highlight w:val="black"/>
                    </w:rPr>
                    <w:t>''''''''''''''''''''''</w:t>
                  </w:r>
                </w:p>
              </w:tc>
              <w:tc>
                <w:tcPr>
                  <w:tcW w:w="654" w:type="pct"/>
                  <w:noWrap/>
                  <w:tcMar>
                    <w:top w:w="0" w:type="dxa"/>
                    <w:left w:w="108" w:type="dxa"/>
                    <w:bottom w:w="0" w:type="dxa"/>
                    <w:right w:w="108" w:type="dxa"/>
                  </w:tcMar>
                  <w:vAlign w:val="center"/>
                </w:tcPr>
                <w:p w:rsidR="00BA4531" w:rsidRPr="008154B1" w:rsidRDefault="00BA4531" w:rsidP="00BA4531">
                  <w:pPr>
                    <w:jc w:val="center"/>
                    <w:rPr>
                      <w:rFonts w:ascii="Arial Narrow" w:eastAsia="Calibri" w:hAnsi="Arial Narrow" w:cs="Calibri"/>
                      <w:sz w:val="20"/>
                      <w:szCs w:val="20"/>
                    </w:rPr>
                  </w:pPr>
                  <w:r w:rsidRPr="008154B1">
                    <w:rPr>
                      <w:rFonts w:ascii="Arial Narrow" w:eastAsia="Calibri" w:hAnsi="Arial Narrow" w:cs="Calibri"/>
                      <w:sz w:val="20"/>
                      <w:szCs w:val="20"/>
                    </w:rPr>
                    <w:t>$</w:t>
                  </w:r>
                  <w:r w:rsidR="005E18BF">
                    <w:rPr>
                      <w:rFonts w:ascii="Arial Narrow" w:eastAsia="Calibri" w:hAnsi="Arial Narrow" w:cs="Calibri"/>
                      <w:noProof/>
                      <w:color w:val="000000"/>
                      <w:sz w:val="20"/>
                      <w:szCs w:val="20"/>
                      <w:highlight w:val="black"/>
                    </w:rPr>
                    <w:t>'''''''''''''''''''''''</w:t>
                  </w:r>
                </w:p>
              </w:tc>
              <w:tc>
                <w:tcPr>
                  <w:tcW w:w="654" w:type="pct"/>
                  <w:noWrap/>
                  <w:tcMar>
                    <w:top w:w="0" w:type="dxa"/>
                    <w:left w:w="108" w:type="dxa"/>
                    <w:bottom w:w="0" w:type="dxa"/>
                    <w:right w:w="108" w:type="dxa"/>
                  </w:tcMar>
                  <w:vAlign w:val="center"/>
                </w:tcPr>
                <w:p w:rsidR="00BA4531" w:rsidRPr="008154B1" w:rsidRDefault="00BA4531" w:rsidP="00BA4531">
                  <w:pPr>
                    <w:jc w:val="center"/>
                    <w:rPr>
                      <w:rFonts w:ascii="Arial Narrow" w:eastAsia="Calibri" w:hAnsi="Arial Narrow" w:cs="Calibri"/>
                      <w:sz w:val="20"/>
                      <w:szCs w:val="20"/>
                    </w:rPr>
                  </w:pPr>
                  <w:r w:rsidRPr="008154B1">
                    <w:rPr>
                      <w:rFonts w:ascii="Arial Narrow" w:eastAsia="Calibri" w:hAnsi="Arial Narrow" w:cs="Calibri"/>
                      <w:sz w:val="20"/>
                      <w:szCs w:val="20"/>
                    </w:rPr>
                    <w:t>$</w:t>
                  </w:r>
                  <w:r w:rsidR="005E18BF">
                    <w:rPr>
                      <w:rFonts w:ascii="Arial Narrow" w:eastAsia="Calibri" w:hAnsi="Arial Narrow" w:cs="Calibri"/>
                      <w:noProof/>
                      <w:color w:val="000000"/>
                      <w:sz w:val="20"/>
                      <w:szCs w:val="20"/>
                      <w:highlight w:val="black"/>
                    </w:rPr>
                    <w:t>'''''''''''''''''''''''</w:t>
                  </w:r>
                </w:p>
              </w:tc>
            </w:tr>
            <w:tr w:rsidR="00BA4531" w:rsidRPr="008154B1" w:rsidTr="00BA4531">
              <w:trPr>
                <w:trHeight w:val="290"/>
              </w:trPr>
              <w:tc>
                <w:tcPr>
                  <w:tcW w:w="5000" w:type="pct"/>
                  <w:gridSpan w:val="5"/>
                  <w:shd w:val="clear" w:color="auto" w:fill="auto"/>
                  <w:noWrap/>
                  <w:tcMar>
                    <w:top w:w="0" w:type="dxa"/>
                    <w:left w:w="108" w:type="dxa"/>
                    <w:bottom w:w="0" w:type="dxa"/>
                    <w:right w:w="108" w:type="dxa"/>
                  </w:tcMar>
                  <w:vAlign w:val="center"/>
                  <w:hideMark/>
                </w:tcPr>
                <w:p w:rsidR="00BA4531" w:rsidRPr="008154B1" w:rsidRDefault="00BA4531" w:rsidP="00BA4531">
                  <w:pPr>
                    <w:jc w:val="left"/>
                    <w:rPr>
                      <w:rFonts w:ascii="Arial Narrow" w:eastAsia="Calibri" w:hAnsi="Arial Narrow" w:cs="Calibri"/>
                      <w:sz w:val="20"/>
                      <w:szCs w:val="20"/>
                    </w:rPr>
                  </w:pPr>
                  <w:r w:rsidRPr="008154B1">
                    <w:rPr>
                      <w:rFonts w:ascii="Arial Narrow" w:eastAsia="Calibri" w:hAnsi="Arial Narrow" w:cs="Calibri"/>
                      <w:b/>
                      <w:bCs/>
                      <w:sz w:val="20"/>
                      <w:szCs w:val="20"/>
                    </w:rPr>
                    <w:t xml:space="preserve">Combined </w:t>
                  </w:r>
                </w:p>
              </w:tc>
            </w:tr>
            <w:tr w:rsidR="00BA4531" w:rsidRPr="008154B1" w:rsidTr="00BA4531">
              <w:trPr>
                <w:trHeight w:val="290"/>
              </w:trPr>
              <w:tc>
                <w:tcPr>
                  <w:tcW w:w="2384" w:type="pct"/>
                  <w:noWrap/>
                  <w:tcMar>
                    <w:top w:w="0" w:type="dxa"/>
                    <w:left w:w="108" w:type="dxa"/>
                    <w:bottom w:w="0" w:type="dxa"/>
                    <w:right w:w="108" w:type="dxa"/>
                  </w:tcMar>
                  <w:vAlign w:val="center"/>
                  <w:hideMark/>
                </w:tcPr>
                <w:p w:rsidR="00BA4531" w:rsidRPr="008154B1" w:rsidRDefault="00BA4531" w:rsidP="00BA4531">
                  <w:pPr>
                    <w:jc w:val="left"/>
                    <w:rPr>
                      <w:rFonts w:ascii="Arial Narrow" w:eastAsia="Calibri" w:hAnsi="Arial Narrow" w:cs="Calibri"/>
                      <w:sz w:val="20"/>
                      <w:szCs w:val="20"/>
                    </w:rPr>
                  </w:pPr>
                  <w:r w:rsidRPr="008154B1">
                    <w:rPr>
                      <w:rFonts w:ascii="Arial Narrow" w:eastAsia="Calibri" w:hAnsi="Arial Narrow" w:cs="Calibri"/>
                      <w:sz w:val="20"/>
                      <w:szCs w:val="20"/>
                    </w:rPr>
                    <w:t>Total patients</w:t>
                  </w:r>
                </w:p>
              </w:tc>
              <w:tc>
                <w:tcPr>
                  <w:tcW w:w="654" w:type="pct"/>
                  <w:noWrap/>
                  <w:tcMar>
                    <w:top w:w="0" w:type="dxa"/>
                    <w:left w:w="108" w:type="dxa"/>
                    <w:bottom w:w="0" w:type="dxa"/>
                    <w:right w:w="108" w:type="dxa"/>
                  </w:tcMar>
                  <w:vAlign w:val="center"/>
                  <w:hideMark/>
                </w:tcPr>
                <w:p w:rsidR="00BA4531" w:rsidRPr="005E18BF" w:rsidRDefault="005E18BF" w:rsidP="00BA4531">
                  <w:pPr>
                    <w:jc w:val="center"/>
                    <w:rPr>
                      <w:rFonts w:ascii="Arial Narrow" w:eastAsia="Calibri" w:hAnsi="Arial Narrow" w:cs="Calibri"/>
                      <w:sz w:val="20"/>
                      <w:szCs w:val="20"/>
                      <w:highlight w:val="black"/>
                    </w:rPr>
                  </w:pPr>
                  <w:r>
                    <w:rPr>
                      <w:rFonts w:ascii="Arial Narrow" w:eastAsia="Calibri" w:hAnsi="Arial Narrow" w:cs="Calibri"/>
                      <w:noProof/>
                      <w:color w:val="000000"/>
                      <w:sz w:val="20"/>
                      <w:szCs w:val="20"/>
                      <w:highlight w:val="black"/>
                    </w:rPr>
                    <w:t>''''''</w:t>
                  </w:r>
                </w:p>
              </w:tc>
              <w:tc>
                <w:tcPr>
                  <w:tcW w:w="654" w:type="pct"/>
                  <w:noWrap/>
                  <w:tcMar>
                    <w:top w:w="0" w:type="dxa"/>
                    <w:left w:w="108" w:type="dxa"/>
                    <w:bottom w:w="0" w:type="dxa"/>
                    <w:right w:w="108" w:type="dxa"/>
                  </w:tcMar>
                  <w:vAlign w:val="center"/>
                  <w:hideMark/>
                </w:tcPr>
                <w:p w:rsidR="00BA4531" w:rsidRPr="005E18BF" w:rsidRDefault="005E18BF" w:rsidP="00BA4531">
                  <w:pPr>
                    <w:jc w:val="center"/>
                    <w:rPr>
                      <w:rFonts w:ascii="Arial Narrow" w:eastAsia="Calibri" w:hAnsi="Arial Narrow" w:cs="Calibri"/>
                      <w:sz w:val="20"/>
                      <w:szCs w:val="20"/>
                      <w:highlight w:val="black"/>
                    </w:rPr>
                  </w:pPr>
                  <w:r>
                    <w:rPr>
                      <w:rFonts w:ascii="Arial Narrow" w:eastAsia="Calibri" w:hAnsi="Arial Narrow" w:cs="Calibri"/>
                      <w:noProof/>
                      <w:color w:val="000000"/>
                      <w:sz w:val="20"/>
                      <w:szCs w:val="20"/>
                      <w:highlight w:val="black"/>
                    </w:rPr>
                    <w:t>''''''</w:t>
                  </w:r>
                </w:p>
              </w:tc>
              <w:tc>
                <w:tcPr>
                  <w:tcW w:w="654" w:type="pct"/>
                  <w:noWrap/>
                  <w:tcMar>
                    <w:top w:w="0" w:type="dxa"/>
                    <w:left w:w="108" w:type="dxa"/>
                    <w:bottom w:w="0" w:type="dxa"/>
                    <w:right w:w="108" w:type="dxa"/>
                  </w:tcMar>
                  <w:vAlign w:val="center"/>
                  <w:hideMark/>
                </w:tcPr>
                <w:p w:rsidR="00BA4531" w:rsidRPr="005E18BF" w:rsidRDefault="005E18BF" w:rsidP="00BA4531">
                  <w:pPr>
                    <w:jc w:val="center"/>
                    <w:rPr>
                      <w:rFonts w:ascii="Arial Narrow" w:eastAsia="Calibri" w:hAnsi="Arial Narrow" w:cs="Calibri"/>
                      <w:sz w:val="20"/>
                      <w:szCs w:val="20"/>
                      <w:highlight w:val="black"/>
                    </w:rPr>
                  </w:pPr>
                  <w:r>
                    <w:rPr>
                      <w:rFonts w:ascii="Arial Narrow" w:eastAsia="Calibri" w:hAnsi="Arial Narrow" w:cs="Calibri"/>
                      <w:noProof/>
                      <w:color w:val="000000"/>
                      <w:sz w:val="20"/>
                      <w:szCs w:val="20"/>
                      <w:highlight w:val="black"/>
                    </w:rPr>
                    <w:t>''''''</w:t>
                  </w:r>
                </w:p>
              </w:tc>
              <w:tc>
                <w:tcPr>
                  <w:tcW w:w="654" w:type="pct"/>
                  <w:noWrap/>
                  <w:tcMar>
                    <w:top w:w="0" w:type="dxa"/>
                    <w:left w:w="108" w:type="dxa"/>
                    <w:bottom w:w="0" w:type="dxa"/>
                    <w:right w:w="108" w:type="dxa"/>
                  </w:tcMar>
                  <w:vAlign w:val="center"/>
                  <w:hideMark/>
                </w:tcPr>
                <w:p w:rsidR="00BA4531" w:rsidRPr="005E18BF" w:rsidRDefault="005E18BF" w:rsidP="00BA4531">
                  <w:pPr>
                    <w:jc w:val="center"/>
                    <w:rPr>
                      <w:rFonts w:ascii="Arial Narrow" w:eastAsia="Calibri" w:hAnsi="Arial Narrow" w:cs="Calibri"/>
                      <w:sz w:val="20"/>
                      <w:szCs w:val="20"/>
                      <w:highlight w:val="black"/>
                    </w:rPr>
                  </w:pPr>
                  <w:r>
                    <w:rPr>
                      <w:rFonts w:ascii="Arial Narrow" w:eastAsia="Calibri" w:hAnsi="Arial Narrow" w:cs="Calibri"/>
                      <w:noProof/>
                      <w:color w:val="000000"/>
                      <w:sz w:val="20"/>
                      <w:szCs w:val="20"/>
                      <w:highlight w:val="black"/>
                    </w:rPr>
                    <w:t>''''''</w:t>
                  </w:r>
                </w:p>
              </w:tc>
            </w:tr>
            <w:tr w:rsidR="00BA4531" w:rsidRPr="008154B1" w:rsidTr="00BA4531">
              <w:trPr>
                <w:trHeight w:val="290"/>
              </w:trPr>
              <w:tc>
                <w:tcPr>
                  <w:tcW w:w="2384" w:type="pct"/>
                  <w:noWrap/>
                  <w:tcMar>
                    <w:top w:w="0" w:type="dxa"/>
                    <w:left w:w="108" w:type="dxa"/>
                    <w:bottom w:w="0" w:type="dxa"/>
                    <w:right w:w="108" w:type="dxa"/>
                  </w:tcMar>
                  <w:vAlign w:val="center"/>
                  <w:hideMark/>
                </w:tcPr>
                <w:p w:rsidR="00BA4531" w:rsidRPr="008154B1" w:rsidRDefault="00BA4531" w:rsidP="00BA4531">
                  <w:pPr>
                    <w:jc w:val="left"/>
                    <w:rPr>
                      <w:rFonts w:ascii="Arial Narrow" w:eastAsia="Calibri" w:hAnsi="Arial Narrow" w:cs="Calibri"/>
                      <w:sz w:val="20"/>
                      <w:szCs w:val="20"/>
                    </w:rPr>
                  </w:pPr>
                  <w:r w:rsidRPr="008154B1">
                    <w:rPr>
                      <w:rFonts w:ascii="Arial Narrow" w:eastAsia="Calibri" w:hAnsi="Arial Narrow" w:cs="Calibri"/>
                      <w:b/>
                      <w:bCs/>
                      <w:sz w:val="20"/>
                      <w:szCs w:val="20"/>
                    </w:rPr>
                    <w:t>Cost to PBS/RPBS</w:t>
                  </w:r>
                </w:p>
              </w:tc>
              <w:tc>
                <w:tcPr>
                  <w:tcW w:w="654" w:type="pct"/>
                  <w:noWrap/>
                  <w:tcMar>
                    <w:top w:w="0" w:type="dxa"/>
                    <w:left w:w="108" w:type="dxa"/>
                    <w:bottom w:w="0" w:type="dxa"/>
                    <w:right w:w="108" w:type="dxa"/>
                  </w:tcMar>
                  <w:vAlign w:val="center"/>
                  <w:hideMark/>
                </w:tcPr>
                <w:p w:rsidR="00BA4531" w:rsidRPr="008154B1" w:rsidRDefault="00BA4531" w:rsidP="00BA4531">
                  <w:pPr>
                    <w:jc w:val="center"/>
                    <w:rPr>
                      <w:rFonts w:ascii="Arial Narrow" w:eastAsia="Calibri" w:hAnsi="Arial Narrow" w:cs="Calibri"/>
                      <w:sz w:val="20"/>
                      <w:szCs w:val="20"/>
                    </w:rPr>
                  </w:pPr>
                  <w:r w:rsidRPr="008154B1">
                    <w:rPr>
                      <w:rFonts w:ascii="Arial Narrow" w:eastAsia="Calibri" w:hAnsi="Arial Narrow" w:cs="Calibri"/>
                      <w:sz w:val="20"/>
                      <w:szCs w:val="20"/>
                    </w:rPr>
                    <w:t>$</w:t>
                  </w:r>
                  <w:r w:rsidR="005E18BF">
                    <w:rPr>
                      <w:rFonts w:ascii="Arial Narrow" w:eastAsia="Calibri" w:hAnsi="Arial Narrow" w:cs="Calibri"/>
                      <w:noProof/>
                      <w:color w:val="000000"/>
                      <w:sz w:val="20"/>
                      <w:szCs w:val="20"/>
                      <w:highlight w:val="black"/>
                    </w:rPr>
                    <w:t>'''''''''''''''''''''''''</w:t>
                  </w:r>
                </w:p>
              </w:tc>
              <w:tc>
                <w:tcPr>
                  <w:tcW w:w="654" w:type="pct"/>
                  <w:noWrap/>
                  <w:tcMar>
                    <w:top w:w="0" w:type="dxa"/>
                    <w:left w:w="108" w:type="dxa"/>
                    <w:bottom w:w="0" w:type="dxa"/>
                    <w:right w:w="108" w:type="dxa"/>
                  </w:tcMar>
                  <w:vAlign w:val="center"/>
                  <w:hideMark/>
                </w:tcPr>
                <w:p w:rsidR="00BA4531" w:rsidRPr="008154B1" w:rsidRDefault="00BA4531" w:rsidP="00BA4531">
                  <w:pPr>
                    <w:jc w:val="center"/>
                    <w:rPr>
                      <w:rFonts w:ascii="Arial Narrow" w:eastAsia="Calibri" w:hAnsi="Arial Narrow" w:cs="Calibri"/>
                      <w:sz w:val="20"/>
                      <w:szCs w:val="20"/>
                    </w:rPr>
                  </w:pPr>
                  <w:r w:rsidRPr="008154B1">
                    <w:rPr>
                      <w:rFonts w:ascii="Arial Narrow" w:eastAsia="Calibri" w:hAnsi="Arial Narrow" w:cs="Calibri"/>
                      <w:sz w:val="20"/>
                      <w:szCs w:val="20"/>
                    </w:rPr>
                    <w:t>$</w:t>
                  </w:r>
                  <w:r w:rsidR="00D528D2">
                    <w:rPr>
                      <w:rFonts w:ascii="Arial Narrow" w:eastAsia="Calibri" w:hAnsi="Arial Narrow" w:cs="Calibri"/>
                      <w:noProof/>
                      <w:color w:val="000000"/>
                      <w:sz w:val="20"/>
                      <w:szCs w:val="20"/>
                      <w:highlight w:val="black"/>
                    </w:rPr>
                    <w:t>''''''''''''''''''''''''''</w:t>
                  </w:r>
                </w:p>
              </w:tc>
              <w:tc>
                <w:tcPr>
                  <w:tcW w:w="654" w:type="pct"/>
                  <w:noWrap/>
                  <w:tcMar>
                    <w:top w:w="0" w:type="dxa"/>
                    <w:left w:w="108" w:type="dxa"/>
                    <w:bottom w:w="0" w:type="dxa"/>
                    <w:right w:w="108" w:type="dxa"/>
                  </w:tcMar>
                  <w:vAlign w:val="center"/>
                  <w:hideMark/>
                </w:tcPr>
                <w:p w:rsidR="00BA4531" w:rsidRPr="008154B1" w:rsidRDefault="00BA4531" w:rsidP="00BA4531">
                  <w:pPr>
                    <w:jc w:val="center"/>
                    <w:rPr>
                      <w:rFonts w:ascii="Arial Narrow" w:eastAsia="Calibri" w:hAnsi="Arial Narrow" w:cs="Calibri"/>
                      <w:sz w:val="20"/>
                      <w:szCs w:val="20"/>
                    </w:rPr>
                  </w:pPr>
                  <w:r w:rsidRPr="008154B1">
                    <w:rPr>
                      <w:rFonts w:ascii="Arial Narrow" w:eastAsia="Calibri" w:hAnsi="Arial Narrow" w:cs="Calibri"/>
                      <w:sz w:val="20"/>
                      <w:szCs w:val="20"/>
                    </w:rPr>
                    <w:t>$</w:t>
                  </w:r>
                  <w:r w:rsidR="005E18BF">
                    <w:rPr>
                      <w:rFonts w:ascii="Arial Narrow" w:eastAsia="Calibri" w:hAnsi="Arial Narrow" w:cs="Calibri"/>
                      <w:noProof/>
                      <w:color w:val="000000"/>
                      <w:sz w:val="20"/>
                      <w:szCs w:val="20"/>
                      <w:highlight w:val="black"/>
                    </w:rPr>
                    <w:t>'''''''''''''''''''''''''''</w:t>
                  </w:r>
                </w:p>
              </w:tc>
              <w:tc>
                <w:tcPr>
                  <w:tcW w:w="654" w:type="pct"/>
                  <w:noWrap/>
                  <w:tcMar>
                    <w:top w:w="0" w:type="dxa"/>
                    <w:left w:w="108" w:type="dxa"/>
                    <w:bottom w:w="0" w:type="dxa"/>
                    <w:right w:w="108" w:type="dxa"/>
                  </w:tcMar>
                  <w:vAlign w:val="center"/>
                  <w:hideMark/>
                </w:tcPr>
                <w:p w:rsidR="00BA4531" w:rsidRPr="008154B1" w:rsidRDefault="00BA4531" w:rsidP="00BA4531">
                  <w:pPr>
                    <w:jc w:val="center"/>
                    <w:rPr>
                      <w:rFonts w:ascii="Arial Narrow" w:eastAsia="Calibri" w:hAnsi="Arial Narrow" w:cs="Calibri"/>
                      <w:sz w:val="20"/>
                      <w:szCs w:val="20"/>
                    </w:rPr>
                  </w:pPr>
                  <w:r w:rsidRPr="008154B1">
                    <w:rPr>
                      <w:rFonts w:ascii="Arial Narrow" w:eastAsia="Calibri" w:hAnsi="Arial Narrow" w:cs="Calibri"/>
                      <w:sz w:val="20"/>
                      <w:szCs w:val="20"/>
                    </w:rPr>
                    <w:t>$</w:t>
                  </w:r>
                  <w:r w:rsidR="005E18BF">
                    <w:rPr>
                      <w:rFonts w:ascii="Arial Narrow" w:eastAsia="Calibri" w:hAnsi="Arial Narrow" w:cs="Calibri"/>
                      <w:noProof/>
                      <w:color w:val="000000"/>
                      <w:sz w:val="20"/>
                      <w:szCs w:val="20"/>
                      <w:highlight w:val="black"/>
                    </w:rPr>
                    <w:t>''''''''''''''''''''''''''</w:t>
                  </w:r>
                </w:p>
              </w:tc>
            </w:tr>
            <w:tr w:rsidR="00BA4531" w:rsidRPr="008154B1" w:rsidTr="00305183">
              <w:trPr>
                <w:trHeight w:val="290"/>
              </w:trPr>
              <w:tc>
                <w:tcPr>
                  <w:tcW w:w="2384" w:type="pct"/>
                  <w:noWrap/>
                  <w:tcMar>
                    <w:top w:w="0" w:type="dxa"/>
                    <w:left w:w="108" w:type="dxa"/>
                    <w:bottom w:w="0" w:type="dxa"/>
                    <w:right w:w="108" w:type="dxa"/>
                  </w:tcMar>
                  <w:vAlign w:val="center"/>
                  <w:hideMark/>
                </w:tcPr>
                <w:p w:rsidR="00BA4531" w:rsidRPr="008154B1" w:rsidRDefault="00BA4531" w:rsidP="00BA4531">
                  <w:pPr>
                    <w:jc w:val="left"/>
                    <w:rPr>
                      <w:rFonts w:ascii="Arial Narrow" w:eastAsia="Calibri" w:hAnsi="Arial Narrow" w:cs="Calibri"/>
                      <w:sz w:val="20"/>
                      <w:szCs w:val="20"/>
                    </w:rPr>
                  </w:pPr>
                  <w:r w:rsidRPr="008154B1">
                    <w:rPr>
                      <w:rFonts w:ascii="Arial Narrow" w:eastAsia="Calibri" w:hAnsi="Arial Narrow" w:cs="Calibri"/>
                      <w:sz w:val="20"/>
                      <w:szCs w:val="20"/>
                    </w:rPr>
                    <w:t>Average cost per patient</w:t>
                  </w:r>
                </w:p>
              </w:tc>
              <w:tc>
                <w:tcPr>
                  <w:tcW w:w="654" w:type="pct"/>
                  <w:noWrap/>
                  <w:tcMar>
                    <w:top w:w="0" w:type="dxa"/>
                    <w:left w:w="108" w:type="dxa"/>
                    <w:bottom w:w="0" w:type="dxa"/>
                    <w:right w:w="108" w:type="dxa"/>
                  </w:tcMar>
                </w:tcPr>
                <w:p w:rsidR="00BA4531" w:rsidRPr="008154B1" w:rsidRDefault="00BA4531" w:rsidP="00BA4531">
                  <w:pPr>
                    <w:jc w:val="center"/>
                    <w:rPr>
                      <w:rFonts w:ascii="Arial Narrow" w:eastAsia="Calibri" w:hAnsi="Arial Narrow" w:cs="Calibri"/>
                      <w:sz w:val="20"/>
                      <w:szCs w:val="20"/>
                    </w:rPr>
                  </w:pPr>
                  <w:r w:rsidRPr="008154B1">
                    <w:rPr>
                      <w:rFonts w:ascii="Arial Narrow" w:eastAsia="Calibri" w:hAnsi="Arial Narrow" w:cs="Calibri"/>
                      <w:sz w:val="20"/>
                      <w:szCs w:val="20"/>
                    </w:rPr>
                    <w:t>$</w:t>
                  </w:r>
                  <w:r w:rsidR="005E18BF">
                    <w:rPr>
                      <w:rFonts w:ascii="Arial Narrow" w:eastAsia="Calibri" w:hAnsi="Arial Narrow" w:cs="Calibri"/>
                      <w:noProof/>
                      <w:color w:val="000000"/>
                      <w:sz w:val="20"/>
                      <w:szCs w:val="20"/>
                      <w:highlight w:val="black"/>
                    </w:rPr>
                    <w:t>'''''''''''''''''</w:t>
                  </w:r>
                  <w:r w:rsidRPr="008154B1">
                    <w:rPr>
                      <w:rFonts w:ascii="Arial Narrow" w:eastAsia="Calibri" w:hAnsi="Arial Narrow" w:cs="Calibri"/>
                      <w:sz w:val="20"/>
                      <w:szCs w:val="20"/>
                    </w:rPr>
                    <w:t xml:space="preserve"> </w:t>
                  </w:r>
                </w:p>
              </w:tc>
              <w:tc>
                <w:tcPr>
                  <w:tcW w:w="654" w:type="pct"/>
                  <w:noWrap/>
                  <w:tcMar>
                    <w:top w:w="0" w:type="dxa"/>
                    <w:left w:w="108" w:type="dxa"/>
                    <w:bottom w:w="0" w:type="dxa"/>
                    <w:right w:w="108" w:type="dxa"/>
                  </w:tcMar>
                </w:tcPr>
                <w:p w:rsidR="00BA4531" w:rsidRPr="008154B1" w:rsidRDefault="00BA4531" w:rsidP="00BA4531">
                  <w:pPr>
                    <w:jc w:val="center"/>
                    <w:rPr>
                      <w:rFonts w:ascii="Arial Narrow" w:eastAsia="Calibri" w:hAnsi="Arial Narrow" w:cs="Calibri"/>
                      <w:sz w:val="20"/>
                      <w:szCs w:val="20"/>
                    </w:rPr>
                  </w:pPr>
                  <w:r w:rsidRPr="008154B1">
                    <w:rPr>
                      <w:rFonts w:ascii="Arial Narrow" w:eastAsia="Calibri" w:hAnsi="Arial Narrow" w:cs="Calibri"/>
                      <w:sz w:val="20"/>
                      <w:szCs w:val="20"/>
                    </w:rPr>
                    <w:t>$</w:t>
                  </w:r>
                  <w:r w:rsidR="005E18BF">
                    <w:rPr>
                      <w:rFonts w:ascii="Arial Narrow" w:eastAsia="Calibri" w:hAnsi="Arial Narrow" w:cs="Calibri"/>
                      <w:noProof/>
                      <w:color w:val="000000"/>
                      <w:sz w:val="20"/>
                      <w:szCs w:val="20"/>
                      <w:highlight w:val="black"/>
                    </w:rPr>
                    <w:t>''''''''''''''''''''</w:t>
                  </w:r>
                  <w:r w:rsidRPr="008154B1">
                    <w:rPr>
                      <w:rFonts w:ascii="Arial Narrow" w:eastAsia="Calibri" w:hAnsi="Arial Narrow" w:cs="Calibri"/>
                      <w:sz w:val="20"/>
                      <w:szCs w:val="20"/>
                    </w:rPr>
                    <w:t xml:space="preserve"> </w:t>
                  </w:r>
                </w:p>
              </w:tc>
              <w:tc>
                <w:tcPr>
                  <w:tcW w:w="654" w:type="pct"/>
                  <w:noWrap/>
                  <w:tcMar>
                    <w:top w:w="0" w:type="dxa"/>
                    <w:left w:w="108" w:type="dxa"/>
                    <w:bottom w:w="0" w:type="dxa"/>
                    <w:right w:w="108" w:type="dxa"/>
                  </w:tcMar>
                </w:tcPr>
                <w:p w:rsidR="00BA4531" w:rsidRPr="008154B1" w:rsidRDefault="00BA4531" w:rsidP="00BA4531">
                  <w:pPr>
                    <w:jc w:val="center"/>
                    <w:rPr>
                      <w:rFonts w:ascii="Arial Narrow" w:eastAsia="Calibri" w:hAnsi="Arial Narrow" w:cs="Calibri"/>
                      <w:sz w:val="20"/>
                      <w:szCs w:val="20"/>
                    </w:rPr>
                  </w:pPr>
                  <w:r w:rsidRPr="008154B1">
                    <w:rPr>
                      <w:rFonts w:ascii="Arial Narrow" w:eastAsia="Calibri" w:hAnsi="Arial Narrow" w:cs="Calibri"/>
                      <w:sz w:val="20"/>
                      <w:szCs w:val="20"/>
                    </w:rPr>
                    <w:t>$</w:t>
                  </w:r>
                  <w:r w:rsidR="005E18BF">
                    <w:rPr>
                      <w:rFonts w:ascii="Arial Narrow" w:eastAsia="Calibri" w:hAnsi="Arial Narrow" w:cs="Calibri"/>
                      <w:noProof/>
                      <w:color w:val="000000"/>
                      <w:sz w:val="20"/>
                      <w:szCs w:val="20"/>
                      <w:highlight w:val="black"/>
                    </w:rPr>
                    <w:t>''''''''''''''''''</w:t>
                  </w:r>
                  <w:r w:rsidRPr="008154B1">
                    <w:rPr>
                      <w:rFonts w:ascii="Arial Narrow" w:eastAsia="Calibri" w:hAnsi="Arial Narrow" w:cs="Calibri"/>
                      <w:sz w:val="20"/>
                      <w:szCs w:val="20"/>
                    </w:rPr>
                    <w:t xml:space="preserve"> </w:t>
                  </w:r>
                </w:p>
              </w:tc>
              <w:tc>
                <w:tcPr>
                  <w:tcW w:w="654" w:type="pct"/>
                  <w:noWrap/>
                  <w:tcMar>
                    <w:top w:w="0" w:type="dxa"/>
                    <w:left w:w="108" w:type="dxa"/>
                    <w:bottom w:w="0" w:type="dxa"/>
                    <w:right w:w="108" w:type="dxa"/>
                  </w:tcMar>
                </w:tcPr>
                <w:p w:rsidR="00BA4531" w:rsidRPr="008154B1" w:rsidRDefault="00BA4531" w:rsidP="00BA4531">
                  <w:pPr>
                    <w:jc w:val="center"/>
                    <w:rPr>
                      <w:rFonts w:ascii="Arial Narrow" w:eastAsia="Calibri" w:hAnsi="Arial Narrow" w:cs="Calibri"/>
                      <w:sz w:val="20"/>
                      <w:szCs w:val="20"/>
                    </w:rPr>
                  </w:pPr>
                  <w:r w:rsidRPr="008154B1">
                    <w:rPr>
                      <w:rFonts w:ascii="Arial Narrow" w:eastAsia="Calibri" w:hAnsi="Arial Narrow" w:cs="Calibri"/>
                      <w:sz w:val="20"/>
                      <w:szCs w:val="20"/>
                    </w:rPr>
                    <w:t>$</w:t>
                  </w:r>
                  <w:r w:rsidR="005E18BF">
                    <w:rPr>
                      <w:rFonts w:ascii="Arial Narrow" w:eastAsia="Calibri" w:hAnsi="Arial Narrow" w:cs="Calibri"/>
                      <w:noProof/>
                      <w:color w:val="000000"/>
                      <w:sz w:val="20"/>
                      <w:szCs w:val="20"/>
                      <w:highlight w:val="black"/>
                    </w:rPr>
                    <w:t>'''''''''''''''''</w:t>
                  </w:r>
                </w:p>
              </w:tc>
            </w:tr>
          </w:tbl>
          <w:p w:rsidR="001001F3" w:rsidRPr="008154B1" w:rsidRDefault="001001F3" w:rsidP="001001F3">
            <w:pPr>
              <w:jc w:val="left"/>
              <w:rPr>
                <w:rFonts w:ascii="Times New Roman" w:hAnsi="Times New Roman" w:cs="Times New Roman"/>
                <w:sz w:val="20"/>
                <w:szCs w:val="20"/>
              </w:rPr>
            </w:pPr>
          </w:p>
        </w:tc>
      </w:tr>
    </w:tbl>
    <w:p w:rsidR="002149E8" w:rsidRPr="008154B1" w:rsidRDefault="002149E8" w:rsidP="00376BD1">
      <w:pPr>
        <w:pStyle w:val="TableFigureFooter"/>
      </w:pPr>
      <w:r w:rsidRPr="008154B1">
        <w:t>Source: Table 1, p3 of the pre-PBAC response.</w:t>
      </w:r>
    </w:p>
    <w:p w:rsidR="001001F3" w:rsidRPr="008154B1" w:rsidRDefault="002149E8" w:rsidP="00376BD1">
      <w:pPr>
        <w:pStyle w:val="TableFigureFooter"/>
      </w:pPr>
      <w:r w:rsidRPr="008154B1">
        <w:t xml:space="preserve">Note that the </w:t>
      </w:r>
      <w:r w:rsidR="00BA4531" w:rsidRPr="008154B1">
        <w:t xml:space="preserve">92.5% continuation </w:t>
      </w:r>
      <w:r w:rsidRPr="008154B1">
        <w:t>rate that was applied in the submission did not appear to have been ap</w:t>
      </w:r>
      <w:r w:rsidR="00BA4531" w:rsidRPr="008154B1">
        <w:t xml:space="preserve">plied in the </w:t>
      </w:r>
      <w:r w:rsidRPr="008154B1">
        <w:t>estimates in the table above.</w:t>
      </w:r>
    </w:p>
    <w:p w:rsidR="0033193C" w:rsidRPr="008154B1" w:rsidRDefault="0033193C" w:rsidP="007F7ACC">
      <w:pPr>
        <w:pStyle w:val="2-SectionHeading"/>
        <w:keepNext w:val="0"/>
        <w:numPr>
          <w:ilvl w:val="0"/>
          <w:numId w:val="0"/>
        </w:numPr>
        <w:ind w:left="720"/>
        <w:outlineLvl w:val="9"/>
        <w:rPr>
          <w:b w:val="0"/>
          <w:i/>
          <w:sz w:val="24"/>
          <w:szCs w:val="24"/>
        </w:rPr>
      </w:pPr>
      <w:r w:rsidRPr="008154B1">
        <w:rPr>
          <w:b w:val="0"/>
          <w:i/>
          <w:sz w:val="24"/>
          <w:szCs w:val="24"/>
        </w:rPr>
        <w:t>For more detail on PBAC’s view, see section 7 PBAC outcomes.</w:t>
      </w:r>
    </w:p>
    <w:p w:rsidR="004B026D" w:rsidRPr="008154B1" w:rsidRDefault="004B026D" w:rsidP="004B026D">
      <w:pPr>
        <w:pStyle w:val="2-SectionHeading"/>
        <w:numPr>
          <w:ilvl w:val="0"/>
          <w:numId w:val="1"/>
        </w:numPr>
      </w:pPr>
      <w:r w:rsidRPr="008154B1">
        <w:t>PBAC Outcome</w:t>
      </w:r>
    </w:p>
    <w:p w:rsidR="004B026D" w:rsidRPr="008154B1" w:rsidRDefault="004B026D" w:rsidP="00FF6B25">
      <w:pPr>
        <w:pStyle w:val="3-BodyText"/>
        <w:tabs>
          <w:tab w:val="left" w:pos="2410"/>
        </w:tabs>
      </w:pPr>
      <w:r w:rsidRPr="008154B1">
        <w:rPr>
          <w:rFonts w:cs="Calibri"/>
        </w:rPr>
        <w:t xml:space="preserve">The PBAC deferred its decision whether to recommend listing lanadelumab for </w:t>
      </w:r>
      <w:r w:rsidR="003B4A30" w:rsidRPr="008154B1">
        <w:t>routine (long term) prophylaxis of recurrent attacks of hereditary angioedema (HAE)</w:t>
      </w:r>
      <w:r w:rsidRPr="008154B1">
        <w:rPr>
          <w:rFonts w:cs="Calibri"/>
        </w:rPr>
        <w:t xml:space="preserve">. The PBAC sought </w:t>
      </w:r>
      <w:r w:rsidR="00166F74" w:rsidRPr="008154B1">
        <w:rPr>
          <w:rFonts w:cs="Calibri"/>
        </w:rPr>
        <w:t xml:space="preserve">further information regarding the </w:t>
      </w:r>
      <w:r w:rsidR="00767260" w:rsidRPr="008154B1">
        <w:rPr>
          <w:rFonts w:cs="Calibri"/>
        </w:rPr>
        <w:t xml:space="preserve">most </w:t>
      </w:r>
      <w:r w:rsidR="00166F74" w:rsidRPr="008154B1">
        <w:rPr>
          <w:rFonts w:cs="Calibri"/>
        </w:rPr>
        <w:t xml:space="preserve">appropriate </w:t>
      </w:r>
      <w:r w:rsidR="00A342DE" w:rsidRPr="008154B1">
        <w:rPr>
          <w:rFonts w:cs="Calibri"/>
        </w:rPr>
        <w:t xml:space="preserve">patient </w:t>
      </w:r>
      <w:r w:rsidR="00166F74" w:rsidRPr="008154B1">
        <w:rPr>
          <w:rFonts w:cs="Calibri"/>
        </w:rPr>
        <w:t xml:space="preserve">population with regard to baseline </w:t>
      </w:r>
      <w:r w:rsidR="00A342DE" w:rsidRPr="008154B1">
        <w:rPr>
          <w:rFonts w:cs="Calibri"/>
        </w:rPr>
        <w:t xml:space="preserve">HAE </w:t>
      </w:r>
      <w:r w:rsidR="00166F74" w:rsidRPr="008154B1">
        <w:rPr>
          <w:rFonts w:cs="Calibri"/>
        </w:rPr>
        <w:t xml:space="preserve">attack rate </w:t>
      </w:r>
      <w:r w:rsidR="003B4A30" w:rsidRPr="008154B1">
        <w:rPr>
          <w:rFonts w:cs="Calibri"/>
        </w:rPr>
        <w:t>and continuation criteria</w:t>
      </w:r>
      <w:r w:rsidR="00166F74" w:rsidRPr="008154B1">
        <w:rPr>
          <w:rFonts w:cs="Calibri"/>
        </w:rPr>
        <w:t xml:space="preserve">. The PBAC considered that the ICER </w:t>
      </w:r>
      <w:r w:rsidR="00042702" w:rsidRPr="008154B1">
        <w:rPr>
          <w:rFonts w:cs="Calibri"/>
        </w:rPr>
        <w:t xml:space="preserve">was high and </w:t>
      </w:r>
      <w:r w:rsidR="00166F74" w:rsidRPr="008154B1">
        <w:rPr>
          <w:rFonts w:cs="Calibri"/>
        </w:rPr>
        <w:t xml:space="preserve">uncertain and </w:t>
      </w:r>
      <w:r w:rsidR="00042702" w:rsidRPr="008154B1">
        <w:rPr>
          <w:rFonts w:cs="Calibri"/>
        </w:rPr>
        <w:t xml:space="preserve">noted it was </w:t>
      </w:r>
      <w:r w:rsidR="00166F74" w:rsidRPr="008154B1">
        <w:rPr>
          <w:rFonts w:cs="Calibri"/>
        </w:rPr>
        <w:t xml:space="preserve">highly dependent on the baseline </w:t>
      </w:r>
      <w:r w:rsidR="00FF6B25" w:rsidRPr="008154B1">
        <w:rPr>
          <w:rFonts w:cs="Calibri"/>
        </w:rPr>
        <w:t xml:space="preserve">HAE </w:t>
      </w:r>
      <w:r w:rsidR="00166F74" w:rsidRPr="008154B1">
        <w:rPr>
          <w:rFonts w:cs="Calibri"/>
        </w:rPr>
        <w:t xml:space="preserve">attack rate. </w:t>
      </w:r>
      <w:r w:rsidR="00A342DE" w:rsidRPr="008154B1">
        <w:rPr>
          <w:rFonts w:cs="Calibri"/>
        </w:rPr>
        <w:t xml:space="preserve">The PBAC also noted that the economic evaluation and financial estimates were sensitive to the dosage regimen </w:t>
      </w:r>
      <w:r w:rsidR="009A03E7" w:rsidRPr="008154B1">
        <w:rPr>
          <w:rFonts w:cs="Calibri"/>
        </w:rPr>
        <w:t xml:space="preserve">assumed to be </w:t>
      </w:r>
      <w:r w:rsidR="00A342DE" w:rsidRPr="008154B1">
        <w:rPr>
          <w:rFonts w:cs="Calibri"/>
        </w:rPr>
        <w:t>used</w:t>
      </w:r>
      <w:r w:rsidR="009A03E7" w:rsidRPr="008154B1">
        <w:rPr>
          <w:rFonts w:cs="Calibri"/>
        </w:rPr>
        <w:t xml:space="preserve"> in practice</w:t>
      </w:r>
      <w:r w:rsidR="00A342DE" w:rsidRPr="008154B1">
        <w:rPr>
          <w:rFonts w:cs="Calibri"/>
        </w:rPr>
        <w:t>, while there was only a small difference in effectiveness between the dosage regimens used in the trial. The PBAC considered there is a high ri</w:t>
      </w:r>
      <w:r w:rsidR="00166F74" w:rsidRPr="008154B1">
        <w:rPr>
          <w:rFonts w:cs="Calibri"/>
        </w:rPr>
        <w:t xml:space="preserve">sk of usage outside </w:t>
      </w:r>
      <w:r w:rsidR="00A342DE" w:rsidRPr="008154B1">
        <w:rPr>
          <w:rFonts w:cs="Calibri"/>
        </w:rPr>
        <w:t xml:space="preserve">the </w:t>
      </w:r>
      <w:r w:rsidR="00166F74" w:rsidRPr="008154B1">
        <w:rPr>
          <w:rFonts w:cs="Calibri"/>
        </w:rPr>
        <w:t xml:space="preserve">restriction, and an RSA with a </w:t>
      </w:r>
      <w:r w:rsidR="005E18BF">
        <w:rPr>
          <w:rFonts w:cs="Calibri"/>
          <w:noProof/>
          <w:color w:val="000000"/>
          <w:highlight w:val="black"/>
        </w:rPr>
        <w:t>'''''''</w:t>
      </w:r>
      <w:r w:rsidR="00AC5332" w:rsidRPr="008154B1">
        <w:rPr>
          <w:rFonts w:cs="Calibri"/>
        </w:rPr>
        <w:t xml:space="preserve">% rebate for use above the </w:t>
      </w:r>
      <w:r w:rsidR="00166F74" w:rsidRPr="008154B1">
        <w:rPr>
          <w:rFonts w:cs="Calibri"/>
        </w:rPr>
        <w:t>cap</w:t>
      </w:r>
      <w:r w:rsidR="00AC5332" w:rsidRPr="008154B1">
        <w:rPr>
          <w:rFonts w:cs="Calibri"/>
        </w:rPr>
        <w:t>s</w:t>
      </w:r>
      <w:r w:rsidR="00166F74" w:rsidRPr="008154B1">
        <w:rPr>
          <w:rFonts w:cs="Calibri"/>
        </w:rPr>
        <w:t xml:space="preserve"> would be required</w:t>
      </w:r>
      <w:r w:rsidRPr="008154B1">
        <w:t>.</w:t>
      </w:r>
    </w:p>
    <w:p w:rsidR="00AC69E3" w:rsidRPr="008154B1" w:rsidRDefault="00AC69E3" w:rsidP="001431D0">
      <w:pPr>
        <w:pStyle w:val="3-BodyText"/>
      </w:pPr>
      <w:r w:rsidRPr="008154B1">
        <w:t xml:space="preserve">The PBAC considered </w:t>
      </w:r>
      <w:r w:rsidR="002138D8" w:rsidRPr="008154B1">
        <w:t xml:space="preserve">that </w:t>
      </w:r>
      <w:r w:rsidRPr="008154B1">
        <w:t xml:space="preserve">there is a high clinical need for effective and tolerable prophylactic therapies for HAE, particularly in patients </w:t>
      </w:r>
      <w:r w:rsidR="001431D0" w:rsidRPr="008154B1">
        <w:t xml:space="preserve">who have a high burden of </w:t>
      </w:r>
      <w:r w:rsidR="001431D0" w:rsidRPr="008154B1">
        <w:lastRenderedPageBreak/>
        <w:t xml:space="preserve">disease but </w:t>
      </w:r>
      <w:r w:rsidR="00AC5332" w:rsidRPr="008154B1">
        <w:t xml:space="preserve">who </w:t>
      </w:r>
      <w:r w:rsidR="001431D0" w:rsidRPr="008154B1">
        <w:t>do not meet the eligibility requirements for C1-INH through the NBA</w:t>
      </w:r>
      <w:r w:rsidRPr="008154B1">
        <w:t xml:space="preserve">. </w:t>
      </w:r>
      <w:r w:rsidR="00042702" w:rsidRPr="008154B1">
        <w:t>The PBAC</w:t>
      </w:r>
      <w:r w:rsidR="00FA4965" w:rsidRPr="008154B1">
        <w:t xml:space="preserve"> </w:t>
      </w:r>
      <w:r w:rsidRPr="008154B1">
        <w:t xml:space="preserve">acknowledged the consumer comments which were strongly supportive of listing lanadelumab, describing the lack of safe and effective alternative therapies in patients </w:t>
      </w:r>
      <w:r w:rsidR="001431D0" w:rsidRPr="008154B1">
        <w:t>who do not meet the NBA criteria for C1-INH</w:t>
      </w:r>
      <w:r w:rsidR="002138D8" w:rsidRPr="008154B1">
        <w:t xml:space="preserve">. The comments also described </w:t>
      </w:r>
      <w:r w:rsidRPr="008154B1">
        <w:t xml:space="preserve">the convenience </w:t>
      </w:r>
      <w:r w:rsidR="002138D8" w:rsidRPr="008154B1">
        <w:t xml:space="preserve">of lanadelumab </w:t>
      </w:r>
      <w:r w:rsidR="00EF0394" w:rsidRPr="008154B1">
        <w:t xml:space="preserve">compared with C1-INH </w:t>
      </w:r>
      <w:r w:rsidR="002138D8" w:rsidRPr="008154B1">
        <w:t>(</w:t>
      </w:r>
      <w:r w:rsidRPr="008154B1">
        <w:t xml:space="preserve">in </w:t>
      </w:r>
      <w:r w:rsidR="002138D8" w:rsidRPr="008154B1">
        <w:t>terms of dosing frequency</w:t>
      </w:r>
      <w:r w:rsidR="00EF0394" w:rsidRPr="008154B1">
        <w:t xml:space="preserve"> versus SC C1-INH, and ease of administration versus IV C1-INH</w:t>
      </w:r>
      <w:r w:rsidR="002138D8" w:rsidRPr="008154B1">
        <w:t xml:space="preserve">) </w:t>
      </w:r>
      <w:r w:rsidRPr="008154B1">
        <w:t>in patients with more severe disease</w:t>
      </w:r>
      <w:r w:rsidR="00767260" w:rsidRPr="008154B1">
        <w:t>.</w:t>
      </w:r>
    </w:p>
    <w:p w:rsidR="00121E83" w:rsidRPr="008154B1" w:rsidRDefault="00121E83" w:rsidP="00EF0394">
      <w:pPr>
        <w:pStyle w:val="3-BodyText"/>
      </w:pPr>
      <w:r w:rsidRPr="008154B1">
        <w:t xml:space="preserve">The resubmission requested listing for patients who have experienced at least 12 treated acute attacks of HAE within a period of 6 months. </w:t>
      </w:r>
      <w:r w:rsidR="00FF6B25" w:rsidRPr="008154B1">
        <w:t>I</w:t>
      </w:r>
      <w:r w:rsidRPr="008154B1">
        <w:t xml:space="preserve">n contrast to the previous submission, </w:t>
      </w:r>
      <w:r w:rsidR="00E8206B" w:rsidRPr="008154B1">
        <w:t xml:space="preserve">a </w:t>
      </w:r>
      <w:r w:rsidR="001431D0" w:rsidRPr="008154B1">
        <w:t xml:space="preserve">separate clinical criterion </w:t>
      </w:r>
      <w:r w:rsidR="00F15525" w:rsidRPr="008154B1">
        <w:t>was </w:t>
      </w:r>
      <w:r w:rsidR="00E8206B" w:rsidRPr="008154B1">
        <w:t xml:space="preserve">not </w:t>
      </w:r>
      <w:r w:rsidR="001431D0" w:rsidRPr="008154B1">
        <w:t>proposed for patients who experienced</w:t>
      </w:r>
      <w:r w:rsidRPr="008154B1">
        <w:t xml:space="preserve"> a </w:t>
      </w:r>
      <w:r w:rsidR="009A03E7" w:rsidRPr="008154B1">
        <w:t xml:space="preserve">single </w:t>
      </w:r>
      <w:r w:rsidRPr="008154B1">
        <w:t>life-threatening HAE attack within the previous 12 months. The PBAC c</w:t>
      </w:r>
      <w:r w:rsidR="002138D8" w:rsidRPr="008154B1">
        <w:t xml:space="preserve">onsidered that </w:t>
      </w:r>
      <w:r w:rsidR="001431D0" w:rsidRPr="008154B1">
        <w:t xml:space="preserve">consultation </w:t>
      </w:r>
      <w:r w:rsidR="00EF0394" w:rsidRPr="008154B1">
        <w:t>with clinicians who are experienced at managing HAE would be</w:t>
      </w:r>
      <w:r w:rsidR="002138D8" w:rsidRPr="008154B1">
        <w:t xml:space="preserve"> required to determine the appropriate baseline number and type of attacks for </w:t>
      </w:r>
      <w:r w:rsidR="001431D0" w:rsidRPr="008154B1">
        <w:t xml:space="preserve">lanadelumab </w:t>
      </w:r>
      <w:r w:rsidR="002138D8" w:rsidRPr="008154B1">
        <w:t xml:space="preserve">eligibility </w:t>
      </w:r>
      <w:r w:rsidRPr="008154B1">
        <w:t xml:space="preserve">to ensure use </w:t>
      </w:r>
      <w:r w:rsidR="00CD73E5" w:rsidRPr="008154B1">
        <w:t>i</w:t>
      </w:r>
      <w:r w:rsidRPr="008154B1">
        <w:t>s targeted to a sufficiently high risk population</w:t>
      </w:r>
      <w:r w:rsidR="00EF0394" w:rsidRPr="008154B1">
        <w:t xml:space="preserve"> in light of the high cost per patient of the drug.</w:t>
      </w:r>
      <w:r w:rsidRPr="008154B1">
        <w:t xml:space="preserve"> </w:t>
      </w:r>
    </w:p>
    <w:p w:rsidR="00121E83" w:rsidRPr="008154B1" w:rsidRDefault="00121E83" w:rsidP="00042702">
      <w:pPr>
        <w:pStyle w:val="3-BodyText"/>
      </w:pPr>
      <w:r w:rsidRPr="008154B1">
        <w:t xml:space="preserve">To be eligible for continuing treatment after 6 months, the resubmission proposed that a patient must have had a ≥ 50% reduction in the rate of HAE attacks per month, compared with baseline. </w:t>
      </w:r>
      <w:r w:rsidR="007C2F8E" w:rsidRPr="008154B1">
        <w:t>The PBAC considered there were several issues with this approach including that it does not account for attack severity and may be difficult to reliably assess. The PBAC considered that the rationale for the proposed continuation criteria was unclear and</w:t>
      </w:r>
      <w:r w:rsidR="009A03E7" w:rsidRPr="008154B1">
        <w:t xml:space="preserve"> that</w:t>
      </w:r>
      <w:r w:rsidR="007C2F8E" w:rsidRPr="008154B1">
        <w:t xml:space="preserve"> further </w:t>
      </w:r>
      <w:r w:rsidR="00E8206B" w:rsidRPr="008154B1">
        <w:t>consultation</w:t>
      </w:r>
      <w:r w:rsidR="007C2F8E" w:rsidRPr="008154B1">
        <w:t xml:space="preserve"> </w:t>
      </w:r>
      <w:r w:rsidR="00EF0394" w:rsidRPr="008154B1">
        <w:t xml:space="preserve">with clinicians who are experienced at managing HAE </w:t>
      </w:r>
      <w:r w:rsidR="007C2F8E" w:rsidRPr="008154B1">
        <w:t>w</w:t>
      </w:r>
      <w:r w:rsidR="009A03E7" w:rsidRPr="008154B1">
        <w:t>ould be</w:t>
      </w:r>
      <w:r w:rsidR="007C2F8E" w:rsidRPr="008154B1">
        <w:t xml:space="preserve"> required to ensure ongoing use is targeted to patients deriving appropriate clinical benefit from lanadelumab. </w:t>
      </w:r>
    </w:p>
    <w:p w:rsidR="00A21D5D" w:rsidRPr="008154B1" w:rsidRDefault="00C24C57" w:rsidP="00C24C57">
      <w:pPr>
        <w:pStyle w:val="3-BodyText"/>
      </w:pPr>
      <w:r w:rsidRPr="008154B1">
        <w:rPr>
          <w:snapToGrid/>
        </w:rPr>
        <w:t>The PBAC noted that the Australasian Society of Clinical Immunology and Allergy (ASCIA) 2020 HAE Position Paper state</w:t>
      </w:r>
      <w:r w:rsidR="00E8206B" w:rsidRPr="008154B1">
        <w:rPr>
          <w:snapToGrid/>
        </w:rPr>
        <w:t>s</w:t>
      </w:r>
      <w:r w:rsidRPr="008154B1">
        <w:t xml:space="preserve"> that d</w:t>
      </w:r>
      <w:r w:rsidRPr="008154B1">
        <w:rPr>
          <w:snapToGrid/>
        </w:rPr>
        <w:t xml:space="preserve">anazol and tranexamic acid have historically been used for long term prophylaxis, however use is limited by side effects and relative lack of efficacy, respectively. The </w:t>
      </w:r>
      <w:r w:rsidR="00E8206B" w:rsidRPr="008154B1">
        <w:rPr>
          <w:snapToGrid/>
        </w:rPr>
        <w:t xml:space="preserve">Position Paper and </w:t>
      </w:r>
      <w:r w:rsidRPr="008154B1">
        <w:rPr>
          <w:snapToGrid/>
        </w:rPr>
        <w:t xml:space="preserve">resubmission </w:t>
      </w:r>
      <w:r w:rsidR="00E8206B" w:rsidRPr="008154B1">
        <w:rPr>
          <w:snapToGrid/>
        </w:rPr>
        <w:t xml:space="preserve">both </w:t>
      </w:r>
      <w:r w:rsidRPr="008154B1">
        <w:rPr>
          <w:snapToGrid/>
        </w:rPr>
        <w:t xml:space="preserve">noted that there </w:t>
      </w:r>
      <w:r w:rsidR="00E8206B" w:rsidRPr="008154B1">
        <w:rPr>
          <w:snapToGrid/>
        </w:rPr>
        <w:t>are current</w:t>
      </w:r>
      <w:r w:rsidRPr="008154B1">
        <w:rPr>
          <w:snapToGrid/>
        </w:rPr>
        <w:t xml:space="preserve"> supply issue</w:t>
      </w:r>
      <w:r w:rsidR="00E8206B" w:rsidRPr="008154B1">
        <w:rPr>
          <w:snapToGrid/>
        </w:rPr>
        <w:t>s</w:t>
      </w:r>
      <w:r w:rsidRPr="008154B1">
        <w:rPr>
          <w:snapToGrid/>
        </w:rPr>
        <w:t xml:space="preserve"> with danazol in Australia. The Position Paper also notes that C1-INH (IV and SC) is available through the NBA for patients who experience the equivalent of eight or more acute HAE attacks per month</w:t>
      </w:r>
      <w:r w:rsidR="009A03E7" w:rsidRPr="008154B1">
        <w:rPr>
          <w:snapToGrid/>
        </w:rPr>
        <w:t>,</w:t>
      </w:r>
      <w:r w:rsidR="00F95CFA" w:rsidRPr="008154B1">
        <w:rPr>
          <w:snapToGrid/>
        </w:rPr>
        <w:t xml:space="preserve"> with the criteria based on </w:t>
      </w:r>
      <w:r w:rsidR="00F95CFA" w:rsidRPr="008154B1">
        <w:t>MSAC advice that C1-INH would only be cost-effective in patients with this very high level of attack frequency.</w:t>
      </w:r>
    </w:p>
    <w:p w:rsidR="007C2F8E" w:rsidRPr="008154B1" w:rsidRDefault="007C2F8E" w:rsidP="007C2F8E">
      <w:pPr>
        <w:pStyle w:val="3-BodyText"/>
        <w:rPr>
          <w:snapToGrid/>
        </w:rPr>
      </w:pPr>
      <w:r w:rsidRPr="008154B1">
        <w:t xml:space="preserve">The PBAC considered that the </w:t>
      </w:r>
      <w:r w:rsidRPr="008154B1">
        <w:rPr>
          <w:snapToGrid/>
        </w:rPr>
        <w:t>comparator</w:t>
      </w:r>
      <w:r w:rsidRPr="008154B1">
        <w:t xml:space="preserve"> nominated by the submission, on-demand treatment</w:t>
      </w:r>
      <w:r w:rsidRPr="008154B1">
        <w:rPr>
          <w:snapToGrid/>
        </w:rPr>
        <w:t xml:space="preserve"> (with icatibant or IV C1-INH) </w:t>
      </w:r>
      <w:r w:rsidR="00E8206B" w:rsidRPr="008154B1">
        <w:rPr>
          <w:snapToGrid/>
        </w:rPr>
        <w:t>plus</w:t>
      </w:r>
      <w:r w:rsidRPr="008154B1">
        <w:rPr>
          <w:snapToGrid/>
        </w:rPr>
        <w:t xml:space="preserve"> oral routine prophylaxis, was appropriate particularly in patients w</w:t>
      </w:r>
      <w:r w:rsidR="009A03E7" w:rsidRPr="008154B1">
        <w:rPr>
          <w:snapToGrid/>
        </w:rPr>
        <w:t>ho experience</w:t>
      </w:r>
      <w:r w:rsidRPr="008154B1">
        <w:rPr>
          <w:snapToGrid/>
        </w:rPr>
        <w:t xml:space="preserve"> fewer than eight HAE attacks per month. </w:t>
      </w:r>
      <w:r w:rsidR="00AC5332" w:rsidRPr="008154B1">
        <w:rPr>
          <w:snapToGrid/>
        </w:rPr>
        <w:t>While</w:t>
      </w:r>
      <w:r w:rsidR="00CC6458" w:rsidRPr="008154B1">
        <w:rPr>
          <w:snapToGrid/>
        </w:rPr>
        <w:t xml:space="preserve"> routine prophylaxis with </w:t>
      </w:r>
      <w:r w:rsidRPr="008154B1">
        <w:rPr>
          <w:snapToGrid/>
        </w:rPr>
        <w:t xml:space="preserve">C1-INH </w:t>
      </w:r>
      <w:r w:rsidR="002138D8" w:rsidRPr="008154B1">
        <w:rPr>
          <w:snapToGrid/>
        </w:rPr>
        <w:t xml:space="preserve">(IV or SC) </w:t>
      </w:r>
      <w:r w:rsidR="0046044D" w:rsidRPr="008154B1">
        <w:rPr>
          <w:snapToGrid/>
        </w:rPr>
        <w:t>may be</w:t>
      </w:r>
      <w:r w:rsidRPr="008154B1">
        <w:rPr>
          <w:snapToGrid/>
        </w:rPr>
        <w:t xml:space="preserve"> an appropriate comparator for patients who experience eight or more attacks per month</w:t>
      </w:r>
      <w:r w:rsidR="00AC5332" w:rsidRPr="008154B1">
        <w:rPr>
          <w:snapToGrid/>
        </w:rPr>
        <w:t>, this is expected to represent only a small proportion of patients.</w:t>
      </w:r>
    </w:p>
    <w:p w:rsidR="00AA1774" w:rsidRPr="008154B1" w:rsidRDefault="00BF66BF" w:rsidP="00691DCE">
      <w:pPr>
        <w:pStyle w:val="3-BodyText"/>
      </w:pPr>
      <w:r w:rsidRPr="008154B1">
        <w:t>The key clinical evidence presented was the HELP trial, which compared three dos</w:t>
      </w:r>
      <w:r w:rsidR="00305183" w:rsidRPr="008154B1">
        <w:t>ag</w:t>
      </w:r>
      <w:r w:rsidRPr="008154B1">
        <w:t>e regimens of lanadelumab versus placebo (</w:t>
      </w:r>
      <w:r w:rsidR="00E8206B" w:rsidRPr="008154B1">
        <w:t>on-demand treatment</w:t>
      </w:r>
      <w:r w:rsidRPr="008154B1">
        <w:t xml:space="preserve"> was permitted in </w:t>
      </w:r>
      <w:r w:rsidR="00EF0394" w:rsidRPr="008154B1">
        <w:t>all</w:t>
      </w:r>
      <w:r w:rsidRPr="008154B1">
        <w:t xml:space="preserve"> arms). The HELP trial enrolled patients who had </w:t>
      </w:r>
      <w:r w:rsidR="00AA1774" w:rsidRPr="008154B1">
        <w:t xml:space="preserve">the equivalent of </w:t>
      </w:r>
      <w:r w:rsidRPr="008154B1">
        <w:t xml:space="preserve">one or more HAE </w:t>
      </w:r>
      <w:r w:rsidRPr="008154B1">
        <w:lastRenderedPageBreak/>
        <w:t xml:space="preserve">attacks </w:t>
      </w:r>
      <w:r w:rsidR="00AA1774" w:rsidRPr="008154B1">
        <w:t>per month</w:t>
      </w:r>
      <w:r w:rsidRPr="008154B1">
        <w:t xml:space="preserve">. At baseline, patients had a median of </w:t>
      </w:r>
      <w:r w:rsidR="00AA1774" w:rsidRPr="008154B1">
        <w:t xml:space="preserve">around </w:t>
      </w:r>
      <w:r w:rsidR="00CC6458" w:rsidRPr="008154B1">
        <w:t>three</w:t>
      </w:r>
      <w:r w:rsidRPr="008154B1">
        <w:t xml:space="preserve"> HAE attacks </w:t>
      </w:r>
      <w:r w:rsidR="00AA1774" w:rsidRPr="008154B1">
        <w:t>per</w:t>
      </w:r>
      <w:r w:rsidRPr="008154B1">
        <w:t xml:space="preserve"> month</w:t>
      </w:r>
      <w:r w:rsidR="00AA1774" w:rsidRPr="008154B1">
        <w:t xml:space="preserve"> in the run-in period</w:t>
      </w:r>
      <w:r w:rsidRPr="008154B1">
        <w:t>.</w:t>
      </w:r>
      <w:r w:rsidR="00691DCE" w:rsidRPr="008154B1">
        <w:t xml:space="preserve"> </w:t>
      </w:r>
    </w:p>
    <w:p w:rsidR="00AF5584" w:rsidRPr="008154B1" w:rsidRDefault="008F4189" w:rsidP="00E4711C">
      <w:pPr>
        <w:pStyle w:val="3-BodyText"/>
      </w:pPr>
      <w:r w:rsidRPr="008154B1">
        <w:t>At 26 weeks of follow-up</w:t>
      </w:r>
      <w:r w:rsidR="00691DCE" w:rsidRPr="008154B1">
        <w:t xml:space="preserve">, </w:t>
      </w:r>
      <w:r w:rsidRPr="008154B1">
        <w:t xml:space="preserve">all doses of lanadelumab resulted in statistically significant reductions in the mean HAE </w:t>
      </w:r>
      <w:r w:rsidR="00305183" w:rsidRPr="008154B1">
        <w:t>attack rate (per month) versus placebo</w:t>
      </w:r>
      <w:r w:rsidRPr="008154B1">
        <w:t xml:space="preserve"> (reductions of </w:t>
      </w:r>
      <w:r w:rsidR="00305183" w:rsidRPr="008154B1">
        <w:t xml:space="preserve">75.6%, </w:t>
      </w:r>
      <w:r w:rsidRPr="008154B1">
        <w:t xml:space="preserve">73.3% </w:t>
      </w:r>
      <w:r w:rsidR="00305183" w:rsidRPr="008154B1">
        <w:t xml:space="preserve">and </w:t>
      </w:r>
      <w:r w:rsidRPr="008154B1">
        <w:t xml:space="preserve">86.9% were reported for the </w:t>
      </w:r>
      <w:r w:rsidR="00305183" w:rsidRPr="008154B1">
        <w:t xml:space="preserve">150 mg Q4W, </w:t>
      </w:r>
      <w:r w:rsidR="00691DCE" w:rsidRPr="008154B1">
        <w:t>300 mg Q4W</w:t>
      </w:r>
      <w:r w:rsidR="00305183" w:rsidRPr="008154B1">
        <w:t xml:space="preserve"> and 300 </w:t>
      </w:r>
      <w:r w:rsidR="00691DCE" w:rsidRPr="008154B1">
        <w:t xml:space="preserve">mg Q2W </w:t>
      </w:r>
      <w:r w:rsidR="00305183" w:rsidRPr="008154B1">
        <w:t>dosage</w:t>
      </w:r>
      <w:r w:rsidRPr="008154B1">
        <w:t xml:space="preserve"> regimens</w:t>
      </w:r>
      <w:r w:rsidR="00691DCE" w:rsidRPr="008154B1">
        <w:t>, respectively; p&lt;0.001).</w:t>
      </w:r>
      <w:r w:rsidR="00AA1774" w:rsidRPr="008154B1">
        <w:t xml:space="preserve"> </w:t>
      </w:r>
      <w:r w:rsidRPr="008154B1">
        <w:t xml:space="preserve">The PBAC considered </w:t>
      </w:r>
      <w:r w:rsidR="00757A3E" w:rsidRPr="008154B1">
        <w:t xml:space="preserve">this was a clinically meaningful benefit, but </w:t>
      </w:r>
      <w:r w:rsidRPr="008154B1">
        <w:t xml:space="preserve">that </w:t>
      </w:r>
      <w:r w:rsidR="00AF5584" w:rsidRPr="008154B1">
        <w:t xml:space="preserve">the extent of benefit was </w:t>
      </w:r>
      <w:r w:rsidR="00E8206B" w:rsidRPr="008154B1">
        <w:t>uncertain</w:t>
      </w:r>
      <w:r w:rsidR="00AF5584" w:rsidRPr="008154B1">
        <w:t xml:space="preserve"> due to the small number of </w:t>
      </w:r>
      <w:r w:rsidR="00305183" w:rsidRPr="008154B1">
        <w:t xml:space="preserve">enrolled </w:t>
      </w:r>
      <w:r w:rsidR="00AF5584" w:rsidRPr="008154B1">
        <w:t>patients (27 to 29 in each of the active arms)</w:t>
      </w:r>
      <w:r w:rsidR="0068391E" w:rsidRPr="008154B1">
        <w:t xml:space="preserve"> and the high level of variability between and within patients</w:t>
      </w:r>
      <w:r w:rsidR="00305183" w:rsidRPr="008154B1">
        <w:t>, along with</w:t>
      </w:r>
      <w:r w:rsidR="0068391E" w:rsidRPr="008154B1">
        <w:t xml:space="preserve"> the unpredictability in HAE attack pattern and frequency. </w:t>
      </w:r>
      <w:r w:rsidR="00AA1774" w:rsidRPr="008154B1">
        <w:t>The PBAC noted that routine p</w:t>
      </w:r>
      <w:r w:rsidR="00AF5584" w:rsidRPr="008154B1">
        <w:t xml:space="preserve">rophylaxis </w:t>
      </w:r>
      <w:r w:rsidR="00AA1774" w:rsidRPr="008154B1">
        <w:t xml:space="preserve">was </w:t>
      </w:r>
      <w:r w:rsidR="00AF5584" w:rsidRPr="008154B1">
        <w:t xml:space="preserve">not permitted </w:t>
      </w:r>
      <w:r w:rsidR="00AA1774" w:rsidRPr="008154B1">
        <w:t xml:space="preserve">in the </w:t>
      </w:r>
      <w:r w:rsidR="00757A3E" w:rsidRPr="008154B1">
        <w:t xml:space="preserve">HELP trial </w:t>
      </w:r>
      <w:r w:rsidR="00AF5584" w:rsidRPr="008154B1">
        <w:t xml:space="preserve">and </w:t>
      </w:r>
      <w:r w:rsidR="00AA1774" w:rsidRPr="008154B1">
        <w:t xml:space="preserve">considered that the lanadelumab treatment effect </w:t>
      </w:r>
      <w:r w:rsidR="00757A3E" w:rsidRPr="008154B1">
        <w:t xml:space="preserve">may be lower in Australian clinical practice </w:t>
      </w:r>
      <w:r w:rsidR="00E8206B" w:rsidRPr="008154B1">
        <w:t>(</w:t>
      </w:r>
      <w:r w:rsidR="00757A3E" w:rsidRPr="008154B1">
        <w:t>than observed in the trial</w:t>
      </w:r>
      <w:r w:rsidR="00E8206B" w:rsidRPr="008154B1">
        <w:t>)</w:t>
      </w:r>
      <w:r w:rsidR="00757A3E" w:rsidRPr="008154B1">
        <w:t xml:space="preserve">, </w:t>
      </w:r>
      <w:r w:rsidR="00AA1774" w:rsidRPr="008154B1">
        <w:rPr>
          <w:rFonts w:ascii="Calibri" w:hAnsi="Calibri"/>
          <w:szCs w:val="22"/>
          <w:lang w:eastAsia="en-US"/>
        </w:rPr>
        <w:t xml:space="preserve">if </w:t>
      </w:r>
      <w:r w:rsidR="00757A3E" w:rsidRPr="008154B1">
        <w:rPr>
          <w:rFonts w:ascii="Calibri" w:hAnsi="Calibri"/>
          <w:szCs w:val="22"/>
          <w:lang w:eastAsia="en-US"/>
        </w:rPr>
        <w:t xml:space="preserve">routine prophylaxis remains part of </w:t>
      </w:r>
      <w:r w:rsidR="00AA1774" w:rsidRPr="008154B1">
        <w:rPr>
          <w:rFonts w:ascii="Calibri" w:hAnsi="Calibri"/>
          <w:szCs w:val="22"/>
          <w:lang w:eastAsia="en-US"/>
        </w:rPr>
        <w:t>SOC in clinical practice</w:t>
      </w:r>
      <w:r w:rsidR="00D6188A" w:rsidRPr="008154B1">
        <w:rPr>
          <w:rFonts w:ascii="Calibri" w:hAnsi="Calibri"/>
          <w:szCs w:val="22"/>
          <w:lang w:eastAsia="en-US"/>
        </w:rPr>
        <w:t>.</w:t>
      </w:r>
      <w:r w:rsidR="00AF5584" w:rsidRPr="008154B1">
        <w:t xml:space="preserve"> </w:t>
      </w:r>
    </w:p>
    <w:p w:rsidR="00A21D5D" w:rsidRPr="008154B1" w:rsidRDefault="0068391E" w:rsidP="00EF0394">
      <w:pPr>
        <w:pStyle w:val="3-BodyText"/>
      </w:pPr>
      <w:r w:rsidRPr="008154B1">
        <w:t>T</w:t>
      </w:r>
      <w:r w:rsidR="00E87992" w:rsidRPr="008154B1">
        <w:t>he PBAC noted that there was little difference in outcomes between the three lanadelumab dosage regimens used in the trial (150mg Q4W, 300mg Q4W, 300mg Q2W), despite this range representing a four-fold difference in dosage. The PBAC further noted that the sponsor had not sought registration of a 150 mg formulation</w:t>
      </w:r>
      <w:r w:rsidRPr="008154B1">
        <w:t xml:space="preserve"> and that the TGA-approved Product Information specifies a starting dose of 300 mg Q2W, and that a dose reduction to 300 mg Q4W may be considered in patients who are stable and attack free on treatment</w:t>
      </w:r>
      <w:r w:rsidR="00E87992" w:rsidRPr="008154B1">
        <w:t xml:space="preserve">. </w:t>
      </w:r>
      <w:r w:rsidR="003B526C" w:rsidRPr="008154B1">
        <w:t xml:space="preserve">The PBAC noted the substantial difference in the cost per patient </w:t>
      </w:r>
      <w:r w:rsidR="00305183" w:rsidRPr="008154B1">
        <w:t>between</w:t>
      </w:r>
      <w:r w:rsidR="003B526C" w:rsidRPr="008154B1">
        <w:t xml:space="preserve"> the </w:t>
      </w:r>
      <w:r w:rsidR="00305183" w:rsidRPr="008154B1">
        <w:t xml:space="preserve">300 mg </w:t>
      </w:r>
      <w:r w:rsidR="003B526C" w:rsidRPr="008154B1">
        <w:t xml:space="preserve">Q4W </w:t>
      </w:r>
      <w:r w:rsidR="00305183" w:rsidRPr="008154B1">
        <w:t>and</w:t>
      </w:r>
      <w:r w:rsidR="003B526C" w:rsidRPr="008154B1">
        <w:t xml:space="preserve"> Q2W dose ($</w:t>
      </w:r>
      <w:r w:rsidR="005E18BF">
        <w:rPr>
          <w:noProof/>
          <w:color w:val="000000"/>
          <w:highlight w:val="black"/>
        </w:rPr>
        <w:t>''''''''''''''</w:t>
      </w:r>
      <w:r w:rsidR="003B526C" w:rsidRPr="008154B1">
        <w:t xml:space="preserve"> versus $</w:t>
      </w:r>
      <w:r w:rsidR="005E18BF">
        <w:rPr>
          <w:noProof/>
          <w:color w:val="000000"/>
          <w:highlight w:val="black"/>
        </w:rPr>
        <w:t>''''''''''''''''</w:t>
      </w:r>
      <w:r w:rsidR="003B526C" w:rsidRPr="008154B1">
        <w:t xml:space="preserve"> per patient per year)</w:t>
      </w:r>
      <w:r w:rsidR="00EF0394" w:rsidRPr="008154B1">
        <w:t>. The PBAC</w:t>
      </w:r>
      <w:r w:rsidR="00F15525" w:rsidRPr="008154B1">
        <w:t xml:space="preserve"> </w:t>
      </w:r>
      <w:r w:rsidR="00EF0394" w:rsidRPr="008154B1">
        <w:t xml:space="preserve">considered that, </w:t>
      </w:r>
      <w:r w:rsidR="00F15525" w:rsidRPr="008154B1">
        <w:t>from a cost perspective</w:t>
      </w:r>
      <w:r w:rsidR="00EF0394" w:rsidRPr="008154B1">
        <w:t>,</w:t>
      </w:r>
      <w:r w:rsidR="00F15525" w:rsidRPr="008154B1">
        <w:t xml:space="preserve"> a dosage regimen with up-titration </w:t>
      </w:r>
      <w:r w:rsidR="00EF0394" w:rsidRPr="008154B1">
        <w:t xml:space="preserve">would be appropriate </w:t>
      </w:r>
      <w:r w:rsidR="00F15525" w:rsidRPr="008154B1">
        <w:t>wherein patients commence on 300 mg Q4W and titrate up to 300 mg Q2W if HAE attacks continue</w:t>
      </w:r>
      <w:r w:rsidR="00305183" w:rsidRPr="008154B1">
        <w:t xml:space="preserve">. </w:t>
      </w:r>
      <w:r w:rsidR="00EF0394" w:rsidRPr="008154B1">
        <w:t xml:space="preserve">The PBAC further considered that, given the difference in cost for the two regimens was not supported by a demonstrated difference in efficacy, it may be appropriate to cap the cost per patient at no more than that for the 300mg Q4W regimen. </w:t>
      </w:r>
    </w:p>
    <w:p w:rsidR="00E87992" w:rsidRPr="008154B1" w:rsidRDefault="00E87992" w:rsidP="00E87992">
      <w:pPr>
        <w:pStyle w:val="3-BodyText"/>
      </w:pPr>
      <w:r w:rsidRPr="008154B1">
        <w:t>The PBAC considered that the claim of inferior comparative safety was reasonable, and that, based on the evidence available, lanadelumab appears to be well tolerated.</w:t>
      </w:r>
    </w:p>
    <w:p w:rsidR="002B3F38" w:rsidRPr="008154B1" w:rsidRDefault="00DE37BA" w:rsidP="00E4711C">
      <w:pPr>
        <w:pStyle w:val="3-BodyText"/>
      </w:pPr>
      <w:r w:rsidRPr="008154B1">
        <w:t xml:space="preserve">The PBAC noted that the ICER was highly </w:t>
      </w:r>
      <w:r w:rsidR="006500AF" w:rsidRPr="008154B1">
        <w:t>sensitive to</w:t>
      </w:r>
      <w:r w:rsidRPr="008154B1">
        <w:t xml:space="preserve"> the baseline HAE attack rate. The estimated ICER in patients</w:t>
      </w:r>
      <w:r w:rsidR="00DC3BF3" w:rsidRPr="008154B1">
        <w:t xml:space="preserve"> who just meet the PBS eligibility threshold was </w:t>
      </w:r>
      <w:r w:rsidR="002D2E1E">
        <w:rPr>
          <w:rFonts w:cstheme="minorHAnsi"/>
        </w:rPr>
        <w:t>more than $200,000</w:t>
      </w:r>
      <w:r w:rsidR="00DC3BF3" w:rsidRPr="008154B1">
        <w:t xml:space="preserve">/QALY gained (based on </w:t>
      </w:r>
      <w:r w:rsidRPr="008154B1">
        <w:t xml:space="preserve">a </w:t>
      </w:r>
      <w:r w:rsidR="00DC3BF3" w:rsidRPr="008154B1">
        <w:t>baseline</w:t>
      </w:r>
      <w:r w:rsidRPr="008154B1">
        <w:t xml:space="preserve"> of 24 treated attacks per year</w:t>
      </w:r>
      <w:r w:rsidR="00DC3BF3" w:rsidRPr="008154B1">
        <w:t xml:space="preserve"> to approximate the PBS eligibility of </w:t>
      </w:r>
      <w:r w:rsidRPr="008154B1">
        <w:t>12 treated attacks in 6 months)</w:t>
      </w:r>
      <w:r w:rsidR="00DC3BF3" w:rsidRPr="008154B1">
        <w:t xml:space="preserve">, versus an ICER of </w:t>
      </w:r>
      <w:r w:rsidR="001F5D13">
        <w:rPr>
          <w:rFonts w:cstheme="minorHAnsi"/>
        </w:rPr>
        <w:t>$</w:t>
      </w:r>
      <w:r w:rsidR="002D2E1E">
        <w:t>45,000</w:t>
      </w:r>
      <w:r w:rsidR="002D2E1E" w:rsidRPr="008154B1">
        <w:t>/QALY</w:t>
      </w:r>
      <w:r w:rsidR="002D2E1E">
        <w:t xml:space="preserve"> – $75,000/QALY</w:t>
      </w:r>
      <w:r w:rsidR="002D2E1E" w:rsidDel="002D2E1E">
        <w:rPr>
          <w:rFonts w:cstheme="minorHAnsi"/>
        </w:rPr>
        <w:t xml:space="preserve"> </w:t>
      </w:r>
      <w:r w:rsidR="00DC3BF3" w:rsidRPr="008154B1">
        <w:t xml:space="preserve">in the base case which </w:t>
      </w:r>
      <w:r w:rsidR="00CC6458" w:rsidRPr="008154B1">
        <w:t>estimat</w:t>
      </w:r>
      <w:r w:rsidR="00DC3BF3" w:rsidRPr="008154B1">
        <w:t>ed an average of 55 treated attacks per year</w:t>
      </w:r>
      <w:r w:rsidR="00E162D1" w:rsidRPr="008154B1">
        <w:t>.</w:t>
      </w:r>
      <w:r w:rsidRPr="008154B1">
        <w:t xml:space="preserve"> </w:t>
      </w:r>
      <w:r w:rsidR="002B3F38" w:rsidRPr="008154B1">
        <w:t>The PBAC noted there is a large difference between the number of attacks required for PBS eligibility and the point at which lanadelumab would likely become cost-effective.</w:t>
      </w:r>
    </w:p>
    <w:p w:rsidR="00E162D1" w:rsidRPr="008154B1" w:rsidRDefault="00E162D1" w:rsidP="00E4711C">
      <w:pPr>
        <w:pStyle w:val="3-BodyText"/>
      </w:pPr>
      <w:r w:rsidRPr="008154B1">
        <w:t>The PBAC considered that the distribution of baseline frequency of HAE attacks applied in the economic model was highly uncer</w:t>
      </w:r>
      <w:r w:rsidR="00305183" w:rsidRPr="008154B1">
        <w:t xml:space="preserve">tain given that it was based on: (1) </w:t>
      </w:r>
      <w:r w:rsidRPr="008154B1">
        <w:t>data from only 11 patients</w:t>
      </w:r>
      <w:r w:rsidR="00305183" w:rsidRPr="008154B1">
        <w:t>;</w:t>
      </w:r>
      <w:r w:rsidRPr="008154B1">
        <w:t xml:space="preserve"> and </w:t>
      </w:r>
      <w:r w:rsidR="00305183" w:rsidRPr="008154B1">
        <w:t xml:space="preserve">(2) </w:t>
      </w:r>
      <w:r w:rsidRPr="008154B1">
        <w:t>the number of injections of icatibant dispensed</w:t>
      </w:r>
      <w:r w:rsidR="00DA162C" w:rsidRPr="008154B1">
        <w:t>,</w:t>
      </w:r>
      <w:r w:rsidRPr="008154B1">
        <w:t xml:space="preserve"> which may not be a reliable proxy for the number of treated HAE attacks. The PBAC </w:t>
      </w:r>
      <w:r w:rsidRPr="008154B1">
        <w:lastRenderedPageBreak/>
        <w:t xml:space="preserve">considered that </w:t>
      </w:r>
      <w:r w:rsidR="00E94007" w:rsidRPr="008154B1">
        <w:t xml:space="preserve">given the lack of reliable data to inform the </w:t>
      </w:r>
      <w:r w:rsidR="00DA162C" w:rsidRPr="008154B1">
        <w:t>likely average baseline number of</w:t>
      </w:r>
      <w:r w:rsidR="00E94007" w:rsidRPr="008154B1">
        <w:t xml:space="preserve"> HAE attacks, and the likely very high ICER in patients near the </w:t>
      </w:r>
      <w:r w:rsidR="00DA162C" w:rsidRPr="008154B1">
        <w:t xml:space="preserve">submission’s proposed </w:t>
      </w:r>
      <w:r w:rsidR="00E94007" w:rsidRPr="008154B1">
        <w:t>threshold for eligibility</w:t>
      </w:r>
      <w:r w:rsidR="00DA162C" w:rsidRPr="008154B1">
        <w:t>, further consultation w</w:t>
      </w:r>
      <w:r w:rsidR="00C7492D" w:rsidRPr="008154B1">
        <w:t>ould be</w:t>
      </w:r>
      <w:r w:rsidR="00DA162C" w:rsidRPr="008154B1">
        <w:t xml:space="preserve"> required</w:t>
      </w:r>
      <w:r w:rsidR="00E4711C" w:rsidRPr="008154B1">
        <w:t xml:space="preserve"> </w:t>
      </w:r>
      <w:r w:rsidRPr="008154B1">
        <w:t xml:space="preserve">to ensure use is targeted to those patients with a higher clinical need in whom lanadelumab is </w:t>
      </w:r>
      <w:r w:rsidR="00DA162C" w:rsidRPr="008154B1">
        <w:t>likely to represent value-for-money.</w:t>
      </w:r>
      <w:r w:rsidRPr="008154B1">
        <w:t xml:space="preserve"> </w:t>
      </w:r>
    </w:p>
    <w:p w:rsidR="00E162D1" w:rsidRPr="008154B1" w:rsidRDefault="00E162D1" w:rsidP="00EF0394">
      <w:pPr>
        <w:pStyle w:val="3-BodyText"/>
      </w:pPr>
      <w:r w:rsidRPr="008154B1">
        <w:t>The PBAC considered the base case</w:t>
      </w:r>
      <w:r w:rsidR="00F86E53" w:rsidRPr="008154B1">
        <w:t xml:space="preserve"> of the economic evaluation</w:t>
      </w:r>
      <w:r w:rsidRPr="008154B1">
        <w:t xml:space="preserve">, which resulted in an ICER of </w:t>
      </w:r>
      <w:r w:rsidR="002D2E1E">
        <w:t>$45,000</w:t>
      </w:r>
      <w:r w:rsidRPr="008154B1">
        <w:t>/QALY</w:t>
      </w:r>
      <w:r w:rsidR="002D2E1E">
        <w:t xml:space="preserve"> – $75,000/QALY</w:t>
      </w:r>
      <w:r w:rsidR="00CC1AA4" w:rsidRPr="008154B1">
        <w:t>,</w:t>
      </w:r>
      <w:r w:rsidRPr="008154B1">
        <w:t xml:space="preserve"> was </w:t>
      </w:r>
      <w:r w:rsidR="00CC1AA4" w:rsidRPr="008154B1">
        <w:t xml:space="preserve">uncertain and </w:t>
      </w:r>
      <w:r w:rsidRPr="008154B1">
        <w:t>optimistic and</w:t>
      </w:r>
      <w:r w:rsidR="00CC1AA4" w:rsidRPr="008154B1">
        <w:t xml:space="preserve"> that</w:t>
      </w:r>
      <w:r w:rsidRPr="008154B1">
        <w:t xml:space="preserve"> the ICER could plausibly be higher than $1</w:t>
      </w:r>
      <w:r w:rsidR="00E4711C" w:rsidRPr="008154B1">
        <w:t> </w:t>
      </w:r>
      <w:r w:rsidRPr="008154B1">
        <w:t xml:space="preserve">million/QALY. </w:t>
      </w:r>
      <w:r w:rsidR="00CC1AA4" w:rsidRPr="008154B1">
        <w:t>The PBAC considered that the</w:t>
      </w:r>
      <w:r w:rsidR="00045CE4" w:rsidRPr="008154B1">
        <w:t xml:space="preserve"> key issues were </w:t>
      </w:r>
      <w:r w:rsidR="00CC1AA4" w:rsidRPr="008154B1">
        <w:t xml:space="preserve">the </w:t>
      </w:r>
      <w:r w:rsidRPr="008154B1">
        <w:t xml:space="preserve">baseline attack rate </w:t>
      </w:r>
      <w:r w:rsidR="00CC1AA4" w:rsidRPr="008154B1">
        <w:t>applied in the model (as outlined above), uncertainty around the dos</w:t>
      </w:r>
      <w:r w:rsidR="006500AF" w:rsidRPr="008154B1">
        <w:t>ag</w:t>
      </w:r>
      <w:r w:rsidR="00CC1AA4" w:rsidRPr="008154B1">
        <w:t xml:space="preserve">e regimen that would be </w:t>
      </w:r>
      <w:r w:rsidR="006500AF" w:rsidRPr="008154B1">
        <w:t xml:space="preserve">likely </w:t>
      </w:r>
      <w:r w:rsidR="00CC1AA4" w:rsidRPr="008154B1">
        <w:t>used in clinical practice</w:t>
      </w:r>
      <w:r w:rsidR="006500AF" w:rsidRPr="008154B1">
        <w:t>,</w:t>
      </w:r>
      <w:r w:rsidR="00CC1AA4" w:rsidRPr="008154B1">
        <w:t xml:space="preserve"> and the </w:t>
      </w:r>
      <w:r w:rsidR="006500AF" w:rsidRPr="008154B1">
        <w:t xml:space="preserve">likely optimistic </w:t>
      </w:r>
      <w:r w:rsidR="00CC1AA4" w:rsidRPr="008154B1">
        <w:t xml:space="preserve">between-attack </w:t>
      </w:r>
      <w:r w:rsidRPr="008154B1">
        <w:t>utilities</w:t>
      </w:r>
      <w:r w:rsidR="00E4711C" w:rsidRPr="008154B1">
        <w:t xml:space="preserve"> that were applied (at outlined in the ‘Economic analysis’ section)</w:t>
      </w:r>
      <w:r w:rsidR="00CC1AA4" w:rsidRPr="008154B1">
        <w:t>.</w:t>
      </w:r>
      <w:r w:rsidR="002B3F38" w:rsidRPr="008154B1">
        <w:t xml:space="preserve"> </w:t>
      </w:r>
      <w:r w:rsidR="00EF0394" w:rsidRPr="008154B1">
        <w:t xml:space="preserve">The PBAC noted the model was sensitive to the efficacy estimates and, although differences across the dosage regimens were relatively small, applying the estimate for the Q4W treatment arm (which was assumed to be used in 77% of patients) rather than the Q2W arm had a moderate impact on the ICER. </w:t>
      </w:r>
    </w:p>
    <w:p w:rsidR="00DE37BA" w:rsidRPr="008154B1" w:rsidRDefault="002B3F38" w:rsidP="004B026D">
      <w:pPr>
        <w:pStyle w:val="3-BodyText"/>
      </w:pPr>
      <w:r w:rsidRPr="008154B1">
        <w:t xml:space="preserve">The PBAC considered that the </w:t>
      </w:r>
      <w:r w:rsidR="00950926" w:rsidRPr="008154B1">
        <w:t>financial</w:t>
      </w:r>
      <w:r w:rsidRPr="008154B1">
        <w:t xml:space="preserve"> estimates may have been overestimated </w:t>
      </w:r>
      <w:r w:rsidR="00AB0993" w:rsidRPr="008154B1">
        <w:t xml:space="preserve">as the submission effectively applied prevalence estimates as incidence estimates which meant that the estimated </w:t>
      </w:r>
      <w:r w:rsidR="00AB0993" w:rsidRPr="008154B1">
        <w:rPr>
          <w:iCs/>
        </w:rPr>
        <w:t xml:space="preserve">number of treated patients switching from SOC increased from </w:t>
      </w:r>
      <w:r w:rsidR="0060646F">
        <w:rPr>
          <w:iCs/>
        </w:rPr>
        <w:t xml:space="preserve">less than 10,000 </w:t>
      </w:r>
      <w:r w:rsidR="00AB0993" w:rsidRPr="008154B1">
        <w:rPr>
          <w:iCs/>
        </w:rPr>
        <w:t>in Year 1 (</w:t>
      </w:r>
      <w:r w:rsidR="005E18BF">
        <w:rPr>
          <w:iCs/>
          <w:noProof/>
          <w:color w:val="000000"/>
          <w:highlight w:val="black"/>
        </w:rPr>
        <w:t>''''''</w:t>
      </w:r>
      <w:r w:rsidR="00AB0993" w:rsidRPr="008154B1">
        <w:rPr>
          <w:iCs/>
        </w:rPr>
        <w:t xml:space="preserve">% of the HAE population) to </w:t>
      </w:r>
      <w:r w:rsidR="0060646F">
        <w:rPr>
          <w:iCs/>
        </w:rPr>
        <w:t xml:space="preserve">less than 10,000 </w:t>
      </w:r>
      <w:r w:rsidR="00AB0993" w:rsidRPr="008154B1">
        <w:rPr>
          <w:iCs/>
        </w:rPr>
        <w:t>in Year 6 (</w:t>
      </w:r>
      <w:r w:rsidR="005E18BF">
        <w:rPr>
          <w:iCs/>
          <w:noProof/>
          <w:color w:val="000000"/>
          <w:highlight w:val="black"/>
        </w:rPr>
        <w:t>''''''''</w:t>
      </w:r>
      <w:r w:rsidR="00AB0993" w:rsidRPr="008154B1">
        <w:rPr>
          <w:iCs/>
        </w:rPr>
        <w:t xml:space="preserve">% of the HAE population). The PBAC agreed with the ESC that, while </w:t>
      </w:r>
      <w:r w:rsidR="00AB0993" w:rsidRPr="008154B1">
        <w:t xml:space="preserve">the number of treated patients would increase over time, the submission had overestimated </w:t>
      </w:r>
      <w:r w:rsidR="006500AF" w:rsidRPr="008154B1">
        <w:t>patient numbers</w:t>
      </w:r>
      <w:r w:rsidR="00AB0993" w:rsidRPr="008154B1">
        <w:t xml:space="preserve"> in Years 2 onwards.</w:t>
      </w:r>
    </w:p>
    <w:p w:rsidR="00042702" w:rsidRPr="008154B1" w:rsidRDefault="001B571E" w:rsidP="004B026D">
      <w:pPr>
        <w:pStyle w:val="3-BodyText"/>
      </w:pPr>
      <w:r w:rsidRPr="008154B1">
        <w:t>The PBAC considered that there is a s</w:t>
      </w:r>
      <w:r w:rsidR="00A21D5D" w:rsidRPr="008154B1">
        <w:t>ubstantial r</w:t>
      </w:r>
      <w:r w:rsidR="00042702" w:rsidRPr="008154B1">
        <w:t>isk of us</w:t>
      </w:r>
      <w:r w:rsidRPr="008154B1">
        <w:t xml:space="preserve">e of lanadelumab </w:t>
      </w:r>
      <w:r w:rsidR="00042702" w:rsidRPr="008154B1">
        <w:t>outside the restriction</w:t>
      </w:r>
      <w:r w:rsidR="00AB0993" w:rsidRPr="008154B1">
        <w:t xml:space="preserve"> in patients experiencing fewer HAE attacks than permitted under the restriction</w:t>
      </w:r>
      <w:r w:rsidR="00910AA2" w:rsidRPr="008154B1">
        <w:t xml:space="preserve">, </w:t>
      </w:r>
      <w:r w:rsidR="0096377F" w:rsidRPr="008154B1">
        <w:t>a population for whom</w:t>
      </w:r>
      <w:r w:rsidR="00910AA2" w:rsidRPr="008154B1">
        <w:t xml:space="preserve"> </w:t>
      </w:r>
      <w:r w:rsidR="0096377F" w:rsidRPr="008154B1">
        <w:t xml:space="preserve">lanadelumab is not likely to be cost-effective. The PBAC noted that </w:t>
      </w:r>
      <w:r w:rsidR="00910AA2" w:rsidRPr="008154B1">
        <w:t>use of C1-INH appears to be</w:t>
      </w:r>
      <w:r w:rsidR="00042702" w:rsidRPr="008154B1">
        <w:t xml:space="preserve"> </w:t>
      </w:r>
      <w:r w:rsidR="00A21D5D" w:rsidRPr="008154B1">
        <w:t>significantly higher than initially estimated</w:t>
      </w:r>
      <w:r w:rsidR="00FA4965" w:rsidRPr="008154B1">
        <w:t xml:space="preserve"> (</w:t>
      </w:r>
      <w:r w:rsidR="006500AF" w:rsidRPr="008154B1">
        <w:t xml:space="preserve">based on NBA utilisation data, </w:t>
      </w:r>
      <w:r w:rsidR="00910AA2" w:rsidRPr="008154B1">
        <w:t xml:space="preserve">the submission estimated that </w:t>
      </w:r>
      <w:r w:rsidR="00A82AA8" w:rsidRPr="008154B1">
        <w:t>36 patients</w:t>
      </w:r>
      <w:r w:rsidR="00910AA2" w:rsidRPr="008154B1">
        <w:t xml:space="preserve"> </w:t>
      </w:r>
      <w:r w:rsidR="00312A4C" w:rsidRPr="008154B1">
        <w:t xml:space="preserve">would </w:t>
      </w:r>
      <w:r w:rsidR="00910AA2" w:rsidRPr="008154B1">
        <w:t>use C1-INH as routine prophylaxis</w:t>
      </w:r>
      <w:r w:rsidR="00FA4965" w:rsidRPr="008154B1">
        <w:t xml:space="preserve"> </w:t>
      </w:r>
      <w:r w:rsidR="00910AA2" w:rsidRPr="008154B1">
        <w:t xml:space="preserve">in Year 1, while the MSAC estimated that </w:t>
      </w:r>
      <w:r w:rsidR="00FA4965" w:rsidRPr="008154B1">
        <w:t>8</w:t>
      </w:r>
      <w:r w:rsidR="00A82AA8" w:rsidRPr="008154B1">
        <w:t xml:space="preserve"> patients </w:t>
      </w:r>
      <w:r w:rsidR="00910AA2" w:rsidRPr="008154B1">
        <w:t>would be eligible</w:t>
      </w:r>
      <w:r w:rsidR="00312A4C" w:rsidRPr="008154B1">
        <w:t xml:space="preserve"> for C1-INH</w:t>
      </w:r>
      <w:r w:rsidR="00910AA2" w:rsidRPr="008154B1">
        <w:t xml:space="preserve"> </w:t>
      </w:r>
      <w:r w:rsidR="00A82AA8" w:rsidRPr="008154B1">
        <w:t xml:space="preserve">in </w:t>
      </w:r>
      <w:r w:rsidR="00910AA2" w:rsidRPr="008154B1">
        <w:t>2020</w:t>
      </w:r>
      <w:r w:rsidR="00FA4965" w:rsidRPr="008154B1">
        <w:t>)</w:t>
      </w:r>
      <w:r w:rsidR="00910AA2" w:rsidRPr="008154B1">
        <w:t xml:space="preserve">. </w:t>
      </w:r>
      <w:r w:rsidR="0096377F" w:rsidRPr="008154B1">
        <w:t>As such, t</w:t>
      </w:r>
      <w:r w:rsidR="00AB0993" w:rsidRPr="008154B1">
        <w:t>he PBAC considered that</w:t>
      </w:r>
      <w:r w:rsidR="006500AF" w:rsidRPr="008154B1">
        <w:t xml:space="preserve"> </w:t>
      </w:r>
      <w:r w:rsidR="00CD73E5" w:rsidRPr="008154B1">
        <w:t xml:space="preserve">conservative utilisation estimates would be required to reduce the risk of utilisation in a population that is likely to be cost-ineffective. </w:t>
      </w:r>
    </w:p>
    <w:p w:rsidR="00950926" w:rsidRPr="008154B1" w:rsidRDefault="00950926" w:rsidP="00A21D5D">
      <w:pPr>
        <w:pStyle w:val="3-BodyText"/>
      </w:pPr>
      <w:r w:rsidRPr="008154B1">
        <w:t>The PBAC noted the RSA caps proposed in the pre-PBAC response</w:t>
      </w:r>
      <w:r w:rsidR="0096377F" w:rsidRPr="008154B1">
        <w:t>,</w:t>
      </w:r>
      <w:r w:rsidRPr="008154B1">
        <w:t xml:space="preserve"> but considered that further work was required</w:t>
      </w:r>
      <w:r w:rsidR="0063025C" w:rsidRPr="008154B1">
        <w:t xml:space="preserve"> to ensure the RSA caps would appropriately manage the risks of</w:t>
      </w:r>
      <w:r w:rsidR="0096377F" w:rsidRPr="008154B1">
        <w:t>: (1)</w:t>
      </w:r>
      <w:r w:rsidR="0063025C" w:rsidRPr="008154B1">
        <w:t xml:space="preserve"> use in cost-ineffective populations</w:t>
      </w:r>
      <w:r w:rsidR="0096377F" w:rsidRPr="008154B1">
        <w:t>;</w:t>
      </w:r>
      <w:r w:rsidR="0063025C" w:rsidRPr="008154B1">
        <w:t xml:space="preserve"> and </w:t>
      </w:r>
      <w:r w:rsidR="0096377F" w:rsidRPr="008154B1">
        <w:t xml:space="preserve">(2) </w:t>
      </w:r>
      <w:r w:rsidR="0063025C" w:rsidRPr="008154B1">
        <w:t>the uncertainty in the dosage regimens</w:t>
      </w:r>
      <w:r w:rsidR="007D2DFB">
        <w:t xml:space="preserve"> (per Paragraph 7.9)</w:t>
      </w:r>
      <w:r w:rsidR="0063025C" w:rsidRPr="008154B1">
        <w:t>.</w:t>
      </w:r>
    </w:p>
    <w:p w:rsidR="00DC0357" w:rsidRPr="008154B1" w:rsidRDefault="00950926" w:rsidP="00A21D5D">
      <w:pPr>
        <w:pStyle w:val="3-BodyText"/>
      </w:pPr>
      <w:r w:rsidRPr="008154B1">
        <w:t xml:space="preserve">The PBAC also considered that a </w:t>
      </w:r>
      <w:r w:rsidR="005E18BF">
        <w:rPr>
          <w:noProof/>
          <w:color w:val="000000"/>
          <w:highlight w:val="black"/>
        </w:rPr>
        <w:t>''''''''</w:t>
      </w:r>
      <w:r w:rsidRPr="008154B1">
        <w:t>% rebate should apply for any usage above the total cap</w:t>
      </w:r>
      <w:r w:rsidR="0096377F" w:rsidRPr="008154B1">
        <w:t>.</w:t>
      </w:r>
    </w:p>
    <w:p w:rsidR="00A21D5D" w:rsidRPr="008154B1" w:rsidRDefault="00A21D5D" w:rsidP="004B026D">
      <w:pPr>
        <w:pStyle w:val="3-BodyText"/>
      </w:pPr>
      <w:r w:rsidRPr="008154B1">
        <w:t>The PBAC considered the following</w:t>
      </w:r>
      <w:r w:rsidR="00F86E53" w:rsidRPr="008154B1">
        <w:t xml:space="preserve"> issues</w:t>
      </w:r>
      <w:r w:rsidRPr="008154B1">
        <w:t xml:space="preserve"> would </w:t>
      </w:r>
      <w:r w:rsidR="00F86E53" w:rsidRPr="008154B1">
        <w:t>need to be addressed as part of the deferral, some of which would require stakeholder consultation</w:t>
      </w:r>
      <w:r w:rsidRPr="008154B1">
        <w:t>:</w:t>
      </w:r>
    </w:p>
    <w:p w:rsidR="00CD73E5" w:rsidRPr="008154B1" w:rsidRDefault="00CD73E5" w:rsidP="00305183">
      <w:pPr>
        <w:pStyle w:val="3-BodyText"/>
        <w:numPr>
          <w:ilvl w:val="0"/>
          <w:numId w:val="16"/>
        </w:numPr>
      </w:pPr>
      <w:r w:rsidRPr="008154B1">
        <w:lastRenderedPageBreak/>
        <w:t xml:space="preserve">determine the appropriate baseline number and type of </w:t>
      </w:r>
      <w:r w:rsidR="00CC6458" w:rsidRPr="008154B1">
        <w:t xml:space="preserve">HAE </w:t>
      </w:r>
      <w:r w:rsidRPr="008154B1">
        <w:t xml:space="preserve">attacks for lanadelumab eligibility to ensure use is targeted to a sufficiently high risk population </w:t>
      </w:r>
      <w:r w:rsidR="0063025C" w:rsidRPr="008154B1">
        <w:t>and in whom there is more certainty that lanadelumab represents value-for-money</w:t>
      </w:r>
      <w:r w:rsidR="00C7492D" w:rsidRPr="008154B1">
        <w:t>;</w:t>
      </w:r>
    </w:p>
    <w:p w:rsidR="00A21D5D" w:rsidRPr="008154B1" w:rsidRDefault="00C7492D" w:rsidP="00305183">
      <w:pPr>
        <w:pStyle w:val="3-BodyText"/>
        <w:numPr>
          <w:ilvl w:val="0"/>
          <w:numId w:val="16"/>
        </w:numPr>
      </w:pPr>
      <w:r w:rsidRPr="008154B1">
        <w:t>d</w:t>
      </w:r>
      <w:r w:rsidR="00CD73E5" w:rsidRPr="008154B1">
        <w:t>etermine continuation criteria t</w:t>
      </w:r>
      <w:r w:rsidR="00312A4C" w:rsidRPr="008154B1">
        <w:t xml:space="preserve">hat </w:t>
      </w:r>
      <w:r w:rsidR="00CD73E5" w:rsidRPr="008154B1">
        <w:t>ensure ongoing use is targeted to patients deriving appropriate clinical benefit</w:t>
      </w:r>
      <w:r w:rsidR="00312A4C" w:rsidRPr="008154B1">
        <w:t>;</w:t>
      </w:r>
      <w:r w:rsidR="0063025C" w:rsidRPr="008154B1">
        <w:t xml:space="preserve"> </w:t>
      </w:r>
    </w:p>
    <w:p w:rsidR="00C7492D" w:rsidRPr="008154B1" w:rsidRDefault="00C7492D" w:rsidP="00C7492D">
      <w:pPr>
        <w:pStyle w:val="3-BodyText"/>
        <w:numPr>
          <w:ilvl w:val="0"/>
          <w:numId w:val="16"/>
        </w:numPr>
      </w:pPr>
      <w:r w:rsidRPr="008154B1">
        <w:t>address the PBAC’s concerns regarding the large difference in costs between the 300 mg Q4W and Q2W dosage regiments, despite the similarity in clinical outcomes between the regimens</w:t>
      </w:r>
      <w:r w:rsidR="00312A4C" w:rsidRPr="008154B1">
        <w:t>;</w:t>
      </w:r>
    </w:p>
    <w:p w:rsidR="00F86E53" w:rsidRPr="008154B1" w:rsidRDefault="00F86E53" w:rsidP="00F86E53">
      <w:pPr>
        <w:pStyle w:val="3-BodyText"/>
        <w:numPr>
          <w:ilvl w:val="0"/>
          <w:numId w:val="16"/>
        </w:numPr>
      </w:pPr>
      <w:r w:rsidRPr="008154B1">
        <w:t>address the PBAC’s concerns regarding the economic model (as outlined above)</w:t>
      </w:r>
      <w:r w:rsidR="00312A4C" w:rsidRPr="008154B1">
        <w:t>;</w:t>
      </w:r>
    </w:p>
    <w:p w:rsidR="00F86E53" w:rsidRPr="008154B1" w:rsidRDefault="00F86E53" w:rsidP="00F86E53">
      <w:pPr>
        <w:pStyle w:val="3-BodyText"/>
        <w:numPr>
          <w:ilvl w:val="0"/>
          <w:numId w:val="16"/>
        </w:numPr>
      </w:pPr>
      <w:r w:rsidRPr="008154B1">
        <w:t xml:space="preserve">update the financial estimates based on the population encompassed by </w:t>
      </w:r>
      <w:r w:rsidR="00CC6458" w:rsidRPr="008154B1">
        <w:t>any revisions to the</w:t>
      </w:r>
      <w:r w:rsidRPr="008154B1">
        <w:t xml:space="preserve"> restriction</w:t>
      </w:r>
      <w:r w:rsidR="00C7492D" w:rsidRPr="008154B1">
        <w:t xml:space="preserve"> and to address the PBAC’s concerns regarding the financial estimates</w:t>
      </w:r>
      <w:r w:rsidRPr="008154B1">
        <w:t>;</w:t>
      </w:r>
      <w:r w:rsidR="00312A4C" w:rsidRPr="008154B1">
        <w:t xml:space="preserve"> and</w:t>
      </w:r>
    </w:p>
    <w:p w:rsidR="00F86E53" w:rsidRPr="008154B1" w:rsidRDefault="00312A4C" w:rsidP="00950926">
      <w:pPr>
        <w:pStyle w:val="3-BodyText"/>
        <w:numPr>
          <w:ilvl w:val="0"/>
          <w:numId w:val="16"/>
        </w:numPr>
      </w:pPr>
      <w:r w:rsidRPr="008154B1">
        <w:t xml:space="preserve">provide an updated </w:t>
      </w:r>
      <w:r w:rsidR="00F86E53" w:rsidRPr="008154B1">
        <w:t xml:space="preserve">RSA proposal </w:t>
      </w:r>
      <w:r w:rsidRPr="008154B1">
        <w:t>(as outlined above).</w:t>
      </w:r>
      <w:r w:rsidR="00F86E53" w:rsidRPr="008154B1">
        <w:t xml:space="preserve"> </w:t>
      </w:r>
    </w:p>
    <w:p w:rsidR="004B026D" w:rsidRPr="009F6506" w:rsidRDefault="004B026D" w:rsidP="004B026D">
      <w:pPr>
        <w:autoSpaceDE w:val="0"/>
        <w:autoSpaceDN w:val="0"/>
        <w:adjustRightInd w:val="0"/>
        <w:spacing w:before="240"/>
        <w:jc w:val="left"/>
        <w:rPr>
          <w:rFonts w:asciiTheme="minorHAnsi" w:hAnsiTheme="minorHAnsi" w:cs="Times New Roman"/>
          <w:b/>
          <w:bCs/>
        </w:rPr>
      </w:pPr>
      <w:r w:rsidRPr="009F6506">
        <w:rPr>
          <w:rFonts w:asciiTheme="minorHAnsi" w:hAnsiTheme="minorHAnsi" w:cs="Times New Roman"/>
          <w:b/>
          <w:bCs/>
        </w:rPr>
        <w:t>Outcome:</w:t>
      </w:r>
    </w:p>
    <w:p w:rsidR="004B026D" w:rsidRDefault="004B026D" w:rsidP="009F6506">
      <w:pPr>
        <w:autoSpaceDE w:val="0"/>
        <w:autoSpaceDN w:val="0"/>
        <w:adjustRightInd w:val="0"/>
        <w:spacing w:after="120"/>
        <w:jc w:val="left"/>
        <w:rPr>
          <w:rFonts w:asciiTheme="minorHAnsi" w:hAnsiTheme="minorHAnsi"/>
          <w:snapToGrid w:val="0"/>
        </w:rPr>
      </w:pPr>
      <w:r w:rsidRPr="009F6506">
        <w:rPr>
          <w:rFonts w:asciiTheme="minorHAnsi" w:hAnsiTheme="minorHAnsi"/>
          <w:snapToGrid w:val="0"/>
        </w:rPr>
        <w:t xml:space="preserve">Deferred </w:t>
      </w:r>
    </w:p>
    <w:p w:rsidR="00EC2BB7" w:rsidRDefault="00EC2BB7" w:rsidP="00EC2BB7">
      <w:pPr>
        <w:pStyle w:val="2-SectionHeading"/>
        <w:numPr>
          <w:ilvl w:val="0"/>
          <w:numId w:val="1"/>
        </w:numPr>
        <w:rPr>
          <w:color w:val="1F497D"/>
        </w:rPr>
      </w:pPr>
      <w:r w:rsidRPr="00C07617">
        <w:t>Context for Decision</w:t>
      </w:r>
    </w:p>
    <w:p w:rsidR="00EC2BB7" w:rsidRPr="007129F2" w:rsidRDefault="00EC2BB7" w:rsidP="00EC2BB7">
      <w:pPr>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EC2BB7" w:rsidRPr="00C07617" w:rsidRDefault="00EC2BB7" w:rsidP="00EC2BB7">
      <w:pPr>
        <w:pStyle w:val="2-SectionHeading"/>
        <w:numPr>
          <w:ilvl w:val="0"/>
          <w:numId w:val="1"/>
        </w:numPr>
        <w:rPr>
          <w:b w:val="0"/>
        </w:rPr>
      </w:pPr>
      <w:r w:rsidRPr="00C07617" w:rsidDel="007129F2">
        <w:t xml:space="preserve"> </w:t>
      </w:r>
      <w:r>
        <w:t>Sponsor’s Comment</w:t>
      </w:r>
    </w:p>
    <w:p w:rsidR="00EC2BB7" w:rsidRPr="001179AC" w:rsidRDefault="00EC2BB7" w:rsidP="00EC2BB7">
      <w:pPr>
        <w:spacing w:after="120"/>
        <w:rPr>
          <w:rFonts w:asciiTheme="minorHAnsi" w:hAnsiTheme="minorHAnsi"/>
          <w:bCs/>
        </w:rPr>
      </w:pPr>
      <w:r w:rsidRPr="00C07617">
        <w:rPr>
          <w:rFonts w:asciiTheme="minorHAnsi" w:hAnsiTheme="minorHAnsi"/>
          <w:bCs/>
        </w:rPr>
        <w:t>The sponsor had no comment.</w:t>
      </w:r>
    </w:p>
    <w:p w:rsidR="00EC2BB7" w:rsidRPr="009F6506" w:rsidRDefault="00EC2BB7" w:rsidP="009F6506">
      <w:pPr>
        <w:autoSpaceDE w:val="0"/>
        <w:autoSpaceDN w:val="0"/>
        <w:adjustRightInd w:val="0"/>
        <w:spacing w:after="120"/>
        <w:jc w:val="left"/>
        <w:rPr>
          <w:rFonts w:asciiTheme="minorHAnsi" w:hAnsiTheme="minorHAnsi"/>
          <w:snapToGrid w:val="0"/>
        </w:rPr>
      </w:pPr>
      <w:bookmarkStart w:id="38" w:name="_GoBack"/>
      <w:bookmarkEnd w:id="29"/>
      <w:bookmarkEnd w:id="38"/>
    </w:p>
    <w:sectPr w:rsidR="00EC2BB7" w:rsidRPr="009F6506" w:rsidSect="00F45B99">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4A7C" w16cex:dateUtc="2020-06-16T22:23:00Z"/>
  <w16cex:commentExtensible w16cex:durableId="22944B44" w16cex:dateUtc="2020-06-16T22:26:00Z"/>
  <w16cex:commentExtensible w16cex:durableId="22944BB6" w16cex:dateUtc="2020-06-16T22:28:00Z"/>
  <w16cex:commentExtensible w16cex:durableId="229B3DB8" w16cex:dateUtc="2020-06-22T04:24:00Z"/>
  <w16cex:commentExtensible w16cex:durableId="22944CCB" w16cex:dateUtc="2020-06-16T22:33:00Z"/>
  <w16cex:commentExtensible w16cex:durableId="22944D96" w16cex:dateUtc="2020-06-16T22:36:00Z"/>
  <w16cex:commentExtensible w16cex:durableId="229B3E0A" w16cex:dateUtc="2020-06-22T0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69A5DE" w16cid:durableId="22944A40"/>
  <w16cid:commentId w16cid:paraId="67EB0B12" w16cid:durableId="22944A7C"/>
  <w16cid:commentId w16cid:paraId="6C7BB8F2" w16cid:durableId="22944A41"/>
  <w16cid:commentId w16cid:paraId="66A61DA5" w16cid:durableId="22944B44"/>
  <w16cid:commentId w16cid:paraId="6A707139" w16cid:durableId="22944A42"/>
  <w16cid:commentId w16cid:paraId="0C926771" w16cid:durableId="22944BB6"/>
  <w16cid:commentId w16cid:paraId="66075C1E" w16cid:durableId="229B3DB8"/>
  <w16cid:commentId w16cid:paraId="7BA9BD35" w16cid:durableId="22944A43"/>
  <w16cid:commentId w16cid:paraId="7307FB04" w16cid:durableId="22944CCB"/>
  <w16cid:commentId w16cid:paraId="0A557DB7" w16cid:durableId="22944A44"/>
  <w16cid:commentId w16cid:paraId="5617519B" w16cid:durableId="22944D96"/>
  <w16cid:commentId w16cid:paraId="68868500" w16cid:durableId="229B3E0A"/>
  <w16cid:commentId w16cid:paraId="4F31A541" w16cid:durableId="22944A45"/>
  <w16cid:commentId w16cid:paraId="23AA067A" w16cid:durableId="22944A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8BF" w:rsidRDefault="005E18BF" w:rsidP="00124A51">
      <w:r>
        <w:separator/>
      </w:r>
    </w:p>
    <w:p w:rsidR="005E18BF" w:rsidRDefault="005E18BF"/>
  </w:endnote>
  <w:endnote w:type="continuationSeparator" w:id="0">
    <w:p w:rsidR="005E18BF" w:rsidRDefault="005E18BF" w:rsidP="00124A51">
      <w:r>
        <w:continuationSeparator/>
      </w:r>
    </w:p>
    <w:p w:rsidR="005E18BF" w:rsidRDefault="005E1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8BF" w:rsidRDefault="005E1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859449"/>
      <w:docPartObj>
        <w:docPartGallery w:val="Page Numbers (Bottom of Page)"/>
        <w:docPartUnique/>
      </w:docPartObj>
    </w:sdtPr>
    <w:sdtEndPr>
      <w:rPr>
        <w:b/>
        <w:noProof/>
      </w:rPr>
    </w:sdtEndPr>
    <w:sdtContent>
      <w:p w:rsidR="00AB3C3A" w:rsidRDefault="00AB3C3A">
        <w:pPr>
          <w:pStyle w:val="Footer"/>
          <w:jc w:val="center"/>
        </w:pPr>
      </w:p>
      <w:p w:rsidR="00AB3C3A" w:rsidRPr="00F9614B" w:rsidRDefault="00AB3C3A">
        <w:pPr>
          <w:pStyle w:val="Footer"/>
          <w:jc w:val="center"/>
          <w:rPr>
            <w:b/>
          </w:rPr>
        </w:pPr>
        <w:r w:rsidRPr="00F9614B">
          <w:rPr>
            <w:b/>
          </w:rPr>
          <w:fldChar w:fldCharType="begin"/>
        </w:r>
        <w:r w:rsidRPr="00F9614B">
          <w:rPr>
            <w:b/>
          </w:rPr>
          <w:instrText xml:space="preserve"> PAGE   \* MERGEFORMAT </w:instrText>
        </w:r>
        <w:r w:rsidRPr="00F9614B">
          <w:rPr>
            <w:b/>
          </w:rPr>
          <w:fldChar w:fldCharType="separate"/>
        </w:r>
        <w:r w:rsidR="00CD20FA">
          <w:rPr>
            <w:b/>
            <w:noProof/>
          </w:rPr>
          <w:t>39</w:t>
        </w:r>
        <w:r w:rsidRPr="00F9614B">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8BF" w:rsidRDefault="005E1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8BF" w:rsidRDefault="005E18BF" w:rsidP="00124A51">
      <w:r>
        <w:separator/>
      </w:r>
    </w:p>
    <w:p w:rsidR="005E18BF" w:rsidRDefault="005E18BF"/>
  </w:footnote>
  <w:footnote w:type="continuationSeparator" w:id="0">
    <w:p w:rsidR="005E18BF" w:rsidRDefault="005E18BF" w:rsidP="00124A51">
      <w:r>
        <w:continuationSeparator/>
      </w:r>
    </w:p>
    <w:p w:rsidR="005E18BF" w:rsidRDefault="005E18BF"/>
  </w:footnote>
  <w:footnote w:id="1">
    <w:p w:rsidR="00AB3C3A" w:rsidRDefault="00AB3C3A">
      <w:pPr>
        <w:pStyle w:val="FootnoteText"/>
      </w:pPr>
      <w:r>
        <w:rPr>
          <w:rStyle w:val="FootnoteReference"/>
        </w:rPr>
        <w:footnoteRef/>
      </w:r>
      <w:r>
        <w:t xml:space="preserve"> U</w:t>
      </w:r>
      <w:r w:rsidRPr="00216C54">
        <w:t>nder the ‘National Blood Agreement’</w:t>
      </w:r>
      <w:r>
        <w:t>, there is joint funding by the Commonwealth and the States and Territories in agreed proportions (</w:t>
      </w:r>
      <w:r w:rsidRPr="005C7360">
        <w:t>https://www.blood.gov.au/national-blood-agreement</w:t>
      </w:r>
      <w:r>
        <w:t>)</w:t>
      </w:r>
      <w:r w:rsidRPr="00216C54">
        <w:t>.</w:t>
      </w:r>
    </w:p>
  </w:footnote>
  <w:footnote w:id="2">
    <w:p w:rsidR="00AB3C3A" w:rsidRDefault="00AB3C3A">
      <w:pPr>
        <w:pStyle w:val="FootnoteText"/>
      </w:pPr>
      <w:r>
        <w:rPr>
          <w:rStyle w:val="FootnoteReference"/>
        </w:rPr>
        <w:footnoteRef/>
      </w:r>
      <w:r>
        <w:t xml:space="preserve"> </w:t>
      </w:r>
      <w:r w:rsidRPr="00E40AD4">
        <w:t xml:space="preserve">Banerji A, Riedl MA, Bernstein JA, Cicardi M, Longhurst HJ, Zuraw BL, et al. Effect of Lanadelumab Compared with Placebo on Prevention of Hereditary Angioedema Attacks: A Randomized Clinical Trial. </w:t>
      </w:r>
      <w:r w:rsidRPr="00E40AD4">
        <w:rPr>
          <w:i/>
        </w:rPr>
        <w:t>JAMA</w:t>
      </w:r>
      <w:r w:rsidRPr="00E40AD4">
        <w:t xml:space="preserve"> 2018;320(20):2108-21</w:t>
      </w:r>
    </w:p>
  </w:footnote>
  <w:footnote w:id="3">
    <w:p w:rsidR="00AB3C3A" w:rsidRDefault="00AB3C3A" w:rsidP="002973B2">
      <w:pPr>
        <w:pStyle w:val="FootnoteText"/>
      </w:pPr>
      <w:r>
        <w:rPr>
          <w:rStyle w:val="FootnoteReference"/>
        </w:rPr>
        <w:footnoteRef/>
      </w:r>
      <w:r>
        <w:t xml:space="preserve"> </w:t>
      </w:r>
      <w:r w:rsidRPr="005A54CD">
        <w:t>https://apps.tga.gov.au/Prod/msi/Search/Details/danazol</w:t>
      </w:r>
    </w:p>
  </w:footnote>
  <w:footnote w:id="4">
    <w:p w:rsidR="00AB3C3A" w:rsidRDefault="00AB3C3A" w:rsidP="002973B2">
      <w:pPr>
        <w:pStyle w:val="FootnoteText"/>
      </w:pPr>
      <w:r>
        <w:rPr>
          <w:rStyle w:val="FootnoteReference"/>
        </w:rPr>
        <w:footnoteRef/>
      </w:r>
      <w:r>
        <w:t xml:space="preserve"> </w:t>
      </w:r>
      <w:r w:rsidRPr="00935622">
        <w:t>https://allergy.org.au/about-ascia/info-updates/product-supply-update-danazol</w:t>
      </w:r>
    </w:p>
  </w:footnote>
  <w:footnote w:id="5">
    <w:p w:rsidR="00AB3C3A" w:rsidRDefault="00AB3C3A">
      <w:pPr>
        <w:pStyle w:val="FootnoteText"/>
      </w:pPr>
      <w:r>
        <w:rPr>
          <w:rStyle w:val="FootnoteReference"/>
        </w:rPr>
        <w:footnoteRef/>
      </w:r>
      <w:r>
        <w:t xml:space="preserve"> </w:t>
      </w:r>
      <w:r w:rsidRPr="003E2FDE">
        <w:rPr>
          <w:rFonts w:ascii="Arial Narrow" w:hAnsi="Arial Narrow"/>
        </w:rPr>
        <w:t>https://clinicaltrials.gov/ct2/show/NCT04180163?term=lanadelumab&amp;cntry=JP&amp;draw=2&amp;rank=1</w:t>
      </w:r>
    </w:p>
  </w:footnote>
  <w:footnote w:id="6">
    <w:p w:rsidR="00AB3C3A" w:rsidRPr="00BD12CB" w:rsidRDefault="00AB3C3A">
      <w:pPr>
        <w:pStyle w:val="FootnoteText"/>
        <w:rPr>
          <w:lang w:val="en-US"/>
        </w:rPr>
      </w:pPr>
      <w:r>
        <w:rPr>
          <w:rStyle w:val="FootnoteReference"/>
        </w:rPr>
        <w:footnoteRef/>
      </w:r>
      <w:r>
        <w:t xml:space="preserve"> </w:t>
      </w:r>
      <w:r w:rsidRPr="00BD12CB">
        <w:rPr>
          <w:noProof/>
        </w:rPr>
        <w:t>Banerji A, Riedl MA, Bernstein JA, Cicardi M, Longhurst HJ, Zuraw BL, et al. Effect of Lanadelumab Compared with Placebo on Prevention of Hereditary Angioedema Attacks: A Randomized Clinical Trial. JAMA - Journal of the American Medical Association. 2018;320(20):2108-21.</w:t>
      </w:r>
    </w:p>
  </w:footnote>
  <w:footnote w:id="7">
    <w:p w:rsidR="00AB3C3A" w:rsidRDefault="00AB3C3A" w:rsidP="00AD67B3">
      <w:pPr>
        <w:pStyle w:val="FootnoteText"/>
        <w:ind w:left="142" w:hanging="142"/>
      </w:pPr>
      <w:r>
        <w:rPr>
          <w:rStyle w:val="FootnoteReference"/>
        </w:rPr>
        <w:footnoteRef/>
      </w:r>
      <w:r>
        <w:t xml:space="preserve"> </w:t>
      </w:r>
      <w:r w:rsidRPr="00C86AD9">
        <w:t>Nordenfelt P, Dawson S</w:t>
      </w:r>
      <w:r w:rsidRPr="00C86AD9">
        <w:rPr>
          <w:i/>
        </w:rPr>
        <w:t>, et al.</w:t>
      </w:r>
      <w:r w:rsidRPr="00C86AD9">
        <w:t xml:space="preserve"> Quantifying the burden of disease and perceived health state in patients with hereditary angioedema in Sweden. </w:t>
      </w:r>
      <w:r w:rsidRPr="00C86AD9">
        <w:rPr>
          <w:i/>
        </w:rPr>
        <w:t>Allergy Asthma Proc</w:t>
      </w:r>
      <w:r w:rsidRPr="00C86AD9">
        <w:t>. 2014; 35 (2):185-90.</w:t>
      </w:r>
    </w:p>
    <w:p w:rsidR="00AB3C3A" w:rsidRPr="00D63129" w:rsidRDefault="00AB3C3A" w:rsidP="00AD67B3">
      <w:pPr>
        <w:pStyle w:val="FootnoteText"/>
        <w:ind w:left="142"/>
        <w:rPr>
          <w:lang w:val="en-US"/>
        </w:rPr>
      </w:pPr>
      <w:r w:rsidRPr="00C86AD9">
        <w:t>Nordenfelt P, Nilsson M</w:t>
      </w:r>
      <w:r w:rsidRPr="00C86AD9">
        <w:rPr>
          <w:i/>
        </w:rPr>
        <w:t>, et al.</w:t>
      </w:r>
      <w:r w:rsidRPr="00C86AD9">
        <w:t xml:space="preserve"> Health-related quality of life in relation to disease activity in adults with hereditary angioedema in Sweden. </w:t>
      </w:r>
      <w:r w:rsidRPr="00C86AD9">
        <w:rPr>
          <w:i/>
        </w:rPr>
        <w:t>Allergy Asthma Proc</w:t>
      </w:r>
      <w:r w:rsidRPr="00C86AD9">
        <w:t>. 2017; 38 (6):447-55</w:t>
      </w:r>
      <w:r>
        <w:t>.</w:t>
      </w:r>
    </w:p>
  </w:footnote>
  <w:footnote w:id="8">
    <w:p w:rsidR="00AB3C3A" w:rsidRDefault="00AB3C3A" w:rsidP="00AD67B3">
      <w:pPr>
        <w:pStyle w:val="FootnoteText"/>
      </w:pPr>
      <w:r>
        <w:rPr>
          <w:rStyle w:val="FootnoteReference"/>
        </w:rPr>
        <w:footnoteRef/>
      </w:r>
      <w:r>
        <w:t xml:space="preserve"> The ‘at risk’ patients comprised the prevalent HAE patient population excluding patients receiving C1-INH prophylaxis when lanadelumab is first listed and patients who commenced lanadelumab in previous years.</w:t>
      </w:r>
    </w:p>
  </w:footnote>
  <w:footnote w:id="9">
    <w:p w:rsidR="00AB3C3A" w:rsidRDefault="00AB3C3A" w:rsidP="00AD67B3">
      <w:pPr>
        <w:pStyle w:val="FootnoteText"/>
      </w:pPr>
      <w:r>
        <w:rPr>
          <w:rStyle w:val="FootnoteReference"/>
        </w:rPr>
        <w:footnoteRef/>
      </w:r>
      <w:r>
        <w:t xml:space="preserve"> Based on the recommended dose of 20 IU/kg twice weekly and the weight distribution of the Australian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8BF" w:rsidRDefault="005E1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C3A" w:rsidRPr="0033193C" w:rsidRDefault="00AB3C3A" w:rsidP="0033193C">
    <w:pPr>
      <w:tabs>
        <w:tab w:val="center" w:pos="4153"/>
        <w:tab w:val="right" w:pos="8306"/>
      </w:tabs>
      <w:autoSpaceDE w:val="0"/>
      <w:autoSpaceDN w:val="0"/>
      <w:adjustRightInd w:val="0"/>
      <w:ind w:left="360"/>
      <w:jc w:val="center"/>
      <w:rPr>
        <w:rFonts w:asciiTheme="minorHAnsi" w:hAnsiTheme="minorHAnsi" w:cstheme="minorHAnsi"/>
        <w:i/>
        <w:iCs/>
      </w:rPr>
    </w:pPr>
    <w:r>
      <w:rPr>
        <w:rFonts w:asciiTheme="minorHAnsi" w:hAnsiTheme="minorHAnsi" w:cstheme="minorHAnsi"/>
        <w:i/>
        <w:iCs/>
      </w:rPr>
      <w:t>Public Summary Document</w:t>
    </w:r>
    <w:r w:rsidRPr="0033193C">
      <w:rPr>
        <w:rFonts w:asciiTheme="minorHAnsi" w:hAnsiTheme="minorHAnsi" w:cstheme="minorHAnsi"/>
        <w:i/>
        <w:iCs/>
      </w:rPr>
      <w:t xml:space="preserve"> – July 20</w:t>
    </w:r>
    <w:r>
      <w:rPr>
        <w:rFonts w:asciiTheme="minorHAnsi" w:hAnsiTheme="minorHAnsi" w:cstheme="minorHAnsi"/>
        <w:i/>
        <w:iCs/>
      </w:rPr>
      <w:t>20</w:t>
    </w:r>
    <w:r w:rsidRPr="0033193C">
      <w:rPr>
        <w:rFonts w:asciiTheme="minorHAnsi" w:hAnsiTheme="minorHAnsi" w:cstheme="minorHAnsi"/>
        <w:i/>
        <w:iCs/>
      </w:rPr>
      <w:t xml:space="preserve"> PBAC Meeting</w:t>
    </w:r>
  </w:p>
  <w:p w:rsidR="00AB3C3A" w:rsidRPr="008C7ECB" w:rsidRDefault="00AB3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8BF" w:rsidRDefault="005E1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A922C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C659B"/>
    <w:multiLevelType w:val="hybridMultilevel"/>
    <w:tmpl w:val="FDA2C7E4"/>
    <w:lvl w:ilvl="0" w:tplc="D8C0EF6E">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C33E1D"/>
    <w:multiLevelType w:val="hybridMultilevel"/>
    <w:tmpl w:val="48F2EB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D1FE7"/>
    <w:multiLevelType w:val="hybridMultilevel"/>
    <w:tmpl w:val="138C5C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4534BA0"/>
    <w:multiLevelType w:val="hybridMultilevel"/>
    <w:tmpl w:val="F2EE4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0F16F0"/>
    <w:multiLevelType w:val="hybridMultilevel"/>
    <w:tmpl w:val="0178D7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0C18C4"/>
    <w:multiLevelType w:val="hybridMultilevel"/>
    <w:tmpl w:val="B3320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981EAF"/>
    <w:multiLevelType w:val="hybridMultilevel"/>
    <w:tmpl w:val="F1C6C042"/>
    <w:lvl w:ilvl="0" w:tplc="B7024A9E">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8D2455E"/>
    <w:multiLevelType w:val="hybridMultilevel"/>
    <w:tmpl w:val="307A1A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2DC4B17"/>
    <w:multiLevelType w:val="hybridMultilevel"/>
    <w:tmpl w:val="F8C8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DE366C"/>
    <w:multiLevelType w:val="hybridMultilevel"/>
    <w:tmpl w:val="38941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CC605F"/>
    <w:multiLevelType w:val="hybridMultilevel"/>
    <w:tmpl w:val="605C40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84D033C"/>
    <w:multiLevelType w:val="multilevel"/>
    <w:tmpl w:val="9E00056E"/>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9508" w:hanging="720"/>
      </w:pPr>
      <w:rPr>
        <w:rFonts w:ascii="Calibri" w:hAnsi="Calibri" w:cs="Calibri" w:hint="default"/>
        <w:b w:val="0"/>
        <w:bCs w:val="0"/>
        <w:i w:val="0"/>
        <w:iCs w:val="0"/>
        <w:caps w:val="0"/>
        <w:smallCaps w:val="0"/>
        <w:strike w:val="0"/>
        <w:dstrike w:val="0"/>
        <w:outline w:val="0"/>
        <w:shadow w:val="0"/>
        <w:emboss w:val="0"/>
        <w:imprint w:val="0"/>
        <w:noProof w:val="0"/>
        <w:snapToGrid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9EC272B"/>
    <w:multiLevelType w:val="hybridMultilevel"/>
    <w:tmpl w:val="10C4B6B6"/>
    <w:lvl w:ilvl="0" w:tplc="0B4A5B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2C42BE"/>
    <w:multiLevelType w:val="hybridMultilevel"/>
    <w:tmpl w:val="A63E0D84"/>
    <w:lvl w:ilvl="0" w:tplc="C6D695C8">
      <w:start w:val="1"/>
      <w:numFmt w:val="lowerLetter"/>
      <w:lvlText w:val="%1)"/>
      <w:lvlJc w:val="left"/>
      <w:pPr>
        <w:ind w:left="528" w:hanging="360"/>
      </w:pPr>
      <w:rPr>
        <w:rFonts w:hint="default"/>
      </w:rPr>
    </w:lvl>
    <w:lvl w:ilvl="1" w:tplc="0C090019" w:tentative="1">
      <w:start w:val="1"/>
      <w:numFmt w:val="lowerLetter"/>
      <w:lvlText w:val="%2."/>
      <w:lvlJc w:val="left"/>
      <w:pPr>
        <w:ind w:left="1248" w:hanging="360"/>
      </w:pPr>
    </w:lvl>
    <w:lvl w:ilvl="2" w:tplc="0C09001B" w:tentative="1">
      <w:start w:val="1"/>
      <w:numFmt w:val="lowerRoman"/>
      <w:lvlText w:val="%3."/>
      <w:lvlJc w:val="right"/>
      <w:pPr>
        <w:ind w:left="1968" w:hanging="180"/>
      </w:pPr>
    </w:lvl>
    <w:lvl w:ilvl="3" w:tplc="0C09000F" w:tentative="1">
      <w:start w:val="1"/>
      <w:numFmt w:val="decimal"/>
      <w:lvlText w:val="%4."/>
      <w:lvlJc w:val="left"/>
      <w:pPr>
        <w:ind w:left="2688" w:hanging="360"/>
      </w:pPr>
    </w:lvl>
    <w:lvl w:ilvl="4" w:tplc="0C090019" w:tentative="1">
      <w:start w:val="1"/>
      <w:numFmt w:val="lowerLetter"/>
      <w:lvlText w:val="%5."/>
      <w:lvlJc w:val="left"/>
      <w:pPr>
        <w:ind w:left="3408" w:hanging="360"/>
      </w:pPr>
    </w:lvl>
    <w:lvl w:ilvl="5" w:tplc="0C09001B" w:tentative="1">
      <w:start w:val="1"/>
      <w:numFmt w:val="lowerRoman"/>
      <w:lvlText w:val="%6."/>
      <w:lvlJc w:val="right"/>
      <w:pPr>
        <w:ind w:left="4128" w:hanging="180"/>
      </w:pPr>
    </w:lvl>
    <w:lvl w:ilvl="6" w:tplc="0C09000F" w:tentative="1">
      <w:start w:val="1"/>
      <w:numFmt w:val="decimal"/>
      <w:lvlText w:val="%7."/>
      <w:lvlJc w:val="left"/>
      <w:pPr>
        <w:ind w:left="4848" w:hanging="360"/>
      </w:pPr>
    </w:lvl>
    <w:lvl w:ilvl="7" w:tplc="0C090019" w:tentative="1">
      <w:start w:val="1"/>
      <w:numFmt w:val="lowerLetter"/>
      <w:lvlText w:val="%8."/>
      <w:lvlJc w:val="left"/>
      <w:pPr>
        <w:ind w:left="5568" w:hanging="360"/>
      </w:pPr>
    </w:lvl>
    <w:lvl w:ilvl="8" w:tplc="0C09001B" w:tentative="1">
      <w:start w:val="1"/>
      <w:numFmt w:val="lowerRoman"/>
      <w:lvlText w:val="%9."/>
      <w:lvlJc w:val="right"/>
      <w:pPr>
        <w:ind w:left="6288" w:hanging="180"/>
      </w:pPr>
    </w:lvl>
  </w:abstractNum>
  <w:num w:numId="1">
    <w:abstractNumId w:val="14"/>
  </w:num>
  <w:num w:numId="2">
    <w:abstractNumId w:val="7"/>
  </w:num>
  <w:num w:numId="3">
    <w:abstractNumId w:val="8"/>
  </w:num>
  <w:num w:numId="4">
    <w:abstractNumId w:val="0"/>
  </w:num>
  <w:num w:numId="5">
    <w:abstractNumId w:val="14"/>
  </w:num>
  <w:num w:numId="6">
    <w:abstractNumId w:val="15"/>
  </w:num>
  <w:num w:numId="7">
    <w:abstractNumId w:val="11"/>
  </w:num>
  <w:num w:numId="8">
    <w:abstractNumId w:val="10"/>
  </w:num>
  <w:num w:numId="9">
    <w:abstractNumId w:val="2"/>
  </w:num>
  <w:num w:numId="10">
    <w:abstractNumId w:val="4"/>
  </w:num>
  <w:num w:numId="11">
    <w:abstractNumId w:val="12"/>
  </w:num>
  <w:num w:numId="12">
    <w:abstractNumId w:val="6"/>
  </w:num>
  <w:num w:numId="13">
    <w:abstractNumId w:val="5"/>
  </w:num>
  <w:num w:numId="14">
    <w:abstractNumId w:val="16"/>
  </w:num>
  <w:num w:numId="15">
    <w:abstractNumId w:val="13"/>
  </w:num>
  <w:num w:numId="16">
    <w:abstractNumId w:val="3"/>
  </w:num>
  <w:num w:numId="17">
    <w:abstractNumId w:val="1"/>
  </w:num>
  <w:num w:numId="18">
    <w:abstractNumId w:val="9"/>
  </w:num>
  <w:num w:numId="19">
    <w:abstractNumId w:val="14"/>
  </w:num>
  <w:num w:numId="2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spwe0t5aza2v3ewwaz5srew2fpzdpazzfwv&quot;&gt;Lana&lt;record-ids&gt;&lt;item&gt;1&lt;/item&gt;&lt;item&gt;14&lt;/item&gt;&lt;item&gt;24&lt;/item&gt;&lt;item&gt;62&lt;/item&gt;&lt;item&gt;64&lt;/item&gt;&lt;item&gt;66&lt;/item&gt;&lt;item&gt;69&lt;/item&gt;&lt;item&gt;71&lt;/item&gt;&lt;item&gt;72&lt;/item&gt;&lt;item&gt;104&lt;/item&gt;&lt;item&gt;105&lt;/item&gt;&lt;item&gt;106&lt;/item&gt;&lt;item&gt;110&lt;/item&gt;&lt;item&gt;111&lt;/item&gt;&lt;item&gt;112&lt;/item&gt;&lt;item&gt;113&lt;/item&gt;&lt;/record-ids&gt;&lt;/item&gt;&lt;/Libraries&gt;"/>
  </w:docVars>
  <w:rsids>
    <w:rsidRoot w:val="00E65E79"/>
    <w:rsid w:val="00000790"/>
    <w:rsid w:val="0000110B"/>
    <w:rsid w:val="0000146B"/>
    <w:rsid w:val="000021EB"/>
    <w:rsid w:val="00003499"/>
    <w:rsid w:val="000039B7"/>
    <w:rsid w:val="00003DAB"/>
    <w:rsid w:val="0000639A"/>
    <w:rsid w:val="0000679B"/>
    <w:rsid w:val="0000717D"/>
    <w:rsid w:val="000103A5"/>
    <w:rsid w:val="00013247"/>
    <w:rsid w:val="000139E1"/>
    <w:rsid w:val="00013E00"/>
    <w:rsid w:val="00015886"/>
    <w:rsid w:val="000162EF"/>
    <w:rsid w:val="000179F4"/>
    <w:rsid w:val="000207C9"/>
    <w:rsid w:val="00020AE1"/>
    <w:rsid w:val="00021183"/>
    <w:rsid w:val="0002225F"/>
    <w:rsid w:val="00022A84"/>
    <w:rsid w:val="00022CD9"/>
    <w:rsid w:val="00022DC7"/>
    <w:rsid w:val="0002363E"/>
    <w:rsid w:val="00023763"/>
    <w:rsid w:val="000274B8"/>
    <w:rsid w:val="000301AD"/>
    <w:rsid w:val="0003196A"/>
    <w:rsid w:val="00032C2A"/>
    <w:rsid w:val="00032D82"/>
    <w:rsid w:val="00033863"/>
    <w:rsid w:val="0003529B"/>
    <w:rsid w:val="00035DC0"/>
    <w:rsid w:val="00036829"/>
    <w:rsid w:val="00037E18"/>
    <w:rsid w:val="00040895"/>
    <w:rsid w:val="00041B11"/>
    <w:rsid w:val="00042237"/>
    <w:rsid w:val="00042287"/>
    <w:rsid w:val="00042702"/>
    <w:rsid w:val="000435EE"/>
    <w:rsid w:val="00043C37"/>
    <w:rsid w:val="00045017"/>
    <w:rsid w:val="00045A2B"/>
    <w:rsid w:val="00045CE4"/>
    <w:rsid w:val="00045F55"/>
    <w:rsid w:val="0004698F"/>
    <w:rsid w:val="000539D0"/>
    <w:rsid w:val="00054621"/>
    <w:rsid w:val="000546D7"/>
    <w:rsid w:val="00056EAF"/>
    <w:rsid w:val="00056ECF"/>
    <w:rsid w:val="00057781"/>
    <w:rsid w:val="000604DF"/>
    <w:rsid w:val="00060E52"/>
    <w:rsid w:val="000635DA"/>
    <w:rsid w:val="00063AE7"/>
    <w:rsid w:val="000653B5"/>
    <w:rsid w:val="00066360"/>
    <w:rsid w:val="00066AF8"/>
    <w:rsid w:val="00066D52"/>
    <w:rsid w:val="00067260"/>
    <w:rsid w:val="00067751"/>
    <w:rsid w:val="00067C91"/>
    <w:rsid w:val="0007046D"/>
    <w:rsid w:val="00071248"/>
    <w:rsid w:val="00071A80"/>
    <w:rsid w:val="000720B9"/>
    <w:rsid w:val="000737F7"/>
    <w:rsid w:val="00073D1B"/>
    <w:rsid w:val="0007473D"/>
    <w:rsid w:val="0007512A"/>
    <w:rsid w:val="000751F2"/>
    <w:rsid w:val="000755BF"/>
    <w:rsid w:val="0007672F"/>
    <w:rsid w:val="00076B54"/>
    <w:rsid w:val="000774F0"/>
    <w:rsid w:val="00080909"/>
    <w:rsid w:val="000812CA"/>
    <w:rsid w:val="00081E63"/>
    <w:rsid w:val="0008258D"/>
    <w:rsid w:val="00083CF1"/>
    <w:rsid w:val="00083E99"/>
    <w:rsid w:val="000845E3"/>
    <w:rsid w:val="00084FA8"/>
    <w:rsid w:val="0008520A"/>
    <w:rsid w:val="000856C5"/>
    <w:rsid w:val="00085C31"/>
    <w:rsid w:val="00087959"/>
    <w:rsid w:val="000902D9"/>
    <w:rsid w:val="000903E6"/>
    <w:rsid w:val="00090C7E"/>
    <w:rsid w:val="00091CF0"/>
    <w:rsid w:val="00092600"/>
    <w:rsid w:val="0009262B"/>
    <w:rsid w:val="000926B2"/>
    <w:rsid w:val="00093310"/>
    <w:rsid w:val="0009381C"/>
    <w:rsid w:val="00093E0E"/>
    <w:rsid w:val="0009424C"/>
    <w:rsid w:val="0009445C"/>
    <w:rsid w:val="00095200"/>
    <w:rsid w:val="0009559C"/>
    <w:rsid w:val="00095608"/>
    <w:rsid w:val="000958B4"/>
    <w:rsid w:val="0009593C"/>
    <w:rsid w:val="00095FE5"/>
    <w:rsid w:val="00096284"/>
    <w:rsid w:val="00096AB4"/>
    <w:rsid w:val="000973F5"/>
    <w:rsid w:val="000A0AF8"/>
    <w:rsid w:val="000A165C"/>
    <w:rsid w:val="000A1BC0"/>
    <w:rsid w:val="000A2C26"/>
    <w:rsid w:val="000A3896"/>
    <w:rsid w:val="000A4347"/>
    <w:rsid w:val="000A5C8A"/>
    <w:rsid w:val="000A6039"/>
    <w:rsid w:val="000A63C1"/>
    <w:rsid w:val="000A7453"/>
    <w:rsid w:val="000A7D08"/>
    <w:rsid w:val="000B0121"/>
    <w:rsid w:val="000B0670"/>
    <w:rsid w:val="000B0BF2"/>
    <w:rsid w:val="000B0E75"/>
    <w:rsid w:val="000B14D7"/>
    <w:rsid w:val="000B2234"/>
    <w:rsid w:val="000B2424"/>
    <w:rsid w:val="000B2BBA"/>
    <w:rsid w:val="000B2DCB"/>
    <w:rsid w:val="000B39EF"/>
    <w:rsid w:val="000B3C2D"/>
    <w:rsid w:val="000B4277"/>
    <w:rsid w:val="000B4BB0"/>
    <w:rsid w:val="000B56DD"/>
    <w:rsid w:val="000B5CE0"/>
    <w:rsid w:val="000B6CAC"/>
    <w:rsid w:val="000B6EC7"/>
    <w:rsid w:val="000B7612"/>
    <w:rsid w:val="000B78AE"/>
    <w:rsid w:val="000B7CB5"/>
    <w:rsid w:val="000C198A"/>
    <w:rsid w:val="000C1E04"/>
    <w:rsid w:val="000C2842"/>
    <w:rsid w:val="000C2AFC"/>
    <w:rsid w:val="000C30AA"/>
    <w:rsid w:val="000C3DF9"/>
    <w:rsid w:val="000C5558"/>
    <w:rsid w:val="000C6713"/>
    <w:rsid w:val="000C7C12"/>
    <w:rsid w:val="000D057C"/>
    <w:rsid w:val="000D1BFC"/>
    <w:rsid w:val="000D1CAB"/>
    <w:rsid w:val="000D1D5D"/>
    <w:rsid w:val="000D281A"/>
    <w:rsid w:val="000D2848"/>
    <w:rsid w:val="000D30B1"/>
    <w:rsid w:val="000D326A"/>
    <w:rsid w:val="000D3959"/>
    <w:rsid w:val="000D51FB"/>
    <w:rsid w:val="000D6B55"/>
    <w:rsid w:val="000E00FC"/>
    <w:rsid w:val="000E0106"/>
    <w:rsid w:val="000E03C3"/>
    <w:rsid w:val="000E0640"/>
    <w:rsid w:val="000E135D"/>
    <w:rsid w:val="000E61B9"/>
    <w:rsid w:val="000E624D"/>
    <w:rsid w:val="000E7125"/>
    <w:rsid w:val="000E768D"/>
    <w:rsid w:val="000E77AC"/>
    <w:rsid w:val="000F00BA"/>
    <w:rsid w:val="000F0588"/>
    <w:rsid w:val="000F316A"/>
    <w:rsid w:val="000F36D4"/>
    <w:rsid w:val="000F37F5"/>
    <w:rsid w:val="000F3C74"/>
    <w:rsid w:val="000F438B"/>
    <w:rsid w:val="000F4752"/>
    <w:rsid w:val="000F4BB8"/>
    <w:rsid w:val="000F4FA9"/>
    <w:rsid w:val="000F53FB"/>
    <w:rsid w:val="000F7127"/>
    <w:rsid w:val="000F762C"/>
    <w:rsid w:val="000F7B54"/>
    <w:rsid w:val="001001F3"/>
    <w:rsid w:val="001007AA"/>
    <w:rsid w:val="001008C3"/>
    <w:rsid w:val="00100A74"/>
    <w:rsid w:val="00100F8A"/>
    <w:rsid w:val="0010184D"/>
    <w:rsid w:val="00102BE3"/>
    <w:rsid w:val="0010321F"/>
    <w:rsid w:val="00103AB0"/>
    <w:rsid w:val="00103C65"/>
    <w:rsid w:val="0010452E"/>
    <w:rsid w:val="00105937"/>
    <w:rsid w:val="00105AE2"/>
    <w:rsid w:val="001060C6"/>
    <w:rsid w:val="00106B80"/>
    <w:rsid w:val="00106C5D"/>
    <w:rsid w:val="0011032E"/>
    <w:rsid w:val="0011348B"/>
    <w:rsid w:val="00114EF1"/>
    <w:rsid w:val="00115982"/>
    <w:rsid w:val="00115A55"/>
    <w:rsid w:val="0011609A"/>
    <w:rsid w:val="00116C53"/>
    <w:rsid w:val="00120C3E"/>
    <w:rsid w:val="00120EEF"/>
    <w:rsid w:val="001211A6"/>
    <w:rsid w:val="00121799"/>
    <w:rsid w:val="00121E83"/>
    <w:rsid w:val="00121E9F"/>
    <w:rsid w:val="001222FC"/>
    <w:rsid w:val="00122E6F"/>
    <w:rsid w:val="00123902"/>
    <w:rsid w:val="00124751"/>
    <w:rsid w:val="00124A51"/>
    <w:rsid w:val="00124B79"/>
    <w:rsid w:val="00125E3E"/>
    <w:rsid w:val="001263DA"/>
    <w:rsid w:val="00126493"/>
    <w:rsid w:val="00126621"/>
    <w:rsid w:val="00126B1D"/>
    <w:rsid w:val="00127BD3"/>
    <w:rsid w:val="001301E9"/>
    <w:rsid w:val="00130D09"/>
    <w:rsid w:val="00131545"/>
    <w:rsid w:val="00131D82"/>
    <w:rsid w:val="00132B22"/>
    <w:rsid w:val="00133C97"/>
    <w:rsid w:val="00133D36"/>
    <w:rsid w:val="00134DF5"/>
    <w:rsid w:val="001355CC"/>
    <w:rsid w:val="00136586"/>
    <w:rsid w:val="0013668E"/>
    <w:rsid w:val="00137645"/>
    <w:rsid w:val="00137A84"/>
    <w:rsid w:val="0014015A"/>
    <w:rsid w:val="00140DE8"/>
    <w:rsid w:val="00140E99"/>
    <w:rsid w:val="001422A5"/>
    <w:rsid w:val="001431D0"/>
    <w:rsid w:val="00143A49"/>
    <w:rsid w:val="00143B00"/>
    <w:rsid w:val="00143F67"/>
    <w:rsid w:val="00145386"/>
    <w:rsid w:val="001454F1"/>
    <w:rsid w:val="00145540"/>
    <w:rsid w:val="001456B0"/>
    <w:rsid w:val="00147C3E"/>
    <w:rsid w:val="00147DF0"/>
    <w:rsid w:val="00150C97"/>
    <w:rsid w:val="00151716"/>
    <w:rsid w:val="00153499"/>
    <w:rsid w:val="00154469"/>
    <w:rsid w:val="001549CF"/>
    <w:rsid w:val="00154DAB"/>
    <w:rsid w:val="001553C8"/>
    <w:rsid w:val="00155411"/>
    <w:rsid w:val="00155421"/>
    <w:rsid w:val="00155C2D"/>
    <w:rsid w:val="00155D02"/>
    <w:rsid w:val="0015646A"/>
    <w:rsid w:val="00156F8F"/>
    <w:rsid w:val="00157130"/>
    <w:rsid w:val="001576B1"/>
    <w:rsid w:val="0016047B"/>
    <w:rsid w:val="00160A4C"/>
    <w:rsid w:val="00160AF5"/>
    <w:rsid w:val="00160F0D"/>
    <w:rsid w:val="0016220D"/>
    <w:rsid w:val="00162913"/>
    <w:rsid w:val="00163320"/>
    <w:rsid w:val="00163EFF"/>
    <w:rsid w:val="00163F66"/>
    <w:rsid w:val="001644AF"/>
    <w:rsid w:val="001655DA"/>
    <w:rsid w:val="001661FB"/>
    <w:rsid w:val="00166F74"/>
    <w:rsid w:val="001670BD"/>
    <w:rsid w:val="001671A0"/>
    <w:rsid w:val="0016767F"/>
    <w:rsid w:val="00167CF2"/>
    <w:rsid w:val="00171429"/>
    <w:rsid w:val="00171F63"/>
    <w:rsid w:val="00171FA5"/>
    <w:rsid w:val="00172467"/>
    <w:rsid w:val="00172AB8"/>
    <w:rsid w:val="00173565"/>
    <w:rsid w:val="00173B07"/>
    <w:rsid w:val="001751FA"/>
    <w:rsid w:val="00175FC3"/>
    <w:rsid w:val="001813F3"/>
    <w:rsid w:val="00181920"/>
    <w:rsid w:val="00181D9C"/>
    <w:rsid w:val="0018343E"/>
    <w:rsid w:val="001841E2"/>
    <w:rsid w:val="001843F2"/>
    <w:rsid w:val="00184425"/>
    <w:rsid w:val="00184B0E"/>
    <w:rsid w:val="00186BA0"/>
    <w:rsid w:val="0018752F"/>
    <w:rsid w:val="00187981"/>
    <w:rsid w:val="00187B0A"/>
    <w:rsid w:val="00190883"/>
    <w:rsid w:val="001927D1"/>
    <w:rsid w:val="00193285"/>
    <w:rsid w:val="00193808"/>
    <w:rsid w:val="00193838"/>
    <w:rsid w:val="00194AD8"/>
    <w:rsid w:val="00194F41"/>
    <w:rsid w:val="00195222"/>
    <w:rsid w:val="00195278"/>
    <w:rsid w:val="00195384"/>
    <w:rsid w:val="001975D8"/>
    <w:rsid w:val="001A0E50"/>
    <w:rsid w:val="001A178E"/>
    <w:rsid w:val="001A1AA2"/>
    <w:rsid w:val="001A2B64"/>
    <w:rsid w:val="001A43FA"/>
    <w:rsid w:val="001A47C5"/>
    <w:rsid w:val="001A59FB"/>
    <w:rsid w:val="001A5E9E"/>
    <w:rsid w:val="001A6257"/>
    <w:rsid w:val="001A6354"/>
    <w:rsid w:val="001A6366"/>
    <w:rsid w:val="001A73DD"/>
    <w:rsid w:val="001A7AE8"/>
    <w:rsid w:val="001B0C54"/>
    <w:rsid w:val="001B171F"/>
    <w:rsid w:val="001B1A0A"/>
    <w:rsid w:val="001B1CC7"/>
    <w:rsid w:val="001B204E"/>
    <w:rsid w:val="001B2372"/>
    <w:rsid w:val="001B3443"/>
    <w:rsid w:val="001B4D20"/>
    <w:rsid w:val="001B571E"/>
    <w:rsid w:val="001C0685"/>
    <w:rsid w:val="001C1462"/>
    <w:rsid w:val="001C22CD"/>
    <w:rsid w:val="001C247A"/>
    <w:rsid w:val="001C2A9B"/>
    <w:rsid w:val="001C4299"/>
    <w:rsid w:val="001C4874"/>
    <w:rsid w:val="001C5434"/>
    <w:rsid w:val="001C5E7A"/>
    <w:rsid w:val="001C5F94"/>
    <w:rsid w:val="001C6E66"/>
    <w:rsid w:val="001C718F"/>
    <w:rsid w:val="001C7270"/>
    <w:rsid w:val="001C72BE"/>
    <w:rsid w:val="001C7713"/>
    <w:rsid w:val="001D0F17"/>
    <w:rsid w:val="001D1100"/>
    <w:rsid w:val="001D1391"/>
    <w:rsid w:val="001D25D7"/>
    <w:rsid w:val="001D327E"/>
    <w:rsid w:val="001D50B2"/>
    <w:rsid w:val="001D67F3"/>
    <w:rsid w:val="001D7645"/>
    <w:rsid w:val="001E1E86"/>
    <w:rsid w:val="001E202B"/>
    <w:rsid w:val="001E238E"/>
    <w:rsid w:val="001E23DF"/>
    <w:rsid w:val="001E2483"/>
    <w:rsid w:val="001E2B1E"/>
    <w:rsid w:val="001E2CFF"/>
    <w:rsid w:val="001E2F24"/>
    <w:rsid w:val="001E30D4"/>
    <w:rsid w:val="001E31C5"/>
    <w:rsid w:val="001E34DF"/>
    <w:rsid w:val="001E3791"/>
    <w:rsid w:val="001E4313"/>
    <w:rsid w:val="001E4A65"/>
    <w:rsid w:val="001E4D24"/>
    <w:rsid w:val="001E52EB"/>
    <w:rsid w:val="001E567F"/>
    <w:rsid w:val="001E61D2"/>
    <w:rsid w:val="001E740C"/>
    <w:rsid w:val="001E7979"/>
    <w:rsid w:val="001F0FF6"/>
    <w:rsid w:val="001F1235"/>
    <w:rsid w:val="001F1A72"/>
    <w:rsid w:val="001F1AA2"/>
    <w:rsid w:val="001F1CB3"/>
    <w:rsid w:val="001F2FE6"/>
    <w:rsid w:val="001F38B5"/>
    <w:rsid w:val="001F4081"/>
    <w:rsid w:val="001F4DEC"/>
    <w:rsid w:val="001F5856"/>
    <w:rsid w:val="001F5D13"/>
    <w:rsid w:val="001F7361"/>
    <w:rsid w:val="002011B0"/>
    <w:rsid w:val="00202269"/>
    <w:rsid w:val="00202289"/>
    <w:rsid w:val="00203181"/>
    <w:rsid w:val="00203783"/>
    <w:rsid w:val="0020385F"/>
    <w:rsid w:val="00205582"/>
    <w:rsid w:val="002068A0"/>
    <w:rsid w:val="00206BA2"/>
    <w:rsid w:val="00207021"/>
    <w:rsid w:val="0020732F"/>
    <w:rsid w:val="00207D00"/>
    <w:rsid w:val="002105C1"/>
    <w:rsid w:val="00210EB2"/>
    <w:rsid w:val="00212B0A"/>
    <w:rsid w:val="002138D8"/>
    <w:rsid w:val="00213EF5"/>
    <w:rsid w:val="002145C9"/>
    <w:rsid w:val="002149E8"/>
    <w:rsid w:val="00215E2A"/>
    <w:rsid w:val="00216BF5"/>
    <w:rsid w:val="00216C54"/>
    <w:rsid w:val="002172B0"/>
    <w:rsid w:val="00222CAD"/>
    <w:rsid w:val="002232B8"/>
    <w:rsid w:val="00223B49"/>
    <w:rsid w:val="00223D5A"/>
    <w:rsid w:val="00224DD4"/>
    <w:rsid w:val="00226D7A"/>
    <w:rsid w:val="0022734B"/>
    <w:rsid w:val="002278A0"/>
    <w:rsid w:val="00227D9E"/>
    <w:rsid w:val="002303B3"/>
    <w:rsid w:val="002309CC"/>
    <w:rsid w:val="0023209F"/>
    <w:rsid w:val="00233C01"/>
    <w:rsid w:val="0023413C"/>
    <w:rsid w:val="002344F3"/>
    <w:rsid w:val="002346F0"/>
    <w:rsid w:val="00235C95"/>
    <w:rsid w:val="0023629D"/>
    <w:rsid w:val="00237255"/>
    <w:rsid w:val="00237610"/>
    <w:rsid w:val="0023764A"/>
    <w:rsid w:val="00237E18"/>
    <w:rsid w:val="00241ACB"/>
    <w:rsid w:val="002424AF"/>
    <w:rsid w:val="002439DC"/>
    <w:rsid w:val="002441D2"/>
    <w:rsid w:val="00244DC8"/>
    <w:rsid w:val="0024539B"/>
    <w:rsid w:val="002458BA"/>
    <w:rsid w:val="00245CE9"/>
    <w:rsid w:val="0024636C"/>
    <w:rsid w:val="0024686F"/>
    <w:rsid w:val="00246EC6"/>
    <w:rsid w:val="00247925"/>
    <w:rsid w:val="00247B00"/>
    <w:rsid w:val="00251006"/>
    <w:rsid w:val="002524D5"/>
    <w:rsid w:val="00253015"/>
    <w:rsid w:val="00253B1D"/>
    <w:rsid w:val="00254049"/>
    <w:rsid w:val="00254DCF"/>
    <w:rsid w:val="002550AC"/>
    <w:rsid w:val="00255332"/>
    <w:rsid w:val="0025534B"/>
    <w:rsid w:val="00255BB7"/>
    <w:rsid w:val="00256893"/>
    <w:rsid w:val="0025699C"/>
    <w:rsid w:val="00257541"/>
    <w:rsid w:val="00257A39"/>
    <w:rsid w:val="00257AC4"/>
    <w:rsid w:val="00261515"/>
    <w:rsid w:val="00261B21"/>
    <w:rsid w:val="00261EEF"/>
    <w:rsid w:val="00262A1A"/>
    <w:rsid w:val="00262A87"/>
    <w:rsid w:val="00262C1C"/>
    <w:rsid w:val="00263EDB"/>
    <w:rsid w:val="00263EF0"/>
    <w:rsid w:val="002645AA"/>
    <w:rsid w:val="00264D26"/>
    <w:rsid w:val="0026521F"/>
    <w:rsid w:val="00265CFE"/>
    <w:rsid w:val="00267642"/>
    <w:rsid w:val="00267AEA"/>
    <w:rsid w:val="00267DC5"/>
    <w:rsid w:val="002700E6"/>
    <w:rsid w:val="00270D25"/>
    <w:rsid w:val="00271067"/>
    <w:rsid w:val="00271618"/>
    <w:rsid w:val="00271CC4"/>
    <w:rsid w:val="0027294B"/>
    <w:rsid w:val="00273EB4"/>
    <w:rsid w:val="00274682"/>
    <w:rsid w:val="00274D20"/>
    <w:rsid w:val="00275C5A"/>
    <w:rsid w:val="00276143"/>
    <w:rsid w:val="002774E0"/>
    <w:rsid w:val="00280785"/>
    <w:rsid w:val="00281013"/>
    <w:rsid w:val="00281014"/>
    <w:rsid w:val="002834D7"/>
    <w:rsid w:val="00284298"/>
    <w:rsid w:val="0028665D"/>
    <w:rsid w:val="00286BD0"/>
    <w:rsid w:val="00287705"/>
    <w:rsid w:val="00290A27"/>
    <w:rsid w:val="00293834"/>
    <w:rsid w:val="002965A6"/>
    <w:rsid w:val="00296D60"/>
    <w:rsid w:val="002970FA"/>
    <w:rsid w:val="002973B2"/>
    <w:rsid w:val="002A0EE0"/>
    <w:rsid w:val="002A14AB"/>
    <w:rsid w:val="002A18D2"/>
    <w:rsid w:val="002A2ADE"/>
    <w:rsid w:val="002A2F50"/>
    <w:rsid w:val="002A305E"/>
    <w:rsid w:val="002A46F4"/>
    <w:rsid w:val="002A4B05"/>
    <w:rsid w:val="002A4F9A"/>
    <w:rsid w:val="002A54EE"/>
    <w:rsid w:val="002A790E"/>
    <w:rsid w:val="002B05A1"/>
    <w:rsid w:val="002B09A4"/>
    <w:rsid w:val="002B0BEF"/>
    <w:rsid w:val="002B179D"/>
    <w:rsid w:val="002B1C1F"/>
    <w:rsid w:val="002B1F1D"/>
    <w:rsid w:val="002B3440"/>
    <w:rsid w:val="002B36C4"/>
    <w:rsid w:val="002B3F38"/>
    <w:rsid w:val="002B432F"/>
    <w:rsid w:val="002B50BF"/>
    <w:rsid w:val="002B537C"/>
    <w:rsid w:val="002B62B3"/>
    <w:rsid w:val="002B6754"/>
    <w:rsid w:val="002B6CCE"/>
    <w:rsid w:val="002B70F5"/>
    <w:rsid w:val="002C025C"/>
    <w:rsid w:val="002C2510"/>
    <w:rsid w:val="002C272D"/>
    <w:rsid w:val="002C2775"/>
    <w:rsid w:val="002C27C1"/>
    <w:rsid w:val="002C46C3"/>
    <w:rsid w:val="002C5099"/>
    <w:rsid w:val="002C5889"/>
    <w:rsid w:val="002C63E6"/>
    <w:rsid w:val="002C646A"/>
    <w:rsid w:val="002C71CE"/>
    <w:rsid w:val="002D04B0"/>
    <w:rsid w:val="002D05DB"/>
    <w:rsid w:val="002D08F8"/>
    <w:rsid w:val="002D0E42"/>
    <w:rsid w:val="002D226A"/>
    <w:rsid w:val="002D254B"/>
    <w:rsid w:val="002D2E1E"/>
    <w:rsid w:val="002D3926"/>
    <w:rsid w:val="002D3A76"/>
    <w:rsid w:val="002D4CFB"/>
    <w:rsid w:val="002D4F42"/>
    <w:rsid w:val="002D54E4"/>
    <w:rsid w:val="002D577C"/>
    <w:rsid w:val="002D6667"/>
    <w:rsid w:val="002D6F93"/>
    <w:rsid w:val="002E01B3"/>
    <w:rsid w:val="002E08B6"/>
    <w:rsid w:val="002E0F4F"/>
    <w:rsid w:val="002E1071"/>
    <w:rsid w:val="002E15B9"/>
    <w:rsid w:val="002E1D61"/>
    <w:rsid w:val="002E2158"/>
    <w:rsid w:val="002E22B0"/>
    <w:rsid w:val="002E246D"/>
    <w:rsid w:val="002E31BA"/>
    <w:rsid w:val="002E4242"/>
    <w:rsid w:val="002E424B"/>
    <w:rsid w:val="002E4F02"/>
    <w:rsid w:val="002E57FE"/>
    <w:rsid w:val="002E5E3A"/>
    <w:rsid w:val="002E7722"/>
    <w:rsid w:val="002F07BA"/>
    <w:rsid w:val="002F0DA9"/>
    <w:rsid w:val="002F1014"/>
    <w:rsid w:val="002F1D77"/>
    <w:rsid w:val="002F1E6F"/>
    <w:rsid w:val="002F5046"/>
    <w:rsid w:val="002F6184"/>
    <w:rsid w:val="002F643C"/>
    <w:rsid w:val="002F6DF4"/>
    <w:rsid w:val="002F71C0"/>
    <w:rsid w:val="002F73DF"/>
    <w:rsid w:val="002F74F1"/>
    <w:rsid w:val="00301017"/>
    <w:rsid w:val="0030155F"/>
    <w:rsid w:val="00302FA0"/>
    <w:rsid w:val="00303A55"/>
    <w:rsid w:val="0030437B"/>
    <w:rsid w:val="00304B30"/>
    <w:rsid w:val="00305183"/>
    <w:rsid w:val="0030587B"/>
    <w:rsid w:val="00305BBA"/>
    <w:rsid w:val="00306D98"/>
    <w:rsid w:val="003074FD"/>
    <w:rsid w:val="0030786C"/>
    <w:rsid w:val="003078CE"/>
    <w:rsid w:val="0031031A"/>
    <w:rsid w:val="00310981"/>
    <w:rsid w:val="00310AC4"/>
    <w:rsid w:val="00310E9F"/>
    <w:rsid w:val="00311256"/>
    <w:rsid w:val="00311914"/>
    <w:rsid w:val="003124D9"/>
    <w:rsid w:val="00312594"/>
    <w:rsid w:val="00312A4C"/>
    <w:rsid w:val="00314231"/>
    <w:rsid w:val="00314356"/>
    <w:rsid w:val="00315498"/>
    <w:rsid w:val="00316474"/>
    <w:rsid w:val="00316933"/>
    <w:rsid w:val="00320E07"/>
    <w:rsid w:val="00321563"/>
    <w:rsid w:val="00322107"/>
    <w:rsid w:val="00322355"/>
    <w:rsid w:val="00322846"/>
    <w:rsid w:val="00322D39"/>
    <w:rsid w:val="00323461"/>
    <w:rsid w:val="003241FB"/>
    <w:rsid w:val="00326DA7"/>
    <w:rsid w:val="003270E4"/>
    <w:rsid w:val="003302D1"/>
    <w:rsid w:val="0033034C"/>
    <w:rsid w:val="00330DAA"/>
    <w:rsid w:val="00330F5C"/>
    <w:rsid w:val="003312E7"/>
    <w:rsid w:val="00331553"/>
    <w:rsid w:val="003318DB"/>
    <w:rsid w:val="0033193C"/>
    <w:rsid w:val="00332C7F"/>
    <w:rsid w:val="00335C5E"/>
    <w:rsid w:val="003366C9"/>
    <w:rsid w:val="00336798"/>
    <w:rsid w:val="003371B0"/>
    <w:rsid w:val="00340DF1"/>
    <w:rsid w:val="003410FB"/>
    <w:rsid w:val="00342F7B"/>
    <w:rsid w:val="003443D2"/>
    <w:rsid w:val="003447F3"/>
    <w:rsid w:val="003469FD"/>
    <w:rsid w:val="003472E4"/>
    <w:rsid w:val="003512C5"/>
    <w:rsid w:val="003517F9"/>
    <w:rsid w:val="0035194A"/>
    <w:rsid w:val="00351BA9"/>
    <w:rsid w:val="00352D0C"/>
    <w:rsid w:val="00354C00"/>
    <w:rsid w:val="00354C6E"/>
    <w:rsid w:val="00354F64"/>
    <w:rsid w:val="0035620E"/>
    <w:rsid w:val="003571AA"/>
    <w:rsid w:val="00360345"/>
    <w:rsid w:val="00361A05"/>
    <w:rsid w:val="00361E12"/>
    <w:rsid w:val="003624C4"/>
    <w:rsid w:val="00363B00"/>
    <w:rsid w:val="0036480C"/>
    <w:rsid w:val="00365006"/>
    <w:rsid w:val="003654AC"/>
    <w:rsid w:val="00370A4A"/>
    <w:rsid w:val="003710CF"/>
    <w:rsid w:val="003723AC"/>
    <w:rsid w:val="00372A29"/>
    <w:rsid w:val="0037358A"/>
    <w:rsid w:val="003742D8"/>
    <w:rsid w:val="003750F6"/>
    <w:rsid w:val="003760FC"/>
    <w:rsid w:val="00376BD1"/>
    <w:rsid w:val="00376E47"/>
    <w:rsid w:val="00380417"/>
    <w:rsid w:val="00380979"/>
    <w:rsid w:val="00381DEA"/>
    <w:rsid w:val="0038365C"/>
    <w:rsid w:val="0038369B"/>
    <w:rsid w:val="00383B78"/>
    <w:rsid w:val="00385A9D"/>
    <w:rsid w:val="00385D11"/>
    <w:rsid w:val="0038671F"/>
    <w:rsid w:val="003877BA"/>
    <w:rsid w:val="003902B1"/>
    <w:rsid w:val="0039179C"/>
    <w:rsid w:val="003919BE"/>
    <w:rsid w:val="00395146"/>
    <w:rsid w:val="0039686C"/>
    <w:rsid w:val="00396896"/>
    <w:rsid w:val="00396A55"/>
    <w:rsid w:val="00396FD0"/>
    <w:rsid w:val="003A12AA"/>
    <w:rsid w:val="003A13BC"/>
    <w:rsid w:val="003A1A7A"/>
    <w:rsid w:val="003A2392"/>
    <w:rsid w:val="003A2831"/>
    <w:rsid w:val="003A393D"/>
    <w:rsid w:val="003A3CB6"/>
    <w:rsid w:val="003A3ED1"/>
    <w:rsid w:val="003A44DB"/>
    <w:rsid w:val="003A4FDA"/>
    <w:rsid w:val="003A5DFD"/>
    <w:rsid w:val="003A6DAD"/>
    <w:rsid w:val="003B0064"/>
    <w:rsid w:val="003B0BAD"/>
    <w:rsid w:val="003B0F0F"/>
    <w:rsid w:val="003B2F09"/>
    <w:rsid w:val="003B3971"/>
    <w:rsid w:val="003B4A30"/>
    <w:rsid w:val="003B4A86"/>
    <w:rsid w:val="003B526C"/>
    <w:rsid w:val="003B55D1"/>
    <w:rsid w:val="003B5B61"/>
    <w:rsid w:val="003B66D6"/>
    <w:rsid w:val="003C1654"/>
    <w:rsid w:val="003C1B89"/>
    <w:rsid w:val="003C1BE3"/>
    <w:rsid w:val="003C4711"/>
    <w:rsid w:val="003C5542"/>
    <w:rsid w:val="003C5BD2"/>
    <w:rsid w:val="003C7D19"/>
    <w:rsid w:val="003C7D2F"/>
    <w:rsid w:val="003D0583"/>
    <w:rsid w:val="003D1256"/>
    <w:rsid w:val="003D1828"/>
    <w:rsid w:val="003D1D76"/>
    <w:rsid w:val="003D1DE4"/>
    <w:rsid w:val="003D1E9A"/>
    <w:rsid w:val="003D2422"/>
    <w:rsid w:val="003D39A1"/>
    <w:rsid w:val="003D3FBF"/>
    <w:rsid w:val="003D4A30"/>
    <w:rsid w:val="003D4E78"/>
    <w:rsid w:val="003D56CA"/>
    <w:rsid w:val="003D679C"/>
    <w:rsid w:val="003D6B83"/>
    <w:rsid w:val="003D6F8A"/>
    <w:rsid w:val="003D7452"/>
    <w:rsid w:val="003D7941"/>
    <w:rsid w:val="003D79BB"/>
    <w:rsid w:val="003D7C98"/>
    <w:rsid w:val="003D7D9D"/>
    <w:rsid w:val="003E0543"/>
    <w:rsid w:val="003E0A56"/>
    <w:rsid w:val="003E18FD"/>
    <w:rsid w:val="003E2FDE"/>
    <w:rsid w:val="003E3412"/>
    <w:rsid w:val="003E7133"/>
    <w:rsid w:val="003E749E"/>
    <w:rsid w:val="003E7856"/>
    <w:rsid w:val="003F3F3C"/>
    <w:rsid w:val="003F4156"/>
    <w:rsid w:val="003F4716"/>
    <w:rsid w:val="003F5ADF"/>
    <w:rsid w:val="00400B29"/>
    <w:rsid w:val="00400F0E"/>
    <w:rsid w:val="0040504B"/>
    <w:rsid w:val="00405989"/>
    <w:rsid w:val="004059F4"/>
    <w:rsid w:val="0040654B"/>
    <w:rsid w:val="00407FE5"/>
    <w:rsid w:val="004101B0"/>
    <w:rsid w:val="00410326"/>
    <w:rsid w:val="00410708"/>
    <w:rsid w:val="00410EC7"/>
    <w:rsid w:val="00411B39"/>
    <w:rsid w:val="004127A7"/>
    <w:rsid w:val="00413A1E"/>
    <w:rsid w:val="004142C1"/>
    <w:rsid w:val="00414476"/>
    <w:rsid w:val="00414C2E"/>
    <w:rsid w:val="00414E89"/>
    <w:rsid w:val="004151CF"/>
    <w:rsid w:val="00416364"/>
    <w:rsid w:val="004177D9"/>
    <w:rsid w:val="004202C8"/>
    <w:rsid w:val="0042047F"/>
    <w:rsid w:val="00420AA6"/>
    <w:rsid w:val="00420B9F"/>
    <w:rsid w:val="004211F5"/>
    <w:rsid w:val="0042192C"/>
    <w:rsid w:val="00422260"/>
    <w:rsid w:val="0042303C"/>
    <w:rsid w:val="0042413F"/>
    <w:rsid w:val="004259D5"/>
    <w:rsid w:val="00426AB7"/>
    <w:rsid w:val="00426FF7"/>
    <w:rsid w:val="004319F8"/>
    <w:rsid w:val="00431E55"/>
    <w:rsid w:val="004321F6"/>
    <w:rsid w:val="004323E4"/>
    <w:rsid w:val="00432718"/>
    <w:rsid w:val="00432B8E"/>
    <w:rsid w:val="00433044"/>
    <w:rsid w:val="004337D0"/>
    <w:rsid w:val="00434088"/>
    <w:rsid w:val="00434A18"/>
    <w:rsid w:val="00436BDA"/>
    <w:rsid w:val="004375B9"/>
    <w:rsid w:val="0043776C"/>
    <w:rsid w:val="004409D0"/>
    <w:rsid w:val="00440ED3"/>
    <w:rsid w:val="004412E7"/>
    <w:rsid w:val="00441A63"/>
    <w:rsid w:val="00441F7C"/>
    <w:rsid w:val="004428D0"/>
    <w:rsid w:val="00444185"/>
    <w:rsid w:val="004443A7"/>
    <w:rsid w:val="0044442C"/>
    <w:rsid w:val="004452E2"/>
    <w:rsid w:val="00445941"/>
    <w:rsid w:val="00445C4D"/>
    <w:rsid w:val="004464EB"/>
    <w:rsid w:val="00446FC2"/>
    <w:rsid w:val="00446FD9"/>
    <w:rsid w:val="00447D26"/>
    <w:rsid w:val="00447DFC"/>
    <w:rsid w:val="00447FFC"/>
    <w:rsid w:val="0045014F"/>
    <w:rsid w:val="004539C6"/>
    <w:rsid w:val="00454577"/>
    <w:rsid w:val="0045462A"/>
    <w:rsid w:val="0045481D"/>
    <w:rsid w:val="00455D45"/>
    <w:rsid w:val="004560E9"/>
    <w:rsid w:val="004566F1"/>
    <w:rsid w:val="004574E6"/>
    <w:rsid w:val="0046044D"/>
    <w:rsid w:val="00460501"/>
    <w:rsid w:val="00460BA5"/>
    <w:rsid w:val="0046236B"/>
    <w:rsid w:val="00462E6F"/>
    <w:rsid w:val="00464595"/>
    <w:rsid w:val="00464B15"/>
    <w:rsid w:val="00464DBD"/>
    <w:rsid w:val="00465885"/>
    <w:rsid w:val="004658B5"/>
    <w:rsid w:val="00466B01"/>
    <w:rsid w:val="00467B07"/>
    <w:rsid w:val="00467BE4"/>
    <w:rsid w:val="00470FBE"/>
    <w:rsid w:val="00471399"/>
    <w:rsid w:val="00471EA5"/>
    <w:rsid w:val="00472A79"/>
    <w:rsid w:val="0047318D"/>
    <w:rsid w:val="00473F19"/>
    <w:rsid w:val="00473F4D"/>
    <w:rsid w:val="00475801"/>
    <w:rsid w:val="00475E22"/>
    <w:rsid w:val="004762A2"/>
    <w:rsid w:val="004770D5"/>
    <w:rsid w:val="004776C9"/>
    <w:rsid w:val="0048088E"/>
    <w:rsid w:val="00480C27"/>
    <w:rsid w:val="00480F2B"/>
    <w:rsid w:val="00482029"/>
    <w:rsid w:val="0048205E"/>
    <w:rsid w:val="00482720"/>
    <w:rsid w:val="00482C15"/>
    <w:rsid w:val="00482DA9"/>
    <w:rsid w:val="004835E7"/>
    <w:rsid w:val="004838EE"/>
    <w:rsid w:val="00484C3A"/>
    <w:rsid w:val="0048510D"/>
    <w:rsid w:val="00485D66"/>
    <w:rsid w:val="004867E2"/>
    <w:rsid w:val="0048798C"/>
    <w:rsid w:val="00490315"/>
    <w:rsid w:val="00490B17"/>
    <w:rsid w:val="00490D96"/>
    <w:rsid w:val="00491B3A"/>
    <w:rsid w:val="004922AA"/>
    <w:rsid w:val="00492CFD"/>
    <w:rsid w:val="0049306B"/>
    <w:rsid w:val="004937E9"/>
    <w:rsid w:val="00493EC9"/>
    <w:rsid w:val="0049419E"/>
    <w:rsid w:val="00494207"/>
    <w:rsid w:val="00494DD5"/>
    <w:rsid w:val="004962D2"/>
    <w:rsid w:val="004975E5"/>
    <w:rsid w:val="004A0DA1"/>
    <w:rsid w:val="004A0EF1"/>
    <w:rsid w:val="004A13D6"/>
    <w:rsid w:val="004A16F6"/>
    <w:rsid w:val="004A375D"/>
    <w:rsid w:val="004A3BF1"/>
    <w:rsid w:val="004A52E9"/>
    <w:rsid w:val="004A5EDE"/>
    <w:rsid w:val="004A6040"/>
    <w:rsid w:val="004A6597"/>
    <w:rsid w:val="004A7848"/>
    <w:rsid w:val="004B026D"/>
    <w:rsid w:val="004B1C9F"/>
    <w:rsid w:val="004B1CB4"/>
    <w:rsid w:val="004B2413"/>
    <w:rsid w:val="004B29EF"/>
    <w:rsid w:val="004B2F18"/>
    <w:rsid w:val="004B3C1B"/>
    <w:rsid w:val="004B3DDB"/>
    <w:rsid w:val="004B44FD"/>
    <w:rsid w:val="004B53CE"/>
    <w:rsid w:val="004B581D"/>
    <w:rsid w:val="004B5CFC"/>
    <w:rsid w:val="004B6F79"/>
    <w:rsid w:val="004B7039"/>
    <w:rsid w:val="004B75F3"/>
    <w:rsid w:val="004B774D"/>
    <w:rsid w:val="004C0DEB"/>
    <w:rsid w:val="004C12E0"/>
    <w:rsid w:val="004C14A2"/>
    <w:rsid w:val="004C2080"/>
    <w:rsid w:val="004C3140"/>
    <w:rsid w:val="004C4AED"/>
    <w:rsid w:val="004C4B15"/>
    <w:rsid w:val="004C4BE9"/>
    <w:rsid w:val="004C4E29"/>
    <w:rsid w:val="004C6E36"/>
    <w:rsid w:val="004D24EB"/>
    <w:rsid w:val="004D2C2D"/>
    <w:rsid w:val="004D65CF"/>
    <w:rsid w:val="004D6959"/>
    <w:rsid w:val="004D6976"/>
    <w:rsid w:val="004D69B5"/>
    <w:rsid w:val="004D6D5E"/>
    <w:rsid w:val="004D7227"/>
    <w:rsid w:val="004E068E"/>
    <w:rsid w:val="004E0806"/>
    <w:rsid w:val="004E08AA"/>
    <w:rsid w:val="004E0E7F"/>
    <w:rsid w:val="004E0EB8"/>
    <w:rsid w:val="004E18E9"/>
    <w:rsid w:val="004E2ADC"/>
    <w:rsid w:val="004E3254"/>
    <w:rsid w:val="004E43B2"/>
    <w:rsid w:val="004E46BF"/>
    <w:rsid w:val="004E4F03"/>
    <w:rsid w:val="004E5309"/>
    <w:rsid w:val="004E6A40"/>
    <w:rsid w:val="004E6E15"/>
    <w:rsid w:val="004E70BD"/>
    <w:rsid w:val="004E7995"/>
    <w:rsid w:val="004F1D02"/>
    <w:rsid w:val="004F2679"/>
    <w:rsid w:val="004F2F21"/>
    <w:rsid w:val="004F3445"/>
    <w:rsid w:val="004F3DE5"/>
    <w:rsid w:val="004F457E"/>
    <w:rsid w:val="004F6913"/>
    <w:rsid w:val="004F6DEC"/>
    <w:rsid w:val="004F7865"/>
    <w:rsid w:val="0050043F"/>
    <w:rsid w:val="00501338"/>
    <w:rsid w:val="0050174E"/>
    <w:rsid w:val="00501854"/>
    <w:rsid w:val="00501E3B"/>
    <w:rsid w:val="0050219B"/>
    <w:rsid w:val="00502D76"/>
    <w:rsid w:val="005034EE"/>
    <w:rsid w:val="00503F17"/>
    <w:rsid w:val="00506928"/>
    <w:rsid w:val="005077EF"/>
    <w:rsid w:val="00510547"/>
    <w:rsid w:val="00510645"/>
    <w:rsid w:val="00511801"/>
    <w:rsid w:val="00511AD5"/>
    <w:rsid w:val="00511DC7"/>
    <w:rsid w:val="00512783"/>
    <w:rsid w:val="0051385E"/>
    <w:rsid w:val="005142C5"/>
    <w:rsid w:val="00514D99"/>
    <w:rsid w:val="00514F5F"/>
    <w:rsid w:val="0051501B"/>
    <w:rsid w:val="005152B5"/>
    <w:rsid w:val="00515D13"/>
    <w:rsid w:val="00516851"/>
    <w:rsid w:val="005168D8"/>
    <w:rsid w:val="0052123C"/>
    <w:rsid w:val="00521319"/>
    <w:rsid w:val="00521C9F"/>
    <w:rsid w:val="00522BC8"/>
    <w:rsid w:val="00522F39"/>
    <w:rsid w:val="00523C28"/>
    <w:rsid w:val="005250D5"/>
    <w:rsid w:val="005263C6"/>
    <w:rsid w:val="00530F99"/>
    <w:rsid w:val="0053176B"/>
    <w:rsid w:val="00532DD8"/>
    <w:rsid w:val="00533944"/>
    <w:rsid w:val="00533D8E"/>
    <w:rsid w:val="00535091"/>
    <w:rsid w:val="00536F42"/>
    <w:rsid w:val="00537182"/>
    <w:rsid w:val="005379FF"/>
    <w:rsid w:val="0054164C"/>
    <w:rsid w:val="0054197E"/>
    <w:rsid w:val="00541B09"/>
    <w:rsid w:val="00541EDD"/>
    <w:rsid w:val="00542743"/>
    <w:rsid w:val="0054274F"/>
    <w:rsid w:val="00542C2D"/>
    <w:rsid w:val="00543036"/>
    <w:rsid w:val="00543F14"/>
    <w:rsid w:val="00544004"/>
    <w:rsid w:val="00545277"/>
    <w:rsid w:val="00545320"/>
    <w:rsid w:val="0054552E"/>
    <w:rsid w:val="00546612"/>
    <w:rsid w:val="00546E06"/>
    <w:rsid w:val="005474CC"/>
    <w:rsid w:val="005478BD"/>
    <w:rsid w:val="005479E3"/>
    <w:rsid w:val="00547C91"/>
    <w:rsid w:val="00551985"/>
    <w:rsid w:val="00552BD3"/>
    <w:rsid w:val="005532A0"/>
    <w:rsid w:val="0055390E"/>
    <w:rsid w:val="00555109"/>
    <w:rsid w:val="005566F1"/>
    <w:rsid w:val="00556B35"/>
    <w:rsid w:val="00556F23"/>
    <w:rsid w:val="0055741A"/>
    <w:rsid w:val="0055754E"/>
    <w:rsid w:val="005578B7"/>
    <w:rsid w:val="00557979"/>
    <w:rsid w:val="005611B7"/>
    <w:rsid w:val="005618D4"/>
    <w:rsid w:val="00561F81"/>
    <w:rsid w:val="00565CE8"/>
    <w:rsid w:val="00565DF0"/>
    <w:rsid w:val="0056696F"/>
    <w:rsid w:val="0057141B"/>
    <w:rsid w:val="005720D3"/>
    <w:rsid w:val="0057215F"/>
    <w:rsid w:val="00572243"/>
    <w:rsid w:val="00572269"/>
    <w:rsid w:val="0057242C"/>
    <w:rsid w:val="0057244A"/>
    <w:rsid w:val="00572984"/>
    <w:rsid w:val="00572F26"/>
    <w:rsid w:val="00573798"/>
    <w:rsid w:val="00573C90"/>
    <w:rsid w:val="00574BA8"/>
    <w:rsid w:val="005750C5"/>
    <w:rsid w:val="005752DE"/>
    <w:rsid w:val="00575D8D"/>
    <w:rsid w:val="00576972"/>
    <w:rsid w:val="00577F53"/>
    <w:rsid w:val="00581396"/>
    <w:rsid w:val="005814A8"/>
    <w:rsid w:val="00583699"/>
    <w:rsid w:val="005836B4"/>
    <w:rsid w:val="00584076"/>
    <w:rsid w:val="005847A1"/>
    <w:rsid w:val="00585973"/>
    <w:rsid w:val="00585CDD"/>
    <w:rsid w:val="00587058"/>
    <w:rsid w:val="00587B1A"/>
    <w:rsid w:val="00590329"/>
    <w:rsid w:val="005908F0"/>
    <w:rsid w:val="00591957"/>
    <w:rsid w:val="005923BA"/>
    <w:rsid w:val="00592BCB"/>
    <w:rsid w:val="005938CB"/>
    <w:rsid w:val="00595AB3"/>
    <w:rsid w:val="00597BF9"/>
    <w:rsid w:val="005A115D"/>
    <w:rsid w:val="005A154D"/>
    <w:rsid w:val="005A309A"/>
    <w:rsid w:val="005A373D"/>
    <w:rsid w:val="005A412E"/>
    <w:rsid w:val="005A417A"/>
    <w:rsid w:val="005A4303"/>
    <w:rsid w:val="005A54CD"/>
    <w:rsid w:val="005A65F9"/>
    <w:rsid w:val="005A69AA"/>
    <w:rsid w:val="005A6AFC"/>
    <w:rsid w:val="005B0B58"/>
    <w:rsid w:val="005B1A69"/>
    <w:rsid w:val="005B30A0"/>
    <w:rsid w:val="005B4E53"/>
    <w:rsid w:val="005B5857"/>
    <w:rsid w:val="005B746B"/>
    <w:rsid w:val="005B7541"/>
    <w:rsid w:val="005C1751"/>
    <w:rsid w:val="005C1B83"/>
    <w:rsid w:val="005C2301"/>
    <w:rsid w:val="005C25FF"/>
    <w:rsid w:val="005C2BBF"/>
    <w:rsid w:val="005C2D55"/>
    <w:rsid w:val="005C346B"/>
    <w:rsid w:val="005C3E46"/>
    <w:rsid w:val="005C4037"/>
    <w:rsid w:val="005C5AA8"/>
    <w:rsid w:val="005C7360"/>
    <w:rsid w:val="005C77AD"/>
    <w:rsid w:val="005D044D"/>
    <w:rsid w:val="005D0ABD"/>
    <w:rsid w:val="005D18AD"/>
    <w:rsid w:val="005D18BD"/>
    <w:rsid w:val="005D1916"/>
    <w:rsid w:val="005D2216"/>
    <w:rsid w:val="005D2409"/>
    <w:rsid w:val="005D26B4"/>
    <w:rsid w:val="005D4D79"/>
    <w:rsid w:val="005D6C21"/>
    <w:rsid w:val="005D6D3B"/>
    <w:rsid w:val="005D6F2D"/>
    <w:rsid w:val="005E183D"/>
    <w:rsid w:val="005E18BF"/>
    <w:rsid w:val="005E18C9"/>
    <w:rsid w:val="005E4235"/>
    <w:rsid w:val="005E6CBC"/>
    <w:rsid w:val="005E72FF"/>
    <w:rsid w:val="005E73C0"/>
    <w:rsid w:val="005F10EC"/>
    <w:rsid w:val="005F2706"/>
    <w:rsid w:val="005F283E"/>
    <w:rsid w:val="005F3B77"/>
    <w:rsid w:val="005F5FF2"/>
    <w:rsid w:val="005F6A8E"/>
    <w:rsid w:val="005F6A8F"/>
    <w:rsid w:val="005F6BB7"/>
    <w:rsid w:val="005F7588"/>
    <w:rsid w:val="00600FD4"/>
    <w:rsid w:val="00601947"/>
    <w:rsid w:val="00602658"/>
    <w:rsid w:val="006037BD"/>
    <w:rsid w:val="00603DB9"/>
    <w:rsid w:val="0060400A"/>
    <w:rsid w:val="006050EA"/>
    <w:rsid w:val="006055DC"/>
    <w:rsid w:val="0060646F"/>
    <w:rsid w:val="00606FBA"/>
    <w:rsid w:val="00607050"/>
    <w:rsid w:val="00607669"/>
    <w:rsid w:val="006076F4"/>
    <w:rsid w:val="00607AFD"/>
    <w:rsid w:val="006105D1"/>
    <w:rsid w:val="00610884"/>
    <w:rsid w:val="006109E8"/>
    <w:rsid w:val="006119E3"/>
    <w:rsid w:val="00612471"/>
    <w:rsid w:val="00612F97"/>
    <w:rsid w:val="0061345D"/>
    <w:rsid w:val="00613BAA"/>
    <w:rsid w:val="00614AF6"/>
    <w:rsid w:val="0061549B"/>
    <w:rsid w:val="00616802"/>
    <w:rsid w:val="0061719B"/>
    <w:rsid w:val="00617E12"/>
    <w:rsid w:val="00617F77"/>
    <w:rsid w:val="00620C25"/>
    <w:rsid w:val="00621477"/>
    <w:rsid w:val="00621ADA"/>
    <w:rsid w:val="00622FF3"/>
    <w:rsid w:val="00623F7B"/>
    <w:rsid w:val="00624F2A"/>
    <w:rsid w:val="006256A1"/>
    <w:rsid w:val="00626157"/>
    <w:rsid w:val="00626451"/>
    <w:rsid w:val="006270E7"/>
    <w:rsid w:val="006271A5"/>
    <w:rsid w:val="006272FA"/>
    <w:rsid w:val="00627449"/>
    <w:rsid w:val="0063025C"/>
    <w:rsid w:val="0063158F"/>
    <w:rsid w:val="006318BE"/>
    <w:rsid w:val="00631D6B"/>
    <w:rsid w:val="006320AA"/>
    <w:rsid w:val="00632183"/>
    <w:rsid w:val="00632F91"/>
    <w:rsid w:val="006330A1"/>
    <w:rsid w:val="0063479F"/>
    <w:rsid w:val="0063507C"/>
    <w:rsid w:val="006353F0"/>
    <w:rsid w:val="006357B5"/>
    <w:rsid w:val="00635AF8"/>
    <w:rsid w:val="006364A1"/>
    <w:rsid w:val="0063678E"/>
    <w:rsid w:val="00636956"/>
    <w:rsid w:val="006372FE"/>
    <w:rsid w:val="00637933"/>
    <w:rsid w:val="00637BFD"/>
    <w:rsid w:val="00641C4E"/>
    <w:rsid w:val="00641FB3"/>
    <w:rsid w:val="00642F49"/>
    <w:rsid w:val="00643519"/>
    <w:rsid w:val="0064434C"/>
    <w:rsid w:val="0064465F"/>
    <w:rsid w:val="00645C03"/>
    <w:rsid w:val="006463CF"/>
    <w:rsid w:val="006471CC"/>
    <w:rsid w:val="00647A29"/>
    <w:rsid w:val="00647E26"/>
    <w:rsid w:val="006500AF"/>
    <w:rsid w:val="006501DA"/>
    <w:rsid w:val="0065079F"/>
    <w:rsid w:val="0065277E"/>
    <w:rsid w:val="00652A28"/>
    <w:rsid w:val="0065379F"/>
    <w:rsid w:val="00653B7E"/>
    <w:rsid w:val="0065442C"/>
    <w:rsid w:val="00656188"/>
    <w:rsid w:val="0065638C"/>
    <w:rsid w:val="0065715A"/>
    <w:rsid w:val="006578A0"/>
    <w:rsid w:val="00660000"/>
    <w:rsid w:val="0066083C"/>
    <w:rsid w:val="006610F1"/>
    <w:rsid w:val="00661C6B"/>
    <w:rsid w:val="00661DF2"/>
    <w:rsid w:val="00662344"/>
    <w:rsid w:val="006628D9"/>
    <w:rsid w:val="006633C5"/>
    <w:rsid w:val="006671AD"/>
    <w:rsid w:val="006706B7"/>
    <w:rsid w:val="00671004"/>
    <w:rsid w:val="00672646"/>
    <w:rsid w:val="006737E3"/>
    <w:rsid w:val="00673C1E"/>
    <w:rsid w:val="00674842"/>
    <w:rsid w:val="00674861"/>
    <w:rsid w:val="00674BAA"/>
    <w:rsid w:val="00674E42"/>
    <w:rsid w:val="00675B1A"/>
    <w:rsid w:val="00676BC6"/>
    <w:rsid w:val="006804A7"/>
    <w:rsid w:val="00680704"/>
    <w:rsid w:val="006813F8"/>
    <w:rsid w:val="006819F0"/>
    <w:rsid w:val="00682112"/>
    <w:rsid w:val="00682BA6"/>
    <w:rsid w:val="0068391E"/>
    <w:rsid w:val="00683D56"/>
    <w:rsid w:val="00683DA7"/>
    <w:rsid w:val="0068429A"/>
    <w:rsid w:val="00684C54"/>
    <w:rsid w:val="00686957"/>
    <w:rsid w:val="00686CA0"/>
    <w:rsid w:val="006872BA"/>
    <w:rsid w:val="00690795"/>
    <w:rsid w:val="006910F5"/>
    <w:rsid w:val="00691130"/>
    <w:rsid w:val="00691648"/>
    <w:rsid w:val="006917D7"/>
    <w:rsid w:val="00691DCE"/>
    <w:rsid w:val="00692F99"/>
    <w:rsid w:val="0069434C"/>
    <w:rsid w:val="00694F44"/>
    <w:rsid w:val="006965A4"/>
    <w:rsid w:val="00696F51"/>
    <w:rsid w:val="00697263"/>
    <w:rsid w:val="006979A5"/>
    <w:rsid w:val="006A1559"/>
    <w:rsid w:val="006A1E9D"/>
    <w:rsid w:val="006A4494"/>
    <w:rsid w:val="006A58B6"/>
    <w:rsid w:val="006A5BE3"/>
    <w:rsid w:val="006A64F4"/>
    <w:rsid w:val="006A6B99"/>
    <w:rsid w:val="006A70B5"/>
    <w:rsid w:val="006A7B75"/>
    <w:rsid w:val="006A7E5F"/>
    <w:rsid w:val="006B261B"/>
    <w:rsid w:val="006B2C90"/>
    <w:rsid w:val="006B30DB"/>
    <w:rsid w:val="006B35E6"/>
    <w:rsid w:val="006B3EE2"/>
    <w:rsid w:val="006B440D"/>
    <w:rsid w:val="006B465A"/>
    <w:rsid w:val="006B4DB6"/>
    <w:rsid w:val="006B530F"/>
    <w:rsid w:val="006B6DD0"/>
    <w:rsid w:val="006B7DDA"/>
    <w:rsid w:val="006C0399"/>
    <w:rsid w:val="006C0E06"/>
    <w:rsid w:val="006C2A8E"/>
    <w:rsid w:val="006C3255"/>
    <w:rsid w:val="006C3F26"/>
    <w:rsid w:val="006C4258"/>
    <w:rsid w:val="006C44BB"/>
    <w:rsid w:val="006D0D17"/>
    <w:rsid w:val="006D0F9F"/>
    <w:rsid w:val="006D2008"/>
    <w:rsid w:val="006D2FAF"/>
    <w:rsid w:val="006D399A"/>
    <w:rsid w:val="006D3C7D"/>
    <w:rsid w:val="006D3C9F"/>
    <w:rsid w:val="006D4659"/>
    <w:rsid w:val="006D4B27"/>
    <w:rsid w:val="006D5D5F"/>
    <w:rsid w:val="006D68FB"/>
    <w:rsid w:val="006E0122"/>
    <w:rsid w:val="006E0E2A"/>
    <w:rsid w:val="006E173D"/>
    <w:rsid w:val="006E2868"/>
    <w:rsid w:val="006E3809"/>
    <w:rsid w:val="006E60EE"/>
    <w:rsid w:val="006E6548"/>
    <w:rsid w:val="006E6EA4"/>
    <w:rsid w:val="006E7F09"/>
    <w:rsid w:val="006F2232"/>
    <w:rsid w:val="006F306C"/>
    <w:rsid w:val="006F4367"/>
    <w:rsid w:val="006F4C83"/>
    <w:rsid w:val="006F63A5"/>
    <w:rsid w:val="006F70EF"/>
    <w:rsid w:val="00700806"/>
    <w:rsid w:val="0070142B"/>
    <w:rsid w:val="00701F49"/>
    <w:rsid w:val="0070276E"/>
    <w:rsid w:val="00702F8F"/>
    <w:rsid w:val="0070338B"/>
    <w:rsid w:val="00704581"/>
    <w:rsid w:val="007045AD"/>
    <w:rsid w:val="00704E39"/>
    <w:rsid w:val="00704E5B"/>
    <w:rsid w:val="00705D65"/>
    <w:rsid w:val="007067EC"/>
    <w:rsid w:val="007079FC"/>
    <w:rsid w:val="00710D7E"/>
    <w:rsid w:val="00711A36"/>
    <w:rsid w:val="007121C9"/>
    <w:rsid w:val="007122E1"/>
    <w:rsid w:val="00714C26"/>
    <w:rsid w:val="00714E4A"/>
    <w:rsid w:val="0071529C"/>
    <w:rsid w:val="0071649D"/>
    <w:rsid w:val="007170DA"/>
    <w:rsid w:val="007172AD"/>
    <w:rsid w:val="007178A1"/>
    <w:rsid w:val="00720801"/>
    <w:rsid w:val="00720BE8"/>
    <w:rsid w:val="00721FD3"/>
    <w:rsid w:val="00722B1B"/>
    <w:rsid w:val="00722ED1"/>
    <w:rsid w:val="0072416F"/>
    <w:rsid w:val="0072507B"/>
    <w:rsid w:val="00726E6A"/>
    <w:rsid w:val="0072765C"/>
    <w:rsid w:val="00727C94"/>
    <w:rsid w:val="00730FD9"/>
    <w:rsid w:val="00731510"/>
    <w:rsid w:val="00731B0A"/>
    <w:rsid w:val="00731EAE"/>
    <w:rsid w:val="00732A26"/>
    <w:rsid w:val="00733073"/>
    <w:rsid w:val="0073318E"/>
    <w:rsid w:val="007343FC"/>
    <w:rsid w:val="00734474"/>
    <w:rsid w:val="00734F5B"/>
    <w:rsid w:val="00735033"/>
    <w:rsid w:val="00735328"/>
    <w:rsid w:val="0073685B"/>
    <w:rsid w:val="0074068B"/>
    <w:rsid w:val="0074074E"/>
    <w:rsid w:val="00742422"/>
    <w:rsid w:val="0074352A"/>
    <w:rsid w:val="00744376"/>
    <w:rsid w:val="007449BF"/>
    <w:rsid w:val="0074520E"/>
    <w:rsid w:val="0074681D"/>
    <w:rsid w:val="00746BC0"/>
    <w:rsid w:val="00747792"/>
    <w:rsid w:val="007510B4"/>
    <w:rsid w:val="0075145F"/>
    <w:rsid w:val="00752142"/>
    <w:rsid w:val="007523F9"/>
    <w:rsid w:val="00753156"/>
    <w:rsid w:val="0075357E"/>
    <w:rsid w:val="0075372C"/>
    <w:rsid w:val="00756A7C"/>
    <w:rsid w:val="00757245"/>
    <w:rsid w:val="007573E8"/>
    <w:rsid w:val="00757A3E"/>
    <w:rsid w:val="00760C4E"/>
    <w:rsid w:val="00760F9E"/>
    <w:rsid w:val="00761FC6"/>
    <w:rsid w:val="007627BE"/>
    <w:rsid w:val="00763400"/>
    <w:rsid w:val="007639B7"/>
    <w:rsid w:val="00764854"/>
    <w:rsid w:val="00764F03"/>
    <w:rsid w:val="00765B1A"/>
    <w:rsid w:val="00766445"/>
    <w:rsid w:val="00767260"/>
    <w:rsid w:val="00767CCC"/>
    <w:rsid w:val="00770983"/>
    <w:rsid w:val="00771856"/>
    <w:rsid w:val="007733A2"/>
    <w:rsid w:val="00773702"/>
    <w:rsid w:val="00776454"/>
    <w:rsid w:val="00777335"/>
    <w:rsid w:val="0078047D"/>
    <w:rsid w:val="00781860"/>
    <w:rsid w:val="007843F2"/>
    <w:rsid w:val="007851AF"/>
    <w:rsid w:val="00785A9F"/>
    <w:rsid w:val="007865C6"/>
    <w:rsid w:val="00786E99"/>
    <w:rsid w:val="007870C2"/>
    <w:rsid w:val="00787C82"/>
    <w:rsid w:val="00787D9F"/>
    <w:rsid w:val="00787DD3"/>
    <w:rsid w:val="007913D8"/>
    <w:rsid w:val="0079192F"/>
    <w:rsid w:val="007925DF"/>
    <w:rsid w:val="00793C4A"/>
    <w:rsid w:val="00794731"/>
    <w:rsid w:val="0079485F"/>
    <w:rsid w:val="00795169"/>
    <w:rsid w:val="007954A7"/>
    <w:rsid w:val="007A08AA"/>
    <w:rsid w:val="007A0A12"/>
    <w:rsid w:val="007A0CE2"/>
    <w:rsid w:val="007A132D"/>
    <w:rsid w:val="007A1345"/>
    <w:rsid w:val="007A1AA3"/>
    <w:rsid w:val="007A2552"/>
    <w:rsid w:val="007A2DDB"/>
    <w:rsid w:val="007A31B8"/>
    <w:rsid w:val="007A340D"/>
    <w:rsid w:val="007A70BA"/>
    <w:rsid w:val="007B0D68"/>
    <w:rsid w:val="007B1109"/>
    <w:rsid w:val="007B1173"/>
    <w:rsid w:val="007B1740"/>
    <w:rsid w:val="007B2078"/>
    <w:rsid w:val="007B251D"/>
    <w:rsid w:val="007B4D1D"/>
    <w:rsid w:val="007B4F58"/>
    <w:rsid w:val="007B528D"/>
    <w:rsid w:val="007B63CA"/>
    <w:rsid w:val="007B6FC6"/>
    <w:rsid w:val="007B7246"/>
    <w:rsid w:val="007B77D1"/>
    <w:rsid w:val="007C07C7"/>
    <w:rsid w:val="007C0852"/>
    <w:rsid w:val="007C0CA1"/>
    <w:rsid w:val="007C14AB"/>
    <w:rsid w:val="007C1887"/>
    <w:rsid w:val="007C1CD9"/>
    <w:rsid w:val="007C29D6"/>
    <w:rsid w:val="007C2F8E"/>
    <w:rsid w:val="007C32EF"/>
    <w:rsid w:val="007C361D"/>
    <w:rsid w:val="007C3A2F"/>
    <w:rsid w:val="007C3DAB"/>
    <w:rsid w:val="007C3E73"/>
    <w:rsid w:val="007C4B84"/>
    <w:rsid w:val="007C4EDF"/>
    <w:rsid w:val="007C70FF"/>
    <w:rsid w:val="007C7192"/>
    <w:rsid w:val="007C72C2"/>
    <w:rsid w:val="007C735E"/>
    <w:rsid w:val="007C7C25"/>
    <w:rsid w:val="007D004F"/>
    <w:rsid w:val="007D0B38"/>
    <w:rsid w:val="007D0E7D"/>
    <w:rsid w:val="007D11C0"/>
    <w:rsid w:val="007D1E58"/>
    <w:rsid w:val="007D2DFB"/>
    <w:rsid w:val="007D432B"/>
    <w:rsid w:val="007D5440"/>
    <w:rsid w:val="007D57CA"/>
    <w:rsid w:val="007D5FF8"/>
    <w:rsid w:val="007D6493"/>
    <w:rsid w:val="007D69EB"/>
    <w:rsid w:val="007E010B"/>
    <w:rsid w:val="007E128F"/>
    <w:rsid w:val="007E168B"/>
    <w:rsid w:val="007E3E06"/>
    <w:rsid w:val="007E5728"/>
    <w:rsid w:val="007E60E1"/>
    <w:rsid w:val="007E6995"/>
    <w:rsid w:val="007E79F8"/>
    <w:rsid w:val="007F1017"/>
    <w:rsid w:val="007F3477"/>
    <w:rsid w:val="007F3D83"/>
    <w:rsid w:val="007F3DF9"/>
    <w:rsid w:val="007F4A3F"/>
    <w:rsid w:val="007F4A61"/>
    <w:rsid w:val="007F5255"/>
    <w:rsid w:val="007F56CC"/>
    <w:rsid w:val="007F5F59"/>
    <w:rsid w:val="007F61C2"/>
    <w:rsid w:val="007F719E"/>
    <w:rsid w:val="007F7ACC"/>
    <w:rsid w:val="008003D9"/>
    <w:rsid w:val="00800618"/>
    <w:rsid w:val="00802F79"/>
    <w:rsid w:val="008046EE"/>
    <w:rsid w:val="00805142"/>
    <w:rsid w:val="00805EAA"/>
    <w:rsid w:val="00805FCE"/>
    <w:rsid w:val="0080656A"/>
    <w:rsid w:val="00806739"/>
    <w:rsid w:val="008077A9"/>
    <w:rsid w:val="00807A8B"/>
    <w:rsid w:val="00810A7F"/>
    <w:rsid w:val="00810EAF"/>
    <w:rsid w:val="00811383"/>
    <w:rsid w:val="00812149"/>
    <w:rsid w:val="00812267"/>
    <w:rsid w:val="00812CAC"/>
    <w:rsid w:val="00813306"/>
    <w:rsid w:val="0081339D"/>
    <w:rsid w:val="008133C1"/>
    <w:rsid w:val="008141C8"/>
    <w:rsid w:val="00814BBF"/>
    <w:rsid w:val="0081517E"/>
    <w:rsid w:val="008151DA"/>
    <w:rsid w:val="008154B1"/>
    <w:rsid w:val="00815BC9"/>
    <w:rsid w:val="008160D9"/>
    <w:rsid w:val="00816361"/>
    <w:rsid w:val="008166EF"/>
    <w:rsid w:val="00816FEF"/>
    <w:rsid w:val="00820A8C"/>
    <w:rsid w:val="0082129B"/>
    <w:rsid w:val="008215FB"/>
    <w:rsid w:val="0082301C"/>
    <w:rsid w:val="00823174"/>
    <w:rsid w:val="00823A3A"/>
    <w:rsid w:val="0082422C"/>
    <w:rsid w:val="008244C8"/>
    <w:rsid w:val="008245B8"/>
    <w:rsid w:val="00825751"/>
    <w:rsid w:val="00825E75"/>
    <w:rsid w:val="008264EB"/>
    <w:rsid w:val="008278FA"/>
    <w:rsid w:val="008303E5"/>
    <w:rsid w:val="00830733"/>
    <w:rsid w:val="0083131C"/>
    <w:rsid w:val="0083167E"/>
    <w:rsid w:val="00831EB3"/>
    <w:rsid w:val="008323D3"/>
    <w:rsid w:val="0083334D"/>
    <w:rsid w:val="00833B05"/>
    <w:rsid w:val="008362B4"/>
    <w:rsid w:val="008363AD"/>
    <w:rsid w:val="00836CDC"/>
    <w:rsid w:val="0083739B"/>
    <w:rsid w:val="008406BF"/>
    <w:rsid w:val="00840CA2"/>
    <w:rsid w:val="008416B6"/>
    <w:rsid w:val="00841A54"/>
    <w:rsid w:val="00843584"/>
    <w:rsid w:val="0084374F"/>
    <w:rsid w:val="00843B63"/>
    <w:rsid w:val="00844A22"/>
    <w:rsid w:val="00846FD7"/>
    <w:rsid w:val="00847703"/>
    <w:rsid w:val="00847DF5"/>
    <w:rsid w:val="00851166"/>
    <w:rsid w:val="00852A76"/>
    <w:rsid w:val="0085309D"/>
    <w:rsid w:val="00855298"/>
    <w:rsid w:val="00856897"/>
    <w:rsid w:val="00856E9A"/>
    <w:rsid w:val="00860717"/>
    <w:rsid w:val="0086075D"/>
    <w:rsid w:val="0086145A"/>
    <w:rsid w:val="00862502"/>
    <w:rsid w:val="00862775"/>
    <w:rsid w:val="00862CC1"/>
    <w:rsid w:val="00862DB1"/>
    <w:rsid w:val="00862ECB"/>
    <w:rsid w:val="0086314C"/>
    <w:rsid w:val="0086366A"/>
    <w:rsid w:val="00863880"/>
    <w:rsid w:val="00864EFD"/>
    <w:rsid w:val="008654D1"/>
    <w:rsid w:val="008660D4"/>
    <w:rsid w:val="0086778B"/>
    <w:rsid w:val="00867F74"/>
    <w:rsid w:val="00871FA9"/>
    <w:rsid w:val="008728C8"/>
    <w:rsid w:val="008728E9"/>
    <w:rsid w:val="008738AA"/>
    <w:rsid w:val="008739CA"/>
    <w:rsid w:val="00873C19"/>
    <w:rsid w:val="0087412A"/>
    <w:rsid w:val="00876A9E"/>
    <w:rsid w:val="00877191"/>
    <w:rsid w:val="00881603"/>
    <w:rsid w:val="00882874"/>
    <w:rsid w:val="00882E3C"/>
    <w:rsid w:val="00883787"/>
    <w:rsid w:val="00884C68"/>
    <w:rsid w:val="008855E4"/>
    <w:rsid w:val="00885F0B"/>
    <w:rsid w:val="0088616E"/>
    <w:rsid w:val="00886CD2"/>
    <w:rsid w:val="00890068"/>
    <w:rsid w:val="00891E6F"/>
    <w:rsid w:val="0089275D"/>
    <w:rsid w:val="00892A36"/>
    <w:rsid w:val="00892B57"/>
    <w:rsid w:val="00893239"/>
    <w:rsid w:val="00894489"/>
    <w:rsid w:val="0089482C"/>
    <w:rsid w:val="008949B6"/>
    <w:rsid w:val="008963A5"/>
    <w:rsid w:val="00896D5D"/>
    <w:rsid w:val="008A2A1C"/>
    <w:rsid w:val="008A3363"/>
    <w:rsid w:val="008A3371"/>
    <w:rsid w:val="008A3C3E"/>
    <w:rsid w:val="008A4391"/>
    <w:rsid w:val="008A6A7A"/>
    <w:rsid w:val="008A76E9"/>
    <w:rsid w:val="008A79DE"/>
    <w:rsid w:val="008B0329"/>
    <w:rsid w:val="008B1575"/>
    <w:rsid w:val="008B1757"/>
    <w:rsid w:val="008B2466"/>
    <w:rsid w:val="008B26BE"/>
    <w:rsid w:val="008B7992"/>
    <w:rsid w:val="008B7D7E"/>
    <w:rsid w:val="008C0F9A"/>
    <w:rsid w:val="008C1C13"/>
    <w:rsid w:val="008C1C57"/>
    <w:rsid w:val="008C3959"/>
    <w:rsid w:val="008C3CAE"/>
    <w:rsid w:val="008C4381"/>
    <w:rsid w:val="008C5610"/>
    <w:rsid w:val="008C5739"/>
    <w:rsid w:val="008C5833"/>
    <w:rsid w:val="008C613A"/>
    <w:rsid w:val="008C7B99"/>
    <w:rsid w:val="008C7ECB"/>
    <w:rsid w:val="008D1E85"/>
    <w:rsid w:val="008D21D5"/>
    <w:rsid w:val="008D294E"/>
    <w:rsid w:val="008D2D6A"/>
    <w:rsid w:val="008D3307"/>
    <w:rsid w:val="008D3B86"/>
    <w:rsid w:val="008D3F80"/>
    <w:rsid w:val="008D4755"/>
    <w:rsid w:val="008D4C3D"/>
    <w:rsid w:val="008D6C2C"/>
    <w:rsid w:val="008D71C2"/>
    <w:rsid w:val="008D743C"/>
    <w:rsid w:val="008E0D3C"/>
    <w:rsid w:val="008E108A"/>
    <w:rsid w:val="008E1B9E"/>
    <w:rsid w:val="008E5043"/>
    <w:rsid w:val="008E55AB"/>
    <w:rsid w:val="008E5D60"/>
    <w:rsid w:val="008F01E1"/>
    <w:rsid w:val="008F03B0"/>
    <w:rsid w:val="008F120A"/>
    <w:rsid w:val="008F1FD7"/>
    <w:rsid w:val="008F27E0"/>
    <w:rsid w:val="008F3F9A"/>
    <w:rsid w:val="008F4189"/>
    <w:rsid w:val="008F453A"/>
    <w:rsid w:val="008F48EB"/>
    <w:rsid w:val="008F4F0B"/>
    <w:rsid w:val="008F6B3F"/>
    <w:rsid w:val="008F6DA9"/>
    <w:rsid w:val="008F7167"/>
    <w:rsid w:val="00900ACF"/>
    <w:rsid w:val="0090363C"/>
    <w:rsid w:val="009046C4"/>
    <w:rsid w:val="009062A5"/>
    <w:rsid w:val="00907385"/>
    <w:rsid w:val="009073E4"/>
    <w:rsid w:val="009074B1"/>
    <w:rsid w:val="00907F5A"/>
    <w:rsid w:val="009101FD"/>
    <w:rsid w:val="00910AA2"/>
    <w:rsid w:val="00910FA7"/>
    <w:rsid w:val="009110C7"/>
    <w:rsid w:val="00911272"/>
    <w:rsid w:val="00911672"/>
    <w:rsid w:val="00912164"/>
    <w:rsid w:val="009133FE"/>
    <w:rsid w:val="009135D6"/>
    <w:rsid w:val="00914121"/>
    <w:rsid w:val="00914238"/>
    <w:rsid w:val="00914B69"/>
    <w:rsid w:val="00914C77"/>
    <w:rsid w:val="00915D19"/>
    <w:rsid w:val="00917599"/>
    <w:rsid w:val="00920206"/>
    <w:rsid w:val="00920FF7"/>
    <w:rsid w:val="0092162F"/>
    <w:rsid w:val="00921ACB"/>
    <w:rsid w:val="00922250"/>
    <w:rsid w:val="0092369B"/>
    <w:rsid w:val="009314BB"/>
    <w:rsid w:val="00934988"/>
    <w:rsid w:val="00935490"/>
    <w:rsid w:val="00935622"/>
    <w:rsid w:val="0093660C"/>
    <w:rsid w:val="00937089"/>
    <w:rsid w:val="00937110"/>
    <w:rsid w:val="00940282"/>
    <w:rsid w:val="00941334"/>
    <w:rsid w:val="0094383E"/>
    <w:rsid w:val="00944F8A"/>
    <w:rsid w:val="00945321"/>
    <w:rsid w:val="009455B7"/>
    <w:rsid w:val="00947319"/>
    <w:rsid w:val="00950926"/>
    <w:rsid w:val="00951050"/>
    <w:rsid w:val="009510A2"/>
    <w:rsid w:val="00952CBB"/>
    <w:rsid w:val="00953257"/>
    <w:rsid w:val="00953566"/>
    <w:rsid w:val="0095474C"/>
    <w:rsid w:val="00954781"/>
    <w:rsid w:val="00954AAA"/>
    <w:rsid w:val="00954CE6"/>
    <w:rsid w:val="00956709"/>
    <w:rsid w:val="00957BDD"/>
    <w:rsid w:val="0096076D"/>
    <w:rsid w:val="009610FE"/>
    <w:rsid w:val="00962B5F"/>
    <w:rsid w:val="00962CB9"/>
    <w:rsid w:val="009636A8"/>
    <w:rsid w:val="0096377F"/>
    <w:rsid w:val="00963E35"/>
    <w:rsid w:val="00964312"/>
    <w:rsid w:val="00964F37"/>
    <w:rsid w:val="00965B8A"/>
    <w:rsid w:val="009704E8"/>
    <w:rsid w:val="0097071F"/>
    <w:rsid w:val="0097079D"/>
    <w:rsid w:val="009717AC"/>
    <w:rsid w:val="00972296"/>
    <w:rsid w:val="00972F17"/>
    <w:rsid w:val="00973281"/>
    <w:rsid w:val="009739EB"/>
    <w:rsid w:val="00973C92"/>
    <w:rsid w:val="00973CFC"/>
    <w:rsid w:val="009751C1"/>
    <w:rsid w:val="00975261"/>
    <w:rsid w:val="0097587A"/>
    <w:rsid w:val="009811F1"/>
    <w:rsid w:val="00981553"/>
    <w:rsid w:val="00981E16"/>
    <w:rsid w:val="009834FD"/>
    <w:rsid w:val="00983B00"/>
    <w:rsid w:val="00983E57"/>
    <w:rsid w:val="00985CEB"/>
    <w:rsid w:val="00985DE2"/>
    <w:rsid w:val="0098675D"/>
    <w:rsid w:val="00990491"/>
    <w:rsid w:val="009926E0"/>
    <w:rsid w:val="0099349E"/>
    <w:rsid w:val="0099451E"/>
    <w:rsid w:val="009949E2"/>
    <w:rsid w:val="009952DA"/>
    <w:rsid w:val="00995D4C"/>
    <w:rsid w:val="009969C9"/>
    <w:rsid w:val="00996B1A"/>
    <w:rsid w:val="009A03E7"/>
    <w:rsid w:val="009A0726"/>
    <w:rsid w:val="009A0FB5"/>
    <w:rsid w:val="009A22F7"/>
    <w:rsid w:val="009A2BF6"/>
    <w:rsid w:val="009A2CC4"/>
    <w:rsid w:val="009A2DCC"/>
    <w:rsid w:val="009A302F"/>
    <w:rsid w:val="009A338E"/>
    <w:rsid w:val="009A3A6B"/>
    <w:rsid w:val="009A3CAA"/>
    <w:rsid w:val="009A4B1F"/>
    <w:rsid w:val="009A55B4"/>
    <w:rsid w:val="009A5ABC"/>
    <w:rsid w:val="009A6D0D"/>
    <w:rsid w:val="009A7646"/>
    <w:rsid w:val="009A7F10"/>
    <w:rsid w:val="009B243C"/>
    <w:rsid w:val="009B3DC6"/>
    <w:rsid w:val="009B3E26"/>
    <w:rsid w:val="009B4790"/>
    <w:rsid w:val="009B5273"/>
    <w:rsid w:val="009C2440"/>
    <w:rsid w:val="009C3706"/>
    <w:rsid w:val="009C3A3A"/>
    <w:rsid w:val="009C4793"/>
    <w:rsid w:val="009C68F1"/>
    <w:rsid w:val="009C6CEA"/>
    <w:rsid w:val="009C7B85"/>
    <w:rsid w:val="009D0254"/>
    <w:rsid w:val="009D1025"/>
    <w:rsid w:val="009D1A62"/>
    <w:rsid w:val="009D1A64"/>
    <w:rsid w:val="009D1C5A"/>
    <w:rsid w:val="009D23E3"/>
    <w:rsid w:val="009D2786"/>
    <w:rsid w:val="009D4FA6"/>
    <w:rsid w:val="009D5B1B"/>
    <w:rsid w:val="009D5B91"/>
    <w:rsid w:val="009D5D8A"/>
    <w:rsid w:val="009D5DE2"/>
    <w:rsid w:val="009D6341"/>
    <w:rsid w:val="009D792E"/>
    <w:rsid w:val="009D7CB1"/>
    <w:rsid w:val="009E0DFE"/>
    <w:rsid w:val="009E1EF3"/>
    <w:rsid w:val="009E31F6"/>
    <w:rsid w:val="009E387D"/>
    <w:rsid w:val="009E49F7"/>
    <w:rsid w:val="009E4C07"/>
    <w:rsid w:val="009E5487"/>
    <w:rsid w:val="009E6C7D"/>
    <w:rsid w:val="009F1A7D"/>
    <w:rsid w:val="009F3ED0"/>
    <w:rsid w:val="009F50C9"/>
    <w:rsid w:val="009F5282"/>
    <w:rsid w:val="009F57BB"/>
    <w:rsid w:val="009F6506"/>
    <w:rsid w:val="009F7B1C"/>
    <w:rsid w:val="009F7D8A"/>
    <w:rsid w:val="00A006D9"/>
    <w:rsid w:val="00A008A3"/>
    <w:rsid w:val="00A01184"/>
    <w:rsid w:val="00A014EE"/>
    <w:rsid w:val="00A02F62"/>
    <w:rsid w:val="00A037C2"/>
    <w:rsid w:val="00A03D43"/>
    <w:rsid w:val="00A04380"/>
    <w:rsid w:val="00A05472"/>
    <w:rsid w:val="00A05C32"/>
    <w:rsid w:val="00A05DC2"/>
    <w:rsid w:val="00A0653F"/>
    <w:rsid w:val="00A06815"/>
    <w:rsid w:val="00A1013A"/>
    <w:rsid w:val="00A106EB"/>
    <w:rsid w:val="00A10810"/>
    <w:rsid w:val="00A11CD0"/>
    <w:rsid w:val="00A13850"/>
    <w:rsid w:val="00A13948"/>
    <w:rsid w:val="00A143FE"/>
    <w:rsid w:val="00A1555B"/>
    <w:rsid w:val="00A155C5"/>
    <w:rsid w:val="00A16AD8"/>
    <w:rsid w:val="00A1734B"/>
    <w:rsid w:val="00A2079C"/>
    <w:rsid w:val="00A21C95"/>
    <w:rsid w:val="00A21CF3"/>
    <w:rsid w:val="00A21D5D"/>
    <w:rsid w:val="00A21E77"/>
    <w:rsid w:val="00A21FAC"/>
    <w:rsid w:val="00A24813"/>
    <w:rsid w:val="00A26730"/>
    <w:rsid w:val="00A2798F"/>
    <w:rsid w:val="00A27AEC"/>
    <w:rsid w:val="00A30348"/>
    <w:rsid w:val="00A31328"/>
    <w:rsid w:val="00A31669"/>
    <w:rsid w:val="00A320DB"/>
    <w:rsid w:val="00A32891"/>
    <w:rsid w:val="00A32BDC"/>
    <w:rsid w:val="00A342DE"/>
    <w:rsid w:val="00A34AD7"/>
    <w:rsid w:val="00A35654"/>
    <w:rsid w:val="00A359E1"/>
    <w:rsid w:val="00A35D16"/>
    <w:rsid w:val="00A3683A"/>
    <w:rsid w:val="00A37626"/>
    <w:rsid w:val="00A37BCD"/>
    <w:rsid w:val="00A4157F"/>
    <w:rsid w:val="00A41689"/>
    <w:rsid w:val="00A42592"/>
    <w:rsid w:val="00A42832"/>
    <w:rsid w:val="00A430C5"/>
    <w:rsid w:val="00A43C59"/>
    <w:rsid w:val="00A4403C"/>
    <w:rsid w:val="00A4451A"/>
    <w:rsid w:val="00A44EFC"/>
    <w:rsid w:val="00A474F6"/>
    <w:rsid w:val="00A500D5"/>
    <w:rsid w:val="00A505A1"/>
    <w:rsid w:val="00A509FB"/>
    <w:rsid w:val="00A50ECD"/>
    <w:rsid w:val="00A518F3"/>
    <w:rsid w:val="00A51CCA"/>
    <w:rsid w:val="00A52729"/>
    <w:rsid w:val="00A53675"/>
    <w:rsid w:val="00A53D02"/>
    <w:rsid w:val="00A5437D"/>
    <w:rsid w:val="00A55781"/>
    <w:rsid w:val="00A55D2A"/>
    <w:rsid w:val="00A564D7"/>
    <w:rsid w:val="00A56B6A"/>
    <w:rsid w:val="00A578DC"/>
    <w:rsid w:val="00A60B52"/>
    <w:rsid w:val="00A62A52"/>
    <w:rsid w:val="00A62A8A"/>
    <w:rsid w:val="00A640E2"/>
    <w:rsid w:val="00A64308"/>
    <w:rsid w:val="00A6434A"/>
    <w:rsid w:val="00A64A93"/>
    <w:rsid w:val="00A64D65"/>
    <w:rsid w:val="00A6725B"/>
    <w:rsid w:val="00A67314"/>
    <w:rsid w:val="00A70605"/>
    <w:rsid w:val="00A71AA5"/>
    <w:rsid w:val="00A7291B"/>
    <w:rsid w:val="00A73134"/>
    <w:rsid w:val="00A73D0D"/>
    <w:rsid w:val="00A76001"/>
    <w:rsid w:val="00A770CD"/>
    <w:rsid w:val="00A777B2"/>
    <w:rsid w:val="00A80A19"/>
    <w:rsid w:val="00A81237"/>
    <w:rsid w:val="00A8253B"/>
    <w:rsid w:val="00A825D4"/>
    <w:rsid w:val="00A828F6"/>
    <w:rsid w:val="00A82AA8"/>
    <w:rsid w:val="00A82B73"/>
    <w:rsid w:val="00A86983"/>
    <w:rsid w:val="00A86E8B"/>
    <w:rsid w:val="00A87164"/>
    <w:rsid w:val="00A87942"/>
    <w:rsid w:val="00A924E4"/>
    <w:rsid w:val="00A93072"/>
    <w:rsid w:val="00A938BD"/>
    <w:rsid w:val="00A93953"/>
    <w:rsid w:val="00A959D8"/>
    <w:rsid w:val="00A9660B"/>
    <w:rsid w:val="00AA102E"/>
    <w:rsid w:val="00AA113D"/>
    <w:rsid w:val="00AA145C"/>
    <w:rsid w:val="00AA1602"/>
    <w:rsid w:val="00AA1774"/>
    <w:rsid w:val="00AA1842"/>
    <w:rsid w:val="00AA1B0A"/>
    <w:rsid w:val="00AA20D9"/>
    <w:rsid w:val="00AA38D5"/>
    <w:rsid w:val="00AA3F9C"/>
    <w:rsid w:val="00AA47E9"/>
    <w:rsid w:val="00AA6BD5"/>
    <w:rsid w:val="00AA6BD8"/>
    <w:rsid w:val="00AA6C7D"/>
    <w:rsid w:val="00AA6CBF"/>
    <w:rsid w:val="00AA6F6E"/>
    <w:rsid w:val="00AA7FD6"/>
    <w:rsid w:val="00AB042A"/>
    <w:rsid w:val="00AB055D"/>
    <w:rsid w:val="00AB0993"/>
    <w:rsid w:val="00AB19EF"/>
    <w:rsid w:val="00AB2468"/>
    <w:rsid w:val="00AB2CB0"/>
    <w:rsid w:val="00AB2D34"/>
    <w:rsid w:val="00AB2DB2"/>
    <w:rsid w:val="00AB3430"/>
    <w:rsid w:val="00AB37B9"/>
    <w:rsid w:val="00AB3C3A"/>
    <w:rsid w:val="00AB4AD1"/>
    <w:rsid w:val="00AB5424"/>
    <w:rsid w:val="00AB56ED"/>
    <w:rsid w:val="00AB5E07"/>
    <w:rsid w:val="00AB65F2"/>
    <w:rsid w:val="00AB79D1"/>
    <w:rsid w:val="00AB7CFA"/>
    <w:rsid w:val="00AC0588"/>
    <w:rsid w:val="00AC1EF3"/>
    <w:rsid w:val="00AC3424"/>
    <w:rsid w:val="00AC36E1"/>
    <w:rsid w:val="00AC5332"/>
    <w:rsid w:val="00AC5B48"/>
    <w:rsid w:val="00AC5DEF"/>
    <w:rsid w:val="00AC67F3"/>
    <w:rsid w:val="00AC69E3"/>
    <w:rsid w:val="00AC72EF"/>
    <w:rsid w:val="00AC748F"/>
    <w:rsid w:val="00AD0382"/>
    <w:rsid w:val="00AD0E8A"/>
    <w:rsid w:val="00AD1450"/>
    <w:rsid w:val="00AD16E5"/>
    <w:rsid w:val="00AD21A9"/>
    <w:rsid w:val="00AD2D2A"/>
    <w:rsid w:val="00AD3609"/>
    <w:rsid w:val="00AD44B9"/>
    <w:rsid w:val="00AD4825"/>
    <w:rsid w:val="00AD4ED8"/>
    <w:rsid w:val="00AD5A4A"/>
    <w:rsid w:val="00AD5E06"/>
    <w:rsid w:val="00AD6502"/>
    <w:rsid w:val="00AD67B3"/>
    <w:rsid w:val="00AE0695"/>
    <w:rsid w:val="00AE1230"/>
    <w:rsid w:val="00AE3E7E"/>
    <w:rsid w:val="00AE493E"/>
    <w:rsid w:val="00AF0700"/>
    <w:rsid w:val="00AF1134"/>
    <w:rsid w:val="00AF1315"/>
    <w:rsid w:val="00AF19BF"/>
    <w:rsid w:val="00AF2DC3"/>
    <w:rsid w:val="00AF5584"/>
    <w:rsid w:val="00AF7D8B"/>
    <w:rsid w:val="00B029B6"/>
    <w:rsid w:val="00B033E5"/>
    <w:rsid w:val="00B03961"/>
    <w:rsid w:val="00B03A63"/>
    <w:rsid w:val="00B03FC0"/>
    <w:rsid w:val="00B04396"/>
    <w:rsid w:val="00B045A8"/>
    <w:rsid w:val="00B04E5B"/>
    <w:rsid w:val="00B06265"/>
    <w:rsid w:val="00B06829"/>
    <w:rsid w:val="00B10691"/>
    <w:rsid w:val="00B13D88"/>
    <w:rsid w:val="00B1673A"/>
    <w:rsid w:val="00B17BA3"/>
    <w:rsid w:val="00B201A4"/>
    <w:rsid w:val="00B201D1"/>
    <w:rsid w:val="00B213A6"/>
    <w:rsid w:val="00B22532"/>
    <w:rsid w:val="00B22908"/>
    <w:rsid w:val="00B23268"/>
    <w:rsid w:val="00B235B0"/>
    <w:rsid w:val="00B23B0D"/>
    <w:rsid w:val="00B24DF6"/>
    <w:rsid w:val="00B25C6F"/>
    <w:rsid w:val="00B2729B"/>
    <w:rsid w:val="00B32956"/>
    <w:rsid w:val="00B32C6B"/>
    <w:rsid w:val="00B34FE2"/>
    <w:rsid w:val="00B35166"/>
    <w:rsid w:val="00B35335"/>
    <w:rsid w:val="00B357D8"/>
    <w:rsid w:val="00B360F4"/>
    <w:rsid w:val="00B367FC"/>
    <w:rsid w:val="00B36A00"/>
    <w:rsid w:val="00B37711"/>
    <w:rsid w:val="00B37BFC"/>
    <w:rsid w:val="00B37C74"/>
    <w:rsid w:val="00B4007D"/>
    <w:rsid w:val="00B40358"/>
    <w:rsid w:val="00B41614"/>
    <w:rsid w:val="00B42851"/>
    <w:rsid w:val="00B42F80"/>
    <w:rsid w:val="00B435CB"/>
    <w:rsid w:val="00B44542"/>
    <w:rsid w:val="00B45E5C"/>
    <w:rsid w:val="00B472C4"/>
    <w:rsid w:val="00B505C8"/>
    <w:rsid w:val="00B50DB8"/>
    <w:rsid w:val="00B53654"/>
    <w:rsid w:val="00B53905"/>
    <w:rsid w:val="00B53ADD"/>
    <w:rsid w:val="00B54B5B"/>
    <w:rsid w:val="00B5501C"/>
    <w:rsid w:val="00B5562E"/>
    <w:rsid w:val="00B55D65"/>
    <w:rsid w:val="00B56341"/>
    <w:rsid w:val="00B5680C"/>
    <w:rsid w:val="00B56EB8"/>
    <w:rsid w:val="00B57000"/>
    <w:rsid w:val="00B60939"/>
    <w:rsid w:val="00B60AFD"/>
    <w:rsid w:val="00B62715"/>
    <w:rsid w:val="00B62F48"/>
    <w:rsid w:val="00B650B8"/>
    <w:rsid w:val="00B653D2"/>
    <w:rsid w:val="00B65611"/>
    <w:rsid w:val="00B6610C"/>
    <w:rsid w:val="00B6724A"/>
    <w:rsid w:val="00B700E4"/>
    <w:rsid w:val="00B70E8E"/>
    <w:rsid w:val="00B719BD"/>
    <w:rsid w:val="00B719C6"/>
    <w:rsid w:val="00B73299"/>
    <w:rsid w:val="00B732F5"/>
    <w:rsid w:val="00B74672"/>
    <w:rsid w:val="00B7553F"/>
    <w:rsid w:val="00B755D5"/>
    <w:rsid w:val="00B75661"/>
    <w:rsid w:val="00B76C92"/>
    <w:rsid w:val="00B77D35"/>
    <w:rsid w:val="00B818A4"/>
    <w:rsid w:val="00B81FF2"/>
    <w:rsid w:val="00B83B6B"/>
    <w:rsid w:val="00B84117"/>
    <w:rsid w:val="00B858F0"/>
    <w:rsid w:val="00B85AA2"/>
    <w:rsid w:val="00B8649C"/>
    <w:rsid w:val="00B8695D"/>
    <w:rsid w:val="00B87F0A"/>
    <w:rsid w:val="00B90631"/>
    <w:rsid w:val="00B9067F"/>
    <w:rsid w:val="00B916CF"/>
    <w:rsid w:val="00B91D68"/>
    <w:rsid w:val="00B92C4B"/>
    <w:rsid w:val="00B92D0B"/>
    <w:rsid w:val="00B94146"/>
    <w:rsid w:val="00B94945"/>
    <w:rsid w:val="00B94A2F"/>
    <w:rsid w:val="00B94DD6"/>
    <w:rsid w:val="00B94EA9"/>
    <w:rsid w:val="00B95AEF"/>
    <w:rsid w:val="00B96501"/>
    <w:rsid w:val="00B97DAB"/>
    <w:rsid w:val="00BA3058"/>
    <w:rsid w:val="00BA322D"/>
    <w:rsid w:val="00BA3526"/>
    <w:rsid w:val="00BA4531"/>
    <w:rsid w:val="00BA5245"/>
    <w:rsid w:val="00BA63FA"/>
    <w:rsid w:val="00BA685D"/>
    <w:rsid w:val="00BA6A10"/>
    <w:rsid w:val="00BB00B3"/>
    <w:rsid w:val="00BB0BDD"/>
    <w:rsid w:val="00BB176C"/>
    <w:rsid w:val="00BB1A79"/>
    <w:rsid w:val="00BB2A73"/>
    <w:rsid w:val="00BB3A45"/>
    <w:rsid w:val="00BB4ACC"/>
    <w:rsid w:val="00BB703E"/>
    <w:rsid w:val="00BB732D"/>
    <w:rsid w:val="00BB7405"/>
    <w:rsid w:val="00BC0636"/>
    <w:rsid w:val="00BC289D"/>
    <w:rsid w:val="00BC3631"/>
    <w:rsid w:val="00BC3C31"/>
    <w:rsid w:val="00BC40AF"/>
    <w:rsid w:val="00BC591F"/>
    <w:rsid w:val="00BC7D6D"/>
    <w:rsid w:val="00BD0D0C"/>
    <w:rsid w:val="00BD12CB"/>
    <w:rsid w:val="00BD2108"/>
    <w:rsid w:val="00BD245F"/>
    <w:rsid w:val="00BD2C5C"/>
    <w:rsid w:val="00BD31C3"/>
    <w:rsid w:val="00BD3743"/>
    <w:rsid w:val="00BD4AE9"/>
    <w:rsid w:val="00BD4C88"/>
    <w:rsid w:val="00BD574D"/>
    <w:rsid w:val="00BD6574"/>
    <w:rsid w:val="00BD68A3"/>
    <w:rsid w:val="00BD6938"/>
    <w:rsid w:val="00BD6A64"/>
    <w:rsid w:val="00BD6CF3"/>
    <w:rsid w:val="00BD7271"/>
    <w:rsid w:val="00BD7300"/>
    <w:rsid w:val="00BD7AF1"/>
    <w:rsid w:val="00BE0ECA"/>
    <w:rsid w:val="00BE110C"/>
    <w:rsid w:val="00BE2180"/>
    <w:rsid w:val="00BE21F2"/>
    <w:rsid w:val="00BE35E1"/>
    <w:rsid w:val="00BE4275"/>
    <w:rsid w:val="00BE4DAD"/>
    <w:rsid w:val="00BE52FD"/>
    <w:rsid w:val="00BE5505"/>
    <w:rsid w:val="00BE5553"/>
    <w:rsid w:val="00BF0534"/>
    <w:rsid w:val="00BF06AE"/>
    <w:rsid w:val="00BF0F95"/>
    <w:rsid w:val="00BF1B11"/>
    <w:rsid w:val="00BF1FB5"/>
    <w:rsid w:val="00BF2433"/>
    <w:rsid w:val="00BF61C9"/>
    <w:rsid w:val="00BF6488"/>
    <w:rsid w:val="00BF66BF"/>
    <w:rsid w:val="00BF6C94"/>
    <w:rsid w:val="00C00424"/>
    <w:rsid w:val="00C019A2"/>
    <w:rsid w:val="00C01B41"/>
    <w:rsid w:val="00C02D96"/>
    <w:rsid w:val="00C064DF"/>
    <w:rsid w:val="00C1179F"/>
    <w:rsid w:val="00C1181A"/>
    <w:rsid w:val="00C119CB"/>
    <w:rsid w:val="00C11ADD"/>
    <w:rsid w:val="00C12C14"/>
    <w:rsid w:val="00C1386E"/>
    <w:rsid w:val="00C13E06"/>
    <w:rsid w:val="00C140BB"/>
    <w:rsid w:val="00C15F04"/>
    <w:rsid w:val="00C16AB2"/>
    <w:rsid w:val="00C179B3"/>
    <w:rsid w:val="00C17E3F"/>
    <w:rsid w:val="00C200AA"/>
    <w:rsid w:val="00C208DB"/>
    <w:rsid w:val="00C213F1"/>
    <w:rsid w:val="00C237ED"/>
    <w:rsid w:val="00C242BD"/>
    <w:rsid w:val="00C24632"/>
    <w:rsid w:val="00C24637"/>
    <w:rsid w:val="00C24C57"/>
    <w:rsid w:val="00C25418"/>
    <w:rsid w:val="00C25D9C"/>
    <w:rsid w:val="00C25E50"/>
    <w:rsid w:val="00C2778B"/>
    <w:rsid w:val="00C27DA2"/>
    <w:rsid w:val="00C31649"/>
    <w:rsid w:val="00C3434C"/>
    <w:rsid w:val="00C343B0"/>
    <w:rsid w:val="00C369D5"/>
    <w:rsid w:val="00C37E15"/>
    <w:rsid w:val="00C40385"/>
    <w:rsid w:val="00C41768"/>
    <w:rsid w:val="00C4450F"/>
    <w:rsid w:val="00C4458F"/>
    <w:rsid w:val="00C46E68"/>
    <w:rsid w:val="00C475AA"/>
    <w:rsid w:val="00C5002E"/>
    <w:rsid w:val="00C5188E"/>
    <w:rsid w:val="00C524EA"/>
    <w:rsid w:val="00C5260F"/>
    <w:rsid w:val="00C53296"/>
    <w:rsid w:val="00C53C98"/>
    <w:rsid w:val="00C56FCF"/>
    <w:rsid w:val="00C57B6C"/>
    <w:rsid w:val="00C628A6"/>
    <w:rsid w:val="00C64344"/>
    <w:rsid w:val="00C65108"/>
    <w:rsid w:val="00C65576"/>
    <w:rsid w:val="00C6569F"/>
    <w:rsid w:val="00C65861"/>
    <w:rsid w:val="00C65FA8"/>
    <w:rsid w:val="00C66165"/>
    <w:rsid w:val="00C66EA4"/>
    <w:rsid w:val="00C67645"/>
    <w:rsid w:val="00C7010E"/>
    <w:rsid w:val="00C704D4"/>
    <w:rsid w:val="00C7060A"/>
    <w:rsid w:val="00C70929"/>
    <w:rsid w:val="00C70BF3"/>
    <w:rsid w:val="00C7151A"/>
    <w:rsid w:val="00C717E3"/>
    <w:rsid w:val="00C71F60"/>
    <w:rsid w:val="00C72241"/>
    <w:rsid w:val="00C73DB7"/>
    <w:rsid w:val="00C7492D"/>
    <w:rsid w:val="00C750C8"/>
    <w:rsid w:val="00C7560F"/>
    <w:rsid w:val="00C7583D"/>
    <w:rsid w:val="00C77F7E"/>
    <w:rsid w:val="00C801EA"/>
    <w:rsid w:val="00C80A0E"/>
    <w:rsid w:val="00C8213F"/>
    <w:rsid w:val="00C82C80"/>
    <w:rsid w:val="00C82DC8"/>
    <w:rsid w:val="00C832CF"/>
    <w:rsid w:val="00C834F5"/>
    <w:rsid w:val="00C83770"/>
    <w:rsid w:val="00C84299"/>
    <w:rsid w:val="00C84480"/>
    <w:rsid w:val="00C85154"/>
    <w:rsid w:val="00C85155"/>
    <w:rsid w:val="00C851E3"/>
    <w:rsid w:val="00C865AC"/>
    <w:rsid w:val="00C86AD9"/>
    <w:rsid w:val="00C8797A"/>
    <w:rsid w:val="00C87F71"/>
    <w:rsid w:val="00C900B8"/>
    <w:rsid w:val="00C90C71"/>
    <w:rsid w:val="00C9118E"/>
    <w:rsid w:val="00C914B8"/>
    <w:rsid w:val="00C91FD1"/>
    <w:rsid w:val="00C931CF"/>
    <w:rsid w:val="00C938CF"/>
    <w:rsid w:val="00C94053"/>
    <w:rsid w:val="00C94B66"/>
    <w:rsid w:val="00C94CE9"/>
    <w:rsid w:val="00C95078"/>
    <w:rsid w:val="00C9624D"/>
    <w:rsid w:val="00C969DA"/>
    <w:rsid w:val="00C96E13"/>
    <w:rsid w:val="00C97669"/>
    <w:rsid w:val="00C97932"/>
    <w:rsid w:val="00CA15E8"/>
    <w:rsid w:val="00CA2C77"/>
    <w:rsid w:val="00CA3A9A"/>
    <w:rsid w:val="00CA444F"/>
    <w:rsid w:val="00CA5245"/>
    <w:rsid w:val="00CA543B"/>
    <w:rsid w:val="00CA71F4"/>
    <w:rsid w:val="00CA7B09"/>
    <w:rsid w:val="00CB065F"/>
    <w:rsid w:val="00CB12A5"/>
    <w:rsid w:val="00CB14EA"/>
    <w:rsid w:val="00CB1CAC"/>
    <w:rsid w:val="00CB207D"/>
    <w:rsid w:val="00CB2F2A"/>
    <w:rsid w:val="00CB3976"/>
    <w:rsid w:val="00CB3CE0"/>
    <w:rsid w:val="00CB5B1A"/>
    <w:rsid w:val="00CB68E9"/>
    <w:rsid w:val="00CB6B22"/>
    <w:rsid w:val="00CB6C28"/>
    <w:rsid w:val="00CB78E7"/>
    <w:rsid w:val="00CB7F5F"/>
    <w:rsid w:val="00CC1AA4"/>
    <w:rsid w:val="00CC1B39"/>
    <w:rsid w:val="00CC22DC"/>
    <w:rsid w:val="00CC35EA"/>
    <w:rsid w:val="00CC3848"/>
    <w:rsid w:val="00CC4455"/>
    <w:rsid w:val="00CC4F81"/>
    <w:rsid w:val="00CC5FEC"/>
    <w:rsid w:val="00CC6458"/>
    <w:rsid w:val="00CC7240"/>
    <w:rsid w:val="00CC7959"/>
    <w:rsid w:val="00CC7E50"/>
    <w:rsid w:val="00CD1BD7"/>
    <w:rsid w:val="00CD20FA"/>
    <w:rsid w:val="00CD21FA"/>
    <w:rsid w:val="00CD3F77"/>
    <w:rsid w:val="00CD5149"/>
    <w:rsid w:val="00CD6ADC"/>
    <w:rsid w:val="00CD7193"/>
    <w:rsid w:val="00CD73E5"/>
    <w:rsid w:val="00CE0FBB"/>
    <w:rsid w:val="00CE106B"/>
    <w:rsid w:val="00CE162B"/>
    <w:rsid w:val="00CE38C8"/>
    <w:rsid w:val="00CE3DE2"/>
    <w:rsid w:val="00CE5AAD"/>
    <w:rsid w:val="00CE6274"/>
    <w:rsid w:val="00CE77B6"/>
    <w:rsid w:val="00CF2B8D"/>
    <w:rsid w:val="00CF2EA6"/>
    <w:rsid w:val="00CF456B"/>
    <w:rsid w:val="00CF5A22"/>
    <w:rsid w:val="00CF660D"/>
    <w:rsid w:val="00CF722E"/>
    <w:rsid w:val="00D0096A"/>
    <w:rsid w:val="00D024A3"/>
    <w:rsid w:val="00D0262E"/>
    <w:rsid w:val="00D03240"/>
    <w:rsid w:val="00D03C07"/>
    <w:rsid w:val="00D041E5"/>
    <w:rsid w:val="00D04C77"/>
    <w:rsid w:val="00D05A74"/>
    <w:rsid w:val="00D05E3D"/>
    <w:rsid w:val="00D06139"/>
    <w:rsid w:val="00D069FF"/>
    <w:rsid w:val="00D102CD"/>
    <w:rsid w:val="00D1038D"/>
    <w:rsid w:val="00D110BD"/>
    <w:rsid w:val="00D11101"/>
    <w:rsid w:val="00D13675"/>
    <w:rsid w:val="00D13851"/>
    <w:rsid w:val="00D13A8C"/>
    <w:rsid w:val="00D141E1"/>
    <w:rsid w:val="00D14B0F"/>
    <w:rsid w:val="00D15314"/>
    <w:rsid w:val="00D15CB1"/>
    <w:rsid w:val="00D1656A"/>
    <w:rsid w:val="00D17D6C"/>
    <w:rsid w:val="00D20930"/>
    <w:rsid w:val="00D20F22"/>
    <w:rsid w:val="00D2155B"/>
    <w:rsid w:val="00D23B0E"/>
    <w:rsid w:val="00D23D11"/>
    <w:rsid w:val="00D243D3"/>
    <w:rsid w:val="00D244B6"/>
    <w:rsid w:val="00D27374"/>
    <w:rsid w:val="00D2754D"/>
    <w:rsid w:val="00D27B27"/>
    <w:rsid w:val="00D33BE9"/>
    <w:rsid w:val="00D33F93"/>
    <w:rsid w:val="00D340D9"/>
    <w:rsid w:val="00D353CA"/>
    <w:rsid w:val="00D357FF"/>
    <w:rsid w:val="00D36A51"/>
    <w:rsid w:val="00D376BB"/>
    <w:rsid w:val="00D3793F"/>
    <w:rsid w:val="00D3799A"/>
    <w:rsid w:val="00D40802"/>
    <w:rsid w:val="00D424C7"/>
    <w:rsid w:val="00D42764"/>
    <w:rsid w:val="00D4336F"/>
    <w:rsid w:val="00D43B2A"/>
    <w:rsid w:val="00D43D83"/>
    <w:rsid w:val="00D4541F"/>
    <w:rsid w:val="00D4574D"/>
    <w:rsid w:val="00D46056"/>
    <w:rsid w:val="00D46A0F"/>
    <w:rsid w:val="00D46DBE"/>
    <w:rsid w:val="00D47575"/>
    <w:rsid w:val="00D509FD"/>
    <w:rsid w:val="00D51A86"/>
    <w:rsid w:val="00D5243B"/>
    <w:rsid w:val="00D528D2"/>
    <w:rsid w:val="00D52B0C"/>
    <w:rsid w:val="00D533EC"/>
    <w:rsid w:val="00D54B52"/>
    <w:rsid w:val="00D54E2D"/>
    <w:rsid w:val="00D55206"/>
    <w:rsid w:val="00D56334"/>
    <w:rsid w:val="00D5659C"/>
    <w:rsid w:val="00D56A95"/>
    <w:rsid w:val="00D57455"/>
    <w:rsid w:val="00D57628"/>
    <w:rsid w:val="00D600EC"/>
    <w:rsid w:val="00D604D4"/>
    <w:rsid w:val="00D6188A"/>
    <w:rsid w:val="00D61F03"/>
    <w:rsid w:val="00D62164"/>
    <w:rsid w:val="00D63129"/>
    <w:rsid w:val="00D64454"/>
    <w:rsid w:val="00D65ADD"/>
    <w:rsid w:val="00D6697E"/>
    <w:rsid w:val="00D6697F"/>
    <w:rsid w:val="00D675BB"/>
    <w:rsid w:val="00D67858"/>
    <w:rsid w:val="00D70F16"/>
    <w:rsid w:val="00D712E9"/>
    <w:rsid w:val="00D72D56"/>
    <w:rsid w:val="00D72F57"/>
    <w:rsid w:val="00D73EB5"/>
    <w:rsid w:val="00D743E0"/>
    <w:rsid w:val="00D75ABE"/>
    <w:rsid w:val="00D75DAD"/>
    <w:rsid w:val="00D76A44"/>
    <w:rsid w:val="00D77564"/>
    <w:rsid w:val="00D7783D"/>
    <w:rsid w:val="00D779AA"/>
    <w:rsid w:val="00D77BFF"/>
    <w:rsid w:val="00D80690"/>
    <w:rsid w:val="00D80875"/>
    <w:rsid w:val="00D81046"/>
    <w:rsid w:val="00D815EF"/>
    <w:rsid w:val="00D81F26"/>
    <w:rsid w:val="00D833FF"/>
    <w:rsid w:val="00D84149"/>
    <w:rsid w:val="00D86231"/>
    <w:rsid w:val="00D86714"/>
    <w:rsid w:val="00D86B6C"/>
    <w:rsid w:val="00D90F6C"/>
    <w:rsid w:val="00D91045"/>
    <w:rsid w:val="00D91923"/>
    <w:rsid w:val="00D932A3"/>
    <w:rsid w:val="00D93753"/>
    <w:rsid w:val="00D95FD4"/>
    <w:rsid w:val="00D9705E"/>
    <w:rsid w:val="00D97133"/>
    <w:rsid w:val="00D978B1"/>
    <w:rsid w:val="00DA0133"/>
    <w:rsid w:val="00DA162C"/>
    <w:rsid w:val="00DA2323"/>
    <w:rsid w:val="00DA297B"/>
    <w:rsid w:val="00DA2A0A"/>
    <w:rsid w:val="00DA3167"/>
    <w:rsid w:val="00DA4D9B"/>
    <w:rsid w:val="00DA4DC3"/>
    <w:rsid w:val="00DA4F31"/>
    <w:rsid w:val="00DA575C"/>
    <w:rsid w:val="00DA6246"/>
    <w:rsid w:val="00DA6DD3"/>
    <w:rsid w:val="00DA77A5"/>
    <w:rsid w:val="00DB0344"/>
    <w:rsid w:val="00DB0E61"/>
    <w:rsid w:val="00DB3DBF"/>
    <w:rsid w:val="00DB3E0E"/>
    <w:rsid w:val="00DB4371"/>
    <w:rsid w:val="00DB484F"/>
    <w:rsid w:val="00DB5509"/>
    <w:rsid w:val="00DB7542"/>
    <w:rsid w:val="00DC0357"/>
    <w:rsid w:val="00DC04F6"/>
    <w:rsid w:val="00DC0690"/>
    <w:rsid w:val="00DC1736"/>
    <w:rsid w:val="00DC1C62"/>
    <w:rsid w:val="00DC1D65"/>
    <w:rsid w:val="00DC3BF3"/>
    <w:rsid w:val="00DC3C57"/>
    <w:rsid w:val="00DC4B58"/>
    <w:rsid w:val="00DC54CF"/>
    <w:rsid w:val="00DC5501"/>
    <w:rsid w:val="00DC6418"/>
    <w:rsid w:val="00DC7154"/>
    <w:rsid w:val="00DC7E8A"/>
    <w:rsid w:val="00DD034C"/>
    <w:rsid w:val="00DD0E38"/>
    <w:rsid w:val="00DD0F78"/>
    <w:rsid w:val="00DD1100"/>
    <w:rsid w:val="00DD124F"/>
    <w:rsid w:val="00DD1DF1"/>
    <w:rsid w:val="00DD273C"/>
    <w:rsid w:val="00DD3F28"/>
    <w:rsid w:val="00DD4537"/>
    <w:rsid w:val="00DD4763"/>
    <w:rsid w:val="00DD4E15"/>
    <w:rsid w:val="00DD6816"/>
    <w:rsid w:val="00DD75B4"/>
    <w:rsid w:val="00DD7AF3"/>
    <w:rsid w:val="00DE1B33"/>
    <w:rsid w:val="00DE2304"/>
    <w:rsid w:val="00DE2599"/>
    <w:rsid w:val="00DE3138"/>
    <w:rsid w:val="00DE3662"/>
    <w:rsid w:val="00DE37BA"/>
    <w:rsid w:val="00DE37F8"/>
    <w:rsid w:val="00DE4901"/>
    <w:rsid w:val="00DE4E3A"/>
    <w:rsid w:val="00DE4FCB"/>
    <w:rsid w:val="00DE5D07"/>
    <w:rsid w:val="00DE72A7"/>
    <w:rsid w:val="00DE76F0"/>
    <w:rsid w:val="00DE7832"/>
    <w:rsid w:val="00DF0150"/>
    <w:rsid w:val="00DF0773"/>
    <w:rsid w:val="00DF0E18"/>
    <w:rsid w:val="00DF18FC"/>
    <w:rsid w:val="00DF32AC"/>
    <w:rsid w:val="00DF5BFE"/>
    <w:rsid w:val="00DF5D2B"/>
    <w:rsid w:val="00DF68A2"/>
    <w:rsid w:val="00DF6B7D"/>
    <w:rsid w:val="00E007FC"/>
    <w:rsid w:val="00E00E8E"/>
    <w:rsid w:val="00E013B7"/>
    <w:rsid w:val="00E01741"/>
    <w:rsid w:val="00E02055"/>
    <w:rsid w:val="00E035E2"/>
    <w:rsid w:val="00E047FD"/>
    <w:rsid w:val="00E05630"/>
    <w:rsid w:val="00E05A1A"/>
    <w:rsid w:val="00E06DBB"/>
    <w:rsid w:val="00E10149"/>
    <w:rsid w:val="00E1048A"/>
    <w:rsid w:val="00E10983"/>
    <w:rsid w:val="00E10FC8"/>
    <w:rsid w:val="00E11037"/>
    <w:rsid w:val="00E11340"/>
    <w:rsid w:val="00E122A1"/>
    <w:rsid w:val="00E14C39"/>
    <w:rsid w:val="00E14DA0"/>
    <w:rsid w:val="00E15387"/>
    <w:rsid w:val="00E162D1"/>
    <w:rsid w:val="00E16372"/>
    <w:rsid w:val="00E164E2"/>
    <w:rsid w:val="00E1733D"/>
    <w:rsid w:val="00E17ADF"/>
    <w:rsid w:val="00E20E4D"/>
    <w:rsid w:val="00E20ED6"/>
    <w:rsid w:val="00E21358"/>
    <w:rsid w:val="00E21EF1"/>
    <w:rsid w:val="00E2249B"/>
    <w:rsid w:val="00E22A0D"/>
    <w:rsid w:val="00E22AC7"/>
    <w:rsid w:val="00E244F6"/>
    <w:rsid w:val="00E249EC"/>
    <w:rsid w:val="00E25B78"/>
    <w:rsid w:val="00E266BE"/>
    <w:rsid w:val="00E27036"/>
    <w:rsid w:val="00E275BF"/>
    <w:rsid w:val="00E2771E"/>
    <w:rsid w:val="00E30018"/>
    <w:rsid w:val="00E311EF"/>
    <w:rsid w:val="00E32180"/>
    <w:rsid w:val="00E33431"/>
    <w:rsid w:val="00E34948"/>
    <w:rsid w:val="00E34EE5"/>
    <w:rsid w:val="00E3558C"/>
    <w:rsid w:val="00E35998"/>
    <w:rsid w:val="00E370A2"/>
    <w:rsid w:val="00E371E9"/>
    <w:rsid w:val="00E37569"/>
    <w:rsid w:val="00E401B2"/>
    <w:rsid w:val="00E40AD4"/>
    <w:rsid w:val="00E41E30"/>
    <w:rsid w:val="00E42F73"/>
    <w:rsid w:val="00E43D70"/>
    <w:rsid w:val="00E45A12"/>
    <w:rsid w:val="00E466F3"/>
    <w:rsid w:val="00E46D0B"/>
    <w:rsid w:val="00E4711C"/>
    <w:rsid w:val="00E47B2C"/>
    <w:rsid w:val="00E500F7"/>
    <w:rsid w:val="00E51560"/>
    <w:rsid w:val="00E53FC8"/>
    <w:rsid w:val="00E54347"/>
    <w:rsid w:val="00E55424"/>
    <w:rsid w:val="00E55915"/>
    <w:rsid w:val="00E55BB5"/>
    <w:rsid w:val="00E55C4A"/>
    <w:rsid w:val="00E57074"/>
    <w:rsid w:val="00E60014"/>
    <w:rsid w:val="00E619D8"/>
    <w:rsid w:val="00E624A9"/>
    <w:rsid w:val="00E62A0F"/>
    <w:rsid w:val="00E63266"/>
    <w:rsid w:val="00E65E79"/>
    <w:rsid w:val="00E66298"/>
    <w:rsid w:val="00E66416"/>
    <w:rsid w:val="00E66BA2"/>
    <w:rsid w:val="00E67275"/>
    <w:rsid w:val="00E67416"/>
    <w:rsid w:val="00E718B6"/>
    <w:rsid w:val="00E71C99"/>
    <w:rsid w:val="00E723BA"/>
    <w:rsid w:val="00E73581"/>
    <w:rsid w:val="00E7498A"/>
    <w:rsid w:val="00E75A00"/>
    <w:rsid w:val="00E76803"/>
    <w:rsid w:val="00E777C2"/>
    <w:rsid w:val="00E777C8"/>
    <w:rsid w:val="00E80B73"/>
    <w:rsid w:val="00E81039"/>
    <w:rsid w:val="00E8206B"/>
    <w:rsid w:val="00E826D9"/>
    <w:rsid w:val="00E8272B"/>
    <w:rsid w:val="00E82A41"/>
    <w:rsid w:val="00E833F7"/>
    <w:rsid w:val="00E83BDF"/>
    <w:rsid w:val="00E84265"/>
    <w:rsid w:val="00E84CA9"/>
    <w:rsid w:val="00E861C5"/>
    <w:rsid w:val="00E86504"/>
    <w:rsid w:val="00E874F1"/>
    <w:rsid w:val="00E87992"/>
    <w:rsid w:val="00E87A1D"/>
    <w:rsid w:val="00E87E4F"/>
    <w:rsid w:val="00E87F31"/>
    <w:rsid w:val="00E907FF"/>
    <w:rsid w:val="00E9094A"/>
    <w:rsid w:val="00E91D35"/>
    <w:rsid w:val="00E926A5"/>
    <w:rsid w:val="00E93A97"/>
    <w:rsid w:val="00E94007"/>
    <w:rsid w:val="00E94C9C"/>
    <w:rsid w:val="00E9667A"/>
    <w:rsid w:val="00E9683E"/>
    <w:rsid w:val="00E96C5B"/>
    <w:rsid w:val="00EA17C3"/>
    <w:rsid w:val="00EA2CAA"/>
    <w:rsid w:val="00EA300E"/>
    <w:rsid w:val="00EA3864"/>
    <w:rsid w:val="00EA3C26"/>
    <w:rsid w:val="00EA4BF7"/>
    <w:rsid w:val="00EA7116"/>
    <w:rsid w:val="00EA7A7E"/>
    <w:rsid w:val="00EA7F1C"/>
    <w:rsid w:val="00EB1386"/>
    <w:rsid w:val="00EB15B6"/>
    <w:rsid w:val="00EB186C"/>
    <w:rsid w:val="00EB1D0E"/>
    <w:rsid w:val="00EB3D06"/>
    <w:rsid w:val="00EB4628"/>
    <w:rsid w:val="00EB4916"/>
    <w:rsid w:val="00EB6536"/>
    <w:rsid w:val="00EB6F0C"/>
    <w:rsid w:val="00EB76DC"/>
    <w:rsid w:val="00EB7B29"/>
    <w:rsid w:val="00EC00C9"/>
    <w:rsid w:val="00EC0295"/>
    <w:rsid w:val="00EC0DD9"/>
    <w:rsid w:val="00EC11C3"/>
    <w:rsid w:val="00EC2649"/>
    <w:rsid w:val="00EC2BB7"/>
    <w:rsid w:val="00EC31ED"/>
    <w:rsid w:val="00EC35A3"/>
    <w:rsid w:val="00EC39C7"/>
    <w:rsid w:val="00EC39E6"/>
    <w:rsid w:val="00EC43AC"/>
    <w:rsid w:val="00EC49FB"/>
    <w:rsid w:val="00EC5836"/>
    <w:rsid w:val="00EC65DB"/>
    <w:rsid w:val="00EC688C"/>
    <w:rsid w:val="00EC6B3E"/>
    <w:rsid w:val="00ED0890"/>
    <w:rsid w:val="00ED2578"/>
    <w:rsid w:val="00ED383C"/>
    <w:rsid w:val="00ED57EA"/>
    <w:rsid w:val="00ED5BD4"/>
    <w:rsid w:val="00EE07D3"/>
    <w:rsid w:val="00EE1996"/>
    <w:rsid w:val="00EE1C01"/>
    <w:rsid w:val="00EE22AF"/>
    <w:rsid w:val="00EE37FE"/>
    <w:rsid w:val="00EE4C80"/>
    <w:rsid w:val="00EE7D63"/>
    <w:rsid w:val="00EE7D87"/>
    <w:rsid w:val="00EF0171"/>
    <w:rsid w:val="00EF0394"/>
    <w:rsid w:val="00EF13EE"/>
    <w:rsid w:val="00EF1B25"/>
    <w:rsid w:val="00EF1DA0"/>
    <w:rsid w:val="00EF2487"/>
    <w:rsid w:val="00EF4747"/>
    <w:rsid w:val="00EF4BF8"/>
    <w:rsid w:val="00EF5A39"/>
    <w:rsid w:val="00EF5C8B"/>
    <w:rsid w:val="00EF611A"/>
    <w:rsid w:val="00EF7275"/>
    <w:rsid w:val="00EF7C1A"/>
    <w:rsid w:val="00F0006D"/>
    <w:rsid w:val="00F00DAF"/>
    <w:rsid w:val="00F0180A"/>
    <w:rsid w:val="00F01C0D"/>
    <w:rsid w:val="00F02253"/>
    <w:rsid w:val="00F02F21"/>
    <w:rsid w:val="00F0341A"/>
    <w:rsid w:val="00F03C2E"/>
    <w:rsid w:val="00F04A66"/>
    <w:rsid w:val="00F04B4B"/>
    <w:rsid w:val="00F0516C"/>
    <w:rsid w:val="00F061BD"/>
    <w:rsid w:val="00F067A2"/>
    <w:rsid w:val="00F06A05"/>
    <w:rsid w:val="00F07B9E"/>
    <w:rsid w:val="00F07CEA"/>
    <w:rsid w:val="00F1018A"/>
    <w:rsid w:val="00F1116F"/>
    <w:rsid w:val="00F1135E"/>
    <w:rsid w:val="00F1263A"/>
    <w:rsid w:val="00F12FEA"/>
    <w:rsid w:val="00F1374F"/>
    <w:rsid w:val="00F142BA"/>
    <w:rsid w:val="00F14476"/>
    <w:rsid w:val="00F15525"/>
    <w:rsid w:val="00F155C8"/>
    <w:rsid w:val="00F15B77"/>
    <w:rsid w:val="00F2005A"/>
    <w:rsid w:val="00F2121F"/>
    <w:rsid w:val="00F213DC"/>
    <w:rsid w:val="00F221F4"/>
    <w:rsid w:val="00F24837"/>
    <w:rsid w:val="00F2575F"/>
    <w:rsid w:val="00F26673"/>
    <w:rsid w:val="00F26EC2"/>
    <w:rsid w:val="00F27565"/>
    <w:rsid w:val="00F30321"/>
    <w:rsid w:val="00F30B1E"/>
    <w:rsid w:val="00F310D4"/>
    <w:rsid w:val="00F31D5A"/>
    <w:rsid w:val="00F33975"/>
    <w:rsid w:val="00F33DE9"/>
    <w:rsid w:val="00F34EF0"/>
    <w:rsid w:val="00F35E6D"/>
    <w:rsid w:val="00F3619A"/>
    <w:rsid w:val="00F36ADA"/>
    <w:rsid w:val="00F37792"/>
    <w:rsid w:val="00F405B3"/>
    <w:rsid w:val="00F40AAA"/>
    <w:rsid w:val="00F40BA7"/>
    <w:rsid w:val="00F40F9D"/>
    <w:rsid w:val="00F41ACD"/>
    <w:rsid w:val="00F4489F"/>
    <w:rsid w:val="00F45B99"/>
    <w:rsid w:val="00F45CFA"/>
    <w:rsid w:val="00F45E36"/>
    <w:rsid w:val="00F46CB6"/>
    <w:rsid w:val="00F4756D"/>
    <w:rsid w:val="00F47DE8"/>
    <w:rsid w:val="00F520E0"/>
    <w:rsid w:val="00F542C1"/>
    <w:rsid w:val="00F54EAA"/>
    <w:rsid w:val="00F55E73"/>
    <w:rsid w:val="00F55EDA"/>
    <w:rsid w:val="00F56C80"/>
    <w:rsid w:val="00F57F62"/>
    <w:rsid w:val="00F60092"/>
    <w:rsid w:val="00F614AF"/>
    <w:rsid w:val="00F61C18"/>
    <w:rsid w:val="00F63951"/>
    <w:rsid w:val="00F65F4B"/>
    <w:rsid w:val="00F67629"/>
    <w:rsid w:val="00F67A69"/>
    <w:rsid w:val="00F70316"/>
    <w:rsid w:val="00F70B6A"/>
    <w:rsid w:val="00F70BFF"/>
    <w:rsid w:val="00F70C9D"/>
    <w:rsid w:val="00F7153F"/>
    <w:rsid w:val="00F71B13"/>
    <w:rsid w:val="00F71F60"/>
    <w:rsid w:val="00F72705"/>
    <w:rsid w:val="00F74CD9"/>
    <w:rsid w:val="00F74EC8"/>
    <w:rsid w:val="00F75C3A"/>
    <w:rsid w:val="00F75DDF"/>
    <w:rsid w:val="00F80A7B"/>
    <w:rsid w:val="00F80E5D"/>
    <w:rsid w:val="00F81E78"/>
    <w:rsid w:val="00F8230E"/>
    <w:rsid w:val="00F82FAE"/>
    <w:rsid w:val="00F8320B"/>
    <w:rsid w:val="00F837A4"/>
    <w:rsid w:val="00F851CE"/>
    <w:rsid w:val="00F865E7"/>
    <w:rsid w:val="00F86A1C"/>
    <w:rsid w:val="00F86E53"/>
    <w:rsid w:val="00F87C3E"/>
    <w:rsid w:val="00F87C72"/>
    <w:rsid w:val="00F910D2"/>
    <w:rsid w:val="00F91219"/>
    <w:rsid w:val="00F91B24"/>
    <w:rsid w:val="00F92444"/>
    <w:rsid w:val="00F93647"/>
    <w:rsid w:val="00F936CF"/>
    <w:rsid w:val="00F9393E"/>
    <w:rsid w:val="00F93E23"/>
    <w:rsid w:val="00F946CA"/>
    <w:rsid w:val="00F947A3"/>
    <w:rsid w:val="00F95CFA"/>
    <w:rsid w:val="00F9614B"/>
    <w:rsid w:val="00F96FD0"/>
    <w:rsid w:val="00F97A78"/>
    <w:rsid w:val="00F97C84"/>
    <w:rsid w:val="00FA0416"/>
    <w:rsid w:val="00FA0B20"/>
    <w:rsid w:val="00FA24E7"/>
    <w:rsid w:val="00FA4965"/>
    <w:rsid w:val="00FA57DE"/>
    <w:rsid w:val="00FA5EE6"/>
    <w:rsid w:val="00FA6884"/>
    <w:rsid w:val="00FA7956"/>
    <w:rsid w:val="00FB0791"/>
    <w:rsid w:val="00FB0CB2"/>
    <w:rsid w:val="00FB0EBA"/>
    <w:rsid w:val="00FB2A2E"/>
    <w:rsid w:val="00FB2FCB"/>
    <w:rsid w:val="00FB3946"/>
    <w:rsid w:val="00FB4A6B"/>
    <w:rsid w:val="00FB5DEA"/>
    <w:rsid w:val="00FB6A37"/>
    <w:rsid w:val="00FB7290"/>
    <w:rsid w:val="00FB76B4"/>
    <w:rsid w:val="00FB7C55"/>
    <w:rsid w:val="00FC1074"/>
    <w:rsid w:val="00FC134C"/>
    <w:rsid w:val="00FC1884"/>
    <w:rsid w:val="00FC1DF1"/>
    <w:rsid w:val="00FC20FF"/>
    <w:rsid w:val="00FC311A"/>
    <w:rsid w:val="00FC371D"/>
    <w:rsid w:val="00FC590B"/>
    <w:rsid w:val="00FC5F0B"/>
    <w:rsid w:val="00FD0695"/>
    <w:rsid w:val="00FD07A1"/>
    <w:rsid w:val="00FD1C03"/>
    <w:rsid w:val="00FD2100"/>
    <w:rsid w:val="00FD22E0"/>
    <w:rsid w:val="00FD3843"/>
    <w:rsid w:val="00FD436C"/>
    <w:rsid w:val="00FD446D"/>
    <w:rsid w:val="00FD4F2C"/>
    <w:rsid w:val="00FD6104"/>
    <w:rsid w:val="00FD6394"/>
    <w:rsid w:val="00FE088F"/>
    <w:rsid w:val="00FE0ACF"/>
    <w:rsid w:val="00FE0E2B"/>
    <w:rsid w:val="00FE0E6C"/>
    <w:rsid w:val="00FE1CDC"/>
    <w:rsid w:val="00FE200F"/>
    <w:rsid w:val="00FE2FD3"/>
    <w:rsid w:val="00FE3B0E"/>
    <w:rsid w:val="00FE40AE"/>
    <w:rsid w:val="00FE45F5"/>
    <w:rsid w:val="00FE51CA"/>
    <w:rsid w:val="00FE652E"/>
    <w:rsid w:val="00FE70C3"/>
    <w:rsid w:val="00FE75D7"/>
    <w:rsid w:val="00FF031E"/>
    <w:rsid w:val="00FF0567"/>
    <w:rsid w:val="00FF2AD9"/>
    <w:rsid w:val="00FF359F"/>
    <w:rsid w:val="00FF3DCF"/>
    <w:rsid w:val="00FF46ED"/>
    <w:rsid w:val="00FF492C"/>
    <w:rsid w:val="00FF4A21"/>
    <w:rsid w:val="00FF5AA3"/>
    <w:rsid w:val="00FF5AD8"/>
    <w:rsid w:val="00FF6B2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150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07046D"/>
    <w:pPr>
      <w:numPr>
        <w:ilvl w:val="1"/>
        <w:numId w:val="1"/>
      </w:numPr>
      <w:ind w:left="720"/>
    </w:pPr>
  </w:style>
  <w:style w:type="character" w:customStyle="1" w:styleId="3-BodyTextChar">
    <w:name w:val="3-Body Text Char"/>
    <w:basedOn w:val="ListParagraphChar"/>
    <w:link w:val="3-BodyText"/>
    <w:rsid w:val="0007046D"/>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787D9F"/>
    <w:pPr>
      <w:spacing w:after="240"/>
      <w:contextualSpacing/>
    </w:pPr>
    <w:rPr>
      <w:rFonts w:ascii="Arial Narrow" w:hAnsi="Arial Narrow"/>
      <w:snapToGrid w:val="0"/>
      <w:sz w:val="18"/>
      <w:szCs w:val="22"/>
    </w:rPr>
  </w:style>
  <w:style w:type="character" w:customStyle="1" w:styleId="TableFigureFooterChar">
    <w:name w:val="Table/Figure Footer Char"/>
    <w:link w:val="TableFigureFooter"/>
    <w:rsid w:val="00787D9F"/>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Tablenotes">
    <w:name w:val="Table notes"/>
    <w:basedOn w:val="Normal"/>
    <w:link w:val="TablenotesCharChar"/>
    <w:rsid w:val="00510547"/>
    <w:pPr>
      <w:keepNext/>
      <w:keepLines/>
      <w:spacing w:after="360"/>
      <w:contextualSpacing/>
      <w:jc w:val="left"/>
    </w:pPr>
    <w:rPr>
      <w:rFonts w:ascii="Arial Narrow" w:hAnsi="Arial Narrow" w:cs="Times New Roman"/>
      <w:sz w:val="16"/>
      <w:szCs w:val="22"/>
      <w:lang w:eastAsia="en-US"/>
    </w:rPr>
  </w:style>
  <w:style w:type="character" w:customStyle="1" w:styleId="TablenotesCharChar">
    <w:name w:val="Table notes Char Char"/>
    <w:link w:val="Tablenotes"/>
    <w:locked/>
    <w:rsid w:val="00510547"/>
    <w:rPr>
      <w:rFonts w:ascii="Arial Narrow" w:hAnsi="Arial Narrow"/>
      <w:sz w:val="16"/>
      <w:szCs w:val="22"/>
      <w:lang w:eastAsia="en-US"/>
    </w:rPr>
  </w:style>
  <w:style w:type="table" w:customStyle="1" w:styleId="ASDTable18">
    <w:name w:val="ASD Table18"/>
    <w:basedOn w:val="TableNormal"/>
    <w:next w:val="TableGrid"/>
    <w:uiPriority w:val="39"/>
    <w:rsid w:val="00510547"/>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D5DE2"/>
    <w:rPr>
      <w:sz w:val="20"/>
      <w:szCs w:val="20"/>
    </w:rPr>
  </w:style>
  <w:style w:type="character" w:customStyle="1" w:styleId="FootnoteTextChar">
    <w:name w:val="Footnote Text Char"/>
    <w:basedOn w:val="DefaultParagraphFont"/>
    <w:link w:val="FootnoteText"/>
    <w:rsid w:val="009D5DE2"/>
    <w:rPr>
      <w:rFonts w:ascii="Calibri" w:hAnsi="Calibri" w:cs="Arial"/>
    </w:rPr>
  </w:style>
  <w:style w:type="character" w:styleId="FootnoteReference">
    <w:name w:val="footnote reference"/>
    <w:basedOn w:val="DefaultParagraphFont"/>
    <w:semiHidden/>
    <w:unhideWhenUsed/>
    <w:rsid w:val="009D5DE2"/>
    <w:rPr>
      <w:vertAlign w:val="superscript"/>
    </w:rPr>
  </w:style>
  <w:style w:type="paragraph" w:customStyle="1" w:styleId="References">
    <w:name w:val="References"/>
    <w:link w:val="ReferencesChar"/>
    <w:rsid w:val="006A1559"/>
    <w:pPr>
      <w:spacing w:before="120"/>
      <w:ind w:left="567" w:hanging="567"/>
    </w:pPr>
    <w:rPr>
      <w:rFonts w:ascii="Garamond" w:eastAsia="SimSun" w:hAnsi="Garamond" w:cs="Tahoma"/>
      <w:sz w:val="18"/>
      <w:szCs w:val="18"/>
      <w:lang w:eastAsia="zh-CN"/>
    </w:rPr>
  </w:style>
  <w:style w:type="character" w:customStyle="1" w:styleId="ReferencesChar">
    <w:name w:val="References Char"/>
    <w:link w:val="References"/>
    <w:rsid w:val="006A1559"/>
    <w:rPr>
      <w:rFonts w:ascii="Garamond" w:eastAsia="SimSun" w:hAnsi="Garamond" w:cs="Tahoma"/>
      <w:sz w:val="18"/>
      <w:szCs w:val="18"/>
      <w:lang w:eastAsia="zh-CN"/>
    </w:rPr>
  </w:style>
  <w:style w:type="character" w:customStyle="1" w:styleId="PBACTableTextChar">
    <w:name w:val="PBAC Table Text Char"/>
    <w:link w:val="PBACTableText"/>
    <w:locked/>
    <w:rsid w:val="00F837A4"/>
    <w:rPr>
      <w:rFonts w:ascii="Arial Narrow" w:hAnsi="Arial Narrow"/>
      <w:lang w:val="en-US"/>
    </w:rPr>
  </w:style>
  <w:style w:type="paragraph" w:customStyle="1" w:styleId="PBACTableText">
    <w:name w:val="PBAC Table Text"/>
    <w:basedOn w:val="Normal"/>
    <w:link w:val="PBACTableTextChar"/>
    <w:rsid w:val="00F837A4"/>
    <w:pPr>
      <w:spacing w:before="40" w:after="40"/>
      <w:jc w:val="left"/>
    </w:pPr>
    <w:rPr>
      <w:rFonts w:ascii="Arial Narrow" w:hAnsi="Arial Narrow" w:cs="Times New Roman"/>
      <w:sz w:val="20"/>
      <w:szCs w:val="20"/>
      <w:lang w:val="en-US"/>
    </w:rPr>
  </w:style>
  <w:style w:type="paragraph" w:customStyle="1" w:styleId="Default">
    <w:name w:val="Default"/>
    <w:link w:val="DefaultChar"/>
    <w:rsid w:val="00C65861"/>
    <w:pPr>
      <w:autoSpaceDE w:val="0"/>
      <w:autoSpaceDN w:val="0"/>
      <w:adjustRightInd w:val="0"/>
    </w:pPr>
    <w:rPr>
      <w:rFonts w:ascii="Arial" w:hAnsi="Arial" w:cs="Arial"/>
      <w:color w:val="000000"/>
      <w:sz w:val="24"/>
      <w:szCs w:val="24"/>
      <w:lang w:val="en-US" w:eastAsia="en-US"/>
    </w:rPr>
  </w:style>
  <w:style w:type="character" w:customStyle="1" w:styleId="DefaultChar">
    <w:name w:val="Default Char"/>
    <w:basedOn w:val="DefaultParagraphFont"/>
    <w:link w:val="Default"/>
    <w:rsid w:val="00C65861"/>
    <w:rPr>
      <w:rFonts w:ascii="Arial" w:hAnsi="Arial" w:cs="Arial"/>
      <w:color w:val="000000"/>
      <w:sz w:val="24"/>
      <w:szCs w:val="24"/>
      <w:lang w:val="en-US" w:eastAsia="en-US"/>
    </w:rPr>
  </w:style>
  <w:style w:type="paragraph" w:customStyle="1" w:styleId="04Tabletextspacebefore">
    <w:name w:val="04. Table text space before"/>
    <w:qFormat/>
    <w:rsid w:val="00C524EA"/>
    <w:pPr>
      <w:spacing w:before="120"/>
    </w:pPr>
    <w:rPr>
      <w:rFonts w:ascii="Arial Narrow" w:eastAsia="Calibri" w:hAnsi="Arial Narrow"/>
      <w:sz w:val="18"/>
      <w:lang w:eastAsia="en-US"/>
    </w:rPr>
  </w:style>
  <w:style w:type="paragraph" w:customStyle="1" w:styleId="EndNoteBibliographyTitle">
    <w:name w:val="EndNote Bibliography Title"/>
    <w:basedOn w:val="Normal"/>
    <w:link w:val="EndNoteBibliographyTitleChar"/>
    <w:rsid w:val="000B3C2D"/>
    <w:pPr>
      <w:jc w:val="center"/>
    </w:pPr>
    <w:rPr>
      <w:rFonts w:cs="Calibri"/>
      <w:noProof/>
    </w:rPr>
  </w:style>
  <w:style w:type="character" w:customStyle="1" w:styleId="EndNoteBibliographyTitleChar">
    <w:name w:val="EndNote Bibliography Title Char"/>
    <w:basedOn w:val="ListParagraphChar"/>
    <w:link w:val="EndNoteBibliographyTitle"/>
    <w:rsid w:val="000B3C2D"/>
    <w:rPr>
      <w:rFonts w:ascii="Calibri" w:hAnsi="Calibri" w:cs="Calibri"/>
      <w:noProof/>
      <w:snapToGrid/>
      <w:sz w:val="24"/>
      <w:szCs w:val="24"/>
    </w:rPr>
  </w:style>
  <w:style w:type="paragraph" w:customStyle="1" w:styleId="EndNoteBibliography">
    <w:name w:val="EndNote Bibliography"/>
    <w:basedOn w:val="Normal"/>
    <w:link w:val="EndNoteBibliographyChar"/>
    <w:rsid w:val="000B3C2D"/>
    <w:rPr>
      <w:rFonts w:cs="Calibri"/>
      <w:noProof/>
    </w:rPr>
  </w:style>
  <w:style w:type="character" w:customStyle="1" w:styleId="EndNoteBibliographyChar">
    <w:name w:val="EndNote Bibliography Char"/>
    <w:basedOn w:val="ListParagraphChar"/>
    <w:link w:val="EndNoteBibliography"/>
    <w:rsid w:val="000B3C2D"/>
    <w:rPr>
      <w:rFonts w:ascii="Calibri" w:hAnsi="Calibri" w:cs="Calibri"/>
      <w:noProof/>
      <w:snapToGrid/>
      <w:sz w:val="24"/>
      <w:szCs w:val="24"/>
    </w:rPr>
  </w:style>
  <w:style w:type="character" w:customStyle="1" w:styleId="BodyText1Char">
    <w:name w:val="Body Text1 Char"/>
    <w:link w:val="BodyText1"/>
    <w:locked/>
    <w:rsid w:val="00601947"/>
    <w:rPr>
      <w:rFonts w:ascii="Arial" w:hAnsi="Arial"/>
      <w:sz w:val="22"/>
      <w:szCs w:val="22"/>
      <w:lang w:val="en-US" w:eastAsia="en-GB"/>
    </w:rPr>
  </w:style>
  <w:style w:type="paragraph" w:customStyle="1" w:styleId="BodyText1">
    <w:name w:val="Body Text1"/>
    <w:basedOn w:val="Normal"/>
    <w:link w:val="BodyText1Char"/>
    <w:rsid w:val="00601947"/>
    <w:pPr>
      <w:widowControl w:val="0"/>
      <w:spacing w:before="120" w:after="120" w:line="276" w:lineRule="auto"/>
    </w:pPr>
    <w:rPr>
      <w:rFonts w:ascii="Arial" w:hAnsi="Arial" w:cs="Times New Roman"/>
      <w:sz w:val="22"/>
      <w:szCs w:val="22"/>
      <w:lang w:val="en-US" w:eastAsia="en-GB"/>
    </w:rPr>
  </w:style>
  <w:style w:type="table" w:customStyle="1" w:styleId="ASDTable111">
    <w:name w:val="ASD Table111"/>
    <w:basedOn w:val="TableNormal"/>
    <w:next w:val="TableGrid"/>
    <w:uiPriority w:val="39"/>
    <w:rsid w:val="00A6434A"/>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581396"/>
    <w:rPr>
      <w:rFonts w:ascii="Calibri" w:hAnsi="Calibri" w:cs="Arial"/>
      <w:b/>
      <w:caps/>
      <w:sz w:val="32"/>
      <w:szCs w:val="24"/>
    </w:rPr>
  </w:style>
  <w:style w:type="character" w:customStyle="1" w:styleId="Heading3Char">
    <w:name w:val="Heading 3 Char"/>
    <w:basedOn w:val="DefaultParagraphFont"/>
    <w:link w:val="Heading3"/>
    <w:rsid w:val="00581396"/>
    <w:rPr>
      <w:rFonts w:ascii="Calibri" w:hAnsi="Calibri" w:cs="Arial"/>
      <w:sz w:val="24"/>
      <w:szCs w:val="24"/>
      <w:u w:val="single"/>
    </w:rPr>
  </w:style>
  <w:style w:type="character" w:customStyle="1" w:styleId="Heading4Char">
    <w:name w:val="Heading 4 Char"/>
    <w:basedOn w:val="DefaultParagraphFont"/>
    <w:link w:val="Heading4"/>
    <w:rsid w:val="00581396"/>
    <w:rPr>
      <w:rFonts w:ascii="Calibri" w:hAnsi="Calibri" w:cs="Arial"/>
      <w:b/>
      <w:bCs/>
      <w:i/>
      <w:sz w:val="26"/>
      <w:szCs w:val="28"/>
    </w:rPr>
  </w:style>
  <w:style w:type="character" w:customStyle="1" w:styleId="Heading5Char">
    <w:name w:val="Heading 5 Char"/>
    <w:basedOn w:val="DefaultParagraphFont"/>
    <w:link w:val="Heading5"/>
    <w:rsid w:val="00581396"/>
    <w:rPr>
      <w:rFonts w:ascii="Calibri" w:hAnsi="Calibri" w:cs="Arial"/>
      <w:b/>
      <w:bCs/>
      <w:iCs/>
      <w:sz w:val="26"/>
      <w:szCs w:val="26"/>
    </w:rPr>
  </w:style>
  <w:style w:type="character" w:customStyle="1" w:styleId="Heading6Char">
    <w:name w:val="Heading 6 Char"/>
    <w:basedOn w:val="DefaultParagraphFont"/>
    <w:link w:val="Heading6"/>
    <w:rsid w:val="00581396"/>
    <w:rPr>
      <w:rFonts w:ascii="Calibri" w:hAnsi="Calibri" w:cs="Arial"/>
      <w:b/>
      <w:bCs/>
      <w:i/>
      <w:sz w:val="24"/>
      <w:szCs w:val="24"/>
    </w:rPr>
  </w:style>
  <w:style w:type="character" w:customStyle="1" w:styleId="UnresolvedMention1">
    <w:name w:val="Unresolved Mention1"/>
    <w:basedOn w:val="DefaultParagraphFont"/>
    <w:uiPriority w:val="99"/>
    <w:semiHidden/>
    <w:unhideWhenUsed/>
    <w:rsid w:val="00581396"/>
    <w:rPr>
      <w:color w:val="605E5C"/>
      <w:shd w:val="clear" w:color="auto" w:fill="E1DFDD"/>
    </w:rPr>
  </w:style>
  <w:style w:type="paragraph" w:customStyle="1" w:styleId="01Tabletext">
    <w:name w:val="01. Table text"/>
    <w:next w:val="04Tabletextspacebefore"/>
    <w:qFormat/>
    <w:rsid w:val="00DC4B58"/>
    <w:pPr>
      <w:spacing w:before="20"/>
    </w:pPr>
    <w:rPr>
      <w:rFonts w:ascii="Arial Narrow" w:eastAsia="Calibri" w:hAnsi="Arial Narrow"/>
      <w:sz w:val="18"/>
      <w:lang w:eastAsia="en-US"/>
    </w:rPr>
  </w:style>
  <w:style w:type="paragraph" w:customStyle="1" w:styleId="3Bodytext">
    <w:name w:val="3. Body text"/>
    <w:basedOn w:val="ListParagraph"/>
    <w:link w:val="3BodytextChar"/>
    <w:qFormat/>
    <w:rsid w:val="0033193C"/>
    <w:pPr>
      <w:numPr>
        <w:numId w:val="0"/>
      </w:numPr>
      <w:ind w:left="720" w:hanging="720"/>
    </w:pPr>
    <w:rPr>
      <w:rFonts w:eastAsiaTheme="minorHAnsi" w:cstheme="minorBidi"/>
      <w:snapToGrid/>
      <w:szCs w:val="22"/>
    </w:rPr>
  </w:style>
  <w:style w:type="character" w:customStyle="1" w:styleId="3BodytextChar">
    <w:name w:val="3. Body text Char"/>
    <w:basedOn w:val="DefaultParagraphFont"/>
    <w:link w:val="3Bodytext"/>
    <w:rsid w:val="0033193C"/>
    <w:rPr>
      <w:rFonts w:asciiTheme="minorHAnsi" w:eastAsia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2620522">
      <w:bodyDiv w:val="1"/>
      <w:marLeft w:val="0"/>
      <w:marRight w:val="0"/>
      <w:marTop w:val="0"/>
      <w:marBottom w:val="0"/>
      <w:divBdr>
        <w:top w:val="none" w:sz="0" w:space="0" w:color="auto"/>
        <w:left w:val="none" w:sz="0" w:space="0" w:color="auto"/>
        <w:bottom w:val="none" w:sz="0" w:space="0" w:color="auto"/>
        <w:right w:val="none" w:sz="0" w:space="0" w:color="auto"/>
      </w:divBdr>
    </w:div>
    <w:div w:id="145322590">
      <w:bodyDiv w:val="1"/>
      <w:marLeft w:val="0"/>
      <w:marRight w:val="0"/>
      <w:marTop w:val="0"/>
      <w:marBottom w:val="0"/>
      <w:divBdr>
        <w:top w:val="none" w:sz="0" w:space="0" w:color="auto"/>
        <w:left w:val="none" w:sz="0" w:space="0" w:color="auto"/>
        <w:bottom w:val="none" w:sz="0" w:space="0" w:color="auto"/>
        <w:right w:val="none" w:sz="0" w:space="0" w:color="auto"/>
      </w:divBdr>
      <w:divsChild>
        <w:div w:id="1227648985">
          <w:marLeft w:val="360"/>
          <w:marRight w:val="0"/>
          <w:marTop w:val="200"/>
          <w:marBottom w:val="0"/>
          <w:divBdr>
            <w:top w:val="none" w:sz="0" w:space="0" w:color="auto"/>
            <w:left w:val="none" w:sz="0" w:space="0" w:color="auto"/>
            <w:bottom w:val="none" w:sz="0" w:space="0" w:color="auto"/>
            <w:right w:val="none" w:sz="0" w:space="0" w:color="auto"/>
          </w:divBdr>
        </w:div>
        <w:div w:id="1554727844">
          <w:marLeft w:val="1080"/>
          <w:marRight w:val="0"/>
          <w:marTop w:val="100"/>
          <w:marBottom w:val="0"/>
          <w:divBdr>
            <w:top w:val="none" w:sz="0" w:space="0" w:color="auto"/>
            <w:left w:val="none" w:sz="0" w:space="0" w:color="auto"/>
            <w:bottom w:val="none" w:sz="0" w:space="0" w:color="auto"/>
            <w:right w:val="none" w:sz="0" w:space="0" w:color="auto"/>
          </w:divBdr>
        </w:div>
        <w:div w:id="520583409">
          <w:marLeft w:val="360"/>
          <w:marRight w:val="0"/>
          <w:marTop w:val="200"/>
          <w:marBottom w:val="0"/>
          <w:divBdr>
            <w:top w:val="none" w:sz="0" w:space="0" w:color="auto"/>
            <w:left w:val="none" w:sz="0" w:space="0" w:color="auto"/>
            <w:bottom w:val="none" w:sz="0" w:space="0" w:color="auto"/>
            <w:right w:val="none" w:sz="0" w:space="0" w:color="auto"/>
          </w:divBdr>
        </w:div>
        <w:div w:id="157110963">
          <w:marLeft w:val="1080"/>
          <w:marRight w:val="0"/>
          <w:marTop w:val="100"/>
          <w:marBottom w:val="0"/>
          <w:divBdr>
            <w:top w:val="none" w:sz="0" w:space="0" w:color="auto"/>
            <w:left w:val="none" w:sz="0" w:space="0" w:color="auto"/>
            <w:bottom w:val="none" w:sz="0" w:space="0" w:color="auto"/>
            <w:right w:val="none" w:sz="0" w:space="0" w:color="auto"/>
          </w:divBdr>
        </w:div>
        <w:div w:id="808210179">
          <w:marLeft w:val="1080"/>
          <w:marRight w:val="0"/>
          <w:marTop w:val="100"/>
          <w:marBottom w:val="0"/>
          <w:divBdr>
            <w:top w:val="none" w:sz="0" w:space="0" w:color="auto"/>
            <w:left w:val="none" w:sz="0" w:space="0" w:color="auto"/>
            <w:bottom w:val="none" w:sz="0" w:space="0" w:color="auto"/>
            <w:right w:val="none" w:sz="0" w:space="0" w:color="auto"/>
          </w:divBdr>
        </w:div>
        <w:div w:id="1755593369">
          <w:marLeft w:val="1080"/>
          <w:marRight w:val="0"/>
          <w:marTop w:val="100"/>
          <w:marBottom w:val="0"/>
          <w:divBdr>
            <w:top w:val="none" w:sz="0" w:space="0" w:color="auto"/>
            <w:left w:val="none" w:sz="0" w:space="0" w:color="auto"/>
            <w:bottom w:val="none" w:sz="0" w:space="0" w:color="auto"/>
            <w:right w:val="none" w:sz="0" w:space="0" w:color="auto"/>
          </w:divBdr>
        </w:div>
      </w:divsChild>
    </w:div>
    <w:div w:id="172302218">
      <w:bodyDiv w:val="1"/>
      <w:marLeft w:val="0"/>
      <w:marRight w:val="0"/>
      <w:marTop w:val="0"/>
      <w:marBottom w:val="0"/>
      <w:divBdr>
        <w:top w:val="none" w:sz="0" w:space="0" w:color="auto"/>
        <w:left w:val="none" w:sz="0" w:space="0" w:color="auto"/>
        <w:bottom w:val="none" w:sz="0" w:space="0" w:color="auto"/>
        <w:right w:val="none" w:sz="0" w:space="0" w:color="auto"/>
      </w:divBdr>
      <w:divsChild>
        <w:div w:id="909971224">
          <w:marLeft w:val="1080"/>
          <w:marRight w:val="0"/>
          <w:marTop w:val="100"/>
          <w:marBottom w:val="0"/>
          <w:divBdr>
            <w:top w:val="none" w:sz="0" w:space="0" w:color="auto"/>
            <w:left w:val="none" w:sz="0" w:space="0" w:color="auto"/>
            <w:bottom w:val="none" w:sz="0" w:space="0" w:color="auto"/>
            <w:right w:val="none" w:sz="0" w:space="0" w:color="auto"/>
          </w:divBdr>
        </w:div>
        <w:div w:id="1856722733">
          <w:marLeft w:val="1080"/>
          <w:marRight w:val="0"/>
          <w:marTop w:val="100"/>
          <w:marBottom w:val="0"/>
          <w:divBdr>
            <w:top w:val="none" w:sz="0" w:space="0" w:color="auto"/>
            <w:left w:val="none" w:sz="0" w:space="0" w:color="auto"/>
            <w:bottom w:val="none" w:sz="0" w:space="0" w:color="auto"/>
            <w:right w:val="none" w:sz="0" w:space="0" w:color="auto"/>
          </w:divBdr>
        </w:div>
        <w:div w:id="1193223708">
          <w:marLeft w:val="1080"/>
          <w:marRight w:val="0"/>
          <w:marTop w:val="100"/>
          <w:marBottom w:val="0"/>
          <w:divBdr>
            <w:top w:val="none" w:sz="0" w:space="0" w:color="auto"/>
            <w:left w:val="none" w:sz="0" w:space="0" w:color="auto"/>
            <w:bottom w:val="none" w:sz="0" w:space="0" w:color="auto"/>
            <w:right w:val="none" w:sz="0" w:space="0" w:color="auto"/>
          </w:divBdr>
        </w:div>
      </w:divsChild>
    </w:div>
    <w:div w:id="193543642">
      <w:bodyDiv w:val="1"/>
      <w:marLeft w:val="0"/>
      <w:marRight w:val="0"/>
      <w:marTop w:val="0"/>
      <w:marBottom w:val="0"/>
      <w:divBdr>
        <w:top w:val="none" w:sz="0" w:space="0" w:color="auto"/>
        <w:left w:val="none" w:sz="0" w:space="0" w:color="auto"/>
        <w:bottom w:val="none" w:sz="0" w:space="0" w:color="auto"/>
        <w:right w:val="none" w:sz="0" w:space="0" w:color="auto"/>
      </w:divBdr>
    </w:div>
    <w:div w:id="232351560">
      <w:bodyDiv w:val="1"/>
      <w:marLeft w:val="0"/>
      <w:marRight w:val="0"/>
      <w:marTop w:val="0"/>
      <w:marBottom w:val="0"/>
      <w:divBdr>
        <w:top w:val="none" w:sz="0" w:space="0" w:color="auto"/>
        <w:left w:val="none" w:sz="0" w:space="0" w:color="auto"/>
        <w:bottom w:val="none" w:sz="0" w:space="0" w:color="auto"/>
        <w:right w:val="none" w:sz="0" w:space="0" w:color="auto"/>
      </w:divBdr>
      <w:divsChild>
        <w:div w:id="1089809928">
          <w:marLeft w:val="360"/>
          <w:marRight w:val="0"/>
          <w:marTop w:val="200"/>
          <w:marBottom w:val="0"/>
          <w:divBdr>
            <w:top w:val="none" w:sz="0" w:space="0" w:color="auto"/>
            <w:left w:val="none" w:sz="0" w:space="0" w:color="auto"/>
            <w:bottom w:val="none" w:sz="0" w:space="0" w:color="auto"/>
            <w:right w:val="none" w:sz="0" w:space="0" w:color="auto"/>
          </w:divBdr>
        </w:div>
        <w:div w:id="978875945">
          <w:marLeft w:val="360"/>
          <w:marRight w:val="0"/>
          <w:marTop w:val="200"/>
          <w:marBottom w:val="0"/>
          <w:divBdr>
            <w:top w:val="none" w:sz="0" w:space="0" w:color="auto"/>
            <w:left w:val="none" w:sz="0" w:space="0" w:color="auto"/>
            <w:bottom w:val="none" w:sz="0" w:space="0" w:color="auto"/>
            <w:right w:val="none" w:sz="0" w:space="0" w:color="auto"/>
          </w:divBdr>
        </w:div>
        <w:div w:id="1794326135">
          <w:marLeft w:val="360"/>
          <w:marRight w:val="0"/>
          <w:marTop w:val="200"/>
          <w:marBottom w:val="0"/>
          <w:divBdr>
            <w:top w:val="none" w:sz="0" w:space="0" w:color="auto"/>
            <w:left w:val="none" w:sz="0" w:space="0" w:color="auto"/>
            <w:bottom w:val="none" w:sz="0" w:space="0" w:color="auto"/>
            <w:right w:val="none" w:sz="0" w:space="0" w:color="auto"/>
          </w:divBdr>
        </w:div>
        <w:div w:id="487017264">
          <w:marLeft w:val="360"/>
          <w:marRight w:val="0"/>
          <w:marTop w:val="200"/>
          <w:marBottom w:val="0"/>
          <w:divBdr>
            <w:top w:val="none" w:sz="0" w:space="0" w:color="auto"/>
            <w:left w:val="none" w:sz="0" w:space="0" w:color="auto"/>
            <w:bottom w:val="none" w:sz="0" w:space="0" w:color="auto"/>
            <w:right w:val="none" w:sz="0" w:space="0" w:color="auto"/>
          </w:divBdr>
        </w:div>
        <w:div w:id="1678732353">
          <w:marLeft w:val="360"/>
          <w:marRight w:val="0"/>
          <w:marTop w:val="200"/>
          <w:marBottom w:val="0"/>
          <w:divBdr>
            <w:top w:val="none" w:sz="0" w:space="0" w:color="auto"/>
            <w:left w:val="none" w:sz="0" w:space="0" w:color="auto"/>
            <w:bottom w:val="none" w:sz="0" w:space="0" w:color="auto"/>
            <w:right w:val="none" w:sz="0" w:space="0" w:color="auto"/>
          </w:divBdr>
        </w:div>
        <w:div w:id="1943996011">
          <w:marLeft w:val="360"/>
          <w:marRight w:val="0"/>
          <w:marTop w:val="200"/>
          <w:marBottom w:val="0"/>
          <w:divBdr>
            <w:top w:val="none" w:sz="0" w:space="0" w:color="auto"/>
            <w:left w:val="none" w:sz="0" w:space="0" w:color="auto"/>
            <w:bottom w:val="none" w:sz="0" w:space="0" w:color="auto"/>
            <w:right w:val="none" w:sz="0" w:space="0" w:color="auto"/>
          </w:divBdr>
        </w:div>
        <w:div w:id="47069627">
          <w:marLeft w:val="360"/>
          <w:marRight w:val="0"/>
          <w:marTop w:val="200"/>
          <w:marBottom w:val="0"/>
          <w:divBdr>
            <w:top w:val="none" w:sz="0" w:space="0" w:color="auto"/>
            <w:left w:val="none" w:sz="0" w:space="0" w:color="auto"/>
            <w:bottom w:val="none" w:sz="0" w:space="0" w:color="auto"/>
            <w:right w:val="none" w:sz="0" w:space="0" w:color="auto"/>
          </w:divBdr>
        </w:div>
        <w:div w:id="121581481">
          <w:marLeft w:val="360"/>
          <w:marRight w:val="0"/>
          <w:marTop w:val="200"/>
          <w:marBottom w:val="0"/>
          <w:divBdr>
            <w:top w:val="none" w:sz="0" w:space="0" w:color="auto"/>
            <w:left w:val="none" w:sz="0" w:space="0" w:color="auto"/>
            <w:bottom w:val="none" w:sz="0" w:space="0" w:color="auto"/>
            <w:right w:val="none" w:sz="0" w:space="0" w:color="auto"/>
          </w:divBdr>
        </w:div>
        <w:div w:id="1887596782">
          <w:marLeft w:val="360"/>
          <w:marRight w:val="0"/>
          <w:marTop w:val="200"/>
          <w:marBottom w:val="0"/>
          <w:divBdr>
            <w:top w:val="none" w:sz="0" w:space="0" w:color="auto"/>
            <w:left w:val="none" w:sz="0" w:space="0" w:color="auto"/>
            <w:bottom w:val="none" w:sz="0" w:space="0" w:color="auto"/>
            <w:right w:val="none" w:sz="0" w:space="0" w:color="auto"/>
          </w:divBdr>
        </w:div>
      </w:divsChild>
    </w:div>
    <w:div w:id="294331933">
      <w:bodyDiv w:val="1"/>
      <w:marLeft w:val="0"/>
      <w:marRight w:val="0"/>
      <w:marTop w:val="0"/>
      <w:marBottom w:val="0"/>
      <w:divBdr>
        <w:top w:val="none" w:sz="0" w:space="0" w:color="auto"/>
        <w:left w:val="none" w:sz="0" w:space="0" w:color="auto"/>
        <w:bottom w:val="none" w:sz="0" w:space="0" w:color="auto"/>
        <w:right w:val="none" w:sz="0" w:space="0" w:color="auto"/>
      </w:divBdr>
      <w:divsChild>
        <w:div w:id="1956138383">
          <w:marLeft w:val="1080"/>
          <w:marRight w:val="0"/>
          <w:marTop w:val="100"/>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43248357">
      <w:bodyDiv w:val="1"/>
      <w:marLeft w:val="0"/>
      <w:marRight w:val="0"/>
      <w:marTop w:val="0"/>
      <w:marBottom w:val="0"/>
      <w:divBdr>
        <w:top w:val="none" w:sz="0" w:space="0" w:color="auto"/>
        <w:left w:val="none" w:sz="0" w:space="0" w:color="auto"/>
        <w:bottom w:val="none" w:sz="0" w:space="0" w:color="auto"/>
        <w:right w:val="none" w:sz="0" w:space="0" w:color="auto"/>
      </w:divBdr>
    </w:div>
    <w:div w:id="660230107">
      <w:bodyDiv w:val="1"/>
      <w:marLeft w:val="0"/>
      <w:marRight w:val="0"/>
      <w:marTop w:val="0"/>
      <w:marBottom w:val="0"/>
      <w:divBdr>
        <w:top w:val="none" w:sz="0" w:space="0" w:color="auto"/>
        <w:left w:val="none" w:sz="0" w:space="0" w:color="auto"/>
        <w:bottom w:val="none" w:sz="0" w:space="0" w:color="auto"/>
        <w:right w:val="none" w:sz="0" w:space="0" w:color="auto"/>
      </w:divBdr>
      <w:divsChild>
        <w:div w:id="1130199504">
          <w:marLeft w:val="1080"/>
          <w:marRight w:val="0"/>
          <w:marTop w:val="100"/>
          <w:marBottom w:val="0"/>
          <w:divBdr>
            <w:top w:val="none" w:sz="0" w:space="0" w:color="auto"/>
            <w:left w:val="none" w:sz="0" w:space="0" w:color="auto"/>
            <w:bottom w:val="none" w:sz="0" w:space="0" w:color="auto"/>
            <w:right w:val="none" w:sz="0" w:space="0" w:color="auto"/>
          </w:divBdr>
        </w:div>
        <w:div w:id="415900271">
          <w:marLeft w:val="1080"/>
          <w:marRight w:val="0"/>
          <w:marTop w:val="100"/>
          <w:marBottom w:val="0"/>
          <w:divBdr>
            <w:top w:val="none" w:sz="0" w:space="0" w:color="auto"/>
            <w:left w:val="none" w:sz="0" w:space="0" w:color="auto"/>
            <w:bottom w:val="none" w:sz="0" w:space="0" w:color="auto"/>
            <w:right w:val="none" w:sz="0" w:space="0" w:color="auto"/>
          </w:divBdr>
        </w:div>
        <w:div w:id="1981690307">
          <w:marLeft w:val="1080"/>
          <w:marRight w:val="0"/>
          <w:marTop w:val="100"/>
          <w:marBottom w:val="0"/>
          <w:divBdr>
            <w:top w:val="none" w:sz="0" w:space="0" w:color="auto"/>
            <w:left w:val="none" w:sz="0" w:space="0" w:color="auto"/>
            <w:bottom w:val="none" w:sz="0" w:space="0" w:color="auto"/>
            <w:right w:val="none" w:sz="0" w:space="0" w:color="auto"/>
          </w:divBdr>
        </w:div>
      </w:divsChild>
    </w:div>
    <w:div w:id="747774020">
      <w:bodyDiv w:val="1"/>
      <w:marLeft w:val="0"/>
      <w:marRight w:val="0"/>
      <w:marTop w:val="0"/>
      <w:marBottom w:val="0"/>
      <w:divBdr>
        <w:top w:val="none" w:sz="0" w:space="0" w:color="auto"/>
        <w:left w:val="none" w:sz="0" w:space="0" w:color="auto"/>
        <w:bottom w:val="none" w:sz="0" w:space="0" w:color="auto"/>
        <w:right w:val="none" w:sz="0" w:space="0" w:color="auto"/>
      </w:divBdr>
      <w:divsChild>
        <w:div w:id="250899356">
          <w:marLeft w:val="1080"/>
          <w:marRight w:val="0"/>
          <w:marTop w:val="100"/>
          <w:marBottom w:val="0"/>
          <w:divBdr>
            <w:top w:val="none" w:sz="0" w:space="0" w:color="auto"/>
            <w:left w:val="none" w:sz="0" w:space="0" w:color="auto"/>
            <w:bottom w:val="none" w:sz="0" w:space="0" w:color="auto"/>
            <w:right w:val="none" w:sz="0" w:space="0" w:color="auto"/>
          </w:divBdr>
        </w:div>
        <w:div w:id="1535733173">
          <w:marLeft w:val="1080"/>
          <w:marRight w:val="0"/>
          <w:marTop w:val="100"/>
          <w:marBottom w:val="0"/>
          <w:divBdr>
            <w:top w:val="none" w:sz="0" w:space="0" w:color="auto"/>
            <w:left w:val="none" w:sz="0" w:space="0" w:color="auto"/>
            <w:bottom w:val="none" w:sz="0" w:space="0" w:color="auto"/>
            <w:right w:val="none" w:sz="0" w:space="0" w:color="auto"/>
          </w:divBdr>
        </w:div>
        <w:div w:id="59791237">
          <w:marLeft w:val="1080"/>
          <w:marRight w:val="0"/>
          <w:marTop w:val="100"/>
          <w:marBottom w:val="0"/>
          <w:divBdr>
            <w:top w:val="none" w:sz="0" w:space="0" w:color="auto"/>
            <w:left w:val="none" w:sz="0" w:space="0" w:color="auto"/>
            <w:bottom w:val="none" w:sz="0" w:space="0" w:color="auto"/>
            <w:right w:val="none" w:sz="0" w:space="0" w:color="auto"/>
          </w:divBdr>
        </w:div>
      </w:divsChild>
    </w:div>
    <w:div w:id="778791580">
      <w:bodyDiv w:val="1"/>
      <w:marLeft w:val="0"/>
      <w:marRight w:val="0"/>
      <w:marTop w:val="0"/>
      <w:marBottom w:val="0"/>
      <w:divBdr>
        <w:top w:val="none" w:sz="0" w:space="0" w:color="auto"/>
        <w:left w:val="none" w:sz="0" w:space="0" w:color="auto"/>
        <w:bottom w:val="none" w:sz="0" w:space="0" w:color="auto"/>
        <w:right w:val="none" w:sz="0" w:space="0" w:color="auto"/>
      </w:divBdr>
    </w:div>
    <w:div w:id="900218240">
      <w:bodyDiv w:val="1"/>
      <w:marLeft w:val="0"/>
      <w:marRight w:val="0"/>
      <w:marTop w:val="0"/>
      <w:marBottom w:val="0"/>
      <w:divBdr>
        <w:top w:val="none" w:sz="0" w:space="0" w:color="auto"/>
        <w:left w:val="none" w:sz="0" w:space="0" w:color="auto"/>
        <w:bottom w:val="none" w:sz="0" w:space="0" w:color="auto"/>
        <w:right w:val="none" w:sz="0" w:space="0" w:color="auto"/>
      </w:divBdr>
    </w:div>
    <w:div w:id="948928348">
      <w:bodyDiv w:val="1"/>
      <w:marLeft w:val="0"/>
      <w:marRight w:val="0"/>
      <w:marTop w:val="0"/>
      <w:marBottom w:val="0"/>
      <w:divBdr>
        <w:top w:val="none" w:sz="0" w:space="0" w:color="auto"/>
        <w:left w:val="none" w:sz="0" w:space="0" w:color="auto"/>
        <w:bottom w:val="none" w:sz="0" w:space="0" w:color="auto"/>
        <w:right w:val="none" w:sz="0" w:space="0" w:color="auto"/>
      </w:divBdr>
      <w:divsChild>
        <w:div w:id="1375885899">
          <w:marLeft w:val="360"/>
          <w:marRight w:val="0"/>
          <w:marTop w:val="200"/>
          <w:marBottom w:val="0"/>
          <w:divBdr>
            <w:top w:val="none" w:sz="0" w:space="0" w:color="auto"/>
            <w:left w:val="none" w:sz="0" w:space="0" w:color="auto"/>
            <w:bottom w:val="none" w:sz="0" w:space="0" w:color="auto"/>
            <w:right w:val="none" w:sz="0" w:space="0" w:color="auto"/>
          </w:divBdr>
        </w:div>
        <w:div w:id="1492912560">
          <w:marLeft w:val="1080"/>
          <w:marRight w:val="0"/>
          <w:marTop w:val="100"/>
          <w:marBottom w:val="0"/>
          <w:divBdr>
            <w:top w:val="none" w:sz="0" w:space="0" w:color="auto"/>
            <w:left w:val="none" w:sz="0" w:space="0" w:color="auto"/>
            <w:bottom w:val="none" w:sz="0" w:space="0" w:color="auto"/>
            <w:right w:val="none" w:sz="0" w:space="0" w:color="auto"/>
          </w:divBdr>
        </w:div>
        <w:div w:id="227805557">
          <w:marLeft w:val="1080"/>
          <w:marRight w:val="0"/>
          <w:marTop w:val="100"/>
          <w:marBottom w:val="0"/>
          <w:divBdr>
            <w:top w:val="none" w:sz="0" w:space="0" w:color="auto"/>
            <w:left w:val="none" w:sz="0" w:space="0" w:color="auto"/>
            <w:bottom w:val="none" w:sz="0" w:space="0" w:color="auto"/>
            <w:right w:val="none" w:sz="0" w:space="0" w:color="auto"/>
          </w:divBdr>
        </w:div>
        <w:div w:id="1324508702">
          <w:marLeft w:val="1080"/>
          <w:marRight w:val="0"/>
          <w:marTop w:val="100"/>
          <w:marBottom w:val="0"/>
          <w:divBdr>
            <w:top w:val="none" w:sz="0" w:space="0" w:color="auto"/>
            <w:left w:val="none" w:sz="0" w:space="0" w:color="auto"/>
            <w:bottom w:val="none" w:sz="0" w:space="0" w:color="auto"/>
            <w:right w:val="none" w:sz="0" w:space="0" w:color="auto"/>
          </w:divBdr>
        </w:div>
      </w:divsChild>
    </w:div>
    <w:div w:id="976909157">
      <w:bodyDiv w:val="1"/>
      <w:marLeft w:val="0"/>
      <w:marRight w:val="0"/>
      <w:marTop w:val="0"/>
      <w:marBottom w:val="0"/>
      <w:divBdr>
        <w:top w:val="none" w:sz="0" w:space="0" w:color="auto"/>
        <w:left w:val="none" w:sz="0" w:space="0" w:color="auto"/>
        <w:bottom w:val="none" w:sz="0" w:space="0" w:color="auto"/>
        <w:right w:val="none" w:sz="0" w:space="0" w:color="auto"/>
      </w:divBdr>
    </w:div>
    <w:div w:id="996033211">
      <w:bodyDiv w:val="1"/>
      <w:marLeft w:val="0"/>
      <w:marRight w:val="0"/>
      <w:marTop w:val="0"/>
      <w:marBottom w:val="0"/>
      <w:divBdr>
        <w:top w:val="none" w:sz="0" w:space="0" w:color="auto"/>
        <w:left w:val="none" w:sz="0" w:space="0" w:color="auto"/>
        <w:bottom w:val="none" w:sz="0" w:space="0" w:color="auto"/>
        <w:right w:val="none" w:sz="0" w:space="0" w:color="auto"/>
      </w:divBdr>
    </w:div>
    <w:div w:id="105631542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6169">
      <w:bodyDiv w:val="1"/>
      <w:marLeft w:val="0"/>
      <w:marRight w:val="0"/>
      <w:marTop w:val="0"/>
      <w:marBottom w:val="0"/>
      <w:divBdr>
        <w:top w:val="none" w:sz="0" w:space="0" w:color="auto"/>
        <w:left w:val="none" w:sz="0" w:space="0" w:color="auto"/>
        <w:bottom w:val="none" w:sz="0" w:space="0" w:color="auto"/>
        <w:right w:val="none" w:sz="0" w:space="0" w:color="auto"/>
      </w:divBdr>
    </w:div>
    <w:div w:id="1403794851">
      <w:bodyDiv w:val="1"/>
      <w:marLeft w:val="0"/>
      <w:marRight w:val="0"/>
      <w:marTop w:val="0"/>
      <w:marBottom w:val="0"/>
      <w:divBdr>
        <w:top w:val="none" w:sz="0" w:space="0" w:color="auto"/>
        <w:left w:val="none" w:sz="0" w:space="0" w:color="auto"/>
        <w:bottom w:val="none" w:sz="0" w:space="0" w:color="auto"/>
        <w:right w:val="none" w:sz="0" w:space="0" w:color="auto"/>
      </w:divBdr>
      <w:divsChild>
        <w:div w:id="1231772957">
          <w:marLeft w:val="1080"/>
          <w:marRight w:val="0"/>
          <w:marTop w:val="1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16608953">
      <w:bodyDiv w:val="1"/>
      <w:marLeft w:val="0"/>
      <w:marRight w:val="0"/>
      <w:marTop w:val="0"/>
      <w:marBottom w:val="0"/>
      <w:divBdr>
        <w:top w:val="none" w:sz="0" w:space="0" w:color="auto"/>
        <w:left w:val="none" w:sz="0" w:space="0" w:color="auto"/>
        <w:bottom w:val="none" w:sz="0" w:space="0" w:color="auto"/>
        <w:right w:val="none" w:sz="0" w:space="0" w:color="auto"/>
      </w:divBdr>
      <w:divsChild>
        <w:div w:id="1023045740">
          <w:marLeft w:val="1080"/>
          <w:marRight w:val="0"/>
          <w:marTop w:val="100"/>
          <w:marBottom w:val="0"/>
          <w:divBdr>
            <w:top w:val="none" w:sz="0" w:space="0" w:color="auto"/>
            <w:left w:val="none" w:sz="0" w:space="0" w:color="auto"/>
            <w:bottom w:val="none" w:sz="0" w:space="0" w:color="auto"/>
            <w:right w:val="none" w:sz="0" w:space="0" w:color="auto"/>
          </w:divBdr>
        </w:div>
      </w:divsChild>
    </w:div>
    <w:div w:id="2083335571">
      <w:bodyDiv w:val="1"/>
      <w:marLeft w:val="0"/>
      <w:marRight w:val="0"/>
      <w:marTop w:val="0"/>
      <w:marBottom w:val="0"/>
      <w:divBdr>
        <w:top w:val="none" w:sz="0" w:space="0" w:color="auto"/>
        <w:left w:val="none" w:sz="0" w:space="0" w:color="auto"/>
        <w:bottom w:val="none" w:sz="0" w:space="0" w:color="auto"/>
        <w:right w:val="none" w:sz="0" w:space="0" w:color="auto"/>
      </w:divBdr>
      <w:divsChild>
        <w:div w:id="44901161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63D5B-8C1A-4789-B927-008E23F1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16308</Words>
  <Characters>91762</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2020-10-28T03:42:00Z</dcterms:created>
  <dcterms:modified xsi:type="dcterms:W3CDTF">2020-10-28T03:42:00Z</dcterms:modified>
</cp:coreProperties>
</file>