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D09" w:rsidRPr="00361189" w:rsidRDefault="001B5473" w:rsidP="00CC6D09">
      <w:pPr>
        <w:pStyle w:val="1-MainHeading"/>
        <w:spacing w:before="0" w:after="0"/>
      </w:pPr>
      <w:bookmarkStart w:id="0" w:name="_Toc40874405"/>
      <w:r w:rsidRPr="00361189">
        <w:t>7.03</w:t>
      </w:r>
      <w:r w:rsidR="00163F66" w:rsidRPr="00361189">
        <w:tab/>
      </w:r>
      <w:r w:rsidR="00CC6D09" w:rsidRPr="00361189">
        <w:t>NUSINERSEN,</w:t>
      </w:r>
      <w:bookmarkEnd w:id="0"/>
    </w:p>
    <w:p w:rsidR="00CC6D09" w:rsidRPr="00361189" w:rsidRDefault="00CC6D09" w:rsidP="00CC6D09">
      <w:pPr>
        <w:pStyle w:val="1-MainHeading"/>
        <w:spacing w:before="0" w:after="0"/>
        <w:ind w:firstLine="0"/>
      </w:pPr>
      <w:bookmarkStart w:id="1" w:name="_Toc40874406"/>
      <w:r w:rsidRPr="00361189">
        <w:t>Solution for injection 12 mg in 5 mL,</w:t>
      </w:r>
      <w:bookmarkEnd w:id="1"/>
      <w:r w:rsidRPr="00361189">
        <w:t xml:space="preserve"> </w:t>
      </w:r>
    </w:p>
    <w:p w:rsidR="00DB450E" w:rsidRDefault="00CC6D09" w:rsidP="00CC6D09">
      <w:pPr>
        <w:pStyle w:val="1-MainHeading"/>
        <w:spacing w:before="0" w:after="0"/>
        <w:ind w:firstLine="0"/>
      </w:pPr>
      <w:bookmarkStart w:id="2" w:name="_Toc40874407"/>
      <w:r w:rsidRPr="00361189">
        <w:t xml:space="preserve">Spinraza®, </w:t>
      </w:r>
    </w:p>
    <w:p w:rsidR="00B60939" w:rsidRPr="00361189" w:rsidRDefault="00CC6D09" w:rsidP="00CC6D09">
      <w:pPr>
        <w:pStyle w:val="1-MainHeading"/>
        <w:spacing w:before="0" w:after="0"/>
        <w:ind w:firstLine="0"/>
      </w:pPr>
      <w:r w:rsidRPr="00361189">
        <w:t>Biogen Australia Pty Ltd</w:t>
      </w:r>
      <w:bookmarkEnd w:id="2"/>
    </w:p>
    <w:p w:rsidR="00B50DB8" w:rsidRPr="00361189" w:rsidRDefault="00B50DB8" w:rsidP="004A6040">
      <w:pPr>
        <w:pStyle w:val="2-SectionHeading"/>
      </w:pPr>
      <w:bookmarkStart w:id="3" w:name="_Toc40874409"/>
      <w:r w:rsidRPr="00361189">
        <w:t xml:space="preserve">Purpose of </w:t>
      </w:r>
      <w:r w:rsidR="00CD6D1B" w:rsidRPr="00361189">
        <w:t>re</w:t>
      </w:r>
      <w:r w:rsidR="00CD7193" w:rsidRPr="00361189">
        <w:t>s</w:t>
      </w:r>
      <w:r w:rsidR="00BB3A45" w:rsidRPr="00361189">
        <w:t>ubmission</w:t>
      </w:r>
      <w:bookmarkEnd w:id="3"/>
    </w:p>
    <w:p w:rsidR="002C2775" w:rsidRPr="00361189" w:rsidRDefault="007170DA" w:rsidP="004E18E9">
      <w:pPr>
        <w:pStyle w:val="3-BodyText"/>
      </w:pPr>
      <w:r w:rsidRPr="00361189">
        <w:t xml:space="preserve">The </w:t>
      </w:r>
      <w:r w:rsidR="006D281D" w:rsidRPr="00361189">
        <w:t>re</w:t>
      </w:r>
      <w:r w:rsidRPr="00361189">
        <w:t xml:space="preserve">submission requested </w:t>
      </w:r>
      <w:r w:rsidR="00CB5DFA" w:rsidRPr="00361189">
        <w:t xml:space="preserve">extension of the current </w:t>
      </w:r>
      <w:r w:rsidR="006D281D" w:rsidRPr="00361189">
        <w:t xml:space="preserve">Section 100, Authority Required, Highly Specialised Drugs Program listing for </w:t>
      </w:r>
      <w:bookmarkStart w:id="4" w:name="_GoBack"/>
      <w:r w:rsidR="00CB5DFA" w:rsidRPr="00361189">
        <w:t>nusinersen</w:t>
      </w:r>
      <w:bookmarkEnd w:id="4"/>
      <w:r w:rsidR="00CB5DFA" w:rsidRPr="00361189">
        <w:t xml:space="preserve"> to include </w:t>
      </w:r>
      <w:r w:rsidR="006D281D" w:rsidRPr="00361189">
        <w:t xml:space="preserve">pre-symptomatic initiation of treatment </w:t>
      </w:r>
      <w:r w:rsidR="00E64040" w:rsidRPr="00361189">
        <w:t xml:space="preserve">of nusinersen in patients with genetically confirmed </w:t>
      </w:r>
      <w:r w:rsidR="007B7A58" w:rsidRPr="00361189">
        <w:rPr>
          <w:i/>
        </w:rPr>
        <w:t>Survival-of-Motor-Neuron 1 (</w:t>
      </w:r>
      <w:r w:rsidR="00E64040" w:rsidRPr="00361189">
        <w:rPr>
          <w:i/>
        </w:rPr>
        <w:t>SMN1</w:t>
      </w:r>
      <w:r w:rsidR="007B7A58" w:rsidRPr="00361189">
        <w:rPr>
          <w:i/>
        </w:rPr>
        <w:t>)</w:t>
      </w:r>
      <w:r w:rsidR="00E64040" w:rsidRPr="00361189">
        <w:rPr>
          <w:i/>
        </w:rPr>
        <w:t xml:space="preserve"> </w:t>
      </w:r>
      <w:r w:rsidR="00E64040" w:rsidRPr="00361189">
        <w:t>deletion or mutation and</w:t>
      </w:r>
      <w:r w:rsidR="00AB55D8" w:rsidRPr="00361189">
        <w:t xml:space="preserve"> a</w:t>
      </w:r>
      <w:r w:rsidR="00E64040" w:rsidRPr="00361189">
        <w:t xml:space="preserve"> </w:t>
      </w:r>
      <w:r w:rsidR="007B7A58" w:rsidRPr="00361189">
        <w:rPr>
          <w:i/>
        </w:rPr>
        <w:t>Survival-of-Motor-Neuron 2 (</w:t>
      </w:r>
      <w:r w:rsidR="00E64040" w:rsidRPr="00361189">
        <w:rPr>
          <w:i/>
        </w:rPr>
        <w:t>SMN2</w:t>
      </w:r>
      <w:r w:rsidR="007B7A58" w:rsidRPr="00361189">
        <w:rPr>
          <w:i/>
        </w:rPr>
        <w:t>)</w:t>
      </w:r>
      <w:r w:rsidR="00E64040" w:rsidRPr="00361189">
        <w:rPr>
          <w:i/>
        </w:rPr>
        <w:t xml:space="preserve"> </w:t>
      </w:r>
      <w:r w:rsidR="00E64040" w:rsidRPr="00361189">
        <w:t xml:space="preserve">gene copy number of 1 or 2 (i.e. </w:t>
      </w:r>
      <w:r w:rsidR="00E64040" w:rsidRPr="00361189">
        <w:rPr>
          <w:i/>
        </w:rPr>
        <w:t>SMN2</w:t>
      </w:r>
      <w:r w:rsidR="00E64040" w:rsidRPr="00361189">
        <w:t xml:space="preserve"> copy number </w:t>
      </w:r>
      <w:r w:rsidR="00E64040" w:rsidRPr="00361189">
        <w:rPr>
          <w:rFonts w:cstheme="minorHAnsi"/>
        </w:rPr>
        <w:t>≤</w:t>
      </w:r>
      <w:r w:rsidR="00E64040" w:rsidRPr="00361189">
        <w:t>2)</w:t>
      </w:r>
      <w:r w:rsidR="00361189">
        <w:t xml:space="preserve">. </w:t>
      </w:r>
    </w:p>
    <w:p w:rsidR="00E64040" w:rsidRPr="00361189" w:rsidRDefault="008266B0" w:rsidP="004E18E9">
      <w:pPr>
        <w:pStyle w:val="3-BodyText"/>
      </w:pPr>
      <w:r w:rsidRPr="00361189">
        <w:t>Extension of l</w:t>
      </w:r>
      <w:r w:rsidR="005750C5" w:rsidRPr="00361189">
        <w:t xml:space="preserve">isting was requested on the basis of a cost-effectiveness analysis versus </w:t>
      </w:r>
      <w:r w:rsidR="00E64040" w:rsidRPr="00361189">
        <w:t>the standard of care (SoC), which was symptomatic treatment with nusinersen</w:t>
      </w:r>
      <w:r w:rsidR="005750C5" w:rsidRPr="00361189">
        <w:t xml:space="preserve">. </w:t>
      </w:r>
      <w:r w:rsidR="0022259C" w:rsidRPr="00361189">
        <w:t>Table 1 provides a summary of the key components of the resubmission.</w:t>
      </w:r>
    </w:p>
    <w:p w:rsidR="008B1757" w:rsidRPr="00361189" w:rsidRDefault="0022259C" w:rsidP="004A6040">
      <w:pPr>
        <w:pStyle w:val="TableFigureHeading"/>
        <w:rPr>
          <w:rStyle w:val="CommentReference"/>
          <w:b/>
          <w:szCs w:val="24"/>
        </w:rPr>
      </w:pPr>
      <w:bookmarkStart w:id="5" w:name="_Ref39362234"/>
      <w:r w:rsidRPr="00361189">
        <w:rPr>
          <w:rStyle w:val="CommentReference"/>
          <w:b/>
          <w:szCs w:val="24"/>
        </w:rPr>
        <w:t xml:space="preserve">Table </w:t>
      </w:r>
      <w:r w:rsidR="0089312A" w:rsidRPr="00361189">
        <w:rPr>
          <w:rStyle w:val="CommentReference"/>
          <w:b/>
          <w:szCs w:val="24"/>
        </w:rPr>
        <w:t>1</w:t>
      </w:r>
      <w:bookmarkEnd w:id="5"/>
      <w:r w:rsidR="008B1757" w:rsidRPr="00361189">
        <w:rPr>
          <w:rStyle w:val="CommentReference"/>
          <w:b/>
          <w:szCs w:val="24"/>
        </w:rPr>
        <w:t>:</w:t>
      </w:r>
      <w:r w:rsidR="00BC591F" w:rsidRPr="00361189">
        <w:rPr>
          <w:rStyle w:val="CommentReference"/>
          <w:b/>
          <w:szCs w:val="24"/>
        </w:rPr>
        <w:t xml:space="preserve"> </w:t>
      </w:r>
      <w:r w:rsidR="008B1757" w:rsidRPr="00361189">
        <w:rPr>
          <w:rStyle w:val="CommentReference"/>
          <w:b/>
          <w:szCs w:val="24"/>
        </w:rPr>
        <w:t xml:space="preserve">Key components of the clinical issue addressed by the </w:t>
      </w:r>
      <w:r w:rsidRPr="00361189">
        <w:rPr>
          <w:rStyle w:val="CommentReference"/>
          <w:b/>
          <w:szCs w:val="24"/>
        </w:rPr>
        <w:t>re</w:t>
      </w:r>
      <w:r w:rsidR="008B1757" w:rsidRPr="00361189">
        <w:rPr>
          <w:rStyle w:val="CommentReference"/>
          <w:b/>
          <w:szCs w:val="24"/>
        </w:rPr>
        <w:t>submission</w:t>
      </w:r>
      <w:r w:rsidR="007170DA" w:rsidRPr="00361189">
        <w:rPr>
          <w:rStyle w:val="CommentReference"/>
          <w:b/>
          <w:szCs w:val="24"/>
        </w:rPr>
        <w:t xml:space="preserve"> (as stated in the </w:t>
      </w:r>
      <w:r w:rsidRPr="00361189">
        <w:rPr>
          <w:rStyle w:val="CommentReference"/>
          <w:b/>
          <w:szCs w:val="24"/>
        </w:rPr>
        <w:t>re</w:t>
      </w:r>
      <w:r w:rsidR="007170DA" w:rsidRPr="00361189">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361189" w:rsidTr="00B22661">
        <w:trPr>
          <w:cantSplit/>
          <w:tblHeader/>
        </w:trPr>
        <w:tc>
          <w:tcPr>
            <w:tcW w:w="924" w:type="pct"/>
            <w:shd w:val="clear" w:color="auto" w:fill="auto"/>
          </w:tcPr>
          <w:p w:rsidR="008B1757" w:rsidRPr="00361189" w:rsidRDefault="008B1757" w:rsidP="004A6040">
            <w:pPr>
              <w:pStyle w:val="In-tableHeading"/>
              <w:rPr>
                <w:szCs w:val="20"/>
                <w:lang w:val="en-AU"/>
              </w:rPr>
            </w:pPr>
            <w:r w:rsidRPr="00361189">
              <w:rPr>
                <w:lang w:val="en-AU"/>
              </w:rPr>
              <w:t>Component</w:t>
            </w:r>
          </w:p>
        </w:tc>
        <w:tc>
          <w:tcPr>
            <w:tcW w:w="4076" w:type="pct"/>
            <w:shd w:val="clear" w:color="auto" w:fill="auto"/>
          </w:tcPr>
          <w:p w:rsidR="008B1757" w:rsidRPr="00361189" w:rsidRDefault="008B1757" w:rsidP="004A6040">
            <w:pPr>
              <w:pStyle w:val="In-tableHeading"/>
              <w:rPr>
                <w:lang w:val="en-AU"/>
              </w:rPr>
            </w:pPr>
            <w:r w:rsidRPr="00361189">
              <w:rPr>
                <w:lang w:val="en-AU"/>
              </w:rPr>
              <w:t>Description</w:t>
            </w:r>
          </w:p>
        </w:tc>
      </w:tr>
      <w:tr w:rsidR="00E64040" w:rsidRPr="00361189" w:rsidTr="00B22661">
        <w:trPr>
          <w:cantSplit/>
        </w:trPr>
        <w:tc>
          <w:tcPr>
            <w:tcW w:w="924" w:type="pct"/>
            <w:shd w:val="clear" w:color="auto" w:fill="auto"/>
          </w:tcPr>
          <w:p w:rsidR="00E64040" w:rsidRPr="00361189" w:rsidRDefault="00E64040" w:rsidP="00E64040">
            <w:pPr>
              <w:pStyle w:val="TableText0"/>
            </w:pPr>
            <w:r w:rsidRPr="00361189">
              <w:t>Population</w:t>
            </w:r>
          </w:p>
        </w:tc>
        <w:tc>
          <w:tcPr>
            <w:tcW w:w="4076" w:type="pct"/>
            <w:shd w:val="clear" w:color="auto" w:fill="auto"/>
            <w:vAlign w:val="center"/>
          </w:tcPr>
          <w:p w:rsidR="00E64040" w:rsidRPr="00361189" w:rsidRDefault="00E64040" w:rsidP="00D764C9">
            <w:pPr>
              <w:pStyle w:val="TableText0"/>
              <w:rPr>
                <w:szCs w:val="20"/>
              </w:rPr>
            </w:pPr>
            <w:r w:rsidRPr="00361189">
              <w:t>Patients with confirmed genetic diagnosis</w:t>
            </w:r>
            <w:r w:rsidR="00D764C9" w:rsidRPr="00361189">
              <w:t xml:space="preserve"> of SMA</w:t>
            </w:r>
            <w:r w:rsidRPr="00361189">
              <w:t xml:space="preserve"> (</w:t>
            </w:r>
            <w:r w:rsidRPr="00361189">
              <w:rPr>
                <w:i/>
              </w:rPr>
              <w:t>SMN1</w:t>
            </w:r>
            <w:r w:rsidRPr="00361189">
              <w:t xml:space="preserve"> deletion or mutation) </w:t>
            </w:r>
            <w:r w:rsidR="00D764C9" w:rsidRPr="00361189">
              <w:t>who have an</w:t>
            </w:r>
            <w:r w:rsidRPr="00361189">
              <w:t xml:space="preserve"> </w:t>
            </w:r>
            <w:r w:rsidRPr="00361189">
              <w:rPr>
                <w:i/>
              </w:rPr>
              <w:t>SMN2</w:t>
            </w:r>
            <w:r w:rsidRPr="00361189">
              <w:t xml:space="preserve"> copy number of </w:t>
            </w:r>
            <w:r w:rsidRPr="00361189">
              <w:rPr>
                <w:u w:val="single"/>
              </w:rPr>
              <w:t>1 or 2</w:t>
            </w:r>
          </w:p>
        </w:tc>
      </w:tr>
      <w:tr w:rsidR="00E64040" w:rsidRPr="00361189" w:rsidTr="00B22661">
        <w:trPr>
          <w:cantSplit/>
        </w:trPr>
        <w:tc>
          <w:tcPr>
            <w:tcW w:w="924" w:type="pct"/>
            <w:shd w:val="clear" w:color="auto" w:fill="auto"/>
          </w:tcPr>
          <w:p w:rsidR="00E64040" w:rsidRPr="00361189" w:rsidRDefault="00E64040" w:rsidP="00E64040">
            <w:pPr>
              <w:pStyle w:val="TableText0"/>
            </w:pPr>
            <w:r w:rsidRPr="00361189">
              <w:t>Intervention</w:t>
            </w:r>
          </w:p>
        </w:tc>
        <w:tc>
          <w:tcPr>
            <w:tcW w:w="4076" w:type="pct"/>
            <w:shd w:val="clear" w:color="auto" w:fill="auto"/>
            <w:vAlign w:val="center"/>
          </w:tcPr>
          <w:p w:rsidR="00E64040" w:rsidRPr="00361189" w:rsidRDefault="00E64040" w:rsidP="00E64040">
            <w:pPr>
              <w:pStyle w:val="TableText0"/>
            </w:pPr>
            <w:r w:rsidRPr="00361189">
              <w:t>Pre-symptomatic initiation of treatment: Nusinersen administered at a dose of 12</w:t>
            </w:r>
            <w:r w:rsidR="0071561C" w:rsidRPr="00361189">
              <w:t xml:space="preserve"> </w:t>
            </w:r>
            <w:r w:rsidRPr="00361189">
              <w:t>mg via intrathecal injection with four loading doses and two maintenance doses in Year 1 and three doses per year thereafter (refer to Section 4.1) after genetic diagnosis</w:t>
            </w:r>
          </w:p>
        </w:tc>
      </w:tr>
      <w:tr w:rsidR="00E64040" w:rsidRPr="00361189" w:rsidTr="00B22661">
        <w:trPr>
          <w:cantSplit/>
        </w:trPr>
        <w:tc>
          <w:tcPr>
            <w:tcW w:w="924" w:type="pct"/>
            <w:shd w:val="clear" w:color="auto" w:fill="auto"/>
          </w:tcPr>
          <w:p w:rsidR="00E64040" w:rsidRPr="00361189" w:rsidRDefault="00E64040" w:rsidP="00E64040">
            <w:pPr>
              <w:pStyle w:val="TableText0"/>
            </w:pPr>
            <w:r w:rsidRPr="00361189">
              <w:t>Comparator</w:t>
            </w:r>
          </w:p>
        </w:tc>
        <w:tc>
          <w:tcPr>
            <w:tcW w:w="4076" w:type="pct"/>
            <w:shd w:val="clear" w:color="auto" w:fill="auto"/>
          </w:tcPr>
          <w:p w:rsidR="00E64040" w:rsidRPr="00361189" w:rsidRDefault="00E64040" w:rsidP="00B718E5">
            <w:pPr>
              <w:pStyle w:val="TableText0"/>
            </w:pPr>
            <w:r w:rsidRPr="00361189">
              <w:rPr>
                <w:szCs w:val="20"/>
              </w:rPr>
              <w:t>Symptomatic initiation of treatment with nusinersen: Nusinersen administered as above, to patients with a diagnosis of SMA and who had the onset of two symptoms prior to 3 years of age (i.e. SMA Type I, II or IIIa) as per the existing PBS listing. Noting that</w:t>
            </w:r>
            <w:r w:rsidR="0071561C" w:rsidRPr="00361189">
              <w:rPr>
                <w:szCs w:val="20"/>
              </w:rPr>
              <w:t xml:space="preserve"> age of onset </w:t>
            </w:r>
            <w:r w:rsidR="00F9484F" w:rsidRPr="00361189">
              <w:rPr>
                <w:szCs w:val="20"/>
              </w:rPr>
              <w:t>is</w:t>
            </w:r>
            <w:r w:rsidRPr="00361189">
              <w:rPr>
                <w:szCs w:val="20"/>
              </w:rPr>
              <w:t xml:space="preserve"> </w:t>
            </w:r>
            <w:r w:rsidR="00F9484F" w:rsidRPr="00361189">
              <w:rPr>
                <w:szCs w:val="20"/>
              </w:rPr>
              <w:t xml:space="preserve">a defined </w:t>
            </w:r>
            <w:r w:rsidRPr="00361189">
              <w:rPr>
                <w:szCs w:val="20"/>
              </w:rPr>
              <w:t xml:space="preserve">“symptom” </w:t>
            </w:r>
            <w:r w:rsidR="00F9484F" w:rsidRPr="00361189">
              <w:rPr>
                <w:szCs w:val="20"/>
              </w:rPr>
              <w:t>of SMA</w:t>
            </w:r>
            <w:r w:rsidRPr="00361189">
              <w:rPr>
                <w:szCs w:val="20"/>
              </w:rPr>
              <w:t>.</w:t>
            </w:r>
          </w:p>
        </w:tc>
      </w:tr>
      <w:tr w:rsidR="00E64040" w:rsidRPr="00361189" w:rsidTr="00B22661">
        <w:trPr>
          <w:cantSplit/>
        </w:trPr>
        <w:tc>
          <w:tcPr>
            <w:tcW w:w="924" w:type="pct"/>
            <w:shd w:val="clear" w:color="auto" w:fill="auto"/>
          </w:tcPr>
          <w:p w:rsidR="00E64040" w:rsidRPr="00361189" w:rsidRDefault="00E64040" w:rsidP="00E64040">
            <w:pPr>
              <w:pStyle w:val="TableText0"/>
            </w:pPr>
            <w:r w:rsidRPr="00361189">
              <w:t>Outcomes</w:t>
            </w:r>
          </w:p>
        </w:tc>
        <w:tc>
          <w:tcPr>
            <w:tcW w:w="4076" w:type="pct"/>
            <w:shd w:val="clear" w:color="auto" w:fill="auto"/>
          </w:tcPr>
          <w:p w:rsidR="00E64040" w:rsidRPr="00361189" w:rsidRDefault="00E64040" w:rsidP="00600BA7">
            <w:pPr>
              <w:pStyle w:val="BodyText1"/>
              <w:keepNext/>
              <w:keepLines/>
              <w:numPr>
                <w:ilvl w:val="0"/>
                <w:numId w:val="14"/>
              </w:numPr>
              <w:spacing w:after="0" w:line="240" w:lineRule="auto"/>
              <w:ind w:left="284" w:hanging="284"/>
              <w:rPr>
                <w:rFonts w:ascii="Arial Narrow" w:hAnsi="Arial Narrow"/>
                <w:color w:val="000000" w:themeColor="text1"/>
                <w:sz w:val="20"/>
                <w:szCs w:val="20"/>
                <w:lang w:val="en-AU"/>
              </w:rPr>
            </w:pPr>
            <w:r w:rsidRPr="00361189">
              <w:rPr>
                <w:rFonts w:ascii="Arial Narrow" w:hAnsi="Arial Narrow"/>
                <w:color w:val="000000" w:themeColor="text1"/>
                <w:sz w:val="20"/>
                <w:szCs w:val="20"/>
                <w:lang w:val="en-AU"/>
              </w:rPr>
              <w:t>Time to death or respiratory intervention (Primary endpoint)</w:t>
            </w:r>
          </w:p>
          <w:p w:rsidR="00E64040" w:rsidRPr="00361189" w:rsidRDefault="00E64040" w:rsidP="00600BA7">
            <w:pPr>
              <w:pStyle w:val="BodyText1"/>
              <w:keepNext/>
              <w:keepLines/>
              <w:numPr>
                <w:ilvl w:val="0"/>
                <w:numId w:val="14"/>
              </w:numPr>
              <w:spacing w:after="0" w:line="240" w:lineRule="auto"/>
              <w:ind w:left="284" w:hanging="284"/>
              <w:rPr>
                <w:rFonts w:ascii="Arial Narrow" w:hAnsi="Arial Narrow"/>
                <w:color w:val="000000" w:themeColor="text1"/>
                <w:lang w:val="en-AU"/>
              </w:rPr>
            </w:pPr>
            <w:r w:rsidRPr="00361189">
              <w:rPr>
                <w:rFonts w:ascii="Arial Narrow" w:hAnsi="Arial Narrow"/>
                <w:color w:val="000000" w:themeColor="text1"/>
                <w:sz w:val="20"/>
                <w:szCs w:val="20"/>
                <w:lang w:val="en-AU"/>
              </w:rPr>
              <w:t>Survival and Motor function</w:t>
            </w:r>
            <w:r w:rsidR="00B718E5" w:rsidRPr="00361189">
              <w:rPr>
                <w:rFonts w:ascii="Arial Narrow" w:hAnsi="Arial Narrow"/>
                <w:color w:val="000000" w:themeColor="text1"/>
                <w:sz w:val="20"/>
                <w:szCs w:val="20"/>
                <w:lang w:val="en-AU"/>
              </w:rPr>
              <w:t xml:space="preserve"> </w:t>
            </w:r>
            <w:r w:rsidR="00F9484F" w:rsidRPr="00361189">
              <w:rPr>
                <w:rFonts w:ascii="Arial Narrow" w:hAnsi="Arial Narrow"/>
                <w:color w:val="000000" w:themeColor="text1"/>
                <w:sz w:val="20"/>
                <w:szCs w:val="20"/>
                <w:lang w:val="en-AU"/>
              </w:rPr>
              <w:t>(</w:t>
            </w:r>
            <w:r w:rsidRPr="00361189">
              <w:rPr>
                <w:rFonts w:ascii="Arial Narrow" w:hAnsi="Arial Narrow"/>
                <w:color w:val="000000" w:themeColor="text1"/>
                <w:sz w:val="20"/>
                <w:szCs w:val="20"/>
                <w:lang w:val="en-AU"/>
              </w:rPr>
              <w:t>assessed by HINE, CHOP INTEND, and WHO instruments</w:t>
            </w:r>
            <w:r w:rsidR="00F9484F" w:rsidRPr="00361189">
              <w:rPr>
                <w:rFonts w:ascii="Arial Narrow" w:hAnsi="Arial Narrow"/>
                <w:color w:val="000000" w:themeColor="text1"/>
                <w:sz w:val="20"/>
                <w:szCs w:val="20"/>
                <w:lang w:val="en-AU"/>
              </w:rPr>
              <w:t>)</w:t>
            </w:r>
            <w:r w:rsidRPr="00361189">
              <w:rPr>
                <w:rFonts w:ascii="Arial Narrow" w:hAnsi="Arial Narrow"/>
                <w:color w:val="000000" w:themeColor="text1"/>
                <w:sz w:val="20"/>
                <w:szCs w:val="20"/>
                <w:lang w:val="en-AU"/>
              </w:rPr>
              <w:t xml:space="preserve"> </w:t>
            </w:r>
          </w:p>
          <w:p w:rsidR="00E64040" w:rsidRPr="00361189" w:rsidRDefault="00E64040" w:rsidP="00600BA7">
            <w:pPr>
              <w:pStyle w:val="BodyText1"/>
              <w:keepNext/>
              <w:keepLines/>
              <w:numPr>
                <w:ilvl w:val="0"/>
                <w:numId w:val="14"/>
              </w:numPr>
              <w:spacing w:after="0" w:line="240" w:lineRule="auto"/>
              <w:ind w:left="284" w:hanging="284"/>
              <w:rPr>
                <w:rFonts w:ascii="Arial Narrow" w:hAnsi="Arial Narrow"/>
                <w:color w:val="000000" w:themeColor="text1"/>
                <w:lang w:val="en-AU"/>
              </w:rPr>
            </w:pPr>
            <w:r w:rsidRPr="00361189">
              <w:rPr>
                <w:rFonts w:ascii="Arial Narrow" w:hAnsi="Arial Narrow"/>
                <w:color w:val="000000" w:themeColor="text1"/>
                <w:sz w:val="20"/>
                <w:szCs w:val="20"/>
                <w:lang w:val="en-AU"/>
              </w:rPr>
              <w:t>Safety</w:t>
            </w:r>
          </w:p>
        </w:tc>
      </w:tr>
      <w:tr w:rsidR="00E64040" w:rsidRPr="00361189" w:rsidTr="00B22661">
        <w:trPr>
          <w:cantSplit/>
        </w:trPr>
        <w:tc>
          <w:tcPr>
            <w:tcW w:w="924" w:type="pct"/>
            <w:shd w:val="clear" w:color="auto" w:fill="auto"/>
          </w:tcPr>
          <w:p w:rsidR="00E64040" w:rsidRPr="00361189" w:rsidRDefault="00E64040" w:rsidP="00E64040">
            <w:pPr>
              <w:pStyle w:val="TableText0"/>
            </w:pPr>
            <w:r w:rsidRPr="00361189">
              <w:t>Clinical claim</w:t>
            </w:r>
          </w:p>
        </w:tc>
        <w:tc>
          <w:tcPr>
            <w:tcW w:w="4076" w:type="pct"/>
            <w:shd w:val="clear" w:color="auto" w:fill="auto"/>
            <w:vAlign w:val="center"/>
          </w:tcPr>
          <w:p w:rsidR="00E64040" w:rsidRPr="00361189" w:rsidRDefault="00E64040" w:rsidP="00E64040">
            <w:pPr>
              <w:pStyle w:val="TableText0"/>
              <w:rPr>
                <w:rFonts w:eastAsia="Times New Roman" w:cs="Arial"/>
                <w:bCs w:val="0"/>
                <w:snapToGrid w:val="0"/>
                <w:color w:val="000000" w:themeColor="text1"/>
                <w:szCs w:val="20"/>
              </w:rPr>
            </w:pPr>
            <w:r w:rsidRPr="00361189">
              <w:rPr>
                <w:color w:val="000000" w:themeColor="text1"/>
              </w:rPr>
              <w:t>Pre-symptomatic initiation of treatment with nusinersen is clinically superior in terms of comparative effectiveness and no worse in terms of comparative safety, compared to symptomatic initiation of treatment with nusinersen</w:t>
            </w:r>
          </w:p>
        </w:tc>
      </w:tr>
    </w:tbl>
    <w:p w:rsidR="00E64040" w:rsidRPr="00361189" w:rsidRDefault="00E64040" w:rsidP="00E64040">
      <w:pPr>
        <w:pStyle w:val="TableFigureFooter"/>
      </w:pPr>
      <w:r w:rsidRPr="00361189">
        <w:t>Source: Table 1-4, p26 of the resubmission</w:t>
      </w:r>
    </w:p>
    <w:p w:rsidR="00E64040" w:rsidRPr="00361189" w:rsidRDefault="00E64040" w:rsidP="00E64040">
      <w:pPr>
        <w:pStyle w:val="TableFigureFooter"/>
      </w:pPr>
      <w:r w:rsidRPr="00361189">
        <w:t>CHOP-INTEND = Children’s Hospital of Philadelphia Infant Test of Neuromuscular Disorders; HINE = Hammersmith Infant Neurological Examination; SMA = spinal muscular atrophy; SMN = survival of motor neuron; WHO = World Health Organization</w:t>
      </w:r>
    </w:p>
    <w:p w:rsidR="004E43B2" w:rsidRPr="00361189" w:rsidRDefault="00E64040" w:rsidP="00E64040">
      <w:pPr>
        <w:pStyle w:val="TableFigureFooter"/>
        <w:rPr>
          <w:sz w:val="20"/>
        </w:rPr>
      </w:pPr>
      <w:r w:rsidRPr="00361189">
        <w:t>Underline indicates difference to the previous submission</w:t>
      </w:r>
      <w:r w:rsidR="00361189">
        <w:t xml:space="preserve">. </w:t>
      </w:r>
      <w:r w:rsidRPr="00361189">
        <w:t xml:space="preserve">In the previous submission, population included patients with </w:t>
      </w:r>
      <w:r w:rsidRPr="00361189">
        <w:rPr>
          <w:i/>
        </w:rPr>
        <w:t>SMN2</w:t>
      </w:r>
      <w:r w:rsidRPr="00361189">
        <w:t xml:space="preserve"> copy number of 1, 2 or 3. In the resubmission patients with </w:t>
      </w:r>
      <w:r w:rsidRPr="00361189">
        <w:rPr>
          <w:i/>
        </w:rPr>
        <w:t>SMN2</w:t>
      </w:r>
      <w:r w:rsidR="00B9749A" w:rsidRPr="00361189">
        <w:t xml:space="preserve"> copy ≤</w:t>
      </w:r>
      <w:r w:rsidRPr="00361189">
        <w:t>3 has been included as an ‘alternative scenario’</w:t>
      </w:r>
      <w:r w:rsidR="00361189">
        <w:t xml:space="preserve">. </w:t>
      </w:r>
    </w:p>
    <w:p w:rsidR="005C25FF" w:rsidRPr="00361189" w:rsidRDefault="005C25FF" w:rsidP="004A6040">
      <w:pPr>
        <w:pStyle w:val="2-SectionHeading"/>
      </w:pPr>
      <w:bookmarkStart w:id="6" w:name="_Toc40874410"/>
      <w:r w:rsidRPr="00361189">
        <w:t>Background</w:t>
      </w:r>
      <w:bookmarkEnd w:id="6"/>
    </w:p>
    <w:p w:rsidR="005C25FF" w:rsidRPr="00361189" w:rsidRDefault="005C25FF" w:rsidP="004A6040">
      <w:pPr>
        <w:pStyle w:val="4-SubsectionHeading"/>
      </w:pPr>
      <w:bookmarkStart w:id="7" w:name="_Toc22897638"/>
      <w:bookmarkStart w:id="8" w:name="_Toc40874411"/>
      <w:r w:rsidRPr="00361189">
        <w:t>Registration status</w:t>
      </w:r>
      <w:bookmarkEnd w:id="7"/>
      <w:bookmarkEnd w:id="8"/>
    </w:p>
    <w:p w:rsidR="00E16732" w:rsidRPr="00361189" w:rsidRDefault="0022259C" w:rsidP="00E16732">
      <w:pPr>
        <w:pStyle w:val="ListParagraph"/>
        <w:numPr>
          <w:ilvl w:val="1"/>
          <w:numId w:val="1"/>
        </w:numPr>
        <w:spacing w:after="160"/>
      </w:pPr>
      <w:r w:rsidRPr="00361189">
        <w:t xml:space="preserve">Nusinersen was TGA </w:t>
      </w:r>
      <w:r w:rsidR="00E16732" w:rsidRPr="00361189">
        <w:t>registered for the treatment of 5q spinal muscular atrophy (SMA)</w:t>
      </w:r>
      <w:r w:rsidR="00E16732" w:rsidRPr="00361189">
        <w:rPr>
          <w:i/>
        </w:rPr>
        <w:t xml:space="preserve"> </w:t>
      </w:r>
      <w:r w:rsidR="00E16732" w:rsidRPr="00361189">
        <w:t>on 2 November 2017</w:t>
      </w:r>
      <w:r w:rsidR="00361189">
        <w:t xml:space="preserve">. </w:t>
      </w:r>
      <w:r w:rsidR="004B5256" w:rsidRPr="00361189">
        <w:t xml:space="preserve">The TGA indication would include pre-symptomatic initiation of treatment in patients with a genetic diagnosis of </w:t>
      </w:r>
      <w:r w:rsidR="00C95FDE" w:rsidRPr="00361189">
        <w:rPr>
          <w:i/>
        </w:rPr>
        <w:t>SMN1</w:t>
      </w:r>
      <w:r w:rsidR="004B5256" w:rsidRPr="00361189">
        <w:t xml:space="preserve"> deletion or mutation.</w:t>
      </w:r>
    </w:p>
    <w:p w:rsidR="005C25FF" w:rsidRPr="00361189" w:rsidRDefault="005C25FF" w:rsidP="004E18E9">
      <w:pPr>
        <w:pStyle w:val="4-SubsectionHeading"/>
      </w:pPr>
      <w:bookmarkStart w:id="9" w:name="_Toc22897639"/>
      <w:bookmarkStart w:id="10" w:name="_Toc40874412"/>
      <w:r w:rsidRPr="00361189">
        <w:lastRenderedPageBreak/>
        <w:t>Previous PBAC consideration</w:t>
      </w:r>
      <w:bookmarkEnd w:id="9"/>
      <w:bookmarkEnd w:id="10"/>
    </w:p>
    <w:p w:rsidR="00E16732" w:rsidRPr="00361189" w:rsidRDefault="00F21A5C" w:rsidP="002E4F02">
      <w:pPr>
        <w:pStyle w:val="3-BodyText"/>
      </w:pPr>
      <w:r w:rsidRPr="00361189">
        <w:t>A</w:t>
      </w:r>
      <w:r w:rsidR="008A5DC4" w:rsidRPr="00361189">
        <w:t xml:space="preserve"> previous submission was</w:t>
      </w:r>
      <w:r w:rsidR="00395F83" w:rsidRPr="00361189">
        <w:t xml:space="preserve"> first</w:t>
      </w:r>
      <w:r w:rsidR="008A5DC4" w:rsidRPr="00361189">
        <w:t xml:space="preserve"> considered at the July 2019 meeting, with a subsequent </w:t>
      </w:r>
      <w:r w:rsidR="00395F83" w:rsidRPr="00361189">
        <w:t xml:space="preserve">consideration </w:t>
      </w:r>
      <w:r w:rsidR="008A5DC4" w:rsidRPr="00361189">
        <w:t xml:space="preserve">at the November 2019 meeting </w:t>
      </w:r>
      <w:r w:rsidR="00395F83" w:rsidRPr="00361189">
        <w:t>following advice</w:t>
      </w:r>
      <w:r w:rsidR="008A5DC4" w:rsidRPr="00361189">
        <w:t xml:space="preserve"> from MSAC in August 2019 regarding the prognostic value of </w:t>
      </w:r>
      <w:r w:rsidR="008A5DC4" w:rsidRPr="00361189">
        <w:rPr>
          <w:i/>
        </w:rPr>
        <w:t>SMN2</w:t>
      </w:r>
      <w:r w:rsidR="008A5DC4" w:rsidRPr="00361189">
        <w:t xml:space="preserve"> copy number</w:t>
      </w:r>
      <w:r w:rsidR="00395F83" w:rsidRPr="00361189">
        <w:t xml:space="preserve">, </w:t>
      </w:r>
      <w:r w:rsidR="008A5DC4" w:rsidRPr="00361189">
        <w:t xml:space="preserve">accuracy of the </w:t>
      </w:r>
      <w:r w:rsidR="008A5DC4" w:rsidRPr="00361189">
        <w:rPr>
          <w:i/>
        </w:rPr>
        <w:t>SMN2</w:t>
      </w:r>
      <w:r w:rsidR="008A5DC4" w:rsidRPr="00361189">
        <w:t xml:space="preserve"> copy number variation testing and additional clinical expert advice</w:t>
      </w:r>
      <w:r w:rsidR="00361189">
        <w:t xml:space="preserve">. </w:t>
      </w:r>
      <w:r w:rsidR="003D083D" w:rsidRPr="00361189">
        <w:t xml:space="preserve"> </w:t>
      </w:r>
    </w:p>
    <w:p w:rsidR="0022259C" w:rsidRPr="00361189" w:rsidRDefault="0022259C" w:rsidP="002E4F02">
      <w:pPr>
        <w:pStyle w:val="3-BodyText"/>
      </w:pPr>
      <w:r w:rsidRPr="00361189">
        <w:t>The key matters of concern are summarised in Table 2.</w:t>
      </w:r>
    </w:p>
    <w:p w:rsidR="005C25FF" w:rsidRPr="00361189" w:rsidRDefault="0022259C" w:rsidP="00E22245">
      <w:pPr>
        <w:pStyle w:val="TableFigureHeading"/>
        <w:keepLines/>
        <w:rPr>
          <w:rStyle w:val="CommentReference"/>
          <w:b/>
          <w:szCs w:val="24"/>
        </w:rPr>
      </w:pPr>
      <w:bookmarkStart w:id="11" w:name="_Ref39362344"/>
      <w:r w:rsidRPr="00361189">
        <w:rPr>
          <w:rStyle w:val="CommentReference"/>
          <w:b/>
          <w:szCs w:val="24"/>
        </w:rPr>
        <w:t xml:space="preserve">Table </w:t>
      </w:r>
      <w:r w:rsidR="0089312A" w:rsidRPr="00361189">
        <w:rPr>
          <w:rStyle w:val="CommentReference"/>
          <w:b/>
          <w:szCs w:val="24"/>
        </w:rPr>
        <w:t>2</w:t>
      </w:r>
      <w:bookmarkEnd w:id="11"/>
      <w:r w:rsidR="005C25FF" w:rsidRPr="00361189">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3210"/>
      </w:tblGrid>
      <w:tr w:rsidR="008A5DC4" w:rsidRPr="00361189" w:rsidTr="00B22661">
        <w:trPr>
          <w:cantSplit/>
          <w:tblHeader/>
        </w:trPr>
        <w:tc>
          <w:tcPr>
            <w:tcW w:w="705" w:type="pct"/>
            <w:vAlign w:val="center"/>
          </w:tcPr>
          <w:p w:rsidR="005C25FF" w:rsidRPr="00361189" w:rsidRDefault="005C25FF" w:rsidP="00E22245">
            <w:pPr>
              <w:pStyle w:val="In-tableHeading"/>
              <w:keepLines/>
              <w:rPr>
                <w:color w:val="000000" w:themeColor="text1"/>
                <w:lang w:val="en-AU"/>
              </w:rPr>
            </w:pPr>
            <w:r w:rsidRPr="00361189">
              <w:rPr>
                <w:color w:val="000000" w:themeColor="text1"/>
                <w:lang w:val="en-AU"/>
              </w:rPr>
              <w:t>Component</w:t>
            </w:r>
          </w:p>
        </w:tc>
        <w:tc>
          <w:tcPr>
            <w:tcW w:w="2515" w:type="pct"/>
            <w:vAlign w:val="center"/>
          </w:tcPr>
          <w:p w:rsidR="005C25FF" w:rsidRPr="00361189" w:rsidRDefault="005C25FF" w:rsidP="00CD6D1B">
            <w:pPr>
              <w:pStyle w:val="In-tableHeading"/>
              <w:keepLines/>
              <w:jc w:val="center"/>
              <w:rPr>
                <w:color w:val="000000" w:themeColor="text1"/>
                <w:lang w:val="en-AU"/>
              </w:rPr>
            </w:pPr>
            <w:r w:rsidRPr="00361189">
              <w:rPr>
                <w:color w:val="000000" w:themeColor="text1"/>
                <w:lang w:val="en-AU"/>
              </w:rPr>
              <w:t>Matter of concern</w:t>
            </w:r>
            <w:r w:rsidR="008A5DC4" w:rsidRPr="00361189">
              <w:rPr>
                <w:color w:val="000000" w:themeColor="text1"/>
                <w:lang w:val="en-AU"/>
              </w:rPr>
              <w:t xml:space="preserve"> (November 2019)</w:t>
            </w:r>
          </w:p>
        </w:tc>
        <w:tc>
          <w:tcPr>
            <w:tcW w:w="1780" w:type="pct"/>
          </w:tcPr>
          <w:p w:rsidR="005C25FF" w:rsidRPr="00361189" w:rsidRDefault="005C25FF" w:rsidP="00CD6D1B">
            <w:pPr>
              <w:pStyle w:val="In-tableHeading"/>
              <w:keepLines/>
              <w:jc w:val="center"/>
              <w:rPr>
                <w:color w:val="000000" w:themeColor="text1"/>
                <w:lang w:val="en-AU"/>
              </w:rPr>
            </w:pPr>
            <w:r w:rsidRPr="00361189">
              <w:rPr>
                <w:color w:val="000000" w:themeColor="text1"/>
                <w:lang w:val="en-AU"/>
              </w:rPr>
              <w:t>How the resubmission addresses it</w:t>
            </w:r>
          </w:p>
        </w:tc>
      </w:tr>
      <w:tr w:rsidR="008A5DC4" w:rsidRPr="00361189" w:rsidTr="00B22661">
        <w:trPr>
          <w:cantSplit/>
        </w:trPr>
        <w:tc>
          <w:tcPr>
            <w:tcW w:w="705" w:type="pct"/>
          </w:tcPr>
          <w:p w:rsidR="005C25FF" w:rsidRPr="00361189" w:rsidRDefault="008A5DC4" w:rsidP="00E22245">
            <w:pPr>
              <w:pStyle w:val="TableText0"/>
              <w:keepLines/>
              <w:rPr>
                <w:color w:val="000000" w:themeColor="text1"/>
              </w:rPr>
            </w:pPr>
            <w:r w:rsidRPr="00361189">
              <w:rPr>
                <w:color w:val="000000" w:themeColor="text1"/>
              </w:rPr>
              <w:t>PBS restriction</w:t>
            </w:r>
          </w:p>
        </w:tc>
        <w:tc>
          <w:tcPr>
            <w:tcW w:w="2515" w:type="pct"/>
          </w:tcPr>
          <w:p w:rsidR="005C25FF" w:rsidRPr="00361189" w:rsidRDefault="008A5DC4" w:rsidP="00E22245">
            <w:pPr>
              <w:pStyle w:val="TableText0"/>
              <w:keepLines/>
              <w:rPr>
                <w:color w:val="000000" w:themeColor="text1"/>
                <w:szCs w:val="20"/>
              </w:rPr>
            </w:pPr>
            <w:r w:rsidRPr="00361189">
              <w:rPr>
                <w:rFonts w:eastAsia="Times New Roman" w:cs="Arial"/>
                <w:bCs w:val="0"/>
                <w:snapToGrid w:val="0"/>
                <w:color w:val="000000" w:themeColor="text1"/>
                <w:szCs w:val="20"/>
              </w:rPr>
              <w:t xml:space="preserve">The PBAC considered that in the absence of further information to better predict the progression of pre-symptomatic patients with SMA, it may be appropriate to restrict any future listing of nusinersen for the pre-symptomatic initiation of treatment to those with 2 or less copies of </w:t>
            </w:r>
            <w:r w:rsidRPr="00361189">
              <w:rPr>
                <w:rFonts w:eastAsia="Times New Roman" w:cs="Arial"/>
                <w:bCs w:val="0"/>
                <w:i/>
                <w:snapToGrid w:val="0"/>
                <w:color w:val="000000" w:themeColor="text1"/>
                <w:szCs w:val="20"/>
              </w:rPr>
              <w:t xml:space="preserve">SMN2 </w:t>
            </w:r>
            <w:r w:rsidRPr="00361189">
              <w:rPr>
                <w:rFonts w:eastAsia="Times New Roman" w:cs="Arial"/>
                <w:bCs w:val="0"/>
                <w:snapToGrid w:val="0"/>
                <w:color w:val="000000" w:themeColor="text1"/>
                <w:szCs w:val="20"/>
              </w:rPr>
              <w:t>(para. 11.4).</w:t>
            </w:r>
          </w:p>
        </w:tc>
        <w:tc>
          <w:tcPr>
            <w:tcW w:w="1780" w:type="pct"/>
          </w:tcPr>
          <w:p w:rsidR="005C25FF" w:rsidRPr="00361189" w:rsidRDefault="008A5DC4" w:rsidP="009A0DCC">
            <w:pPr>
              <w:pStyle w:val="TableText0"/>
              <w:keepLines/>
              <w:rPr>
                <w:color w:val="000000" w:themeColor="text1"/>
              </w:rPr>
            </w:pPr>
            <w:r w:rsidRPr="00361189">
              <w:rPr>
                <w:color w:val="000000" w:themeColor="text1"/>
              </w:rPr>
              <w:t xml:space="preserve">Proposed listing for base-case scenario restricted to patients with 1 or 2 copies of </w:t>
            </w:r>
            <w:r w:rsidRPr="00361189">
              <w:rPr>
                <w:i/>
                <w:color w:val="000000" w:themeColor="text1"/>
              </w:rPr>
              <w:t>SMN2</w:t>
            </w:r>
            <w:r w:rsidRPr="00361189">
              <w:rPr>
                <w:color w:val="000000" w:themeColor="text1"/>
              </w:rPr>
              <w:t xml:space="preserve">. Proposed listing under alternative scenario allows patients with 1, 2 or 3 </w:t>
            </w:r>
            <w:r w:rsidRPr="00361189">
              <w:rPr>
                <w:i/>
                <w:color w:val="000000" w:themeColor="text1"/>
              </w:rPr>
              <w:t>SMN2</w:t>
            </w:r>
            <w:r w:rsidRPr="00361189">
              <w:rPr>
                <w:color w:val="000000" w:themeColor="text1"/>
              </w:rPr>
              <w:t xml:space="preserve"> copies to receive treatment with nusinersen. </w:t>
            </w:r>
          </w:p>
        </w:tc>
      </w:tr>
      <w:tr w:rsidR="008A5DC4" w:rsidRPr="00361189" w:rsidTr="00B22661">
        <w:trPr>
          <w:cantSplit/>
        </w:trPr>
        <w:tc>
          <w:tcPr>
            <w:tcW w:w="705" w:type="pct"/>
          </w:tcPr>
          <w:p w:rsidR="008A5DC4" w:rsidRPr="00361189" w:rsidRDefault="008A5DC4" w:rsidP="00E22245">
            <w:pPr>
              <w:pStyle w:val="TableText0"/>
              <w:keepLines/>
              <w:rPr>
                <w:color w:val="000000" w:themeColor="text1"/>
              </w:rPr>
            </w:pPr>
            <w:r w:rsidRPr="00361189">
              <w:rPr>
                <w:color w:val="000000" w:themeColor="text1"/>
              </w:rPr>
              <w:t>Clinical efficacy</w:t>
            </w:r>
          </w:p>
        </w:tc>
        <w:tc>
          <w:tcPr>
            <w:tcW w:w="2515" w:type="pct"/>
          </w:tcPr>
          <w:p w:rsidR="008A5DC4" w:rsidRPr="00361189" w:rsidRDefault="00395F83" w:rsidP="00E22245">
            <w:pPr>
              <w:pStyle w:val="TableText0"/>
              <w:keepLines/>
              <w:rPr>
                <w:rFonts w:eastAsia="Times New Roman" w:cs="Arial"/>
                <w:bCs w:val="0"/>
                <w:snapToGrid w:val="0"/>
                <w:color w:val="000000" w:themeColor="text1"/>
                <w:szCs w:val="20"/>
              </w:rPr>
            </w:pPr>
            <w:r w:rsidRPr="00361189">
              <w:rPr>
                <w:rFonts w:eastAsia="Times New Roman" w:cs="Arial"/>
                <w:bCs w:val="0"/>
                <w:snapToGrid w:val="0"/>
                <w:color w:val="000000" w:themeColor="text1"/>
                <w:szCs w:val="20"/>
              </w:rPr>
              <w:t xml:space="preserve">The </w:t>
            </w:r>
            <w:r w:rsidR="008A5DC4" w:rsidRPr="00361189">
              <w:rPr>
                <w:rFonts w:eastAsia="Times New Roman" w:cs="Arial"/>
                <w:bCs w:val="0"/>
                <w:snapToGrid w:val="0"/>
                <w:color w:val="000000" w:themeColor="text1"/>
                <w:szCs w:val="20"/>
              </w:rPr>
              <w:t>PBAC considered there was likely an incremental benefit from pre-symptomatic treatment with nusinersen compared with symptomatic treatment. However, the magnitude of incremental benefit could not be ascertained without appropriate comparative data (para. 11.3).</w:t>
            </w:r>
          </w:p>
        </w:tc>
        <w:tc>
          <w:tcPr>
            <w:tcW w:w="1780" w:type="pct"/>
          </w:tcPr>
          <w:p w:rsidR="008A5DC4" w:rsidRPr="00361189" w:rsidRDefault="008A5DC4" w:rsidP="0022259C">
            <w:pPr>
              <w:pStyle w:val="TableText0"/>
              <w:keepLines/>
              <w:rPr>
                <w:color w:val="000000" w:themeColor="text1"/>
              </w:rPr>
            </w:pPr>
            <w:r w:rsidRPr="00361189">
              <w:rPr>
                <w:color w:val="000000" w:themeColor="text1"/>
              </w:rPr>
              <w:t>Not addressed.</w:t>
            </w:r>
          </w:p>
        </w:tc>
      </w:tr>
      <w:tr w:rsidR="008A5DC4" w:rsidRPr="00361189" w:rsidTr="00B22661">
        <w:trPr>
          <w:cantSplit/>
        </w:trPr>
        <w:tc>
          <w:tcPr>
            <w:tcW w:w="705" w:type="pct"/>
          </w:tcPr>
          <w:p w:rsidR="008A5DC4" w:rsidRPr="00361189" w:rsidRDefault="008A5DC4" w:rsidP="00E22245">
            <w:pPr>
              <w:pStyle w:val="TableText0"/>
              <w:keepLines/>
              <w:rPr>
                <w:color w:val="000000" w:themeColor="text1"/>
              </w:rPr>
            </w:pPr>
            <w:r w:rsidRPr="00361189">
              <w:rPr>
                <w:color w:val="000000" w:themeColor="text1"/>
              </w:rPr>
              <w:t>Economic</w:t>
            </w:r>
          </w:p>
        </w:tc>
        <w:tc>
          <w:tcPr>
            <w:tcW w:w="2515" w:type="pct"/>
          </w:tcPr>
          <w:p w:rsidR="008A5DC4" w:rsidRPr="00361189" w:rsidRDefault="008A5DC4" w:rsidP="00E22245">
            <w:pPr>
              <w:pStyle w:val="TableText0"/>
              <w:keepLines/>
              <w:rPr>
                <w:rFonts w:eastAsia="Times New Roman" w:cs="Arial"/>
                <w:bCs w:val="0"/>
                <w:snapToGrid w:val="0"/>
                <w:color w:val="000000" w:themeColor="text1"/>
                <w:szCs w:val="20"/>
              </w:rPr>
            </w:pPr>
            <w:r w:rsidRPr="00361189">
              <w:rPr>
                <w:rFonts w:eastAsia="Times New Roman" w:cs="Arial"/>
                <w:bCs w:val="0"/>
                <w:snapToGrid w:val="0"/>
                <w:color w:val="000000" w:themeColor="text1"/>
                <w:szCs w:val="20"/>
              </w:rPr>
              <w:t>The PBAC considered the economic model was unsuitable for decision making based on issues around extrapolation of treatment effect, estimated incremental duration of treatment, estimated utility gain and assumption of no difference in adverse events between pre-symptomatic initiation of treatment and symptomatic treatment (para. 11.6).</w:t>
            </w:r>
          </w:p>
        </w:tc>
        <w:tc>
          <w:tcPr>
            <w:tcW w:w="1780" w:type="pct"/>
          </w:tcPr>
          <w:p w:rsidR="008A5DC4" w:rsidRPr="00361189" w:rsidRDefault="008A5DC4" w:rsidP="006A4564">
            <w:pPr>
              <w:pStyle w:val="TableText0"/>
              <w:keepLines/>
              <w:rPr>
                <w:color w:val="000000" w:themeColor="text1"/>
              </w:rPr>
            </w:pPr>
            <w:r w:rsidRPr="00361189">
              <w:rPr>
                <w:color w:val="000000" w:themeColor="text1"/>
              </w:rPr>
              <w:t>Updated analysis provided to address concerns raised around extrapolation of treatment effect, incremental duration of treatment, utility gain and assumption of no difference in adverse events (</w:t>
            </w:r>
            <w:r w:rsidR="006A4564" w:rsidRPr="00361189">
              <w:rPr>
                <w:color w:val="000000" w:themeColor="text1"/>
              </w:rPr>
              <w:t>para 6.23 to 6.42</w:t>
            </w:r>
            <w:r w:rsidRPr="00361189">
              <w:rPr>
                <w:color w:val="000000" w:themeColor="text1"/>
              </w:rPr>
              <w:t>)</w:t>
            </w:r>
            <w:r w:rsidR="006A4564" w:rsidRPr="00361189">
              <w:rPr>
                <w:color w:val="000000" w:themeColor="text1"/>
              </w:rPr>
              <w:t>.</w:t>
            </w:r>
          </w:p>
        </w:tc>
      </w:tr>
      <w:tr w:rsidR="008A5DC4" w:rsidRPr="00361189" w:rsidTr="00B22661">
        <w:trPr>
          <w:cantSplit/>
        </w:trPr>
        <w:tc>
          <w:tcPr>
            <w:tcW w:w="705" w:type="pct"/>
          </w:tcPr>
          <w:p w:rsidR="008A5DC4" w:rsidRPr="00361189" w:rsidRDefault="008A5DC4" w:rsidP="00E22245">
            <w:pPr>
              <w:pStyle w:val="TableText0"/>
              <w:keepLines/>
              <w:rPr>
                <w:color w:val="000000" w:themeColor="text1"/>
              </w:rPr>
            </w:pPr>
            <w:r w:rsidRPr="00361189">
              <w:rPr>
                <w:color w:val="000000" w:themeColor="text1"/>
              </w:rPr>
              <w:t>Potential rebate for SMA Type II and IIIa</w:t>
            </w:r>
          </w:p>
        </w:tc>
        <w:tc>
          <w:tcPr>
            <w:tcW w:w="2515" w:type="pct"/>
          </w:tcPr>
          <w:p w:rsidR="008A5DC4" w:rsidRPr="00361189" w:rsidRDefault="008A5DC4" w:rsidP="00E22245">
            <w:pPr>
              <w:pStyle w:val="TableText0"/>
              <w:keepLines/>
              <w:rPr>
                <w:rFonts w:eastAsia="Times New Roman" w:cs="Arial"/>
                <w:bCs w:val="0"/>
                <w:snapToGrid w:val="0"/>
                <w:color w:val="000000" w:themeColor="text1"/>
                <w:szCs w:val="20"/>
              </w:rPr>
            </w:pPr>
            <w:r w:rsidRPr="00361189">
              <w:rPr>
                <w:rFonts w:eastAsia="Times New Roman" w:cs="Arial"/>
                <w:bCs w:val="0"/>
                <w:snapToGrid w:val="0"/>
                <w:color w:val="000000" w:themeColor="text1"/>
                <w:szCs w:val="20"/>
              </w:rPr>
              <w:t xml:space="preserve">The PBAC noted that the sponsor had not confirmed whether the rebate for </w:t>
            </w:r>
            <w:r w:rsidR="00E659B7">
              <w:rPr>
                <w:rFonts w:eastAsia="Times New Roman" w:cs="Arial"/>
                <w:bCs w:val="0"/>
                <w:noProof/>
                <w:snapToGrid w:val="0"/>
                <w:color w:val="000000"/>
                <w:szCs w:val="20"/>
                <w:highlight w:val="black"/>
              </w:rPr>
              <w:t>'''''''' '''' ''''''''' '''''''''''''''' ''''''''''''''''</w:t>
            </w:r>
            <w:r w:rsidRPr="00361189">
              <w:rPr>
                <w:rFonts w:eastAsia="Times New Roman" w:cs="Arial"/>
                <w:bCs w:val="0"/>
                <w:snapToGrid w:val="0"/>
                <w:color w:val="000000" w:themeColor="text1"/>
                <w:szCs w:val="20"/>
              </w:rPr>
              <w:t xml:space="preserve"> which currently applies for patients diagnosed with SMA Type II or IIIa is intended to be extended to patients who initiate treatment prior to the onset of symptoms (para. 11.7).</w:t>
            </w:r>
          </w:p>
        </w:tc>
        <w:tc>
          <w:tcPr>
            <w:tcW w:w="1780" w:type="pct"/>
          </w:tcPr>
          <w:p w:rsidR="008A5DC4" w:rsidRPr="00361189" w:rsidRDefault="008A5DC4" w:rsidP="0019623D">
            <w:pPr>
              <w:pStyle w:val="TableText0"/>
              <w:keepLines/>
              <w:rPr>
                <w:color w:val="000000" w:themeColor="text1"/>
              </w:rPr>
            </w:pPr>
            <w:r w:rsidRPr="00361189">
              <w:rPr>
                <w:color w:val="000000" w:themeColor="text1"/>
              </w:rPr>
              <w:t xml:space="preserve">Sponsor </w:t>
            </w:r>
            <w:r w:rsidR="0019623D" w:rsidRPr="00361189">
              <w:rPr>
                <w:color w:val="000000" w:themeColor="text1"/>
              </w:rPr>
              <w:t>did</w:t>
            </w:r>
            <w:r w:rsidRPr="00361189">
              <w:rPr>
                <w:color w:val="000000" w:themeColor="text1"/>
              </w:rPr>
              <w:t xml:space="preserve"> not propos</w:t>
            </w:r>
            <w:r w:rsidR="0019623D" w:rsidRPr="00361189">
              <w:rPr>
                <w:color w:val="000000" w:themeColor="text1"/>
              </w:rPr>
              <w:t>e</w:t>
            </w:r>
            <w:r w:rsidRPr="00361189">
              <w:rPr>
                <w:color w:val="000000" w:themeColor="text1"/>
              </w:rPr>
              <w:t xml:space="preserve"> a rebate for </w:t>
            </w:r>
            <w:r w:rsidR="00E659B7">
              <w:rPr>
                <w:noProof/>
                <w:color w:val="000000"/>
                <w:highlight w:val="black"/>
              </w:rPr>
              <w:t>'''''''''' ''''''''''''''' ''''''''''''</w:t>
            </w:r>
            <w:r w:rsidRPr="00361189">
              <w:rPr>
                <w:color w:val="000000" w:themeColor="text1"/>
              </w:rPr>
              <w:t xml:space="preserve"> for patients </w:t>
            </w:r>
            <w:r w:rsidR="008266B0" w:rsidRPr="00361189">
              <w:rPr>
                <w:color w:val="000000" w:themeColor="text1"/>
              </w:rPr>
              <w:t xml:space="preserve">who initiate treatment </w:t>
            </w:r>
            <w:r w:rsidRPr="00361189">
              <w:rPr>
                <w:color w:val="000000" w:themeColor="text1"/>
              </w:rPr>
              <w:t>pre-symptomatic</w:t>
            </w:r>
            <w:r w:rsidR="008266B0" w:rsidRPr="00361189">
              <w:rPr>
                <w:color w:val="000000" w:themeColor="text1"/>
              </w:rPr>
              <w:t>ally</w:t>
            </w:r>
            <w:r w:rsidRPr="00361189">
              <w:rPr>
                <w:color w:val="000000" w:themeColor="text1"/>
              </w:rPr>
              <w:t>.</w:t>
            </w:r>
          </w:p>
        </w:tc>
      </w:tr>
      <w:tr w:rsidR="008A5DC4" w:rsidRPr="00361189" w:rsidTr="00B22661">
        <w:trPr>
          <w:cantSplit/>
        </w:trPr>
        <w:tc>
          <w:tcPr>
            <w:tcW w:w="705" w:type="pct"/>
          </w:tcPr>
          <w:p w:rsidR="008A5DC4" w:rsidRPr="00361189" w:rsidRDefault="008A5DC4" w:rsidP="00E22245">
            <w:pPr>
              <w:pStyle w:val="TableText0"/>
              <w:keepLines/>
              <w:rPr>
                <w:color w:val="000000" w:themeColor="text1"/>
              </w:rPr>
            </w:pPr>
            <w:r w:rsidRPr="00361189">
              <w:rPr>
                <w:color w:val="000000" w:themeColor="text1"/>
              </w:rPr>
              <w:t>Financial estimate inputs</w:t>
            </w:r>
          </w:p>
        </w:tc>
        <w:tc>
          <w:tcPr>
            <w:tcW w:w="2515" w:type="pct"/>
          </w:tcPr>
          <w:p w:rsidR="008A5DC4" w:rsidRPr="00361189" w:rsidRDefault="008A5DC4" w:rsidP="0022259C">
            <w:pPr>
              <w:pStyle w:val="TableText0"/>
              <w:keepLines/>
              <w:rPr>
                <w:rFonts w:eastAsia="Times New Roman" w:cs="Arial"/>
                <w:bCs w:val="0"/>
                <w:snapToGrid w:val="0"/>
                <w:color w:val="000000" w:themeColor="text1"/>
                <w:szCs w:val="20"/>
              </w:rPr>
            </w:pPr>
            <w:r w:rsidRPr="00361189">
              <w:rPr>
                <w:rFonts w:eastAsia="Times New Roman" w:cs="Arial"/>
                <w:bCs w:val="0"/>
                <w:snapToGrid w:val="0"/>
                <w:color w:val="000000" w:themeColor="text1"/>
                <w:szCs w:val="20"/>
              </w:rPr>
              <w:t>The PBAC advised that any resubmission should include revised financial estimates to account for underestimate in treatment duration, potential increase in SMA screening and for patients enrolled in any ongoing clinical trials for investigating treatments for pre-symptomatic patients genetically diagnosed with SMA (para. 11.8).</w:t>
            </w:r>
          </w:p>
        </w:tc>
        <w:tc>
          <w:tcPr>
            <w:tcW w:w="1780" w:type="pct"/>
          </w:tcPr>
          <w:p w:rsidR="008A5DC4" w:rsidRPr="00361189" w:rsidRDefault="001136A8" w:rsidP="00B17F2F">
            <w:pPr>
              <w:pStyle w:val="TableText0"/>
              <w:keepLines/>
              <w:rPr>
                <w:color w:val="000000" w:themeColor="text1"/>
              </w:rPr>
            </w:pPr>
            <w:r w:rsidRPr="00361189">
              <w:rPr>
                <w:color w:val="000000" w:themeColor="text1"/>
              </w:rPr>
              <w:t xml:space="preserve">Updated financial estimates </w:t>
            </w:r>
            <w:r w:rsidR="00E22245" w:rsidRPr="00361189">
              <w:rPr>
                <w:color w:val="000000" w:themeColor="text1"/>
              </w:rPr>
              <w:t xml:space="preserve">include </w:t>
            </w:r>
            <w:r w:rsidRPr="00361189">
              <w:rPr>
                <w:color w:val="000000" w:themeColor="text1"/>
              </w:rPr>
              <w:t xml:space="preserve">revised treatment duration used in updated economic model, </w:t>
            </w:r>
            <w:r w:rsidR="003009A8" w:rsidRPr="00361189">
              <w:rPr>
                <w:color w:val="000000" w:themeColor="text1"/>
              </w:rPr>
              <w:t xml:space="preserve">but </w:t>
            </w:r>
            <w:r w:rsidR="00E22245" w:rsidRPr="00361189">
              <w:rPr>
                <w:color w:val="000000" w:themeColor="text1"/>
              </w:rPr>
              <w:t>SMA screening costs and grandfathered patients were not included in the financial estimates</w:t>
            </w:r>
            <w:r w:rsidRPr="00361189">
              <w:rPr>
                <w:color w:val="000000" w:themeColor="text1"/>
              </w:rPr>
              <w:t xml:space="preserve"> (</w:t>
            </w:r>
            <w:r w:rsidR="006A4564" w:rsidRPr="00361189">
              <w:rPr>
                <w:color w:val="000000" w:themeColor="text1"/>
              </w:rPr>
              <w:t xml:space="preserve">para </w:t>
            </w:r>
            <w:r w:rsidR="00B17F2F" w:rsidRPr="00361189">
              <w:rPr>
                <w:color w:val="000000" w:themeColor="text1"/>
              </w:rPr>
              <w:t>6.51</w:t>
            </w:r>
            <w:r w:rsidR="006A4564" w:rsidRPr="00361189">
              <w:rPr>
                <w:color w:val="000000" w:themeColor="text1"/>
              </w:rPr>
              <w:t xml:space="preserve"> to</w:t>
            </w:r>
            <w:r w:rsidR="00B17F2F" w:rsidRPr="00361189">
              <w:rPr>
                <w:color w:val="000000" w:themeColor="text1"/>
              </w:rPr>
              <w:t xml:space="preserve"> 6.61</w:t>
            </w:r>
            <w:r w:rsidR="006A4564" w:rsidRPr="00361189">
              <w:rPr>
                <w:color w:val="000000" w:themeColor="text1"/>
              </w:rPr>
              <w:t>.</w:t>
            </w:r>
            <w:r w:rsidRPr="00361189">
              <w:rPr>
                <w:color w:val="000000" w:themeColor="text1"/>
              </w:rPr>
              <w:t>)</w:t>
            </w:r>
          </w:p>
        </w:tc>
      </w:tr>
      <w:tr w:rsidR="007B0EC4" w:rsidRPr="00361189" w:rsidTr="00B22661">
        <w:trPr>
          <w:cantSplit/>
        </w:trPr>
        <w:tc>
          <w:tcPr>
            <w:tcW w:w="705" w:type="pct"/>
          </w:tcPr>
          <w:p w:rsidR="007B0EC4" w:rsidRPr="00361189" w:rsidRDefault="007B0EC4" w:rsidP="00E22245">
            <w:pPr>
              <w:pStyle w:val="TableText0"/>
              <w:keepLines/>
              <w:rPr>
                <w:color w:val="000000" w:themeColor="text1"/>
              </w:rPr>
            </w:pPr>
            <w:r w:rsidRPr="00361189">
              <w:rPr>
                <w:color w:val="000000" w:themeColor="text1"/>
              </w:rPr>
              <w:t xml:space="preserve">Availability of </w:t>
            </w:r>
            <w:r w:rsidR="00C95FDE" w:rsidRPr="00361189">
              <w:rPr>
                <w:i/>
                <w:color w:val="000000" w:themeColor="text1"/>
              </w:rPr>
              <w:t>SMN1</w:t>
            </w:r>
            <w:r w:rsidRPr="00361189">
              <w:rPr>
                <w:color w:val="000000" w:themeColor="text1"/>
              </w:rPr>
              <w:t xml:space="preserve"> testing</w:t>
            </w:r>
          </w:p>
        </w:tc>
        <w:tc>
          <w:tcPr>
            <w:tcW w:w="2515" w:type="pct"/>
          </w:tcPr>
          <w:p w:rsidR="007B0EC4" w:rsidRPr="00361189" w:rsidRDefault="007B0EC4" w:rsidP="00E22245">
            <w:pPr>
              <w:pStyle w:val="TableText0"/>
              <w:keepLines/>
              <w:rPr>
                <w:rFonts w:eastAsia="Times New Roman" w:cs="Arial"/>
                <w:bCs w:val="0"/>
                <w:snapToGrid w:val="0"/>
                <w:color w:val="000000" w:themeColor="text1"/>
                <w:szCs w:val="20"/>
              </w:rPr>
            </w:pPr>
            <w:r w:rsidRPr="00361189">
              <w:rPr>
                <w:rFonts w:eastAsia="Times New Roman" w:cs="Arial"/>
                <w:bCs w:val="0"/>
                <w:snapToGrid w:val="0"/>
                <w:color w:val="000000" w:themeColor="text1"/>
                <w:szCs w:val="20"/>
              </w:rPr>
              <w:t>The PBAC considered that equity of access to newborn screening for SMA remains an issue as newborn screening costs in states and territories apart from NSW and ACT are currently borne by public hospitals and private payers (Para 11.9)</w:t>
            </w:r>
          </w:p>
        </w:tc>
        <w:tc>
          <w:tcPr>
            <w:tcW w:w="1780" w:type="pct"/>
          </w:tcPr>
          <w:p w:rsidR="007B0EC4" w:rsidRPr="00361189" w:rsidRDefault="007B0EC4" w:rsidP="0022259C">
            <w:pPr>
              <w:pStyle w:val="TableText0"/>
              <w:keepLines/>
              <w:rPr>
                <w:color w:val="000000" w:themeColor="text1"/>
              </w:rPr>
            </w:pPr>
            <w:r w:rsidRPr="00361189">
              <w:rPr>
                <w:color w:val="000000" w:themeColor="text1"/>
              </w:rPr>
              <w:t xml:space="preserve">Not addressed. </w:t>
            </w:r>
          </w:p>
        </w:tc>
      </w:tr>
    </w:tbl>
    <w:p w:rsidR="005C25FF" w:rsidRPr="00361189" w:rsidRDefault="005C25FF" w:rsidP="00E22245">
      <w:pPr>
        <w:pStyle w:val="TableFigureFooter"/>
        <w:keepNext/>
        <w:keepLines/>
      </w:pPr>
      <w:r w:rsidRPr="00361189">
        <w:t xml:space="preserve">Source: </w:t>
      </w:r>
      <w:r w:rsidR="001136A8" w:rsidRPr="00361189">
        <w:t xml:space="preserve">Table 0-1, p16 of the resubmission  </w:t>
      </w:r>
    </w:p>
    <w:p w:rsidR="00E22245" w:rsidRPr="00361189" w:rsidRDefault="00E22245" w:rsidP="00E22245">
      <w:pPr>
        <w:pStyle w:val="TableFigureFooter"/>
        <w:keepNext/>
        <w:keepLines/>
      </w:pPr>
      <w:r w:rsidRPr="00361189">
        <w:t>ES = executive summary</w:t>
      </w:r>
    </w:p>
    <w:p w:rsidR="007649F4" w:rsidRPr="00361189" w:rsidRDefault="00B50DB8" w:rsidP="00EA1F73">
      <w:pPr>
        <w:pStyle w:val="2-SectionHeading"/>
      </w:pPr>
      <w:bookmarkStart w:id="12" w:name="_Toc40874413"/>
      <w:r w:rsidRPr="00361189">
        <w:t>Requested listing</w:t>
      </w:r>
      <w:bookmarkEnd w:id="12"/>
    </w:p>
    <w:p w:rsidR="00DA039D" w:rsidRPr="00361189" w:rsidRDefault="00DA039D" w:rsidP="00DA039D">
      <w:pPr>
        <w:pStyle w:val="3-BodyText"/>
        <w:rPr>
          <w:color w:val="000000" w:themeColor="text1"/>
        </w:rPr>
      </w:pPr>
      <w:r w:rsidRPr="00361189">
        <w:t xml:space="preserve">The requested listing is provided in </w:t>
      </w:r>
      <w:r w:rsidRPr="00361189">
        <w:rPr>
          <w:rFonts w:cstheme="minorHAnsi"/>
        </w:rPr>
        <w:t>Table 3</w:t>
      </w:r>
      <w:r w:rsidRPr="00361189">
        <w:rPr>
          <w:rFonts w:cstheme="minorHAnsi"/>
          <w:color w:val="000000" w:themeColor="text1"/>
        </w:rPr>
        <w:t>.</w:t>
      </w:r>
      <w:r w:rsidR="00D70D46">
        <w:rPr>
          <w:rFonts w:cstheme="minorHAnsi"/>
          <w:color w:val="000000" w:themeColor="text1"/>
        </w:rPr>
        <w:t xml:space="preserve"> The resubmission proposed amending the existing listing to include pre-symptomatic initiation of treatment.</w:t>
      </w:r>
      <w:r w:rsidRPr="00361189">
        <w:rPr>
          <w:color w:val="000000" w:themeColor="text1"/>
        </w:rPr>
        <w:t xml:space="preserve"> </w:t>
      </w:r>
      <w:r w:rsidRPr="00361189">
        <w:t>Underlined text reflects the changes from the previous submission</w:t>
      </w:r>
      <w:r w:rsidR="004E2B46" w:rsidRPr="00361189">
        <w:t xml:space="preserve">. </w:t>
      </w:r>
      <w:r w:rsidRPr="00361189">
        <w:t xml:space="preserve">The only difference between the </w:t>
      </w:r>
      <w:r w:rsidRPr="00361189">
        <w:lastRenderedPageBreak/>
        <w:t>restrictions</w:t>
      </w:r>
      <w:r w:rsidR="00776699" w:rsidRPr="00361189">
        <w:t xml:space="preserve"> proposed</w:t>
      </w:r>
      <w:r w:rsidRPr="00361189">
        <w:t xml:space="preserve"> in the resubmission and the previous submission was the change in </w:t>
      </w:r>
      <w:r w:rsidR="00C95FDE" w:rsidRPr="00361189">
        <w:rPr>
          <w:i/>
        </w:rPr>
        <w:t>SMN2</w:t>
      </w:r>
      <w:r w:rsidRPr="00361189">
        <w:t xml:space="preserve"> copy number threshold (from </w:t>
      </w:r>
      <w:r w:rsidRPr="00361189">
        <w:rPr>
          <w:rFonts w:cs="Calibri"/>
        </w:rPr>
        <w:t>≥</w:t>
      </w:r>
      <w:r w:rsidRPr="00361189">
        <w:t xml:space="preserve">3 to </w:t>
      </w:r>
      <w:r w:rsidRPr="00361189">
        <w:rPr>
          <w:rFonts w:cs="Calibri"/>
        </w:rPr>
        <w:t>≥</w:t>
      </w:r>
      <w:r w:rsidRPr="00361189">
        <w:t>2).</w:t>
      </w:r>
    </w:p>
    <w:p w:rsidR="00DA039D" w:rsidRPr="00361189" w:rsidRDefault="00DA039D" w:rsidP="007B0EC4">
      <w:pPr>
        <w:rPr>
          <w:rFonts w:ascii="Arial Narrow" w:hAnsi="Arial Narrow"/>
          <w:b/>
          <w:sz w:val="20"/>
          <w:szCs w:val="20"/>
        </w:rPr>
      </w:pPr>
    </w:p>
    <w:p w:rsidR="007B0EC4" w:rsidRPr="00361189" w:rsidRDefault="0022259C" w:rsidP="005B106B">
      <w:pPr>
        <w:keepNext/>
        <w:rPr>
          <w:rFonts w:ascii="Arial Narrow" w:hAnsi="Arial Narrow"/>
          <w:b/>
          <w:sz w:val="20"/>
          <w:szCs w:val="20"/>
        </w:rPr>
      </w:pPr>
      <w:bookmarkStart w:id="13" w:name="_Ref39362501"/>
      <w:r w:rsidRPr="00361189">
        <w:rPr>
          <w:rFonts w:ascii="Arial Narrow" w:hAnsi="Arial Narrow"/>
          <w:b/>
          <w:sz w:val="20"/>
          <w:szCs w:val="20"/>
        </w:rPr>
        <w:t xml:space="preserve">Table </w:t>
      </w:r>
      <w:r w:rsidR="0089312A" w:rsidRPr="00361189">
        <w:rPr>
          <w:rFonts w:ascii="Arial Narrow" w:hAnsi="Arial Narrow"/>
          <w:b/>
          <w:sz w:val="20"/>
          <w:szCs w:val="20"/>
        </w:rPr>
        <w:t>3</w:t>
      </w:r>
      <w:bookmarkEnd w:id="13"/>
      <w:r w:rsidR="007B0EC4" w:rsidRPr="00361189">
        <w:rPr>
          <w:rFonts w:ascii="Arial Narrow" w:hAnsi="Arial Narrow"/>
          <w:b/>
          <w:sz w:val="20"/>
          <w:szCs w:val="20"/>
        </w:rPr>
        <w:t xml:space="preserve">: Requested restriction for nusinersen </w:t>
      </w: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33"/>
        <w:gridCol w:w="1810"/>
        <w:gridCol w:w="992"/>
        <w:gridCol w:w="1226"/>
        <w:gridCol w:w="800"/>
        <w:gridCol w:w="2510"/>
        <w:gridCol w:w="1843"/>
      </w:tblGrid>
      <w:tr w:rsidR="007B0EC4" w:rsidRPr="00361189" w:rsidTr="00057097">
        <w:tc>
          <w:tcPr>
            <w:tcW w:w="2835" w:type="dxa"/>
            <w:gridSpan w:val="3"/>
          </w:tcPr>
          <w:p w:rsidR="007B0EC4" w:rsidRPr="00361189" w:rsidRDefault="007B0EC4" w:rsidP="005B106B">
            <w:pPr>
              <w:pStyle w:val="Tabletext"/>
              <w:keepNext/>
              <w:rPr>
                <w:b/>
                <w:bCs/>
              </w:rPr>
            </w:pPr>
            <w:r w:rsidRPr="00361189">
              <w:rPr>
                <w:b/>
              </w:rPr>
              <w:t>Name, restriction, manner of administration, form</w:t>
            </w:r>
          </w:p>
        </w:tc>
        <w:tc>
          <w:tcPr>
            <w:tcW w:w="1226" w:type="dxa"/>
          </w:tcPr>
          <w:p w:rsidR="007B0EC4" w:rsidRPr="00361189" w:rsidRDefault="007B0EC4" w:rsidP="005B106B">
            <w:pPr>
              <w:pStyle w:val="Tabletext"/>
              <w:keepNext/>
              <w:jc w:val="center"/>
              <w:rPr>
                <w:b/>
                <w:bCs/>
              </w:rPr>
            </w:pPr>
            <w:r w:rsidRPr="00361189">
              <w:rPr>
                <w:b/>
              </w:rPr>
              <w:t>Maximum quantity (packs)</w:t>
            </w:r>
          </w:p>
        </w:tc>
        <w:tc>
          <w:tcPr>
            <w:tcW w:w="800" w:type="dxa"/>
          </w:tcPr>
          <w:p w:rsidR="007B0EC4" w:rsidRPr="00361189" w:rsidRDefault="007B0EC4" w:rsidP="005B106B">
            <w:pPr>
              <w:pStyle w:val="Tabletext"/>
              <w:keepNext/>
              <w:jc w:val="center"/>
              <w:rPr>
                <w:b/>
                <w:bCs/>
              </w:rPr>
            </w:pPr>
            <w:r w:rsidRPr="00361189">
              <w:rPr>
                <w:b/>
              </w:rPr>
              <w:t>No. of repeats</w:t>
            </w:r>
          </w:p>
        </w:tc>
        <w:tc>
          <w:tcPr>
            <w:tcW w:w="2510" w:type="dxa"/>
          </w:tcPr>
          <w:p w:rsidR="007B0EC4" w:rsidRPr="00361189" w:rsidRDefault="007B0EC4" w:rsidP="005B106B">
            <w:pPr>
              <w:pStyle w:val="Tabletext"/>
              <w:keepNext/>
              <w:jc w:val="center"/>
              <w:rPr>
                <w:b/>
                <w:bCs/>
              </w:rPr>
            </w:pPr>
            <w:r w:rsidRPr="00361189">
              <w:rPr>
                <w:b/>
              </w:rPr>
              <w:t>Dispensed price for maximum quantity</w:t>
            </w:r>
          </w:p>
        </w:tc>
        <w:tc>
          <w:tcPr>
            <w:tcW w:w="1843" w:type="dxa"/>
          </w:tcPr>
          <w:p w:rsidR="007B0EC4" w:rsidRPr="00361189" w:rsidRDefault="007B0EC4" w:rsidP="005B106B">
            <w:pPr>
              <w:pStyle w:val="Tabletext"/>
              <w:keepNext/>
              <w:jc w:val="center"/>
              <w:rPr>
                <w:b/>
                <w:bCs/>
              </w:rPr>
            </w:pPr>
            <w:r w:rsidRPr="00361189">
              <w:rPr>
                <w:b/>
              </w:rPr>
              <w:t>Proprietary name and manufacturer</w:t>
            </w:r>
          </w:p>
        </w:tc>
      </w:tr>
      <w:tr w:rsidR="007B0EC4" w:rsidRPr="00361189" w:rsidTr="00057097">
        <w:tc>
          <w:tcPr>
            <w:tcW w:w="2835" w:type="dxa"/>
            <w:gridSpan w:val="3"/>
          </w:tcPr>
          <w:p w:rsidR="007B0EC4" w:rsidRPr="00361189" w:rsidRDefault="007B0EC4" w:rsidP="005B106B">
            <w:pPr>
              <w:keepNext/>
              <w:spacing w:before="40" w:after="40"/>
              <w:rPr>
                <w:rFonts w:ascii="Arial Narrow" w:hAnsi="Arial Narrow"/>
                <w:sz w:val="20"/>
                <w:szCs w:val="20"/>
              </w:rPr>
            </w:pPr>
            <w:r w:rsidRPr="00361189">
              <w:rPr>
                <w:rFonts w:ascii="Arial Narrow" w:hAnsi="Arial Narrow"/>
                <w:smallCaps/>
                <w:sz w:val="20"/>
                <w:szCs w:val="20"/>
              </w:rPr>
              <w:t xml:space="preserve">NUSINERSEN </w:t>
            </w:r>
            <w:r w:rsidRPr="00361189">
              <w:rPr>
                <w:rFonts w:ascii="Arial Narrow" w:hAnsi="Arial Narrow"/>
                <w:sz w:val="20"/>
                <w:szCs w:val="20"/>
              </w:rPr>
              <w:t xml:space="preserve">Initial treatment </w:t>
            </w:r>
          </w:p>
          <w:p w:rsidR="007B0EC4" w:rsidRPr="00361189" w:rsidRDefault="007B0EC4" w:rsidP="005B106B">
            <w:pPr>
              <w:keepNext/>
              <w:spacing w:before="40" w:after="40"/>
              <w:rPr>
                <w:rFonts w:ascii="Arial Narrow" w:hAnsi="Arial Narrow"/>
                <w:sz w:val="20"/>
                <w:szCs w:val="20"/>
              </w:rPr>
            </w:pPr>
            <w:r w:rsidRPr="00361189">
              <w:rPr>
                <w:rFonts w:ascii="Arial Narrow" w:hAnsi="Arial Narrow"/>
                <w:i/>
                <w:sz w:val="20"/>
                <w:szCs w:val="20"/>
              </w:rPr>
              <w:t>12mg*/5mL</w:t>
            </w:r>
            <w:r w:rsidRPr="00361189">
              <w:rPr>
                <w:rFonts w:ascii="Arial Narrow" w:hAnsi="Arial Narrow"/>
                <w:sz w:val="20"/>
                <w:szCs w:val="20"/>
              </w:rPr>
              <w:t xml:space="preserve"> injection, 1 x 5 mL vial </w:t>
            </w:r>
          </w:p>
          <w:p w:rsidR="007B0EC4" w:rsidRPr="00361189" w:rsidRDefault="007B0EC4" w:rsidP="005B106B">
            <w:pPr>
              <w:keepNext/>
              <w:spacing w:before="40" w:after="40"/>
              <w:rPr>
                <w:rFonts w:ascii="Arial Narrow" w:hAnsi="Arial Narrow"/>
                <w:sz w:val="20"/>
                <w:szCs w:val="20"/>
              </w:rPr>
            </w:pPr>
            <w:r w:rsidRPr="00361189">
              <w:rPr>
                <w:rFonts w:ascii="Arial Narrow" w:hAnsi="Arial Narrow"/>
                <w:sz w:val="20"/>
                <w:szCs w:val="20"/>
              </w:rPr>
              <w:t xml:space="preserve">Continuing treatment </w:t>
            </w:r>
          </w:p>
          <w:p w:rsidR="007B0EC4" w:rsidRPr="00361189" w:rsidRDefault="007B0EC4" w:rsidP="005B106B">
            <w:pPr>
              <w:pStyle w:val="Tabletext"/>
              <w:keepNext/>
              <w:rPr>
                <w:b/>
                <w:bCs/>
              </w:rPr>
            </w:pPr>
            <w:r w:rsidRPr="00361189">
              <w:rPr>
                <w:rFonts w:cs="Arial"/>
                <w:i/>
                <w:szCs w:val="20"/>
              </w:rPr>
              <w:t>12mg*/5mL</w:t>
            </w:r>
            <w:r w:rsidRPr="00361189">
              <w:rPr>
                <w:rFonts w:cs="Arial"/>
                <w:szCs w:val="20"/>
              </w:rPr>
              <w:t xml:space="preserve"> injection, 1 x 5 mL vial </w:t>
            </w:r>
          </w:p>
        </w:tc>
        <w:tc>
          <w:tcPr>
            <w:tcW w:w="1226" w:type="dxa"/>
          </w:tcPr>
          <w:p w:rsidR="007B0EC4" w:rsidRPr="00361189" w:rsidRDefault="007B0EC4" w:rsidP="005B106B">
            <w:pPr>
              <w:keepNext/>
              <w:spacing w:before="40" w:after="40"/>
              <w:jc w:val="center"/>
              <w:rPr>
                <w:rFonts w:ascii="Arial Narrow" w:hAnsi="Arial Narrow"/>
                <w:sz w:val="20"/>
                <w:szCs w:val="20"/>
              </w:rPr>
            </w:pPr>
          </w:p>
          <w:p w:rsidR="007B0EC4" w:rsidRPr="00361189" w:rsidRDefault="007B0EC4" w:rsidP="005B106B">
            <w:pPr>
              <w:keepNext/>
              <w:spacing w:before="40" w:after="40"/>
              <w:jc w:val="center"/>
              <w:rPr>
                <w:rFonts w:ascii="Arial Narrow" w:hAnsi="Arial Narrow"/>
                <w:sz w:val="20"/>
                <w:szCs w:val="20"/>
              </w:rPr>
            </w:pPr>
            <w:r w:rsidRPr="00361189">
              <w:rPr>
                <w:rFonts w:ascii="Arial Narrow" w:hAnsi="Arial Narrow"/>
                <w:sz w:val="20"/>
                <w:szCs w:val="20"/>
              </w:rPr>
              <w:t>1</w:t>
            </w:r>
          </w:p>
          <w:p w:rsidR="007B0EC4" w:rsidRPr="00361189" w:rsidRDefault="007B0EC4" w:rsidP="005B106B">
            <w:pPr>
              <w:keepNext/>
              <w:spacing w:before="40" w:after="40"/>
              <w:jc w:val="center"/>
              <w:rPr>
                <w:rFonts w:ascii="Arial Narrow" w:hAnsi="Arial Narrow"/>
                <w:sz w:val="20"/>
                <w:szCs w:val="20"/>
              </w:rPr>
            </w:pPr>
          </w:p>
          <w:p w:rsidR="007B0EC4" w:rsidRPr="00361189" w:rsidRDefault="007B0EC4" w:rsidP="005B106B">
            <w:pPr>
              <w:pStyle w:val="Tabletext"/>
              <w:keepNext/>
              <w:spacing w:before="40" w:after="40"/>
              <w:jc w:val="center"/>
              <w:rPr>
                <w:rFonts w:ascii="Times" w:hAnsi="Times"/>
                <w:i/>
              </w:rPr>
            </w:pPr>
            <w:r w:rsidRPr="00361189">
              <w:rPr>
                <w:rFonts w:cs="Arial"/>
                <w:szCs w:val="20"/>
              </w:rPr>
              <w:t>1</w:t>
            </w:r>
          </w:p>
        </w:tc>
        <w:tc>
          <w:tcPr>
            <w:tcW w:w="800" w:type="dxa"/>
          </w:tcPr>
          <w:p w:rsidR="007B0EC4" w:rsidRPr="00361189" w:rsidRDefault="007B0EC4" w:rsidP="005B106B">
            <w:pPr>
              <w:keepNext/>
              <w:spacing w:before="40" w:after="40"/>
              <w:jc w:val="center"/>
              <w:rPr>
                <w:rFonts w:ascii="Arial Narrow" w:hAnsi="Arial Narrow"/>
                <w:b/>
                <w:sz w:val="20"/>
                <w:szCs w:val="20"/>
              </w:rPr>
            </w:pPr>
          </w:p>
          <w:p w:rsidR="007B0EC4" w:rsidRPr="00361189" w:rsidRDefault="007B0EC4" w:rsidP="005B106B">
            <w:pPr>
              <w:keepNext/>
              <w:spacing w:before="40" w:after="40"/>
              <w:jc w:val="center"/>
              <w:rPr>
                <w:rFonts w:ascii="Arial Narrow" w:hAnsi="Arial Narrow"/>
                <w:sz w:val="20"/>
                <w:szCs w:val="20"/>
              </w:rPr>
            </w:pPr>
            <w:r w:rsidRPr="00361189">
              <w:rPr>
                <w:rFonts w:ascii="Arial Narrow" w:hAnsi="Arial Narrow"/>
                <w:sz w:val="20"/>
                <w:szCs w:val="20"/>
              </w:rPr>
              <w:t>3</w:t>
            </w:r>
          </w:p>
          <w:p w:rsidR="007B0EC4" w:rsidRPr="00361189" w:rsidRDefault="007B0EC4" w:rsidP="005B106B">
            <w:pPr>
              <w:keepNext/>
              <w:spacing w:before="40" w:after="40"/>
              <w:jc w:val="center"/>
              <w:rPr>
                <w:rFonts w:ascii="Arial Narrow" w:hAnsi="Arial Narrow"/>
                <w:i/>
                <w:sz w:val="20"/>
                <w:szCs w:val="20"/>
              </w:rPr>
            </w:pPr>
          </w:p>
          <w:p w:rsidR="007B0EC4" w:rsidRPr="00361189" w:rsidRDefault="007B0EC4" w:rsidP="005B106B">
            <w:pPr>
              <w:keepNext/>
              <w:spacing w:before="40" w:after="40"/>
              <w:jc w:val="center"/>
              <w:rPr>
                <w:rFonts w:ascii="Times" w:hAnsi="Times"/>
                <w:b/>
                <w:i/>
              </w:rPr>
            </w:pPr>
            <w:r w:rsidRPr="00361189">
              <w:rPr>
                <w:rFonts w:ascii="Arial Narrow" w:hAnsi="Arial Narrow"/>
                <w:i/>
                <w:sz w:val="20"/>
                <w:szCs w:val="20"/>
              </w:rPr>
              <w:t>2</w:t>
            </w:r>
          </w:p>
        </w:tc>
        <w:tc>
          <w:tcPr>
            <w:tcW w:w="2510" w:type="dxa"/>
          </w:tcPr>
          <w:p w:rsidR="007B0EC4" w:rsidRPr="00361189" w:rsidRDefault="007B0EC4" w:rsidP="005B106B">
            <w:pPr>
              <w:keepNext/>
              <w:spacing w:before="40" w:after="40"/>
              <w:jc w:val="center"/>
              <w:rPr>
                <w:rFonts w:ascii="Arial Narrow" w:hAnsi="Arial Narrow"/>
                <w:sz w:val="20"/>
                <w:szCs w:val="20"/>
                <w:vertAlign w:val="superscript"/>
              </w:rPr>
            </w:pPr>
            <w:r w:rsidRPr="00361189">
              <w:rPr>
                <w:rFonts w:ascii="Arial Narrow" w:hAnsi="Arial Narrow"/>
                <w:sz w:val="20"/>
                <w:szCs w:val="20"/>
              </w:rPr>
              <w:t>$110,000 (public)**</w:t>
            </w:r>
          </w:p>
          <w:p w:rsidR="007B0EC4" w:rsidRPr="00361189" w:rsidRDefault="007B0EC4" w:rsidP="005B106B">
            <w:pPr>
              <w:keepNext/>
              <w:spacing w:before="40" w:after="40"/>
              <w:jc w:val="center"/>
              <w:rPr>
                <w:rFonts w:ascii="Arial Narrow" w:hAnsi="Arial Narrow"/>
                <w:sz w:val="20"/>
                <w:szCs w:val="20"/>
              </w:rPr>
            </w:pPr>
            <w:r w:rsidRPr="00361189">
              <w:rPr>
                <w:rFonts w:ascii="Arial Narrow" w:hAnsi="Arial Narrow"/>
                <w:sz w:val="20"/>
                <w:szCs w:val="20"/>
              </w:rPr>
              <w:t>$110,007.15 (private)</w:t>
            </w:r>
          </w:p>
          <w:p w:rsidR="007B0EC4" w:rsidRPr="00361189" w:rsidRDefault="007B0EC4" w:rsidP="005B106B">
            <w:pPr>
              <w:keepNext/>
              <w:spacing w:before="40" w:after="40"/>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r w:rsidRPr="00361189">
              <w:rPr>
                <w:rFonts w:ascii="Arial Narrow" w:hAnsi="Arial Narrow"/>
                <w:sz w:val="20"/>
                <w:szCs w:val="20"/>
              </w:rPr>
              <w:t xml:space="preserve"> (effective price)</w:t>
            </w:r>
          </w:p>
          <w:p w:rsidR="007B0EC4" w:rsidRPr="00361189" w:rsidRDefault="007B0EC4" w:rsidP="005B106B">
            <w:pPr>
              <w:keepNext/>
              <w:spacing w:before="40" w:after="40"/>
              <w:jc w:val="center"/>
              <w:rPr>
                <w:rFonts w:ascii="Arial Narrow" w:hAnsi="Arial Narrow"/>
                <w:sz w:val="20"/>
                <w:szCs w:val="20"/>
                <w:vertAlign w:val="superscript"/>
              </w:rPr>
            </w:pPr>
            <w:r w:rsidRPr="00361189">
              <w:rPr>
                <w:rFonts w:ascii="Arial Narrow" w:hAnsi="Arial Narrow"/>
                <w:sz w:val="20"/>
                <w:szCs w:val="20"/>
              </w:rPr>
              <w:t>$110,000 (public)**</w:t>
            </w:r>
          </w:p>
          <w:p w:rsidR="007B0EC4" w:rsidRPr="00361189" w:rsidRDefault="007B0EC4" w:rsidP="005B106B">
            <w:pPr>
              <w:keepNext/>
              <w:spacing w:before="40" w:after="40"/>
              <w:jc w:val="center"/>
              <w:rPr>
                <w:rFonts w:ascii="Arial Narrow" w:hAnsi="Arial Narrow"/>
                <w:sz w:val="20"/>
                <w:szCs w:val="20"/>
              </w:rPr>
            </w:pPr>
            <w:r w:rsidRPr="00361189">
              <w:rPr>
                <w:rFonts w:ascii="Arial Narrow" w:hAnsi="Arial Narrow"/>
                <w:sz w:val="20"/>
                <w:szCs w:val="20"/>
              </w:rPr>
              <w:t>$110,007.15 (private)</w:t>
            </w:r>
          </w:p>
          <w:p w:rsidR="007B0EC4" w:rsidRPr="00361189" w:rsidRDefault="007B0EC4" w:rsidP="005B106B">
            <w:pPr>
              <w:pStyle w:val="Tabletext"/>
              <w:keepNext/>
              <w:jc w:val="center"/>
              <w:rPr>
                <w:rFonts w:ascii="Times" w:hAnsi="Times"/>
                <w:i/>
              </w:rPr>
            </w:pPr>
            <w:r w:rsidRPr="00361189">
              <w:rPr>
                <w:szCs w:val="20"/>
              </w:rPr>
              <w:t>$</w:t>
            </w:r>
            <w:r w:rsidR="00E659B7">
              <w:rPr>
                <w:noProof/>
                <w:color w:val="000000"/>
                <w:szCs w:val="20"/>
                <w:highlight w:val="black"/>
              </w:rPr>
              <w:t xml:space="preserve">''''''''''''''' </w:t>
            </w:r>
            <w:r w:rsidRPr="00361189">
              <w:rPr>
                <w:szCs w:val="20"/>
              </w:rPr>
              <w:t>(effective price)</w:t>
            </w:r>
          </w:p>
        </w:tc>
        <w:tc>
          <w:tcPr>
            <w:tcW w:w="1843" w:type="dxa"/>
          </w:tcPr>
          <w:p w:rsidR="007B0EC4" w:rsidRPr="00361189" w:rsidRDefault="007B0EC4" w:rsidP="005B106B">
            <w:pPr>
              <w:keepNext/>
              <w:spacing w:before="40" w:after="40"/>
              <w:jc w:val="center"/>
              <w:rPr>
                <w:rFonts w:ascii="Arial Narrow" w:hAnsi="Arial Narrow"/>
                <w:sz w:val="20"/>
                <w:szCs w:val="20"/>
              </w:rPr>
            </w:pPr>
          </w:p>
          <w:p w:rsidR="007B0EC4" w:rsidRPr="00361189" w:rsidRDefault="007B0EC4" w:rsidP="005B106B">
            <w:pPr>
              <w:pStyle w:val="Tabletext"/>
              <w:keepNext/>
              <w:jc w:val="center"/>
              <w:rPr>
                <w:rFonts w:ascii="Times" w:hAnsi="Times"/>
                <w:i/>
              </w:rPr>
            </w:pPr>
            <w:r w:rsidRPr="00361189">
              <w:rPr>
                <w:rFonts w:cs="Arial"/>
                <w:szCs w:val="20"/>
              </w:rPr>
              <w:t>Spinraza, Biogen Australia Pty Ltd</w:t>
            </w:r>
          </w:p>
        </w:tc>
      </w:tr>
      <w:tr w:rsidR="007B0EC4" w:rsidRPr="00361189" w:rsidTr="00057097">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9181" w:type="dxa"/>
            <w:gridSpan w:val="6"/>
          </w:tcPr>
          <w:p w:rsidR="007B0EC4" w:rsidRPr="00361189" w:rsidRDefault="007B0EC4" w:rsidP="00057097">
            <w:pPr>
              <w:pStyle w:val="Tabletext"/>
              <w:rPr>
                <w:b/>
              </w:rPr>
            </w:pPr>
            <w:r w:rsidRPr="00361189">
              <w:rPr>
                <w:b/>
              </w:rPr>
              <w:t>Initiation</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Category/Program:</w:t>
            </w:r>
          </w:p>
        </w:tc>
        <w:tc>
          <w:tcPr>
            <w:tcW w:w="7371" w:type="dxa"/>
            <w:gridSpan w:val="5"/>
          </w:tcPr>
          <w:p w:rsidR="007B0EC4" w:rsidRPr="00361189" w:rsidRDefault="007B0EC4" w:rsidP="00057097">
            <w:pPr>
              <w:pStyle w:val="Tabletext"/>
            </w:pPr>
            <w:r w:rsidRPr="00361189">
              <w:t>Section 100 – Highly Specialised Drugs Program</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PBS indication:</w:t>
            </w:r>
          </w:p>
        </w:tc>
        <w:tc>
          <w:tcPr>
            <w:tcW w:w="7371" w:type="dxa"/>
            <w:gridSpan w:val="5"/>
          </w:tcPr>
          <w:p w:rsidR="007B0EC4" w:rsidRPr="00361189" w:rsidRDefault="007B0EC4" w:rsidP="00057097">
            <w:pPr>
              <w:pStyle w:val="Tabletext"/>
            </w:pPr>
            <w:r w:rsidRPr="00361189">
              <w:rPr>
                <w:szCs w:val="20"/>
              </w:rPr>
              <w:t xml:space="preserve">Treatment of </w:t>
            </w:r>
            <w:r w:rsidRPr="00361189">
              <w:rPr>
                <w:szCs w:val="20"/>
                <w:u w:val="single"/>
              </w:rPr>
              <w:t>pre-symptomatic</w:t>
            </w:r>
            <w:r w:rsidRPr="00361189">
              <w:rPr>
                <w:szCs w:val="20"/>
              </w:rPr>
              <w:t>, infantile-onset and childhood-onset SMA</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Treatment phase:</w:t>
            </w:r>
          </w:p>
        </w:tc>
        <w:tc>
          <w:tcPr>
            <w:tcW w:w="7371" w:type="dxa"/>
            <w:gridSpan w:val="5"/>
          </w:tcPr>
          <w:p w:rsidR="007B0EC4" w:rsidRPr="00361189" w:rsidRDefault="007B0EC4" w:rsidP="00057097">
            <w:pPr>
              <w:pStyle w:val="Tabletext"/>
            </w:pPr>
            <w:r w:rsidRPr="00361189">
              <w:rPr>
                <w:szCs w:val="20"/>
              </w:rPr>
              <w:t>Initial – New patients</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Restriction:</w:t>
            </w:r>
          </w:p>
        </w:tc>
        <w:tc>
          <w:tcPr>
            <w:tcW w:w="7371" w:type="dxa"/>
            <w:gridSpan w:val="5"/>
          </w:tcPr>
          <w:p w:rsidR="007B0EC4" w:rsidRPr="00361189" w:rsidRDefault="007B0EC4" w:rsidP="00057097">
            <w:pPr>
              <w:pStyle w:val="Tabletext"/>
              <w:rPr>
                <w:szCs w:val="20"/>
              </w:rPr>
            </w:pPr>
            <w:r w:rsidRPr="00361189">
              <w:rPr>
                <w:szCs w:val="20"/>
              </w:rPr>
              <w:t>Section 100 – Highly Specialised Drugs Program</w:t>
            </w:r>
          </w:p>
          <w:p w:rsidR="007B0EC4" w:rsidRPr="00361189" w:rsidRDefault="007B0EC4" w:rsidP="00057097">
            <w:pPr>
              <w:pStyle w:val="Tabletext"/>
            </w:pPr>
            <w:r w:rsidRPr="00361189">
              <w:rPr>
                <w:szCs w:val="20"/>
              </w:rPr>
              <w:fldChar w:fldCharType="begin">
                <w:ffData>
                  <w:name w:val=""/>
                  <w:enabled/>
                  <w:calcOnExit w:val="0"/>
                  <w:checkBox>
                    <w:sizeAuto/>
                    <w:default w:val="1"/>
                  </w:checkBox>
                </w:ffData>
              </w:fldChar>
            </w:r>
            <w:r w:rsidRPr="00361189">
              <w:rPr>
                <w:szCs w:val="20"/>
              </w:rPr>
              <w:instrText xml:space="preserve"> FORMCHECKBOX </w:instrText>
            </w:r>
            <w:r w:rsidR="00744727">
              <w:rPr>
                <w:szCs w:val="20"/>
              </w:rPr>
            </w:r>
            <w:r w:rsidR="00744727">
              <w:rPr>
                <w:szCs w:val="20"/>
              </w:rPr>
              <w:fldChar w:fldCharType="separate"/>
            </w:r>
            <w:r w:rsidRPr="00361189">
              <w:rPr>
                <w:szCs w:val="20"/>
              </w:rPr>
              <w:fldChar w:fldCharType="end"/>
            </w:r>
            <w:r w:rsidRPr="00361189">
              <w:rPr>
                <w:szCs w:val="20"/>
              </w:rPr>
              <w:tab/>
              <w:t>Authority Required - In Writing</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Treatment criteria:</w:t>
            </w:r>
          </w:p>
        </w:tc>
        <w:tc>
          <w:tcPr>
            <w:tcW w:w="7371" w:type="dxa"/>
            <w:gridSpan w:val="5"/>
          </w:tcPr>
          <w:p w:rsidR="007B0EC4" w:rsidRPr="00361189" w:rsidRDefault="007B0EC4" w:rsidP="00057097">
            <w:pPr>
              <w:pStyle w:val="Tabletext"/>
            </w:pPr>
            <w:r w:rsidRPr="00361189">
              <w:rPr>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hideMark/>
          </w:tcPr>
          <w:p w:rsidR="007B0EC4" w:rsidRPr="00361189" w:rsidRDefault="007B0EC4" w:rsidP="00057097">
            <w:pPr>
              <w:pStyle w:val="Tabletext"/>
            </w:pPr>
            <w:r w:rsidRPr="00361189">
              <w:t>Clinical criteria:</w:t>
            </w:r>
          </w:p>
        </w:tc>
        <w:tc>
          <w:tcPr>
            <w:tcW w:w="7371" w:type="dxa"/>
            <w:gridSpan w:val="5"/>
          </w:tcPr>
          <w:p w:rsidR="007B7A58" w:rsidRPr="00361189" w:rsidRDefault="007B7A58" w:rsidP="007B7A58">
            <w:pPr>
              <w:pStyle w:val="Tabletext"/>
              <w:rPr>
                <w:rFonts w:cs="Arial"/>
              </w:rPr>
            </w:pPr>
            <w:r w:rsidRPr="00361189">
              <w:rPr>
                <w:rFonts w:cs="Arial"/>
              </w:rPr>
              <w:t xml:space="preserve">The condition must 5q homozygous deletion, mutation of, or compound heterozygous mutation in the </w:t>
            </w:r>
            <w:r w:rsidRPr="00361189">
              <w:rPr>
                <w:rFonts w:cs="Arial"/>
                <w:i/>
              </w:rPr>
              <w:t>SMN1</w:t>
            </w:r>
            <w:r w:rsidRPr="00361189">
              <w:rPr>
                <w:rFonts w:cs="Arial"/>
              </w:rPr>
              <w:t xml:space="preserve"> gene </w:t>
            </w:r>
            <w:r w:rsidRPr="00361189">
              <w:rPr>
                <w:rFonts w:cs="Arial"/>
                <w:strike/>
                <w:u w:val="single"/>
              </w:rPr>
              <w:t>of Type I, II or IIIa;</w:t>
            </w:r>
          </w:p>
          <w:p w:rsidR="007B7A58" w:rsidRPr="00361189" w:rsidRDefault="007B7A58" w:rsidP="007B7A58">
            <w:pPr>
              <w:pStyle w:val="Tabletext"/>
              <w:rPr>
                <w:rFonts w:cs="Arial"/>
              </w:rPr>
            </w:pPr>
            <w:r w:rsidRPr="00361189">
              <w:rPr>
                <w:rFonts w:cs="Arial"/>
              </w:rPr>
              <w:t>AND</w:t>
            </w:r>
          </w:p>
          <w:p w:rsidR="007B7A58" w:rsidRPr="00361189" w:rsidRDefault="007B7A58" w:rsidP="007B7A58">
            <w:pPr>
              <w:pStyle w:val="Tabletext"/>
              <w:rPr>
                <w:rFonts w:cs="Arial"/>
              </w:rPr>
            </w:pPr>
            <w:r w:rsidRPr="00361189">
              <w:rPr>
                <w:rFonts w:cs="Arial"/>
              </w:rPr>
              <w:t xml:space="preserve">Patient must have experienced at least two of the defined signs and symptoms of SMA Type I, II or IIIa prior to 3 years of age OR Patient must be genetically diagnosed with SMA with a confirmed </w:t>
            </w:r>
            <w:r w:rsidRPr="00361189">
              <w:rPr>
                <w:rFonts w:cs="Arial"/>
                <w:i/>
              </w:rPr>
              <w:t>SMN2</w:t>
            </w:r>
            <w:r w:rsidRPr="00361189">
              <w:rPr>
                <w:rFonts w:cs="Arial"/>
              </w:rPr>
              <w:t xml:space="preserve"> copy number of </w:t>
            </w:r>
            <w:r w:rsidRPr="00361189">
              <w:rPr>
                <w:rFonts w:cs="Arial"/>
                <w:u w:val="single"/>
              </w:rPr>
              <w:t xml:space="preserve">1 or 2 </w:t>
            </w:r>
            <w:r w:rsidRPr="00361189">
              <w:rPr>
                <w:rFonts w:cs="Arial"/>
                <w:strike/>
                <w:u w:val="single"/>
              </w:rPr>
              <w:t>or 3</w:t>
            </w:r>
            <w:r w:rsidRPr="00361189">
              <w:rPr>
                <w:rFonts w:cs="Arial"/>
                <w:strike/>
              </w:rPr>
              <w:t xml:space="preserve"> </w:t>
            </w:r>
            <w:r w:rsidRPr="00361189">
              <w:rPr>
                <w:rFonts w:cs="Arial"/>
              </w:rPr>
              <w:t>prior to onset of signs and symptoms;</w:t>
            </w:r>
          </w:p>
          <w:p w:rsidR="007B7A58" w:rsidRPr="00361189" w:rsidRDefault="007B7A58" w:rsidP="007B7A58">
            <w:pPr>
              <w:pStyle w:val="Tabletext"/>
              <w:rPr>
                <w:rFonts w:cs="Arial"/>
              </w:rPr>
            </w:pPr>
            <w:r w:rsidRPr="00361189">
              <w:rPr>
                <w:rFonts w:cs="Arial"/>
              </w:rPr>
              <w:t>AND</w:t>
            </w:r>
          </w:p>
          <w:p w:rsidR="007B7A58" w:rsidRPr="00361189" w:rsidRDefault="007B7A58" w:rsidP="007B7A58">
            <w:pPr>
              <w:pStyle w:val="Tabletext"/>
              <w:rPr>
                <w:rFonts w:cs="Arial"/>
              </w:rPr>
            </w:pPr>
            <w:r w:rsidRPr="00361189">
              <w:rPr>
                <w:rFonts w:cs="Arial"/>
              </w:rPr>
              <w:t>The treatment must be given concomitantly with standard of care for this condition.</w:t>
            </w:r>
          </w:p>
          <w:p w:rsidR="007B7A58" w:rsidRPr="00361189" w:rsidRDefault="007B7A58" w:rsidP="007B7A58">
            <w:pPr>
              <w:pStyle w:val="Tabletext"/>
              <w:rPr>
                <w:rFonts w:cs="Arial"/>
              </w:rPr>
            </w:pPr>
            <w:r w:rsidRPr="00361189">
              <w:rPr>
                <w:rFonts w:cs="Arial"/>
              </w:rPr>
              <w:t>AND</w:t>
            </w:r>
          </w:p>
          <w:p w:rsidR="007B0EC4" w:rsidRPr="00361189" w:rsidRDefault="007B7A58" w:rsidP="007B7A58">
            <w:pPr>
              <w:pStyle w:val="Tabletext"/>
            </w:pPr>
            <w:r w:rsidRPr="00361189">
              <w:rPr>
                <w:rFonts w:cs="Arial"/>
              </w:rPr>
              <w:t>The treatment must not exceed four loading doses (at days 0, 14, 28 and 63) under this restriction.</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tcPr>
          <w:p w:rsidR="007B0EC4" w:rsidRPr="00361189" w:rsidRDefault="007B0EC4" w:rsidP="00057097">
            <w:pPr>
              <w:pStyle w:val="Tabletext"/>
            </w:pPr>
            <w:r w:rsidRPr="00361189">
              <w:t>Population criteria:</w:t>
            </w:r>
          </w:p>
        </w:tc>
        <w:tc>
          <w:tcPr>
            <w:tcW w:w="7371" w:type="dxa"/>
            <w:gridSpan w:val="5"/>
          </w:tcPr>
          <w:p w:rsidR="007B0EC4" w:rsidRPr="00361189" w:rsidRDefault="007B0EC4" w:rsidP="00057097">
            <w:pPr>
              <w:pStyle w:val="Tabletext"/>
              <w:rPr>
                <w:color w:val="000000"/>
              </w:rPr>
            </w:pPr>
            <w:r w:rsidRPr="00361189">
              <w:t>Patient must be 18 years of age or under.</w:t>
            </w:r>
          </w:p>
        </w:tc>
      </w:tr>
      <w:tr w:rsidR="007B0EC4" w:rsidRPr="00361189" w:rsidTr="00057097">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9181" w:type="dxa"/>
            <w:gridSpan w:val="6"/>
          </w:tcPr>
          <w:p w:rsidR="007B0EC4" w:rsidRPr="00361189" w:rsidRDefault="007B0EC4" w:rsidP="00057097">
            <w:pPr>
              <w:pStyle w:val="Tabletext"/>
              <w:rPr>
                <w:b/>
              </w:rPr>
            </w:pPr>
            <w:r w:rsidRPr="00361189">
              <w:rPr>
                <w:b/>
              </w:rPr>
              <w:t>Grandfathering</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tcPr>
          <w:p w:rsidR="007B0EC4" w:rsidRPr="00361189" w:rsidRDefault="007B0EC4" w:rsidP="007B0EC4">
            <w:pPr>
              <w:pStyle w:val="Tabletext"/>
            </w:pPr>
            <w:r w:rsidRPr="00361189">
              <w:t>Treatment phase:</w:t>
            </w:r>
          </w:p>
        </w:tc>
        <w:tc>
          <w:tcPr>
            <w:tcW w:w="7371" w:type="dxa"/>
            <w:gridSpan w:val="5"/>
          </w:tcPr>
          <w:p w:rsidR="007B0EC4" w:rsidRPr="00361189" w:rsidRDefault="007B0EC4" w:rsidP="007B0EC4">
            <w:pPr>
              <w:pStyle w:val="Tabletext"/>
            </w:pPr>
            <w:r w:rsidRPr="00361189">
              <w:rPr>
                <w:szCs w:val="20"/>
              </w:rPr>
              <w:t>Grandfathering</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tcPr>
          <w:p w:rsidR="007B0EC4" w:rsidRPr="00361189" w:rsidRDefault="007B0EC4" w:rsidP="007B0EC4">
            <w:pPr>
              <w:pStyle w:val="Tabletext"/>
            </w:pPr>
            <w:r w:rsidRPr="00361189">
              <w:t>Restriction:</w:t>
            </w:r>
          </w:p>
        </w:tc>
        <w:tc>
          <w:tcPr>
            <w:tcW w:w="7371" w:type="dxa"/>
            <w:gridSpan w:val="5"/>
          </w:tcPr>
          <w:p w:rsidR="007B0EC4" w:rsidRPr="00361189" w:rsidRDefault="007B0EC4" w:rsidP="007B0EC4">
            <w:pPr>
              <w:pStyle w:val="Tabletext"/>
            </w:pPr>
            <w:r w:rsidRPr="00361189">
              <w:rPr>
                <w:szCs w:val="20"/>
              </w:rPr>
              <w:fldChar w:fldCharType="begin">
                <w:ffData>
                  <w:name w:val=""/>
                  <w:enabled/>
                  <w:calcOnExit w:val="0"/>
                  <w:checkBox>
                    <w:sizeAuto/>
                    <w:default w:val="1"/>
                  </w:checkBox>
                </w:ffData>
              </w:fldChar>
            </w:r>
            <w:r w:rsidRPr="00361189">
              <w:rPr>
                <w:szCs w:val="20"/>
              </w:rPr>
              <w:instrText xml:space="preserve"> FORMCHECKBOX </w:instrText>
            </w:r>
            <w:r w:rsidR="00744727">
              <w:rPr>
                <w:szCs w:val="20"/>
              </w:rPr>
            </w:r>
            <w:r w:rsidR="00744727">
              <w:rPr>
                <w:szCs w:val="20"/>
              </w:rPr>
              <w:fldChar w:fldCharType="separate"/>
            </w:r>
            <w:r w:rsidRPr="00361189">
              <w:rPr>
                <w:szCs w:val="20"/>
              </w:rPr>
              <w:fldChar w:fldCharType="end"/>
            </w:r>
            <w:r w:rsidRPr="00361189">
              <w:rPr>
                <w:szCs w:val="20"/>
              </w:rPr>
              <w:tab/>
              <w:t>Authority Required - In Writing</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tcPr>
          <w:p w:rsidR="007B0EC4" w:rsidRPr="00361189" w:rsidRDefault="007B0EC4" w:rsidP="00B718E5">
            <w:pPr>
              <w:pStyle w:val="Tabletext"/>
            </w:pPr>
            <w:r w:rsidRPr="00361189">
              <w:t>Treatment criteria:</w:t>
            </w:r>
          </w:p>
        </w:tc>
        <w:tc>
          <w:tcPr>
            <w:tcW w:w="7371" w:type="dxa"/>
            <w:gridSpan w:val="5"/>
          </w:tcPr>
          <w:p w:rsidR="007B0EC4" w:rsidRPr="00361189" w:rsidRDefault="007B0EC4" w:rsidP="007B0EC4">
            <w:pPr>
              <w:pStyle w:val="Tabletext"/>
            </w:pPr>
            <w:r w:rsidRPr="00361189">
              <w:rPr>
                <w:szCs w:val="20"/>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7B0EC4" w:rsidRPr="00361189" w:rsidTr="00B718E5">
        <w:tblPrEx>
          <w:tblBorders>
            <w:left w:val="single" w:sz="4" w:space="0" w:color="auto"/>
            <w:right w:val="single" w:sz="4" w:space="0" w:color="auto"/>
            <w:insideV w:val="single" w:sz="4" w:space="0" w:color="auto"/>
          </w:tblBorders>
          <w:tblCellMar>
            <w:left w:w="28" w:type="dxa"/>
            <w:right w:w="28" w:type="dxa"/>
          </w:tblCellMar>
        </w:tblPrEx>
        <w:trPr>
          <w:gridBefore w:val="1"/>
          <w:wBefore w:w="33" w:type="dxa"/>
          <w:trHeight w:val="20"/>
        </w:trPr>
        <w:tc>
          <w:tcPr>
            <w:tcW w:w="1810" w:type="dxa"/>
          </w:tcPr>
          <w:p w:rsidR="007B0EC4" w:rsidRPr="00361189" w:rsidRDefault="007B0EC4" w:rsidP="00B718E5">
            <w:pPr>
              <w:pStyle w:val="Tabletext"/>
            </w:pPr>
            <w:r w:rsidRPr="00361189">
              <w:t>Clinical criteria:</w:t>
            </w:r>
          </w:p>
        </w:tc>
        <w:tc>
          <w:tcPr>
            <w:tcW w:w="7371" w:type="dxa"/>
            <w:gridSpan w:val="5"/>
          </w:tcPr>
          <w:p w:rsidR="007B0EC4" w:rsidRPr="00361189" w:rsidRDefault="007B0EC4" w:rsidP="007B0EC4">
            <w:pPr>
              <w:pStyle w:val="Tabletext"/>
              <w:rPr>
                <w:rFonts w:cs="Arial"/>
              </w:rPr>
            </w:pPr>
            <w:r w:rsidRPr="00361189">
              <w:rPr>
                <w:rFonts w:cs="Arial"/>
              </w:rPr>
              <w:t xml:space="preserve">Patient must have previously received non-PBS-subsidised treatment for this condition with this drug prior to PBS listing [PBS listing date]; </w:t>
            </w:r>
          </w:p>
          <w:p w:rsidR="007B0EC4" w:rsidRPr="00361189" w:rsidRDefault="007B0EC4" w:rsidP="007B0EC4">
            <w:pPr>
              <w:pStyle w:val="Tabletext"/>
              <w:rPr>
                <w:rFonts w:cs="Arial"/>
              </w:rPr>
            </w:pPr>
            <w:r w:rsidRPr="00361189">
              <w:rPr>
                <w:rFonts w:cs="Arial"/>
              </w:rPr>
              <w:t>AND</w:t>
            </w:r>
          </w:p>
          <w:p w:rsidR="007B0EC4" w:rsidRPr="00361189" w:rsidRDefault="007B0EC4" w:rsidP="007B0EC4">
            <w:pPr>
              <w:pStyle w:val="Tabletext"/>
              <w:rPr>
                <w:rFonts w:cs="Arial"/>
              </w:rPr>
            </w:pPr>
            <w:r w:rsidRPr="00361189">
              <w:rPr>
                <w:rFonts w:cs="Arial"/>
              </w:rPr>
              <w:t xml:space="preserve">The condition must be 5q homozygous deletion, mutation of, or compound heterozygous mutation in the </w:t>
            </w:r>
            <w:r w:rsidRPr="00361189">
              <w:rPr>
                <w:rFonts w:cs="Arial"/>
                <w:i/>
              </w:rPr>
              <w:t>SMN1</w:t>
            </w:r>
            <w:r w:rsidRPr="00361189">
              <w:rPr>
                <w:rFonts w:cs="Arial"/>
              </w:rPr>
              <w:t xml:space="preserve"> gene;</w:t>
            </w:r>
          </w:p>
          <w:p w:rsidR="007B0EC4" w:rsidRPr="00361189" w:rsidRDefault="007B0EC4" w:rsidP="007B0EC4">
            <w:pPr>
              <w:pStyle w:val="Tabletext"/>
              <w:rPr>
                <w:rFonts w:cs="Arial"/>
              </w:rPr>
            </w:pPr>
            <w:r w:rsidRPr="00361189">
              <w:rPr>
                <w:rFonts w:cs="Arial"/>
              </w:rPr>
              <w:t>AND</w:t>
            </w:r>
          </w:p>
          <w:p w:rsidR="007B0EC4" w:rsidRPr="00361189" w:rsidRDefault="007B0EC4" w:rsidP="007B0EC4">
            <w:pPr>
              <w:pStyle w:val="Tabletext"/>
              <w:rPr>
                <w:rFonts w:cs="Arial"/>
              </w:rPr>
            </w:pPr>
            <w:r w:rsidRPr="00361189">
              <w:rPr>
                <w:rFonts w:cs="Arial"/>
              </w:rPr>
              <w:t xml:space="preserve">Patient must have experienced at least two of the defined signs and symptoms of SMA type I, II or IIIa prior to 3 years of age OR Patient must be genetically diagnosed with SMA with a confirmed </w:t>
            </w:r>
            <w:r w:rsidRPr="00361189">
              <w:rPr>
                <w:rFonts w:cs="Arial"/>
                <w:i/>
              </w:rPr>
              <w:t>SMN2</w:t>
            </w:r>
            <w:r w:rsidRPr="00361189">
              <w:rPr>
                <w:rFonts w:cs="Arial"/>
              </w:rPr>
              <w:t xml:space="preserve"> copy number of 1 or 2 prior to onset of signs and symptoms;</w:t>
            </w:r>
          </w:p>
          <w:p w:rsidR="007B0EC4" w:rsidRPr="00361189" w:rsidRDefault="007B0EC4" w:rsidP="007B0EC4">
            <w:pPr>
              <w:pStyle w:val="Tabletext"/>
              <w:rPr>
                <w:rFonts w:cs="Arial"/>
              </w:rPr>
            </w:pPr>
            <w:r w:rsidRPr="00361189">
              <w:rPr>
                <w:rFonts w:cs="Arial"/>
              </w:rPr>
              <w:t>AND</w:t>
            </w:r>
          </w:p>
          <w:p w:rsidR="007B0EC4" w:rsidRPr="00361189" w:rsidRDefault="007B0EC4" w:rsidP="007B0EC4">
            <w:pPr>
              <w:pStyle w:val="Tabletext"/>
              <w:rPr>
                <w:rFonts w:cs="Arial"/>
              </w:rPr>
            </w:pPr>
            <w:r w:rsidRPr="00361189">
              <w:rPr>
                <w:rFonts w:cs="Arial"/>
              </w:rPr>
              <w:t>The treatment must be given concomitantly with standard of care for this condition.</w:t>
            </w:r>
          </w:p>
          <w:p w:rsidR="007B0EC4" w:rsidRPr="00361189" w:rsidRDefault="007B0EC4" w:rsidP="007B0EC4">
            <w:pPr>
              <w:pStyle w:val="Tabletext"/>
              <w:rPr>
                <w:rFonts w:cs="Arial"/>
              </w:rPr>
            </w:pPr>
            <w:r w:rsidRPr="00361189">
              <w:rPr>
                <w:rFonts w:cs="Arial"/>
              </w:rPr>
              <w:t>AND</w:t>
            </w:r>
          </w:p>
          <w:p w:rsidR="007B0EC4" w:rsidRPr="00361189" w:rsidRDefault="007B0EC4" w:rsidP="007B0EC4">
            <w:pPr>
              <w:pStyle w:val="Tabletext"/>
            </w:pPr>
            <w:r w:rsidRPr="00361189">
              <w:rPr>
                <w:rFonts w:cs="Arial"/>
              </w:rPr>
              <w:lastRenderedPageBreak/>
              <w:t>The treatment must not exceed four loading doses (at days 0, 14, 28 and 63) under this restriction.</w:t>
            </w:r>
          </w:p>
        </w:tc>
      </w:tr>
    </w:tbl>
    <w:p w:rsidR="007B0EC4" w:rsidRPr="00361189" w:rsidRDefault="007B0EC4" w:rsidP="007B0EC4">
      <w:pPr>
        <w:pStyle w:val="TableFooter"/>
      </w:pPr>
      <w:r w:rsidRPr="00361189">
        <w:lastRenderedPageBreak/>
        <w:t>Underlined text reflects the change from the previous submission</w:t>
      </w:r>
    </w:p>
    <w:p w:rsidR="007B0EC4" w:rsidRPr="00361189" w:rsidRDefault="007B0EC4" w:rsidP="007B0EC4">
      <w:pPr>
        <w:pStyle w:val="TableFooter"/>
      </w:pPr>
      <w:r w:rsidRPr="00361189">
        <w:t xml:space="preserve">Source: Table 1-7, p38 and 1-10, p40 of the resubmission. </w:t>
      </w:r>
    </w:p>
    <w:p w:rsidR="00B60939" w:rsidRPr="00361189" w:rsidRDefault="00B60939" w:rsidP="004B1CB4"/>
    <w:p w:rsidR="004D6C29" w:rsidRPr="00361189" w:rsidRDefault="004D6C29" w:rsidP="004E18E9">
      <w:pPr>
        <w:pStyle w:val="3-BodyText"/>
        <w:rPr>
          <w:color w:val="000000" w:themeColor="text1"/>
        </w:rPr>
      </w:pPr>
      <w:r w:rsidRPr="00361189">
        <w:t>The resubmission stated that the continuation criteria for the current PBS restriction for nusinersen would also be applicable under the proposed initiation restriction, therefore no specific continuation criteria was proposed</w:t>
      </w:r>
      <w:r w:rsidRPr="00361189">
        <w:rPr>
          <w:color w:val="000000" w:themeColor="text1"/>
        </w:rPr>
        <w:t xml:space="preserve">. </w:t>
      </w:r>
    </w:p>
    <w:p w:rsidR="00591957" w:rsidRPr="00361189" w:rsidRDefault="004D6C29" w:rsidP="004D6C29">
      <w:pPr>
        <w:pStyle w:val="3-BodyText"/>
        <w:rPr>
          <w:color w:val="000000" w:themeColor="text1"/>
        </w:rPr>
      </w:pPr>
      <w:r w:rsidRPr="00361189">
        <w:rPr>
          <w:color w:val="000000" w:themeColor="text1"/>
        </w:rPr>
        <w:t>An effective price of $</w:t>
      </w:r>
      <w:r w:rsidR="00E659B7">
        <w:rPr>
          <w:noProof/>
          <w:color w:val="000000"/>
          <w:highlight w:val="black"/>
        </w:rPr>
        <w:t>''''''''''''''</w:t>
      </w:r>
      <w:r w:rsidRPr="00361189">
        <w:rPr>
          <w:color w:val="000000" w:themeColor="text1"/>
        </w:rPr>
        <w:t xml:space="preserve"> per dose was proposed</w:t>
      </w:r>
      <w:r w:rsidR="00361189">
        <w:rPr>
          <w:color w:val="000000" w:themeColor="text1"/>
        </w:rPr>
        <w:t xml:space="preserve">. </w:t>
      </w:r>
      <w:r w:rsidRPr="00361189">
        <w:rPr>
          <w:color w:val="000000" w:themeColor="text1"/>
        </w:rPr>
        <w:t>This was the same as the previous submission and the current listing</w:t>
      </w:r>
      <w:r w:rsidR="00361189">
        <w:rPr>
          <w:color w:val="000000" w:themeColor="text1"/>
        </w:rPr>
        <w:t xml:space="preserve">. </w:t>
      </w:r>
    </w:p>
    <w:p w:rsidR="007B7A58" w:rsidRPr="00361189" w:rsidRDefault="007B7A58" w:rsidP="007B7A58">
      <w:pPr>
        <w:pStyle w:val="3-BodyText"/>
      </w:pPr>
      <w:r w:rsidRPr="00361189">
        <w:rPr>
          <w:color w:val="000000" w:themeColor="text1"/>
        </w:rPr>
        <w:t xml:space="preserve">The requested </w:t>
      </w:r>
      <w:r w:rsidR="00532FF7" w:rsidRPr="00361189">
        <w:rPr>
          <w:color w:val="000000" w:themeColor="text1"/>
        </w:rPr>
        <w:t xml:space="preserve">maximum </w:t>
      </w:r>
      <w:r w:rsidRPr="00361189">
        <w:rPr>
          <w:color w:val="000000" w:themeColor="text1"/>
        </w:rPr>
        <w:t>quantity</w:t>
      </w:r>
      <w:r w:rsidR="00352D04" w:rsidRPr="00361189">
        <w:rPr>
          <w:color w:val="000000" w:themeColor="text1"/>
        </w:rPr>
        <w:t xml:space="preserve"> and number of </w:t>
      </w:r>
      <w:r w:rsidRPr="00361189">
        <w:rPr>
          <w:color w:val="000000" w:themeColor="text1"/>
        </w:rPr>
        <w:t xml:space="preserve">repeats </w:t>
      </w:r>
      <w:r w:rsidRPr="00361189">
        <w:t>remain unchanged from the previous submission</w:t>
      </w:r>
      <w:r w:rsidR="00361189">
        <w:t xml:space="preserve">. </w:t>
      </w:r>
      <w:r w:rsidRPr="00361189">
        <w:t xml:space="preserve">The number of repeats requested for continuing treatment (two) is greater than the number of repeats </w:t>
      </w:r>
      <w:r w:rsidR="00FD56A1" w:rsidRPr="00361189">
        <w:t>for the current continuing treatment listing</w:t>
      </w:r>
      <w:r w:rsidRPr="00361189">
        <w:t xml:space="preserve"> (zero)</w:t>
      </w:r>
      <w:r w:rsidR="00361189">
        <w:t xml:space="preserve">. </w:t>
      </w:r>
      <w:r w:rsidR="00DD46B5" w:rsidRPr="00361189">
        <w:t xml:space="preserve">The </w:t>
      </w:r>
      <w:r w:rsidR="000F2961" w:rsidRPr="00361189">
        <w:t xml:space="preserve">PBAC </w:t>
      </w:r>
      <w:r w:rsidR="00DD46B5" w:rsidRPr="00361189">
        <w:t>considered that an increase in repeats compared to the current listing was not adequately justified</w:t>
      </w:r>
      <w:r w:rsidR="00361189">
        <w:t xml:space="preserve">. </w:t>
      </w:r>
    </w:p>
    <w:p w:rsidR="00E22245" w:rsidRPr="00361189" w:rsidRDefault="00E22245" w:rsidP="00E22245">
      <w:pPr>
        <w:pStyle w:val="3-BodyText"/>
      </w:pPr>
      <w:r w:rsidRPr="00361189">
        <w:t>The ESC</w:t>
      </w:r>
      <w:r w:rsidR="00570703" w:rsidRPr="00361189">
        <w:t xml:space="preserve"> previously</w:t>
      </w:r>
      <w:r w:rsidRPr="00361189">
        <w:t xml:space="preserve"> (para</w:t>
      </w:r>
      <w:r w:rsidR="006C6ACF" w:rsidRPr="00361189">
        <w:t>graph</w:t>
      </w:r>
      <w:r w:rsidRPr="00361189">
        <w:t xml:space="preserve"> 2.3, nusinersen</w:t>
      </w:r>
      <w:r w:rsidR="00E73E3D" w:rsidRPr="00361189">
        <w:t>,</w:t>
      </w:r>
      <w:r w:rsidRPr="00361189">
        <w:t xml:space="preserve"> </w:t>
      </w:r>
      <w:r w:rsidR="00A4670B" w:rsidRPr="00361189">
        <w:t>Public Summary Document (</w:t>
      </w:r>
      <w:r w:rsidRPr="00361189">
        <w:t>PSD</w:t>
      </w:r>
      <w:r w:rsidR="00A4670B" w:rsidRPr="00361189">
        <w:t>)</w:t>
      </w:r>
      <w:r w:rsidRPr="00361189">
        <w:t xml:space="preserve">, </w:t>
      </w:r>
      <w:r w:rsidR="00A4670B" w:rsidRPr="00361189">
        <w:t xml:space="preserve">July </w:t>
      </w:r>
      <w:r w:rsidRPr="00361189">
        <w:t xml:space="preserve">2019) considered that it would be appropriate to limit pre-symptomatic initiation of treatment to patients less than three years of age, and noted </w:t>
      </w:r>
      <w:r w:rsidR="00F27B3F">
        <w:t>that this was supported in the Pre-Sub-C</w:t>
      </w:r>
      <w:r w:rsidRPr="00361189">
        <w:t xml:space="preserve">ommittee </w:t>
      </w:r>
      <w:r w:rsidR="00F27B3F">
        <w:t>R</w:t>
      </w:r>
      <w:r w:rsidRPr="00361189">
        <w:t>esponse</w:t>
      </w:r>
      <w:r w:rsidR="00A76307">
        <w:t xml:space="preserve"> (PSCR)</w:t>
      </w:r>
      <w:r w:rsidR="00361189">
        <w:t xml:space="preserve">. </w:t>
      </w:r>
      <w:r w:rsidR="00483475" w:rsidRPr="00361189">
        <w:t>However</w:t>
      </w:r>
      <w:r w:rsidR="00DA039D" w:rsidRPr="00361189">
        <w:t>,</w:t>
      </w:r>
      <w:r w:rsidRPr="00361189">
        <w:t xml:space="preserve"> the requested restriction in the resubmission only restricts initiation to patients less than 18 years of age.</w:t>
      </w:r>
      <w:r w:rsidR="007F0B9D" w:rsidRPr="00361189">
        <w:t xml:space="preserve"> The PBAC noted that a separate restriction would be required to limit pre-symptomatic initiation of treatment to patients less than three years of age as the current restriction specifies an age limit of 18 years of age. </w:t>
      </w:r>
    </w:p>
    <w:p w:rsidR="007B7A58" w:rsidRPr="00361189" w:rsidRDefault="007B7A58" w:rsidP="00F71389">
      <w:pPr>
        <w:pStyle w:val="3-BodyText"/>
      </w:pPr>
      <w:r w:rsidRPr="00361189">
        <w:t>A request for a grandfathering restriction is new to the resubmission. The resubmission</w:t>
      </w:r>
      <w:r w:rsidR="00235D81">
        <w:t xml:space="preserve"> </w:t>
      </w:r>
      <w:r w:rsidRPr="00361189">
        <w:t>noted that, as of 26 February 2020, there were three pre-symptomatic patients in Australia currently treated with nusinersen</w:t>
      </w:r>
      <w:r w:rsidR="006743EF" w:rsidRPr="00361189">
        <w:t xml:space="preserve"> who</w:t>
      </w:r>
      <w:r w:rsidRPr="00361189">
        <w:t xml:space="preserve"> would be expected to be grandfathered onto the PBS. </w:t>
      </w:r>
      <w:r w:rsidR="007A5475" w:rsidRPr="00361189">
        <w:t xml:space="preserve">The pre-PBAC Response stated there is currently only one patient receiving nusinersen free of charge and this patient would not be eligible for grandfather treatment as they have an SMN2 copy number </w:t>
      </w:r>
      <w:r w:rsidR="00F71389" w:rsidRPr="00361189">
        <w:t>&gt;</w:t>
      </w:r>
      <w:r w:rsidR="007A5475" w:rsidRPr="00361189">
        <w:t>2.</w:t>
      </w:r>
      <w:r w:rsidRPr="00361189">
        <w:t xml:space="preserve"> </w:t>
      </w:r>
      <w:r w:rsidR="00201C87">
        <w:t xml:space="preserve">The PBAC noted that a grandfather restriction may not be required. </w:t>
      </w:r>
    </w:p>
    <w:p w:rsidR="00D76E35" w:rsidRPr="00361189" w:rsidRDefault="00D76E35" w:rsidP="00D76E35">
      <w:pPr>
        <w:pStyle w:val="3-BodyText"/>
        <w:numPr>
          <w:ilvl w:val="0"/>
          <w:numId w:val="0"/>
        </w:numPr>
        <w:ind w:left="720"/>
      </w:pPr>
      <w:r w:rsidRPr="00361189">
        <w:rPr>
          <w:i/>
        </w:rPr>
        <w:t>For more detail on PBAC’s view, see section 7 PBAC outcome.</w:t>
      </w:r>
    </w:p>
    <w:p w:rsidR="00B50DB8" w:rsidRPr="00361189" w:rsidRDefault="00203181" w:rsidP="004E18E9">
      <w:pPr>
        <w:pStyle w:val="2-SectionHeading"/>
      </w:pPr>
      <w:bookmarkStart w:id="14" w:name="_Toc40874414"/>
      <w:r w:rsidRPr="00361189">
        <w:t xml:space="preserve">Population and </w:t>
      </w:r>
      <w:r w:rsidR="008E0D3C" w:rsidRPr="00361189">
        <w:t>d</w:t>
      </w:r>
      <w:r w:rsidRPr="00361189">
        <w:t>isease</w:t>
      </w:r>
      <w:bookmarkEnd w:id="14"/>
    </w:p>
    <w:p w:rsidR="007B7A58" w:rsidRPr="00361189" w:rsidRDefault="007B7A58" w:rsidP="007B7A58">
      <w:pPr>
        <w:pStyle w:val="3-BodyText"/>
      </w:pPr>
      <w:r w:rsidRPr="00361189">
        <w:t xml:space="preserve">Spinal muscular atrophy is an autosomal recessive progressive neuromuscular disease caused by mutations or deletions in the </w:t>
      </w:r>
      <w:r w:rsidRPr="00361189">
        <w:rPr>
          <w:i/>
        </w:rPr>
        <w:t>SMN1</w:t>
      </w:r>
      <w:r w:rsidRPr="00361189">
        <w:t xml:space="preserve"> gene on chromosome 5q</w:t>
      </w:r>
      <w:r w:rsidR="00361189">
        <w:t xml:space="preserve">. </w:t>
      </w:r>
      <w:r w:rsidRPr="00361189">
        <w:t>Alterations to this gene result</w:t>
      </w:r>
      <w:r w:rsidR="00532F53" w:rsidRPr="00361189">
        <w:t>s</w:t>
      </w:r>
      <w:r w:rsidRPr="00361189">
        <w:t xml:space="preserve"> in deficiency of SMN protein, which in turn results in loss of motor function and respiratory failure, which is a major cause of morbidity and mortality. </w:t>
      </w:r>
      <w:r w:rsidR="00733BEB" w:rsidRPr="00361189">
        <w:t xml:space="preserve">The </w:t>
      </w:r>
      <w:r w:rsidR="00733BEB" w:rsidRPr="00361189">
        <w:rPr>
          <w:i/>
        </w:rPr>
        <w:t>SMN2</w:t>
      </w:r>
      <w:r w:rsidR="00733BEB" w:rsidRPr="00361189">
        <w:t xml:space="preserve"> gene also produces SMN protein, albeit at low levels which are not sufficient to sustain survival of spinal motor neuron function</w:t>
      </w:r>
      <w:r w:rsidR="00361189">
        <w:t xml:space="preserve">. </w:t>
      </w:r>
      <w:r w:rsidR="00733BEB" w:rsidRPr="00361189">
        <w:t xml:space="preserve">As </w:t>
      </w:r>
      <w:r w:rsidR="00733BEB" w:rsidRPr="00361189">
        <w:rPr>
          <w:i/>
        </w:rPr>
        <w:t>SMN2</w:t>
      </w:r>
      <w:r w:rsidR="00733BEB" w:rsidRPr="00361189">
        <w:t xml:space="preserve"> copy number varies from patient to patient, there is a clinical spectrum of the disease where fewer </w:t>
      </w:r>
      <w:r w:rsidR="00733BEB" w:rsidRPr="00361189">
        <w:rPr>
          <w:i/>
        </w:rPr>
        <w:t>SMN2</w:t>
      </w:r>
      <w:r w:rsidR="00733BEB" w:rsidRPr="00361189">
        <w:t xml:space="preserve"> gene copies sometimes correlate to earlier age of onset and increased disease severity</w:t>
      </w:r>
      <w:r w:rsidR="006C6633" w:rsidRPr="00361189">
        <w:t xml:space="preserve"> </w:t>
      </w:r>
      <w:r w:rsidRPr="00361189">
        <w:t>SMA is classified</w:t>
      </w:r>
      <w:r w:rsidR="006C6633" w:rsidRPr="00361189">
        <w:t xml:space="preserve"> based on age of onset and maximal motor function achieved,</w:t>
      </w:r>
      <w:r w:rsidRPr="00361189">
        <w:t xml:space="preserve"> </w:t>
      </w:r>
      <w:r w:rsidRPr="00361189">
        <w:lastRenderedPageBreak/>
        <w:t xml:space="preserve">into types (0, I, II, III and IV) </w:t>
      </w:r>
      <w:r w:rsidR="006C6633" w:rsidRPr="00361189">
        <w:t xml:space="preserve">with type III SMA further classified into </w:t>
      </w:r>
      <w:r w:rsidRPr="00361189">
        <w:t>subtypes (a, b, c)</w:t>
      </w:r>
      <w:r w:rsidR="00DA039D" w:rsidRPr="00361189">
        <w:t>, see Table 4</w:t>
      </w:r>
      <w:r w:rsidR="00361189">
        <w:t xml:space="preserve">. </w:t>
      </w:r>
    </w:p>
    <w:p w:rsidR="007B7A58" w:rsidRPr="00361189" w:rsidRDefault="00DA039D" w:rsidP="007B7A58">
      <w:pPr>
        <w:pStyle w:val="V50Instructions"/>
        <w:keepNext/>
        <w:spacing w:before="0" w:after="0"/>
        <w:rPr>
          <w:rFonts w:ascii="Arial Narrow" w:hAnsi="Arial Narrow"/>
          <w:b/>
          <w:color w:val="auto"/>
          <w:sz w:val="20"/>
        </w:rPr>
      </w:pPr>
      <w:bookmarkStart w:id="15" w:name="_Ref39362682"/>
      <w:r w:rsidRPr="00361189">
        <w:rPr>
          <w:rFonts w:ascii="Arial Narrow" w:hAnsi="Arial Narrow"/>
          <w:b/>
          <w:color w:val="auto"/>
          <w:sz w:val="20"/>
        </w:rPr>
        <w:t xml:space="preserve">Table </w:t>
      </w:r>
      <w:r w:rsidR="0089312A" w:rsidRPr="00361189">
        <w:rPr>
          <w:rFonts w:ascii="Arial Narrow" w:hAnsi="Arial Narrow"/>
          <w:b/>
          <w:color w:val="auto"/>
          <w:sz w:val="20"/>
        </w:rPr>
        <w:t>4</w:t>
      </w:r>
      <w:bookmarkEnd w:id="15"/>
      <w:r w:rsidR="007B7A58" w:rsidRPr="00361189">
        <w:rPr>
          <w:rFonts w:ascii="Arial Narrow" w:hAnsi="Arial Narrow"/>
          <w:b/>
          <w:color w:val="auto"/>
          <w:sz w:val="20"/>
        </w:rPr>
        <w:t>: Classification of SMA based on age of onset and maximal motor function achieved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069"/>
        <w:gridCol w:w="1313"/>
        <w:gridCol w:w="1122"/>
        <w:gridCol w:w="1279"/>
        <w:gridCol w:w="1791"/>
        <w:gridCol w:w="1167"/>
      </w:tblGrid>
      <w:tr w:rsidR="007B7A58" w:rsidRPr="00361189" w:rsidTr="00B22661">
        <w:trPr>
          <w:cantSplit/>
        </w:trPr>
        <w:tc>
          <w:tcPr>
            <w:tcW w:w="708" w:type="pct"/>
            <w:vAlign w:val="center"/>
            <w:hideMark/>
          </w:tcPr>
          <w:p w:rsidR="007B7A58" w:rsidRPr="00361189" w:rsidRDefault="007B7A58" w:rsidP="00057097">
            <w:pPr>
              <w:keepNext/>
              <w:snapToGrid w:val="0"/>
              <w:spacing w:line="257" w:lineRule="auto"/>
              <w:rPr>
                <w:rFonts w:ascii="Arial Narrow" w:hAnsi="Arial Narrow"/>
                <w:bCs/>
                <w:sz w:val="20"/>
                <w:szCs w:val="20"/>
              </w:rPr>
            </w:pPr>
            <w:r w:rsidRPr="00361189">
              <w:rPr>
                <w:rFonts w:ascii="Arial Narrow" w:hAnsi="Arial Narrow"/>
                <w:b/>
                <w:bCs/>
                <w:sz w:val="20"/>
                <w:szCs w:val="20"/>
              </w:rPr>
              <w:t>Classification</w:t>
            </w: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rPr>
            </w:pPr>
            <w:r w:rsidRPr="00361189">
              <w:rPr>
                <w:rFonts w:ascii="Arial Narrow" w:hAnsi="Arial Narrow"/>
                <w:b/>
                <w:bCs/>
                <w:sz w:val="20"/>
                <w:szCs w:val="20"/>
              </w:rPr>
              <w:t>SMA type</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bCs/>
                <w:sz w:val="20"/>
                <w:szCs w:val="20"/>
                <w:lang w:val="en-AU"/>
              </w:rPr>
              <w:t>Age at symptom onset</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bCs/>
                <w:sz w:val="20"/>
                <w:szCs w:val="20"/>
                <w:lang w:val="en-AU"/>
              </w:rPr>
              <w:t>Maximal motor milestone</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b/>
                <w:color w:val="auto"/>
                <w:sz w:val="20"/>
                <w:szCs w:val="20"/>
                <w:lang w:val="en-AU"/>
              </w:rPr>
            </w:pPr>
            <w:r w:rsidRPr="00361189">
              <w:rPr>
                <w:rFonts w:ascii="Arial Narrow" w:hAnsi="Arial Narrow"/>
                <w:b/>
                <w:bCs/>
                <w:sz w:val="20"/>
                <w:szCs w:val="20"/>
                <w:lang w:val="en-AU"/>
              </w:rPr>
              <w:t xml:space="preserve">Likely/Common </w:t>
            </w:r>
            <w:r w:rsidRPr="00361189">
              <w:rPr>
                <w:rFonts w:ascii="Arial Narrow" w:hAnsi="Arial Narrow"/>
                <w:b/>
                <w:bCs/>
                <w:i/>
                <w:sz w:val="20"/>
                <w:szCs w:val="20"/>
                <w:lang w:val="en-AU"/>
              </w:rPr>
              <w:t>SMN2</w:t>
            </w:r>
            <w:r w:rsidRPr="00361189">
              <w:rPr>
                <w:rFonts w:ascii="Arial Narrow" w:hAnsi="Arial Narrow"/>
                <w:b/>
                <w:bCs/>
                <w:sz w:val="20"/>
                <w:szCs w:val="20"/>
                <w:lang w:val="en-AU"/>
              </w:rPr>
              <w:t xml:space="preserve"> copy numbers</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bCs/>
                <w:sz w:val="20"/>
                <w:szCs w:val="20"/>
                <w:lang w:val="en-AU"/>
              </w:rPr>
              <w:t>Motor ability and additional features</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bCs/>
                <w:sz w:val="20"/>
                <w:szCs w:val="20"/>
                <w:lang w:val="en-AU"/>
              </w:rPr>
              <w:t>Prognosis^</w:t>
            </w:r>
          </w:p>
        </w:tc>
      </w:tr>
      <w:tr w:rsidR="007B7A58" w:rsidRPr="00361189" w:rsidTr="00B22661">
        <w:trPr>
          <w:cantSplit/>
        </w:trPr>
        <w:tc>
          <w:tcPr>
            <w:tcW w:w="708" w:type="pct"/>
            <w:vAlign w:val="center"/>
            <w:hideMark/>
          </w:tcPr>
          <w:p w:rsidR="007B7A58" w:rsidRPr="00361189" w:rsidRDefault="007B7A58" w:rsidP="00057097">
            <w:pPr>
              <w:keepNext/>
              <w:snapToGrid w:val="0"/>
              <w:spacing w:line="257" w:lineRule="auto"/>
              <w:rPr>
                <w:rFonts w:ascii="Arial Narrow" w:hAnsi="Arial Narrow"/>
                <w:bCs/>
                <w:sz w:val="20"/>
                <w:szCs w:val="20"/>
              </w:rPr>
            </w:pPr>
            <w:r w:rsidRPr="00361189">
              <w:rPr>
                <w:rFonts w:ascii="Arial Narrow" w:hAnsi="Arial Narrow"/>
                <w:bCs/>
                <w:sz w:val="20"/>
                <w:szCs w:val="20"/>
              </w:rPr>
              <w:t>Pre-natal</w:t>
            </w: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rPr>
            </w:pPr>
            <w:r w:rsidRPr="00361189">
              <w:rPr>
                <w:rFonts w:ascii="Arial Narrow" w:hAnsi="Arial Narrow"/>
                <w:bCs/>
                <w:sz w:val="20"/>
                <w:szCs w:val="20"/>
              </w:rPr>
              <w:t>0</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Pre-natal </w:t>
            </w:r>
            <w:r w:rsidRPr="00361189">
              <w:rPr>
                <w:rFonts w:ascii="Arial Narrow" w:hAnsi="Arial Narrow"/>
                <w:color w:val="auto"/>
                <w:sz w:val="20"/>
                <w:szCs w:val="20"/>
                <w:lang w:val="en-AU"/>
              </w:rPr>
              <w:br/>
              <w:t>(before birth)</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None</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b/>
                <w:color w:val="auto"/>
                <w:sz w:val="20"/>
                <w:szCs w:val="20"/>
                <w:lang w:val="en-AU"/>
              </w:rPr>
            </w:pPr>
            <w:r w:rsidRPr="00361189">
              <w:rPr>
                <w:rFonts w:ascii="Arial Narrow" w:hAnsi="Arial Narrow"/>
                <w:b/>
                <w:color w:val="auto"/>
                <w:sz w:val="20"/>
                <w:szCs w:val="20"/>
                <w:lang w:val="en-AU"/>
              </w:rPr>
              <w:t>1</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Severe hypotonia;</w:t>
            </w:r>
          </w:p>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Unable to sit or roll*</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Death within weeks</w:t>
            </w:r>
          </w:p>
        </w:tc>
      </w:tr>
      <w:tr w:rsidR="007B7A58" w:rsidRPr="00361189" w:rsidTr="00B22661">
        <w:trPr>
          <w:cantSplit/>
        </w:trPr>
        <w:tc>
          <w:tcPr>
            <w:tcW w:w="708" w:type="pct"/>
            <w:vAlign w:val="center"/>
            <w:hideMark/>
          </w:tcPr>
          <w:p w:rsidR="007B7A58" w:rsidRPr="00361189" w:rsidRDefault="007B7A58" w:rsidP="00057097">
            <w:pPr>
              <w:keepNext/>
              <w:snapToGrid w:val="0"/>
              <w:spacing w:line="257" w:lineRule="auto"/>
              <w:rPr>
                <w:rFonts w:ascii="Arial Narrow" w:hAnsi="Arial Narrow"/>
                <w:bCs/>
                <w:sz w:val="20"/>
                <w:szCs w:val="20"/>
              </w:rPr>
            </w:pPr>
            <w:r w:rsidRPr="00361189">
              <w:rPr>
                <w:rFonts w:ascii="Arial Narrow" w:hAnsi="Arial Narrow"/>
                <w:bCs/>
                <w:sz w:val="20"/>
                <w:szCs w:val="20"/>
              </w:rPr>
              <w:t>Infantile-onset</w:t>
            </w: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lang w:eastAsia="ja-JP"/>
              </w:rPr>
            </w:pPr>
            <w:r w:rsidRPr="00361189">
              <w:rPr>
                <w:rFonts w:ascii="Arial Narrow" w:hAnsi="Arial Narrow"/>
                <w:bCs/>
                <w:sz w:val="20"/>
                <w:szCs w:val="20"/>
              </w:rPr>
              <w:t>I</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&lt;6 months </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None</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1, </w:t>
            </w:r>
            <w:r w:rsidRPr="00361189">
              <w:rPr>
                <w:rFonts w:ascii="Arial Narrow" w:hAnsi="Arial Narrow"/>
                <w:b/>
                <w:color w:val="auto"/>
                <w:sz w:val="20"/>
                <w:szCs w:val="20"/>
                <w:lang w:val="en-AU"/>
              </w:rPr>
              <w:t>2</w:t>
            </w:r>
            <w:r w:rsidRPr="00361189">
              <w:rPr>
                <w:rFonts w:ascii="Arial Narrow" w:hAnsi="Arial Narrow"/>
                <w:color w:val="auto"/>
                <w:sz w:val="20"/>
                <w:szCs w:val="20"/>
                <w:lang w:val="en-AU"/>
              </w:rPr>
              <w:t>, 3</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Severe hypotonia;</w:t>
            </w:r>
          </w:p>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Unable to sit or roll</w:t>
            </w:r>
            <w:r w:rsidRPr="00361189">
              <w:rPr>
                <w:rFonts w:ascii="Arial Narrow" w:hAnsi="Arial Narrow"/>
                <w:color w:val="auto"/>
                <w:sz w:val="20"/>
                <w:szCs w:val="20"/>
                <w:vertAlign w:val="superscript"/>
                <w:lang w:val="en-AU"/>
              </w:rPr>
              <w:t>#</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Death by 2 years</w:t>
            </w:r>
          </w:p>
        </w:tc>
      </w:tr>
      <w:tr w:rsidR="007B7A58" w:rsidRPr="00361189" w:rsidTr="00B22661">
        <w:trPr>
          <w:cantSplit/>
        </w:trPr>
        <w:tc>
          <w:tcPr>
            <w:tcW w:w="708" w:type="pct"/>
            <w:vMerge w:val="restart"/>
            <w:vAlign w:val="center"/>
            <w:hideMark/>
          </w:tcPr>
          <w:p w:rsidR="007B7A58" w:rsidRPr="00361189" w:rsidRDefault="007B7A58" w:rsidP="00057097">
            <w:pPr>
              <w:keepNext/>
              <w:snapToGrid w:val="0"/>
              <w:spacing w:line="257" w:lineRule="auto"/>
              <w:rPr>
                <w:rFonts w:ascii="Arial Narrow" w:hAnsi="Arial Narrow"/>
                <w:bCs/>
                <w:sz w:val="20"/>
                <w:szCs w:val="20"/>
                <w:lang w:eastAsia="ja-JP"/>
              </w:rPr>
            </w:pPr>
            <w:r w:rsidRPr="00361189">
              <w:rPr>
                <w:rFonts w:ascii="Arial Narrow" w:hAnsi="Arial Narrow"/>
                <w:bCs/>
                <w:sz w:val="20"/>
                <w:szCs w:val="20"/>
                <w:lang w:eastAsia="ja-JP"/>
              </w:rPr>
              <w:t>Childhood-onset</w:t>
            </w: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lang w:eastAsia="ja-JP"/>
              </w:rPr>
            </w:pPr>
            <w:r w:rsidRPr="00361189">
              <w:rPr>
                <w:rFonts w:ascii="Arial Narrow" w:hAnsi="Arial Narrow"/>
                <w:bCs/>
                <w:sz w:val="20"/>
                <w:szCs w:val="20"/>
                <w:lang w:eastAsia="ja-JP"/>
              </w:rPr>
              <w:t>II</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6 - 18 months </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Sitting</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2, </w:t>
            </w:r>
            <w:r w:rsidRPr="00361189">
              <w:rPr>
                <w:rFonts w:ascii="Arial Narrow" w:hAnsi="Arial Narrow"/>
                <w:b/>
                <w:color w:val="auto"/>
                <w:sz w:val="20"/>
                <w:szCs w:val="20"/>
                <w:lang w:val="en-AU"/>
              </w:rPr>
              <w:t>3</w:t>
            </w:r>
            <w:r w:rsidRPr="00361189">
              <w:rPr>
                <w:rFonts w:ascii="Arial Narrow" w:hAnsi="Arial Narrow"/>
                <w:color w:val="auto"/>
                <w:sz w:val="20"/>
                <w:szCs w:val="20"/>
                <w:lang w:val="en-AU"/>
              </w:rPr>
              <w:t>, 4</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Proximal weakness; Unable to walk independently</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Survival into adulthood</w:t>
            </w:r>
          </w:p>
        </w:tc>
      </w:tr>
      <w:tr w:rsidR="007B7A58" w:rsidRPr="00361189" w:rsidTr="00B22661">
        <w:trPr>
          <w:cantSplit/>
        </w:trPr>
        <w:tc>
          <w:tcPr>
            <w:tcW w:w="708" w:type="pct"/>
            <w:vMerge/>
            <w:vAlign w:val="center"/>
            <w:hideMark/>
          </w:tcPr>
          <w:p w:rsidR="007B7A58" w:rsidRPr="00361189" w:rsidRDefault="007B7A58" w:rsidP="00057097">
            <w:pPr>
              <w:keepNext/>
              <w:spacing w:line="257" w:lineRule="auto"/>
              <w:rPr>
                <w:rFonts w:ascii="Arial Narrow" w:hAnsi="Arial Narrow"/>
                <w:bCs/>
                <w:sz w:val="20"/>
                <w:szCs w:val="20"/>
                <w:lang w:eastAsia="ja-JP"/>
              </w:rPr>
            </w:pP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lang w:eastAsia="ja-JP"/>
              </w:rPr>
            </w:pPr>
            <w:r w:rsidRPr="00361189">
              <w:rPr>
                <w:rFonts w:ascii="Arial Narrow" w:hAnsi="Arial Narrow"/>
                <w:bCs/>
                <w:sz w:val="20"/>
                <w:szCs w:val="20"/>
              </w:rPr>
              <w:t>III</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&lt;3 years (IIIa)</w:t>
            </w:r>
          </w:p>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&gt;3 years (IIIb)</w:t>
            </w:r>
          </w:p>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 xml:space="preserve">&gt;12 to </w:t>
            </w:r>
            <w:r w:rsidRPr="00361189">
              <w:rPr>
                <w:rFonts w:ascii="Arial Narrow" w:hAnsi="Arial Narrow" w:cs="Arial"/>
                <w:color w:val="auto"/>
                <w:sz w:val="20"/>
                <w:szCs w:val="20"/>
                <w:lang w:val="en-AU"/>
              </w:rPr>
              <w:t>≤</w:t>
            </w:r>
            <w:r w:rsidRPr="00361189">
              <w:rPr>
                <w:rFonts w:ascii="Arial Narrow" w:hAnsi="Arial Narrow"/>
                <w:color w:val="auto"/>
                <w:sz w:val="20"/>
                <w:szCs w:val="20"/>
                <w:lang w:val="en-AU"/>
              </w:rPr>
              <w:t>18 years (IIIc)</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Walking</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color w:val="auto"/>
                <w:sz w:val="20"/>
                <w:szCs w:val="20"/>
                <w:lang w:val="en-AU"/>
              </w:rPr>
              <w:t>3</w:t>
            </w:r>
            <w:r w:rsidRPr="00361189">
              <w:rPr>
                <w:rFonts w:ascii="Arial Narrow" w:hAnsi="Arial Narrow"/>
                <w:color w:val="auto"/>
                <w:sz w:val="20"/>
                <w:szCs w:val="20"/>
                <w:lang w:val="en-AU"/>
              </w:rPr>
              <w:t>,</w:t>
            </w:r>
            <w:r w:rsidRPr="00361189">
              <w:rPr>
                <w:rFonts w:ascii="Arial Narrow" w:hAnsi="Arial Narrow"/>
                <w:b/>
                <w:color w:val="auto"/>
                <w:sz w:val="20"/>
                <w:szCs w:val="20"/>
                <w:lang w:val="en-AU"/>
              </w:rPr>
              <w:t xml:space="preserve"> 4</w:t>
            </w:r>
            <w:r w:rsidRPr="00361189">
              <w:rPr>
                <w:rFonts w:ascii="Arial Narrow" w:hAnsi="Arial Narrow"/>
                <w:color w:val="auto"/>
                <w:sz w:val="20"/>
                <w:szCs w:val="20"/>
                <w:lang w:val="en-AU"/>
              </w:rPr>
              <w:t>, 5</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May lose ability to walk</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Normal lifespan</w:t>
            </w:r>
          </w:p>
        </w:tc>
      </w:tr>
      <w:tr w:rsidR="007B7A58" w:rsidRPr="00361189" w:rsidTr="00B22661">
        <w:trPr>
          <w:cantSplit/>
        </w:trPr>
        <w:tc>
          <w:tcPr>
            <w:tcW w:w="708" w:type="pct"/>
            <w:vAlign w:val="center"/>
            <w:hideMark/>
          </w:tcPr>
          <w:p w:rsidR="007B7A58" w:rsidRPr="00361189" w:rsidRDefault="007B7A58" w:rsidP="00057097">
            <w:pPr>
              <w:keepNext/>
              <w:snapToGrid w:val="0"/>
              <w:spacing w:line="257" w:lineRule="auto"/>
              <w:rPr>
                <w:rFonts w:ascii="Arial Narrow" w:hAnsi="Arial Narrow"/>
                <w:bCs/>
                <w:sz w:val="20"/>
                <w:szCs w:val="20"/>
              </w:rPr>
            </w:pPr>
            <w:r w:rsidRPr="00361189">
              <w:rPr>
                <w:rFonts w:ascii="Arial Narrow" w:hAnsi="Arial Narrow"/>
                <w:bCs/>
                <w:sz w:val="20"/>
                <w:szCs w:val="20"/>
              </w:rPr>
              <w:t>Adult-onset</w:t>
            </w:r>
          </w:p>
        </w:tc>
        <w:tc>
          <w:tcPr>
            <w:tcW w:w="593" w:type="pct"/>
            <w:tcMar>
              <w:top w:w="0" w:type="dxa"/>
              <w:left w:w="108" w:type="dxa"/>
              <w:bottom w:w="0" w:type="dxa"/>
              <w:right w:w="108" w:type="dxa"/>
            </w:tcMar>
            <w:vAlign w:val="center"/>
            <w:hideMark/>
          </w:tcPr>
          <w:p w:rsidR="007B7A58" w:rsidRPr="00361189" w:rsidRDefault="007B7A58" w:rsidP="00057097">
            <w:pPr>
              <w:keepNext/>
              <w:snapToGrid w:val="0"/>
              <w:spacing w:line="257" w:lineRule="auto"/>
              <w:jc w:val="center"/>
              <w:rPr>
                <w:rFonts w:ascii="Arial Narrow" w:hAnsi="Arial Narrow"/>
                <w:bCs/>
                <w:sz w:val="20"/>
                <w:szCs w:val="20"/>
                <w:lang w:eastAsia="ja-JP"/>
              </w:rPr>
            </w:pPr>
            <w:r w:rsidRPr="00361189">
              <w:rPr>
                <w:rFonts w:ascii="Arial Narrow" w:hAnsi="Arial Narrow"/>
                <w:bCs/>
                <w:sz w:val="20"/>
                <w:szCs w:val="20"/>
              </w:rPr>
              <w:t>IV</w:t>
            </w:r>
          </w:p>
        </w:tc>
        <w:tc>
          <w:tcPr>
            <w:tcW w:w="728" w:type="pct"/>
            <w:tcMar>
              <w:top w:w="0" w:type="dxa"/>
              <w:left w:w="108" w:type="dxa"/>
              <w:bottom w:w="0" w:type="dxa"/>
              <w:right w:w="108" w:type="dxa"/>
            </w:tcMar>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&gt;18 years</w:t>
            </w:r>
          </w:p>
        </w:tc>
        <w:tc>
          <w:tcPr>
            <w:tcW w:w="622"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Normal</w:t>
            </w:r>
          </w:p>
        </w:tc>
        <w:tc>
          <w:tcPr>
            <w:tcW w:w="709"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b/>
                <w:color w:val="auto"/>
                <w:sz w:val="20"/>
                <w:szCs w:val="20"/>
                <w:lang w:val="en-AU"/>
              </w:rPr>
              <w:t>4</w:t>
            </w:r>
            <w:r w:rsidRPr="00361189">
              <w:rPr>
                <w:rFonts w:ascii="Arial Narrow" w:hAnsi="Arial Narrow"/>
                <w:color w:val="auto"/>
                <w:sz w:val="20"/>
                <w:szCs w:val="20"/>
                <w:lang w:val="en-AU"/>
              </w:rPr>
              <w:t>,</w:t>
            </w:r>
            <w:r w:rsidRPr="00361189">
              <w:rPr>
                <w:rFonts w:ascii="Arial Narrow" w:hAnsi="Arial Narrow"/>
                <w:b/>
                <w:color w:val="auto"/>
                <w:sz w:val="20"/>
                <w:szCs w:val="20"/>
                <w:lang w:val="en-AU"/>
              </w:rPr>
              <w:t xml:space="preserve"> 5</w:t>
            </w:r>
            <w:r w:rsidRPr="00361189">
              <w:rPr>
                <w:rFonts w:ascii="Arial Narrow" w:hAnsi="Arial Narrow"/>
                <w:color w:val="auto"/>
                <w:sz w:val="20"/>
                <w:szCs w:val="20"/>
                <w:lang w:val="en-AU"/>
              </w:rPr>
              <w:t>, 6</w:t>
            </w:r>
          </w:p>
        </w:tc>
        <w:tc>
          <w:tcPr>
            <w:tcW w:w="993"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Mild motor impairment</w:t>
            </w:r>
          </w:p>
        </w:tc>
        <w:tc>
          <w:tcPr>
            <w:tcW w:w="647" w:type="pct"/>
            <w:vAlign w:val="center"/>
            <w:hideMark/>
          </w:tcPr>
          <w:p w:rsidR="007B7A58" w:rsidRPr="00361189" w:rsidRDefault="007B7A58" w:rsidP="00057097">
            <w:pPr>
              <w:pStyle w:val="Default"/>
              <w:keepNext/>
              <w:spacing w:line="257" w:lineRule="auto"/>
              <w:jc w:val="center"/>
              <w:rPr>
                <w:rFonts w:ascii="Arial Narrow" w:hAnsi="Arial Narrow"/>
                <w:color w:val="auto"/>
                <w:sz w:val="20"/>
                <w:szCs w:val="20"/>
                <w:lang w:val="en-AU"/>
              </w:rPr>
            </w:pPr>
            <w:r w:rsidRPr="00361189">
              <w:rPr>
                <w:rFonts w:ascii="Arial Narrow" w:hAnsi="Arial Narrow"/>
                <w:color w:val="auto"/>
                <w:sz w:val="20"/>
                <w:szCs w:val="20"/>
                <w:lang w:val="en-AU"/>
              </w:rPr>
              <w:t>Normal lifespan</w:t>
            </w:r>
          </w:p>
        </w:tc>
      </w:tr>
    </w:tbl>
    <w:p w:rsidR="007B7A58" w:rsidRPr="00361189" w:rsidRDefault="007B7A58" w:rsidP="007B7A58">
      <w:pPr>
        <w:pStyle w:val="V50Instructions"/>
        <w:keepNext/>
        <w:spacing w:before="0" w:after="0"/>
        <w:rPr>
          <w:rFonts w:ascii="Arial Narrow" w:hAnsi="Arial Narrow"/>
          <w:color w:val="auto"/>
          <w:sz w:val="18"/>
          <w:szCs w:val="18"/>
        </w:rPr>
      </w:pPr>
      <w:r w:rsidRPr="00361189">
        <w:rPr>
          <w:rFonts w:ascii="Arial Narrow" w:hAnsi="Arial Narrow"/>
          <w:color w:val="auto"/>
          <w:sz w:val="18"/>
          <w:szCs w:val="18"/>
        </w:rPr>
        <w:t xml:space="preserve">Abbreviations: SMA, spinal muscular atrophy; </w:t>
      </w:r>
      <w:r w:rsidRPr="00361189">
        <w:rPr>
          <w:rFonts w:ascii="Arial Narrow" w:hAnsi="Arial Narrow"/>
          <w:i/>
          <w:color w:val="auto"/>
          <w:sz w:val="18"/>
          <w:szCs w:val="18"/>
        </w:rPr>
        <w:t>SMN; survival-of-motor-neuron 2</w:t>
      </w:r>
      <w:r w:rsidRPr="00361189">
        <w:rPr>
          <w:rFonts w:ascii="Arial Narrow" w:hAnsi="Arial Narrow"/>
          <w:color w:val="auto"/>
          <w:sz w:val="18"/>
          <w:szCs w:val="18"/>
        </w:rPr>
        <w:t xml:space="preserve"> gene </w:t>
      </w:r>
    </w:p>
    <w:p w:rsidR="007B7A58" w:rsidRPr="00361189" w:rsidRDefault="007B7A58" w:rsidP="007B7A58">
      <w:pPr>
        <w:keepNext/>
        <w:tabs>
          <w:tab w:val="left" w:pos="284"/>
        </w:tabs>
        <w:rPr>
          <w:rFonts w:ascii="Arial Narrow" w:hAnsi="Arial Narrow"/>
          <w:sz w:val="18"/>
          <w:szCs w:val="18"/>
        </w:rPr>
      </w:pPr>
      <w:r w:rsidRPr="00361189">
        <w:rPr>
          <w:rFonts w:ascii="Arial Narrow" w:hAnsi="Arial Narrow"/>
          <w:sz w:val="18"/>
          <w:szCs w:val="18"/>
        </w:rPr>
        <w:t>*</w:t>
      </w:r>
      <w:r w:rsidRPr="00361189">
        <w:rPr>
          <w:rFonts w:ascii="Arial Narrow" w:hAnsi="Arial Narrow"/>
          <w:sz w:val="18"/>
          <w:szCs w:val="18"/>
        </w:rPr>
        <w:tab/>
        <w:t>Need for respiratory support at birth; contractures at birth, reduced fetal movements.</w:t>
      </w:r>
    </w:p>
    <w:p w:rsidR="007B7A58" w:rsidRPr="00361189" w:rsidRDefault="007B7A58" w:rsidP="007B7A58">
      <w:pPr>
        <w:keepNext/>
        <w:tabs>
          <w:tab w:val="left" w:pos="284"/>
        </w:tabs>
        <w:rPr>
          <w:rFonts w:ascii="Arial Narrow" w:hAnsi="Arial Narrow"/>
          <w:sz w:val="18"/>
          <w:szCs w:val="18"/>
        </w:rPr>
      </w:pPr>
      <w:r w:rsidRPr="00361189">
        <w:rPr>
          <w:rFonts w:ascii="Arial Narrow" w:hAnsi="Arial Narrow"/>
          <w:sz w:val="18"/>
          <w:szCs w:val="18"/>
        </w:rPr>
        <w:t>^</w:t>
      </w:r>
      <w:r w:rsidRPr="00361189">
        <w:rPr>
          <w:rFonts w:ascii="Arial Narrow" w:hAnsi="Arial Narrow"/>
          <w:sz w:val="18"/>
          <w:szCs w:val="18"/>
        </w:rPr>
        <w:tab/>
        <w:t>Prognosis varies with phenotype and standard of care interventions</w:t>
      </w:r>
    </w:p>
    <w:p w:rsidR="007B7A58" w:rsidRPr="00361189" w:rsidRDefault="007B7A58" w:rsidP="007B7A58">
      <w:pPr>
        <w:keepNext/>
        <w:tabs>
          <w:tab w:val="left" w:pos="284"/>
        </w:tabs>
        <w:rPr>
          <w:rFonts w:ascii="Arial Narrow" w:hAnsi="Arial Narrow"/>
          <w:sz w:val="18"/>
          <w:szCs w:val="18"/>
        </w:rPr>
      </w:pPr>
      <w:r w:rsidRPr="00361189">
        <w:rPr>
          <w:rFonts w:ascii="Arial Narrow" w:hAnsi="Arial Narrow"/>
          <w:sz w:val="18"/>
          <w:szCs w:val="18"/>
        </w:rPr>
        <w:t>#</w:t>
      </w:r>
      <w:r w:rsidRPr="00361189">
        <w:rPr>
          <w:rFonts w:ascii="Arial Narrow" w:hAnsi="Arial Narrow"/>
          <w:sz w:val="18"/>
          <w:szCs w:val="18"/>
        </w:rPr>
        <w:tab/>
        <w:t>Ia joint contractures present at birth; Ic may achieve head control.</w:t>
      </w:r>
    </w:p>
    <w:p w:rsidR="007B7A58" w:rsidRPr="00361189" w:rsidRDefault="007B7A58" w:rsidP="007B7A58">
      <w:pPr>
        <w:keepNext/>
        <w:rPr>
          <w:rFonts w:ascii="Arial Narrow" w:hAnsi="Arial Narrow"/>
          <w:sz w:val="18"/>
          <w:szCs w:val="18"/>
        </w:rPr>
      </w:pPr>
      <w:r w:rsidRPr="00361189">
        <w:rPr>
          <w:rFonts w:ascii="Arial Narrow" w:hAnsi="Arial Narrow"/>
          <w:sz w:val="18"/>
          <w:szCs w:val="18"/>
        </w:rPr>
        <w:t xml:space="preserve">Note: The most common number of copies of the </w:t>
      </w:r>
      <w:r w:rsidRPr="00361189">
        <w:rPr>
          <w:rFonts w:ascii="Arial Narrow" w:hAnsi="Arial Narrow"/>
          <w:i/>
          <w:sz w:val="18"/>
          <w:szCs w:val="18"/>
        </w:rPr>
        <w:t>SMN2</w:t>
      </w:r>
      <w:r w:rsidRPr="00361189">
        <w:rPr>
          <w:rFonts w:ascii="Arial Narrow" w:hAnsi="Arial Narrow"/>
          <w:sz w:val="18"/>
          <w:szCs w:val="18"/>
        </w:rPr>
        <w:t xml:space="preserve"> gene for each type of SMA are bolded</w:t>
      </w:r>
      <w:r w:rsidR="00361189">
        <w:rPr>
          <w:rFonts w:ascii="Arial Narrow" w:hAnsi="Arial Narrow"/>
          <w:sz w:val="18"/>
          <w:szCs w:val="18"/>
        </w:rPr>
        <w:t xml:space="preserve">. </w:t>
      </w:r>
    </w:p>
    <w:p w:rsidR="007B7A58" w:rsidRPr="00361189" w:rsidRDefault="007B7A58" w:rsidP="008266B0">
      <w:pPr>
        <w:pStyle w:val="V50Instructions"/>
        <w:keepNext/>
        <w:spacing w:before="0" w:after="120"/>
        <w:rPr>
          <w:rFonts w:ascii="Arial Narrow" w:hAnsi="Arial Narrow"/>
          <w:color w:val="auto"/>
          <w:sz w:val="18"/>
          <w:szCs w:val="18"/>
        </w:rPr>
      </w:pPr>
      <w:r w:rsidRPr="00361189">
        <w:rPr>
          <w:rFonts w:ascii="Arial Narrow" w:hAnsi="Arial Narrow"/>
          <w:color w:val="auto"/>
          <w:sz w:val="18"/>
          <w:szCs w:val="18"/>
        </w:rPr>
        <w:t>Source: Table 1-3, p25 of the resubmission</w:t>
      </w:r>
    </w:p>
    <w:p w:rsidR="00C56F0B" w:rsidRPr="00361189" w:rsidRDefault="00C56F0B" w:rsidP="00C56F0B">
      <w:pPr>
        <w:pStyle w:val="3-BodyText"/>
      </w:pPr>
      <w:r w:rsidRPr="00361189">
        <w:t>The resubmission noted that advice from MSAC was that “</w:t>
      </w:r>
      <w:r w:rsidRPr="00361189">
        <w:rPr>
          <w:i/>
        </w:rPr>
        <w:t>SMN2</w:t>
      </w:r>
      <w:r w:rsidRPr="00361189">
        <w:t xml:space="preserve"> copy number variation offers some prognostic value and that MSAC considered the prognostic value was more reliable for infants with two or less copies of </w:t>
      </w:r>
      <w:r w:rsidRPr="00361189">
        <w:rPr>
          <w:i/>
        </w:rPr>
        <w:t>SMN2</w:t>
      </w:r>
      <w:r w:rsidRPr="00361189">
        <w:t xml:space="preserve"> compared with three or less copies of </w:t>
      </w:r>
      <w:r w:rsidRPr="00361189">
        <w:rPr>
          <w:i/>
        </w:rPr>
        <w:t>SMN2</w:t>
      </w:r>
      <w:r w:rsidR="00361189">
        <w:t xml:space="preserve">. </w:t>
      </w:r>
      <w:r w:rsidRPr="00361189">
        <w:t xml:space="preserve">The PBAC noted that although MSAC considered </w:t>
      </w:r>
      <w:r w:rsidRPr="00361189">
        <w:rPr>
          <w:i/>
        </w:rPr>
        <w:t>SMN2</w:t>
      </w:r>
      <w:r w:rsidRPr="00361189">
        <w:t xml:space="preserve"> copy number to be the main source of prognostic information for SMA severity, MSAC advised there are several other genetic components besides the </w:t>
      </w:r>
      <w:r w:rsidRPr="00361189">
        <w:rPr>
          <w:i/>
        </w:rPr>
        <w:t>SMN2</w:t>
      </w:r>
      <w:r w:rsidRPr="00361189">
        <w:t xml:space="preserve"> copy number that may also modify the phenotype to some extent” (</w:t>
      </w:r>
      <w:r w:rsidR="004A558A" w:rsidRPr="00361189">
        <w:t>p</w:t>
      </w:r>
      <w:r w:rsidRPr="00361189">
        <w:t>ara</w:t>
      </w:r>
      <w:r w:rsidR="004A558A" w:rsidRPr="00361189">
        <w:t>graph</w:t>
      </w:r>
      <w:r w:rsidRPr="00361189">
        <w:t xml:space="preserve"> 11.2, nusinersen</w:t>
      </w:r>
      <w:r w:rsidR="00A24EB2" w:rsidRPr="00361189">
        <w:t>, Addendum to the July 2019 PSD,</w:t>
      </w:r>
      <w:r w:rsidRPr="00361189">
        <w:t xml:space="preserve"> November 2019)</w:t>
      </w:r>
      <w:r w:rsidR="00361189">
        <w:t xml:space="preserve">. </w:t>
      </w:r>
      <w:r w:rsidR="00933D9A" w:rsidRPr="00361189">
        <w:t xml:space="preserve">As a result, MSAC advised the inclusion of additional criteria for pre-symptomatic patients with three copies of </w:t>
      </w:r>
      <w:r w:rsidR="00933D9A" w:rsidRPr="00361189">
        <w:rPr>
          <w:i/>
        </w:rPr>
        <w:t>SMN2</w:t>
      </w:r>
      <w:r w:rsidR="00933D9A" w:rsidRPr="00361189">
        <w:t xml:space="preserve"> in the event that such patients were also considered to be eligible for nusinersen (</w:t>
      </w:r>
      <w:r w:rsidR="00A24EB2" w:rsidRPr="00361189">
        <w:t>p</w:t>
      </w:r>
      <w:r w:rsidR="00933D9A" w:rsidRPr="00361189">
        <w:t>ara</w:t>
      </w:r>
      <w:r w:rsidR="00A24EB2" w:rsidRPr="00361189">
        <w:t>graph</w:t>
      </w:r>
      <w:r w:rsidR="00933D9A" w:rsidRPr="00361189">
        <w:t xml:space="preserve"> 10.3, nusinersen</w:t>
      </w:r>
      <w:r w:rsidR="00B55046" w:rsidRPr="00361189">
        <w:t>, Addendum to the July 2019 PSD,</w:t>
      </w:r>
      <w:r w:rsidR="00933D9A" w:rsidRPr="00361189">
        <w:t xml:space="preserve"> November 2019).</w:t>
      </w:r>
      <w:r w:rsidR="00664B1F" w:rsidRPr="00361189">
        <w:t xml:space="preserve"> </w:t>
      </w:r>
    </w:p>
    <w:p w:rsidR="002C2775" w:rsidRPr="00361189" w:rsidRDefault="000039AA" w:rsidP="00C56F0B">
      <w:pPr>
        <w:pStyle w:val="3-BodyText"/>
      </w:pPr>
      <w:r w:rsidRPr="00361189">
        <w:rPr>
          <w:color w:val="000000" w:themeColor="text1"/>
        </w:rPr>
        <w:t xml:space="preserve">Under the proposed restriction, patients with </w:t>
      </w:r>
      <w:r w:rsidR="00664B1F" w:rsidRPr="00361189">
        <w:rPr>
          <w:color w:val="000000" w:themeColor="text1"/>
        </w:rPr>
        <w:t>confirmed</w:t>
      </w:r>
      <w:r w:rsidRPr="00361189">
        <w:rPr>
          <w:color w:val="000000" w:themeColor="text1"/>
        </w:rPr>
        <w:t xml:space="preserve"> </w:t>
      </w:r>
      <w:r w:rsidRPr="00361189">
        <w:rPr>
          <w:i/>
          <w:color w:val="000000" w:themeColor="text1"/>
        </w:rPr>
        <w:t>SMN1</w:t>
      </w:r>
      <w:r w:rsidRPr="00361189">
        <w:rPr>
          <w:color w:val="000000" w:themeColor="text1"/>
        </w:rPr>
        <w:t xml:space="preserve"> deletion or mutation and</w:t>
      </w:r>
      <w:r w:rsidR="00664B1F" w:rsidRPr="00361189">
        <w:rPr>
          <w:color w:val="000000" w:themeColor="text1"/>
        </w:rPr>
        <w:t xml:space="preserve"> an</w:t>
      </w:r>
      <w:r w:rsidRPr="00361189">
        <w:rPr>
          <w:color w:val="000000" w:themeColor="text1"/>
        </w:rPr>
        <w:t xml:space="preserve"> </w:t>
      </w:r>
      <w:r w:rsidRPr="00361189">
        <w:rPr>
          <w:i/>
          <w:color w:val="000000" w:themeColor="text1"/>
        </w:rPr>
        <w:t>SMN2</w:t>
      </w:r>
      <w:r w:rsidRPr="00361189">
        <w:rPr>
          <w:color w:val="000000" w:themeColor="text1"/>
        </w:rPr>
        <w:t xml:space="preserve"> copy number </w:t>
      </w:r>
      <w:r w:rsidRPr="00361189">
        <w:rPr>
          <w:rFonts w:cstheme="minorHAnsi"/>
          <w:color w:val="000000" w:themeColor="text1"/>
        </w:rPr>
        <w:t>≤</w:t>
      </w:r>
      <w:r w:rsidRPr="00361189">
        <w:rPr>
          <w:color w:val="000000" w:themeColor="text1"/>
        </w:rPr>
        <w:t>2 will be treated with nusinersen in the absence of any SMA symptoms</w:t>
      </w:r>
      <w:r w:rsidR="00361189">
        <w:rPr>
          <w:color w:val="000000" w:themeColor="text1"/>
        </w:rPr>
        <w:t xml:space="preserve">. </w:t>
      </w:r>
      <w:r w:rsidRPr="00361189">
        <w:rPr>
          <w:color w:val="000000" w:themeColor="text1"/>
        </w:rPr>
        <w:t xml:space="preserve">Currently, nusinersen is only PBS subsidised for </w:t>
      </w:r>
      <w:r w:rsidR="00C56F0B" w:rsidRPr="00361189">
        <w:rPr>
          <w:color w:val="000000" w:themeColor="text1"/>
        </w:rPr>
        <w:t>patients who experienced at least two of the defined signs and symptoms of SMA Type I, II or IIIa prior to 3 years of age</w:t>
      </w:r>
      <w:r w:rsidR="00DA039D" w:rsidRPr="00361189">
        <w:rPr>
          <w:color w:val="000000" w:themeColor="text1"/>
        </w:rPr>
        <w:t>.</w:t>
      </w:r>
      <w:r w:rsidR="00C56F0B" w:rsidRPr="00361189">
        <w:rPr>
          <w:color w:val="000000" w:themeColor="text1"/>
        </w:rPr>
        <w:t xml:space="preserve"> </w:t>
      </w:r>
    </w:p>
    <w:p w:rsidR="00D76E35" w:rsidRPr="00361189" w:rsidRDefault="00D76E35" w:rsidP="00D76E35">
      <w:pPr>
        <w:pStyle w:val="3-BodyText"/>
        <w:numPr>
          <w:ilvl w:val="0"/>
          <w:numId w:val="0"/>
        </w:numPr>
        <w:ind w:left="720"/>
      </w:pPr>
      <w:r w:rsidRPr="00361189">
        <w:rPr>
          <w:i/>
        </w:rPr>
        <w:t>For more detail on PBAC’s view, see section 7 PBAC outcome.</w:t>
      </w:r>
    </w:p>
    <w:p w:rsidR="00B50DB8" w:rsidRPr="00361189" w:rsidRDefault="00B50DB8" w:rsidP="004E18E9">
      <w:pPr>
        <w:pStyle w:val="2-SectionHeading"/>
      </w:pPr>
      <w:bookmarkStart w:id="16" w:name="_Toc40874415"/>
      <w:r w:rsidRPr="00361189">
        <w:lastRenderedPageBreak/>
        <w:t>Comparator</w:t>
      </w:r>
      <w:bookmarkEnd w:id="16"/>
    </w:p>
    <w:p w:rsidR="00B50DB8" w:rsidRPr="00361189" w:rsidRDefault="00C56F0B" w:rsidP="00C56F0B">
      <w:pPr>
        <w:pStyle w:val="3-BodyText"/>
        <w:rPr>
          <w:snapToGrid/>
          <w:color w:val="000000" w:themeColor="text1"/>
        </w:rPr>
      </w:pPr>
      <w:r w:rsidRPr="00361189">
        <w:rPr>
          <w:color w:val="000000" w:themeColor="text1"/>
        </w:rPr>
        <w:t xml:space="preserve">The </w:t>
      </w:r>
      <w:r w:rsidR="00CD6D1B" w:rsidRPr="00361189">
        <w:rPr>
          <w:color w:val="000000" w:themeColor="text1"/>
        </w:rPr>
        <w:t>re</w:t>
      </w:r>
      <w:r w:rsidRPr="00361189">
        <w:rPr>
          <w:color w:val="000000" w:themeColor="text1"/>
        </w:rPr>
        <w:t>submission nominated SoC (i.e. symptomatic treatment with nusinersen upon diagnosis of SMA Types I, II or IIIa and identification of two signs or symptoms of SMA, noting that age of onset is described as a ‘sign or symptom’ in the current listing) as the main comparator</w:t>
      </w:r>
      <w:r w:rsidR="00361189">
        <w:rPr>
          <w:color w:val="000000" w:themeColor="text1"/>
        </w:rPr>
        <w:t xml:space="preserve">. </w:t>
      </w:r>
      <w:r w:rsidRPr="00361189">
        <w:rPr>
          <w:color w:val="000000" w:themeColor="text1"/>
        </w:rPr>
        <w:t>The nominated comparator</w:t>
      </w:r>
      <w:r w:rsidR="006C0065" w:rsidRPr="00361189">
        <w:rPr>
          <w:color w:val="000000" w:themeColor="text1"/>
        </w:rPr>
        <w:t xml:space="preserve"> was previously considered appropriate and has been</w:t>
      </w:r>
      <w:r w:rsidRPr="00361189">
        <w:rPr>
          <w:color w:val="000000" w:themeColor="text1"/>
        </w:rPr>
        <w:t xml:space="preserve"> </w:t>
      </w:r>
      <w:r w:rsidR="00DA039D" w:rsidRPr="00361189">
        <w:rPr>
          <w:color w:val="000000" w:themeColor="text1"/>
        </w:rPr>
        <w:t>accepted by the PBAC</w:t>
      </w:r>
      <w:r w:rsidRPr="00361189">
        <w:rPr>
          <w:color w:val="000000" w:themeColor="text1"/>
        </w:rPr>
        <w:t xml:space="preserve">. </w:t>
      </w:r>
    </w:p>
    <w:p w:rsidR="00223D5A" w:rsidRPr="00361189" w:rsidRDefault="00223D5A" w:rsidP="00223D5A">
      <w:pPr>
        <w:pStyle w:val="2-SectionHeading"/>
      </w:pPr>
      <w:bookmarkStart w:id="17" w:name="_Toc40874416"/>
      <w:bookmarkStart w:id="18" w:name="_Toc22897640"/>
      <w:r w:rsidRPr="00361189">
        <w:t>Consideration of the evidence</w:t>
      </w:r>
      <w:bookmarkEnd w:id="17"/>
    </w:p>
    <w:p w:rsidR="007C1B7B" w:rsidRPr="00361189" w:rsidRDefault="007C1B7B" w:rsidP="00692C47">
      <w:pPr>
        <w:pStyle w:val="3-BodyText"/>
      </w:pPr>
      <w:r w:rsidRPr="00361189">
        <w:t>The clinical evidence presented in the resubmission was</w:t>
      </w:r>
      <w:r w:rsidR="005B106B" w:rsidRPr="00361189">
        <w:t xml:space="preserve"> </w:t>
      </w:r>
      <w:r w:rsidRPr="00361189">
        <w:t>unchanged from the previous submission, with the exception of inclusion of an updated periodic safety report for the period of 31 May 2019 to 30 November 2019</w:t>
      </w:r>
      <w:r w:rsidR="00EB3B0D" w:rsidRPr="00361189">
        <w:t xml:space="preserve"> from the NURTURE trial</w:t>
      </w:r>
      <w:r w:rsidR="00361189">
        <w:t xml:space="preserve">. </w:t>
      </w:r>
      <w:r w:rsidRPr="00361189">
        <w:t xml:space="preserve">For brevity, only a summary of the clinical evidence </w:t>
      </w:r>
      <w:r w:rsidR="00745563" w:rsidRPr="00361189">
        <w:t>as considered by the PBAC (July 2019 and November 2019) and MSAC (August 2019) have been provided</w:t>
      </w:r>
      <w:r w:rsidRPr="00361189">
        <w:t>.</w:t>
      </w:r>
    </w:p>
    <w:p w:rsidR="00EB1C84" w:rsidRPr="00361189" w:rsidRDefault="00EB1C84" w:rsidP="00EB1C84">
      <w:pPr>
        <w:pStyle w:val="4-SubsectionHeading"/>
      </w:pPr>
      <w:bookmarkStart w:id="19" w:name="_Toc40874417"/>
      <w:r w:rsidRPr="00361189">
        <w:t>Sponsor hearing</w:t>
      </w:r>
    </w:p>
    <w:p w:rsidR="00EB1C84" w:rsidRPr="00361189" w:rsidRDefault="001E771E" w:rsidP="00EB1C84">
      <w:pPr>
        <w:pStyle w:val="3-BodyText"/>
      </w:pPr>
      <w:r w:rsidRPr="00361189">
        <w:t>The</w:t>
      </w:r>
      <w:r w:rsidR="00692BB7" w:rsidRPr="00361189">
        <w:t>re was no hearing for this item.</w:t>
      </w:r>
    </w:p>
    <w:p w:rsidR="00EB1C84" w:rsidRPr="00361189" w:rsidRDefault="00EB1C84" w:rsidP="00EB1C84">
      <w:pPr>
        <w:pStyle w:val="4-SubsectionHeading"/>
      </w:pPr>
      <w:r w:rsidRPr="00361189">
        <w:t>Consumer comments</w:t>
      </w:r>
    </w:p>
    <w:p w:rsidR="00EB1C84" w:rsidRPr="00361189" w:rsidRDefault="00634502" w:rsidP="002E4F02">
      <w:pPr>
        <w:pStyle w:val="3-BodyText"/>
      </w:pPr>
      <w:r w:rsidRPr="00361189">
        <w:t>The PBAC noted and welcomed the input from individuals (11)</w:t>
      </w:r>
      <w:r w:rsidR="00C263EE" w:rsidRPr="00361189">
        <w:t>, health care professionals (5) an</w:t>
      </w:r>
      <w:r w:rsidR="001A68BE" w:rsidRPr="00361189">
        <w:t>d</w:t>
      </w:r>
      <w:r w:rsidR="00C263EE" w:rsidRPr="00361189">
        <w:t xml:space="preserve"> organisations (4) via the Consumer Comments facility on the PBS website. </w:t>
      </w:r>
      <w:r w:rsidR="001A68BE" w:rsidRPr="00361189">
        <w:t xml:space="preserve">The </w:t>
      </w:r>
      <w:r w:rsidR="00361189" w:rsidRPr="00361189">
        <w:t>comments emphasised</w:t>
      </w:r>
      <w:r w:rsidR="001A68BE" w:rsidRPr="00361189">
        <w:t xml:space="preserve"> the importance of early </w:t>
      </w:r>
      <w:r w:rsidR="00692BB7" w:rsidRPr="00361189">
        <w:t>diagnosis and treatment of SMA. The comments from health care professionals noted the improvement in outcomes of patients treated early.</w:t>
      </w:r>
    </w:p>
    <w:p w:rsidR="00692BB7" w:rsidRPr="00361189" w:rsidRDefault="00692BB7" w:rsidP="002E4F02">
      <w:pPr>
        <w:pStyle w:val="3-BodyText"/>
      </w:pPr>
      <w:r w:rsidRPr="00361189">
        <w:t>The Genetic Undiagnosed and Rare Disease</w:t>
      </w:r>
      <w:r w:rsidR="000B4EE4" w:rsidRPr="00361189">
        <w:t xml:space="preserve"> (GUARD)</w:t>
      </w:r>
      <w:r w:rsidRPr="00361189">
        <w:t xml:space="preserve"> Collaboration</w:t>
      </w:r>
      <w:r w:rsidR="000B4EE4" w:rsidRPr="00361189">
        <w:t>,</w:t>
      </w:r>
      <w:r w:rsidR="00812315" w:rsidRPr="00361189">
        <w:t xml:space="preserve"> Spinal Muscular Atrophy Australia,</w:t>
      </w:r>
      <w:r w:rsidR="000B4EE4" w:rsidRPr="00361189">
        <w:t xml:space="preserve"> </w:t>
      </w:r>
      <w:r w:rsidR="00812315" w:rsidRPr="00361189">
        <w:t xml:space="preserve">Rare Voices Australia and the National Paediatric Medicines Forum supported extension of the current listing to include pre-symptomatic initiation of treatment. </w:t>
      </w:r>
      <w:r w:rsidR="00B812D2" w:rsidRPr="00361189">
        <w:t>The organisations</w:t>
      </w:r>
      <w:r w:rsidR="005631E2" w:rsidRPr="00361189">
        <w:t xml:space="preserve"> noted the rapidly changing therapeutic landscape for SMA and</w:t>
      </w:r>
      <w:r w:rsidR="00B812D2" w:rsidRPr="00361189">
        <w:t xml:space="preserve"> highlighted</w:t>
      </w:r>
      <w:r w:rsidR="00AB79F6" w:rsidRPr="00361189">
        <w:t xml:space="preserve"> that the current requirement for symptoms to develop prior to accessing subsidised treatment has a considerable psychological</w:t>
      </w:r>
      <w:r w:rsidR="00B812D2" w:rsidRPr="00361189">
        <w:t xml:space="preserve"> impact on families</w:t>
      </w:r>
      <w:r w:rsidR="00AB79F6" w:rsidRPr="00361189">
        <w:t>.</w:t>
      </w:r>
    </w:p>
    <w:p w:rsidR="007C1B7B" w:rsidRPr="00361189" w:rsidRDefault="007C1B7B" w:rsidP="002E4F02">
      <w:pPr>
        <w:pStyle w:val="4-SubsectionHeading"/>
      </w:pPr>
      <w:r w:rsidRPr="00361189">
        <w:t>Prognostic value of SMN2 copy number</w:t>
      </w:r>
      <w:bookmarkEnd w:id="19"/>
      <w:r w:rsidRPr="00361189">
        <w:t xml:space="preserve"> </w:t>
      </w:r>
    </w:p>
    <w:p w:rsidR="007C1B7B" w:rsidRPr="00361189" w:rsidRDefault="007C1B7B" w:rsidP="00DA039D">
      <w:pPr>
        <w:pStyle w:val="3-BodyText"/>
        <w:spacing w:after="0"/>
      </w:pPr>
      <w:r w:rsidRPr="00361189">
        <w:t xml:space="preserve">The </w:t>
      </w:r>
      <w:r w:rsidR="00057097" w:rsidRPr="00361189">
        <w:t xml:space="preserve">prognostic value of </w:t>
      </w:r>
      <w:r w:rsidR="00057097" w:rsidRPr="00361189">
        <w:rPr>
          <w:i/>
        </w:rPr>
        <w:t>SMN2</w:t>
      </w:r>
      <w:r w:rsidR="00057097" w:rsidRPr="00361189">
        <w:t xml:space="preserve"> copy number in SMA was considered by MSAC as part of the </w:t>
      </w:r>
      <w:r w:rsidR="00AE0DA0" w:rsidRPr="00361189">
        <w:t>co-dependent</w:t>
      </w:r>
      <w:r w:rsidR="00057097" w:rsidRPr="00361189">
        <w:t xml:space="preserve"> technology submission in July 2019 at its August 2019 meeting</w:t>
      </w:r>
      <w:r w:rsidR="00745563" w:rsidRPr="00361189">
        <w:t xml:space="preserve"> (Application no. 1589)</w:t>
      </w:r>
      <w:r w:rsidR="00361189">
        <w:t xml:space="preserve">. </w:t>
      </w:r>
      <w:r w:rsidR="00057097" w:rsidRPr="00361189">
        <w:t>MSAC noted that:</w:t>
      </w:r>
    </w:p>
    <w:p w:rsidR="00057097" w:rsidRPr="00361189" w:rsidRDefault="00057097" w:rsidP="00600BA7">
      <w:pPr>
        <w:pStyle w:val="ListParagraph"/>
        <w:numPr>
          <w:ilvl w:val="0"/>
          <w:numId w:val="15"/>
        </w:numPr>
        <w:spacing w:after="0"/>
        <w:ind w:left="1134" w:hanging="284"/>
      </w:pPr>
      <w:r w:rsidRPr="00361189">
        <w:t>The most relevant data come from studies which reported SM</w:t>
      </w:r>
      <w:r w:rsidR="00DA039D" w:rsidRPr="00361189">
        <w:t>A Type IIIa and IIIb separately.</w:t>
      </w:r>
    </w:p>
    <w:p w:rsidR="00057097" w:rsidRPr="00361189" w:rsidRDefault="00057097" w:rsidP="00057097">
      <w:pPr>
        <w:pStyle w:val="ListBullet"/>
        <w:tabs>
          <w:tab w:val="num" w:pos="770"/>
        </w:tabs>
        <w:ind w:left="1134" w:hanging="283"/>
      </w:pPr>
      <w:r w:rsidRPr="00361189">
        <w:rPr>
          <w:i/>
        </w:rPr>
        <w:t>SMN2</w:t>
      </w:r>
      <w:r w:rsidRPr="00361189">
        <w:t xml:space="preserve"> copy number variation does offer some prognostic value – that is, more copies of </w:t>
      </w:r>
      <w:r w:rsidRPr="00361189">
        <w:rPr>
          <w:i/>
        </w:rPr>
        <w:t>SMN2</w:t>
      </w:r>
      <w:r w:rsidRPr="00361189">
        <w:t xml:space="preserve"> generally results in less severe SMA, and less copies of </w:t>
      </w:r>
      <w:r w:rsidRPr="00361189">
        <w:rPr>
          <w:i/>
        </w:rPr>
        <w:t>SMN2</w:t>
      </w:r>
      <w:r w:rsidRPr="00361189">
        <w:t xml:space="preserve"> generally results in more severe SMA</w:t>
      </w:r>
      <w:r w:rsidR="00361189">
        <w:t xml:space="preserve">. </w:t>
      </w:r>
      <w:r w:rsidRPr="00361189">
        <w:t xml:space="preserve">MSAC considered that the prognostic value was more reliable for infants with ≤2 copies of </w:t>
      </w:r>
      <w:r w:rsidRPr="00361189">
        <w:rPr>
          <w:i/>
        </w:rPr>
        <w:t>SMN2</w:t>
      </w:r>
      <w:r w:rsidRPr="00361189">
        <w:t xml:space="preserve"> compared with ≤3 copies</w:t>
      </w:r>
      <w:r w:rsidR="00361189">
        <w:t xml:space="preserve">. </w:t>
      </w:r>
      <w:r w:rsidRPr="00361189">
        <w:t xml:space="preserve">However, this correlation between </w:t>
      </w:r>
      <w:r w:rsidRPr="00361189">
        <w:rPr>
          <w:i/>
        </w:rPr>
        <w:t>SMN2</w:t>
      </w:r>
      <w:r w:rsidRPr="00361189">
        <w:t xml:space="preserve"> copy number and disease s</w:t>
      </w:r>
      <w:r w:rsidR="00DA039D" w:rsidRPr="00361189">
        <w:t>everity appears to be imperfect.</w:t>
      </w:r>
    </w:p>
    <w:p w:rsidR="00057097" w:rsidRPr="00361189" w:rsidRDefault="00057097" w:rsidP="005B106B">
      <w:pPr>
        <w:pStyle w:val="ListBullet"/>
        <w:tabs>
          <w:tab w:val="num" w:pos="770"/>
          <w:tab w:val="num" w:pos="1134"/>
        </w:tabs>
        <w:ind w:left="1134" w:hanging="283"/>
      </w:pPr>
      <w:r w:rsidRPr="00361189">
        <w:lastRenderedPageBreak/>
        <w:t xml:space="preserve">Patients with pre-symptomatic SMA and one or two copies of </w:t>
      </w:r>
      <w:r w:rsidRPr="00361189">
        <w:rPr>
          <w:i/>
        </w:rPr>
        <w:t>SMN2</w:t>
      </w:r>
      <w:r w:rsidRPr="00361189">
        <w:t xml:space="preserve"> could be considered suitable as a prerequisite part of the eligibility criteria for any extended PBS restriction for nusinersen (</w:t>
      </w:r>
      <w:r w:rsidR="00DA039D" w:rsidRPr="00361189">
        <w:t>Table 5</w:t>
      </w:r>
      <w:r w:rsidRPr="00361189">
        <w:t>)</w:t>
      </w:r>
      <w:r w:rsidR="00361189">
        <w:t xml:space="preserve">. </w:t>
      </w:r>
      <w:r w:rsidRPr="00361189">
        <w:t xml:space="preserve">However, MSAC also advised that patients with pre-symptomatic SMA and three copies of </w:t>
      </w:r>
      <w:r w:rsidRPr="00361189">
        <w:rPr>
          <w:i/>
        </w:rPr>
        <w:t>SMN2</w:t>
      </w:r>
      <w:r w:rsidRPr="00361189">
        <w:t xml:space="preserve"> should also undergo clinical assessment and electromyography testing by a neuromuscular specialist to detect any early signs of motor abnormality as a prerequisite part of the eligibility criteria for any extended PBS restriction for nusinersen</w:t>
      </w:r>
      <w:r w:rsidR="00361189">
        <w:t xml:space="preserve">. </w:t>
      </w:r>
      <w:r w:rsidRPr="00361189">
        <w:t xml:space="preserve">The purpose of this would be to reduce some of the negative consequences of the false positive rate estimated above at 4.28% (Sum of </w:t>
      </w:r>
      <w:r w:rsidRPr="00361189">
        <w:rPr>
          <w:i/>
        </w:rPr>
        <w:t>SMN2</w:t>
      </w:r>
      <w:r w:rsidRPr="00361189">
        <w:t xml:space="preserve"> copy number 1, 2 or 3 and Type IIIb or IV) based on </w:t>
      </w:r>
      <w:r w:rsidRPr="00361189">
        <w:rPr>
          <w:i/>
        </w:rPr>
        <w:t>SMN2</w:t>
      </w:r>
      <w:r w:rsidR="00745563" w:rsidRPr="00361189">
        <w:t xml:space="preserve"> copy number alone (</w:t>
      </w:r>
      <w:r w:rsidR="00DA039D" w:rsidRPr="00361189">
        <w:t>Table 6</w:t>
      </w:r>
      <w:r w:rsidR="00745563" w:rsidRPr="00361189">
        <w:t>)</w:t>
      </w:r>
      <w:r w:rsidR="005B106B" w:rsidRPr="00361189">
        <w:t>.</w:t>
      </w:r>
    </w:p>
    <w:p w:rsidR="008730DB" w:rsidRPr="00361189" w:rsidRDefault="008730DB" w:rsidP="005B106B">
      <w:pPr>
        <w:pStyle w:val="ListBullet"/>
        <w:tabs>
          <w:tab w:val="num" w:pos="770"/>
          <w:tab w:val="num" w:pos="1134"/>
        </w:tabs>
        <w:ind w:left="1134" w:hanging="283"/>
      </w:pPr>
      <w:r w:rsidRPr="00361189">
        <w:t xml:space="preserve">That there is insufficient evidence on the prevalence of patients who are genotypically abnormal but remain phenotypically normal throughout their life to modify the estimated proportions of pre-symptomatic patients being eligible for nusinersen based on </w:t>
      </w:r>
      <w:r w:rsidRPr="00361189">
        <w:rPr>
          <w:i/>
        </w:rPr>
        <w:t>SMN2</w:t>
      </w:r>
      <w:r w:rsidRPr="00361189">
        <w:t xml:space="preserve"> copy number and associated false positive rates.</w:t>
      </w:r>
    </w:p>
    <w:p w:rsidR="00057097" w:rsidRPr="00361189" w:rsidRDefault="00057097" w:rsidP="00057097">
      <w:pPr>
        <w:pStyle w:val="ListBullet"/>
        <w:numPr>
          <w:ilvl w:val="0"/>
          <w:numId w:val="0"/>
        </w:numPr>
        <w:ind w:left="770"/>
      </w:pPr>
    </w:p>
    <w:p w:rsidR="00057097" w:rsidRPr="00361189" w:rsidRDefault="00DA039D" w:rsidP="00FD4248">
      <w:pPr>
        <w:pStyle w:val="ListBullet"/>
        <w:keepNext/>
        <w:numPr>
          <w:ilvl w:val="0"/>
          <w:numId w:val="0"/>
        </w:numPr>
        <w:rPr>
          <w:rFonts w:ascii="Arial Narrow" w:hAnsi="Arial Narrow"/>
          <w:b/>
          <w:sz w:val="20"/>
          <w:szCs w:val="20"/>
        </w:rPr>
      </w:pPr>
      <w:bookmarkStart w:id="20" w:name="_Ref39363021"/>
      <w:r w:rsidRPr="00361189">
        <w:rPr>
          <w:rFonts w:ascii="Arial Narrow" w:hAnsi="Arial Narrow"/>
          <w:b/>
          <w:sz w:val="20"/>
          <w:szCs w:val="20"/>
        </w:rPr>
        <w:t xml:space="preserve">Table </w:t>
      </w:r>
      <w:r w:rsidR="00EA503E" w:rsidRPr="00361189">
        <w:rPr>
          <w:rFonts w:ascii="Arial Narrow" w:hAnsi="Arial Narrow"/>
          <w:b/>
          <w:sz w:val="20"/>
          <w:szCs w:val="20"/>
        </w:rPr>
        <w:t>5</w:t>
      </w:r>
      <w:bookmarkEnd w:id="20"/>
      <w:r w:rsidR="00057097" w:rsidRPr="00361189">
        <w:rPr>
          <w:rFonts w:ascii="Arial Narrow" w:hAnsi="Arial Narrow"/>
          <w:b/>
          <w:sz w:val="20"/>
          <w:szCs w:val="20"/>
        </w:rPr>
        <w:t xml:space="preserve">: Proportion of SMA patients eligible for nusinersen with pre-symptomatic initiation of treatment and in current practice based on </w:t>
      </w:r>
      <w:r w:rsidR="00057097" w:rsidRPr="00361189">
        <w:rPr>
          <w:rFonts w:ascii="Arial Narrow" w:hAnsi="Arial Narrow"/>
          <w:b/>
          <w:i/>
          <w:sz w:val="20"/>
          <w:szCs w:val="20"/>
        </w:rPr>
        <w:t>SMN2</w:t>
      </w:r>
      <w:r w:rsidR="00057097" w:rsidRPr="00361189">
        <w:rPr>
          <w:rFonts w:ascii="Arial Narrow" w:hAnsi="Arial Narrow"/>
          <w:b/>
          <w:sz w:val="20"/>
          <w:szCs w:val="20"/>
        </w:rPr>
        <w:t xml:space="preserve"> copy number threshold of 2 or less, using studies which only reported different SMA types including IIIa and IIIb</w:t>
      </w:r>
    </w:p>
    <w:p w:rsidR="00057097" w:rsidRPr="00361189" w:rsidRDefault="00057097" w:rsidP="00FD4248">
      <w:pPr>
        <w:pStyle w:val="ListBullet"/>
        <w:numPr>
          <w:ilvl w:val="0"/>
          <w:numId w:val="0"/>
        </w:numPr>
        <w:jc w:val="center"/>
        <w:rPr>
          <w:rFonts w:ascii="Arial Narrow" w:hAnsi="Arial Narrow"/>
          <w:b/>
          <w:sz w:val="20"/>
          <w:szCs w:val="20"/>
        </w:rPr>
      </w:pPr>
      <w:r w:rsidRPr="00361189">
        <w:rPr>
          <w:noProof/>
        </w:rPr>
        <w:drawing>
          <wp:inline distT="0" distB="0" distL="0" distR="0" wp14:anchorId="06E06B80" wp14:editId="02B123EB">
            <wp:extent cx="4754329" cy="1104900"/>
            <wp:effectExtent l="0" t="0" r="8255" b="0"/>
            <wp:docPr id="12" name="Picture 12" title="Table 5: Proportion of SMA patients eligible for nusinersen with pre-symptomatic initiation of treatment and in current practice based on SMN2 copy number threshold of 2 or less, using studies which only reported different SMA types including IIIa and II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9009" cy="1140847"/>
                    </a:xfrm>
                    <a:prstGeom prst="rect">
                      <a:avLst/>
                    </a:prstGeom>
                    <a:noFill/>
                    <a:ln>
                      <a:noFill/>
                    </a:ln>
                  </pic:spPr>
                </pic:pic>
              </a:graphicData>
            </a:graphic>
          </wp:inline>
        </w:drawing>
      </w:r>
    </w:p>
    <w:p w:rsidR="00057097" w:rsidRPr="00361189" w:rsidRDefault="00057097" w:rsidP="00FD4248">
      <w:pPr>
        <w:pStyle w:val="ListBullet"/>
        <w:numPr>
          <w:ilvl w:val="0"/>
          <w:numId w:val="0"/>
        </w:numPr>
        <w:jc w:val="left"/>
        <w:rPr>
          <w:rFonts w:ascii="Arial Narrow" w:hAnsi="Arial Narrow"/>
          <w:b/>
          <w:sz w:val="20"/>
          <w:szCs w:val="20"/>
        </w:rPr>
      </w:pPr>
    </w:p>
    <w:p w:rsidR="00057097" w:rsidRPr="00361189" w:rsidRDefault="00DA039D" w:rsidP="00FD4248">
      <w:pPr>
        <w:pStyle w:val="ListBullet"/>
        <w:numPr>
          <w:ilvl w:val="0"/>
          <w:numId w:val="0"/>
        </w:numPr>
        <w:rPr>
          <w:rFonts w:ascii="Arial Narrow" w:hAnsi="Arial Narrow"/>
          <w:b/>
          <w:sz w:val="20"/>
          <w:szCs w:val="20"/>
        </w:rPr>
      </w:pPr>
      <w:bookmarkStart w:id="21" w:name="_Ref39363058"/>
      <w:r w:rsidRPr="00361189">
        <w:rPr>
          <w:rFonts w:ascii="Arial Narrow" w:hAnsi="Arial Narrow"/>
          <w:b/>
          <w:sz w:val="20"/>
          <w:szCs w:val="20"/>
        </w:rPr>
        <w:t xml:space="preserve">Table </w:t>
      </w:r>
      <w:r w:rsidR="0089312A" w:rsidRPr="00361189">
        <w:rPr>
          <w:rFonts w:ascii="Arial Narrow" w:hAnsi="Arial Narrow"/>
          <w:b/>
          <w:sz w:val="20"/>
          <w:szCs w:val="20"/>
        </w:rPr>
        <w:t>6</w:t>
      </w:r>
      <w:bookmarkEnd w:id="21"/>
      <w:r w:rsidR="00057097" w:rsidRPr="00361189">
        <w:rPr>
          <w:rFonts w:ascii="Arial Narrow" w:hAnsi="Arial Narrow"/>
          <w:b/>
          <w:sz w:val="20"/>
          <w:szCs w:val="20"/>
        </w:rPr>
        <w:t xml:space="preserve">: Proportion of SMA patients eligible for nusinersen with pre-symptomatic initiation of treatment and in current practice based on </w:t>
      </w:r>
      <w:r w:rsidR="00057097" w:rsidRPr="00361189">
        <w:rPr>
          <w:rFonts w:ascii="Arial Narrow" w:hAnsi="Arial Narrow"/>
          <w:b/>
          <w:i/>
          <w:sz w:val="20"/>
          <w:szCs w:val="20"/>
        </w:rPr>
        <w:t>SMN2</w:t>
      </w:r>
      <w:r w:rsidR="00057097" w:rsidRPr="00361189">
        <w:rPr>
          <w:rFonts w:ascii="Arial Narrow" w:hAnsi="Arial Narrow"/>
          <w:b/>
          <w:sz w:val="20"/>
          <w:szCs w:val="20"/>
        </w:rPr>
        <w:t xml:space="preserve"> copy number threshold of 3 or less, using studies which only reported different SMA types including IIIa and IIIb</w:t>
      </w:r>
    </w:p>
    <w:p w:rsidR="00057097" w:rsidRPr="00361189" w:rsidRDefault="00057097" w:rsidP="00675B61">
      <w:pPr>
        <w:pStyle w:val="ListBullet"/>
        <w:numPr>
          <w:ilvl w:val="0"/>
          <w:numId w:val="0"/>
        </w:numPr>
        <w:jc w:val="center"/>
      </w:pPr>
      <w:r w:rsidRPr="00361189">
        <w:rPr>
          <w:noProof/>
        </w:rPr>
        <w:drawing>
          <wp:inline distT="0" distB="0" distL="0" distR="0" wp14:anchorId="1E3A27A5" wp14:editId="26A67903">
            <wp:extent cx="4687801" cy="1162050"/>
            <wp:effectExtent l="0" t="0" r="0" b="0"/>
            <wp:docPr id="14" name="Picture 14" title="Table 6: Proportion of SMA patients eligible for nusinersen with pre-symptomatic initiation of treatment and in current practice based on SMN2 copy number threshold of 3 or less, using studies which only reported different SMA types including IIIa and II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1741" cy="1175421"/>
                    </a:xfrm>
                    <a:prstGeom prst="rect">
                      <a:avLst/>
                    </a:prstGeom>
                    <a:noFill/>
                    <a:ln>
                      <a:noFill/>
                    </a:ln>
                  </pic:spPr>
                </pic:pic>
              </a:graphicData>
            </a:graphic>
          </wp:inline>
        </w:drawing>
      </w:r>
    </w:p>
    <w:p w:rsidR="00057097" w:rsidRPr="00361189" w:rsidRDefault="00057097" w:rsidP="008730DB">
      <w:pPr>
        <w:pStyle w:val="ListBullet"/>
        <w:numPr>
          <w:ilvl w:val="0"/>
          <w:numId w:val="0"/>
        </w:numPr>
        <w:spacing w:after="120"/>
        <w:ind w:left="993"/>
      </w:pPr>
    </w:p>
    <w:p w:rsidR="00745563" w:rsidRPr="00361189" w:rsidRDefault="00745563" w:rsidP="007D0C1F">
      <w:pPr>
        <w:pStyle w:val="3-BodyText"/>
      </w:pPr>
      <w:bookmarkStart w:id="22" w:name="_Ref39364536"/>
      <w:r w:rsidRPr="00361189">
        <w:t>The resubmission appropriately used the revised estimates</w:t>
      </w:r>
      <w:r w:rsidR="00EA4E1A" w:rsidRPr="00361189">
        <w:t xml:space="preserve"> of distribution of SMA type by copy number,</w:t>
      </w:r>
      <w:r w:rsidRPr="00361189">
        <w:t xml:space="preserve"> </w:t>
      </w:r>
      <w:r w:rsidR="00EA4E1A" w:rsidRPr="00361189">
        <w:t>based</w:t>
      </w:r>
      <w:r w:rsidRPr="00361189">
        <w:t xml:space="preserve"> only </w:t>
      </w:r>
      <w:r w:rsidR="00EA4E1A" w:rsidRPr="00361189">
        <w:t xml:space="preserve">on </w:t>
      </w:r>
      <w:r w:rsidRPr="00361189">
        <w:t xml:space="preserve">publications which </w:t>
      </w:r>
      <w:r w:rsidR="00EA4E1A" w:rsidRPr="00361189">
        <w:t>reported</w:t>
      </w:r>
      <w:r w:rsidRPr="00361189">
        <w:t xml:space="preserve"> across multiple SMA types (as assessed by MSAC) </w:t>
      </w:r>
      <w:r w:rsidR="00EA4E1A" w:rsidRPr="00361189">
        <w:t xml:space="preserve">including Type IIIa and IIIb, </w:t>
      </w:r>
      <w:r w:rsidRPr="00361189">
        <w:t xml:space="preserve">to inform the distribution of SMA type by </w:t>
      </w:r>
      <w:r w:rsidRPr="00361189">
        <w:rPr>
          <w:i/>
        </w:rPr>
        <w:t>SMN2</w:t>
      </w:r>
      <w:r w:rsidRPr="00361189">
        <w:t xml:space="preserve"> copy number in the economic model and financial estimates</w:t>
      </w:r>
      <w:r w:rsidR="00EA4E1A" w:rsidRPr="00361189">
        <w:t xml:space="preserve"> (see</w:t>
      </w:r>
      <w:r w:rsidRPr="00361189">
        <w:t xml:space="preserve"> </w:t>
      </w:r>
      <w:r w:rsidR="00DA039D" w:rsidRPr="00361189">
        <w:t>Table 7</w:t>
      </w:r>
      <w:r w:rsidR="00EA4E1A" w:rsidRPr="00361189">
        <w:t>)</w:t>
      </w:r>
      <w:r w:rsidRPr="00361189">
        <w:t>.</w:t>
      </w:r>
      <w:bookmarkEnd w:id="22"/>
      <w:r w:rsidR="000470B3" w:rsidRPr="00361189">
        <w:t xml:space="preserve"> </w:t>
      </w:r>
      <w:r w:rsidR="005805A8" w:rsidRPr="00361189">
        <w:t xml:space="preserve">The ESC considered that these revised estimates are more likely to reflect the distribution of SMA type and SMN2 copy number of the eligible population compared to the distribution presented in the July 2019 submission, which was informed in part by </w:t>
      </w:r>
      <w:r w:rsidR="005805A8" w:rsidRPr="00361189">
        <w:rPr>
          <w:color w:val="000000" w:themeColor="text1"/>
        </w:rPr>
        <w:t>studies that did not report across the full spectrum of SMA</w:t>
      </w:r>
      <w:r w:rsidR="005805A8" w:rsidRPr="00361189">
        <w:t>. However</w:t>
      </w:r>
      <w:r w:rsidR="00222787" w:rsidRPr="00361189">
        <w:t>,</w:t>
      </w:r>
      <w:r w:rsidR="005805A8" w:rsidRPr="00361189">
        <w:t xml:space="preserve"> the ESC </w:t>
      </w:r>
      <w:r w:rsidR="000E3793" w:rsidRPr="00361189">
        <w:t xml:space="preserve">noted there would always be </w:t>
      </w:r>
      <w:r w:rsidR="00AA2BBF" w:rsidRPr="00361189">
        <w:t xml:space="preserve">some uncertainty </w:t>
      </w:r>
      <w:r w:rsidR="00222787" w:rsidRPr="00361189">
        <w:t>around the SMA type of patients</w:t>
      </w:r>
      <w:r w:rsidR="00892653" w:rsidRPr="00361189">
        <w:t xml:space="preserve"> that would </w:t>
      </w:r>
      <w:r w:rsidR="00892653" w:rsidRPr="00361189">
        <w:lastRenderedPageBreak/>
        <w:t>be treated</w:t>
      </w:r>
      <w:r w:rsidR="000E3793" w:rsidRPr="00361189">
        <w:t xml:space="preserve"> </w:t>
      </w:r>
      <w:r w:rsidR="00892653" w:rsidRPr="00361189">
        <w:t xml:space="preserve">as </w:t>
      </w:r>
      <w:r w:rsidR="000E3793" w:rsidRPr="00361189">
        <w:t>there would be no way to confirm this in the patient population</w:t>
      </w:r>
      <w:r w:rsidR="009F3BD9" w:rsidRPr="00361189">
        <w:t xml:space="preserve"> following pre-symptomatic initiation of treatment.</w:t>
      </w:r>
      <w:r w:rsidR="000E3793" w:rsidRPr="00361189">
        <w:t xml:space="preserve"> </w:t>
      </w:r>
    </w:p>
    <w:p w:rsidR="00745563" w:rsidRPr="00361189" w:rsidRDefault="00DA039D" w:rsidP="000E5DE6">
      <w:pPr>
        <w:keepNext/>
        <w:rPr>
          <w:rFonts w:ascii="Arial Narrow" w:hAnsi="Arial Narrow"/>
          <w:b/>
          <w:sz w:val="20"/>
          <w:szCs w:val="20"/>
        </w:rPr>
      </w:pPr>
      <w:bookmarkStart w:id="23" w:name="_Ref39363224"/>
      <w:r w:rsidRPr="00361189">
        <w:rPr>
          <w:rFonts w:ascii="Arial Narrow" w:hAnsi="Arial Narrow"/>
          <w:b/>
          <w:sz w:val="20"/>
          <w:szCs w:val="20"/>
        </w:rPr>
        <w:t xml:space="preserve">Table </w:t>
      </w:r>
      <w:r w:rsidR="00EA503E" w:rsidRPr="00361189">
        <w:rPr>
          <w:rFonts w:ascii="Arial Narrow" w:hAnsi="Arial Narrow"/>
          <w:b/>
          <w:sz w:val="20"/>
          <w:szCs w:val="20"/>
        </w:rPr>
        <w:t>7</w:t>
      </w:r>
      <w:bookmarkEnd w:id="23"/>
      <w:r w:rsidR="00745563" w:rsidRPr="00361189">
        <w:rPr>
          <w:rFonts w:ascii="Arial Narrow" w:hAnsi="Arial Narrow"/>
          <w:b/>
          <w:sz w:val="20"/>
          <w:szCs w:val="20"/>
        </w:rPr>
        <w:t xml:space="preserve">: Distribution of SMA type and </w:t>
      </w:r>
      <w:r w:rsidR="00745563" w:rsidRPr="00361189">
        <w:rPr>
          <w:rFonts w:ascii="Arial Narrow" w:hAnsi="Arial Narrow"/>
          <w:b/>
          <w:i/>
          <w:sz w:val="20"/>
          <w:szCs w:val="20"/>
        </w:rPr>
        <w:t>SMN2</w:t>
      </w:r>
      <w:r w:rsidR="00745563" w:rsidRPr="00361189">
        <w:rPr>
          <w:rFonts w:ascii="Arial Narrow" w:hAnsi="Arial Narrow"/>
          <w:b/>
          <w:sz w:val="20"/>
          <w:szCs w:val="20"/>
        </w:rPr>
        <w:t xml:space="preserve"> copy numbers considered by MSAC August 2019 and applied in the economic model and financial estimates in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097"/>
        <w:gridCol w:w="1096"/>
        <w:gridCol w:w="1098"/>
        <w:gridCol w:w="1096"/>
        <w:gridCol w:w="1096"/>
        <w:gridCol w:w="1098"/>
      </w:tblGrid>
      <w:tr w:rsidR="00745563" w:rsidRPr="00361189" w:rsidTr="00B22661">
        <w:trPr>
          <w:trHeight w:val="227"/>
        </w:trPr>
        <w:tc>
          <w:tcPr>
            <w:tcW w:w="1350" w:type="pct"/>
            <w:tcBorders>
              <w:top w:val="single" w:sz="4" w:space="0" w:color="auto"/>
              <w:left w:val="single" w:sz="4" w:space="0" w:color="auto"/>
              <w:bottom w:val="single" w:sz="4" w:space="0" w:color="auto"/>
              <w:right w:val="single" w:sz="4" w:space="0" w:color="auto"/>
            </w:tcBorders>
            <w:shd w:val="clear" w:color="auto" w:fill="auto"/>
            <w:noWrap/>
          </w:tcPr>
          <w:p w:rsidR="00745563" w:rsidRPr="00361189" w:rsidRDefault="00745563" w:rsidP="000E5DE6">
            <w:pPr>
              <w:keepNext/>
              <w:rPr>
                <w:rFonts w:ascii="Arial Narrow" w:hAnsi="Arial Narrow"/>
                <w:b/>
                <w:sz w:val="20"/>
                <w:szCs w:val="20"/>
              </w:rPr>
            </w:pPr>
          </w:p>
        </w:tc>
        <w:tc>
          <w:tcPr>
            <w:tcW w:w="365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SMA Type</w:t>
            </w:r>
          </w:p>
        </w:tc>
      </w:tr>
      <w:tr w:rsidR="00745563" w:rsidRPr="00361189" w:rsidTr="00B22661">
        <w:trPr>
          <w:trHeight w:val="227"/>
        </w:trPr>
        <w:tc>
          <w:tcPr>
            <w:tcW w:w="1350" w:type="pct"/>
            <w:tcBorders>
              <w:top w:val="single" w:sz="4" w:space="0" w:color="auto"/>
            </w:tcBorders>
            <w:shd w:val="clear" w:color="auto" w:fill="auto"/>
            <w:noWrap/>
            <w:hideMark/>
          </w:tcPr>
          <w:p w:rsidR="00745563" w:rsidRPr="00361189" w:rsidRDefault="00745563" w:rsidP="000E5DE6">
            <w:pPr>
              <w:keepNext/>
              <w:rPr>
                <w:rFonts w:ascii="Arial Narrow" w:hAnsi="Arial Narrow"/>
                <w:b/>
                <w:sz w:val="20"/>
                <w:szCs w:val="20"/>
              </w:rPr>
            </w:pPr>
            <w:r w:rsidRPr="00361189">
              <w:rPr>
                <w:rFonts w:ascii="Arial Narrow" w:hAnsi="Arial Narrow"/>
                <w:b/>
                <w:i/>
                <w:sz w:val="20"/>
                <w:szCs w:val="20"/>
              </w:rPr>
              <w:t>SMN2</w:t>
            </w:r>
            <w:r w:rsidRPr="00361189">
              <w:rPr>
                <w:rFonts w:ascii="Arial Narrow" w:hAnsi="Arial Narrow"/>
                <w:b/>
                <w:sz w:val="20"/>
                <w:szCs w:val="20"/>
              </w:rPr>
              <w:t xml:space="preserve"> copy number</w:t>
            </w:r>
          </w:p>
        </w:tc>
        <w:tc>
          <w:tcPr>
            <w:tcW w:w="608"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I</w:t>
            </w:r>
          </w:p>
        </w:tc>
        <w:tc>
          <w:tcPr>
            <w:tcW w:w="608"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II</w:t>
            </w:r>
          </w:p>
        </w:tc>
        <w:tc>
          <w:tcPr>
            <w:tcW w:w="609"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IIIa</w:t>
            </w:r>
          </w:p>
        </w:tc>
        <w:tc>
          <w:tcPr>
            <w:tcW w:w="608"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IIIb</w:t>
            </w:r>
          </w:p>
        </w:tc>
        <w:tc>
          <w:tcPr>
            <w:tcW w:w="608"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IV</w:t>
            </w:r>
          </w:p>
        </w:tc>
        <w:tc>
          <w:tcPr>
            <w:tcW w:w="609" w:type="pct"/>
            <w:tcBorders>
              <w:top w:val="single" w:sz="4" w:space="0" w:color="auto"/>
            </w:tcBorders>
            <w:shd w:val="clear" w:color="auto" w:fill="auto"/>
            <w:noWrap/>
            <w:vAlign w:val="center"/>
            <w:hideMark/>
          </w:tcPr>
          <w:p w:rsidR="00745563" w:rsidRPr="00361189" w:rsidRDefault="00745563" w:rsidP="000E5DE6">
            <w:pPr>
              <w:keepNext/>
              <w:jc w:val="center"/>
              <w:rPr>
                <w:rFonts w:ascii="Arial Narrow" w:hAnsi="Arial Narrow"/>
                <w:b/>
                <w:sz w:val="20"/>
                <w:szCs w:val="20"/>
              </w:rPr>
            </w:pPr>
            <w:r w:rsidRPr="00361189">
              <w:rPr>
                <w:rFonts w:ascii="Arial Narrow" w:hAnsi="Arial Narrow"/>
                <w:b/>
                <w:sz w:val="20"/>
                <w:szCs w:val="20"/>
              </w:rPr>
              <w:t>All</w:t>
            </w:r>
          </w:p>
        </w:tc>
      </w:tr>
      <w:tr w:rsidR="00745563" w:rsidRPr="00361189" w:rsidTr="00B22661">
        <w:trPr>
          <w:trHeight w:val="227"/>
        </w:trPr>
        <w:tc>
          <w:tcPr>
            <w:tcW w:w="1350" w:type="pct"/>
            <w:shd w:val="clear" w:color="auto" w:fill="auto"/>
            <w:noWrap/>
            <w:hideMark/>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1</w:t>
            </w:r>
          </w:p>
        </w:tc>
        <w:tc>
          <w:tcPr>
            <w:tcW w:w="608"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1.69%</w:t>
            </w:r>
          </w:p>
        </w:tc>
        <w:tc>
          <w:tcPr>
            <w:tcW w:w="608"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0.11%</w:t>
            </w:r>
          </w:p>
        </w:tc>
        <w:tc>
          <w:tcPr>
            <w:tcW w:w="609"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8" w:type="pct"/>
            <w:shd w:val="clear" w:color="auto" w:fill="FFC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8" w:type="pct"/>
            <w:shd w:val="clear" w:color="auto" w:fill="FFC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1.80%</w:t>
            </w:r>
          </w:p>
        </w:tc>
      </w:tr>
      <w:tr w:rsidR="00745563" w:rsidRPr="00361189" w:rsidTr="00B22661">
        <w:trPr>
          <w:trHeight w:val="227"/>
        </w:trPr>
        <w:tc>
          <w:tcPr>
            <w:tcW w:w="1350" w:type="pct"/>
            <w:shd w:val="clear" w:color="auto" w:fill="auto"/>
            <w:noWrap/>
            <w:hideMark/>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2</w:t>
            </w:r>
          </w:p>
        </w:tc>
        <w:tc>
          <w:tcPr>
            <w:tcW w:w="608"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23.40%</w:t>
            </w:r>
          </w:p>
        </w:tc>
        <w:tc>
          <w:tcPr>
            <w:tcW w:w="608"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2.02%</w:t>
            </w:r>
          </w:p>
        </w:tc>
        <w:tc>
          <w:tcPr>
            <w:tcW w:w="609" w:type="pct"/>
            <w:shd w:val="clear" w:color="auto" w:fill="92D05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0.22%</w:t>
            </w:r>
          </w:p>
        </w:tc>
        <w:tc>
          <w:tcPr>
            <w:tcW w:w="608" w:type="pct"/>
            <w:shd w:val="clear" w:color="auto" w:fill="FFC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0.56%</w:t>
            </w:r>
          </w:p>
        </w:tc>
        <w:tc>
          <w:tcPr>
            <w:tcW w:w="608" w:type="pct"/>
            <w:shd w:val="clear" w:color="auto" w:fill="FFC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26.21%</w:t>
            </w:r>
          </w:p>
        </w:tc>
      </w:tr>
      <w:tr w:rsidR="00745563" w:rsidRPr="00361189" w:rsidTr="00B22661">
        <w:trPr>
          <w:trHeight w:val="227"/>
        </w:trPr>
        <w:tc>
          <w:tcPr>
            <w:tcW w:w="1350" w:type="pct"/>
            <w:shd w:val="clear" w:color="auto" w:fill="auto"/>
            <w:noWrap/>
            <w:hideMark/>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3</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8.89%</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30.26%</w:t>
            </w:r>
          </w:p>
        </w:tc>
        <w:tc>
          <w:tcPr>
            <w:tcW w:w="609"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10.12%</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3.71%</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52.98%</w:t>
            </w:r>
          </w:p>
        </w:tc>
      </w:tr>
      <w:tr w:rsidR="00745563" w:rsidRPr="00361189" w:rsidTr="00B22661">
        <w:trPr>
          <w:trHeight w:val="227"/>
        </w:trPr>
        <w:tc>
          <w:tcPr>
            <w:tcW w:w="1350" w:type="pct"/>
            <w:shd w:val="clear" w:color="auto" w:fill="auto"/>
            <w:noWrap/>
            <w:hideMark/>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4</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0.11%</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2.14%</w:t>
            </w:r>
          </w:p>
        </w:tc>
        <w:tc>
          <w:tcPr>
            <w:tcW w:w="609"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5.51%</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10.01%</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0.67%</w:t>
            </w:r>
          </w:p>
        </w:tc>
        <w:tc>
          <w:tcPr>
            <w:tcW w:w="609" w:type="pct"/>
            <w:shd w:val="clear" w:color="auto" w:fill="FFFFFF" w:themeFill="background1"/>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18.45%</w:t>
            </w:r>
          </w:p>
        </w:tc>
      </w:tr>
      <w:tr w:rsidR="00745563" w:rsidRPr="00361189" w:rsidTr="00B22661">
        <w:trPr>
          <w:trHeight w:val="227"/>
        </w:trPr>
        <w:tc>
          <w:tcPr>
            <w:tcW w:w="1350" w:type="pct"/>
            <w:shd w:val="clear" w:color="auto" w:fill="auto"/>
            <w:noWrap/>
            <w:hideMark/>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5+</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8"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0.56%</w:t>
            </w:r>
          </w:p>
        </w:tc>
        <w:tc>
          <w:tcPr>
            <w:tcW w:w="608" w:type="pct"/>
            <w:shd w:val="clear" w:color="auto" w:fill="FF0000"/>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hideMark/>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0.56%</w:t>
            </w:r>
          </w:p>
        </w:tc>
      </w:tr>
      <w:tr w:rsidR="00745563" w:rsidRPr="00361189" w:rsidTr="00B22661">
        <w:trPr>
          <w:trHeight w:val="227"/>
        </w:trPr>
        <w:tc>
          <w:tcPr>
            <w:tcW w:w="1350" w:type="pct"/>
            <w:shd w:val="clear" w:color="auto" w:fill="FFFFFF" w:themeFill="background1"/>
            <w:noWrap/>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t>All</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34.08%</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34.53%</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15.86%</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14.85%</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0.67%</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100.00%</w:t>
            </w:r>
          </w:p>
        </w:tc>
      </w:tr>
      <w:tr w:rsidR="00745563" w:rsidRPr="00361189" w:rsidTr="00B22661">
        <w:trPr>
          <w:trHeight w:val="227"/>
        </w:trPr>
        <w:tc>
          <w:tcPr>
            <w:tcW w:w="1350" w:type="pct"/>
            <w:shd w:val="clear" w:color="auto" w:fill="FFFFFF" w:themeFill="background1"/>
            <w:noWrap/>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r>
            <w:r w:rsidRPr="00361189">
              <w:rPr>
                <w:rFonts w:ascii="Arial Narrow" w:hAnsi="Arial Narrow"/>
                <w:i/>
                <w:sz w:val="20"/>
                <w:szCs w:val="20"/>
              </w:rPr>
              <w:t>SMN2</w:t>
            </w:r>
            <w:r w:rsidRPr="00361189">
              <w:rPr>
                <w:rFonts w:ascii="Arial Narrow" w:hAnsi="Arial Narrow"/>
                <w:sz w:val="20"/>
                <w:szCs w:val="20"/>
              </w:rPr>
              <w:t xml:space="preserve"> ≤2</w:t>
            </w:r>
            <w:r w:rsidRPr="00361189">
              <w:rPr>
                <w:rFonts w:ascii="Arial Narrow" w:hAnsi="Arial Narrow"/>
                <w:sz w:val="20"/>
                <w:szCs w:val="20"/>
                <w:vertAlign w:val="superscript"/>
              </w:rPr>
              <w:t>a</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89.56%</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7.63%</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0.80%</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2.01%</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100.00%</w:t>
            </w:r>
          </w:p>
        </w:tc>
      </w:tr>
      <w:tr w:rsidR="00745563" w:rsidRPr="00361189" w:rsidTr="00B22661">
        <w:trPr>
          <w:trHeight w:val="227"/>
        </w:trPr>
        <w:tc>
          <w:tcPr>
            <w:tcW w:w="1350" w:type="pct"/>
            <w:shd w:val="clear" w:color="auto" w:fill="FFFFFF" w:themeFill="background1"/>
            <w:noWrap/>
          </w:tcPr>
          <w:p w:rsidR="00745563" w:rsidRPr="00361189" w:rsidRDefault="00745563" w:rsidP="000E5DE6">
            <w:pPr>
              <w:keepNext/>
              <w:tabs>
                <w:tab w:val="left" w:pos="267"/>
              </w:tabs>
              <w:rPr>
                <w:rFonts w:ascii="Arial Narrow" w:hAnsi="Arial Narrow"/>
                <w:sz w:val="20"/>
                <w:szCs w:val="20"/>
              </w:rPr>
            </w:pPr>
            <w:r w:rsidRPr="00361189">
              <w:rPr>
                <w:rFonts w:ascii="Arial Narrow" w:hAnsi="Arial Narrow"/>
                <w:sz w:val="20"/>
                <w:szCs w:val="20"/>
              </w:rPr>
              <w:tab/>
            </w:r>
            <w:r w:rsidRPr="00361189">
              <w:rPr>
                <w:rFonts w:ascii="Arial Narrow" w:hAnsi="Arial Narrow"/>
                <w:i/>
                <w:sz w:val="20"/>
                <w:szCs w:val="20"/>
              </w:rPr>
              <w:t>SMN2</w:t>
            </w:r>
            <w:r w:rsidRPr="00361189">
              <w:rPr>
                <w:rFonts w:ascii="Arial Narrow" w:hAnsi="Arial Narrow"/>
                <w:sz w:val="20"/>
                <w:szCs w:val="20"/>
              </w:rPr>
              <w:t xml:space="preserve"> ≤3</w:t>
            </w:r>
            <w:r w:rsidRPr="00361189">
              <w:rPr>
                <w:rFonts w:ascii="Arial Narrow" w:hAnsi="Arial Narrow"/>
                <w:sz w:val="20"/>
                <w:szCs w:val="20"/>
                <w:vertAlign w:val="superscript"/>
              </w:rPr>
              <w:t>b</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41.94%</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40.00%</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12.78%</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5.28%</w:t>
            </w:r>
          </w:p>
        </w:tc>
        <w:tc>
          <w:tcPr>
            <w:tcW w:w="608"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0.00%</w:t>
            </w:r>
          </w:p>
        </w:tc>
        <w:tc>
          <w:tcPr>
            <w:tcW w:w="609" w:type="pct"/>
            <w:shd w:val="clear" w:color="auto" w:fill="FFFFFF" w:themeFill="background1"/>
            <w:noWrap/>
            <w:vAlign w:val="center"/>
          </w:tcPr>
          <w:p w:rsidR="00745563" w:rsidRPr="00361189" w:rsidRDefault="00745563" w:rsidP="000E5DE6">
            <w:pPr>
              <w:keepNext/>
              <w:jc w:val="center"/>
              <w:rPr>
                <w:rFonts w:ascii="Arial Narrow" w:hAnsi="Arial Narrow"/>
                <w:sz w:val="20"/>
                <w:szCs w:val="20"/>
              </w:rPr>
            </w:pPr>
            <w:r w:rsidRPr="00361189">
              <w:rPr>
                <w:rFonts w:ascii="Arial Narrow" w:hAnsi="Arial Narrow"/>
                <w:sz w:val="20"/>
                <w:szCs w:val="20"/>
              </w:rPr>
              <w:t>100.00%</w:t>
            </w:r>
          </w:p>
        </w:tc>
      </w:tr>
    </w:tbl>
    <w:p w:rsidR="00745563" w:rsidRPr="00361189" w:rsidRDefault="00745563" w:rsidP="000E5DE6">
      <w:pPr>
        <w:pStyle w:val="TableNotes"/>
        <w:keepNext/>
        <w:spacing w:before="0" w:after="0" w:line="240" w:lineRule="auto"/>
        <w:rPr>
          <w:rFonts w:ascii="Arial Narrow" w:hAnsi="Arial Narrow"/>
          <w:sz w:val="18"/>
          <w:lang w:val="en-AU"/>
        </w:rPr>
      </w:pPr>
      <w:r w:rsidRPr="00361189">
        <w:rPr>
          <w:rFonts w:ascii="Arial Narrow" w:hAnsi="Arial Narrow"/>
          <w:sz w:val="18"/>
          <w:lang w:val="en-AU"/>
        </w:rPr>
        <w:t>Source: Table 3-4, p 146 of the resubmission, Nusinersen Economic Model_March2020.xlsx</w:t>
      </w:r>
    </w:p>
    <w:p w:rsidR="00745563" w:rsidRPr="00361189" w:rsidRDefault="00745563" w:rsidP="000E5DE6">
      <w:pPr>
        <w:pStyle w:val="TableNotes"/>
        <w:keepNext/>
        <w:spacing w:before="0" w:after="0" w:line="240" w:lineRule="auto"/>
        <w:rPr>
          <w:rFonts w:ascii="Arial Narrow" w:hAnsi="Arial Narrow"/>
          <w:sz w:val="18"/>
          <w:lang w:val="en-AU"/>
        </w:rPr>
      </w:pPr>
      <w:r w:rsidRPr="00361189">
        <w:rPr>
          <w:rFonts w:ascii="Arial Narrow" w:hAnsi="Arial Narrow"/>
          <w:sz w:val="18"/>
          <w:lang w:val="en-AU"/>
        </w:rPr>
        <w:t>Key: Green, proportion of patients who would be eligible for nusinersen with or without pre-symptomatic testing (true positives). Orange, proportion of patients eligible based on pre-symptomatic testing but not in current practice (false positives). Yellow, proportion of patients eligible based on current PBS listing only (false negatives). Red, proportion of patients who would not be eligible based on either listing (true negatives)</w:t>
      </w:r>
    </w:p>
    <w:p w:rsidR="00745563" w:rsidRPr="00361189" w:rsidRDefault="00745563" w:rsidP="00745563">
      <w:pPr>
        <w:pStyle w:val="TableNotes"/>
        <w:tabs>
          <w:tab w:val="left" w:pos="284"/>
        </w:tabs>
        <w:spacing w:before="0" w:after="0" w:line="240" w:lineRule="auto"/>
        <w:ind w:left="284" w:hanging="284"/>
        <w:rPr>
          <w:rFonts w:ascii="Arial Narrow" w:hAnsi="Arial Narrow"/>
          <w:sz w:val="18"/>
          <w:lang w:val="en-AU"/>
        </w:rPr>
      </w:pPr>
      <w:r w:rsidRPr="00361189">
        <w:rPr>
          <w:rFonts w:ascii="Arial Narrow" w:hAnsi="Arial Narrow"/>
          <w:sz w:val="18"/>
          <w:lang w:val="en-AU"/>
        </w:rPr>
        <w:t>Expressed as a percentage of all patients (N=901). Studies included were Amara 2012, Arkblad 2009, Kaneko 2017, Jedrzejowska 2009, Medrano 2016, Petit 2011, Scarciolla 2006, Tiziano 2010, Tran 2008, Wadman 2017</w:t>
      </w:r>
    </w:p>
    <w:p w:rsidR="00745563" w:rsidRPr="00361189" w:rsidRDefault="00745563" w:rsidP="00745563">
      <w:pPr>
        <w:pStyle w:val="TableNotes"/>
        <w:tabs>
          <w:tab w:val="left" w:pos="284"/>
        </w:tabs>
        <w:spacing w:before="0" w:after="0" w:line="240" w:lineRule="auto"/>
        <w:ind w:left="284" w:hanging="284"/>
        <w:rPr>
          <w:rFonts w:ascii="Arial Narrow" w:hAnsi="Arial Narrow"/>
          <w:sz w:val="18"/>
          <w:lang w:val="en-AU"/>
        </w:rPr>
      </w:pPr>
      <w:r w:rsidRPr="00361189">
        <w:rPr>
          <w:rFonts w:ascii="Arial Narrow" w:hAnsi="Arial Narrow"/>
          <w:sz w:val="18"/>
          <w:vertAlign w:val="superscript"/>
          <w:lang w:val="en-AU"/>
        </w:rPr>
        <w:t>a</w:t>
      </w:r>
      <w:r w:rsidRPr="00361189">
        <w:rPr>
          <w:rFonts w:ascii="Arial Narrow" w:hAnsi="Arial Narrow"/>
          <w:sz w:val="18"/>
          <w:vertAlign w:val="superscript"/>
          <w:lang w:val="en-AU"/>
        </w:rPr>
        <w:tab/>
      </w:r>
      <w:r w:rsidRPr="00361189">
        <w:rPr>
          <w:rFonts w:ascii="Arial Narrow" w:hAnsi="Arial Narrow"/>
          <w:sz w:val="18"/>
          <w:lang w:val="en-AU"/>
        </w:rPr>
        <w:t xml:space="preserve">The distribution presented represents the proportion of patients with each SMA type among all patients with an </w:t>
      </w:r>
      <w:r w:rsidRPr="00361189">
        <w:rPr>
          <w:rFonts w:ascii="Arial Narrow" w:hAnsi="Arial Narrow"/>
          <w:i/>
          <w:sz w:val="18"/>
          <w:lang w:val="en-AU"/>
        </w:rPr>
        <w:t>SMN2</w:t>
      </w:r>
      <w:r w:rsidRPr="00361189">
        <w:rPr>
          <w:rFonts w:ascii="Arial Narrow" w:hAnsi="Arial Narrow"/>
          <w:sz w:val="18"/>
          <w:lang w:val="en-AU"/>
        </w:rPr>
        <w:t xml:space="preserve"> copy number </w:t>
      </w:r>
      <w:r w:rsidRPr="00361189">
        <w:rPr>
          <w:rFonts w:ascii="Arial Narrow" w:hAnsi="Arial Narrow" w:cs="Arial"/>
          <w:sz w:val="18"/>
          <w:lang w:val="en-AU"/>
        </w:rPr>
        <w:t>≤</w:t>
      </w:r>
      <w:r w:rsidRPr="00361189">
        <w:rPr>
          <w:rFonts w:ascii="Arial Narrow" w:hAnsi="Arial Narrow"/>
          <w:sz w:val="18"/>
          <w:lang w:val="en-AU"/>
        </w:rPr>
        <w:t>2.</w:t>
      </w:r>
    </w:p>
    <w:p w:rsidR="00745563" w:rsidRPr="00361189" w:rsidRDefault="00745563" w:rsidP="00745563">
      <w:pPr>
        <w:pStyle w:val="TableNotes"/>
        <w:tabs>
          <w:tab w:val="left" w:pos="284"/>
        </w:tabs>
        <w:spacing w:before="0" w:after="0" w:line="240" w:lineRule="auto"/>
        <w:ind w:left="284" w:hanging="284"/>
        <w:rPr>
          <w:rFonts w:ascii="Arial Narrow" w:hAnsi="Arial Narrow"/>
          <w:sz w:val="18"/>
          <w:lang w:val="en-AU"/>
        </w:rPr>
      </w:pPr>
      <w:r w:rsidRPr="00361189">
        <w:rPr>
          <w:rFonts w:ascii="Arial Narrow" w:hAnsi="Arial Narrow"/>
          <w:sz w:val="18"/>
          <w:vertAlign w:val="superscript"/>
          <w:lang w:val="en-AU"/>
        </w:rPr>
        <w:t>b</w:t>
      </w:r>
      <w:r w:rsidRPr="00361189">
        <w:rPr>
          <w:rFonts w:ascii="Arial Narrow" w:hAnsi="Arial Narrow"/>
          <w:sz w:val="18"/>
          <w:vertAlign w:val="superscript"/>
          <w:lang w:val="en-AU"/>
        </w:rPr>
        <w:tab/>
      </w:r>
      <w:r w:rsidRPr="00361189">
        <w:rPr>
          <w:rFonts w:ascii="Arial Narrow" w:hAnsi="Arial Narrow"/>
          <w:sz w:val="18"/>
          <w:lang w:val="en-AU"/>
        </w:rPr>
        <w:t xml:space="preserve">The distribution presented represents the proportion of patients with each SMA type among all patients with an </w:t>
      </w:r>
      <w:r w:rsidRPr="00361189">
        <w:rPr>
          <w:rFonts w:ascii="Arial Narrow" w:hAnsi="Arial Narrow"/>
          <w:i/>
          <w:sz w:val="18"/>
          <w:lang w:val="en-AU"/>
        </w:rPr>
        <w:t>SMN2</w:t>
      </w:r>
      <w:r w:rsidRPr="00361189">
        <w:rPr>
          <w:rFonts w:ascii="Arial Narrow" w:hAnsi="Arial Narrow"/>
          <w:sz w:val="18"/>
          <w:lang w:val="en-AU"/>
        </w:rPr>
        <w:t xml:space="preserve"> copy number </w:t>
      </w:r>
      <w:r w:rsidRPr="00361189">
        <w:rPr>
          <w:rFonts w:ascii="Arial Narrow" w:hAnsi="Arial Narrow" w:cs="Arial"/>
          <w:sz w:val="18"/>
          <w:lang w:val="en-AU"/>
        </w:rPr>
        <w:t>≤</w:t>
      </w:r>
      <w:r w:rsidRPr="00361189">
        <w:rPr>
          <w:rFonts w:ascii="Arial Narrow" w:hAnsi="Arial Narrow"/>
          <w:sz w:val="18"/>
          <w:lang w:val="en-AU"/>
        </w:rPr>
        <w:t>3</w:t>
      </w:r>
    </w:p>
    <w:p w:rsidR="00745563" w:rsidRPr="00361189" w:rsidRDefault="00745563" w:rsidP="00057097">
      <w:pPr>
        <w:pStyle w:val="3-BodyText"/>
        <w:numPr>
          <w:ilvl w:val="0"/>
          <w:numId w:val="0"/>
        </w:numPr>
        <w:ind w:left="720"/>
      </w:pPr>
    </w:p>
    <w:p w:rsidR="00745563" w:rsidRPr="00361189" w:rsidRDefault="00745563" w:rsidP="00745563">
      <w:pPr>
        <w:pStyle w:val="4-SubsectionHeading"/>
      </w:pPr>
      <w:bookmarkStart w:id="24" w:name="_Toc40874418"/>
      <w:r w:rsidRPr="00361189">
        <w:t>Accuracy and performance of proposed test for determination of SMN2</w:t>
      </w:r>
      <w:r w:rsidRPr="00361189">
        <w:rPr>
          <w:i w:val="0"/>
        </w:rPr>
        <w:t xml:space="preserve"> </w:t>
      </w:r>
      <w:r w:rsidRPr="00361189">
        <w:t>copy number</w:t>
      </w:r>
      <w:bookmarkEnd w:id="24"/>
    </w:p>
    <w:p w:rsidR="00745563" w:rsidRPr="00361189" w:rsidRDefault="00745563" w:rsidP="00745563">
      <w:pPr>
        <w:pStyle w:val="3-BodyText"/>
      </w:pPr>
      <w:r w:rsidRPr="00361189">
        <w:t xml:space="preserve">The accuracy and performance of the </w:t>
      </w:r>
      <w:r w:rsidR="007124D9" w:rsidRPr="00361189">
        <w:t xml:space="preserve">laboratory </w:t>
      </w:r>
      <w:r w:rsidRPr="00361189">
        <w:t xml:space="preserve">tests </w:t>
      </w:r>
      <w:r w:rsidR="009D278A" w:rsidRPr="00361189">
        <w:t xml:space="preserve">to determine </w:t>
      </w:r>
      <w:r w:rsidRPr="00361189">
        <w:rPr>
          <w:i/>
        </w:rPr>
        <w:t>SMN2</w:t>
      </w:r>
      <w:r w:rsidRPr="00361189">
        <w:t xml:space="preserve"> copy number was also considered by MSAC as part of the </w:t>
      </w:r>
      <w:r w:rsidR="00AE0DA0" w:rsidRPr="00361189">
        <w:t>co-dependent</w:t>
      </w:r>
      <w:r w:rsidRPr="00361189">
        <w:t xml:space="preserve"> technology submission in July 2019 at its August 2019 meeting</w:t>
      </w:r>
      <w:r w:rsidR="00361189">
        <w:t xml:space="preserve">. </w:t>
      </w:r>
      <w:r w:rsidRPr="00361189">
        <w:t>MSAC considered that both quantitative polymerase chain reaction (qPCR) and multiplex ligation-</w:t>
      </w:r>
      <w:r w:rsidR="00CF49E4" w:rsidRPr="00361189">
        <w:t>dependent</w:t>
      </w:r>
      <w:r w:rsidRPr="00361189">
        <w:t xml:space="preserve"> probe amplification (MLPA) had a high degree of accuracy at determining </w:t>
      </w:r>
      <w:r w:rsidRPr="00361189">
        <w:rPr>
          <w:i/>
        </w:rPr>
        <w:t>SMN2</w:t>
      </w:r>
      <w:r w:rsidRPr="00361189">
        <w:t xml:space="preserve"> copy number</w:t>
      </w:r>
      <w:r w:rsidR="00361189">
        <w:t xml:space="preserve">. </w:t>
      </w:r>
      <w:r w:rsidRPr="00361189">
        <w:t>However, none of the studies on the accuracy and performance of the</w:t>
      </w:r>
      <w:r w:rsidR="007124D9" w:rsidRPr="00361189">
        <w:t>se</w:t>
      </w:r>
      <w:r w:rsidRPr="00361189">
        <w:t xml:space="preserve"> tests were conducted prospectively among patients with</w:t>
      </w:r>
      <w:r w:rsidR="007124D9" w:rsidRPr="00361189">
        <w:t xml:space="preserve"> confirmed </w:t>
      </w:r>
      <w:r w:rsidRPr="00361189">
        <w:rPr>
          <w:i/>
        </w:rPr>
        <w:t xml:space="preserve">SMN1 </w:t>
      </w:r>
      <w:r w:rsidRPr="00361189">
        <w:t>deletion/mutation where copy numbers were to be determined</w:t>
      </w:r>
      <w:r w:rsidR="00CF49E4" w:rsidRPr="00361189">
        <w:t>,</w:t>
      </w:r>
      <w:r w:rsidRPr="00361189">
        <w:t xml:space="preserve"> </w:t>
      </w:r>
      <w:r w:rsidR="007124D9" w:rsidRPr="00361189">
        <w:t xml:space="preserve">which is </w:t>
      </w:r>
      <w:r w:rsidRPr="00361189">
        <w:t>the proposed use of the test</w:t>
      </w:r>
      <w:r w:rsidR="007124D9" w:rsidRPr="00361189">
        <w:t>s</w:t>
      </w:r>
      <w:r w:rsidRPr="00361189">
        <w:t>.</w:t>
      </w:r>
    </w:p>
    <w:p w:rsidR="00B60939" w:rsidRPr="00361189" w:rsidRDefault="00B60939" w:rsidP="002E4F02">
      <w:pPr>
        <w:pStyle w:val="4-SubsectionHeading"/>
      </w:pPr>
      <w:bookmarkStart w:id="25" w:name="_Toc40874419"/>
      <w:r w:rsidRPr="00361189">
        <w:t xml:space="preserve">Clinical </w:t>
      </w:r>
      <w:bookmarkEnd w:id="18"/>
      <w:r w:rsidR="00745563" w:rsidRPr="00361189">
        <w:t>evidence of pre-symptomatic initiation of treatment with nusinersen</w:t>
      </w:r>
      <w:bookmarkEnd w:id="25"/>
    </w:p>
    <w:p w:rsidR="00C56F0B" w:rsidRPr="00361189" w:rsidRDefault="00CC1351" w:rsidP="00C56F0B">
      <w:pPr>
        <w:pStyle w:val="3-BodyText"/>
      </w:pPr>
      <w:r w:rsidRPr="00361189">
        <w:t xml:space="preserve">As </w:t>
      </w:r>
      <w:r w:rsidR="007124D9" w:rsidRPr="00361189">
        <w:t xml:space="preserve">per </w:t>
      </w:r>
      <w:r w:rsidRPr="00361189">
        <w:t>the previous submission, t</w:t>
      </w:r>
      <w:r w:rsidR="00C56F0B" w:rsidRPr="00361189">
        <w:t xml:space="preserve">he </w:t>
      </w:r>
      <w:r w:rsidR="00745563" w:rsidRPr="00361189">
        <w:t>clinical e</w:t>
      </w:r>
      <w:r w:rsidR="00DA039D" w:rsidRPr="00361189">
        <w:t>fficacy of pre-symptomatic initi</w:t>
      </w:r>
      <w:r w:rsidR="00745563" w:rsidRPr="00361189">
        <w:t xml:space="preserve">ation of treatment with nusinersen in the </w:t>
      </w:r>
      <w:r w:rsidR="00C56F0B" w:rsidRPr="00361189">
        <w:t>resubmission was based on an interim analysis (dated 15 May 2018) of an ongoing phase 2, non-randomised, non-controlled, open-label single arm study of nusinersen in 25 pre-symptomatic infants with confirmed homozygous or compound heterozygous</w:t>
      </w:r>
      <w:r w:rsidR="0050713B" w:rsidRPr="00361189">
        <w:t xml:space="preserve"> mutation in the</w:t>
      </w:r>
      <w:r w:rsidR="00C56F0B" w:rsidRPr="00361189">
        <w:t xml:space="preserve"> </w:t>
      </w:r>
      <w:r w:rsidR="00C56F0B" w:rsidRPr="00361189">
        <w:rPr>
          <w:i/>
        </w:rPr>
        <w:t>SMN1</w:t>
      </w:r>
      <w:r w:rsidR="00C56F0B" w:rsidRPr="00361189">
        <w:t xml:space="preserve">, and either 2 (n=15) or 3 (n=10) copies of </w:t>
      </w:r>
      <w:r w:rsidR="00C56F0B" w:rsidRPr="00361189">
        <w:rPr>
          <w:i/>
        </w:rPr>
        <w:t>SMN2</w:t>
      </w:r>
      <w:r w:rsidR="00C56F0B" w:rsidRPr="00361189">
        <w:t>: the NURTURE study</w:t>
      </w:r>
      <w:r w:rsidR="00361189">
        <w:t xml:space="preserve">. </w:t>
      </w:r>
      <w:r w:rsidR="00F44E89" w:rsidRPr="00361189">
        <w:t>NURTURE was considered to have a high risk of bias as it was an open label single arm study</w:t>
      </w:r>
      <w:r w:rsidR="00361189">
        <w:t xml:space="preserve">. </w:t>
      </w:r>
      <w:r w:rsidR="00C56F0B" w:rsidRPr="00361189">
        <w:t xml:space="preserve">The PBAC has previously </w:t>
      </w:r>
      <w:r w:rsidR="00C56F0B" w:rsidRPr="00361189">
        <w:lastRenderedPageBreak/>
        <w:t xml:space="preserve">noted that as NURTURE did not provide appropriate comparative data, incremental benefit of </w:t>
      </w:r>
      <w:r w:rsidR="00C56F0B" w:rsidRPr="00361189">
        <w:rPr>
          <w:color w:val="000000" w:themeColor="text1"/>
        </w:rPr>
        <w:t>pre-symptomatic initiation of treatment versus symptomatic treatment could not be determined from NURTURE alone</w:t>
      </w:r>
      <w:r w:rsidR="003156C2" w:rsidRPr="00361189">
        <w:rPr>
          <w:color w:val="000000" w:themeColor="text1"/>
        </w:rPr>
        <w:t xml:space="preserve"> (</w:t>
      </w:r>
      <w:r w:rsidR="003156C2" w:rsidRPr="00361189">
        <w:t>paragraph 7.4, nusinersen, Addendum to the July 2019 PSD, November 2019)</w:t>
      </w:r>
      <w:r w:rsidR="00C56F0B" w:rsidRPr="00361189">
        <w:rPr>
          <w:color w:val="000000" w:themeColor="text1"/>
        </w:rPr>
        <w:t>.</w:t>
      </w:r>
    </w:p>
    <w:p w:rsidR="00745563" w:rsidRPr="00361189" w:rsidRDefault="00CC1351" w:rsidP="00CC1351">
      <w:pPr>
        <w:pStyle w:val="3-BodyText"/>
      </w:pPr>
      <w:r w:rsidRPr="00361189">
        <w:t xml:space="preserve">A </w:t>
      </w:r>
      <w:r w:rsidR="00C35583" w:rsidRPr="00361189">
        <w:t xml:space="preserve">naïve </w:t>
      </w:r>
      <w:r w:rsidRPr="00361189">
        <w:t>informal indirect comparison of the NURTURE study with data derived from ENDEAR and CS3A studies (and the extension study SHINE) for infantile-onset and from the CHERISH study for childhood onset SMA</w:t>
      </w:r>
      <w:r w:rsidR="008A0A0A" w:rsidRPr="00361189">
        <w:t>,</w:t>
      </w:r>
      <w:r w:rsidRPr="00361189">
        <w:t xml:space="preserve"> was also presented with the aim of providing some clinical context to the findings of the NURTURE study.</w:t>
      </w:r>
      <w:r w:rsidR="006663C4" w:rsidRPr="00361189">
        <w:t xml:space="preserve"> This comparison was previously presented in the July 2019 submission</w:t>
      </w:r>
      <w:r w:rsidR="00361189">
        <w:t xml:space="preserve">. </w:t>
      </w:r>
      <w:r w:rsidR="00F72FC2" w:rsidRPr="00361189">
        <w:t xml:space="preserve">The PBAC </w:t>
      </w:r>
      <w:r w:rsidR="00FB27C9" w:rsidRPr="00361189">
        <w:t xml:space="preserve">previously </w:t>
      </w:r>
      <w:r w:rsidRPr="00361189">
        <w:t>noted that there were transitivity issues associated with the comparison and that the reliability of the comparison was limited</w:t>
      </w:r>
      <w:r w:rsidR="00AC4578" w:rsidRPr="00361189">
        <w:t xml:space="preserve"> (</w:t>
      </w:r>
      <w:r w:rsidR="003156C2" w:rsidRPr="00361189">
        <w:t>paragraph 7.4, nusinersen, Addendum to the July 2019 PSD, November 2019)</w:t>
      </w:r>
      <w:r w:rsidR="003156C2" w:rsidRPr="00361189">
        <w:rPr>
          <w:color w:val="000000" w:themeColor="text1"/>
        </w:rPr>
        <w:t>.</w:t>
      </w:r>
    </w:p>
    <w:p w:rsidR="00F44E89" w:rsidRPr="00361189" w:rsidRDefault="00A73134" w:rsidP="00AA382D">
      <w:pPr>
        <w:pStyle w:val="3-BodyText"/>
        <w:rPr>
          <w:snapToGrid/>
        </w:rPr>
      </w:pPr>
      <w:r w:rsidRPr="00361189">
        <w:rPr>
          <w:snapToGrid/>
        </w:rPr>
        <w:t xml:space="preserve">Details of the </w:t>
      </w:r>
      <w:r w:rsidR="00D5243B" w:rsidRPr="00361189">
        <w:rPr>
          <w:snapToGrid/>
        </w:rPr>
        <w:t>studies</w:t>
      </w:r>
      <w:r w:rsidRPr="00361189">
        <w:rPr>
          <w:snapToGrid/>
        </w:rPr>
        <w:t xml:space="preserve"> presented in the </w:t>
      </w:r>
      <w:r w:rsidR="00CD6D1B" w:rsidRPr="00361189">
        <w:rPr>
          <w:snapToGrid/>
        </w:rPr>
        <w:t>re</w:t>
      </w:r>
      <w:r w:rsidRPr="00361189">
        <w:rPr>
          <w:snapToGrid/>
        </w:rPr>
        <w:t xml:space="preserve">submission are provided in </w:t>
      </w:r>
      <w:r w:rsidR="00F72FC2" w:rsidRPr="00361189">
        <w:rPr>
          <w:snapToGrid/>
        </w:rPr>
        <w:t>Table 8</w:t>
      </w:r>
      <w:r w:rsidRPr="00361189">
        <w:rPr>
          <w:snapToGrid/>
        </w:rPr>
        <w:t>.</w:t>
      </w:r>
      <w:r w:rsidR="00BC591F" w:rsidRPr="00361189">
        <w:rPr>
          <w:snapToGrid/>
        </w:rPr>
        <w:t xml:space="preserve"> </w:t>
      </w:r>
    </w:p>
    <w:p w:rsidR="005B106B" w:rsidRPr="00361189" w:rsidRDefault="005B106B">
      <w:pPr>
        <w:jc w:val="left"/>
        <w:rPr>
          <w:rStyle w:val="CommentReference"/>
          <w:snapToGrid w:val="0"/>
          <w:szCs w:val="24"/>
        </w:rPr>
      </w:pPr>
      <w:bookmarkStart w:id="26" w:name="_Ref39363718"/>
      <w:r w:rsidRPr="00361189">
        <w:rPr>
          <w:rStyle w:val="CommentReference"/>
          <w:szCs w:val="24"/>
        </w:rPr>
        <w:br w:type="page"/>
      </w:r>
    </w:p>
    <w:p w:rsidR="008E0D3C" w:rsidRPr="00361189" w:rsidRDefault="00F72FC2" w:rsidP="00F44E89">
      <w:pPr>
        <w:pStyle w:val="3-BodyText"/>
        <w:keepNext/>
        <w:keepLines/>
        <w:numPr>
          <w:ilvl w:val="0"/>
          <w:numId w:val="0"/>
        </w:numPr>
        <w:spacing w:after="0"/>
        <w:rPr>
          <w:rStyle w:val="CommentReference"/>
          <w:szCs w:val="24"/>
        </w:rPr>
      </w:pPr>
      <w:r w:rsidRPr="00361189">
        <w:rPr>
          <w:rStyle w:val="CommentReference"/>
          <w:szCs w:val="24"/>
        </w:rPr>
        <w:lastRenderedPageBreak/>
        <w:t xml:space="preserve">Table </w:t>
      </w:r>
      <w:r w:rsidR="0089312A" w:rsidRPr="00361189">
        <w:rPr>
          <w:rStyle w:val="CommentReference"/>
          <w:szCs w:val="24"/>
        </w:rPr>
        <w:t>8</w:t>
      </w:r>
      <w:bookmarkEnd w:id="26"/>
      <w:r w:rsidR="008E0D3C" w:rsidRPr="00361189">
        <w:rPr>
          <w:rStyle w:val="CommentReference"/>
          <w:szCs w:val="24"/>
        </w:rPr>
        <w:t>:</w:t>
      </w:r>
      <w:r w:rsidR="00BC591F" w:rsidRPr="00361189">
        <w:rPr>
          <w:rStyle w:val="CommentReference"/>
          <w:szCs w:val="24"/>
        </w:rPr>
        <w:t xml:space="preserve"> </w:t>
      </w:r>
      <w:r w:rsidR="00F44E89" w:rsidRPr="00361189">
        <w:rPr>
          <w:rStyle w:val="CommentReference"/>
          <w:szCs w:val="24"/>
        </w:rPr>
        <w:t>S</w:t>
      </w:r>
      <w:r w:rsidR="00D5243B" w:rsidRPr="00361189">
        <w:rPr>
          <w:rStyle w:val="CommentReference"/>
          <w:szCs w:val="24"/>
        </w:rPr>
        <w:t>tudies</w:t>
      </w:r>
      <w:r w:rsidR="008E0D3C" w:rsidRPr="00361189">
        <w:rPr>
          <w:rStyle w:val="CommentReference"/>
          <w:szCs w:val="24"/>
        </w:rPr>
        <w:t xml:space="preserve"> and associated reports presented in the </w:t>
      </w:r>
      <w:r w:rsidR="00CD6D1B" w:rsidRPr="00361189">
        <w:rPr>
          <w:rStyle w:val="CommentReference"/>
          <w:szCs w:val="24"/>
        </w:rPr>
        <w:t>re</w:t>
      </w:r>
      <w:r w:rsidR="008E0D3C" w:rsidRPr="00361189">
        <w:rPr>
          <w:rStyle w:val="CommentReference"/>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8"/>
        <w:gridCol w:w="5039"/>
        <w:gridCol w:w="3120"/>
      </w:tblGrid>
      <w:tr w:rsidR="00F72FC2" w:rsidRPr="00361189" w:rsidTr="00B22661">
        <w:trPr>
          <w:tblHeader/>
        </w:trPr>
        <w:tc>
          <w:tcPr>
            <w:tcW w:w="551" w:type="pct"/>
          </w:tcPr>
          <w:p w:rsidR="00F72FC2" w:rsidRPr="00361189" w:rsidRDefault="00E016F6" w:rsidP="0052269E">
            <w:pPr>
              <w:pStyle w:val="TableText0"/>
              <w:keepNext w:val="0"/>
              <w:keepLines/>
              <w:widowControl w:val="0"/>
              <w:rPr>
                <w:b/>
              </w:rPr>
            </w:pPr>
            <w:r w:rsidRPr="00361189">
              <w:rPr>
                <w:b/>
              </w:rPr>
              <w:t>Study</w:t>
            </w:r>
            <w:r w:rsidR="00F72FC2" w:rsidRPr="00361189">
              <w:rPr>
                <w:b/>
              </w:rPr>
              <w:t xml:space="preserve"> ID</w:t>
            </w:r>
          </w:p>
        </w:tc>
        <w:tc>
          <w:tcPr>
            <w:tcW w:w="3378" w:type="pct"/>
            <w:vAlign w:val="center"/>
          </w:tcPr>
          <w:p w:rsidR="00F72FC2" w:rsidRPr="00361189" w:rsidRDefault="00F72FC2" w:rsidP="00F72FC2">
            <w:pPr>
              <w:pStyle w:val="TableText0"/>
              <w:keepNext w:val="0"/>
              <w:keepLines/>
              <w:widowControl w:val="0"/>
              <w:jc w:val="center"/>
              <w:rPr>
                <w:b/>
              </w:rPr>
            </w:pPr>
            <w:r w:rsidRPr="00361189">
              <w:rPr>
                <w:b/>
              </w:rPr>
              <w:t>Protocol title/ Publication title</w:t>
            </w:r>
          </w:p>
        </w:tc>
        <w:tc>
          <w:tcPr>
            <w:tcW w:w="1071" w:type="pct"/>
            <w:vAlign w:val="center"/>
          </w:tcPr>
          <w:p w:rsidR="00F72FC2" w:rsidRPr="00361189" w:rsidRDefault="00F72FC2" w:rsidP="00F72FC2">
            <w:pPr>
              <w:pStyle w:val="TableText0"/>
              <w:keepNext w:val="0"/>
              <w:keepLines/>
              <w:widowControl w:val="0"/>
              <w:jc w:val="center"/>
              <w:rPr>
                <w:b/>
              </w:rPr>
            </w:pPr>
            <w:r w:rsidRPr="00361189">
              <w:rPr>
                <w:b/>
              </w:rPr>
              <w:t>Publication citation</w:t>
            </w:r>
          </w:p>
        </w:tc>
      </w:tr>
      <w:tr w:rsidR="00F72FC2" w:rsidRPr="00361189" w:rsidTr="00B22661">
        <w:tc>
          <w:tcPr>
            <w:tcW w:w="5000" w:type="pct"/>
            <w:gridSpan w:val="3"/>
          </w:tcPr>
          <w:p w:rsidR="00F72FC2" w:rsidRPr="00361189" w:rsidRDefault="00F72FC2" w:rsidP="0052269E">
            <w:pPr>
              <w:pStyle w:val="TableText0"/>
              <w:keepNext w:val="0"/>
              <w:keepLines/>
              <w:widowControl w:val="0"/>
              <w:rPr>
                <w:b/>
              </w:rPr>
            </w:pPr>
            <w:r w:rsidRPr="00361189">
              <w:rPr>
                <w:b/>
              </w:rPr>
              <w:t>Non-</w:t>
            </w:r>
            <w:r w:rsidR="00E016F6" w:rsidRPr="00361189">
              <w:rPr>
                <w:b/>
              </w:rPr>
              <w:t>randomised study</w:t>
            </w:r>
            <w:r w:rsidRPr="00361189">
              <w:rPr>
                <w:b/>
              </w:rPr>
              <w:t xml:space="preserve"> forming the primary evidence</w:t>
            </w:r>
          </w:p>
        </w:tc>
      </w:tr>
      <w:tr w:rsidR="00F72FC2" w:rsidRPr="00361189" w:rsidTr="00B22661">
        <w:tc>
          <w:tcPr>
            <w:tcW w:w="551" w:type="pct"/>
            <w:vMerge w:val="restart"/>
          </w:tcPr>
          <w:p w:rsidR="00F72FC2" w:rsidRPr="00361189" w:rsidRDefault="00F72FC2" w:rsidP="0052269E">
            <w:pPr>
              <w:pStyle w:val="TableText0"/>
              <w:keepNext w:val="0"/>
              <w:keepLines/>
              <w:widowControl w:val="0"/>
            </w:pPr>
            <w:r w:rsidRPr="00361189">
              <w:t>SM291/</w:t>
            </w:r>
            <w:r w:rsidRPr="00361189">
              <w:br/>
              <w:t>NURTURE</w:t>
            </w:r>
          </w:p>
        </w:tc>
        <w:tc>
          <w:tcPr>
            <w:tcW w:w="3378" w:type="pct"/>
            <w:tcBorders>
              <w:bottom w:val="nil"/>
            </w:tcBorders>
          </w:tcPr>
          <w:p w:rsidR="00F72FC2" w:rsidRPr="00361189" w:rsidRDefault="00F72FC2" w:rsidP="0052269E">
            <w:pPr>
              <w:pStyle w:val="TableText0"/>
              <w:keepNext w:val="0"/>
              <w:keepLines/>
              <w:widowControl w:val="0"/>
              <w:spacing w:after="40"/>
            </w:pPr>
            <w:r w:rsidRPr="00361189">
              <w:t>A Study of Multiple Doses of Nusinersen (ISIS 396443) Delivered to Infants With Genetically Diagnosed and Pre-symptomatic Spinal Muscular Atrophy [NCT02386553]</w:t>
            </w:r>
          </w:p>
        </w:tc>
        <w:tc>
          <w:tcPr>
            <w:tcW w:w="1071" w:type="pct"/>
            <w:tcBorders>
              <w:bottom w:val="nil"/>
            </w:tcBorders>
          </w:tcPr>
          <w:p w:rsidR="00F72FC2" w:rsidRPr="00361189" w:rsidRDefault="00F72FC2" w:rsidP="0052269E">
            <w:pPr>
              <w:pStyle w:val="TableText0"/>
              <w:keepNext w:val="0"/>
              <w:keepLines/>
              <w:widowControl w:val="0"/>
              <w:spacing w:after="40"/>
            </w:pP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Lines/>
              <w:widowControl w:val="0"/>
              <w:spacing w:after="40"/>
              <w:rPr>
                <w:i/>
              </w:rPr>
            </w:pPr>
            <w:r w:rsidRPr="00361189">
              <w:rPr>
                <w:i/>
              </w:rPr>
              <w:t>De Vivo DC, Bertini E, Swoboda KJ, Hwu WL, et al. Nusinersen initiated in infants during the presymptomatic stage of spinal muscular atrophy: Interim efficacy and safety results from the Phase 2 NURTURE study</w:t>
            </w:r>
          </w:p>
        </w:tc>
        <w:tc>
          <w:tcPr>
            <w:tcW w:w="1071" w:type="pct"/>
            <w:tcBorders>
              <w:top w:val="nil"/>
              <w:bottom w:val="nil"/>
            </w:tcBorders>
          </w:tcPr>
          <w:p w:rsidR="00F72FC2" w:rsidRPr="00361189" w:rsidRDefault="00F72FC2" w:rsidP="0052269E">
            <w:pPr>
              <w:pStyle w:val="TableText0"/>
              <w:keepNext w:val="0"/>
              <w:keepLines/>
              <w:widowControl w:val="0"/>
              <w:spacing w:after="40"/>
              <w:rPr>
                <w:i/>
              </w:rPr>
            </w:pPr>
            <w:r w:rsidRPr="00361189">
              <w:rPr>
                <w:i/>
              </w:rPr>
              <w:t>Neuromuscular Disorders 2019; 29(842-56)</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Interim Clinical Study Report</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May 2018</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Interim Clinical Study Report</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February 2017</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Bertini E, Hwu WL, Reyna SP, Farwell W, Gheuens S, Sun P, et al. Efficacy and safety of nusinersen in infants with presymptomatic spinal muscular atrophy (SMA): Interim results from the NURTURE study.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European Journal of Paediatric Neurology. 2017;21:e14</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46th Annual Meeting of the Child Neurology Society.</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Annals of Neurology. 2017;82</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Crawford T, De Vivo D, Bertini E, Hwu WL, Foster R, Bhan I, et al. Nusinersen in infants who initiate treatment in a presymptomatic stage of spinal muscular atrophy (SMA): Interim efficacy and safety results from the phase 2 nurture study.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Annals of Neurology. 2018;84:S392</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De Vivo D, Bertini E, Hwu WL, Foster R, Gheuens S, Farwell W, et al. One-year outcomes following treatment with nusinersen: Interim results from the NURTURE study of presymptomatic infants with genetically diagnosed spinal muscular atrophy (SMA).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Annals of Neurology. 2017;82:S265-S6</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De Vivo DC, Bertini E, Hwu W, Foster R, Bhan I, Gheuens S, et al. Nusinersen in infants who initiate treatment in a presymptomatic stage of spinal muscular atrophy (SMA): Interim results from the Phase 2 NURTURE study.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Canadian Journal of Neurological Sciences. 2018;45:S12-S3</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De Vivo DC, Hwu WL, Reyna SP, Farwell W, Gheuens S, Sun P, et al. Interim efficacy and safety results from the Phase 2 NURTURE study evaluating nusinersen in presymptomatic infants with spinal muscular atrophy.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Neurology. 2017;88(16)</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Mercuri E, Finkel RS, Farrar M, Richman S, Foster R, Hughes S, et al. Infants and children with spinal muscular atrophy (sma) treated with nusinersen in clinical trials: An integrated safety analysis.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Developmental Medicine and Child Neurology. 2017;59:16-7</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tcBorders>
          </w:tcPr>
          <w:p w:rsidR="00F72FC2" w:rsidRPr="00361189" w:rsidRDefault="00F72FC2" w:rsidP="0052269E">
            <w:pPr>
              <w:pStyle w:val="TableText0"/>
              <w:keepNext w:val="0"/>
              <w:keepLines/>
              <w:widowControl w:val="0"/>
              <w:spacing w:after="40"/>
            </w:pPr>
            <w:r w:rsidRPr="00361189">
              <w:t xml:space="preserve">Nct. A Study of Multiple Doses of Nusinersen (ISIS 396443) Delivered to Infants With Genetically Diagnosed and Presymptomatic Spinal Muscular Atrophy. </w:t>
            </w:r>
          </w:p>
        </w:tc>
        <w:tc>
          <w:tcPr>
            <w:tcW w:w="1071" w:type="pct"/>
            <w:tcBorders>
              <w:top w:val="nil"/>
            </w:tcBorders>
          </w:tcPr>
          <w:p w:rsidR="00F72FC2" w:rsidRPr="00361189" w:rsidRDefault="00F72FC2" w:rsidP="0052269E">
            <w:pPr>
              <w:pStyle w:val="TableText0"/>
              <w:keepNext w:val="0"/>
              <w:keepLines/>
              <w:widowControl w:val="0"/>
              <w:spacing w:after="40"/>
            </w:pPr>
            <w:r w:rsidRPr="00361189">
              <w:t>https://clinicaltrialsgov/show/nct02386553. 2015</w:t>
            </w:r>
          </w:p>
        </w:tc>
      </w:tr>
      <w:tr w:rsidR="00F72FC2" w:rsidRPr="00361189" w:rsidTr="00B22661">
        <w:tc>
          <w:tcPr>
            <w:tcW w:w="5000" w:type="pct"/>
            <w:gridSpan w:val="3"/>
          </w:tcPr>
          <w:p w:rsidR="00F72FC2" w:rsidRPr="00361189" w:rsidRDefault="00F72FC2" w:rsidP="00E016F6">
            <w:pPr>
              <w:pStyle w:val="TableText0"/>
              <w:keepNext w:val="0"/>
              <w:keepLines/>
              <w:widowControl w:val="0"/>
              <w:spacing w:after="40"/>
              <w:rPr>
                <w:b/>
              </w:rPr>
            </w:pPr>
            <w:r w:rsidRPr="00361189">
              <w:rPr>
                <w:b/>
              </w:rPr>
              <w:t xml:space="preserve">Supplementary </w:t>
            </w:r>
            <w:r w:rsidR="00E016F6" w:rsidRPr="00361189">
              <w:rPr>
                <w:b/>
              </w:rPr>
              <w:t>studies</w:t>
            </w:r>
            <w:r w:rsidRPr="00361189">
              <w:rPr>
                <w:b/>
              </w:rPr>
              <w:t xml:space="preserve"> used for the informal indirect comparison</w:t>
            </w:r>
          </w:p>
        </w:tc>
      </w:tr>
      <w:tr w:rsidR="00F72FC2" w:rsidRPr="00361189" w:rsidTr="00B22661">
        <w:tc>
          <w:tcPr>
            <w:tcW w:w="551" w:type="pct"/>
          </w:tcPr>
          <w:p w:rsidR="00F72FC2" w:rsidRPr="00361189" w:rsidRDefault="00F72FC2" w:rsidP="0052269E">
            <w:pPr>
              <w:pStyle w:val="TableText0"/>
              <w:keepNext w:val="0"/>
              <w:keepLines/>
              <w:widowControl w:val="0"/>
            </w:pPr>
            <w:r w:rsidRPr="00361189">
              <w:t>CS3B/</w:t>
            </w:r>
            <w:r w:rsidRPr="00361189">
              <w:br/>
              <w:t>ENDEAR</w:t>
            </w:r>
          </w:p>
        </w:tc>
        <w:tc>
          <w:tcPr>
            <w:tcW w:w="3378" w:type="pct"/>
          </w:tcPr>
          <w:p w:rsidR="00F72FC2" w:rsidRPr="00361189" w:rsidRDefault="00F72FC2" w:rsidP="0052269E">
            <w:pPr>
              <w:pStyle w:val="TableText0"/>
              <w:keepNext w:val="0"/>
              <w:keepLines/>
              <w:widowControl w:val="0"/>
              <w:spacing w:after="40"/>
            </w:pPr>
            <w:r w:rsidRPr="00361189">
              <w:t>A Study to Assess the Efficacy and Safety of Nusinersen (ISIS 396443) in Infants With Spinal Muscular Atrophy [NCT02193074]</w:t>
            </w:r>
          </w:p>
        </w:tc>
        <w:tc>
          <w:tcPr>
            <w:tcW w:w="1071" w:type="pct"/>
          </w:tcPr>
          <w:p w:rsidR="00F72FC2" w:rsidRPr="00361189" w:rsidRDefault="00F72FC2" w:rsidP="0052269E">
            <w:pPr>
              <w:pStyle w:val="TableText0"/>
              <w:keepNext w:val="0"/>
              <w:keepLines/>
              <w:widowControl w:val="0"/>
              <w:spacing w:after="40"/>
            </w:pPr>
            <w:r w:rsidRPr="00361189">
              <w:t>10 February 2017</w:t>
            </w:r>
          </w:p>
        </w:tc>
      </w:tr>
      <w:tr w:rsidR="00F72FC2" w:rsidRPr="00361189" w:rsidTr="00B22661">
        <w:tc>
          <w:tcPr>
            <w:tcW w:w="551" w:type="pct"/>
          </w:tcPr>
          <w:p w:rsidR="00F72FC2" w:rsidRPr="00361189" w:rsidRDefault="00F72FC2" w:rsidP="0052269E">
            <w:pPr>
              <w:pStyle w:val="TableText0"/>
              <w:keepNext w:val="0"/>
              <w:keepLines/>
              <w:widowControl w:val="0"/>
            </w:pPr>
            <w:r w:rsidRPr="00361189">
              <w:t>CS4/</w:t>
            </w:r>
            <w:r w:rsidRPr="00361189">
              <w:br/>
              <w:t>CHERISH</w:t>
            </w:r>
          </w:p>
        </w:tc>
        <w:tc>
          <w:tcPr>
            <w:tcW w:w="3378" w:type="pct"/>
          </w:tcPr>
          <w:p w:rsidR="00F72FC2" w:rsidRPr="00361189" w:rsidRDefault="00F72FC2" w:rsidP="0052269E">
            <w:pPr>
              <w:pStyle w:val="TableText0"/>
              <w:keepNext w:val="0"/>
              <w:keepLines/>
              <w:widowControl w:val="0"/>
              <w:spacing w:after="40"/>
            </w:pPr>
            <w:r w:rsidRPr="00361189">
              <w:t>A Study to Assess the Efficacy and Safety of Nusinersen (ISIS 396443) in Participants With Later-onset Spinal Muscular Atrophy (SMA) [NCT02292537]</w:t>
            </w:r>
          </w:p>
        </w:tc>
        <w:tc>
          <w:tcPr>
            <w:tcW w:w="1071" w:type="pct"/>
          </w:tcPr>
          <w:p w:rsidR="00F72FC2" w:rsidRPr="00361189" w:rsidRDefault="00F72FC2" w:rsidP="0052269E">
            <w:pPr>
              <w:pStyle w:val="TableText0"/>
              <w:keepNext w:val="0"/>
              <w:keepLines/>
              <w:widowControl w:val="0"/>
              <w:spacing w:after="40"/>
            </w:pPr>
            <w:r w:rsidRPr="00361189">
              <w:t>6 June 2017</w:t>
            </w:r>
          </w:p>
        </w:tc>
      </w:tr>
      <w:tr w:rsidR="00F72FC2" w:rsidRPr="00361189" w:rsidTr="000057D7">
        <w:trPr>
          <w:trHeight w:val="70"/>
        </w:trPr>
        <w:tc>
          <w:tcPr>
            <w:tcW w:w="551" w:type="pct"/>
            <w:vMerge w:val="restart"/>
          </w:tcPr>
          <w:p w:rsidR="00F72FC2" w:rsidRPr="00361189" w:rsidRDefault="00F72FC2" w:rsidP="0052269E">
            <w:pPr>
              <w:pStyle w:val="TableText0"/>
              <w:keepNext w:val="0"/>
              <w:keepLines/>
              <w:widowControl w:val="0"/>
            </w:pPr>
            <w:r w:rsidRPr="00361189">
              <w:t>CS3A</w:t>
            </w:r>
          </w:p>
        </w:tc>
        <w:tc>
          <w:tcPr>
            <w:tcW w:w="3378" w:type="pct"/>
            <w:tcBorders>
              <w:bottom w:val="nil"/>
            </w:tcBorders>
          </w:tcPr>
          <w:p w:rsidR="00F72FC2" w:rsidRPr="00361189" w:rsidRDefault="00F72FC2" w:rsidP="0052269E">
            <w:pPr>
              <w:pStyle w:val="TableText0"/>
              <w:keepNext w:val="0"/>
              <w:keepLines/>
              <w:widowControl w:val="0"/>
              <w:spacing w:after="40"/>
            </w:pPr>
            <w:r w:rsidRPr="00361189">
              <w:t>A Study to Assess the Efficacy, Safety and Pharmacokinetics of Nusinersen (ISIS 396443) in Infants With Spinal Muscular Atrophy (SMA) [NCT01839656]</w:t>
            </w:r>
          </w:p>
        </w:tc>
        <w:tc>
          <w:tcPr>
            <w:tcW w:w="1071" w:type="pct"/>
            <w:tcBorders>
              <w:bottom w:val="nil"/>
            </w:tcBorders>
          </w:tcPr>
          <w:p w:rsidR="00F72FC2" w:rsidRPr="00361189" w:rsidRDefault="00F72FC2" w:rsidP="0052269E">
            <w:pPr>
              <w:pStyle w:val="TableText0"/>
              <w:keepNext w:val="0"/>
              <w:keepLines/>
              <w:widowControl w:val="0"/>
              <w:spacing w:after="40"/>
            </w:pPr>
            <w:r w:rsidRPr="00361189">
              <w:t>21 August 2016</w:t>
            </w:r>
          </w:p>
        </w:tc>
      </w:tr>
      <w:tr w:rsidR="00F72FC2" w:rsidRPr="00361189" w:rsidTr="000057D7">
        <w:tc>
          <w:tcPr>
            <w:tcW w:w="551" w:type="pct"/>
            <w:vMerge/>
          </w:tcPr>
          <w:p w:rsidR="00F72FC2" w:rsidRPr="00361189" w:rsidRDefault="00F72FC2" w:rsidP="0052269E">
            <w:pPr>
              <w:pStyle w:val="TableText0"/>
              <w:keepNext w:val="0"/>
              <w:keepLines/>
              <w:widowControl w:val="0"/>
            </w:pPr>
          </w:p>
        </w:tc>
        <w:tc>
          <w:tcPr>
            <w:tcW w:w="3378" w:type="pct"/>
            <w:tcBorders>
              <w:top w:val="nil"/>
              <w:bottom w:val="single" w:sz="4" w:space="0" w:color="auto"/>
            </w:tcBorders>
          </w:tcPr>
          <w:p w:rsidR="00F72FC2" w:rsidRPr="00361189" w:rsidRDefault="00F72FC2" w:rsidP="0052269E">
            <w:pPr>
              <w:pStyle w:val="TableText0"/>
              <w:keepNext w:val="0"/>
              <w:keepLines/>
              <w:widowControl w:val="0"/>
              <w:spacing w:after="40"/>
            </w:pPr>
            <w:r w:rsidRPr="00361189">
              <w:t>Finkel et al. Treatment of infantile-onset spinal muscular atrophy with nusinersen: a phase 2, open-label, dose escalation study.</w:t>
            </w:r>
          </w:p>
        </w:tc>
        <w:tc>
          <w:tcPr>
            <w:tcW w:w="1071" w:type="pct"/>
            <w:tcBorders>
              <w:top w:val="nil"/>
              <w:bottom w:val="single" w:sz="4" w:space="0" w:color="auto"/>
            </w:tcBorders>
          </w:tcPr>
          <w:p w:rsidR="00F72FC2" w:rsidRPr="00361189" w:rsidRDefault="00F72FC2" w:rsidP="0052269E">
            <w:pPr>
              <w:pStyle w:val="TableText0"/>
              <w:keepNext w:val="0"/>
              <w:keepLines/>
              <w:widowControl w:val="0"/>
              <w:spacing w:after="40"/>
            </w:pPr>
            <w:r w:rsidRPr="00361189">
              <w:t>The Lancet 2016. 388 (10063): 3017-3026</w:t>
            </w:r>
          </w:p>
        </w:tc>
      </w:tr>
      <w:tr w:rsidR="00F72FC2" w:rsidRPr="00361189" w:rsidTr="000057D7">
        <w:tc>
          <w:tcPr>
            <w:tcW w:w="551" w:type="pct"/>
            <w:vMerge/>
          </w:tcPr>
          <w:p w:rsidR="00F72FC2" w:rsidRPr="00361189" w:rsidRDefault="00F72FC2" w:rsidP="0052269E">
            <w:pPr>
              <w:pStyle w:val="TableText0"/>
              <w:keepNext w:val="0"/>
              <w:keepLines/>
              <w:widowControl w:val="0"/>
            </w:pPr>
          </w:p>
        </w:tc>
        <w:tc>
          <w:tcPr>
            <w:tcW w:w="3378" w:type="pct"/>
            <w:tcBorders>
              <w:top w:val="single" w:sz="4" w:space="0" w:color="auto"/>
              <w:bottom w:val="nil"/>
            </w:tcBorders>
          </w:tcPr>
          <w:p w:rsidR="00F72FC2" w:rsidRPr="00361189" w:rsidRDefault="00F72FC2" w:rsidP="0052269E">
            <w:pPr>
              <w:pStyle w:val="TableText0"/>
              <w:keepNext w:val="0"/>
              <w:keepLines/>
              <w:widowControl w:val="0"/>
              <w:spacing w:after="40"/>
            </w:pPr>
            <w:r w:rsidRPr="00361189">
              <w:t xml:space="preserve">Finkel et al. Interim results of a phase 2 clinical study of nusinersen (ISIS-SMNRX) in patients with infantile-onset spinal muscular atrophy. </w:t>
            </w:r>
          </w:p>
        </w:tc>
        <w:tc>
          <w:tcPr>
            <w:tcW w:w="1071" w:type="pct"/>
            <w:tcBorders>
              <w:top w:val="single" w:sz="4" w:space="0" w:color="auto"/>
              <w:bottom w:val="nil"/>
            </w:tcBorders>
          </w:tcPr>
          <w:p w:rsidR="00F72FC2" w:rsidRPr="00361189" w:rsidRDefault="00F72FC2" w:rsidP="0052269E">
            <w:pPr>
              <w:pStyle w:val="TableText0"/>
              <w:keepNext w:val="0"/>
              <w:keepLines/>
              <w:widowControl w:val="0"/>
              <w:spacing w:after="40"/>
            </w:pPr>
            <w:r w:rsidRPr="00361189">
              <w:t>Annual of Neurology 2016. 80; S371-372</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Finkel et al. Interim results of a phase 2 clinical study of nusinersen (ISIS-SMNRX) in patients with infantile-onset spinal muscular atrophy.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Neurology 2016. 86 (16); Supplement P5.004</w:t>
            </w:r>
          </w:p>
        </w:tc>
      </w:tr>
      <w:tr w:rsidR="00F72FC2" w:rsidRPr="00361189" w:rsidTr="00B22661">
        <w:tc>
          <w:tcPr>
            <w:tcW w:w="551" w:type="pct"/>
            <w:vMerge/>
          </w:tcPr>
          <w:p w:rsidR="00F72FC2" w:rsidRPr="00361189" w:rsidRDefault="00F72FC2" w:rsidP="0052269E">
            <w:pPr>
              <w:pStyle w:val="TableText0"/>
              <w:keepNext w:val="0"/>
              <w:keepLines/>
              <w:widowControl w:val="0"/>
            </w:pPr>
          </w:p>
        </w:tc>
        <w:tc>
          <w:tcPr>
            <w:tcW w:w="3378" w:type="pct"/>
            <w:tcBorders>
              <w:top w:val="nil"/>
              <w:bottom w:val="nil"/>
            </w:tcBorders>
          </w:tcPr>
          <w:p w:rsidR="00F72FC2" w:rsidRPr="00361189" w:rsidRDefault="00F72FC2" w:rsidP="0052269E">
            <w:pPr>
              <w:pStyle w:val="TableText0"/>
              <w:keepNext w:val="0"/>
              <w:keepLines/>
              <w:widowControl w:val="0"/>
              <w:spacing w:after="40"/>
            </w:pPr>
            <w:r w:rsidRPr="00361189">
              <w:t xml:space="preserve">Finkel et al. Results of a phase 2 open-label study of ISIS-SMNRx in patients with infantile (type 1) spinal muscular atrophy. </w:t>
            </w:r>
          </w:p>
        </w:tc>
        <w:tc>
          <w:tcPr>
            <w:tcW w:w="1071" w:type="pct"/>
            <w:tcBorders>
              <w:top w:val="nil"/>
              <w:bottom w:val="nil"/>
            </w:tcBorders>
          </w:tcPr>
          <w:p w:rsidR="00F72FC2" w:rsidRPr="00361189" w:rsidRDefault="00F72FC2" w:rsidP="0052269E">
            <w:pPr>
              <w:pStyle w:val="TableText0"/>
              <w:keepNext w:val="0"/>
              <w:keepLines/>
              <w:widowControl w:val="0"/>
              <w:spacing w:after="40"/>
            </w:pPr>
            <w:r w:rsidRPr="00361189">
              <w:t>Neurology 2014. 82 (10); Supplement S6.003</w:t>
            </w:r>
          </w:p>
        </w:tc>
      </w:tr>
      <w:tr w:rsidR="00F72FC2" w:rsidRPr="00361189" w:rsidTr="00B22661">
        <w:trPr>
          <w:trHeight w:val="121"/>
        </w:trPr>
        <w:tc>
          <w:tcPr>
            <w:tcW w:w="551" w:type="pct"/>
            <w:vMerge/>
          </w:tcPr>
          <w:p w:rsidR="00F72FC2" w:rsidRPr="00361189" w:rsidRDefault="00F72FC2" w:rsidP="0052269E">
            <w:pPr>
              <w:pStyle w:val="TableText0"/>
              <w:keepNext w:val="0"/>
              <w:keepLines/>
              <w:widowControl w:val="0"/>
            </w:pPr>
          </w:p>
        </w:tc>
        <w:tc>
          <w:tcPr>
            <w:tcW w:w="3378" w:type="pct"/>
            <w:tcBorders>
              <w:top w:val="nil"/>
            </w:tcBorders>
          </w:tcPr>
          <w:p w:rsidR="00F72FC2" w:rsidRPr="00361189" w:rsidRDefault="00F72FC2" w:rsidP="0052269E">
            <w:pPr>
              <w:pStyle w:val="TableText0"/>
              <w:keepNext w:val="0"/>
              <w:keepLines/>
              <w:widowControl w:val="0"/>
              <w:spacing w:after="40"/>
            </w:pPr>
            <w:r w:rsidRPr="00361189">
              <w:t xml:space="preserve">Finkel et al. Results of a phase 2 open-label study of ISIS-SMNRx in patients with infantile (Type 1) spinal muscular atrophy. </w:t>
            </w:r>
          </w:p>
        </w:tc>
        <w:tc>
          <w:tcPr>
            <w:tcW w:w="1071" w:type="pct"/>
            <w:tcBorders>
              <w:top w:val="nil"/>
            </w:tcBorders>
          </w:tcPr>
          <w:p w:rsidR="00F72FC2" w:rsidRPr="00361189" w:rsidRDefault="00F72FC2" w:rsidP="0052269E">
            <w:pPr>
              <w:pStyle w:val="TableText0"/>
              <w:keepNext w:val="0"/>
              <w:keepLines/>
              <w:widowControl w:val="0"/>
              <w:spacing w:after="40"/>
            </w:pPr>
            <w:r w:rsidRPr="00361189">
              <w:t>Neuromuscular disorders 2014. 24 (9-10); 920</w:t>
            </w:r>
          </w:p>
        </w:tc>
      </w:tr>
    </w:tbl>
    <w:p w:rsidR="00F44E89" w:rsidRPr="00361189" w:rsidRDefault="008E0D3C" w:rsidP="005B106B">
      <w:pPr>
        <w:pStyle w:val="TableFooter"/>
        <w:keepLines/>
        <w:spacing w:after="120"/>
      </w:pPr>
      <w:r w:rsidRPr="00361189">
        <w:t>S</w:t>
      </w:r>
      <w:r w:rsidR="00F44E89" w:rsidRPr="00361189">
        <w:t>ource:  Table 2d.-2-27,p92 of the resubmission and Table 2.2.3, p48-49 of the November 2017 PBAC submission.</w:t>
      </w:r>
    </w:p>
    <w:p w:rsidR="007F1017" w:rsidRPr="00361189" w:rsidRDefault="008F120A" w:rsidP="00EC5836">
      <w:pPr>
        <w:pStyle w:val="3-BodyText"/>
      </w:pPr>
      <w:r w:rsidRPr="00361189">
        <w:t xml:space="preserve">The key features of the </w:t>
      </w:r>
      <w:r w:rsidR="00F44E89" w:rsidRPr="00361189">
        <w:t xml:space="preserve">included </w:t>
      </w:r>
      <w:r w:rsidR="007170DA" w:rsidRPr="00361189">
        <w:t>studies</w:t>
      </w:r>
      <w:r w:rsidRPr="00361189">
        <w:t xml:space="preserve"> are summarised in </w:t>
      </w:r>
      <w:r w:rsidR="00F72FC2" w:rsidRPr="00361189">
        <w:t>Table 9</w:t>
      </w:r>
      <w:r w:rsidR="00361189">
        <w:t xml:space="preserve">. </w:t>
      </w:r>
      <w:r w:rsidR="00F44E89" w:rsidRPr="00361189">
        <w:t>As in the previous submission, none of the results from any of the identified studies were used in the economic evaluation</w:t>
      </w:r>
      <w:r w:rsidR="00361189">
        <w:t xml:space="preserve">. </w:t>
      </w:r>
    </w:p>
    <w:p w:rsidR="007F1017" w:rsidRPr="00361189" w:rsidRDefault="00F72FC2" w:rsidP="00EC5836">
      <w:pPr>
        <w:pStyle w:val="TableFigureHeading"/>
        <w:rPr>
          <w:rStyle w:val="CommentReference"/>
          <w:b/>
          <w:szCs w:val="24"/>
        </w:rPr>
      </w:pPr>
      <w:bookmarkStart w:id="27" w:name="_Ref39363765"/>
      <w:r w:rsidRPr="00361189">
        <w:rPr>
          <w:rStyle w:val="CommentReference"/>
          <w:b/>
          <w:szCs w:val="24"/>
        </w:rPr>
        <w:t xml:space="preserve">Table </w:t>
      </w:r>
      <w:r w:rsidR="0089312A" w:rsidRPr="00361189">
        <w:rPr>
          <w:rStyle w:val="CommentReference"/>
          <w:b/>
          <w:szCs w:val="24"/>
        </w:rPr>
        <w:t>9</w:t>
      </w:r>
      <w:bookmarkEnd w:id="27"/>
      <w:r w:rsidR="007F1017" w:rsidRPr="00361189">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949"/>
        <w:gridCol w:w="1331"/>
        <w:gridCol w:w="1122"/>
        <w:gridCol w:w="1540"/>
        <w:gridCol w:w="1331"/>
        <w:gridCol w:w="1331"/>
      </w:tblGrid>
      <w:tr w:rsidR="00F44E89" w:rsidRPr="00361189" w:rsidTr="00AA382D">
        <w:tc>
          <w:tcPr>
            <w:tcW w:w="784" w:type="pct"/>
            <w:shd w:val="clear" w:color="auto" w:fill="auto"/>
            <w:vAlign w:val="center"/>
          </w:tcPr>
          <w:p w:rsidR="00F44E89" w:rsidRPr="00361189" w:rsidRDefault="00E016F6" w:rsidP="00AA382D">
            <w:pPr>
              <w:pStyle w:val="Tabletext"/>
              <w:keepNext/>
              <w:keepLines/>
              <w:rPr>
                <w:b/>
              </w:rPr>
            </w:pPr>
            <w:r w:rsidRPr="00361189">
              <w:rPr>
                <w:b/>
              </w:rPr>
              <w:t>Study</w:t>
            </w:r>
          </w:p>
        </w:tc>
        <w:tc>
          <w:tcPr>
            <w:tcW w:w="526" w:type="pct"/>
            <w:shd w:val="clear" w:color="auto" w:fill="auto"/>
            <w:vAlign w:val="center"/>
          </w:tcPr>
          <w:p w:rsidR="00F44E89" w:rsidRPr="00361189" w:rsidRDefault="00F44E89" w:rsidP="00AA382D">
            <w:pPr>
              <w:pStyle w:val="Tabletext"/>
              <w:keepNext/>
              <w:keepLines/>
              <w:jc w:val="center"/>
              <w:rPr>
                <w:b/>
              </w:rPr>
            </w:pPr>
            <w:r w:rsidRPr="00361189">
              <w:rPr>
                <w:b/>
              </w:rPr>
              <w:t>N</w:t>
            </w:r>
          </w:p>
        </w:tc>
        <w:tc>
          <w:tcPr>
            <w:tcW w:w="738" w:type="pct"/>
            <w:shd w:val="clear" w:color="auto" w:fill="auto"/>
            <w:vAlign w:val="center"/>
          </w:tcPr>
          <w:p w:rsidR="00F44E89" w:rsidRPr="00361189" w:rsidRDefault="00F44E89" w:rsidP="00AA382D">
            <w:pPr>
              <w:pStyle w:val="Tabletext"/>
              <w:keepNext/>
              <w:keepLines/>
              <w:jc w:val="center"/>
              <w:rPr>
                <w:b/>
              </w:rPr>
            </w:pPr>
            <w:r w:rsidRPr="00361189">
              <w:rPr>
                <w:b/>
              </w:rPr>
              <w:t>Design/ duration</w:t>
            </w:r>
          </w:p>
        </w:tc>
        <w:tc>
          <w:tcPr>
            <w:tcW w:w="622" w:type="pct"/>
            <w:shd w:val="clear" w:color="auto" w:fill="auto"/>
            <w:vAlign w:val="center"/>
          </w:tcPr>
          <w:p w:rsidR="00F44E89" w:rsidRPr="00361189" w:rsidRDefault="00F44E89" w:rsidP="00AA382D">
            <w:pPr>
              <w:pStyle w:val="Tabletext"/>
              <w:keepNext/>
              <w:keepLines/>
              <w:jc w:val="center"/>
              <w:rPr>
                <w:b/>
              </w:rPr>
            </w:pPr>
            <w:r w:rsidRPr="00361189">
              <w:rPr>
                <w:b/>
              </w:rPr>
              <w:t>Risk of bias</w:t>
            </w:r>
          </w:p>
        </w:tc>
        <w:tc>
          <w:tcPr>
            <w:tcW w:w="854" w:type="pct"/>
            <w:shd w:val="clear" w:color="auto" w:fill="auto"/>
            <w:vAlign w:val="center"/>
          </w:tcPr>
          <w:p w:rsidR="00F44E89" w:rsidRPr="00361189" w:rsidRDefault="00F44E89" w:rsidP="00AA382D">
            <w:pPr>
              <w:pStyle w:val="Tabletext"/>
              <w:keepNext/>
              <w:keepLines/>
              <w:jc w:val="center"/>
              <w:rPr>
                <w:b/>
              </w:rPr>
            </w:pPr>
            <w:r w:rsidRPr="00361189">
              <w:rPr>
                <w:b/>
              </w:rPr>
              <w:t>Patient population</w:t>
            </w:r>
          </w:p>
        </w:tc>
        <w:tc>
          <w:tcPr>
            <w:tcW w:w="738" w:type="pct"/>
            <w:shd w:val="clear" w:color="auto" w:fill="auto"/>
            <w:vAlign w:val="center"/>
          </w:tcPr>
          <w:p w:rsidR="00F44E89" w:rsidRPr="00361189" w:rsidRDefault="00F135D3" w:rsidP="00AA382D">
            <w:pPr>
              <w:pStyle w:val="Tabletext"/>
              <w:keepNext/>
              <w:keepLines/>
              <w:jc w:val="center"/>
              <w:rPr>
                <w:b/>
              </w:rPr>
            </w:pPr>
            <w:r w:rsidRPr="00361189">
              <w:rPr>
                <w:b/>
              </w:rPr>
              <w:t>Outcomes</w:t>
            </w:r>
          </w:p>
        </w:tc>
        <w:tc>
          <w:tcPr>
            <w:tcW w:w="738" w:type="pct"/>
            <w:shd w:val="clear" w:color="auto" w:fill="auto"/>
            <w:vAlign w:val="center"/>
          </w:tcPr>
          <w:p w:rsidR="00F44E89" w:rsidRPr="00361189" w:rsidRDefault="00F44E89" w:rsidP="00AA382D">
            <w:pPr>
              <w:pStyle w:val="Tabletext"/>
              <w:keepNext/>
              <w:keepLines/>
              <w:jc w:val="center"/>
              <w:rPr>
                <w:b/>
              </w:rPr>
            </w:pPr>
            <w:r w:rsidRPr="00361189">
              <w:rPr>
                <w:b/>
              </w:rPr>
              <w:t>Use in modelled evaluation</w:t>
            </w:r>
          </w:p>
        </w:tc>
      </w:tr>
      <w:tr w:rsidR="00F44E89" w:rsidRPr="00361189" w:rsidTr="00AA382D">
        <w:tc>
          <w:tcPr>
            <w:tcW w:w="784" w:type="pct"/>
            <w:shd w:val="clear" w:color="auto" w:fill="auto"/>
            <w:vAlign w:val="center"/>
          </w:tcPr>
          <w:p w:rsidR="00F44E89" w:rsidRPr="00361189" w:rsidRDefault="00F44E89" w:rsidP="00AA382D">
            <w:pPr>
              <w:pStyle w:val="Tabletext"/>
              <w:keepNext/>
              <w:keepLines/>
            </w:pPr>
            <w:r w:rsidRPr="00361189">
              <w:t>NURTURE</w:t>
            </w:r>
          </w:p>
        </w:tc>
        <w:tc>
          <w:tcPr>
            <w:tcW w:w="526" w:type="pct"/>
            <w:shd w:val="clear" w:color="auto" w:fill="auto"/>
            <w:vAlign w:val="center"/>
          </w:tcPr>
          <w:p w:rsidR="00F44E89" w:rsidRPr="00361189" w:rsidRDefault="00F44E89" w:rsidP="00AA382D">
            <w:pPr>
              <w:pStyle w:val="Tabletext"/>
              <w:keepNext/>
              <w:keepLines/>
              <w:jc w:val="center"/>
            </w:pPr>
            <w:r w:rsidRPr="00361189">
              <w:t>25</w:t>
            </w:r>
          </w:p>
        </w:tc>
        <w:tc>
          <w:tcPr>
            <w:tcW w:w="738" w:type="pct"/>
            <w:shd w:val="clear" w:color="auto" w:fill="auto"/>
            <w:vAlign w:val="center"/>
          </w:tcPr>
          <w:p w:rsidR="00F44E89" w:rsidRPr="00361189" w:rsidRDefault="00F44E89" w:rsidP="00AA382D">
            <w:pPr>
              <w:pStyle w:val="Tabletext"/>
              <w:keepNext/>
              <w:keepLines/>
              <w:jc w:val="center"/>
            </w:pPr>
            <w:r w:rsidRPr="00361189">
              <w:t>OL, NC, 5 years</w:t>
            </w:r>
          </w:p>
          <w:p w:rsidR="00F44E89" w:rsidRPr="00361189" w:rsidRDefault="00F44E89" w:rsidP="00AA382D">
            <w:pPr>
              <w:pStyle w:val="Tabletext"/>
              <w:keepNext/>
              <w:keepLines/>
              <w:jc w:val="center"/>
            </w:pPr>
            <w:r w:rsidRPr="00361189">
              <w:t>Interim analysis 27.14 months</w:t>
            </w:r>
          </w:p>
        </w:tc>
        <w:tc>
          <w:tcPr>
            <w:tcW w:w="622" w:type="pct"/>
            <w:shd w:val="clear" w:color="auto" w:fill="auto"/>
            <w:vAlign w:val="center"/>
          </w:tcPr>
          <w:p w:rsidR="00F44E89" w:rsidRPr="00361189" w:rsidRDefault="00F44E89" w:rsidP="00AA382D">
            <w:pPr>
              <w:pStyle w:val="Tabletext"/>
              <w:keepNext/>
              <w:keepLines/>
              <w:jc w:val="center"/>
            </w:pPr>
            <w:r w:rsidRPr="00361189">
              <w:t>High*</w:t>
            </w:r>
          </w:p>
        </w:tc>
        <w:tc>
          <w:tcPr>
            <w:tcW w:w="854" w:type="pct"/>
            <w:shd w:val="clear" w:color="auto" w:fill="auto"/>
            <w:vAlign w:val="center"/>
          </w:tcPr>
          <w:p w:rsidR="00F44E89" w:rsidRPr="00361189" w:rsidRDefault="00F44E89" w:rsidP="00AA382D">
            <w:pPr>
              <w:pStyle w:val="Tabletext"/>
              <w:keepNext/>
              <w:keepLines/>
              <w:jc w:val="center"/>
            </w:pPr>
            <w:r w:rsidRPr="00361189">
              <w:t>Age &lt;6 weeks with SMA and no symptoms:</w:t>
            </w:r>
          </w:p>
          <w:p w:rsidR="00F44E89" w:rsidRPr="00361189" w:rsidRDefault="00F44E89" w:rsidP="00AA382D">
            <w:pPr>
              <w:pStyle w:val="Tabletext"/>
              <w:keepNext/>
              <w:keepLines/>
              <w:jc w:val="center"/>
            </w:pPr>
            <w:r w:rsidRPr="00361189">
              <w:t xml:space="preserve">2 or 3 </w:t>
            </w:r>
            <w:r w:rsidRPr="00361189">
              <w:rPr>
                <w:i/>
              </w:rPr>
              <w:t>SMN2</w:t>
            </w:r>
            <w:r w:rsidRPr="00361189">
              <w:t xml:space="preserve"> copies</w:t>
            </w:r>
          </w:p>
        </w:tc>
        <w:tc>
          <w:tcPr>
            <w:tcW w:w="738" w:type="pct"/>
            <w:shd w:val="clear" w:color="auto" w:fill="auto"/>
            <w:vAlign w:val="center"/>
          </w:tcPr>
          <w:p w:rsidR="00F44E89" w:rsidRPr="00361189" w:rsidRDefault="00F44E89" w:rsidP="00AA382D">
            <w:pPr>
              <w:pStyle w:val="Tabletext"/>
              <w:keepNext/>
              <w:keepLines/>
              <w:jc w:val="center"/>
            </w:pPr>
            <w:r w:rsidRPr="00361189">
              <w:t>EFS, OS, Motor milestones, CHOP Intend</w:t>
            </w:r>
          </w:p>
        </w:tc>
        <w:tc>
          <w:tcPr>
            <w:tcW w:w="738" w:type="pct"/>
            <w:vMerge w:val="restart"/>
            <w:shd w:val="clear" w:color="auto" w:fill="auto"/>
            <w:vAlign w:val="center"/>
          </w:tcPr>
          <w:p w:rsidR="00F44E89" w:rsidRPr="00361189" w:rsidRDefault="00F44E89" w:rsidP="00AA382D">
            <w:pPr>
              <w:pStyle w:val="Tabletext"/>
              <w:keepNext/>
              <w:keepLines/>
              <w:jc w:val="center"/>
            </w:pPr>
            <w:r w:rsidRPr="00361189">
              <w:t>Not used</w:t>
            </w:r>
          </w:p>
        </w:tc>
      </w:tr>
      <w:tr w:rsidR="00F44E89" w:rsidRPr="00361189" w:rsidTr="00AA382D">
        <w:tc>
          <w:tcPr>
            <w:tcW w:w="784" w:type="pct"/>
            <w:shd w:val="clear" w:color="auto" w:fill="auto"/>
            <w:vAlign w:val="center"/>
          </w:tcPr>
          <w:p w:rsidR="00F44E89" w:rsidRPr="00361189" w:rsidRDefault="00F44E89" w:rsidP="00AA382D">
            <w:pPr>
              <w:pStyle w:val="Tabletext"/>
              <w:keepNext/>
              <w:keepLines/>
            </w:pPr>
            <w:r w:rsidRPr="00361189">
              <w:t>ENDEAR</w:t>
            </w:r>
          </w:p>
        </w:tc>
        <w:tc>
          <w:tcPr>
            <w:tcW w:w="526" w:type="pct"/>
            <w:shd w:val="clear" w:color="auto" w:fill="auto"/>
            <w:vAlign w:val="center"/>
          </w:tcPr>
          <w:p w:rsidR="00F44E89" w:rsidRPr="00361189" w:rsidRDefault="00F44E89" w:rsidP="00AA382D">
            <w:pPr>
              <w:pStyle w:val="Tabletext"/>
              <w:keepNext/>
              <w:keepLines/>
              <w:jc w:val="center"/>
            </w:pPr>
            <w:r w:rsidRPr="00361189">
              <w:t>121</w:t>
            </w:r>
          </w:p>
        </w:tc>
        <w:tc>
          <w:tcPr>
            <w:tcW w:w="738" w:type="pct"/>
            <w:shd w:val="clear" w:color="auto" w:fill="auto"/>
            <w:vAlign w:val="center"/>
          </w:tcPr>
          <w:p w:rsidR="00F44E89" w:rsidRPr="00361189" w:rsidRDefault="00F44E89" w:rsidP="00AA382D">
            <w:pPr>
              <w:pStyle w:val="TableText0"/>
              <w:keepLines/>
              <w:jc w:val="center"/>
              <w:rPr>
                <w:rFonts w:ascii="Times" w:eastAsia="Times New Roman" w:hAnsi="Times"/>
              </w:rPr>
            </w:pPr>
            <w:r w:rsidRPr="00361189">
              <w:t>R, DB, MC</w:t>
            </w:r>
          </w:p>
          <w:p w:rsidR="00F44E89" w:rsidRPr="00361189" w:rsidRDefault="00F44E89" w:rsidP="00AA382D">
            <w:pPr>
              <w:pStyle w:val="Tabletext"/>
              <w:keepNext/>
              <w:keepLines/>
              <w:jc w:val="center"/>
            </w:pPr>
            <w:r w:rsidRPr="00361189">
              <w:t>13 months</w:t>
            </w:r>
          </w:p>
        </w:tc>
        <w:tc>
          <w:tcPr>
            <w:tcW w:w="622" w:type="pct"/>
            <w:shd w:val="clear" w:color="auto" w:fill="auto"/>
            <w:vAlign w:val="center"/>
          </w:tcPr>
          <w:p w:rsidR="00F44E89" w:rsidRPr="00361189" w:rsidRDefault="00F44E89" w:rsidP="00AA382D">
            <w:pPr>
              <w:pStyle w:val="Tabletext"/>
              <w:keepNext/>
              <w:keepLines/>
              <w:jc w:val="center"/>
            </w:pPr>
            <w:r w:rsidRPr="00361189">
              <w:t>Low</w:t>
            </w:r>
          </w:p>
        </w:tc>
        <w:tc>
          <w:tcPr>
            <w:tcW w:w="854" w:type="pct"/>
            <w:shd w:val="clear" w:color="auto" w:fill="auto"/>
            <w:vAlign w:val="center"/>
          </w:tcPr>
          <w:p w:rsidR="00F44E89" w:rsidRPr="00361189" w:rsidRDefault="00F44E89" w:rsidP="00AA382D">
            <w:pPr>
              <w:pStyle w:val="Tabletext"/>
              <w:keepNext/>
              <w:keepLines/>
              <w:jc w:val="center"/>
            </w:pPr>
            <w:r w:rsidRPr="00361189">
              <w:t>Infantile-onset SMA (Type I)</w:t>
            </w:r>
          </w:p>
        </w:tc>
        <w:tc>
          <w:tcPr>
            <w:tcW w:w="738" w:type="pct"/>
            <w:shd w:val="clear" w:color="auto" w:fill="auto"/>
            <w:vAlign w:val="center"/>
          </w:tcPr>
          <w:p w:rsidR="00F44E89" w:rsidRPr="00361189" w:rsidRDefault="00F44E89" w:rsidP="00AA382D">
            <w:pPr>
              <w:pStyle w:val="Tabletext"/>
              <w:keepNext/>
              <w:keepLines/>
              <w:jc w:val="center"/>
            </w:pPr>
            <w:r w:rsidRPr="00361189">
              <w:t>EFS, OS, HINE (Section 2)</w:t>
            </w:r>
          </w:p>
        </w:tc>
        <w:tc>
          <w:tcPr>
            <w:tcW w:w="738" w:type="pct"/>
            <w:vMerge/>
            <w:shd w:val="clear" w:color="auto" w:fill="auto"/>
            <w:vAlign w:val="center"/>
          </w:tcPr>
          <w:p w:rsidR="00F44E89" w:rsidRPr="00361189" w:rsidRDefault="00F44E89" w:rsidP="00AA382D">
            <w:pPr>
              <w:pStyle w:val="Tabletext"/>
              <w:keepNext/>
              <w:keepLines/>
              <w:jc w:val="center"/>
            </w:pPr>
          </w:p>
        </w:tc>
      </w:tr>
      <w:tr w:rsidR="00F44E89" w:rsidRPr="00361189" w:rsidTr="00AA382D">
        <w:tc>
          <w:tcPr>
            <w:tcW w:w="784" w:type="pct"/>
            <w:shd w:val="clear" w:color="auto" w:fill="auto"/>
            <w:vAlign w:val="center"/>
          </w:tcPr>
          <w:p w:rsidR="00F44E89" w:rsidRPr="00361189" w:rsidRDefault="00F44E89" w:rsidP="00AA382D">
            <w:pPr>
              <w:pStyle w:val="Tabletext"/>
              <w:keepNext/>
              <w:keepLines/>
            </w:pPr>
            <w:r w:rsidRPr="00361189">
              <w:t>CHERISH</w:t>
            </w:r>
          </w:p>
        </w:tc>
        <w:tc>
          <w:tcPr>
            <w:tcW w:w="526" w:type="pct"/>
            <w:shd w:val="clear" w:color="auto" w:fill="auto"/>
            <w:vAlign w:val="center"/>
          </w:tcPr>
          <w:p w:rsidR="00F44E89" w:rsidRPr="00361189" w:rsidRDefault="00F44E89" w:rsidP="00AA382D">
            <w:pPr>
              <w:pStyle w:val="Tabletext"/>
              <w:keepNext/>
              <w:keepLines/>
              <w:jc w:val="center"/>
            </w:pPr>
            <w:r w:rsidRPr="00361189">
              <w:t>126</w:t>
            </w:r>
          </w:p>
        </w:tc>
        <w:tc>
          <w:tcPr>
            <w:tcW w:w="738" w:type="pct"/>
            <w:shd w:val="clear" w:color="auto" w:fill="auto"/>
            <w:vAlign w:val="center"/>
          </w:tcPr>
          <w:p w:rsidR="00F44E89" w:rsidRPr="00361189" w:rsidRDefault="00F44E89" w:rsidP="00AA382D">
            <w:pPr>
              <w:pStyle w:val="TableText0"/>
              <w:keepLines/>
              <w:jc w:val="center"/>
              <w:rPr>
                <w:rFonts w:ascii="Times" w:eastAsia="Times New Roman" w:hAnsi="Times"/>
              </w:rPr>
            </w:pPr>
            <w:r w:rsidRPr="00361189">
              <w:t>R, DB, MC</w:t>
            </w:r>
          </w:p>
          <w:p w:rsidR="00F44E89" w:rsidRPr="00361189" w:rsidRDefault="00F44E89" w:rsidP="00AA382D">
            <w:pPr>
              <w:pStyle w:val="Tabletext"/>
              <w:keepNext/>
              <w:keepLines/>
              <w:jc w:val="center"/>
            </w:pPr>
            <w:r w:rsidRPr="00361189">
              <w:t>16 months</w:t>
            </w:r>
          </w:p>
        </w:tc>
        <w:tc>
          <w:tcPr>
            <w:tcW w:w="622" w:type="pct"/>
            <w:shd w:val="clear" w:color="auto" w:fill="auto"/>
            <w:vAlign w:val="center"/>
          </w:tcPr>
          <w:p w:rsidR="00F44E89" w:rsidRPr="00361189" w:rsidRDefault="00F44E89" w:rsidP="00AA382D">
            <w:pPr>
              <w:pStyle w:val="Tabletext"/>
              <w:keepNext/>
              <w:keepLines/>
              <w:jc w:val="center"/>
            </w:pPr>
            <w:r w:rsidRPr="00361189">
              <w:t>Low</w:t>
            </w:r>
          </w:p>
        </w:tc>
        <w:tc>
          <w:tcPr>
            <w:tcW w:w="854" w:type="pct"/>
            <w:shd w:val="clear" w:color="auto" w:fill="auto"/>
            <w:vAlign w:val="center"/>
          </w:tcPr>
          <w:p w:rsidR="00F44E89" w:rsidRPr="00361189" w:rsidRDefault="00F44E89" w:rsidP="00AA382D">
            <w:pPr>
              <w:pStyle w:val="Tabletext"/>
              <w:keepNext/>
              <w:keepLines/>
              <w:jc w:val="center"/>
            </w:pPr>
            <w:r w:rsidRPr="00361189">
              <w:t>Childhood-onset SMA (Type II)</w:t>
            </w:r>
          </w:p>
        </w:tc>
        <w:tc>
          <w:tcPr>
            <w:tcW w:w="738" w:type="pct"/>
            <w:shd w:val="clear" w:color="auto" w:fill="auto"/>
            <w:vAlign w:val="center"/>
          </w:tcPr>
          <w:p w:rsidR="00F44E89" w:rsidRPr="00361189" w:rsidRDefault="00F44E89" w:rsidP="00AA382D">
            <w:pPr>
              <w:pStyle w:val="Tabletext"/>
              <w:keepNext/>
              <w:keepLines/>
              <w:jc w:val="center"/>
            </w:pPr>
            <w:r w:rsidRPr="00361189">
              <w:t>HFMSE</w:t>
            </w:r>
          </w:p>
        </w:tc>
        <w:tc>
          <w:tcPr>
            <w:tcW w:w="738" w:type="pct"/>
            <w:vMerge/>
            <w:shd w:val="clear" w:color="auto" w:fill="auto"/>
            <w:vAlign w:val="center"/>
          </w:tcPr>
          <w:p w:rsidR="00F44E89" w:rsidRPr="00361189" w:rsidRDefault="00F44E89" w:rsidP="00AA382D">
            <w:pPr>
              <w:pStyle w:val="Tabletext"/>
              <w:keepNext/>
              <w:keepLines/>
              <w:jc w:val="center"/>
            </w:pPr>
          </w:p>
        </w:tc>
      </w:tr>
      <w:tr w:rsidR="00F44E89" w:rsidRPr="00361189" w:rsidTr="00AA382D">
        <w:tc>
          <w:tcPr>
            <w:tcW w:w="784" w:type="pct"/>
            <w:shd w:val="clear" w:color="auto" w:fill="auto"/>
            <w:vAlign w:val="center"/>
          </w:tcPr>
          <w:p w:rsidR="00F44E89" w:rsidRPr="00361189" w:rsidRDefault="00F44E89" w:rsidP="00AA382D">
            <w:pPr>
              <w:pStyle w:val="Tabletext"/>
              <w:keepNext/>
              <w:keepLines/>
            </w:pPr>
            <w:r w:rsidRPr="00361189">
              <w:t>CS3A</w:t>
            </w:r>
          </w:p>
        </w:tc>
        <w:tc>
          <w:tcPr>
            <w:tcW w:w="526" w:type="pct"/>
            <w:shd w:val="clear" w:color="auto" w:fill="auto"/>
            <w:vAlign w:val="center"/>
          </w:tcPr>
          <w:p w:rsidR="00F44E89" w:rsidRPr="00361189" w:rsidRDefault="00F44E89" w:rsidP="00AA382D">
            <w:pPr>
              <w:pStyle w:val="Tabletext"/>
              <w:keepNext/>
              <w:keepLines/>
              <w:jc w:val="center"/>
            </w:pPr>
            <w:r w:rsidRPr="00361189">
              <w:t>20</w:t>
            </w:r>
          </w:p>
        </w:tc>
        <w:tc>
          <w:tcPr>
            <w:tcW w:w="738" w:type="pct"/>
            <w:shd w:val="clear" w:color="auto" w:fill="auto"/>
            <w:vAlign w:val="center"/>
          </w:tcPr>
          <w:p w:rsidR="00F44E89" w:rsidRPr="00361189" w:rsidRDefault="00F44E89" w:rsidP="00AA382D">
            <w:pPr>
              <w:pStyle w:val="Tabletext"/>
              <w:keepNext/>
              <w:keepLines/>
              <w:jc w:val="center"/>
            </w:pPr>
            <w:r w:rsidRPr="00361189">
              <w:t>OL, MC, NC, multi-dose</w:t>
            </w:r>
          </w:p>
          <w:p w:rsidR="00F44E89" w:rsidRPr="00361189" w:rsidRDefault="00F44E89" w:rsidP="00AA382D">
            <w:pPr>
              <w:pStyle w:val="Tabletext"/>
              <w:keepNext/>
              <w:keepLines/>
              <w:jc w:val="center"/>
            </w:pPr>
            <w:r w:rsidRPr="00361189">
              <w:t>3.7 years</w:t>
            </w:r>
          </w:p>
        </w:tc>
        <w:tc>
          <w:tcPr>
            <w:tcW w:w="622" w:type="pct"/>
            <w:shd w:val="clear" w:color="auto" w:fill="auto"/>
            <w:vAlign w:val="center"/>
          </w:tcPr>
          <w:p w:rsidR="00F44E89" w:rsidRPr="00361189" w:rsidRDefault="00F44E89" w:rsidP="00AA382D">
            <w:pPr>
              <w:pStyle w:val="Tabletext"/>
              <w:keepNext/>
              <w:keepLines/>
              <w:jc w:val="center"/>
            </w:pPr>
            <w:r w:rsidRPr="00361189">
              <w:t>High*</w:t>
            </w:r>
          </w:p>
        </w:tc>
        <w:tc>
          <w:tcPr>
            <w:tcW w:w="854" w:type="pct"/>
            <w:shd w:val="clear" w:color="auto" w:fill="auto"/>
            <w:vAlign w:val="center"/>
          </w:tcPr>
          <w:p w:rsidR="00F44E89" w:rsidRPr="00361189" w:rsidRDefault="00F44E89" w:rsidP="00AA382D">
            <w:pPr>
              <w:pStyle w:val="Tabletext"/>
              <w:keepNext/>
              <w:keepLines/>
              <w:jc w:val="center"/>
            </w:pPr>
            <w:r w:rsidRPr="00361189">
              <w:t>Infantile-onset SMA (Type I)</w:t>
            </w:r>
          </w:p>
        </w:tc>
        <w:tc>
          <w:tcPr>
            <w:tcW w:w="738" w:type="pct"/>
            <w:shd w:val="clear" w:color="auto" w:fill="auto"/>
            <w:vAlign w:val="center"/>
          </w:tcPr>
          <w:p w:rsidR="00F44E89" w:rsidRPr="00361189" w:rsidRDefault="00F44E89" w:rsidP="00AA382D">
            <w:pPr>
              <w:pStyle w:val="Tabletext"/>
              <w:keepNext/>
              <w:keepLines/>
              <w:jc w:val="center"/>
            </w:pPr>
            <w:r w:rsidRPr="00361189">
              <w:t>Motor milestones</w:t>
            </w:r>
          </w:p>
        </w:tc>
        <w:tc>
          <w:tcPr>
            <w:tcW w:w="738" w:type="pct"/>
            <w:vMerge/>
            <w:shd w:val="clear" w:color="auto" w:fill="auto"/>
            <w:vAlign w:val="center"/>
          </w:tcPr>
          <w:p w:rsidR="00F44E89" w:rsidRPr="00361189" w:rsidRDefault="00F44E89" w:rsidP="00AA382D">
            <w:pPr>
              <w:pStyle w:val="Tabletext"/>
              <w:keepNext/>
              <w:keepLines/>
              <w:jc w:val="center"/>
            </w:pPr>
          </w:p>
        </w:tc>
      </w:tr>
      <w:tr w:rsidR="00F44E89" w:rsidRPr="00361189" w:rsidTr="00AA382D">
        <w:tc>
          <w:tcPr>
            <w:tcW w:w="784" w:type="pct"/>
            <w:shd w:val="clear" w:color="auto" w:fill="auto"/>
            <w:vAlign w:val="center"/>
          </w:tcPr>
          <w:p w:rsidR="00F44E89" w:rsidRPr="00361189" w:rsidRDefault="00F44E89" w:rsidP="00AA382D">
            <w:pPr>
              <w:pStyle w:val="Tabletext"/>
              <w:keepNext/>
              <w:keepLines/>
            </w:pPr>
            <w:r w:rsidRPr="00361189">
              <w:t>SHINE</w:t>
            </w:r>
          </w:p>
        </w:tc>
        <w:tc>
          <w:tcPr>
            <w:tcW w:w="526" w:type="pct"/>
            <w:shd w:val="clear" w:color="auto" w:fill="auto"/>
            <w:vAlign w:val="center"/>
          </w:tcPr>
          <w:p w:rsidR="00F44E89" w:rsidRPr="00361189" w:rsidRDefault="00F44E89" w:rsidP="00AA382D">
            <w:pPr>
              <w:pStyle w:val="Tabletext"/>
              <w:keepNext/>
              <w:keepLines/>
              <w:jc w:val="center"/>
            </w:pPr>
            <w:r w:rsidRPr="00361189">
              <w:t>142 Type I SMA and 182 Type II SMA patients</w:t>
            </w:r>
          </w:p>
        </w:tc>
        <w:tc>
          <w:tcPr>
            <w:tcW w:w="738" w:type="pct"/>
            <w:shd w:val="clear" w:color="auto" w:fill="auto"/>
            <w:vAlign w:val="center"/>
          </w:tcPr>
          <w:p w:rsidR="00F44E89" w:rsidRPr="00361189" w:rsidRDefault="00F44E89" w:rsidP="00AA382D">
            <w:pPr>
              <w:pStyle w:val="Tabletext"/>
              <w:keepNext/>
              <w:keepLines/>
              <w:jc w:val="center"/>
            </w:pPr>
            <w:r w:rsidRPr="00361189">
              <w:t>OL, extension trial</w:t>
            </w:r>
          </w:p>
          <w:p w:rsidR="00F44E89" w:rsidRPr="00361189" w:rsidRDefault="00F44E89" w:rsidP="00AA382D">
            <w:pPr>
              <w:pStyle w:val="Tabletext"/>
              <w:keepNext/>
              <w:keepLines/>
              <w:jc w:val="center"/>
            </w:pPr>
            <w:r w:rsidRPr="00361189">
              <w:t>5 years total from enrolment in first trial</w:t>
            </w:r>
          </w:p>
        </w:tc>
        <w:tc>
          <w:tcPr>
            <w:tcW w:w="622" w:type="pct"/>
            <w:shd w:val="clear" w:color="auto" w:fill="auto"/>
            <w:vAlign w:val="center"/>
          </w:tcPr>
          <w:p w:rsidR="00F44E89" w:rsidRPr="00361189" w:rsidRDefault="00F44E89" w:rsidP="00AA382D">
            <w:pPr>
              <w:pStyle w:val="Tabletext"/>
              <w:keepNext/>
              <w:keepLines/>
              <w:jc w:val="center"/>
            </w:pPr>
            <w:r w:rsidRPr="00361189">
              <w:t>High*</w:t>
            </w:r>
          </w:p>
        </w:tc>
        <w:tc>
          <w:tcPr>
            <w:tcW w:w="854" w:type="pct"/>
            <w:shd w:val="clear" w:color="auto" w:fill="auto"/>
            <w:vAlign w:val="center"/>
          </w:tcPr>
          <w:p w:rsidR="00F44E89" w:rsidRPr="00361189" w:rsidRDefault="00F44E89" w:rsidP="00AA382D">
            <w:pPr>
              <w:pStyle w:val="Tabletext"/>
              <w:keepNext/>
              <w:keepLines/>
              <w:jc w:val="center"/>
            </w:pPr>
            <w:r w:rsidRPr="00361189">
              <w:t>Type I and Type II SMA patients from the ENDEAR, CHERISH, CS3A or CS12 trials</w:t>
            </w:r>
          </w:p>
        </w:tc>
        <w:tc>
          <w:tcPr>
            <w:tcW w:w="738" w:type="pct"/>
            <w:shd w:val="clear" w:color="auto" w:fill="auto"/>
            <w:vAlign w:val="center"/>
          </w:tcPr>
          <w:p w:rsidR="00F44E89" w:rsidRPr="00361189" w:rsidRDefault="00F44E89" w:rsidP="00AA382D">
            <w:pPr>
              <w:pStyle w:val="Tabletext"/>
              <w:keepNext/>
              <w:keepLines/>
              <w:jc w:val="center"/>
            </w:pPr>
            <w:r w:rsidRPr="00361189">
              <w:t>EFS, OS, HINE (Section 2), CHOP Intend, Motor milestones, HFMSE, quality of life</w:t>
            </w:r>
          </w:p>
        </w:tc>
        <w:tc>
          <w:tcPr>
            <w:tcW w:w="738" w:type="pct"/>
            <w:vMerge/>
            <w:shd w:val="clear" w:color="auto" w:fill="auto"/>
            <w:vAlign w:val="center"/>
          </w:tcPr>
          <w:p w:rsidR="00F44E89" w:rsidRPr="00361189" w:rsidRDefault="00F44E89" w:rsidP="00AA382D">
            <w:pPr>
              <w:pStyle w:val="Tabletext"/>
              <w:keepNext/>
              <w:keepLines/>
              <w:jc w:val="center"/>
            </w:pPr>
          </w:p>
        </w:tc>
      </w:tr>
    </w:tbl>
    <w:p w:rsidR="00F44E89" w:rsidRPr="00361189" w:rsidRDefault="00F44E89" w:rsidP="00F44E89">
      <w:pPr>
        <w:pStyle w:val="TableFooter"/>
        <w:keepNext/>
        <w:keepLines/>
      </w:pPr>
      <w:r w:rsidRPr="00361189">
        <w:t>Abbreviations: O, open label; OS, overall survival; EFS, event-free survival; NC, non-comparative; R, randomised: DB, double-blind; MC, multi-centre; SMA, spinal muscular atrophy; HINE, Hammersmith Infant Neurological Examination; HFMSE, Hammersmith Functional Motor Scale-Expanded, CHOP INTEND, Children’s Hospital of Philadelphia Infant Test of Neuromuscular Disorders</w:t>
      </w:r>
    </w:p>
    <w:p w:rsidR="00F44E89" w:rsidRPr="00361189" w:rsidRDefault="00F44E89" w:rsidP="00F44E89">
      <w:pPr>
        <w:pStyle w:val="TableFooter"/>
        <w:keepNext/>
        <w:keepLines/>
        <w:tabs>
          <w:tab w:val="left" w:pos="284"/>
        </w:tabs>
      </w:pPr>
      <w:r w:rsidRPr="00361189">
        <w:t>*</w:t>
      </w:r>
      <w:r w:rsidRPr="00361189">
        <w:tab/>
        <w:t xml:space="preserve">Considered to be high risk of bias being open-label and non-comparative studies. </w:t>
      </w:r>
    </w:p>
    <w:p w:rsidR="00F44E89" w:rsidRPr="00361189" w:rsidRDefault="00F44E89" w:rsidP="00F44E89">
      <w:pPr>
        <w:pStyle w:val="TableFooter"/>
        <w:keepNext/>
        <w:keepLines/>
      </w:pPr>
      <w:r w:rsidRPr="00361189">
        <w:t>Source: Table 6, p9 nusinersen PSD November 2019</w:t>
      </w:r>
    </w:p>
    <w:p w:rsidR="00B60939" w:rsidRPr="00361189" w:rsidRDefault="00B60939" w:rsidP="00EC5836">
      <w:pPr>
        <w:pStyle w:val="4-SubsectionHeading"/>
      </w:pPr>
      <w:bookmarkStart w:id="28" w:name="_Toc22897641"/>
      <w:bookmarkStart w:id="29" w:name="_Toc40874420"/>
      <w:r w:rsidRPr="00361189">
        <w:t>Comparative effectiveness</w:t>
      </w:r>
      <w:bookmarkEnd w:id="28"/>
      <w:bookmarkEnd w:id="29"/>
    </w:p>
    <w:p w:rsidR="00F44E89" w:rsidRPr="00361189" w:rsidRDefault="00F44E89" w:rsidP="00F72FC2">
      <w:pPr>
        <w:pStyle w:val="3-BodyText"/>
        <w:spacing w:after="0"/>
        <w:rPr>
          <w:snapToGrid/>
        </w:rPr>
      </w:pPr>
      <w:r w:rsidRPr="00361189">
        <w:rPr>
          <w:snapToGrid/>
        </w:rPr>
        <w:t xml:space="preserve">The </w:t>
      </w:r>
      <w:r w:rsidR="00150F0B" w:rsidRPr="00361189">
        <w:rPr>
          <w:snapToGrid/>
        </w:rPr>
        <w:t xml:space="preserve">data </w:t>
      </w:r>
      <w:r w:rsidR="00460C53" w:rsidRPr="00361189">
        <w:rPr>
          <w:snapToGrid/>
        </w:rPr>
        <w:t>from interim-analysis (15 May 2018) on</w:t>
      </w:r>
      <w:r w:rsidR="00150F0B" w:rsidRPr="00361189">
        <w:rPr>
          <w:snapToGrid/>
        </w:rPr>
        <w:t xml:space="preserve"> the </w:t>
      </w:r>
      <w:r w:rsidRPr="00361189">
        <w:rPr>
          <w:snapToGrid/>
        </w:rPr>
        <w:t xml:space="preserve">efficacy of pre-symptomatic initiation of treatment with nusinersen in SMA patients for the outcome of SMA symptom onset by </w:t>
      </w:r>
      <w:r w:rsidRPr="00361189">
        <w:rPr>
          <w:i/>
          <w:snapToGrid/>
        </w:rPr>
        <w:t>SMN2</w:t>
      </w:r>
      <w:r w:rsidRPr="00361189">
        <w:rPr>
          <w:snapToGrid/>
        </w:rPr>
        <w:t xml:space="preserve"> copy number can be summarised as:</w:t>
      </w:r>
    </w:p>
    <w:p w:rsidR="00F44E89" w:rsidRPr="00361189" w:rsidRDefault="00F44E89" w:rsidP="00600BA7">
      <w:pPr>
        <w:pStyle w:val="3-BodyText"/>
        <w:numPr>
          <w:ilvl w:val="0"/>
          <w:numId w:val="15"/>
        </w:numPr>
        <w:spacing w:after="0"/>
        <w:ind w:left="993" w:hanging="284"/>
        <w:rPr>
          <w:snapToGrid/>
        </w:rPr>
      </w:pPr>
      <w:r w:rsidRPr="00361189">
        <w:rPr>
          <w:i/>
          <w:snapToGrid/>
        </w:rPr>
        <w:t>SMN2</w:t>
      </w:r>
      <w:r w:rsidRPr="00361189">
        <w:rPr>
          <w:snapToGrid/>
        </w:rPr>
        <w:t xml:space="preserve"> copy number = 1: no data</w:t>
      </w:r>
      <w:r w:rsidR="00361189">
        <w:rPr>
          <w:snapToGrid/>
        </w:rPr>
        <w:t xml:space="preserve">. </w:t>
      </w:r>
      <w:r w:rsidR="00FB27C9" w:rsidRPr="00361189">
        <w:rPr>
          <w:snapToGrid/>
        </w:rPr>
        <w:t>U</w:t>
      </w:r>
      <w:r w:rsidRPr="00361189">
        <w:rPr>
          <w:snapToGrid/>
        </w:rPr>
        <w:t>nknown efficacy or benefit</w:t>
      </w:r>
      <w:r w:rsidR="00361189">
        <w:rPr>
          <w:snapToGrid/>
        </w:rPr>
        <w:t xml:space="preserve">. </w:t>
      </w:r>
      <w:r w:rsidRPr="00361189">
        <w:rPr>
          <w:snapToGrid/>
        </w:rPr>
        <w:t>The resubmission claim</w:t>
      </w:r>
      <w:r w:rsidR="00FB27C9" w:rsidRPr="00361189">
        <w:rPr>
          <w:snapToGrid/>
        </w:rPr>
        <w:t>ed</w:t>
      </w:r>
      <w:r w:rsidRPr="00361189">
        <w:rPr>
          <w:snapToGrid/>
        </w:rPr>
        <w:t xml:space="preserve"> that this represents only a small proportion of patients (3%) </w:t>
      </w:r>
      <w:r w:rsidR="00FB27C9" w:rsidRPr="00361189">
        <w:rPr>
          <w:snapToGrid/>
        </w:rPr>
        <w:t xml:space="preserve">and </w:t>
      </w:r>
      <w:r w:rsidRPr="00361189">
        <w:rPr>
          <w:snapToGrid/>
        </w:rPr>
        <w:t>it is likely these patients would be symptomatic at birth or become symptomatic shortly after and be able to be treated under the current PBS restriction</w:t>
      </w:r>
      <w:r w:rsidR="00361189">
        <w:rPr>
          <w:snapToGrid/>
        </w:rPr>
        <w:t xml:space="preserve">. </w:t>
      </w:r>
    </w:p>
    <w:p w:rsidR="00F44E89" w:rsidRPr="00361189" w:rsidRDefault="00F44E89" w:rsidP="00600BA7">
      <w:pPr>
        <w:pStyle w:val="3-BodyText"/>
        <w:numPr>
          <w:ilvl w:val="0"/>
          <w:numId w:val="15"/>
        </w:numPr>
        <w:spacing w:after="0"/>
        <w:ind w:left="993" w:hanging="284"/>
        <w:rPr>
          <w:snapToGrid/>
        </w:rPr>
      </w:pPr>
      <w:r w:rsidRPr="00361189">
        <w:rPr>
          <w:i/>
          <w:snapToGrid/>
        </w:rPr>
        <w:lastRenderedPageBreak/>
        <w:t>SMN2</w:t>
      </w:r>
      <w:r w:rsidRPr="00361189">
        <w:rPr>
          <w:snapToGrid/>
        </w:rPr>
        <w:t xml:space="preserve"> copy number = 2: 10/15 (67%)</w:t>
      </w:r>
      <w:r w:rsidR="00FB27C9" w:rsidRPr="00361189">
        <w:rPr>
          <w:snapToGrid/>
        </w:rPr>
        <w:t xml:space="preserve"> patients</w:t>
      </w:r>
      <w:r w:rsidR="008266B0" w:rsidRPr="00361189">
        <w:rPr>
          <w:snapToGrid/>
        </w:rPr>
        <w:t xml:space="preserve"> in NURTURE</w:t>
      </w:r>
      <w:r w:rsidRPr="00361189">
        <w:rPr>
          <w:snapToGrid/>
        </w:rPr>
        <w:t xml:space="preserve"> developed SMA symptoms by 13 months of age and 7/11 (64%) </w:t>
      </w:r>
      <w:r w:rsidR="00392503" w:rsidRPr="00361189">
        <w:rPr>
          <w:snapToGrid/>
        </w:rPr>
        <w:t xml:space="preserve">of patients who reached 24 months of age at the end of </w:t>
      </w:r>
      <w:r w:rsidR="00123BA8" w:rsidRPr="00361189">
        <w:rPr>
          <w:snapToGrid/>
        </w:rPr>
        <w:t>interim follow-up</w:t>
      </w:r>
      <w:r w:rsidR="00392503" w:rsidRPr="00361189">
        <w:rPr>
          <w:snapToGrid/>
        </w:rPr>
        <w:t xml:space="preserve"> </w:t>
      </w:r>
      <w:r w:rsidRPr="00361189">
        <w:rPr>
          <w:snapToGrid/>
        </w:rPr>
        <w:t>developed SMA symptoms</w:t>
      </w:r>
      <w:r w:rsidR="00392503" w:rsidRPr="00361189">
        <w:rPr>
          <w:snapToGrid/>
        </w:rPr>
        <w:t xml:space="preserve"> by this age</w:t>
      </w:r>
      <w:r w:rsidR="00361189">
        <w:rPr>
          <w:snapToGrid/>
        </w:rPr>
        <w:t xml:space="preserve">. </w:t>
      </w:r>
      <w:r w:rsidR="006C29FD" w:rsidRPr="00361189">
        <w:rPr>
          <w:snapToGrid/>
        </w:rPr>
        <w:t>The l</w:t>
      </w:r>
      <w:r w:rsidRPr="00361189">
        <w:rPr>
          <w:snapToGrid/>
        </w:rPr>
        <w:t>onger-term course of disease and outcomes</w:t>
      </w:r>
      <w:r w:rsidR="006C29FD" w:rsidRPr="00361189">
        <w:rPr>
          <w:snapToGrid/>
        </w:rPr>
        <w:t xml:space="preserve"> are</w:t>
      </w:r>
      <w:r w:rsidRPr="00361189">
        <w:rPr>
          <w:snapToGrid/>
        </w:rPr>
        <w:t xml:space="preserve"> unknown</w:t>
      </w:r>
      <w:r w:rsidR="00361189">
        <w:rPr>
          <w:snapToGrid/>
        </w:rPr>
        <w:t xml:space="preserve">. </w:t>
      </w:r>
      <w:r w:rsidRPr="00361189">
        <w:rPr>
          <w:snapToGrid/>
        </w:rPr>
        <w:t>The ESC (para</w:t>
      </w:r>
      <w:r w:rsidR="006C29FD" w:rsidRPr="00361189">
        <w:rPr>
          <w:snapToGrid/>
        </w:rPr>
        <w:t>graph</w:t>
      </w:r>
      <w:r w:rsidRPr="00361189">
        <w:rPr>
          <w:snapToGrid/>
        </w:rPr>
        <w:t xml:space="preserve"> 6.10,</w:t>
      </w:r>
      <w:r w:rsidR="006C29FD" w:rsidRPr="00361189">
        <w:rPr>
          <w:snapToGrid/>
        </w:rPr>
        <w:t xml:space="preserve"> </w:t>
      </w:r>
      <w:r w:rsidRPr="00361189">
        <w:rPr>
          <w:snapToGrid/>
        </w:rPr>
        <w:t>nusinersen</w:t>
      </w:r>
      <w:r w:rsidR="006C29FD" w:rsidRPr="00361189">
        <w:rPr>
          <w:snapToGrid/>
        </w:rPr>
        <w:t>,</w:t>
      </w:r>
      <w:r w:rsidRPr="00361189">
        <w:rPr>
          <w:snapToGrid/>
        </w:rPr>
        <w:t xml:space="preserve"> PSD, </w:t>
      </w:r>
      <w:r w:rsidR="00B343F9" w:rsidRPr="00361189">
        <w:rPr>
          <w:snapToGrid/>
        </w:rPr>
        <w:t xml:space="preserve">July </w:t>
      </w:r>
      <w:r w:rsidRPr="00361189">
        <w:rPr>
          <w:snapToGrid/>
        </w:rPr>
        <w:t xml:space="preserve">2019) noted these results did not support a clear effect on symptom onset with pre-symptomatic initiation of treatment for patients with an </w:t>
      </w:r>
      <w:r w:rsidRPr="00361189">
        <w:rPr>
          <w:i/>
          <w:snapToGrid/>
        </w:rPr>
        <w:t>SMN2</w:t>
      </w:r>
      <w:r w:rsidRPr="00361189">
        <w:rPr>
          <w:snapToGrid/>
        </w:rPr>
        <w:t xml:space="preserve"> copy number of 2</w:t>
      </w:r>
      <w:r w:rsidR="00361189">
        <w:rPr>
          <w:snapToGrid/>
        </w:rPr>
        <w:t xml:space="preserve">. </w:t>
      </w:r>
      <w:r w:rsidRPr="00361189">
        <w:rPr>
          <w:snapToGrid/>
        </w:rPr>
        <w:t xml:space="preserve">Many patients with an </w:t>
      </w:r>
      <w:r w:rsidRPr="00361189">
        <w:rPr>
          <w:i/>
          <w:snapToGrid/>
        </w:rPr>
        <w:t>SMN2</w:t>
      </w:r>
      <w:r w:rsidRPr="00361189">
        <w:rPr>
          <w:snapToGrid/>
        </w:rPr>
        <w:t xml:space="preserve"> copy number of 2 would experience symptom onset prior to 6 months of age, but others could have a later onset of symptoms.</w:t>
      </w:r>
    </w:p>
    <w:p w:rsidR="00F44E89" w:rsidRPr="00361189" w:rsidRDefault="00F44E89" w:rsidP="00600BA7">
      <w:pPr>
        <w:pStyle w:val="3-BodyText"/>
        <w:numPr>
          <w:ilvl w:val="0"/>
          <w:numId w:val="15"/>
        </w:numPr>
        <w:ind w:left="993" w:hanging="284"/>
        <w:rPr>
          <w:snapToGrid/>
        </w:rPr>
      </w:pPr>
      <w:r w:rsidRPr="00361189">
        <w:rPr>
          <w:i/>
          <w:snapToGrid/>
        </w:rPr>
        <w:t>SMN2</w:t>
      </w:r>
      <w:r w:rsidRPr="00361189">
        <w:rPr>
          <w:snapToGrid/>
        </w:rPr>
        <w:t xml:space="preserve"> copy number = 3: 2/10 (20%) </w:t>
      </w:r>
      <w:r w:rsidR="00FB27C9" w:rsidRPr="00361189">
        <w:rPr>
          <w:snapToGrid/>
        </w:rPr>
        <w:t xml:space="preserve">patients </w:t>
      </w:r>
      <w:r w:rsidR="008266B0" w:rsidRPr="00361189">
        <w:rPr>
          <w:snapToGrid/>
        </w:rPr>
        <w:t xml:space="preserve">in NURTURE </w:t>
      </w:r>
      <w:r w:rsidRPr="00361189">
        <w:rPr>
          <w:snapToGrid/>
        </w:rPr>
        <w:t>developed SMA symptoms by 13 months of age, but 0/5</w:t>
      </w:r>
      <w:r w:rsidR="00392503" w:rsidRPr="00361189">
        <w:rPr>
          <w:snapToGrid/>
        </w:rPr>
        <w:t xml:space="preserve"> of patients who reached 24 months of age</w:t>
      </w:r>
      <w:r w:rsidRPr="00361189">
        <w:rPr>
          <w:snapToGrid/>
        </w:rPr>
        <w:t xml:space="preserve"> </w:t>
      </w:r>
      <w:r w:rsidR="000F75BE" w:rsidRPr="00361189">
        <w:rPr>
          <w:snapToGrid/>
        </w:rPr>
        <w:t xml:space="preserve">at the end of </w:t>
      </w:r>
      <w:r w:rsidR="00123BA8" w:rsidRPr="00361189">
        <w:rPr>
          <w:snapToGrid/>
        </w:rPr>
        <w:t>interim follow-up</w:t>
      </w:r>
      <w:r w:rsidR="000F75BE" w:rsidRPr="00361189">
        <w:rPr>
          <w:snapToGrid/>
        </w:rPr>
        <w:t xml:space="preserve"> </w:t>
      </w:r>
      <w:r w:rsidRPr="00361189">
        <w:rPr>
          <w:snapToGrid/>
        </w:rPr>
        <w:t>developed SMA</w:t>
      </w:r>
      <w:r w:rsidR="00361189">
        <w:rPr>
          <w:snapToGrid/>
        </w:rPr>
        <w:t xml:space="preserve">. </w:t>
      </w:r>
      <w:r w:rsidRPr="00361189">
        <w:rPr>
          <w:snapToGrid/>
        </w:rPr>
        <w:t xml:space="preserve">However, it is plausible that the follow-up period was insufficient for symptom onset to be observed in the </w:t>
      </w:r>
      <w:r w:rsidR="00E016F6" w:rsidRPr="00361189">
        <w:rPr>
          <w:snapToGrid/>
        </w:rPr>
        <w:t>study</w:t>
      </w:r>
      <w:r w:rsidR="00361189">
        <w:rPr>
          <w:snapToGrid/>
        </w:rPr>
        <w:t xml:space="preserve">. </w:t>
      </w:r>
      <w:r w:rsidRPr="00361189">
        <w:rPr>
          <w:snapToGrid/>
        </w:rPr>
        <w:t>The ESC (para</w:t>
      </w:r>
      <w:r w:rsidR="000F75BE" w:rsidRPr="00361189">
        <w:rPr>
          <w:snapToGrid/>
        </w:rPr>
        <w:t>graph</w:t>
      </w:r>
      <w:r w:rsidRPr="00361189">
        <w:rPr>
          <w:snapToGrid/>
        </w:rPr>
        <w:t xml:space="preserve"> 6.10,</w:t>
      </w:r>
      <w:r w:rsidR="0086612F" w:rsidRPr="00361189">
        <w:rPr>
          <w:snapToGrid/>
        </w:rPr>
        <w:t xml:space="preserve"> </w:t>
      </w:r>
      <w:r w:rsidRPr="00361189">
        <w:rPr>
          <w:snapToGrid/>
        </w:rPr>
        <w:t>nusinersen</w:t>
      </w:r>
      <w:r w:rsidR="000F75BE" w:rsidRPr="00361189">
        <w:rPr>
          <w:snapToGrid/>
        </w:rPr>
        <w:t>,</w:t>
      </w:r>
      <w:r w:rsidRPr="00361189">
        <w:rPr>
          <w:snapToGrid/>
        </w:rPr>
        <w:t xml:space="preserve"> PSD, </w:t>
      </w:r>
      <w:r w:rsidR="000F75BE" w:rsidRPr="00361189">
        <w:rPr>
          <w:snapToGrid/>
        </w:rPr>
        <w:t xml:space="preserve">July </w:t>
      </w:r>
      <w:r w:rsidRPr="00361189">
        <w:rPr>
          <w:snapToGrid/>
        </w:rPr>
        <w:t xml:space="preserve">2019) considered the extent to which symptom onset was delayed for patients with an </w:t>
      </w:r>
      <w:r w:rsidRPr="00361189">
        <w:rPr>
          <w:i/>
          <w:snapToGrid/>
        </w:rPr>
        <w:t>SMN2</w:t>
      </w:r>
      <w:r w:rsidRPr="00361189">
        <w:rPr>
          <w:snapToGrid/>
        </w:rPr>
        <w:t xml:space="preserve"> copy number of 3, if any, was uncertain as patients with an </w:t>
      </w:r>
      <w:r w:rsidRPr="00361189">
        <w:rPr>
          <w:i/>
          <w:snapToGrid/>
        </w:rPr>
        <w:t>SMN2</w:t>
      </w:r>
      <w:r w:rsidRPr="00361189">
        <w:rPr>
          <w:snapToGrid/>
        </w:rPr>
        <w:t xml:space="preserve"> copy number of 3 may develop symptoms after 24 months of age.</w:t>
      </w:r>
    </w:p>
    <w:p w:rsidR="002C2775" w:rsidRPr="00361189" w:rsidRDefault="007C1741" w:rsidP="007C1741">
      <w:pPr>
        <w:pStyle w:val="3-BodyText"/>
      </w:pPr>
      <w:r w:rsidRPr="00361189">
        <w:t>At the</w:t>
      </w:r>
      <w:r w:rsidR="00F44E89" w:rsidRPr="00361189">
        <w:t xml:space="preserve"> </w:t>
      </w:r>
      <w:r w:rsidRPr="00361189">
        <w:t xml:space="preserve">updated </w:t>
      </w:r>
      <w:r w:rsidR="00F44E89" w:rsidRPr="00361189">
        <w:t xml:space="preserve">interim </w:t>
      </w:r>
      <w:r w:rsidRPr="00361189">
        <w:t xml:space="preserve">analysis </w:t>
      </w:r>
      <w:r w:rsidR="00F44E89" w:rsidRPr="00361189">
        <w:t>time point (median follow up 33.8 months), no patients enrolled in NURTURE had died</w:t>
      </w:r>
      <w:r w:rsidRPr="00361189">
        <w:t xml:space="preserve">, and four patients with 2 </w:t>
      </w:r>
      <w:r w:rsidRPr="00361189">
        <w:rPr>
          <w:i/>
        </w:rPr>
        <w:t>SMN2</w:t>
      </w:r>
      <w:r w:rsidRPr="00361189">
        <w:t xml:space="preserve"> copies met the primary endpoint of death or respiratory intervention, with the respiratory intervention having been initiated </w:t>
      </w:r>
      <w:r w:rsidR="00D81709" w:rsidRPr="00361189">
        <w:t xml:space="preserve">temporarily </w:t>
      </w:r>
      <w:r w:rsidRPr="00361189">
        <w:t>for acute, reversible infections. No patient required permanent ventilation</w:t>
      </w:r>
      <w:r w:rsidR="00361189">
        <w:t xml:space="preserve">. </w:t>
      </w:r>
      <w:r w:rsidR="00F72FC2" w:rsidRPr="00361189">
        <w:t>De Vivo et al 2019 provided further detail on the respiratory support required</w:t>
      </w:r>
      <w:r w:rsidR="00361189">
        <w:t xml:space="preserve">. </w:t>
      </w:r>
      <w:r w:rsidR="00F72FC2" w:rsidRPr="00361189">
        <w:t>Two patients who no longer required respiratory support at the interim cut</w:t>
      </w:r>
      <w:r w:rsidR="0059469E" w:rsidRPr="00361189">
        <w:t>-</w:t>
      </w:r>
      <w:r w:rsidR="00F72FC2" w:rsidRPr="00361189">
        <w:t>off</w:t>
      </w:r>
      <w:r w:rsidR="0059469E" w:rsidRPr="00361189">
        <w:t xml:space="preserve"> had</w:t>
      </w:r>
      <w:r w:rsidR="00F72FC2" w:rsidRPr="00361189">
        <w:t xml:space="preserve"> received respiratory intervention for </w:t>
      </w:r>
      <w:r w:rsidR="00F72FC2" w:rsidRPr="00361189">
        <w:rPr>
          <w:rFonts w:cs="Calibri"/>
        </w:rPr>
        <w:t>≥</w:t>
      </w:r>
      <w:r w:rsidR="00F72FC2" w:rsidRPr="00361189">
        <w:t>6 hours per day for totals of 20 and 266 days during the course of NURTURE</w:t>
      </w:r>
      <w:r w:rsidR="00361189">
        <w:t xml:space="preserve">. </w:t>
      </w:r>
      <w:r w:rsidR="00F72FC2" w:rsidRPr="00361189">
        <w:t>Two patients who remained on respiratory support at the interim cut off continued to receive respiratory intervention for two and ten hours per day</w:t>
      </w:r>
      <w:r w:rsidR="0086612F" w:rsidRPr="00361189">
        <w:t xml:space="preserve">, </w:t>
      </w:r>
      <w:r w:rsidR="00F72FC2" w:rsidRPr="00361189">
        <w:t xml:space="preserve">respectively, and had received respiratory intervention for </w:t>
      </w:r>
      <w:r w:rsidR="00F72FC2" w:rsidRPr="00361189">
        <w:rPr>
          <w:rFonts w:cs="Calibri"/>
        </w:rPr>
        <w:t>≥</w:t>
      </w:r>
      <w:r w:rsidR="00F72FC2" w:rsidRPr="00361189">
        <w:t>6 hours</w:t>
      </w:r>
      <w:r w:rsidR="00460C53" w:rsidRPr="00361189">
        <w:t xml:space="preserve"> per day</w:t>
      </w:r>
      <w:r w:rsidR="00F72FC2" w:rsidRPr="00361189">
        <w:t xml:space="preserve"> for totals of 236 days and 644 days, respectively, over the course of the study</w:t>
      </w:r>
      <w:r w:rsidR="00361189">
        <w:t xml:space="preserve">. </w:t>
      </w:r>
    </w:p>
    <w:p w:rsidR="00DA3167" w:rsidRPr="00361189" w:rsidRDefault="007C1741" w:rsidP="00067A08">
      <w:pPr>
        <w:pStyle w:val="3-BodyText"/>
      </w:pPr>
      <w:r w:rsidRPr="00361189">
        <w:rPr>
          <w:snapToGrid/>
        </w:rPr>
        <w:t xml:space="preserve">At the updated interim analysis time point (33.8 months), all </w:t>
      </w:r>
      <w:r w:rsidR="00482227" w:rsidRPr="00361189">
        <w:rPr>
          <w:snapToGrid/>
        </w:rPr>
        <w:t xml:space="preserve">except </w:t>
      </w:r>
      <w:r w:rsidRPr="00361189">
        <w:rPr>
          <w:snapToGrid/>
        </w:rPr>
        <w:t xml:space="preserve">one patient with 3 copies of </w:t>
      </w:r>
      <w:r w:rsidRPr="00361189">
        <w:rPr>
          <w:i/>
          <w:snapToGrid/>
        </w:rPr>
        <w:t>SMN2</w:t>
      </w:r>
      <w:r w:rsidRPr="00361189">
        <w:rPr>
          <w:snapToGrid/>
        </w:rPr>
        <w:t xml:space="preserve"> achieved the </w:t>
      </w:r>
      <w:r w:rsidR="00067A08" w:rsidRPr="00361189">
        <w:rPr>
          <w:snapToGrid/>
        </w:rPr>
        <w:t xml:space="preserve">WHO </w:t>
      </w:r>
      <w:r w:rsidRPr="00361189">
        <w:rPr>
          <w:snapToGrid/>
        </w:rPr>
        <w:t>motor milestones in the expected timeframe for normal healthy infants</w:t>
      </w:r>
      <w:r w:rsidR="00361189">
        <w:rPr>
          <w:snapToGrid/>
        </w:rPr>
        <w:t xml:space="preserve">. </w:t>
      </w:r>
      <w:r w:rsidRPr="00361189">
        <w:rPr>
          <w:snapToGrid/>
        </w:rPr>
        <w:t xml:space="preserve">However 9/15 (60%) of patients with 2 copies of </w:t>
      </w:r>
      <w:r w:rsidRPr="00361189">
        <w:rPr>
          <w:i/>
          <w:snapToGrid/>
        </w:rPr>
        <w:t>SMN2</w:t>
      </w:r>
      <w:r w:rsidRPr="00361189">
        <w:rPr>
          <w:snapToGrid/>
        </w:rPr>
        <w:t xml:space="preserve"> failed to meet the expected WHO milesto</w:t>
      </w:r>
      <w:r w:rsidR="008266B0" w:rsidRPr="00361189">
        <w:rPr>
          <w:snapToGrid/>
        </w:rPr>
        <w:t xml:space="preserve">nes at around </w:t>
      </w:r>
      <w:r w:rsidRPr="00361189">
        <w:rPr>
          <w:snapToGrid/>
        </w:rPr>
        <w:t>14 months of age</w:t>
      </w:r>
      <w:r w:rsidR="00361189">
        <w:rPr>
          <w:snapToGrid/>
        </w:rPr>
        <w:t xml:space="preserve">. </w:t>
      </w:r>
      <w:r w:rsidR="00C54326" w:rsidRPr="00361189">
        <w:rPr>
          <w:snapToGrid/>
        </w:rPr>
        <w:t>The majority of</w:t>
      </w:r>
      <w:r w:rsidR="00067A08" w:rsidRPr="00361189">
        <w:rPr>
          <w:snapToGrid/>
        </w:rPr>
        <w:t xml:space="preserve"> patients with 2 copies of </w:t>
      </w:r>
      <w:r w:rsidR="00067A08" w:rsidRPr="00361189">
        <w:rPr>
          <w:i/>
          <w:snapToGrid/>
        </w:rPr>
        <w:t>SMN2</w:t>
      </w:r>
      <w:r w:rsidR="00C54326" w:rsidRPr="00361189">
        <w:rPr>
          <w:snapToGrid/>
        </w:rPr>
        <w:t xml:space="preserve"> had</w:t>
      </w:r>
      <w:r w:rsidR="00067A08" w:rsidRPr="00361189">
        <w:rPr>
          <w:snapToGrid/>
        </w:rPr>
        <w:t xml:space="preserve"> significant delay</w:t>
      </w:r>
      <w:r w:rsidR="00C54326" w:rsidRPr="00361189">
        <w:rPr>
          <w:snapToGrid/>
        </w:rPr>
        <w:t>s</w:t>
      </w:r>
      <w:r w:rsidR="00067A08" w:rsidRPr="00361189">
        <w:rPr>
          <w:snapToGrid/>
        </w:rPr>
        <w:t xml:space="preserve"> in reaching HINE milestones for the majority of patients (</w:t>
      </w:r>
      <w:r w:rsidR="005B106B" w:rsidRPr="00361189">
        <w:rPr>
          <w:snapToGrid/>
        </w:rPr>
        <w:t>Figure 1</w:t>
      </w:r>
      <w:r w:rsidR="00067A08" w:rsidRPr="00361189">
        <w:rPr>
          <w:snapToGrid/>
        </w:rPr>
        <w:t>).</w:t>
      </w:r>
    </w:p>
    <w:p w:rsidR="0080653A" w:rsidRPr="00361189" w:rsidRDefault="005B106B" w:rsidP="00457309">
      <w:pPr>
        <w:pStyle w:val="3-BodyText"/>
        <w:keepNext/>
        <w:keepLines/>
        <w:numPr>
          <w:ilvl w:val="0"/>
          <w:numId w:val="0"/>
        </w:numPr>
        <w:spacing w:after="0"/>
        <w:rPr>
          <w:rFonts w:ascii="Arial Narrow" w:hAnsi="Arial Narrow"/>
          <w:b/>
          <w:sz w:val="20"/>
          <w:szCs w:val="20"/>
        </w:rPr>
      </w:pPr>
      <w:bookmarkStart w:id="30" w:name="_Ref40706762"/>
      <w:r w:rsidRPr="00361189">
        <w:rPr>
          <w:rFonts w:ascii="Arial Narrow" w:hAnsi="Arial Narrow"/>
          <w:b/>
          <w:sz w:val="20"/>
          <w:szCs w:val="20"/>
        </w:rPr>
        <w:lastRenderedPageBreak/>
        <w:t>Figure 1</w:t>
      </w:r>
      <w:bookmarkEnd w:id="30"/>
      <w:r w:rsidR="0080653A" w:rsidRPr="00361189">
        <w:rPr>
          <w:rFonts w:ascii="Arial Narrow" w:hAnsi="Arial Narrow"/>
          <w:b/>
          <w:sz w:val="20"/>
          <w:szCs w:val="20"/>
        </w:rPr>
        <w:t>: Achievement of WHO motor milestones based on caregiver observation with confirmation by site at subsequent visit – ITT set at 33.8 months</w:t>
      </w:r>
    </w:p>
    <w:p w:rsidR="0080653A" w:rsidRPr="00361189" w:rsidRDefault="00457309" w:rsidP="00457309">
      <w:pPr>
        <w:pStyle w:val="3-BodyText"/>
        <w:keepNext/>
        <w:keepLines/>
        <w:numPr>
          <w:ilvl w:val="0"/>
          <w:numId w:val="0"/>
        </w:numPr>
        <w:spacing w:after="0"/>
        <w:ind w:left="720" w:hanging="720"/>
        <w:rPr>
          <w:rFonts w:ascii="Arial Narrow" w:hAnsi="Arial Narrow"/>
          <w:sz w:val="20"/>
          <w:szCs w:val="20"/>
        </w:rPr>
      </w:pPr>
      <w:r w:rsidRPr="00361189">
        <w:rPr>
          <w:rFonts w:ascii="Arial Narrow" w:hAnsi="Arial Narrow"/>
          <w:noProof/>
          <w:color w:val="3366FF"/>
          <w:sz w:val="20"/>
          <w:szCs w:val="20"/>
        </w:rPr>
        <w:drawing>
          <wp:inline distT="0" distB="0" distL="0" distR="0" wp14:anchorId="7A1D2E47" wp14:editId="351CA2A4">
            <wp:extent cx="5732145" cy="2615565"/>
            <wp:effectExtent l="0" t="0" r="1905" b="0"/>
            <wp:docPr id="28" name="Picture 28" title="Figure 1: Achievement of WHO motor milestones based on caregiver observation with confirmation by site at subsequent visit – ITT set at 33.8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2615565"/>
                    </a:xfrm>
                    <a:prstGeom prst="rect">
                      <a:avLst/>
                    </a:prstGeom>
                    <a:noFill/>
                    <a:ln>
                      <a:noFill/>
                    </a:ln>
                  </pic:spPr>
                </pic:pic>
              </a:graphicData>
            </a:graphic>
          </wp:inline>
        </w:drawing>
      </w:r>
    </w:p>
    <w:p w:rsidR="0080653A" w:rsidRPr="00361189" w:rsidRDefault="0080653A" w:rsidP="00457309">
      <w:pPr>
        <w:pStyle w:val="3-BodyText"/>
        <w:keepNext/>
        <w:keepLines/>
        <w:numPr>
          <w:ilvl w:val="0"/>
          <w:numId w:val="0"/>
        </w:numPr>
        <w:spacing w:after="0"/>
        <w:ind w:left="720" w:hanging="720"/>
        <w:rPr>
          <w:rFonts w:ascii="Arial Narrow" w:hAnsi="Arial Narrow"/>
          <w:sz w:val="18"/>
          <w:szCs w:val="20"/>
        </w:rPr>
      </w:pPr>
      <w:r w:rsidRPr="00361189">
        <w:rPr>
          <w:rFonts w:ascii="Arial Narrow" w:hAnsi="Arial Narrow"/>
          <w:sz w:val="18"/>
          <w:szCs w:val="20"/>
        </w:rPr>
        <w:t xml:space="preserve">Source: Figure 3, para 6.20 p14 of </w:t>
      </w:r>
      <w:r w:rsidR="00CF37AB" w:rsidRPr="00361189">
        <w:rPr>
          <w:rFonts w:ascii="Arial Narrow" w:hAnsi="Arial Narrow"/>
          <w:sz w:val="18"/>
          <w:szCs w:val="20"/>
        </w:rPr>
        <w:t>nusinersen, Addendum to the July 2019 PSD, November 2019</w:t>
      </w:r>
    </w:p>
    <w:p w:rsidR="0086612F" w:rsidRPr="00361189" w:rsidRDefault="0080653A" w:rsidP="0080653A">
      <w:pPr>
        <w:pStyle w:val="3-BodyText"/>
        <w:keepNext/>
        <w:keepLines/>
        <w:numPr>
          <w:ilvl w:val="0"/>
          <w:numId w:val="0"/>
        </w:numPr>
        <w:ind w:left="720"/>
        <w:rPr>
          <w:rFonts w:ascii="Arial Narrow" w:hAnsi="Arial Narrow"/>
          <w:sz w:val="18"/>
          <w:szCs w:val="20"/>
        </w:rPr>
      </w:pPr>
      <w:r w:rsidRPr="00361189">
        <w:rPr>
          <w:rFonts w:ascii="Arial Narrow" w:hAnsi="Arial Narrow"/>
          <w:sz w:val="18"/>
          <w:szCs w:val="20"/>
        </w:rPr>
        <w:t>Note: the red, blue and yellow shaded bars at the base of the figure representing the expected timeframe for achievement of these milestones in normal healthy infants</w:t>
      </w:r>
    </w:p>
    <w:p w:rsidR="00067A08" w:rsidRPr="00361189" w:rsidRDefault="00067A08" w:rsidP="00F72FC2">
      <w:pPr>
        <w:pStyle w:val="3-BodyText"/>
        <w:spacing w:after="0"/>
      </w:pPr>
      <w:r w:rsidRPr="00361189">
        <w:t>The naïve indirect comparison between NURTURE and ENDEAR, CS3A, SHINE and CHERISH was considered inappropriate by the ESC as:</w:t>
      </w:r>
    </w:p>
    <w:p w:rsidR="00067A08" w:rsidRPr="00361189" w:rsidRDefault="00067A08" w:rsidP="00600BA7">
      <w:pPr>
        <w:pStyle w:val="3-BodyText"/>
        <w:numPr>
          <w:ilvl w:val="0"/>
          <w:numId w:val="20"/>
        </w:numPr>
        <w:spacing w:after="0"/>
        <w:ind w:left="993" w:hanging="284"/>
      </w:pPr>
      <w:r w:rsidRPr="00361189">
        <w:t xml:space="preserve">NURTURE enrolled patients with </w:t>
      </w:r>
      <w:r w:rsidRPr="00361189">
        <w:rPr>
          <w:i/>
        </w:rPr>
        <w:t>SMN2</w:t>
      </w:r>
      <w:r w:rsidRPr="00361189">
        <w:t xml:space="preserve"> copy numbers of 2 and 3 whereas ENDEAR enrolled only patients with </w:t>
      </w:r>
      <w:r w:rsidR="00C35583" w:rsidRPr="00361189">
        <w:t xml:space="preserve">an </w:t>
      </w:r>
      <w:r w:rsidRPr="00361189">
        <w:rPr>
          <w:i/>
        </w:rPr>
        <w:t>SMN2</w:t>
      </w:r>
      <w:r w:rsidRPr="00361189">
        <w:t xml:space="preserve"> copy number of 2</w:t>
      </w:r>
      <w:r w:rsidR="00C35583" w:rsidRPr="00361189">
        <w:t xml:space="preserve"> with </w:t>
      </w:r>
      <w:r w:rsidRPr="00361189">
        <w:t>the most severe form of disease (Type I SMA)</w:t>
      </w:r>
      <w:r w:rsidR="00361189">
        <w:t xml:space="preserve">. </w:t>
      </w:r>
      <w:r w:rsidRPr="00361189">
        <w:t>Patients enrolled in ENDEAR were likely to have worse outcomes than those enrolled in NURTURE, which was reflected in the mortality rate (13/80, 16%) in nusinersen treated patients in ENDEAR compared to NURTURE in which no deaths were observed; and</w:t>
      </w:r>
    </w:p>
    <w:p w:rsidR="00067A08" w:rsidRPr="00361189" w:rsidRDefault="00067A08" w:rsidP="00600BA7">
      <w:pPr>
        <w:pStyle w:val="3-BodyText"/>
        <w:numPr>
          <w:ilvl w:val="0"/>
          <w:numId w:val="20"/>
        </w:numPr>
        <w:ind w:left="993" w:hanging="284"/>
      </w:pPr>
      <w:r w:rsidRPr="00361189">
        <w:t>The mean age of patients in CHERISH at screening (3.8 years) was older than the oldest patient enrolled in NURTURE at interim cut</w:t>
      </w:r>
      <w:r w:rsidR="00E109EF" w:rsidRPr="00361189">
        <w:t>-</w:t>
      </w:r>
      <w:r w:rsidRPr="00361189">
        <w:t>off (847 days, or 2.3 years), indicating that the patients enrolled in CHERISH and NURTURE were at completely different developmental stages</w:t>
      </w:r>
      <w:r w:rsidR="00D217E2" w:rsidRPr="00361189">
        <w:t xml:space="preserve"> (paragraph 6.18, nusinersen, PSD, July 2019)</w:t>
      </w:r>
      <w:r w:rsidRPr="00361189">
        <w:t>.</w:t>
      </w:r>
    </w:p>
    <w:p w:rsidR="00067A08" w:rsidRPr="00361189" w:rsidRDefault="00E109EF" w:rsidP="00067A08">
      <w:pPr>
        <w:pStyle w:val="3-BodyText"/>
      </w:pPr>
      <w:r w:rsidRPr="00361189">
        <w:t xml:space="preserve">The PBAC </w:t>
      </w:r>
      <w:r w:rsidR="00BE7B33" w:rsidRPr="00361189">
        <w:t xml:space="preserve">previously </w:t>
      </w:r>
      <w:r w:rsidRPr="00361189">
        <w:t>considered that key differences between characteristics of the patients enrolled in the ENDEAR, CHERISH and NURTURE trials noted by the ESC meant that a comparison of outcomes from these trials could not reliably inform the magnitude of any incremental benefit (paragraph 7.4, nusinersen, PSD, July 2019)</w:t>
      </w:r>
    </w:p>
    <w:p w:rsidR="00067A08" w:rsidRPr="00361189" w:rsidRDefault="00067A08" w:rsidP="00067A08">
      <w:pPr>
        <w:pStyle w:val="3-BodyText"/>
      </w:pPr>
      <w:r w:rsidRPr="00361189">
        <w:t>Nonetheless, at the November 2019 PBAC meeting, based on the advice from clinicians and the overall available evidence, the PBAC considered there was likely an incremental benefit from pre-symptomatic initiation of treatment with nusinersen compared with symptomatic treatment however, maintained that the magnitude of incremental benefit could not be ascertained without appropriate comparative data</w:t>
      </w:r>
      <w:r w:rsidR="00361189">
        <w:t xml:space="preserve">. </w:t>
      </w:r>
      <w:r w:rsidRPr="00361189">
        <w:t xml:space="preserve">No new data or analysis was presented in the resubmission to address this, and </w:t>
      </w:r>
      <w:r w:rsidR="00F72FC2" w:rsidRPr="00361189">
        <w:t xml:space="preserve">this </w:t>
      </w:r>
      <w:r w:rsidRPr="00361189">
        <w:t xml:space="preserve">remains an outstanding issue. </w:t>
      </w:r>
      <w:r w:rsidR="00152939" w:rsidRPr="00361189">
        <w:t xml:space="preserve">The ESC noted that the uncertainty around the magnitude of incremental benefit from pre-symptomatic initiation of treatment </w:t>
      </w:r>
      <w:r w:rsidR="00152939" w:rsidRPr="00361189">
        <w:lastRenderedPageBreak/>
        <w:t xml:space="preserve">compared with symptomatic treatment remains an outstanding issue in the absence of </w:t>
      </w:r>
      <w:r w:rsidR="00CF49E4" w:rsidRPr="00361189">
        <w:t xml:space="preserve">any </w:t>
      </w:r>
      <w:r w:rsidR="00152939" w:rsidRPr="00361189">
        <w:t>new clinical data.</w:t>
      </w:r>
      <w:r w:rsidR="00152939" w:rsidRPr="00361189">
        <w:rPr>
          <w:i/>
        </w:rPr>
        <w:t xml:space="preserve"> </w:t>
      </w:r>
    </w:p>
    <w:p w:rsidR="008F4C1A" w:rsidRPr="00361189" w:rsidRDefault="00676622" w:rsidP="00AC4578">
      <w:pPr>
        <w:pStyle w:val="3-BodyText"/>
      </w:pPr>
      <w:r w:rsidRPr="00361189">
        <w:t xml:space="preserve">Clinicians experienced in the treatment of SMA </w:t>
      </w:r>
      <w:r w:rsidR="008F4C1A" w:rsidRPr="00361189">
        <w:t>considered that patients with severe forms of SMA would derive the most benefit from nusinersen if initiated prior to development of irreversible motor neuron loss, noting that newborns treated at 1 week compared to 6 weeks in NURTURE had better outcomes (para</w:t>
      </w:r>
      <w:r w:rsidRPr="00361189">
        <w:t>graph</w:t>
      </w:r>
      <w:r w:rsidR="008F4C1A" w:rsidRPr="00361189">
        <w:t xml:space="preserve"> 10.8, nusinersen</w:t>
      </w:r>
      <w:r w:rsidRPr="00361189">
        <w:t>, Addendum to the July 2019 PSD,</w:t>
      </w:r>
      <w:r w:rsidR="005B106B" w:rsidRPr="00361189">
        <w:t xml:space="preserve"> </w:t>
      </w:r>
      <w:r w:rsidR="008F4C1A" w:rsidRPr="00361189">
        <w:t>November 2019)</w:t>
      </w:r>
      <w:r w:rsidR="00361189">
        <w:t xml:space="preserve">. </w:t>
      </w:r>
      <w:r w:rsidR="00276BAC" w:rsidRPr="00361189">
        <w:t>T</w:t>
      </w:r>
      <w:r w:rsidR="008F4C1A" w:rsidRPr="00361189">
        <w:t>his could not be verified during the evaluation</w:t>
      </w:r>
      <w:r w:rsidR="00AC4578" w:rsidRPr="00361189">
        <w:t>, as no comparisons between the subgroups depending on age at first dose were reported</w:t>
      </w:r>
      <w:r w:rsidR="00361189">
        <w:t xml:space="preserve">. </w:t>
      </w:r>
      <w:r w:rsidR="008F4C1A" w:rsidRPr="00361189">
        <w:t xml:space="preserve">Conversely, MSAC ESC (Application no.1589 MSAC PSD, August 2019) noted that in the NURTURE </w:t>
      </w:r>
      <w:r w:rsidR="00F72FC2" w:rsidRPr="00361189">
        <w:t>study</w:t>
      </w:r>
      <w:r w:rsidR="008F4C1A" w:rsidRPr="00361189">
        <w:t>, early data suggest that patients with 3 copy numbers (and less likely to have severe SMA) are the ones who may be benefitting from early access to treatment</w:t>
      </w:r>
      <w:r w:rsidR="00361189">
        <w:t xml:space="preserve">. </w:t>
      </w:r>
      <w:r w:rsidR="008F4C1A" w:rsidRPr="00361189">
        <w:t xml:space="preserve">MSAC (Application no.1589 MSAC PSD, August 2019) consider this biologically plausible as nusinersen achieves its pharmacological effect by increasing the function of existing </w:t>
      </w:r>
      <w:r w:rsidR="008F4C1A" w:rsidRPr="00361189">
        <w:rPr>
          <w:i/>
        </w:rPr>
        <w:t>SMN2</w:t>
      </w:r>
      <w:r w:rsidR="008F4C1A" w:rsidRPr="00361189">
        <w:t xml:space="preserve"> genes</w:t>
      </w:r>
      <w:r w:rsidR="00361189">
        <w:t xml:space="preserve">. </w:t>
      </w:r>
    </w:p>
    <w:p w:rsidR="005E27C9" w:rsidRPr="00361189" w:rsidRDefault="00D56B30" w:rsidP="00AC4578">
      <w:pPr>
        <w:pStyle w:val="3-BodyText"/>
      </w:pPr>
      <w:r w:rsidRPr="00361189">
        <w:t xml:space="preserve">The pre-PBAC Response reported data from the February 2020 interim analysis </w:t>
      </w:r>
      <w:r w:rsidR="00CD7766" w:rsidRPr="00361189">
        <w:t>with a median follow-up of 45.6 months (Figure 2)</w:t>
      </w:r>
      <w:r w:rsidR="00383F40" w:rsidRPr="00361189">
        <w:t xml:space="preserve">. The pre-PBAC Response noted </w:t>
      </w:r>
      <w:r w:rsidR="00F139F0" w:rsidRPr="00361189">
        <w:t>the data showed th</w:t>
      </w:r>
      <w:r w:rsidR="00B4347D" w:rsidRPr="00361189">
        <w:t xml:space="preserve">at </w:t>
      </w:r>
      <w:r w:rsidR="00F139F0" w:rsidRPr="00361189">
        <w:t xml:space="preserve">at </w:t>
      </w:r>
      <w:r w:rsidR="00B4347D" w:rsidRPr="00361189">
        <w:t xml:space="preserve">the follow-up time point, </w:t>
      </w:r>
      <w:r w:rsidR="00383F40" w:rsidRPr="00361189">
        <w:t xml:space="preserve">all patients </w:t>
      </w:r>
      <w:r w:rsidR="00F139F0" w:rsidRPr="00361189">
        <w:t xml:space="preserve">were </w:t>
      </w:r>
      <w:r w:rsidR="00383F40" w:rsidRPr="00361189">
        <w:t>alive and no patients have required permanent ventilation</w:t>
      </w:r>
      <w:r w:rsidR="00CD7766" w:rsidRPr="00361189">
        <w:t xml:space="preserve"> or had loss of major motor milestones</w:t>
      </w:r>
      <w:r w:rsidR="00383F40" w:rsidRPr="00361189">
        <w:t>.</w:t>
      </w:r>
    </w:p>
    <w:p w:rsidR="00CD7766" w:rsidRPr="00361189" w:rsidRDefault="00CD7766" w:rsidP="00CD7766">
      <w:pPr>
        <w:pStyle w:val="3-BodyText"/>
        <w:numPr>
          <w:ilvl w:val="0"/>
          <w:numId w:val="0"/>
        </w:numPr>
        <w:ind w:left="720"/>
      </w:pPr>
    </w:p>
    <w:p w:rsidR="00CD7766" w:rsidRPr="00361189" w:rsidRDefault="00CD7766" w:rsidP="00CD7766">
      <w:pPr>
        <w:pStyle w:val="3-BodyText"/>
        <w:keepNext/>
        <w:keepLines/>
        <w:numPr>
          <w:ilvl w:val="0"/>
          <w:numId w:val="0"/>
        </w:numPr>
        <w:spacing w:after="0"/>
        <w:rPr>
          <w:rFonts w:ascii="Arial Narrow" w:hAnsi="Arial Narrow"/>
          <w:b/>
          <w:sz w:val="20"/>
          <w:szCs w:val="20"/>
        </w:rPr>
      </w:pPr>
      <w:r w:rsidRPr="00361189">
        <w:rPr>
          <w:rFonts w:ascii="Arial Narrow" w:hAnsi="Arial Narrow"/>
          <w:b/>
          <w:sz w:val="20"/>
          <w:szCs w:val="20"/>
        </w:rPr>
        <w:t>Figure 2: Achievement of WHO motor milestones based on caregiver observation with confirmation by site at su</w:t>
      </w:r>
      <w:r w:rsidR="00B4347D" w:rsidRPr="00361189">
        <w:rPr>
          <w:rFonts w:ascii="Arial Narrow" w:hAnsi="Arial Narrow"/>
          <w:b/>
          <w:sz w:val="20"/>
          <w:szCs w:val="20"/>
        </w:rPr>
        <w:t>bsequent visit – ITT set at 45.6</w:t>
      </w:r>
      <w:r w:rsidRPr="00361189">
        <w:rPr>
          <w:rFonts w:ascii="Arial Narrow" w:hAnsi="Arial Narrow"/>
          <w:b/>
          <w:sz w:val="20"/>
          <w:szCs w:val="20"/>
        </w:rPr>
        <w:t xml:space="preserve"> months</w:t>
      </w:r>
    </w:p>
    <w:p w:rsidR="00CD7766" w:rsidRPr="00361189" w:rsidRDefault="00B4347D" w:rsidP="00B4347D">
      <w:pPr>
        <w:pStyle w:val="3-BodyText"/>
        <w:numPr>
          <w:ilvl w:val="0"/>
          <w:numId w:val="0"/>
        </w:numPr>
        <w:spacing w:after="0"/>
      </w:pPr>
      <w:r w:rsidRPr="00361189">
        <w:rPr>
          <w:noProof/>
        </w:rPr>
        <w:drawing>
          <wp:inline distT="0" distB="0" distL="0" distR="0" wp14:anchorId="47E05DD5" wp14:editId="6A0D1D98">
            <wp:extent cx="5660113" cy="2468245"/>
            <wp:effectExtent l="0" t="0" r="0" b="8255"/>
            <wp:docPr id="1" name="Picture 1" title="Figure 2: Achievement of WHO motor milestones based on caregiver observation with confirmation by site at subsequent visit – ITT set at 45.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512" cy="2471036"/>
                    </a:xfrm>
                    <a:prstGeom prst="rect">
                      <a:avLst/>
                    </a:prstGeom>
                    <a:noFill/>
                    <a:ln>
                      <a:noFill/>
                    </a:ln>
                  </pic:spPr>
                </pic:pic>
              </a:graphicData>
            </a:graphic>
          </wp:inline>
        </w:drawing>
      </w:r>
    </w:p>
    <w:p w:rsidR="00B4347D" w:rsidRPr="00361189" w:rsidRDefault="00B4347D" w:rsidP="00B4347D">
      <w:pPr>
        <w:pStyle w:val="3-BodyText"/>
        <w:keepNext/>
        <w:keepLines/>
        <w:numPr>
          <w:ilvl w:val="0"/>
          <w:numId w:val="0"/>
        </w:numPr>
        <w:spacing w:after="0"/>
        <w:ind w:left="720" w:hanging="720"/>
        <w:rPr>
          <w:rFonts w:ascii="Arial Narrow" w:hAnsi="Arial Narrow"/>
          <w:sz w:val="18"/>
          <w:szCs w:val="20"/>
        </w:rPr>
      </w:pPr>
      <w:r w:rsidRPr="00361189">
        <w:rPr>
          <w:rFonts w:ascii="Arial Narrow" w:hAnsi="Arial Narrow"/>
          <w:sz w:val="18"/>
          <w:szCs w:val="20"/>
        </w:rPr>
        <w:t xml:space="preserve">Source: Figure 2, p3 of the pre-PBAC Response </w:t>
      </w:r>
    </w:p>
    <w:p w:rsidR="00B4347D" w:rsidRPr="00361189" w:rsidRDefault="00B4347D" w:rsidP="00B4347D">
      <w:pPr>
        <w:pStyle w:val="3-BodyText"/>
        <w:keepNext/>
        <w:keepLines/>
        <w:numPr>
          <w:ilvl w:val="0"/>
          <w:numId w:val="0"/>
        </w:numPr>
        <w:rPr>
          <w:rFonts w:ascii="Arial Narrow" w:hAnsi="Arial Narrow"/>
          <w:sz w:val="18"/>
          <w:szCs w:val="20"/>
        </w:rPr>
      </w:pPr>
      <w:r w:rsidRPr="00361189">
        <w:rPr>
          <w:rFonts w:ascii="Arial Narrow" w:hAnsi="Arial Narrow"/>
          <w:sz w:val="18"/>
          <w:szCs w:val="20"/>
        </w:rPr>
        <w:t>Note: the red, blue and yellow shaded bars at the base of the figure representing the expected timeframe for achievement of these milestones in normal healthy infants</w:t>
      </w:r>
    </w:p>
    <w:p w:rsidR="00B4347D" w:rsidRPr="00361189" w:rsidRDefault="00B4347D" w:rsidP="00B4347D">
      <w:pPr>
        <w:pStyle w:val="3-BodyText"/>
        <w:numPr>
          <w:ilvl w:val="0"/>
          <w:numId w:val="0"/>
        </w:numPr>
        <w:spacing w:after="0"/>
      </w:pPr>
    </w:p>
    <w:p w:rsidR="00B4347D" w:rsidRPr="00361189" w:rsidRDefault="00B4347D" w:rsidP="00244731">
      <w:bookmarkStart w:id="31" w:name="_Toc22897642"/>
      <w:bookmarkStart w:id="32" w:name="_Toc40874421"/>
    </w:p>
    <w:p w:rsidR="00B60939" w:rsidRPr="00361189" w:rsidRDefault="00B60939" w:rsidP="00D86231">
      <w:pPr>
        <w:pStyle w:val="4-SubsectionHeading"/>
      </w:pPr>
      <w:r w:rsidRPr="00361189">
        <w:lastRenderedPageBreak/>
        <w:t>Comparative harms</w:t>
      </w:r>
      <w:bookmarkEnd w:id="31"/>
      <w:bookmarkEnd w:id="32"/>
    </w:p>
    <w:p w:rsidR="00067A08" w:rsidRPr="00361189" w:rsidRDefault="00067A08" w:rsidP="00067A08">
      <w:pPr>
        <w:pStyle w:val="3-BodyText"/>
      </w:pPr>
      <w:r w:rsidRPr="00361189">
        <w:t>As there were no comparative studies identified, no comparative harms were noted</w:t>
      </w:r>
      <w:r w:rsidR="00361189">
        <w:t xml:space="preserve">. </w:t>
      </w:r>
      <w:r w:rsidR="00907A5D" w:rsidRPr="00361189">
        <w:t>T</w:t>
      </w:r>
      <w:r w:rsidRPr="00361189">
        <w:t>he PBAC (</w:t>
      </w:r>
      <w:r w:rsidR="00907A5D" w:rsidRPr="00361189">
        <w:t xml:space="preserve">paragraph </w:t>
      </w:r>
      <w:r w:rsidRPr="00361189">
        <w:t>11.4, nusinersen</w:t>
      </w:r>
      <w:r w:rsidR="00907A5D" w:rsidRPr="00361189">
        <w:t>,</w:t>
      </w:r>
      <w:r w:rsidRPr="00361189">
        <w:t xml:space="preserve"> </w:t>
      </w:r>
      <w:r w:rsidR="00907A5D" w:rsidRPr="00361189">
        <w:t>Addendum to the July 2019 PSD,</w:t>
      </w:r>
      <w:r w:rsidRPr="00361189">
        <w:t xml:space="preserve"> November 2019) considered that there may be long</w:t>
      </w:r>
      <w:r w:rsidR="00197118" w:rsidRPr="00361189">
        <w:t>-</w:t>
      </w:r>
      <w:r w:rsidRPr="00361189">
        <w:t>term implications from repeated lumbar puncture administrations, particularly in patients who may not have had nusinersen otherwise (i.e. Type IIIb and Type IV patients).</w:t>
      </w:r>
      <w:r w:rsidR="00197118" w:rsidRPr="00361189">
        <w:t xml:space="preserve"> The ESC noted that the resubmission had not addressed concerns around the </w:t>
      </w:r>
      <w:r w:rsidR="0007281E" w:rsidRPr="00361189">
        <w:t>prospect of overtreatment with nusinersen in patients who would have developed Type IIIb or Type IV SMA and the associated long</w:t>
      </w:r>
      <w:r w:rsidR="005D2ECC" w:rsidRPr="00361189">
        <w:t xml:space="preserve">-term safety of nusinersen in </w:t>
      </w:r>
      <w:r w:rsidR="0007281E" w:rsidRPr="00361189">
        <w:t>these patients</w:t>
      </w:r>
      <w:r w:rsidR="00361189">
        <w:t xml:space="preserve">. </w:t>
      </w:r>
      <w:r w:rsidR="0009081A" w:rsidRPr="00361189">
        <w:rPr>
          <w:i/>
        </w:rPr>
        <w:t xml:space="preserve"> </w:t>
      </w:r>
      <w:r w:rsidRPr="00361189">
        <w:t xml:space="preserve">  </w:t>
      </w:r>
    </w:p>
    <w:p w:rsidR="00067A08" w:rsidRPr="00361189" w:rsidRDefault="00907A5D" w:rsidP="00067A08">
      <w:pPr>
        <w:pStyle w:val="3-BodyText"/>
      </w:pPr>
      <w:r w:rsidRPr="00361189">
        <w:t xml:space="preserve">All </w:t>
      </w:r>
      <w:r w:rsidR="00067A08" w:rsidRPr="00361189">
        <w:t xml:space="preserve">25 (100%) of patients in NURTURE experienced an adverse event. </w:t>
      </w:r>
      <w:r w:rsidRPr="00361189">
        <w:t>A</w:t>
      </w:r>
      <w:r w:rsidR="00067A08" w:rsidRPr="00361189">
        <w:t xml:space="preserve"> total of nine patients (36%) experienced at least one serious adverse event, six of which were considered related to study treatment by the Investigator</w:t>
      </w:r>
      <w:r w:rsidR="00361189">
        <w:t xml:space="preserve">. </w:t>
      </w:r>
      <w:r w:rsidR="00067A08" w:rsidRPr="00361189">
        <w:t>The most frequently reported serious adverse events were pneumonia in four patients, respiratory syncytial virus bronchiolitis in two patients, and respiratory distress in two patients</w:t>
      </w:r>
      <w:r w:rsidR="00361189">
        <w:t xml:space="preserve">. </w:t>
      </w:r>
      <w:r w:rsidR="00067A08" w:rsidRPr="00361189">
        <w:t>Six adverse events, with one being serious (due to failed lumbar puncture procedure on Day 4) was related to post-lumbar puncture syndrome</w:t>
      </w:r>
      <w:r w:rsidR="00361189">
        <w:t xml:space="preserve">. </w:t>
      </w:r>
    </w:p>
    <w:p w:rsidR="00B60939" w:rsidRPr="00361189" w:rsidRDefault="00067A08" w:rsidP="00067A08">
      <w:pPr>
        <w:pStyle w:val="3-BodyText"/>
        <w:rPr>
          <w:rFonts w:ascii="Arial Narrow" w:hAnsi="Arial Narrow"/>
          <w:sz w:val="20"/>
        </w:rPr>
      </w:pPr>
      <w:r w:rsidRPr="00361189">
        <w:t>A periodic safety report covering 31 May 2019 to 30 Nov 2019 was presented in the resubmission</w:t>
      </w:r>
      <w:r w:rsidR="00361189">
        <w:t xml:space="preserve">. </w:t>
      </w:r>
      <w:r w:rsidRPr="00361189">
        <w:t>No new, ongoing or closed signals were reported in the periodic safety report.</w:t>
      </w:r>
      <w:r w:rsidR="00CB56B7" w:rsidRPr="00361189">
        <w:t xml:space="preserve"> The ESC considered </w:t>
      </w:r>
      <w:r w:rsidR="00A237E7" w:rsidRPr="00361189">
        <w:t xml:space="preserve">that in the absence of </w:t>
      </w:r>
      <w:r w:rsidR="00C148BA" w:rsidRPr="00361189">
        <w:t>long-term</w:t>
      </w:r>
      <w:r w:rsidR="00A237E7" w:rsidRPr="00361189">
        <w:t xml:space="preserve"> safety data to adequately discern any </w:t>
      </w:r>
      <w:r w:rsidR="0009081A" w:rsidRPr="00361189">
        <w:t>long-term</w:t>
      </w:r>
      <w:r w:rsidR="00A237E7" w:rsidRPr="00361189">
        <w:t xml:space="preserve"> effects of repeated lumbar puncture administrations in </w:t>
      </w:r>
      <w:r w:rsidR="00CD5DED" w:rsidRPr="00361189">
        <w:t>infants,</w:t>
      </w:r>
      <w:r w:rsidR="00CF49E4" w:rsidRPr="00361189">
        <w:t xml:space="preserve"> the safety of </w:t>
      </w:r>
      <w:r w:rsidR="00A22768" w:rsidRPr="00361189">
        <w:t>lifetime treatment with nusinersen in this population remains unknown.</w:t>
      </w:r>
      <w:r w:rsidR="0009081A" w:rsidRPr="00361189">
        <w:t xml:space="preserve"> </w:t>
      </w:r>
    </w:p>
    <w:p w:rsidR="000C508D" w:rsidRPr="00361189" w:rsidRDefault="000C508D" w:rsidP="0058059C">
      <w:pPr>
        <w:pStyle w:val="3-BodyText"/>
        <w:rPr>
          <w:rStyle w:val="CommentReference"/>
          <w:b w:val="0"/>
          <w:szCs w:val="24"/>
        </w:rPr>
      </w:pPr>
      <w:r w:rsidRPr="00361189">
        <w:t xml:space="preserve">The pre-PBAC Response stated that no new safety </w:t>
      </w:r>
      <w:r w:rsidR="005369F6" w:rsidRPr="00361189">
        <w:t xml:space="preserve">concerns were identified </w:t>
      </w:r>
      <w:r w:rsidR="0058059C" w:rsidRPr="00361189">
        <w:t>and</w:t>
      </w:r>
      <w:r w:rsidR="005369F6" w:rsidRPr="00361189">
        <w:t xml:space="preserve"> all patients </w:t>
      </w:r>
      <w:r w:rsidR="00605EAE" w:rsidRPr="00361189">
        <w:t>have remained on treatment at the recent</w:t>
      </w:r>
      <w:r w:rsidR="0058059C" w:rsidRPr="00361189">
        <w:t xml:space="preserve"> February 2020</w:t>
      </w:r>
      <w:r w:rsidR="00605EAE" w:rsidRPr="00361189">
        <w:t xml:space="preserve"> interim analysis time point. The pre-PBAC Response noted there was approximately 7 years of follow-up data across the nusinersen clinical trial program </w:t>
      </w:r>
      <w:r w:rsidR="0058059C" w:rsidRPr="00361189">
        <w:t xml:space="preserve">and that based on this data, long-term repeated lumbar puncture administrations are well tolerated. </w:t>
      </w:r>
    </w:p>
    <w:p w:rsidR="007F1017" w:rsidRPr="00361189" w:rsidRDefault="007F1017" w:rsidP="00D86231">
      <w:pPr>
        <w:pStyle w:val="4-SubsectionHeading"/>
      </w:pPr>
      <w:bookmarkStart w:id="33" w:name="_Toc22897643"/>
      <w:bookmarkStart w:id="34" w:name="_Toc40874422"/>
      <w:r w:rsidRPr="00361189">
        <w:t>Benefits/harms</w:t>
      </w:r>
      <w:bookmarkEnd w:id="33"/>
      <w:bookmarkEnd w:id="34"/>
    </w:p>
    <w:p w:rsidR="007F1017" w:rsidRPr="00361189" w:rsidRDefault="00E926A5" w:rsidP="00D2155B">
      <w:pPr>
        <w:pStyle w:val="3-BodyText"/>
      </w:pPr>
      <w:r w:rsidRPr="00361189">
        <w:rPr>
          <w:snapToGrid/>
        </w:rPr>
        <w:t xml:space="preserve">The naïve indirect comparison presented in the </w:t>
      </w:r>
      <w:r w:rsidR="00F72FC2" w:rsidRPr="00361189">
        <w:rPr>
          <w:snapToGrid/>
        </w:rPr>
        <w:t>re</w:t>
      </w:r>
      <w:r w:rsidRPr="00361189">
        <w:rPr>
          <w:snapToGrid/>
        </w:rPr>
        <w:t xml:space="preserve">submission did not allow for a </w:t>
      </w:r>
      <w:r w:rsidR="0085309D" w:rsidRPr="00361189">
        <w:rPr>
          <w:snapToGrid/>
        </w:rPr>
        <w:t xml:space="preserve">quantitative </w:t>
      </w:r>
      <w:r w:rsidRPr="00361189">
        <w:rPr>
          <w:snapToGrid/>
        </w:rPr>
        <w:t xml:space="preserve">comparison of the benefits and harms of </w:t>
      </w:r>
      <w:r w:rsidR="008453D1" w:rsidRPr="00361189">
        <w:rPr>
          <w:snapToGrid/>
        </w:rPr>
        <w:t>pre-symptomatic initiation of treatment with nusinersen</w:t>
      </w:r>
      <w:r w:rsidRPr="00361189">
        <w:rPr>
          <w:snapToGrid/>
        </w:rPr>
        <w:t xml:space="preserve"> and </w:t>
      </w:r>
      <w:r w:rsidR="008453D1" w:rsidRPr="00361189">
        <w:rPr>
          <w:snapToGrid/>
        </w:rPr>
        <w:t>SoC</w:t>
      </w:r>
      <w:r w:rsidR="00361189">
        <w:rPr>
          <w:snapToGrid/>
        </w:rPr>
        <w:t xml:space="preserve">. </w:t>
      </w:r>
      <w:r w:rsidRPr="00361189">
        <w:rPr>
          <w:snapToGrid/>
        </w:rPr>
        <w:t>Accordingly, a benefits/harms table has not been presented.</w:t>
      </w:r>
    </w:p>
    <w:p w:rsidR="00B60939" w:rsidRPr="00361189" w:rsidRDefault="00B60939" w:rsidP="00E9094A">
      <w:pPr>
        <w:pStyle w:val="4-SubsectionHeading"/>
      </w:pPr>
      <w:bookmarkStart w:id="35" w:name="_Toc22897644"/>
      <w:bookmarkStart w:id="36" w:name="_Toc40874423"/>
      <w:r w:rsidRPr="00361189">
        <w:t>Clinical claim</w:t>
      </w:r>
      <w:bookmarkEnd w:id="35"/>
      <w:bookmarkEnd w:id="36"/>
    </w:p>
    <w:p w:rsidR="008453D1" w:rsidRPr="00361189" w:rsidRDefault="008453D1" w:rsidP="008453D1">
      <w:pPr>
        <w:pStyle w:val="3-BodyText"/>
      </w:pPr>
      <w:r w:rsidRPr="00361189">
        <w:t>The resubmission described pre-symptomatic initiation of treatment with nusinersen in patients with genetically diagnosed SMA as superior in terms of effectiveness compared with SoC (symptomatic initiation of treatment) and no worse in terms of comparative safety</w:t>
      </w:r>
      <w:r w:rsidR="00361189">
        <w:t xml:space="preserve">. </w:t>
      </w:r>
      <w:r w:rsidRPr="00361189">
        <w:t>The clinical claim was not adequately supported by the evidence presented in the resubmission</w:t>
      </w:r>
      <w:r w:rsidR="00361189">
        <w:t xml:space="preserve">. </w:t>
      </w:r>
    </w:p>
    <w:p w:rsidR="008453D1" w:rsidRPr="00361189" w:rsidRDefault="008453D1" w:rsidP="008453D1">
      <w:pPr>
        <w:pStyle w:val="3-BodyText"/>
      </w:pPr>
      <w:r w:rsidRPr="00361189">
        <w:t xml:space="preserve">The PBAC </w:t>
      </w:r>
      <w:r w:rsidR="000A0CD7" w:rsidRPr="00361189">
        <w:t xml:space="preserve">previously </w:t>
      </w:r>
      <w:r w:rsidRPr="00361189">
        <w:t xml:space="preserve">considered there was likely an incremental benefit from pre-symptomatic initiation of treatment with nusinersen compared with symptomatic </w:t>
      </w:r>
      <w:r w:rsidRPr="00361189">
        <w:lastRenderedPageBreak/>
        <w:t>treatment however, maintained that the magnitude of incremental benefit could not be ascertained without appropriate comparative data (</w:t>
      </w:r>
      <w:r w:rsidR="00DC67B0" w:rsidRPr="00361189">
        <w:t xml:space="preserve">paragraph </w:t>
      </w:r>
      <w:r w:rsidRPr="00361189">
        <w:t>11.3, nusinersen</w:t>
      </w:r>
      <w:r w:rsidR="00DC67B0" w:rsidRPr="00361189">
        <w:t>, Addendum to the July 2019</w:t>
      </w:r>
      <w:r w:rsidRPr="00361189">
        <w:t xml:space="preserve"> PSD</w:t>
      </w:r>
      <w:r w:rsidR="00DC67B0" w:rsidRPr="00361189">
        <w:t>,</w:t>
      </w:r>
      <w:r w:rsidRPr="00361189">
        <w:t xml:space="preserve"> November 2019)</w:t>
      </w:r>
      <w:r w:rsidR="00DC67B0" w:rsidRPr="00361189">
        <w:t>.</w:t>
      </w:r>
      <w:r w:rsidRPr="00361189">
        <w:t xml:space="preserve"> </w:t>
      </w:r>
    </w:p>
    <w:p w:rsidR="008453D1" w:rsidRPr="00361189" w:rsidRDefault="008453D1" w:rsidP="008453D1">
      <w:pPr>
        <w:pStyle w:val="3-BodyText"/>
      </w:pPr>
      <w:r w:rsidRPr="00361189">
        <w:t>The PBAC</w:t>
      </w:r>
      <w:r w:rsidR="000A0CD7" w:rsidRPr="00361189">
        <w:t xml:space="preserve"> previously</w:t>
      </w:r>
      <w:r w:rsidRPr="00361189">
        <w:t xml:space="preserve"> (</w:t>
      </w:r>
      <w:r w:rsidR="0070194A" w:rsidRPr="00361189">
        <w:t>p</w:t>
      </w:r>
      <w:r w:rsidRPr="00361189">
        <w:t>ara</w:t>
      </w:r>
      <w:r w:rsidR="0070194A" w:rsidRPr="00361189">
        <w:t>graph</w:t>
      </w:r>
      <w:r w:rsidRPr="00361189">
        <w:t xml:space="preserve"> 11.4, nusinersen</w:t>
      </w:r>
      <w:r w:rsidR="00A8034C" w:rsidRPr="00361189">
        <w:t>, Addendum to the July 2019</w:t>
      </w:r>
      <w:r w:rsidRPr="00361189">
        <w:t xml:space="preserve"> PSD</w:t>
      </w:r>
      <w:r w:rsidR="0014270A" w:rsidRPr="00361189">
        <w:t>,</w:t>
      </w:r>
      <w:r w:rsidRPr="00361189">
        <w:t xml:space="preserve"> November 2019) considered that there may be long</w:t>
      </w:r>
      <w:r w:rsidR="00197118" w:rsidRPr="00361189">
        <w:t>-</w:t>
      </w:r>
      <w:r w:rsidRPr="00361189">
        <w:t>term implications from repeated lumbar puncture administrations, particularly in patients who may not have had nusinersen otherwise (i.e. Type IIIb and Type IV patients).</w:t>
      </w:r>
      <w:r w:rsidR="00242F2E" w:rsidRPr="00361189">
        <w:t xml:space="preserve"> The ESC considered </w:t>
      </w:r>
      <w:r w:rsidRPr="00361189">
        <w:t xml:space="preserve">the claim of no worse in terms of safety compared to SoC </w:t>
      </w:r>
      <w:r w:rsidR="00242F2E" w:rsidRPr="00361189">
        <w:t xml:space="preserve">was not adequately supported </w:t>
      </w:r>
      <w:r w:rsidR="002C5A0C" w:rsidRPr="00361189">
        <w:t>noting there was a lack of long-term safety data and safety of repeated lumbar puncture in patients who would have developed Type IIIb and Type IV had not been addressed</w:t>
      </w:r>
      <w:r w:rsidR="00361189">
        <w:t xml:space="preserve">. </w:t>
      </w:r>
      <w:r w:rsidRPr="00361189">
        <w:t xml:space="preserve"> </w:t>
      </w:r>
    </w:p>
    <w:p w:rsidR="006C3F9D" w:rsidRPr="00361189" w:rsidRDefault="00E0128B" w:rsidP="00431E9A">
      <w:pPr>
        <w:pStyle w:val="3-BodyText"/>
      </w:pPr>
      <w:r w:rsidRPr="00361189">
        <w:t xml:space="preserve">The PBAC </w:t>
      </w:r>
      <w:r w:rsidR="009413E7" w:rsidRPr="00361189">
        <w:t>maintained that the magnitude of clinical benefit was uncertain as no comparative data is available. The PBAC noted that the long-term safety of repeated lumbar puncture in the context of a lifelong disease remains unknown.</w:t>
      </w:r>
    </w:p>
    <w:p w:rsidR="00B60939" w:rsidRPr="00361189" w:rsidRDefault="00B60939" w:rsidP="00E9094A">
      <w:pPr>
        <w:pStyle w:val="4-SubsectionHeading"/>
      </w:pPr>
      <w:bookmarkStart w:id="37" w:name="_Toc22897645"/>
      <w:bookmarkStart w:id="38" w:name="_Toc40874424"/>
      <w:r w:rsidRPr="00361189">
        <w:t>Economic analysis</w:t>
      </w:r>
      <w:bookmarkEnd w:id="37"/>
      <w:bookmarkEnd w:id="38"/>
      <w:r w:rsidR="00491B3A" w:rsidRPr="00361189">
        <w:t xml:space="preserve"> </w:t>
      </w:r>
    </w:p>
    <w:p w:rsidR="00275C5A" w:rsidRPr="00361189" w:rsidRDefault="00BD4DA7" w:rsidP="00641FB3">
      <w:pPr>
        <w:pStyle w:val="3-BodyText"/>
        <w:rPr>
          <w:b/>
          <w:bCs/>
        </w:rPr>
      </w:pPr>
      <w:bookmarkStart w:id="39" w:name="_Ref39370735"/>
      <w:r w:rsidRPr="00361189">
        <w:t>The resubmission presented a cost</w:t>
      </w:r>
      <w:r w:rsidR="00A84977" w:rsidRPr="00361189">
        <w:t>-</w:t>
      </w:r>
      <w:r w:rsidRPr="00361189">
        <w:t>utility analysis</w:t>
      </w:r>
      <w:r w:rsidR="00361189">
        <w:t xml:space="preserve">. </w:t>
      </w:r>
      <w:r w:rsidRPr="00361189">
        <w:t>The model in the resubmission has significantly changed</w:t>
      </w:r>
      <w:r w:rsidR="00636E86" w:rsidRPr="00361189">
        <w:t xml:space="preserve"> from that of</w:t>
      </w:r>
      <w:r w:rsidRPr="00361189">
        <w:t xml:space="preserve"> the previous submission</w:t>
      </w:r>
      <w:r w:rsidR="0047167C">
        <w:t xml:space="preserve"> (Table 10)</w:t>
      </w:r>
      <w:r w:rsidRPr="00361189">
        <w:t xml:space="preserve"> </w:t>
      </w:r>
      <w:r w:rsidR="00636E86" w:rsidRPr="00361189">
        <w:t xml:space="preserve">which </w:t>
      </w:r>
      <w:r w:rsidRPr="00361189">
        <w:t>was considered by PBAC to be unsuitable for decision making (</w:t>
      </w:r>
      <w:r w:rsidR="00636E86" w:rsidRPr="00361189">
        <w:t>p</w:t>
      </w:r>
      <w:r w:rsidRPr="00361189">
        <w:t>ara</w:t>
      </w:r>
      <w:r w:rsidR="00636E86" w:rsidRPr="00361189">
        <w:t>graph</w:t>
      </w:r>
      <w:r w:rsidRPr="00361189">
        <w:t xml:space="preserve"> 11.6, nusinersen</w:t>
      </w:r>
      <w:r w:rsidR="00636E86" w:rsidRPr="00361189">
        <w:t>, Addendum to the July 2019 PSD,</w:t>
      </w:r>
      <w:r w:rsidRPr="00361189">
        <w:t xml:space="preserve"> November 2019)</w:t>
      </w:r>
      <w:r w:rsidR="00361189">
        <w:t xml:space="preserve">. </w:t>
      </w:r>
      <w:r w:rsidRPr="00361189">
        <w:t>However</w:t>
      </w:r>
      <w:r w:rsidR="009312AF" w:rsidRPr="00361189">
        <w:t xml:space="preserve"> the ESC noted that</w:t>
      </w:r>
      <w:r w:rsidRPr="00361189">
        <w:t xml:space="preserve"> similar to the previous submission, no data from any of the identified studies was used in the economic evaluation.</w:t>
      </w:r>
      <w:bookmarkEnd w:id="39"/>
      <w:r w:rsidRPr="00361189">
        <w:t xml:space="preserve"> </w:t>
      </w:r>
    </w:p>
    <w:p w:rsidR="00275C5A" w:rsidRPr="00361189" w:rsidRDefault="0047167C" w:rsidP="000E5DE6">
      <w:pPr>
        <w:pStyle w:val="TableFigureHeading"/>
        <w:keepLines/>
        <w:rPr>
          <w:rStyle w:val="CommentReference"/>
          <w:b/>
          <w:szCs w:val="24"/>
        </w:rPr>
      </w:pPr>
      <w:r>
        <w:rPr>
          <w:rStyle w:val="CommentReference"/>
          <w:b/>
          <w:szCs w:val="24"/>
        </w:rPr>
        <w:t>Table 10</w:t>
      </w:r>
      <w:r w:rsidR="00275C5A" w:rsidRPr="00361189">
        <w:rPr>
          <w:rStyle w:val="CommentReference"/>
          <w:b/>
          <w:szCs w:val="24"/>
        </w:rPr>
        <w:t>: Summary of model structure</w:t>
      </w:r>
      <w:r w:rsidR="00184B0E" w:rsidRPr="00361189">
        <w:rPr>
          <w:rStyle w:val="CommentReference"/>
          <w:b/>
          <w:szCs w:val="24"/>
        </w:rPr>
        <w:t>, key inputs</w:t>
      </w:r>
      <w:r w:rsidR="00275C5A" w:rsidRPr="00361189">
        <w:rPr>
          <w:rStyle w:val="CommentReference"/>
          <w:b/>
          <w:szCs w:val="24"/>
        </w:rPr>
        <w:t xml:space="preserve"> and rationale</w:t>
      </w:r>
      <w:r w:rsidR="00B75D4C" w:rsidRPr="00361189">
        <w:rPr>
          <w:rStyle w:val="CommentReference"/>
          <w:b/>
          <w:szCs w:val="24"/>
        </w:rPr>
        <w:t xml:space="preserve"> in current re</w:t>
      </w:r>
      <w:r w:rsidR="00CD6D1B" w:rsidRPr="00361189">
        <w:rPr>
          <w:rStyle w:val="CommentReference"/>
          <w:b/>
          <w:szCs w:val="24"/>
        </w:rPr>
        <w:t>submission and previous submissi</w:t>
      </w:r>
      <w:r w:rsidR="00B75D4C" w:rsidRPr="00361189">
        <w:rPr>
          <w:rStyle w:val="CommentReference"/>
          <w:b/>
          <w:szCs w:val="24"/>
        </w:rPr>
        <w: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34"/>
        <w:gridCol w:w="3071"/>
        <w:gridCol w:w="1419"/>
        <w:gridCol w:w="3493"/>
      </w:tblGrid>
      <w:tr w:rsidR="00712FC1" w:rsidRPr="00361189" w:rsidTr="00F72FC2">
        <w:trPr>
          <w:tblHeader/>
        </w:trPr>
        <w:tc>
          <w:tcPr>
            <w:tcW w:w="573" w:type="pct"/>
            <w:shd w:val="clear" w:color="auto" w:fill="auto"/>
            <w:vAlign w:val="center"/>
          </w:tcPr>
          <w:p w:rsidR="00712FC1" w:rsidRPr="00361189" w:rsidRDefault="00712FC1" w:rsidP="000E5DE6">
            <w:pPr>
              <w:pStyle w:val="In-tableHeading"/>
              <w:keepLines/>
              <w:rPr>
                <w:lang w:val="en-AU"/>
              </w:rPr>
            </w:pPr>
            <w:r w:rsidRPr="00361189">
              <w:rPr>
                <w:lang w:val="en-AU"/>
              </w:rPr>
              <w:t>Component</w:t>
            </w:r>
          </w:p>
        </w:tc>
        <w:tc>
          <w:tcPr>
            <w:tcW w:w="1703" w:type="pct"/>
            <w:shd w:val="clear" w:color="auto" w:fill="auto"/>
            <w:vAlign w:val="center"/>
          </w:tcPr>
          <w:p w:rsidR="00712FC1" w:rsidRPr="00361189" w:rsidRDefault="00712FC1" w:rsidP="000E5DE6">
            <w:pPr>
              <w:pStyle w:val="In-tableHeading"/>
              <w:keepLines/>
              <w:jc w:val="center"/>
              <w:rPr>
                <w:lang w:val="en-AU"/>
              </w:rPr>
            </w:pPr>
            <w:r w:rsidRPr="00361189">
              <w:rPr>
                <w:lang w:val="en-AU"/>
              </w:rPr>
              <w:t>Current resubmission</w:t>
            </w:r>
          </w:p>
        </w:tc>
        <w:tc>
          <w:tcPr>
            <w:tcW w:w="786" w:type="pct"/>
            <w:vAlign w:val="center"/>
          </w:tcPr>
          <w:p w:rsidR="00712FC1" w:rsidRPr="00361189" w:rsidRDefault="00712FC1" w:rsidP="000E5DE6">
            <w:pPr>
              <w:pStyle w:val="In-tableHeading"/>
              <w:keepLines/>
              <w:jc w:val="center"/>
              <w:rPr>
                <w:lang w:val="en-AU"/>
              </w:rPr>
            </w:pPr>
            <w:r w:rsidRPr="00361189">
              <w:rPr>
                <w:lang w:val="en-AU"/>
              </w:rPr>
              <w:t>Previous submission</w:t>
            </w:r>
          </w:p>
        </w:tc>
        <w:tc>
          <w:tcPr>
            <w:tcW w:w="1937" w:type="pct"/>
            <w:vAlign w:val="center"/>
          </w:tcPr>
          <w:p w:rsidR="00712FC1" w:rsidRPr="00361189" w:rsidRDefault="00712FC1" w:rsidP="000E5DE6">
            <w:pPr>
              <w:pStyle w:val="In-tableHeading"/>
              <w:keepLines/>
              <w:jc w:val="center"/>
              <w:rPr>
                <w:lang w:val="en-AU"/>
              </w:rPr>
            </w:pPr>
            <w:r w:rsidRPr="00361189">
              <w:rPr>
                <w:lang w:val="en-AU"/>
              </w:rPr>
              <w:t>Comment</w:t>
            </w:r>
          </w:p>
        </w:tc>
      </w:tr>
      <w:tr w:rsidR="00712FC1" w:rsidRPr="00361189" w:rsidTr="00F72FC2">
        <w:tc>
          <w:tcPr>
            <w:tcW w:w="573" w:type="pct"/>
            <w:shd w:val="clear" w:color="auto" w:fill="auto"/>
            <w:vAlign w:val="center"/>
          </w:tcPr>
          <w:p w:rsidR="00712FC1" w:rsidRPr="00361189" w:rsidRDefault="00712FC1" w:rsidP="000E5DE6">
            <w:pPr>
              <w:pStyle w:val="TableText0"/>
              <w:keepLines/>
            </w:pPr>
            <w:r w:rsidRPr="00361189">
              <w:t>Treatments</w:t>
            </w:r>
          </w:p>
        </w:tc>
        <w:tc>
          <w:tcPr>
            <w:tcW w:w="2490" w:type="pct"/>
            <w:gridSpan w:val="2"/>
            <w:shd w:val="clear" w:color="auto" w:fill="auto"/>
            <w:vAlign w:val="center"/>
          </w:tcPr>
          <w:p w:rsidR="00712FC1" w:rsidRPr="00361189" w:rsidRDefault="00712FC1" w:rsidP="000E5DE6">
            <w:pPr>
              <w:pStyle w:val="TableText0"/>
              <w:keepLines/>
              <w:jc w:val="center"/>
            </w:pPr>
            <w:r w:rsidRPr="00361189">
              <w:t>Pre-symptomatic initiation of treatment with nusinersen versus Standard of care /symptomatic initiation</w:t>
            </w:r>
          </w:p>
        </w:tc>
        <w:tc>
          <w:tcPr>
            <w:tcW w:w="1937" w:type="pct"/>
            <w:vAlign w:val="center"/>
          </w:tcPr>
          <w:p w:rsidR="00712FC1" w:rsidRPr="00361189" w:rsidRDefault="00712FC1" w:rsidP="000E5DE6">
            <w:pPr>
              <w:pStyle w:val="TableText0"/>
              <w:keepLines/>
            </w:pPr>
            <w:r w:rsidRPr="00361189">
              <w:t xml:space="preserve">Appropriate </w:t>
            </w:r>
          </w:p>
        </w:tc>
      </w:tr>
      <w:tr w:rsidR="00712FC1" w:rsidRPr="00361189" w:rsidTr="002406D3">
        <w:tc>
          <w:tcPr>
            <w:tcW w:w="573" w:type="pct"/>
            <w:shd w:val="clear" w:color="auto" w:fill="auto"/>
            <w:vAlign w:val="center"/>
          </w:tcPr>
          <w:p w:rsidR="00712FC1" w:rsidRPr="00361189" w:rsidRDefault="00712FC1" w:rsidP="000E5DE6">
            <w:pPr>
              <w:pStyle w:val="TableText0"/>
              <w:keepLines/>
            </w:pPr>
            <w:r w:rsidRPr="00361189">
              <w:t>Time horizon</w:t>
            </w:r>
          </w:p>
        </w:tc>
        <w:tc>
          <w:tcPr>
            <w:tcW w:w="1703" w:type="pct"/>
            <w:shd w:val="clear" w:color="auto" w:fill="auto"/>
            <w:vAlign w:val="center"/>
          </w:tcPr>
          <w:p w:rsidR="00712FC1" w:rsidRPr="00361189" w:rsidRDefault="00712FC1" w:rsidP="000E5DE6">
            <w:pPr>
              <w:pStyle w:val="TableText0"/>
              <w:keepLines/>
            </w:pPr>
            <w:r w:rsidRPr="00361189">
              <w:t>20 years in model vs median 2.8 years (33.8 months) in NU</w:t>
            </w:r>
            <w:r w:rsidR="00E016F6" w:rsidRPr="00361189">
              <w:t>R</w:t>
            </w:r>
            <w:r w:rsidRPr="00361189">
              <w:t>TURE</w:t>
            </w:r>
          </w:p>
        </w:tc>
        <w:tc>
          <w:tcPr>
            <w:tcW w:w="786" w:type="pct"/>
            <w:vAlign w:val="center"/>
          </w:tcPr>
          <w:p w:rsidR="00712FC1" w:rsidRPr="00361189" w:rsidRDefault="00712FC1" w:rsidP="000E5DE6">
            <w:pPr>
              <w:pStyle w:val="TableText0"/>
              <w:keepLines/>
            </w:pPr>
            <w:r w:rsidRPr="00361189">
              <w:rPr>
                <w:rFonts w:cs="Times New Roman"/>
              </w:rPr>
              <w:t>80 years in the model vs 27.1 months in NURTURE</w:t>
            </w:r>
          </w:p>
        </w:tc>
        <w:tc>
          <w:tcPr>
            <w:tcW w:w="1937" w:type="pct"/>
          </w:tcPr>
          <w:p w:rsidR="00712FC1" w:rsidRPr="00361189" w:rsidRDefault="00E35EF9" w:rsidP="000E5DE6">
            <w:pPr>
              <w:pStyle w:val="TableText0"/>
              <w:keepLines/>
            </w:pPr>
            <w:r w:rsidRPr="00361189">
              <w:t>S</w:t>
            </w:r>
            <w:r w:rsidR="00712FC1" w:rsidRPr="00361189">
              <w:t xml:space="preserve">till likely to be optimistic, given that </w:t>
            </w:r>
            <w:r w:rsidRPr="00361189">
              <w:t xml:space="preserve">estimated </w:t>
            </w:r>
            <w:r w:rsidR="00712FC1" w:rsidRPr="00361189">
              <w:t>life expectancy in Type I SMA (which forms 89% of the estimated cohort) is only two years</w:t>
            </w:r>
            <w:r w:rsidRPr="00361189">
              <w:t xml:space="preserve"> (</w:t>
            </w:r>
            <w:r w:rsidR="00F72FC2" w:rsidRPr="00361189">
              <w:t>Table 4</w:t>
            </w:r>
            <w:r w:rsidRPr="00361189">
              <w:t>)</w:t>
            </w:r>
            <w:r w:rsidR="00361189">
              <w:t xml:space="preserve">. </w:t>
            </w:r>
          </w:p>
        </w:tc>
      </w:tr>
      <w:tr w:rsidR="00712FC1" w:rsidRPr="00361189" w:rsidTr="002406D3">
        <w:tc>
          <w:tcPr>
            <w:tcW w:w="573" w:type="pct"/>
            <w:shd w:val="clear" w:color="auto" w:fill="auto"/>
            <w:vAlign w:val="center"/>
          </w:tcPr>
          <w:p w:rsidR="00712FC1" w:rsidRPr="00361189" w:rsidRDefault="00712FC1" w:rsidP="000E5DE6">
            <w:pPr>
              <w:pStyle w:val="TableText0"/>
              <w:keepLines/>
            </w:pPr>
            <w:r w:rsidRPr="00361189">
              <w:t>Outcomes</w:t>
            </w:r>
          </w:p>
        </w:tc>
        <w:tc>
          <w:tcPr>
            <w:tcW w:w="2490" w:type="pct"/>
            <w:gridSpan w:val="2"/>
            <w:shd w:val="clear" w:color="auto" w:fill="auto"/>
            <w:vAlign w:val="center"/>
          </w:tcPr>
          <w:p w:rsidR="00712FC1" w:rsidRPr="00361189" w:rsidRDefault="00712FC1" w:rsidP="000E5DE6">
            <w:pPr>
              <w:pStyle w:val="TableText0"/>
              <w:keepLines/>
            </w:pPr>
            <w:r w:rsidRPr="00361189">
              <w:t>Quality adjusted life years (QALY)</w:t>
            </w:r>
          </w:p>
        </w:tc>
        <w:tc>
          <w:tcPr>
            <w:tcW w:w="1937" w:type="pct"/>
          </w:tcPr>
          <w:p w:rsidR="00712FC1" w:rsidRPr="00361189" w:rsidRDefault="00712FC1" w:rsidP="000E5DE6">
            <w:pPr>
              <w:pStyle w:val="TableText0"/>
              <w:keepLines/>
            </w:pPr>
            <w:r w:rsidRPr="00361189">
              <w:t xml:space="preserve">Reasonable </w:t>
            </w:r>
          </w:p>
        </w:tc>
      </w:tr>
      <w:tr w:rsidR="00712FC1" w:rsidRPr="00361189" w:rsidTr="00F72FC2">
        <w:tc>
          <w:tcPr>
            <w:tcW w:w="573" w:type="pct"/>
            <w:shd w:val="clear" w:color="auto" w:fill="auto"/>
            <w:vAlign w:val="center"/>
          </w:tcPr>
          <w:p w:rsidR="00712FC1" w:rsidRPr="00361189" w:rsidRDefault="00E35EF9" w:rsidP="00F72FC2">
            <w:pPr>
              <w:pStyle w:val="TableText0"/>
              <w:keepNext w:val="0"/>
              <w:keepLines/>
            </w:pPr>
            <w:r w:rsidRPr="00361189">
              <w:t xml:space="preserve">Method </w:t>
            </w:r>
            <w:r w:rsidR="00712FC1" w:rsidRPr="00361189">
              <w:t>to generate results</w:t>
            </w:r>
          </w:p>
        </w:tc>
        <w:tc>
          <w:tcPr>
            <w:tcW w:w="1703" w:type="pct"/>
            <w:shd w:val="clear" w:color="auto" w:fill="auto"/>
            <w:vAlign w:val="center"/>
          </w:tcPr>
          <w:p w:rsidR="00712FC1" w:rsidRPr="00361189" w:rsidRDefault="00712FC1" w:rsidP="00F72FC2">
            <w:pPr>
              <w:pStyle w:val="TableText0"/>
              <w:keepNext w:val="0"/>
              <w:keepLines/>
            </w:pPr>
            <w:r w:rsidRPr="00361189">
              <w:t>Cohort based (Markov) state transition model</w:t>
            </w:r>
          </w:p>
        </w:tc>
        <w:tc>
          <w:tcPr>
            <w:tcW w:w="786" w:type="pct"/>
            <w:vAlign w:val="center"/>
          </w:tcPr>
          <w:p w:rsidR="00712FC1" w:rsidRPr="00361189" w:rsidRDefault="00712FC1" w:rsidP="00F72FC2">
            <w:pPr>
              <w:pStyle w:val="TableText0"/>
              <w:keepNext w:val="0"/>
              <w:keepLines/>
            </w:pPr>
            <w:r w:rsidRPr="00361189">
              <w:t>Cohort expected value</w:t>
            </w:r>
          </w:p>
        </w:tc>
        <w:tc>
          <w:tcPr>
            <w:tcW w:w="1937" w:type="pct"/>
            <w:vAlign w:val="center"/>
          </w:tcPr>
          <w:p w:rsidR="00712FC1" w:rsidRPr="00361189" w:rsidRDefault="00712FC1" w:rsidP="00F72FC2">
            <w:pPr>
              <w:pStyle w:val="TableText0"/>
              <w:keepNext w:val="0"/>
              <w:keepLines/>
            </w:pPr>
            <w:r w:rsidRPr="00361189">
              <w:t>Reasonable</w:t>
            </w:r>
          </w:p>
        </w:tc>
      </w:tr>
      <w:tr w:rsidR="00712FC1" w:rsidRPr="00361189" w:rsidTr="00F72FC2">
        <w:tc>
          <w:tcPr>
            <w:tcW w:w="573" w:type="pct"/>
            <w:shd w:val="clear" w:color="auto" w:fill="auto"/>
            <w:vAlign w:val="center"/>
          </w:tcPr>
          <w:p w:rsidR="00712FC1" w:rsidRPr="00361189" w:rsidRDefault="00712FC1" w:rsidP="00EA528F">
            <w:pPr>
              <w:pStyle w:val="TableText0"/>
              <w:keepNext w:val="0"/>
            </w:pPr>
            <w:r w:rsidRPr="00361189">
              <w:t>Health states</w:t>
            </w:r>
          </w:p>
        </w:tc>
        <w:tc>
          <w:tcPr>
            <w:tcW w:w="1703" w:type="pct"/>
            <w:shd w:val="clear" w:color="auto" w:fill="auto"/>
            <w:vAlign w:val="center"/>
          </w:tcPr>
          <w:p w:rsidR="00712FC1" w:rsidRPr="00361189" w:rsidRDefault="00712FC1" w:rsidP="00EA528F">
            <w:pPr>
              <w:pStyle w:val="TableText0"/>
              <w:keepNext w:val="0"/>
            </w:pPr>
            <w:r w:rsidRPr="00361189">
              <w:t xml:space="preserve">13 health states in total: Assume that all patients in model will develop </w:t>
            </w:r>
            <w:r w:rsidR="00E35EF9" w:rsidRPr="00361189">
              <w:t xml:space="preserve">SMA </w:t>
            </w:r>
            <w:r w:rsidRPr="00361189">
              <w:t xml:space="preserve">Type I, Type II, Type IIIa </w:t>
            </w:r>
            <w:r w:rsidR="00E35EF9" w:rsidRPr="00361189">
              <w:t xml:space="preserve">or </w:t>
            </w:r>
            <w:r w:rsidRPr="00361189">
              <w:t>Type IIIb/IV. Within each type, patients may be</w:t>
            </w:r>
          </w:p>
          <w:p w:rsidR="00712FC1" w:rsidRPr="00361189" w:rsidRDefault="00712FC1" w:rsidP="00EA528F">
            <w:pPr>
              <w:pStyle w:val="TableText0"/>
              <w:keepNext w:val="0"/>
            </w:pPr>
            <w:r w:rsidRPr="00361189">
              <w:t>i) asymptomatic and treated;</w:t>
            </w:r>
          </w:p>
          <w:p w:rsidR="00712FC1" w:rsidRPr="00361189" w:rsidRDefault="00712FC1" w:rsidP="00EA528F">
            <w:pPr>
              <w:pStyle w:val="TableText0"/>
              <w:keepNext w:val="0"/>
            </w:pPr>
            <w:r w:rsidRPr="00361189">
              <w:t>ii) asymptomatic and untreated; or</w:t>
            </w:r>
          </w:p>
          <w:p w:rsidR="00104C68" w:rsidRPr="00361189" w:rsidRDefault="00712FC1" w:rsidP="00EA528F">
            <w:pPr>
              <w:pStyle w:val="TableText0"/>
              <w:keepNext w:val="0"/>
            </w:pPr>
            <w:r w:rsidRPr="00361189">
              <w:t>iii) symptomatic and treated.</w:t>
            </w:r>
          </w:p>
          <w:p w:rsidR="00712FC1" w:rsidRPr="00361189" w:rsidRDefault="00B01FB7" w:rsidP="00EA528F">
            <w:pPr>
              <w:pStyle w:val="TableText0"/>
              <w:keepNext w:val="0"/>
            </w:pPr>
            <w:r w:rsidRPr="00361189">
              <w:t xml:space="preserve">This results in </w:t>
            </w:r>
            <w:r w:rsidR="00E35EF9" w:rsidRPr="00361189">
              <w:t>a total of 12 health states plus</w:t>
            </w:r>
            <w:r w:rsidR="00712FC1" w:rsidRPr="00361189">
              <w:t xml:space="preserve"> </w:t>
            </w:r>
            <w:r w:rsidR="00E35EF9" w:rsidRPr="00361189">
              <w:t>death a</w:t>
            </w:r>
            <w:r w:rsidR="00712FC1" w:rsidRPr="00361189">
              <w:t>s an absorbing health state.</w:t>
            </w:r>
          </w:p>
        </w:tc>
        <w:tc>
          <w:tcPr>
            <w:tcW w:w="786" w:type="pct"/>
            <w:vAlign w:val="center"/>
          </w:tcPr>
          <w:p w:rsidR="00712FC1" w:rsidRPr="00361189" w:rsidRDefault="00712FC1" w:rsidP="00EA528F">
            <w:pPr>
              <w:pStyle w:val="TableText0"/>
              <w:keepNext w:val="0"/>
            </w:pPr>
            <w:r w:rsidRPr="00361189">
              <w:t>None</w:t>
            </w:r>
          </w:p>
        </w:tc>
        <w:tc>
          <w:tcPr>
            <w:tcW w:w="1937" w:type="pct"/>
          </w:tcPr>
          <w:p w:rsidR="00712FC1" w:rsidRPr="00361189" w:rsidRDefault="00712FC1" w:rsidP="00EA528F">
            <w:pPr>
              <w:pStyle w:val="TableText0"/>
              <w:keepNext w:val="0"/>
            </w:pPr>
            <w:r w:rsidRPr="00361189">
              <w:t xml:space="preserve">Only 9 health states are actually in the resubmission’s model as it was not possible for patients to be in </w:t>
            </w:r>
            <w:r w:rsidR="002F0E1F" w:rsidRPr="00361189">
              <w:t xml:space="preserve">the </w:t>
            </w:r>
            <w:r w:rsidRPr="00361189">
              <w:t>‘asymptomatic and untreated’ state in the pre-symptomatic initiation arm or for patients to be in</w:t>
            </w:r>
            <w:r w:rsidR="002F0E1F" w:rsidRPr="00361189">
              <w:t xml:space="preserve"> the</w:t>
            </w:r>
            <w:r w:rsidRPr="00361189">
              <w:t xml:space="preserve"> ‘asymptomatic and treated’ state in</w:t>
            </w:r>
            <w:r w:rsidR="002F0E1F" w:rsidRPr="00361189">
              <w:t xml:space="preserve"> the</w:t>
            </w:r>
            <w:r w:rsidRPr="00361189">
              <w:t xml:space="preserve"> SoC arm. May not be reasonable to exclude ‘untreated and symptomatic’ as a health state</w:t>
            </w:r>
            <w:r w:rsidR="00E35EF9" w:rsidRPr="00361189">
              <w:t xml:space="preserve"> in SoC</w:t>
            </w:r>
            <w:r w:rsidRPr="00361189">
              <w:t>, given that there is often a delay between symptom onset and diagnosis/treatment</w:t>
            </w:r>
            <w:r w:rsidR="00361189">
              <w:t xml:space="preserve">. </w:t>
            </w:r>
            <w:r w:rsidRPr="00361189">
              <w:t xml:space="preserve"> </w:t>
            </w:r>
          </w:p>
        </w:tc>
      </w:tr>
      <w:tr w:rsidR="00712FC1" w:rsidRPr="00361189" w:rsidTr="002406D3">
        <w:tc>
          <w:tcPr>
            <w:tcW w:w="573" w:type="pct"/>
            <w:shd w:val="clear" w:color="auto" w:fill="auto"/>
            <w:vAlign w:val="center"/>
          </w:tcPr>
          <w:p w:rsidR="00712FC1" w:rsidRPr="00361189" w:rsidRDefault="00712FC1" w:rsidP="00F72FC2">
            <w:pPr>
              <w:pStyle w:val="TableText0"/>
              <w:keepNext w:val="0"/>
              <w:keepLines/>
            </w:pPr>
            <w:r w:rsidRPr="00361189">
              <w:lastRenderedPageBreak/>
              <w:t>Cycle length</w:t>
            </w:r>
          </w:p>
        </w:tc>
        <w:tc>
          <w:tcPr>
            <w:tcW w:w="1703" w:type="pct"/>
            <w:shd w:val="clear" w:color="auto" w:fill="auto"/>
            <w:vAlign w:val="center"/>
          </w:tcPr>
          <w:p w:rsidR="00712FC1" w:rsidRPr="00361189" w:rsidRDefault="00712FC1" w:rsidP="00F72FC2">
            <w:pPr>
              <w:pStyle w:val="TableText0"/>
              <w:keepNext w:val="0"/>
              <w:keepLines/>
            </w:pPr>
            <w:r w:rsidRPr="00361189">
              <w:t>6 months</w:t>
            </w:r>
          </w:p>
        </w:tc>
        <w:tc>
          <w:tcPr>
            <w:tcW w:w="786" w:type="pct"/>
            <w:vAlign w:val="center"/>
          </w:tcPr>
          <w:p w:rsidR="00712FC1" w:rsidRPr="00361189" w:rsidRDefault="00712FC1" w:rsidP="00F72FC2">
            <w:pPr>
              <w:pStyle w:val="TableText0"/>
              <w:keepNext w:val="0"/>
              <w:keepLines/>
            </w:pPr>
            <w:r w:rsidRPr="00361189">
              <w:t>Not applicable</w:t>
            </w:r>
          </w:p>
        </w:tc>
        <w:tc>
          <w:tcPr>
            <w:tcW w:w="1937" w:type="pct"/>
            <w:vAlign w:val="center"/>
          </w:tcPr>
          <w:p w:rsidR="00712FC1" w:rsidRPr="00361189" w:rsidRDefault="00712FC1" w:rsidP="00F72FC2">
            <w:pPr>
              <w:pStyle w:val="TableText0"/>
              <w:keepNext w:val="0"/>
              <w:keepLines/>
            </w:pPr>
            <w:r w:rsidRPr="00361189">
              <w:t>Six monthly cycles may be too long and not sensitive enough to capture the likely rapid progression and deterioration of Type I SMA, which forms 89% of the estimated cohort</w:t>
            </w:r>
            <w:r w:rsidR="00361189">
              <w:t xml:space="preserve">. </w:t>
            </w:r>
            <w:r w:rsidR="00E35EF9" w:rsidRPr="00361189">
              <w:t>C</w:t>
            </w:r>
            <w:r w:rsidRPr="00361189">
              <w:t xml:space="preserve">ycle length is reasonably consistent with the dosing frequency of nusinersen (4 months). </w:t>
            </w:r>
          </w:p>
        </w:tc>
      </w:tr>
      <w:tr w:rsidR="00712FC1" w:rsidRPr="00361189" w:rsidTr="002406D3">
        <w:tc>
          <w:tcPr>
            <w:tcW w:w="573" w:type="pct"/>
            <w:shd w:val="clear" w:color="auto" w:fill="auto"/>
            <w:vAlign w:val="center"/>
          </w:tcPr>
          <w:p w:rsidR="00712FC1" w:rsidRPr="00361189" w:rsidRDefault="00712FC1" w:rsidP="00F72FC2">
            <w:pPr>
              <w:pStyle w:val="TableText0"/>
              <w:keepNext w:val="0"/>
              <w:keepLines/>
            </w:pPr>
            <w:r w:rsidRPr="00361189">
              <w:t>Transition probabilities</w:t>
            </w:r>
          </w:p>
        </w:tc>
        <w:tc>
          <w:tcPr>
            <w:tcW w:w="1703" w:type="pct"/>
            <w:shd w:val="clear" w:color="auto" w:fill="auto"/>
            <w:vAlign w:val="center"/>
          </w:tcPr>
          <w:p w:rsidR="00712FC1" w:rsidRPr="00361189" w:rsidRDefault="00712FC1" w:rsidP="00F72FC2">
            <w:pPr>
              <w:pStyle w:val="TableText0"/>
              <w:keepNext w:val="0"/>
              <w:keepLines/>
            </w:pPr>
            <w:r w:rsidRPr="00361189">
              <w:t xml:space="preserve">Time to transition from </w:t>
            </w:r>
            <w:r w:rsidR="00395A62" w:rsidRPr="00361189">
              <w:t>a</w:t>
            </w:r>
            <w:r w:rsidRPr="00361189">
              <w:t xml:space="preserve">symptomatic </w:t>
            </w:r>
            <w:r w:rsidR="00395A62" w:rsidRPr="00361189">
              <w:t xml:space="preserve">to </w:t>
            </w:r>
            <w:r w:rsidRPr="00361189">
              <w:t>symptomatic was assumed to be fixed. No probabilities were applied.</w:t>
            </w:r>
          </w:p>
          <w:p w:rsidR="00712FC1" w:rsidRPr="00361189" w:rsidRDefault="00712FC1" w:rsidP="00F72FC2">
            <w:pPr>
              <w:pStyle w:val="TableText0"/>
              <w:keepNext w:val="0"/>
              <w:keepLines/>
            </w:pPr>
            <w:r w:rsidRPr="00361189">
              <w:t>Background mortality taken from ABS life tables only.</w:t>
            </w:r>
          </w:p>
        </w:tc>
        <w:tc>
          <w:tcPr>
            <w:tcW w:w="786" w:type="pct"/>
            <w:vAlign w:val="center"/>
          </w:tcPr>
          <w:p w:rsidR="00712FC1" w:rsidRPr="00361189" w:rsidRDefault="00D217E2" w:rsidP="00F72FC2">
            <w:pPr>
              <w:pStyle w:val="TableText0"/>
              <w:keepNext w:val="0"/>
              <w:keepLines/>
            </w:pPr>
            <w:r w:rsidRPr="00361189">
              <w:t>Not applicable</w:t>
            </w:r>
          </w:p>
        </w:tc>
        <w:tc>
          <w:tcPr>
            <w:tcW w:w="1937" w:type="pct"/>
          </w:tcPr>
          <w:p w:rsidR="00712FC1" w:rsidRPr="00361189" w:rsidRDefault="00960438" w:rsidP="00CB2C27">
            <w:pPr>
              <w:pStyle w:val="TableText0"/>
              <w:keepNext w:val="0"/>
              <w:keepLines/>
            </w:pPr>
            <w:r w:rsidRPr="00361189">
              <w:t>Possibly u</w:t>
            </w:r>
            <w:r w:rsidR="002406D3" w:rsidRPr="00361189">
              <w:t>nrealistic</w:t>
            </w:r>
            <w:r w:rsidRPr="00361189">
              <w:t xml:space="preserve"> to have all patients of </w:t>
            </w:r>
            <w:r w:rsidR="002F0E1F" w:rsidRPr="00361189">
              <w:t xml:space="preserve">the </w:t>
            </w:r>
            <w:r w:rsidRPr="00361189">
              <w:t>same type being symptomatic at the same time</w:t>
            </w:r>
            <w:r w:rsidR="00361189">
              <w:t xml:space="preserve">. </w:t>
            </w:r>
            <w:r w:rsidR="002406D3" w:rsidRPr="00361189">
              <w:t>T</w:t>
            </w:r>
            <w:r w:rsidR="00CB2C27" w:rsidRPr="00361189">
              <w:t xml:space="preserve">his does not model </w:t>
            </w:r>
            <w:r w:rsidR="002406D3" w:rsidRPr="00361189">
              <w:t>the degenerative and progressive nature of SMA in the model</w:t>
            </w:r>
            <w:r w:rsidR="00361189">
              <w:t xml:space="preserve">. </w:t>
            </w:r>
          </w:p>
        </w:tc>
      </w:tr>
      <w:tr w:rsidR="002406D3" w:rsidRPr="00361189" w:rsidTr="00F72FC2">
        <w:tc>
          <w:tcPr>
            <w:tcW w:w="573" w:type="pct"/>
            <w:shd w:val="clear" w:color="auto" w:fill="auto"/>
            <w:vAlign w:val="center"/>
          </w:tcPr>
          <w:p w:rsidR="002406D3" w:rsidRPr="00361189" w:rsidRDefault="002406D3" w:rsidP="00F72FC2">
            <w:pPr>
              <w:pStyle w:val="TableText0"/>
              <w:keepNext w:val="0"/>
              <w:keepLines/>
            </w:pPr>
            <w:r w:rsidRPr="00361189">
              <w:t xml:space="preserve">Mortality </w:t>
            </w:r>
          </w:p>
        </w:tc>
        <w:tc>
          <w:tcPr>
            <w:tcW w:w="1703" w:type="pct"/>
            <w:shd w:val="clear" w:color="auto" w:fill="auto"/>
            <w:vAlign w:val="center"/>
          </w:tcPr>
          <w:p w:rsidR="002406D3" w:rsidRPr="00361189" w:rsidRDefault="002406D3" w:rsidP="00F72FC2">
            <w:pPr>
              <w:pStyle w:val="TableText0"/>
              <w:keepNext w:val="0"/>
              <w:keepLines/>
            </w:pPr>
            <w:r w:rsidRPr="00361189">
              <w:rPr>
                <w:szCs w:val="20"/>
              </w:rPr>
              <w:t>As per ABS life tables only. No mortality due to SMA.</w:t>
            </w:r>
          </w:p>
        </w:tc>
        <w:tc>
          <w:tcPr>
            <w:tcW w:w="786" w:type="pct"/>
          </w:tcPr>
          <w:p w:rsidR="002406D3" w:rsidRPr="00361189" w:rsidRDefault="002406D3" w:rsidP="00F72FC2">
            <w:pPr>
              <w:pStyle w:val="TableText0"/>
              <w:keepNext w:val="0"/>
              <w:keepLines/>
            </w:pPr>
            <w:r w:rsidRPr="00361189">
              <w:rPr>
                <w:szCs w:val="20"/>
              </w:rPr>
              <w:t xml:space="preserve">0% until 80 years old then all patients die. </w:t>
            </w:r>
          </w:p>
        </w:tc>
        <w:tc>
          <w:tcPr>
            <w:tcW w:w="1937" w:type="pct"/>
            <w:vAlign w:val="center"/>
          </w:tcPr>
          <w:p w:rsidR="002406D3" w:rsidRPr="00361189" w:rsidRDefault="002406D3" w:rsidP="00F72FC2">
            <w:pPr>
              <w:pStyle w:val="TableText0"/>
              <w:keepNext w:val="0"/>
              <w:keepLines/>
            </w:pPr>
            <w:r w:rsidRPr="00361189">
              <w:t>Inappropriate to not include disease related mortality for SMA, particularly for Type I SMA.</w:t>
            </w:r>
          </w:p>
        </w:tc>
      </w:tr>
      <w:tr w:rsidR="002406D3" w:rsidRPr="00361189" w:rsidTr="00F72FC2">
        <w:tc>
          <w:tcPr>
            <w:tcW w:w="573" w:type="pct"/>
            <w:shd w:val="clear" w:color="auto" w:fill="auto"/>
            <w:vAlign w:val="center"/>
          </w:tcPr>
          <w:p w:rsidR="002406D3" w:rsidRPr="00361189" w:rsidRDefault="002406D3" w:rsidP="00F72FC2">
            <w:pPr>
              <w:pStyle w:val="TableText0"/>
              <w:keepNext w:val="0"/>
              <w:keepLines/>
            </w:pPr>
            <w:r w:rsidRPr="00361189">
              <w:rPr>
                <w:szCs w:val="20"/>
              </w:rPr>
              <w:t>Utilities</w:t>
            </w:r>
          </w:p>
        </w:tc>
        <w:tc>
          <w:tcPr>
            <w:tcW w:w="1703" w:type="pct"/>
            <w:shd w:val="clear" w:color="auto" w:fill="auto"/>
            <w:vAlign w:val="center"/>
          </w:tcPr>
          <w:p w:rsidR="002406D3" w:rsidRPr="00361189" w:rsidRDefault="002406D3" w:rsidP="00F72FC2">
            <w:pPr>
              <w:keepLines/>
              <w:jc w:val="left"/>
              <w:rPr>
                <w:rFonts w:ascii="Arial Narrow" w:hAnsi="Arial Narrow"/>
                <w:sz w:val="20"/>
                <w:szCs w:val="20"/>
              </w:rPr>
            </w:pPr>
            <w:r w:rsidRPr="00361189">
              <w:rPr>
                <w:rFonts w:ascii="Arial Narrow" w:hAnsi="Arial Narrow"/>
                <w:sz w:val="20"/>
                <w:szCs w:val="20"/>
              </w:rPr>
              <w:t>Asymptomatic, untreated = 0.91</w:t>
            </w:r>
          </w:p>
          <w:p w:rsidR="002406D3" w:rsidRPr="00361189" w:rsidRDefault="002406D3" w:rsidP="00F72FC2">
            <w:pPr>
              <w:keepLines/>
              <w:jc w:val="left"/>
              <w:rPr>
                <w:rFonts w:ascii="Arial Narrow" w:hAnsi="Arial Narrow"/>
                <w:sz w:val="20"/>
                <w:szCs w:val="20"/>
              </w:rPr>
            </w:pPr>
            <w:r w:rsidRPr="00361189">
              <w:rPr>
                <w:rFonts w:ascii="Arial Narrow" w:hAnsi="Arial Narrow"/>
                <w:sz w:val="20"/>
                <w:szCs w:val="20"/>
              </w:rPr>
              <w:t>Asymptomatic, treated = 0.91 in Year 1 of treatment, decreasing by 0.01 each year to 0.71 after 20 years of treatment</w:t>
            </w:r>
          </w:p>
          <w:p w:rsidR="002406D3" w:rsidRPr="00361189" w:rsidRDefault="002406D3" w:rsidP="00F72FC2">
            <w:pPr>
              <w:pStyle w:val="TableText0"/>
              <w:keepNext w:val="0"/>
              <w:keepLines/>
            </w:pPr>
            <w:r w:rsidRPr="00361189">
              <w:rPr>
                <w:szCs w:val="20"/>
              </w:rPr>
              <w:t xml:space="preserve">Symptomatic, treated = 0.71 (only applicable to standard of care arm) </w:t>
            </w:r>
          </w:p>
        </w:tc>
        <w:tc>
          <w:tcPr>
            <w:tcW w:w="786" w:type="pct"/>
            <w:vAlign w:val="center"/>
          </w:tcPr>
          <w:p w:rsidR="002406D3" w:rsidRPr="00361189" w:rsidRDefault="002406D3" w:rsidP="00F72FC2">
            <w:pPr>
              <w:keepLines/>
              <w:jc w:val="left"/>
              <w:rPr>
                <w:rFonts w:ascii="Arial Narrow" w:hAnsi="Arial Narrow"/>
                <w:sz w:val="20"/>
                <w:szCs w:val="20"/>
              </w:rPr>
            </w:pPr>
            <w:r w:rsidRPr="00361189">
              <w:rPr>
                <w:rFonts w:ascii="Arial Narrow" w:hAnsi="Arial Narrow"/>
                <w:sz w:val="20"/>
                <w:szCs w:val="20"/>
              </w:rPr>
              <w:t>Pre-symptomatic initiation = 0.91</w:t>
            </w:r>
          </w:p>
          <w:p w:rsidR="002406D3" w:rsidRPr="00361189" w:rsidRDefault="002406D3" w:rsidP="00F72FC2">
            <w:pPr>
              <w:pStyle w:val="TableText0"/>
              <w:keepNext w:val="0"/>
              <w:keepLines/>
              <w:rPr>
                <w:szCs w:val="20"/>
              </w:rPr>
            </w:pPr>
            <w:r w:rsidRPr="00361189">
              <w:rPr>
                <w:szCs w:val="20"/>
              </w:rPr>
              <w:t>Symptomatic treatment = 0.71</w:t>
            </w:r>
          </w:p>
          <w:p w:rsidR="002B7AEF" w:rsidRPr="00361189" w:rsidRDefault="002B7AEF" w:rsidP="00F72FC2">
            <w:pPr>
              <w:pStyle w:val="TableText0"/>
              <w:keepNext w:val="0"/>
              <w:keepLines/>
            </w:pPr>
            <w:r w:rsidRPr="00361189">
              <w:rPr>
                <w:szCs w:val="20"/>
              </w:rPr>
              <w:t>Maintained over 80 year time horizon</w:t>
            </w:r>
          </w:p>
        </w:tc>
        <w:tc>
          <w:tcPr>
            <w:tcW w:w="1937" w:type="pct"/>
          </w:tcPr>
          <w:p w:rsidR="002406D3" w:rsidRPr="00361189" w:rsidRDefault="002406D3" w:rsidP="00A76307">
            <w:pPr>
              <w:pStyle w:val="TableText0"/>
              <w:keepNext w:val="0"/>
              <w:keepLines/>
            </w:pPr>
            <w:r w:rsidRPr="00361189">
              <w:t>More conservative in resubmission but still based on assumption</w:t>
            </w:r>
            <w:r w:rsidR="00AC4578" w:rsidRPr="00361189">
              <w:t xml:space="preserve"> and possibly optimistic</w:t>
            </w:r>
            <w:r w:rsidR="00361189">
              <w:t xml:space="preserve">. </w:t>
            </w:r>
            <w:r w:rsidR="00AC4578" w:rsidRPr="00361189">
              <w:t>The r</w:t>
            </w:r>
            <w:r w:rsidR="00733DB5" w:rsidRPr="00361189">
              <w:t xml:space="preserve">esubmission </w:t>
            </w:r>
            <w:r w:rsidR="00AC4578" w:rsidRPr="00361189">
              <w:t xml:space="preserve">(Figure 3-4, p163) </w:t>
            </w:r>
            <w:r w:rsidR="00733DB5" w:rsidRPr="00361189">
              <w:t xml:space="preserve">argued that </w:t>
            </w:r>
            <w:r w:rsidRPr="00361189">
              <w:t>‘a utility gain of 0.1 or more</w:t>
            </w:r>
            <w:r w:rsidR="00733DB5" w:rsidRPr="00361189">
              <w:t xml:space="preserve"> for pre-symptomatic treatment is considered reasonable’</w:t>
            </w:r>
            <w:r w:rsidRPr="00361189">
              <w:t xml:space="preserve"> based on the naïve indirect comparison of NURTURE and ENDEAR/SHINE</w:t>
            </w:r>
            <w:r w:rsidR="00733DB5" w:rsidRPr="00361189">
              <w:t xml:space="preserve">, but a more optimistic </w:t>
            </w:r>
            <w:r w:rsidR="00AC4578" w:rsidRPr="00361189">
              <w:t xml:space="preserve">benefit of </w:t>
            </w:r>
            <w:r w:rsidR="00733DB5" w:rsidRPr="00361189">
              <w:t>0.2 was applied in the base case of the model</w:t>
            </w:r>
            <w:r w:rsidR="00361189">
              <w:t xml:space="preserve">. </w:t>
            </w:r>
            <w:r w:rsidR="00E35EF9" w:rsidRPr="00361189">
              <w:t xml:space="preserve">Assumption of incremental utility </w:t>
            </w:r>
            <w:r w:rsidR="00DB2EEA" w:rsidRPr="00361189">
              <w:t xml:space="preserve">gain </w:t>
            </w:r>
            <w:r w:rsidR="00E35EF9" w:rsidRPr="00361189">
              <w:t>is key driver of the model (</w:t>
            </w:r>
            <w:r w:rsidR="006A4564" w:rsidRPr="00361189">
              <w:t>Table 11, Table 13</w:t>
            </w:r>
            <w:r w:rsidR="00E35EF9" w:rsidRPr="00361189">
              <w:t>)</w:t>
            </w:r>
          </w:p>
        </w:tc>
      </w:tr>
      <w:tr w:rsidR="002406D3" w:rsidRPr="00361189" w:rsidTr="00F72FC2">
        <w:tc>
          <w:tcPr>
            <w:tcW w:w="573" w:type="pct"/>
            <w:shd w:val="clear" w:color="auto" w:fill="auto"/>
            <w:vAlign w:val="center"/>
          </w:tcPr>
          <w:p w:rsidR="002406D3" w:rsidRPr="00361189" w:rsidRDefault="002406D3" w:rsidP="00F72FC2">
            <w:pPr>
              <w:pStyle w:val="TableText0"/>
              <w:keepNext w:val="0"/>
              <w:keepLines/>
            </w:pPr>
            <w:r w:rsidRPr="00361189">
              <w:rPr>
                <w:szCs w:val="20"/>
              </w:rPr>
              <w:t>Other health care costs</w:t>
            </w:r>
          </w:p>
        </w:tc>
        <w:tc>
          <w:tcPr>
            <w:tcW w:w="1703" w:type="pct"/>
            <w:shd w:val="clear" w:color="auto" w:fill="auto"/>
            <w:vAlign w:val="center"/>
          </w:tcPr>
          <w:p w:rsidR="002406D3" w:rsidRPr="00361189" w:rsidRDefault="002406D3" w:rsidP="00F72FC2">
            <w:pPr>
              <w:keepLines/>
              <w:spacing w:after="40"/>
              <w:jc w:val="left"/>
              <w:rPr>
                <w:rFonts w:ascii="Arial Narrow" w:hAnsi="Arial Narrow"/>
                <w:sz w:val="20"/>
                <w:szCs w:val="20"/>
              </w:rPr>
            </w:pPr>
            <w:r w:rsidRPr="00361189">
              <w:rPr>
                <w:rFonts w:ascii="Arial Narrow" w:hAnsi="Arial Narrow"/>
                <w:sz w:val="20"/>
                <w:szCs w:val="20"/>
              </w:rPr>
              <w:t>Standard of care arm: $7,190 per cycle when symptomatic</w:t>
            </w:r>
          </w:p>
          <w:p w:rsidR="002406D3" w:rsidRPr="00361189" w:rsidRDefault="002406D3" w:rsidP="007D32B7">
            <w:pPr>
              <w:pStyle w:val="TableText0"/>
              <w:keepNext w:val="0"/>
              <w:keepLines/>
            </w:pPr>
            <w:r w:rsidRPr="00361189">
              <w:rPr>
                <w:szCs w:val="20"/>
              </w:rPr>
              <w:t xml:space="preserve">Asymptomatic treatment arm: $5,752 </w:t>
            </w:r>
            <w:r w:rsidR="00733DB5" w:rsidRPr="00361189">
              <w:rPr>
                <w:szCs w:val="20"/>
              </w:rPr>
              <w:t>(</w:t>
            </w:r>
            <w:r w:rsidR="00655E1E" w:rsidRPr="00361189">
              <w:rPr>
                <w:szCs w:val="20"/>
              </w:rPr>
              <w:t>a</w:t>
            </w:r>
            <w:r w:rsidR="00AC4578" w:rsidRPr="00361189">
              <w:rPr>
                <w:szCs w:val="20"/>
              </w:rPr>
              <w:t xml:space="preserve">ssumed </w:t>
            </w:r>
            <w:r w:rsidR="00733DB5" w:rsidRPr="00361189">
              <w:rPr>
                <w:szCs w:val="20"/>
              </w:rPr>
              <w:t xml:space="preserve">20% reduction from standard of care arm) </w:t>
            </w:r>
            <w:r w:rsidRPr="00361189">
              <w:rPr>
                <w:szCs w:val="20"/>
              </w:rPr>
              <w:t xml:space="preserve">for first cycle </w:t>
            </w:r>
            <w:r w:rsidR="007D32B7" w:rsidRPr="00361189">
              <w:rPr>
                <w:szCs w:val="20"/>
              </w:rPr>
              <w:t>after becoming</w:t>
            </w:r>
            <w:r w:rsidRPr="00361189">
              <w:rPr>
                <w:szCs w:val="20"/>
              </w:rPr>
              <w:t xml:space="preserve"> symptomatic, increasing by $36 each cycle until $7,190</w:t>
            </w:r>
          </w:p>
        </w:tc>
        <w:tc>
          <w:tcPr>
            <w:tcW w:w="786" w:type="pct"/>
            <w:vAlign w:val="center"/>
          </w:tcPr>
          <w:p w:rsidR="002406D3" w:rsidRPr="00361189" w:rsidRDefault="002406D3" w:rsidP="00F72FC2">
            <w:pPr>
              <w:keepLines/>
              <w:spacing w:after="40"/>
              <w:jc w:val="left"/>
              <w:rPr>
                <w:rFonts w:ascii="Arial Narrow" w:hAnsi="Arial Narrow"/>
                <w:sz w:val="20"/>
                <w:szCs w:val="20"/>
              </w:rPr>
            </w:pPr>
            <w:r w:rsidRPr="00361189">
              <w:rPr>
                <w:rFonts w:ascii="Arial Narrow" w:hAnsi="Arial Narrow"/>
                <w:sz w:val="20"/>
                <w:szCs w:val="20"/>
              </w:rPr>
              <w:t>Pre-symptomatic initiation:</w:t>
            </w:r>
          </w:p>
          <w:p w:rsidR="002406D3" w:rsidRPr="00361189" w:rsidRDefault="002406D3" w:rsidP="00F72FC2">
            <w:pPr>
              <w:keepLines/>
              <w:spacing w:after="40"/>
              <w:jc w:val="left"/>
            </w:pPr>
            <w:r w:rsidRPr="00361189">
              <w:rPr>
                <w:rFonts w:ascii="Arial Narrow" w:hAnsi="Arial Narrow"/>
                <w:sz w:val="20"/>
                <w:szCs w:val="20"/>
              </w:rPr>
              <w:t xml:space="preserve">$4,380 healthcare related </w:t>
            </w:r>
            <w:r w:rsidR="00F21A54" w:rsidRPr="00361189">
              <w:rPr>
                <w:rFonts w:ascii="Arial Narrow" w:hAnsi="Arial Narrow"/>
                <w:sz w:val="20"/>
                <w:szCs w:val="20"/>
              </w:rPr>
              <w:t>and</w:t>
            </w:r>
            <w:r w:rsidR="00E35EF9" w:rsidRPr="00361189">
              <w:rPr>
                <w:rFonts w:ascii="Arial Narrow" w:hAnsi="Arial Narrow"/>
                <w:sz w:val="20"/>
                <w:szCs w:val="20"/>
              </w:rPr>
              <w:t xml:space="preserve"> </w:t>
            </w:r>
            <w:r w:rsidRPr="00361189">
              <w:rPr>
                <w:rFonts w:ascii="Arial Narrow" w:hAnsi="Arial Narrow"/>
                <w:sz w:val="20"/>
                <w:szCs w:val="20"/>
              </w:rPr>
              <w:t>$14,944 non-health care savings per annum</w:t>
            </w:r>
          </w:p>
        </w:tc>
        <w:tc>
          <w:tcPr>
            <w:tcW w:w="1937" w:type="pct"/>
            <w:vAlign w:val="center"/>
          </w:tcPr>
          <w:p w:rsidR="002406D3" w:rsidRPr="00361189" w:rsidRDefault="00E35EF9" w:rsidP="006A4564">
            <w:pPr>
              <w:pStyle w:val="TableText0"/>
              <w:keepNext w:val="0"/>
              <w:keepLines/>
            </w:pPr>
            <w:r w:rsidRPr="00361189">
              <w:t>More conservative in re</w:t>
            </w:r>
            <w:r w:rsidR="006A4564" w:rsidRPr="00361189">
              <w:t xml:space="preserve">submission, but still based on </w:t>
            </w:r>
            <w:r w:rsidRPr="00361189">
              <w:t>assumption</w:t>
            </w:r>
            <w:r w:rsidR="00361189">
              <w:t xml:space="preserve">. </w:t>
            </w:r>
            <w:r w:rsidRPr="00361189">
              <w:t>Has only minor/moderate impact on ICER (</w:t>
            </w:r>
            <w:r w:rsidR="006A4564" w:rsidRPr="00361189">
              <w:t>Table 13 and Table 15</w:t>
            </w:r>
            <w:r w:rsidRPr="00361189">
              <w:t xml:space="preserve">) </w:t>
            </w:r>
          </w:p>
        </w:tc>
      </w:tr>
      <w:tr w:rsidR="00AA382D" w:rsidRPr="00361189" w:rsidTr="002406D3">
        <w:tc>
          <w:tcPr>
            <w:tcW w:w="573" w:type="pct"/>
            <w:shd w:val="clear" w:color="auto" w:fill="auto"/>
          </w:tcPr>
          <w:p w:rsidR="00AA382D" w:rsidRPr="00361189" w:rsidRDefault="00AA382D" w:rsidP="00F72FC2">
            <w:pPr>
              <w:pStyle w:val="TableText0"/>
              <w:keepNext w:val="0"/>
              <w:keepLines/>
              <w:rPr>
                <w:szCs w:val="20"/>
              </w:rPr>
            </w:pPr>
            <w:r w:rsidRPr="00361189">
              <w:rPr>
                <w:szCs w:val="20"/>
              </w:rPr>
              <w:t>Proportion of each SMA type in cohort</w:t>
            </w:r>
          </w:p>
        </w:tc>
        <w:tc>
          <w:tcPr>
            <w:tcW w:w="1703" w:type="pct"/>
            <w:shd w:val="clear" w:color="auto" w:fill="auto"/>
            <w:vAlign w:val="center"/>
          </w:tcPr>
          <w:p w:rsidR="00AA382D" w:rsidRPr="00361189" w:rsidRDefault="00AA382D" w:rsidP="00F72FC2">
            <w:pPr>
              <w:keepLines/>
              <w:spacing w:after="40"/>
              <w:jc w:val="left"/>
              <w:rPr>
                <w:rFonts w:ascii="Arial Narrow" w:hAnsi="Arial Narrow"/>
                <w:sz w:val="20"/>
                <w:szCs w:val="20"/>
              </w:rPr>
            </w:pPr>
            <w:r w:rsidRPr="00361189">
              <w:rPr>
                <w:rFonts w:ascii="Arial Narrow" w:hAnsi="Arial Narrow"/>
                <w:sz w:val="20"/>
                <w:szCs w:val="20"/>
              </w:rPr>
              <w:t>Type I: 89.56%</w:t>
            </w:r>
          </w:p>
          <w:p w:rsidR="00AA382D" w:rsidRPr="00361189" w:rsidRDefault="00AA382D" w:rsidP="00F72FC2">
            <w:pPr>
              <w:keepLines/>
              <w:spacing w:after="40"/>
              <w:jc w:val="left"/>
              <w:rPr>
                <w:rFonts w:ascii="Arial Narrow" w:hAnsi="Arial Narrow"/>
                <w:sz w:val="20"/>
                <w:szCs w:val="20"/>
              </w:rPr>
            </w:pPr>
            <w:r w:rsidRPr="00361189">
              <w:rPr>
                <w:rFonts w:ascii="Arial Narrow" w:hAnsi="Arial Narrow"/>
                <w:sz w:val="20"/>
                <w:szCs w:val="20"/>
              </w:rPr>
              <w:t>Type II: 7.63%</w:t>
            </w:r>
          </w:p>
          <w:p w:rsidR="00AA382D" w:rsidRPr="00361189" w:rsidRDefault="00AA382D" w:rsidP="00F72FC2">
            <w:pPr>
              <w:keepLines/>
              <w:spacing w:after="40"/>
              <w:jc w:val="left"/>
              <w:rPr>
                <w:rFonts w:ascii="Arial Narrow" w:hAnsi="Arial Narrow"/>
                <w:sz w:val="20"/>
                <w:szCs w:val="20"/>
              </w:rPr>
            </w:pPr>
            <w:r w:rsidRPr="00361189">
              <w:rPr>
                <w:rFonts w:ascii="Arial Narrow" w:hAnsi="Arial Narrow"/>
                <w:sz w:val="20"/>
                <w:szCs w:val="20"/>
              </w:rPr>
              <w:t>Type III: 0.80%</w:t>
            </w:r>
          </w:p>
          <w:p w:rsidR="00AA382D" w:rsidRPr="00361189" w:rsidRDefault="00AA382D" w:rsidP="00F72FC2">
            <w:pPr>
              <w:keepLines/>
              <w:spacing w:after="40"/>
              <w:jc w:val="left"/>
              <w:rPr>
                <w:rFonts w:ascii="Arial Narrow" w:hAnsi="Arial Narrow"/>
                <w:sz w:val="20"/>
                <w:szCs w:val="20"/>
              </w:rPr>
            </w:pPr>
            <w:r w:rsidRPr="00361189">
              <w:rPr>
                <w:rFonts w:ascii="Arial Narrow" w:hAnsi="Arial Narrow"/>
                <w:sz w:val="20"/>
                <w:szCs w:val="20"/>
              </w:rPr>
              <w:t xml:space="preserve">Type IV: </w:t>
            </w:r>
            <w:r w:rsidR="00752BA6" w:rsidRPr="00361189">
              <w:rPr>
                <w:rFonts w:ascii="Arial Narrow" w:hAnsi="Arial Narrow"/>
                <w:sz w:val="20"/>
                <w:szCs w:val="20"/>
              </w:rPr>
              <w:t>2.01%</w:t>
            </w:r>
          </w:p>
        </w:tc>
        <w:tc>
          <w:tcPr>
            <w:tcW w:w="786" w:type="pct"/>
            <w:vAlign w:val="center"/>
          </w:tcPr>
          <w:p w:rsidR="00752BA6" w:rsidRPr="00361189" w:rsidRDefault="00752BA6" w:rsidP="00F72FC2">
            <w:pPr>
              <w:keepLines/>
              <w:spacing w:after="40"/>
              <w:jc w:val="left"/>
              <w:rPr>
                <w:rFonts w:ascii="Arial Narrow" w:hAnsi="Arial Narrow"/>
                <w:sz w:val="20"/>
                <w:szCs w:val="20"/>
              </w:rPr>
            </w:pPr>
            <w:r w:rsidRPr="00361189">
              <w:rPr>
                <w:rFonts w:ascii="Arial Narrow" w:hAnsi="Arial Narrow"/>
                <w:sz w:val="20"/>
                <w:szCs w:val="20"/>
              </w:rPr>
              <w:t>Type I: 52.07%</w:t>
            </w:r>
          </w:p>
          <w:p w:rsidR="00752BA6" w:rsidRPr="00361189" w:rsidRDefault="00752BA6" w:rsidP="00F72FC2">
            <w:pPr>
              <w:keepLines/>
              <w:spacing w:after="40"/>
              <w:jc w:val="left"/>
              <w:rPr>
                <w:rFonts w:ascii="Arial Narrow" w:hAnsi="Arial Narrow"/>
                <w:sz w:val="20"/>
                <w:szCs w:val="20"/>
              </w:rPr>
            </w:pPr>
            <w:r w:rsidRPr="00361189">
              <w:rPr>
                <w:rFonts w:ascii="Arial Narrow" w:hAnsi="Arial Narrow"/>
                <w:sz w:val="20"/>
                <w:szCs w:val="20"/>
              </w:rPr>
              <w:t>Type II: 28.65%</w:t>
            </w:r>
          </w:p>
          <w:p w:rsidR="00752BA6" w:rsidRPr="00361189" w:rsidRDefault="00752BA6" w:rsidP="00F72FC2">
            <w:pPr>
              <w:keepLines/>
              <w:spacing w:after="40"/>
              <w:jc w:val="left"/>
              <w:rPr>
                <w:rFonts w:ascii="Arial Narrow" w:hAnsi="Arial Narrow"/>
                <w:sz w:val="20"/>
                <w:szCs w:val="20"/>
              </w:rPr>
            </w:pPr>
            <w:r w:rsidRPr="00361189">
              <w:rPr>
                <w:rFonts w:ascii="Arial Narrow" w:hAnsi="Arial Narrow"/>
                <w:sz w:val="20"/>
                <w:szCs w:val="20"/>
              </w:rPr>
              <w:t>Type III: 13.75%</w:t>
            </w:r>
          </w:p>
          <w:p w:rsidR="00AA382D" w:rsidRPr="00361189" w:rsidRDefault="00752BA6" w:rsidP="00F72FC2">
            <w:pPr>
              <w:keepLines/>
              <w:spacing w:after="40"/>
              <w:jc w:val="left"/>
              <w:rPr>
                <w:rFonts w:ascii="Arial Narrow" w:hAnsi="Arial Narrow"/>
                <w:sz w:val="20"/>
                <w:szCs w:val="20"/>
              </w:rPr>
            </w:pPr>
            <w:r w:rsidRPr="00361189">
              <w:rPr>
                <w:rFonts w:ascii="Arial Narrow" w:hAnsi="Arial Narrow"/>
                <w:sz w:val="20"/>
                <w:szCs w:val="20"/>
              </w:rPr>
              <w:t>Type IV: 5.54%</w:t>
            </w:r>
          </w:p>
        </w:tc>
        <w:tc>
          <w:tcPr>
            <w:tcW w:w="1937" w:type="pct"/>
          </w:tcPr>
          <w:p w:rsidR="00AA382D" w:rsidRPr="00361189" w:rsidRDefault="00752BA6" w:rsidP="00F12217">
            <w:pPr>
              <w:pStyle w:val="TableText0"/>
              <w:keepNext w:val="0"/>
              <w:keepLines/>
              <w:rPr>
                <w:i/>
              </w:rPr>
            </w:pPr>
            <w:r w:rsidRPr="00361189">
              <w:t xml:space="preserve">Differences were due to (i) the change in </w:t>
            </w:r>
            <w:r w:rsidR="00C95FDE" w:rsidRPr="00361189">
              <w:rPr>
                <w:i/>
              </w:rPr>
              <w:t>SMN2</w:t>
            </w:r>
            <w:r w:rsidRPr="00361189">
              <w:t xml:space="preserve"> threshold from ≥3 to ≥2 and (ii) using </w:t>
            </w:r>
            <w:r w:rsidR="00C95FDE" w:rsidRPr="00361189">
              <w:rPr>
                <w:i/>
              </w:rPr>
              <w:t>SMN2</w:t>
            </w:r>
            <w:r w:rsidRPr="00361189">
              <w:t xml:space="preserve"> distribution by SMA type from studies which reported the whole spectrum of SMA types only</w:t>
            </w:r>
            <w:r w:rsidR="00F12217" w:rsidRPr="00361189">
              <w:t xml:space="preserve"> including Type IIIa and IIIb</w:t>
            </w:r>
            <w:r w:rsidRPr="00361189">
              <w:t xml:space="preserve"> (see </w:t>
            </w:r>
            <w:r w:rsidR="00F72FC2" w:rsidRPr="00361189">
              <w:t>Para 6.3</w:t>
            </w:r>
            <w:r w:rsidRPr="00361189">
              <w:t>)</w:t>
            </w:r>
            <w:r w:rsidR="00F72FC2" w:rsidRPr="00361189">
              <w:t>.</w:t>
            </w:r>
          </w:p>
        </w:tc>
      </w:tr>
    </w:tbl>
    <w:p w:rsidR="002406D3" w:rsidRPr="00361189" w:rsidRDefault="002406D3" w:rsidP="00E35EF9">
      <w:pPr>
        <w:pStyle w:val="TableFigureFooter"/>
        <w:keepNext/>
        <w:keepLines/>
        <w:spacing w:after="0"/>
      </w:pPr>
      <w:r w:rsidRPr="00361189">
        <w:t>Source: Table 3-2, p140 of the resubmission, Table 9, p16 nusinersen PSD November 2019</w:t>
      </w:r>
    </w:p>
    <w:p w:rsidR="00F135D3" w:rsidRPr="00361189" w:rsidRDefault="00F135D3" w:rsidP="00F72FC2">
      <w:pPr>
        <w:pStyle w:val="TableFigureFooter"/>
        <w:keepNext/>
        <w:keepLines/>
      </w:pPr>
      <w:r w:rsidRPr="00361189">
        <w:t xml:space="preserve">ES = executive summary, SMA = spinal muscular atrophy, SMN = survival of motor neurone, ICER = incremental cost effectiveness ratio, ABS = Australian Bureau of Statistics  </w:t>
      </w:r>
    </w:p>
    <w:p w:rsidR="00DC62A0" w:rsidRPr="00361189" w:rsidRDefault="00DC62A0" w:rsidP="002406D3">
      <w:pPr>
        <w:pStyle w:val="3-BodyText"/>
      </w:pPr>
      <w:r w:rsidRPr="00361189">
        <w:rPr>
          <w:snapToGrid/>
        </w:rPr>
        <w:t>A diagram of the model presented in the resubmission is presented in</w:t>
      </w:r>
      <w:r w:rsidR="0047167C">
        <w:rPr>
          <w:snapToGrid/>
        </w:rPr>
        <w:t xml:space="preserve"> Figure 3</w:t>
      </w:r>
      <w:r w:rsidR="005955D0" w:rsidRPr="00361189">
        <w:rPr>
          <w:snapToGrid/>
        </w:rPr>
        <w:t>.</w:t>
      </w:r>
      <w:r w:rsidRPr="00361189">
        <w:rPr>
          <w:snapToGrid/>
        </w:rPr>
        <w:t xml:space="preserve"> </w:t>
      </w:r>
    </w:p>
    <w:p w:rsidR="00DC62A0" w:rsidRPr="00361189" w:rsidRDefault="00F72FC2" w:rsidP="00F72FC2">
      <w:pPr>
        <w:keepNext/>
        <w:rPr>
          <w:rFonts w:ascii="Arial Narrow" w:hAnsi="Arial Narrow"/>
          <w:b/>
          <w:sz w:val="20"/>
          <w:szCs w:val="20"/>
        </w:rPr>
      </w:pPr>
      <w:bookmarkStart w:id="40" w:name="_Ref40706881"/>
      <w:r w:rsidRPr="00361189">
        <w:rPr>
          <w:rFonts w:ascii="Arial Narrow" w:hAnsi="Arial Narrow"/>
          <w:b/>
          <w:sz w:val="20"/>
          <w:szCs w:val="20"/>
        </w:rPr>
        <w:lastRenderedPageBreak/>
        <w:t xml:space="preserve">Figure </w:t>
      </w:r>
      <w:bookmarkEnd w:id="40"/>
      <w:r w:rsidR="0047167C">
        <w:rPr>
          <w:rFonts w:ascii="Arial Narrow" w:hAnsi="Arial Narrow"/>
          <w:b/>
          <w:sz w:val="20"/>
          <w:szCs w:val="20"/>
        </w:rPr>
        <w:t>3</w:t>
      </w:r>
      <w:r w:rsidR="00DC62A0" w:rsidRPr="00361189">
        <w:rPr>
          <w:rFonts w:ascii="Arial Narrow" w:hAnsi="Arial Narrow"/>
          <w:b/>
          <w:sz w:val="20"/>
          <w:szCs w:val="20"/>
        </w:rPr>
        <w:t>: Decision tree structure of the economic model</w:t>
      </w:r>
    </w:p>
    <w:p w:rsidR="00DC62A0" w:rsidRPr="00361189" w:rsidRDefault="00635062" w:rsidP="00DC62A0">
      <w:r>
        <w:rPr>
          <w:noProof/>
        </w:rPr>
        <w:drawing>
          <wp:inline distT="0" distB="0" distL="0" distR="0" wp14:anchorId="1763AC07" wp14:editId="7E0A2198">
            <wp:extent cx="5732145" cy="2795905"/>
            <wp:effectExtent l="0" t="0" r="1905" b="4445"/>
            <wp:docPr id="2" name="Picture 2" title="Figure 3: Decision tree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2795905"/>
                    </a:xfrm>
                    <a:prstGeom prst="rect">
                      <a:avLst/>
                    </a:prstGeom>
                  </pic:spPr>
                </pic:pic>
              </a:graphicData>
            </a:graphic>
          </wp:inline>
        </w:drawing>
      </w:r>
    </w:p>
    <w:p w:rsidR="00DC62A0" w:rsidRPr="00361189" w:rsidRDefault="00DC62A0" w:rsidP="00F72FC2">
      <w:pPr>
        <w:spacing w:after="120"/>
        <w:rPr>
          <w:rFonts w:ascii="Arial Narrow" w:hAnsi="Arial Narrow"/>
          <w:sz w:val="18"/>
          <w:szCs w:val="20"/>
        </w:rPr>
      </w:pPr>
      <w:r w:rsidRPr="00361189">
        <w:rPr>
          <w:rFonts w:ascii="Arial Narrow" w:hAnsi="Arial Narrow"/>
          <w:sz w:val="18"/>
          <w:szCs w:val="20"/>
        </w:rPr>
        <w:t>Source: Adapted from Figure 3-1, p143 of the resubmission</w:t>
      </w:r>
    </w:p>
    <w:p w:rsidR="009312AF" w:rsidRPr="00361189" w:rsidRDefault="00C83E50" w:rsidP="00C83E50">
      <w:pPr>
        <w:pStyle w:val="3-BodyText"/>
      </w:pPr>
      <w:r w:rsidRPr="00361189">
        <w:t>Patients start the model at age 0</w:t>
      </w:r>
      <w:r w:rsidR="00361189">
        <w:t xml:space="preserve">. </w:t>
      </w:r>
      <w:r w:rsidRPr="00361189">
        <w:t>All patients in each arm are assumed to have an underlying SMA type and will develop symptoms at a fixed age/cycle, depending on the SMA type</w:t>
      </w:r>
      <w:r w:rsidR="00361189">
        <w:t xml:space="preserve">. </w:t>
      </w:r>
      <w:r w:rsidRPr="00361189">
        <w:t xml:space="preserve">The distribution of patients with each SMA type and the assumed age of onset is summarised in </w:t>
      </w:r>
      <w:r w:rsidR="00EE72BD">
        <w:t>Table 11</w:t>
      </w:r>
      <w:r w:rsidR="00361189">
        <w:t xml:space="preserve">. </w:t>
      </w:r>
      <w:r w:rsidRPr="00361189">
        <w:t xml:space="preserve">It may not be realistic to assume all patients with the same SMA type will be symptomatic at the same time. The ESC considered </w:t>
      </w:r>
      <w:r w:rsidR="00C80726" w:rsidRPr="00361189">
        <w:t xml:space="preserve">this assumption was inconsistent with the progression of SMA across the full clinical spectrum of the disease. </w:t>
      </w:r>
    </w:p>
    <w:p w:rsidR="00DC62A0" w:rsidRPr="00361189" w:rsidRDefault="00F72FC2" w:rsidP="009312AF">
      <w:pPr>
        <w:keepNext/>
        <w:keepLines/>
        <w:rPr>
          <w:rFonts w:ascii="Arial Narrow" w:hAnsi="Arial Narrow"/>
          <w:b/>
          <w:sz w:val="20"/>
          <w:szCs w:val="20"/>
        </w:rPr>
      </w:pPr>
      <w:bookmarkStart w:id="41" w:name="_Ref39364655"/>
      <w:r w:rsidRPr="00361189">
        <w:rPr>
          <w:rFonts w:ascii="Arial Narrow" w:hAnsi="Arial Narrow"/>
          <w:b/>
          <w:sz w:val="20"/>
          <w:szCs w:val="20"/>
        </w:rPr>
        <w:t xml:space="preserve">Table </w:t>
      </w:r>
      <w:bookmarkEnd w:id="41"/>
      <w:r w:rsidR="00EE72BD">
        <w:rPr>
          <w:rFonts w:ascii="Arial Narrow" w:hAnsi="Arial Narrow"/>
          <w:b/>
          <w:sz w:val="20"/>
          <w:szCs w:val="20"/>
        </w:rPr>
        <w:t>11</w:t>
      </w:r>
      <w:r w:rsidR="00DC62A0" w:rsidRPr="00361189">
        <w:rPr>
          <w:rFonts w:ascii="Arial Narrow" w:hAnsi="Arial Narrow"/>
          <w:b/>
          <w:sz w:val="20"/>
          <w:szCs w:val="20"/>
        </w:rPr>
        <w:t>: Proportion of each SMA type and onset of symptoms in model</w:t>
      </w:r>
    </w:p>
    <w:tbl>
      <w:tblPr>
        <w:tblStyle w:val="TableGrid"/>
        <w:tblW w:w="0" w:type="auto"/>
        <w:tblCellMar>
          <w:left w:w="28" w:type="dxa"/>
          <w:right w:w="28" w:type="dxa"/>
        </w:tblCellMar>
        <w:tblLook w:val="04A0" w:firstRow="1" w:lastRow="0" w:firstColumn="1" w:lastColumn="0" w:noHBand="0" w:noVBand="1"/>
        <w:tblCaption w:val="Table 11: Proportion of each SMA type and onset of symptoms in model"/>
      </w:tblPr>
      <w:tblGrid>
        <w:gridCol w:w="2405"/>
        <w:gridCol w:w="1275"/>
        <w:gridCol w:w="1276"/>
        <w:gridCol w:w="1276"/>
        <w:gridCol w:w="2785"/>
      </w:tblGrid>
      <w:tr w:rsidR="00DC62A0" w:rsidRPr="00361189" w:rsidTr="007E5A35">
        <w:trPr>
          <w:tblHeader/>
        </w:trPr>
        <w:tc>
          <w:tcPr>
            <w:tcW w:w="2405" w:type="dxa"/>
            <w:vAlign w:val="center"/>
          </w:tcPr>
          <w:p w:rsidR="00DC62A0" w:rsidRPr="00361189" w:rsidRDefault="00DC62A0" w:rsidP="00752BA6">
            <w:pPr>
              <w:keepNext/>
              <w:keepLines/>
              <w:jc w:val="left"/>
              <w:rPr>
                <w:rFonts w:ascii="Arial Narrow" w:hAnsi="Arial Narrow"/>
                <w:b/>
                <w:sz w:val="20"/>
                <w:szCs w:val="20"/>
              </w:rPr>
            </w:pPr>
            <w:r w:rsidRPr="00361189">
              <w:rPr>
                <w:rFonts w:ascii="Arial Narrow" w:hAnsi="Arial Narrow"/>
                <w:b/>
                <w:sz w:val="20"/>
                <w:szCs w:val="20"/>
              </w:rPr>
              <w:t>SMA type</w:t>
            </w:r>
          </w:p>
        </w:tc>
        <w:tc>
          <w:tcPr>
            <w:tcW w:w="1275" w:type="dxa"/>
            <w:vAlign w:val="center"/>
          </w:tcPr>
          <w:p w:rsidR="00DC62A0" w:rsidRPr="00361189" w:rsidRDefault="00DC62A0" w:rsidP="00752BA6">
            <w:pPr>
              <w:keepNext/>
              <w:keepLines/>
              <w:jc w:val="center"/>
              <w:rPr>
                <w:rFonts w:ascii="Arial Narrow" w:hAnsi="Arial Narrow"/>
                <w:b/>
                <w:sz w:val="20"/>
                <w:szCs w:val="20"/>
              </w:rPr>
            </w:pPr>
            <w:r w:rsidRPr="00361189">
              <w:rPr>
                <w:rFonts w:ascii="Arial Narrow" w:hAnsi="Arial Narrow"/>
                <w:b/>
                <w:sz w:val="20"/>
                <w:szCs w:val="20"/>
              </w:rPr>
              <w:t>Type I</w:t>
            </w:r>
          </w:p>
        </w:tc>
        <w:tc>
          <w:tcPr>
            <w:tcW w:w="1276" w:type="dxa"/>
            <w:vAlign w:val="center"/>
          </w:tcPr>
          <w:p w:rsidR="00DC62A0" w:rsidRPr="00361189" w:rsidRDefault="00DC62A0" w:rsidP="00752BA6">
            <w:pPr>
              <w:keepNext/>
              <w:keepLines/>
              <w:jc w:val="center"/>
              <w:rPr>
                <w:rFonts w:ascii="Arial Narrow" w:hAnsi="Arial Narrow"/>
                <w:b/>
                <w:sz w:val="20"/>
                <w:szCs w:val="20"/>
              </w:rPr>
            </w:pPr>
            <w:r w:rsidRPr="00361189">
              <w:rPr>
                <w:rFonts w:ascii="Arial Narrow" w:hAnsi="Arial Narrow"/>
                <w:b/>
                <w:sz w:val="20"/>
                <w:szCs w:val="20"/>
              </w:rPr>
              <w:t>Type II</w:t>
            </w:r>
          </w:p>
        </w:tc>
        <w:tc>
          <w:tcPr>
            <w:tcW w:w="1276" w:type="dxa"/>
            <w:vAlign w:val="center"/>
          </w:tcPr>
          <w:p w:rsidR="00DC62A0" w:rsidRPr="00361189" w:rsidRDefault="00DC62A0" w:rsidP="00752BA6">
            <w:pPr>
              <w:keepNext/>
              <w:keepLines/>
              <w:jc w:val="center"/>
              <w:rPr>
                <w:rFonts w:ascii="Arial Narrow" w:hAnsi="Arial Narrow"/>
                <w:b/>
                <w:sz w:val="20"/>
                <w:szCs w:val="20"/>
              </w:rPr>
            </w:pPr>
            <w:r w:rsidRPr="00361189">
              <w:rPr>
                <w:rFonts w:ascii="Arial Narrow" w:hAnsi="Arial Narrow"/>
                <w:b/>
                <w:sz w:val="20"/>
                <w:szCs w:val="20"/>
              </w:rPr>
              <w:t>Type IIIa</w:t>
            </w:r>
          </w:p>
        </w:tc>
        <w:tc>
          <w:tcPr>
            <w:tcW w:w="2785" w:type="dxa"/>
          </w:tcPr>
          <w:p w:rsidR="00DC62A0" w:rsidRPr="00361189" w:rsidRDefault="00DC62A0" w:rsidP="00752BA6">
            <w:pPr>
              <w:keepNext/>
              <w:keepLines/>
              <w:rPr>
                <w:rFonts w:ascii="Arial Narrow" w:hAnsi="Arial Narrow"/>
                <w:b/>
                <w:sz w:val="20"/>
                <w:szCs w:val="20"/>
              </w:rPr>
            </w:pPr>
            <w:r w:rsidRPr="00361189">
              <w:rPr>
                <w:rFonts w:ascii="Arial Narrow" w:hAnsi="Arial Narrow"/>
                <w:b/>
                <w:sz w:val="20"/>
                <w:szCs w:val="20"/>
              </w:rPr>
              <w:t>Type IIIb/IV</w:t>
            </w:r>
          </w:p>
        </w:tc>
      </w:tr>
      <w:tr w:rsidR="00DC62A0" w:rsidRPr="00361189" w:rsidTr="00AA382D">
        <w:tc>
          <w:tcPr>
            <w:tcW w:w="2405" w:type="dxa"/>
            <w:vAlign w:val="center"/>
          </w:tcPr>
          <w:p w:rsidR="00DC62A0" w:rsidRPr="00361189" w:rsidRDefault="00DC62A0" w:rsidP="00752BA6">
            <w:pPr>
              <w:keepNext/>
              <w:keepLines/>
              <w:jc w:val="left"/>
              <w:rPr>
                <w:rFonts w:ascii="Arial Narrow" w:hAnsi="Arial Narrow"/>
                <w:sz w:val="20"/>
                <w:szCs w:val="20"/>
                <w:vertAlign w:val="superscript"/>
              </w:rPr>
            </w:pPr>
            <w:r w:rsidRPr="00361189">
              <w:rPr>
                <w:rFonts w:ascii="Arial Narrow" w:hAnsi="Arial Narrow"/>
                <w:sz w:val="20"/>
                <w:szCs w:val="20"/>
              </w:rPr>
              <w:t xml:space="preserve">Proportion </w:t>
            </w:r>
            <w:r w:rsidRPr="00361189">
              <w:rPr>
                <w:rFonts w:ascii="Arial Narrow" w:hAnsi="Arial Narrow"/>
                <w:sz w:val="20"/>
                <w:szCs w:val="20"/>
                <w:vertAlign w:val="superscript"/>
              </w:rPr>
              <w:t>a</w:t>
            </w:r>
          </w:p>
        </w:tc>
        <w:tc>
          <w:tcPr>
            <w:tcW w:w="127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89.56%</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7.63%</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0.8%</w:t>
            </w:r>
          </w:p>
        </w:tc>
        <w:tc>
          <w:tcPr>
            <w:tcW w:w="278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2.01%</w:t>
            </w:r>
          </w:p>
        </w:tc>
      </w:tr>
      <w:tr w:rsidR="00DC62A0" w:rsidRPr="00361189" w:rsidTr="00AA382D">
        <w:tc>
          <w:tcPr>
            <w:tcW w:w="2405" w:type="dxa"/>
            <w:vAlign w:val="center"/>
          </w:tcPr>
          <w:p w:rsidR="00DC62A0" w:rsidRPr="00361189" w:rsidRDefault="00DC62A0" w:rsidP="00752BA6">
            <w:pPr>
              <w:keepNext/>
              <w:keepLines/>
              <w:jc w:val="left"/>
              <w:rPr>
                <w:rFonts w:ascii="Arial Narrow" w:hAnsi="Arial Narrow"/>
                <w:sz w:val="20"/>
                <w:szCs w:val="20"/>
              </w:rPr>
            </w:pPr>
            <w:r w:rsidRPr="00361189">
              <w:rPr>
                <w:rFonts w:ascii="Arial Narrow" w:hAnsi="Arial Narrow"/>
                <w:sz w:val="20"/>
                <w:szCs w:val="20"/>
              </w:rPr>
              <w:t>Assumed age of symptom onset</w:t>
            </w:r>
          </w:p>
        </w:tc>
        <w:tc>
          <w:tcPr>
            <w:tcW w:w="127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6 months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(Cycle 2)</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12 months (Cycle 3)</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2.5 years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(Cycle 6)</w:t>
            </w:r>
          </w:p>
        </w:tc>
        <w:tc>
          <w:tcPr>
            <w:tcW w:w="278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Assumed to never be symptomatic as will not be treated with nusinersen under current listing</w:t>
            </w:r>
          </w:p>
        </w:tc>
      </w:tr>
      <w:tr w:rsidR="00DC62A0" w:rsidRPr="00361189" w:rsidTr="00AA382D">
        <w:tc>
          <w:tcPr>
            <w:tcW w:w="2405" w:type="dxa"/>
            <w:vAlign w:val="center"/>
          </w:tcPr>
          <w:p w:rsidR="00DC62A0" w:rsidRPr="00361189" w:rsidRDefault="00DC62A0" w:rsidP="00752BA6">
            <w:pPr>
              <w:keepNext/>
              <w:keepLines/>
              <w:jc w:val="left"/>
              <w:rPr>
                <w:rFonts w:ascii="Arial Narrow" w:hAnsi="Arial Narrow"/>
                <w:sz w:val="20"/>
                <w:szCs w:val="20"/>
              </w:rPr>
            </w:pPr>
            <w:r w:rsidRPr="00361189">
              <w:rPr>
                <w:rFonts w:ascii="Arial Narrow" w:hAnsi="Arial Narrow"/>
                <w:sz w:val="20"/>
                <w:szCs w:val="20"/>
              </w:rPr>
              <w:t>Start treatment in Standard of Care arm</w:t>
            </w:r>
          </w:p>
        </w:tc>
        <w:tc>
          <w:tcPr>
            <w:tcW w:w="127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6 months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(Cycle 2)</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12 months (Cycle 3)</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2.5 years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(Cycle 6)</w:t>
            </w:r>
          </w:p>
        </w:tc>
        <w:tc>
          <w:tcPr>
            <w:tcW w:w="278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Never</w:t>
            </w:r>
          </w:p>
        </w:tc>
      </w:tr>
      <w:tr w:rsidR="00DC62A0" w:rsidRPr="00361189" w:rsidTr="00AA382D">
        <w:tc>
          <w:tcPr>
            <w:tcW w:w="2405" w:type="dxa"/>
            <w:vAlign w:val="center"/>
          </w:tcPr>
          <w:p w:rsidR="00DC62A0" w:rsidRPr="00361189" w:rsidRDefault="00DC62A0" w:rsidP="00752BA6">
            <w:pPr>
              <w:keepNext/>
              <w:keepLines/>
              <w:jc w:val="left"/>
              <w:rPr>
                <w:rFonts w:ascii="Arial Narrow" w:hAnsi="Arial Narrow"/>
                <w:sz w:val="20"/>
                <w:szCs w:val="20"/>
              </w:rPr>
            </w:pPr>
            <w:r w:rsidRPr="00361189">
              <w:rPr>
                <w:rFonts w:ascii="Arial Narrow" w:hAnsi="Arial Narrow"/>
                <w:sz w:val="20"/>
                <w:szCs w:val="20"/>
              </w:rPr>
              <w:t>Assumed additional treatment period in pre-symptomatic initiation treatment arm</w:t>
            </w:r>
          </w:p>
        </w:tc>
        <w:tc>
          <w:tcPr>
            <w:tcW w:w="127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6 months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(1 cycle)</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12 months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(2 cycles)</w:t>
            </w:r>
          </w:p>
        </w:tc>
        <w:tc>
          <w:tcPr>
            <w:tcW w:w="1276"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 xml:space="preserve">2.5 years </w:t>
            </w:r>
          </w:p>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(5 cycles)</w:t>
            </w:r>
          </w:p>
        </w:tc>
        <w:tc>
          <w:tcPr>
            <w:tcW w:w="2785" w:type="dxa"/>
            <w:vAlign w:val="center"/>
          </w:tcPr>
          <w:p w:rsidR="00DC62A0" w:rsidRPr="00361189" w:rsidRDefault="00DC62A0" w:rsidP="00752BA6">
            <w:pPr>
              <w:keepNext/>
              <w:keepLines/>
              <w:jc w:val="center"/>
              <w:rPr>
                <w:rFonts w:ascii="Arial Narrow" w:hAnsi="Arial Narrow"/>
                <w:sz w:val="20"/>
                <w:szCs w:val="20"/>
              </w:rPr>
            </w:pPr>
            <w:r w:rsidRPr="00361189">
              <w:rPr>
                <w:rFonts w:ascii="Arial Narrow" w:hAnsi="Arial Narrow"/>
                <w:sz w:val="20"/>
                <w:szCs w:val="20"/>
              </w:rPr>
              <w:t>20 years (40 cycles)</w:t>
            </w:r>
          </w:p>
        </w:tc>
      </w:tr>
    </w:tbl>
    <w:p w:rsidR="00DC62A0" w:rsidRPr="00361189" w:rsidRDefault="00DC62A0" w:rsidP="00752BA6">
      <w:pPr>
        <w:keepNext/>
        <w:keepLines/>
        <w:tabs>
          <w:tab w:val="left" w:pos="284"/>
        </w:tabs>
        <w:ind w:left="284" w:hanging="284"/>
        <w:rPr>
          <w:rFonts w:ascii="Arial Narrow" w:hAnsi="Arial Narrow"/>
          <w:sz w:val="18"/>
          <w:szCs w:val="20"/>
        </w:rPr>
      </w:pPr>
      <w:r w:rsidRPr="00361189">
        <w:rPr>
          <w:rFonts w:ascii="Arial Narrow" w:hAnsi="Arial Narrow"/>
          <w:sz w:val="18"/>
          <w:szCs w:val="20"/>
          <w:vertAlign w:val="superscript"/>
        </w:rPr>
        <w:t>a</w:t>
      </w:r>
      <w:r w:rsidRPr="00361189">
        <w:rPr>
          <w:rFonts w:ascii="Arial Narrow" w:hAnsi="Arial Narrow"/>
          <w:sz w:val="18"/>
          <w:szCs w:val="20"/>
        </w:rPr>
        <w:tab/>
        <w:t xml:space="preserve">based on estimated prevalence of each SMA type with </w:t>
      </w:r>
      <w:r w:rsidRPr="00361189">
        <w:rPr>
          <w:rFonts w:ascii="Arial Narrow" w:hAnsi="Arial Narrow"/>
          <w:i/>
          <w:sz w:val="18"/>
          <w:szCs w:val="20"/>
        </w:rPr>
        <w:t>SMN2</w:t>
      </w:r>
      <w:r w:rsidRPr="00361189">
        <w:rPr>
          <w:rFonts w:ascii="Arial Narrow" w:hAnsi="Arial Narrow"/>
          <w:sz w:val="18"/>
          <w:szCs w:val="20"/>
        </w:rPr>
        <w:t xml:space="preserve"> copy number of 1 or 2 (see Table 2.3 and 3.3.1 of the commentary)</w:t>
      </w:r>
    </w:p>
    <w:p w:rsidR="00DC62A0" w:rsidRPr="00361189" w:rsidRDefault="00DC62A0" w:rsidP="00752BA6">
      <w:pPr>
        <w:keepNext/>
        <w:keepLines/>
        <w:rPr>
          <w:rFonts w:ascii="Arial Narrow" w:hAnsi="Arial Narrow"/>
          <w:sz w:val="18"/>
          <w:szCs w:val="20"/>
        </w:rPr>
      </w:pPr>
      <w:r w:rsidRPr="00361189">
        <w:rPr>
          <w:rFonts w:ascii="Arial Narrow" w:hAnsi="Arial Narrow"/>
          <w:sz w:val="18"/>
          <w:szCs w:val="20"/>
        </w:rPr>
        <w:t xml:space="preserve">Source: Table 3-3, p144 of the resubmission </w:t>
      </w:r>
    </w:p>
    <w:p w:rsidR="00DC62A0" w:rsidRPr="00361189" w:rsidRDefault="00DC62A0" w:rsidP="00DC62A0">
      <w:pPr>
        <w:rPr>
          <w:rFonts w:ascii="Arial Narrow" w:hAnsi="Arial Narrow"/>
          <w:sz w:val="18"/>
          <w:szCs w:val="20"/>
        </w:rPr>
      </w:pPr>
    </w:p>
    <w:p w:rsidR="00681302" w:rsidRPr="00361189" w:rsidRDefault="00DC62A0" w:rsidP="00960438">
      <w:pPr>
        <w:pStyle w:val="3-BodyText"/>
      </w:pPr>
      <w:r w:rsidRPr="00361189">
        <w:t>All patients in the SoC arm start in the ‘asymptomatic and untreated’ health state during which they accrue no costs and have an asymptomatic utility of 0.91 (same as the previous submission)</w:t>
      </w:r>
      <w:r w:rsidR="00361189">
        <w:t xml:space="preserve">. </w:t>
      </w:r>
      <w:r w:rsidRPr="00361189">
        <w:t>Once they reach the corresponding age/cycle at which they were assumed to be symptomatic (</w:t>
      </w:r>
      <w:r w:rsidR="00F72FC2" w:rsidRPr="00361189">
        <w:t>Table 10</w:t>
      </w:r>
      <w:r w:rsidRPr="00361189">
        <w:t xml:space="preserve">), they transition to the ‘symptomatic and treated’ health state which was associated with a lower utility (0.71 – same as the previous submission) and costs and disutility associated with nusinersen (drug and adverse event) and also background healthcare costs ($7,190 per cycle – same </w:t>
      </w:r>
      <w:r w:rsidR="00733DB5" w:rsidRPr="00361189">
        <w:t xml:space="preserve">overall annual cost </w:t>
      </w:r>
      <w:r w:rsidR="00AC4578" w:rsidRPr="00361189">
        <w:t xml:space="preserve">of $14,380 </w:t>
      </w:r>
      <w:r w:rsidRPr="00361189">
        <w:t>as previous submission)</w:t>
      </w:r>
      <w:r w:rsidR="00361189">
        <w:t xml:space="preserve">. </w:t>
      </w:r>
      <w:r w:rsidRPr="00361189">
        <w:t>There were</w:t>
      </w:r>
      <w:r w:rsidR="007179BD" w:rsidRPr="00361189">
        <w:t xml:space="preserve"> effectively</w:t>
      </w:r>
      <w:r w:rsidRPr="00361189">
        <w:t xml:space="preserve"> no transition </w:t>
      </w:r>
      <w:r w:rsidRPr="00361189">
        <w:lastRenderedPageBreak/>
        <w:t>probabilities</w:t>
      </w:r>
      <w:r w:rsidR="007179BD" w:rsidRPr="00361189">
        <w:t xml:space="preserve"> as</w:t>
      </w:r>
      <w:r w:rsidR="00866AF4" w:rsidRPr="00361189">
        <w:t xml:space="preserve"> </w:t>
      </w:r>
      <w:r w:rsidRPr="00361189">
        <w:t>the transition probability from ‘asymptomatic and untreated’ to ‘symptomatic and treated’ in the SoC arm was 100% at the assumed age of symptom onset and 0% before the age of onset</w:t>
      </w:r>
      <w:r w:rsidR="00361189">
        <w:t xml:space="preserve">. </w:t>
      </w:r>
      <w:r w:rsidRPr="00361189">
        <w:t xml:space="preserve">Given that SMA is a degenerative disease, it may be unreasonable to assume an immediate decrement of 0.20 in utility </w:t>
      </w:r>
      <w:r w:rsidR="003A248F" w:rsidRPr="00361189">
        <w:t xml:space="preserve">as soon as they become </w:t>
      </w:r>
      <w:r w:rsidR="00C2595A" w:rsidRPr="00361189">
        <w:t>symptom</w:t>
      </w:r>
      <w:r w:rsidR="003A248F" w:rsidRPr="00361189">
        <w:t>atic</w:t>
      </w:r>
      <w:r w:rsidRPr="00361189">
        <w:t xml:space="preserve">. </w:t>
      </w:r>
    </w:p>
    <w:p w:rsidR="00960438" w:rsidRPr="00361189" w:rsidRDefault="00681302" w:rsidP="00681302">
      <w:pPr>
        <w:pStyle w:val="3-BodyText"/>
      </w:pPr>
      <w:r w:rsidRPr="00361189">
        <w:t>The ESC noted that a cycle length of six months was similar to the dosing frequency of nusinersen of four months however considered that six months may be too long</w:t>
      </w:r>
      <w:r w:rsidR="0026142C" w:rsidRPr="00361189">
        <w:t xml:space="preserve"> to capture all events</w:t>
      </w:r>
      <w:r w:rsidRPr="00361189">
        <w:t xml:space="preserve"> for patients with Type I SMA, as some patients with more severe disease may become symptomatic and die within the f</w:t>
      </w:r>
      <w:r w:rsidR="00544835" w:rsidRPr="00361189">
        <w:t>irst six months</w:t>
      </w:r>
      <w:r w:rsidRPr="00361189">
        <w:t xml:space="preserve"> before the first cycle is over</w:t>
      </w:r>
      <w:r w:rsidR="00544835" w:rsidRPr="00361189">
        <w:t>.</w:t>
      </w:r>
    </w:p>
    <w:p w:rsidR="00DC62A0" w:rsidRPr="00361189" w:rsidRDefault="00DC62A0" w:rsidP="00960438">
      <w:pPr>
        <w:pStyle w:val="3-BodyText"/>
      </w:pPr>
      <w:r w:rsidRPr="00361189">
        <w:t xml:space="preserve">Assuming patients will begin treatment as soon as they become symptomatic in SoC </w:t>
      </w:r>
      <w:r w:rsidR="00960438" w:rsidRPr="00361189">
        <w:t>may not be reasonable as this does not reflect the current standard of care, since only NSW and ACT have a wide spread newborn screening program for SMA in place</w:t>
      </w:r>
      <w:r w:rsidR="001B1F03" w:rsidRPr="00361189">
        <w:t xml:space="preserve"> currently</w:t>
      </w:r>
      <w:r w:rsidR="00361189">
        <w:t xml:space="preserve">. </w:t>
      </w:r>
      <w:r w:rsidR="001B1F03" w:rsidRPr="00361189">
        <w:t>Available</w:t>
      </w:r>
      <w:r w:rsidR="00960438" w:rsidRPr="00361189">
        <w:t xml:space="preserve"> evidence </w:t>
      </w:r>
      <w:r w:rsidR="001B1F03" w:rsidRPr="00361189">
        <w:t xml:space="preserve">indicates </w:t>
      </w:r>
      <w:r w:rsidR="00960438" w:rsidRPr="00361189">
        <w:t>there is significant delay between symptom onset and diagnosis/treatment</w:t>
      </w:r>
      <w:r w:rsidR="00361189">
        <w:t xml:space="preserve">. </w:t>
      </w:r>
      <w:r w:rsidR="00960438" w:rsidRPr="00361189">
        <w:t xml:space="preserve">Data provided by </w:t>
      </w:r>
      <w:r w:rsidR="006C674C" w:rsidRPr="00361189">
        <w:t xml:space="preserve">the </w:t>
      </w:r>
      <w:r w:rsidR="00960438" w:rsidRPr="00361189">
        <w:t xml:space="preserve">Department of </w:t>
      </w:r>
      <w:r w:rsidR="006C674C" w:rsidRPr="00361189">
        <w:t>H</w:t>
      </w:r>
      <w:r w:rsidR="00960438" w:rsidRPr="00361189">
        <w:t xml:space="preserve">ealth for the age of patients initiating nusinersen under the current restriction from 1 June 2018 to 30 December 2018 indicated that at least 65% of patients were aged 5 years or more, and the average age of patients with confirmatory </w:t>
      </w:r>
      <w:r w:rsidR="000316D9" w:rsidRPr="00361189">
        <w:rPr>
          <w:i/>
        </w:rPr>
        <w:t>SMN1</w:t>
      </w:r>
      <w:r w:rsidR="00960438" w:rsidRPr="00361189">
        <w:t xml:space="preserve"> tests in Australia (based on </w:t>
      </w:r>
      <w:r w:rsidR="00876BD1" w:rsidRPr="00361189">
        <w:t>Victorian Clinical Genomic Service (</w:t>
      </w:r>
      <w:r w:rsidR="00960438" w:rsidRPr="00361189">
        <w:t>VCGS</w:t>
      </w:r>
      <w:r w:rsidR="00876BD1" w:rsidRPr="00361189">
        <w:t>)</w:t>
      </w:r>
      <w:r w:rsidR="00960438" w:rsidRPr="00361189">
        <w:t xml:space="preserve"> data presented in the resubmission) was 13.5 years during the 2013-2018 period</w:t>
      </w:r>
      <w:r w:rsidR="00361189">
        <w:t xml:space="preserve">. </w:t>
      </w:r>
      <w:r w:rsidR="00960438" w:rsidRPr="00361189">
        <w:t>Therefore</w:t>
      </w:r>
      <w:r w:rsidR="00F72FC2" w:rsidRPr="00361189">
        <w:t>,</w:t>
      </w:r>
      <w:r w:rsidR="00960438" w:rsidRPr="00361189">
        <w:t xml:space="preserve"> it is possible that the resubmission overestimated the treatment duration of nusinersen in the SoC arm, which may favour the pre-</w:t>
      </w:r>
      <w:r w:rsidR="006C674C" w:rsidRPr="00361189">
        <w:t>symptomatic</w:t>
      </w:r>
      <w:r w:rsidR="00960438" w:rsidRPr="00361189">
        <w:t xml:space="preserve"> initiation arm. </w:t>
      </w:r>
      <w:r w:rsidR="00E97BB3" w:rsidRPr="00361189">
        <w:t xml:space="preserve">The ESC considered that while awareness of SMA screening is increasing in clinical practice, </w:t>
      </w:r>
      <w:r w:rsidR="00741887" w:rsidRPr="00361189">
        <w:t xml:space="preserve">equity of access to newborn screening for SMA remains an issue as newborn screening costs in states and territories apart from NSW and ACT are currently borne by public hospitals and private payers. </w:t>
      </w:r>
      <w:r w:rsidR="00DA237E" w:rsidRPr="00361189">
        <w:t xml:space="preserve">As such, the ESC considered the assumption that patients would begin treatment </w:t>
      </w:r>
      <w:r w:rsidR="00EB29A1" w:rsidRPr="00361189">
        <w:t>immediately after becoming symptomatic likely overestimated the treatment duration and cost of nusinersen in the SoC arm</w:t>
      </w:r>
      <w:r w:rsidR="00EB29A1" w:rsidRPr="00361189">
        <w:rPr>
          <w:i/>
        </w:rPr>
        <w:t xml:space="preserve">. </w:t>
      </w:r>
    </w:p>
    <w:p w:rsidR="00DC62A0" w:rsidRPr="00361189" w:rsidRDefault="00DC62A0" w:rsidP="001469B9">
      <w:pPr>
        <w:pStyle w:val="3-BodyText"/>
      </w:pPr>
      <w:r w:rsidRPr="00361189">
        <w:t>All patients in the pre-symptomatic initiation treatment arm start in the ‘asymptomatic and treated’ health state, during which they incur costs and disutilities associated with nusinersen (drug and adverse event) treatment but have an asymptomatic utility of 0.91</w:t>
      </w:r>
      <w:r w:rsidR="00361189">
        <w:t xml:space="preserve">. </w:t>
      </w:r>
      <w:r w:rsidRPr="00361189">
        <w:t>Patients are never assumed to transition out of the ‘asymptomatic and treated’ health state to the ‘symptomatic and treated’ health state explicitly, but once patients reach the corresponding age/cycle at which they were assumed to be symptomatic (</w:t>
      </w:r>
      <w:r w:rsidR="00F72FC2" w:rsidRPr="00361189">
        <w:t>Table 10</w:t>
      </w:r>
      <w:r w:rsidRPr="00361189">
        <w:t>), they start to accrue a background healthcare cost each cycle (starting at $5,752 per cycle and increasing by $36 per cycle up to $7,190 – the incremental difference</w:t>
      </w:r>
      <w:r w:rsidR="007D32B7" w:rsidRPr="00361189">
        <w:t xml:space="preserve"> between arms</w:t>
      </w:r>
      <w:r w:rsidRPr="00361189">
        <w:t xml:space="preserve"> was lower than </w:t>
      </w:r>
      <w:r w:rsidR="007D32B7" w:rsidRPr="00361189">
        <w:t>that</w:t>
      </w:r>
      <w:r w:rsidRPr="00361189">
        <w:t xml:space="preserve"> in the </w:t>
      </w:r>
      <w:r w:rsidR="006F3C90" w:rsidRPr="00361189">
        <w:t xml:space="preserve">previous </w:t>
      </w:r>
      <w:r w:rsidRPr="00361189">
        <w:t>submission, which assumed a saving of $4,380 per annum</w:t>
      </w:r>
      <w:r w:rsidR="00D217E2" w:rsidRPr="00361189">
        <w:t xml:space="preserve"> </w:t>
      </w:r>
      <w:r w:rsidR="006F3C90" w:rsidRPr="00361189">
        <w:t>over a time horizon of</w:t>
      </w:r>
      <w:r w:rsidRPr="00361189">
        <w:t xml:space="preserve"> 80 years</w:t>
      </w:r>
      <w:r w:rsidR="006C674C" w:rsidRPr="00361189">
        <w:t>)</w:t>
      </w:r>
      <w:r w:rsidR="007D32B7" w:rsidRPr="00361189">
        <w:t>.</w:t>
      </w:r>
      <w:r w:rsidRPr="00361189">
        <w:t xml:space="preserve"> </w:t>
      </w:r>
      <w:r w:rsidR="007D32B7" w:rsidRPr="00361189">
        <w:t xml:space="preserve">Patients </w:t>
      </w:r>
      <w:r w:rsidRPr="00361189">
        <w:t>experience a gradual decline in utility starting from 0.91 and decreasing by 0.05 per cycle down to 0.71</w:t>
      </w:r>
      <w:r w:rsidR="007D32B7" w:rsidRPr="00361189">
        <w:t xml:space="preserve"> over 4 cycles. This decrease is </w:t>
      </w:r>
      <w:r w:rsidRPr="00361189">
        <w:t xml:space="preserve">more conservative than </w:t>
      </w:r>
      <w:r w:rsidR="007D32B7" w:rsidRPr="00361189">
        <w:t xml:space="preserve">that of the </w:t>
      </w:r>
      <w:r w:rsidRPr="00361189">
        <w:t>previous</w:t>
      </w:r>
      <w:r w:rsidR="007D32B7" w:rsidRPr="00361189">
        <w:t xml:space="preserve"> </w:t>
      </w:r>
      <w:r w:rsidRPr="00361189">
        <w:t>submission which assumed no decreasing utility in pre-symptomatic initiation treatment arm.</w:t>
      </w:r>
      <w:r w:rsidR="00690D8A" w:rsidRPr="00361189">
        <w:t xml:space="preserve"> However, the ESC noted that </w:t>
      </w:r>
      <w:r w:rsidR="007E523D" w:rsidRPr="00361189">
        <w:t>a</w:t>
      </w:r>
      <w:r w:rsidR="00690D8A" w:rsidRPr="00361189">
        <w:t xml:space="preserve"> utility </w:t>
      </w:r>
      <w:r w:rsidR="00690D8A" w:rsidRPr="00361189">
        <w:lastRenderedPageBreak/>
        <w:t>gain of 0.2 was still based on</w:t>
      </w:r>
      <w:r w:rsidR="00CF49E4" w:rsidRPr="00361189">
        <w:t xml:space="preserve"> an</w:t>
      </w:r>
      <w:r w:rsidR="00690D8A" w:rsidRPr="00361189">
        <w:t xml:space="preserve"> assumption </w:t>
      </w:r>
      <w:r w:rsidR="00A94F79" w:rsidRPr="00361189">
        <w:t>and</w:t>
      </w:r>
      <w:r w:rsidR="00CF49E4" w:rsidRPr="00361189">
        <w:t xml:space="preserve"> was</w:t>
      </w:r>
      <w:r w:rsidR="00A94F79" w:rsidRPr="00361189">
        <w:t xml:space="preserve"> </w:t>
      </w:r>
      <w:r w:rsidR="007E523D" w:rsidRPr="00361189">
        <w:t>potentially</w:t>
      </w:r>
      <w:r w:rsidR="00CF49E4" w:rsidRPr="00361189">
        <w:t xml:space="preserve"> optimistic, given </w:t>
      </w:r>
      <w:r w:rsidR="00A94F79" w:rsidRPr="00361189">
        <w:t xml:space="preserve">that the resubmission </w:t>
      </w:r>
      <w:r w:rsidR="007E523D" w:rsidRPr="00361189">
        <w:t xml:space="preserve">considered that a utility gain of 0.1 or more for </w:t>
      </w:r>
      <w:r w:rsidR="009F3BD9" w:rsidRPr="00361189">
        <w:t>pre-symptomatic initiation of treatment compared to SoC was reasonable based on a naïve comparison of patients in NURTURE and the ENDEAR/SHINE population. The ESC noted that</w:t>
      </w:r>
      <w:r w:rsidR="001469B9" w:rsidRPr="00361189">
        <w:t xml:space="preserve"> applying a utility gain of 0.1 in the model </w:t>
      </w:r>
      <w:r w:rsidR="007D2A11" w:rsidRPr="00361189">
        <w:t>increased the ICER to</w:t>
      </w:r>
      <w:r w:rsidR="009F3BD9" w:rsidRPr="00361189">
        <w:t xml:space="preserve"> </w:t>
      </w:r>
      <w:r w:rsidR="001469B9" w:rsidRPr="00361189">
        <w:t>$</w:t>
      </w:r>
      <w:r w:rsidR="009C7229">
        <w:t>255,000 to &lt; 355,000</w:t>
      </w:r>
      <w:r w:rsidR="001469B9" w:rsidRPr="00361189">
        <w:t>/QALY.</w:t>
      </w:r>
    </w:p>
    <w:p w:rsidR="00DC62A0" w:rsidRPr="00361189" w:rsidRDefault="00DC62A0" w:rsidP="00DC62A0">
      <w:pPr>
        <w:pStyle w:val="3-BodyText"/>
      </w:pPr>
      <w:r w:rsidRPr="00361189">
        <w:t>In each cycle, independent of treatment or SMA type, patients may die from background mortality, based on ABS life tables for Australians aged 0-20 years (in the previous submission, no deaths from any source were assumed)</w:t>
      </w:r>
      <w:r w:rsidR="00361189">
        <w:t xml:space="preserve">. </w:t>
      </w:r>
      <w:r w:rsidRPr="00361189">
        <w:t>Given that the life expectancy of patients with Type I SMA is around 2 years, the omission of mortality from SMA was inappropriate and may overestimate the duration of assumed benefit in pre-symptomatic initiation of treatment compared to SoC in Type I SMA.</w:t>
      </w:r>
      <w:r w:rsidR="00B011F7" w:rsidRPr="00361189">
        <w:t xml:space="preserve"> The ESC considered that mortality of Type I SMA patients should be included in th</w:t>
      </w:r>
      <w:r w:rsidR="00F4020E" w:rsidRPr="00361189">
        <w:t xml:space="preserve">e model noting that </w:t>
      </w:r>
      <w:r w:rsidR="00707472" w:rsidRPr="00361189">
        <w:t xml:space="preserve">patients with </w:t>
      </w:r>
      <w:r w:rsidR="00F4020E" w:rsidRPr="00361189">
        <w:t>Type I SMA account for the majority of the cohort modelled (89.56%).</w:t>
      </w:r>
    </w:p>
    <w:p w:rsidR="00A5286A" w:rsidRPr="00361189" w:rsidRDefault="00A5286A" w:rsidP="00DC62A0">
      <w:pPr>
        <w:pStyle w:val="3-BodyText"/>
      </w:pPr>
      <w:r w:rsidRPr="00361189">
        <w:t>The ESC considered that overall, the model</w:t>
      </w:r>
      <w:r w:rsidR="00F85F5B" w:rsidRPr="00361189">
        <w:t xml:space="preserve"> structure</w:t>
      </w:r>
      <w:r w:rsidRPr="00361189">
        <w:t xml:space="preserve"> </w:t>
      </w:r>
      <w:r w:rsidR="00CF49E4" w:rsidRPr="00361189">
        <w:t>did</w:t>
      </w:r>
      <w:r w:rsidRPr="00361189">
        <w:t xml:space="preserve"> not </w:t>
      </w:r>
      <w:r w:rsidR="00B011F7" w:rsidRPr="00361189">
        <w:t xml:space="preserve">capture </w:t>
      </w:r>
      <w:r w:rsidRPr="00361189">
        <w:t xml:space="preserve">the progressive and degenerative </w:t>
      </w:r>
      <w:r w:rsidR="00B011F7" w:rsidRPr="00361189">
        <w:t>nature of SMA or account for the</w:t>
      </w:r>
      <w:r w:rsidR="008D1C1E" w:rsidRPr="00361189">
        <w:t xml:space="preserve"> full spectrum of disease</w:t>
      </w:r>
      <w:r w:rsidR="00B011F7" w:rsidRPr="00361189">
        <w:t xml:space="preserve"> severity</w:t>
      </w:r>
      <w:r w:rsidR="008D1C1E" w:rsidRPr="00361189">
        <w:t xml:space="preserve"> due to </w:t>
      </w:r>
      <w:r w:rsidR="000B38E7" w:rsidRPr="00361189">
        <w:t xml:space="preserve">the absence of transition probabilities, the cycle length applied and </w:t>
      </w:r>
      <w:r w:rsidR="008802CB" w:rsidRPr="00361189">
        <w:t xml:space="preserve">omission of SMA related mortality. </w:t>
      </w:r>
    </w:p>
    <w:p w:rsidR="00960438" w:rsidRPr="00361189" w:rsidRDefault="00960438" w:rsidP="00960438">
      <w:pPr>
        <w:pStyle w:val="3-BodyText"/>
      </w:pPr>
      <w:r w:rsidRPr="00361189">
        <w:t xml:space="preserve">A Markov trace of the resubmission’s model is presented in </w:t>
      </w:r>
      <w:r w:rsidR="00EE72BD">
        <w:t>Figure 4</w:t>
      </w:r>
      <w:r w:rsidR="00361189">
        <w:t xml:space="preserve">. </w:t>
      </w:r>
      <w:r w:rsidRPr="00361189">
        <w:t>The Markov trace is identical for both the pre-symptomatic initiation arm and the SoC arm, with the only difference being that patients in the pre-symptomatic initiation arm were treated from the first cycle whereas patents in the SoC arm were treated as soon as they become symptomatic</w:t>
      </w:r>
      <w:r w:rsidR="00361189">
        <w:t xml:space="preserve">. </w:t>
      </w:r>
    </w:p>
    <w:p w:rsidR="00960438" w:rsidRPr="00361189" w:rsidRDefault="00F72FC2" w:rsidP="00960438">
      <w:pPr>
        <w:keepNext/>
        <w:keepLines/>
        <w:rPr>
          <w:rFonts w:ascii="Arial Narrow" w:hAnsi="Arial Narrow"/>
          <w:b/>
          <w:sz w:val="20"/>
          <w:szCs w:val="20"/>
        </w:rPr>
      </w:pPr>
      <w:bookmarkStart w:id="42" w:name="_Ref40706936"/>
      <w:r w:rsidRPr="00361189">
        <w:rPr>
          <w:rFonts w:ascii="Arial Narrow" w:hAnsi="Arial Narrow"/>
          <w:b/>
          <w:sz w:val="20"/>
          <w:szCs w:val="20"/>
        </w:rPr>
        <w:lastRenderedPageBreak/>
        <w:t xml:space="preserve">Figure </w:t>
      </w:r>
      <w:bookmarkEnd w:id="42"/>
      <w:r w:rsidR="00EE72BD">
        <w:rPr>
          <w:rFonts w:ascii="Arial Narrow" w:hAnsi="Arial Narrow"/>
          <w:b/>
          <w:sz w:val="20"/>
          <w:szCs w:val="20"/>
        </w:rPr>
        <w:t>4</w:t>
      </w:r>
      <w:r w:rsidR="0052269E" w:rsidRPr="00361189">
        <w:rPr>
          <w:rFonts w:ascii="Arial Narrow" w:hAnsi="Arial Narrow"/>
          <w:b/>
          <w:sz w:val="20"/>
          <w:szCs w:val="20"/>
        </w:rPr>
        <w:t>:</w:t>
      </w:r>
      <w:r w:rsidR="00960438" w:rsidRPr="00361189">
        <w:rPr>
          <w:rFonts w:ascii="Arial Narrow" w:hAnsi="Arial Narrow"/>
          <w:b/>
          <w:sz w:val="20"/>
          <w:szCs w:val="20"/>
        </w:rPr>
        <w:t xml:space="preserve"> Markov trace of economic model</w:t>
      </w:r>
    </w:p>
    <w:p w:rsidR="00960438" w:rsidRPr="00361189" w:rsidRDefault="00960438" w:rsidP="0052269E">
      <w:pPr>
        <w:keepNext/>
        <w:keepLines/>
        <w:jc w:val="center"/>
        <w:rPr>
          <w:rFonts w:ascii="Arial Narrow" w:hAnsi="Arial Narrow"/>
          <w:sz w:val="20"/>
          <w:szCs w:val="20"/>
        </w:rPr>
      </w:pPr>
      <w:r w:rsidRPr="00361189">
        <w:rPr>
          <w:noProof/>
        </w:rPr>
        <w:drawing>
          <wp:inline distT="0" distB="0" distL="0" distR="0" wp14:anchorId="198C3E92" wp14:editId="13F3896C">
            <wp:extent cx="5162550" cy="329565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0438" w:rsidRPr="00361189" w:rsidRDefault="00960438" w:rsidP="0052269E">
      <w:pPr>
        <w:keepNext/>
        <w:keepLines/>
        <w:spacing w:after="120"/>
        <w:rPr>
          <w:rFonts w:ascii="Arial Narrow" w:hAnsi="Arial Narrow"/>
          <w:sz w:val="18"/>
          <w:szCs w:val="20"/>
        </w:rPr>
      </w:pPr>
      <w:r w:rsidRPr="00361189">
        <w:rPr>
          <w:rFonts w:ascii="Arial Narrow" w:hAnsi="Arial Narrow"/>
          <w:sz w:val="18"/>
          <w:szCs w:val="20"/>
        </w:rPr>
        <w:t>Source: constructed during evaluation using Nusinersen Economic Model_March2020</w:t>
      </w:r>
    </w:p>
    <w:p w:rsidR="00D3562D" w:rsidRPr="00361189" w:rsidRDefault="00960438" w:rsidP="009C3D73">
      <w:pPr>
        <w:pStyle w:val="3-BodyText"/>
      </w:pPr>
      <w:bookmarkStart w:id="43" w:name="_Ref39365446"/>
      <w:r w:rsidRPr="00361189">
        <w:t xml:space="preserve">It was inappropriate to assume that patients with Type I SMA would survive for 20 years in the model, given that the published literature </w:t>
      </w:r>
      <w:r w:rsidR="00F70710" w:rsidRPr="00361189">
        <w:t xml:space="preserve">reported </w:t>
      </w:r>
      <w:r w:rsidRPr="00361189">
        <w:t>significant mortality in patients with Type I SMA</w:t>
      </w:r>
      <w:r w:rsidR="00F135D3" w:rsidRPr="00361189">
        <w:t xml:space="preserve"> (See Table 8)</w:t>
      </w:r>
      <w:r w:rsidRPr="00361189">
        <w:t>.</w:t>
      </w:r>
      <w:r w:rsidR="00D3562D" w:rsidRPr="00361189">
        <w:t xml:space="preserve"> </w:t>
      </w:r>
      <w:r w:rsidR="006F3C90" w:rsidRPr="00361189">
        <w:t>The ESC considered that a time horizon of 20 years was still likely optimistic</w:t>
      </w:r>
      <w:r w:rsidR="0023154E" w:rsidRPr="00361189">
        <w:t xml:space="preserve"> in the context of the available clinical data</w:t>
      </w:r>
      <w:r w:rsidR="00361189">
        <w:t xml:space="preserve">. </w:t>
      </w:r>
      <w:r w:rsidR="00F70710" w:rsidRPr="00361189">
        <w:t xml:space="preserve"> </w:t>
      </w:r>
    </w:p>
    <w:p w:rsidR="00960438" w:rsidRPr="00361189" w:rsidRDefault="00F70710" w:rsidP="009C3D73">
      <w:pPr>
        <w:pStyle w:val="3-BodyText"/>
      </w:pPr>
      <w:r w:rsidRPr="00361189">
        <w:t>The evaluation considered that a</w:t>
      </w:r>
      <w:r w:rsidR="009C3D73" w:rsidRPr="00361189">
        <w:t xml:space="preserve"> scenario in which an annual mortality of 16% (8.3485% per cycle) as reported in ENDEAR</w:t>
      </w:r>
      <w:r w:rsidR="003D1205" w:rsidRPr="00361189">
        <w:t xml:space="preserve"> </w:t>
      </w:r>
      <w:r w:rsidRPr="00361189">
        <w:t xml:space="preserve">is </w:t>
      </w:r>
      <w:r w:rsidR="009C3D73" w:rsidRPr="00361189">
        <w:t>applied to patients with SMA type I</w:t>
      </w:r>
      <w:r w:rsidR="00B47DD7" w:rsidRPr="00361189">
        <w:t>,</w:t>
      </w:r>
      <w:r w:rsidR="009C3D73" w:rsidRPr="00361189">
        <w:t xml:space="preserve"> is likely to </w:t>
      </w:r>
      <w:r w:rsidRPr="00361189">
        <w:t>be a</w:t>
      </w:r>
      <w:r w:rsidR="009C3D73" w:rsidRPr="00361189">
        <w:t xml:space="preserve"> more realistic representation of the survival of patients</w:t>
      </w:r>
      <w:r w:rsidR="00B47DD7" w:rsidRPr="00361189">
        <w:t xml:space="preserve"> with Type I SMA</w:t>
      </w:r>
      <w:r w:rsidR="009C3D73" w:rsidRPr="00361189">
        <w:t xml:space="preserve"> and </w:t>
      </w:r>
      <w:r w:rsidR="00B47DD7" w:rsidRPr="00361189">
        <w:t xml:space="preserve">an </w:t>
      </w:r>
      <w:r w:rsidR="00C95FDE" w:rsidRPr="00361189">
        <w:rPr>
          <w:i/>
        </w:rPr>
        <w:t>SMN2</w:t>
      </w:r>
      <w:r w:rsidR="009C3D73" w:rsidRPr="00361189">
        <w:t xml:space="preserve"> copy ≤2</w:t>
      </w:r>
      <w:r w:rsidR="00361189">
        <w:t xml:space="preserve">. </w:t>
      </w:r>
      <w:r w:rsidR="009C3D73" w:rsidRPr="00361189">
        <w:t>This corresponds to</w:t>
      </w:r>
      <w:r w:rsidR="00B47DD7" w:rsidRPr="00361189">
        <w:t xml:space="preserve"> a</w:t>
      </w:r>
      <w:r w:rsidR="009C3D73" w:rsidRPr="00361189">
        <w:t xml:space="preserve"> median survival of 4.25 years </w:t>
      </w:r>
      <w:r w:rsidR="00733DB5" w:rsidRPr="00361189">
        <w:t xml:space="preserve">for patients with Type I SMA and an </w:t>
      </w:r>
      <w:r w:rsidR="00C95FDE" w:rsidRPr="00361189">
        <w:rPr>
          <w:i/>
        </w:rPr>
        <w:t>SMN2</w:t>
      </w:r>
      <w:r w:rsidR="00733DB5" w:rsidRPr="00361189">
        <w:t xml:space="preserve"> copy ≤2 </w:t>
      </w:r>
      <w:r w:rsidR="009C3D73" w:rsidRPr="00361189">
        <w:t xml:space="preserve">in the model, which was longer than the median of 73.0 weeks for death or permanent ventilation as reported in SHINE from a pooled analysis of 81 patients who have been treated with nusinersen in clinical </w:t>
      </w:r>
      <w:r w:rsidR="00E016F6" w:rsidRPr="00361189">
        <w:t>studies</w:t>
      </w:r>
      <w:r w:rsidR="00361189">
        <w:t xml:space="preserve">. </w:t>
      </w:r>
      <w:r w:rsidR="009C3D73" w:rsidRPr="00361189">
        <w:t xml:space="preserve">The Markov trace of alive vs dead patients in this scenario is presented in </w:t>
      </w:r>
      <w:r w:rsidR="00EE72BD">
        <w:t>Figure 5</w:t>
      </w:r>
      <w:r w:rsidR="009C3D73" w:rsidRPr="00361189">
        <w:t>.</w:t>
      </w:r>
      <w:bookmarkEnd w:id="43"/>
    </w:p>
    <w:p w:rsidR="009C3D73" w:rsidRPr="00361189" w:rsidRDefault="0052269E" w:rsidP="009C3D73">
      <w:pPr>
        <w:pStyle w:val="ListBullet"/>
        <w:keepNext/>
        <w:keepLines/>
        <w:numPr>
          <w:ilvl w:val="0"/>
          <w:numId w:val="0"/>
        </w:numPr>
        <w:rPr>
          <w:rFonts w:ascii="Arial Narrow" w:hAnsi="Arial Narrow"/>
          <w:b/>
          <w:sz w:val="20"/>
          <w:szCs w:val="20"/>
        </w:rPr>
      </w:pPr>
      <w:bookmarkStart w:id="44" w:name="_Ref40706975"/>
      <w:r w:rsidRPr="00361189">
        <w:rPr>
          <w:rFonts w:ascii="Arial Narrow" w:hAnsi="Arial Narrow"/>
          <w:b/>
          <w:sz w:val="20"/>
          <w:szCs w:val="20"/>
        </w:rPr>
        <w:lastRenderedPageBreak/>
        <w:t xml:space="preserve">Figure </w:t>
      </w:r>
      <w:bookmarkEnd w:id="44"/>
      <w:r w:rsidR="00EE72BD">
        <w:rPr>
          <w:rFonts w:ascii="Arial Narrow" w:hAnsi="Arial Narrow"/>
          <w:b/>
          <w:sz w:val="20"/>
          <w:szCs w:val="20"/>
        </w:rPr>
        <w:t>5</w:t>
      </w:r>
      <w:r w:rsidR="009C3D73" w:rsidRPr="00361189">
        <w:rPr>
          <w:rFonts w:ascii="Arial Narrow" w:hAnsi="Arial Narrow"/>
          <w:b/>
          <w:sz w:val="20"/>
          <w:szCs w:val="20"/>
        </w:rPr>
        <w:t>: Markov trace of patients alive or dead assuming 16% annual mortality in SMA Type I</w:t>
      </w:r>
    </w:p>
    <w:p w:rsidR="009C3D73" w:rsidRPr="00361189" w:rsidRDefault="009C3D73" w:rsidP="009C3D73">
      <w:pPr>
        <w:pStyle w:val="ListBullet"/>
        <w:keepNext/>
        <w:keepLines/>
        <w:numPr>
          <w:ilvl w:val="0"/>
          <w:numId w:val="0"/>
        </w:numPr>
        <w:jc w:val="center"/>
        <w:rPr>
          <w:rFonts w:ascii="Arial Narrow" w:hAnsi="Arial Narrow"/>
          <w:sz w:val="20"/>
          <w:szCs w:val="20"/>
        </w:rPr>
      </w:pPr>
      <w:r w:rsidRPr="00361189">
        <w:rPr>
          <w:rFonts w:ascii="Arial Narrow" w:hAnsi="Arial Narrow"/>
          <w:noProof/>
          <w:sz w:val="20"/>
          <w:szCs w:val="20"/>
        </w:rPr>
        <w:drawing>
          <wp:inline distT="0" distB="0" distL="0" distR="0" wp14:anchorId="74AFD34C" wp14:editId="5CC5202C">
            <wp:extent cx="4476750" cy="3079873"/>
            <wp:effectExtent l="0" t="0" r="0" b="6350"/>
            <wp:docPr id="23" name="Picture 23" title="Figure 5: Markov trace of patients alive or dead assuming 16% annual mortality in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3079873"/>
                    </a:xfrm>
                    <a:prstGeom prst="rect">
                      <a:avLst/>
                    </a:prstGeom>
                    <a:noFill/>
                    <a:ln>
                      <a:noFill/>
                    </a:ln>
                  </pic:spPr>
                </pic:pic>
              </a:graphicData>
            </a:graphic>
          </wp:inline>
        </w:drawing>
      </w:r>
    </w:p>
    <w:p w:rsidR="009C3D73" w:rsidRPr="00361189" w:rsidRDefault="0052269E" w:rsidP="0052269E">
      <w:pPr>
        <w:pStyle w:val="ListBullet"/>
        <w:keepNext/>
        <w:keepLines/>
        <w:numPr>
          <w:ilvl w:val="0"/>
          <w:numId w:val="0"/>
        </w:numPr>
        <w:spacing w:after="120"/>
        <w:contextualSpacing w:val="0"/>
        <w:rPr>
          <w:rFonts w:ascii="Arial Narrow" w:hAnsi="Arial Narrow"/>
          <w:sz w:val="18"/>
          <w:szCs w:val="20"/>
        </w:rPr>
      </w:pPr>
      <w:r w:rsidRPr="00361189">
        <w:rPr>
          <w:rFonts w:ascii="Arial Narrow" w:hAnsi="Arial Narrow"/>
          <w:sz w:val="18"/>
          <w:szCs w:val="20"/>
        </w:rPr>
        <w:t xml:space="preserve">Source: </w:t>
      </w:r>
      <w:r w:rsidR="009C3D73" w:rsidRPr="00361189">
        <w:rPr>
          <w:rFonts w:ascii="Arial Narrow" w:hAnsi="Arial Narrow"/>
          <w:sz w:val="18"/>
          <w:szCs w:val="20"/>
        </w:rPr>
        <w:t>Constructed during evaluation</w:t>
      </w:r>
    </w:p>
    <w:p w:rsidR="00BC2729" w:rsidRPr="00361189" w:rsidRDefault="009C3D73" w:rsidP="00BB00B3">
      <w:pPr>
        <w:pStyle w:val="3-BodyText"/>
      </w:pPr>
      <w:r w:rsidRPr="00361189">
        <w:t>A summary of the key drive</w:t>
      </w:r>
      <w:r w:rsidR="00F135D3" w:rsidRPr="00361189">
        <w:t>r</w:t>
      </w:r>
      <w:r w:rsidRPr="00361189">
        <w:t>s of the model are presented in</w:t>
      </w:r>
      <w:r w:rsidR="00EE72BD">
        <w:t xml:space="preserve"> Table 12</w:t>
      </w:r>
      <w:r w:rsidR="00361189">
        <w:t xml:space="preserve">. </w:t>
      </w:r>
    </w:p>
    <w:p w:rsidR="00D110BD" w:rsidRPr="00361189" w:rsidRDefault="0052269E" w:rsidP="00BB00B3">
      <w:pPr>
        <w:pStyle w:val="TableFigureHeading"/>
        <w:rPr>
          <w:rStyle w:val="CommentReference"/>
          <w:b/>
          <w:szCs w:val="24"/>
        </w:rPr>
      </w:pPr>
      <w:bookmarkStart w:id="45" w:name="_Ref39365124"/>
      <w:r w:rsidRPr="00361189">
        <w:rPr>
          <w:rStyle w:val="CommentReference"/>
          <w:b/>
          <w:szCs w:val="24"/>
        </w:rPr>
        <w:t xml:space="preserve">Table </w:t>
      </w:r>
      <w:bookmarkEnd w:id="45"/>
      <w:r w:rsidR="00EE72BD">
        <w:rPr>
          <w:rStyle w:val="CommentReference"/>
          <w:b/>
          <w:szCs w:val="24"/>
        </w:rPr>
        <w:t>12</w:t>
      </w:r>
      <w:r w:rsidR="00D110BD" w:rsidRPr="00361189">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820"/>
        <w:gridCol w:w="3068"/>
      </w:tblGrid>
      <w:tr w:rsidR="00537182" w:rsidRPr="00361189" w:rsidTr="0052269E">
        <w:trPr>
          <w:tblHeader/>
        </w:trPr>
        <w:tc>
          <w:tcPr>
            <w:tcW w:w="626" w:type="pct"/>
            <w:shd w:val="clear" w:color="auto" w:fill="auto"/>
            <w:vAlign w:val="center"/>
          </w:tcPr>
          <w:p w:rsidR="00D110BD" w:rsidRPr="00361189" w:rsidRDefault="00D110BD" w:rsidP="0052269E">
            <w:pPr>
              <w:pStyle w:val="In-tableHeading"/>
              <w:rPr>
                <w:lang w:val="en-AU"/>
              </w:rPr>
            </w:pPr>
            <w:r w:rsidRPr="00361189">
              <w:rPr>
                <w:lang w:val="en-AU"/>
              </w:rPr>
              <w:t>Description</w:t>
            </w:r>
          </w:p>
        </w:tc>
        <w:tc>
          <w:tcPr>
            <w:tcW w:w="2673" w:type="pct"/>
            <w:shd w:val="clear" w:color="auto" w:fill="auto"/>
            <w:vAlign w:val="center"/>
          </w:tcPr>
          <w:p w:rsidR="00D110BD" w:rsidRPr="00361189" w:rsidRDefault="00D110BD" w:rsidP="000A7453">
            <w:pPr>
              <w:pStyle w:val="In-tableHeading"/>
              <w:jc w:val="center"/>
              <w:rPr>
                <w:lang w:val="en-AU"/>
              </w:rPr>
            </w:pPr>
            <w:r w:rsidRPr="00361189">
              <w:rPr>
                <w:lang w:val="en-AU"/>
              </w:rPr>
              <w:t>Method/Value</w:t>
            </w:r>
          </w:p>
        </w:tc>
        <w:tc>
          <w:tcPr>
            <w:tcW w:w="1701" w:type="pct"/>
            <w:shd w:val="clear" w:color="auto" w:fill="auto"/>
            <w:vAlign w:val="center"/>
          </w:tcPr>
          <w:p w:rsidR="00490B17" w:rsidRPr="00361189" w:rsidRDefault="00D110BD" w:rsidP="00F135D3">
            <w:pPr>
              <w:pStyle w:val="In-tableHeading"/>
              <w:jc w:val="center"/>
              <w:rPr>
                <w:lang w:val="en-AU"/>
              </w:rPr>
            </w:pPr>
            <w:r w:rsidRPr="00361189">
              <w:rPr>
                <w:lang w:val="en-AU"/>
              </w:rPr>
              <w:t>Impact</w:t>
            </w:r>
            <w:r w:rsidR="00354F64" w:rsidRPr="00361189">
              <w:rPr>
                <w:rFonts w:cs="Arial"/>
                <w:color w:val="3366FF"/>
                <w:szCs w:val="20"/>
                <w:lang w:val="en-AU"/>
              </w:rPr>
              <w:t>.</w:t>
            </w:r>
          </w:p>
        </w:tc>
      </w:tr>
      <w:tr w:rsidR="00E6055E" w:rsidRPr="00361189" w:rsidTr="0052269E">
        <w:tc>
          <w:tcPr>
            <w:tcW w:w="626" w:type="pct"/>
            <w:shd w:val="clear" w:color="auto" w:fill="auto"/>
            <w:vAlign w:val="center"/>
          </w:tcPr>
          <w:p w:rsidR="00E6055E" w:rsidRPr="00361189" w:rsidRDefault="00E6055E" w:rsidP="0052269E">
            <w:pPr>
              <w:pStyle w:val="TableText0"/>
            </w:pPr>
            <w:r w:rsidRPr="00361189">
              <w:t>Utility benefit assumed</w:t>
            </w:r>
          </w:p>
        </w:tc>
        <w:tc>
          <w:tcPr>
            <w:tcW w:w="2673" w:type="pct"/>
            <w:shd w:val="clear" w:color="auto" w:fill="auto"/>
            <w:vAlign w:val="center"/>
          </w:tcPr>
          <w:p w:rsidR="00E6055E" w:rsidRPr="00361189" w:rsidRDefault="00E6055E" w:rsidP="00733DB5">
            <w:pPr>
              <w:pStyle w:val="TableText0"/>
            </w:pPr>
            <w:r w:rsidRPr="00361189">
              <w:t>Base case assumed utility benefit of 0.2 between treatment arms. This was not supported by any evidence and is purely an assumption</w:t>
            </w:r>
            <w:r w:rsidR="00361189">
              <w:t xml:space="preserve">. </w:t>
            </w:r>
            <w:r w:rsidR="00733DB5" w:rsidRPr="00361189">
              <w:t>The ICER was approximately linearly proportional to the assumed utility gain</w:t>
            </w:r>
            <w:r w:rsidR="00655E1E" w:rsidRPr="00361189">
              <w:t xml:space="preserve"> </w:t>
            </w:r>
            <w:r w:rsidRPr="00361189">
              <w:t>(i.e. halving the benefit will double the ICER)</w:t>
            </w:r>
          </w:p>
        </w:tc>
        <w:tc>
          <w:tcPr>
            <w:tcW w:w="1701" w:type="pct"/>
            <w:shd w:val="clear" w:color="auto" w:fill="auto"/>
            <w:vAlign w:val="center"/>
          </w:tcPr>
          <w:p w:rsidR="00B47DD7" w:rsidRPr="00361189" w:rsidRDefault="00B47DD7" w:rsidP="008D743C">
            <w:pPr>
              <w:pStyle w:val="TableText0"/>
            </w:pPr>
            <w:r w:rsidRPr="00361189">
              <w:t xml:space="preserve">High, favours pre-symptomatic initiation </w:t>
            </w:r>
          </w:p>
          <w:p w:rsidR="00E6055E" w:rsidRPr="00361189" w:rsidRDefault="00E6055E" w:rsidP="008D743C">
            <w:pPr>
              <w:pStyle w:val="TableText0"/>
            </w:pPr>
            <w:r w:rsidRPr="00361189">
              <w:t>Base case (0.2): $</w:t>
            </w:r>
            <w:r w:rsidR="00B255B9">
              <w:t>115,000 to &lt; $135,000/QALY</w:t>
            </w:r>
          </w:p>
          <w:p w:rsidR="00E6055E" w:rsidRPr="00361189" w:rsidRDefault="00E6055E" w:rsidP="008D743C">
            <w:pPr>
              <w:pStyle w:val="TableText0"/>
            </w:pPr>
            <w:r w:rsidRPr="00361189">
              <w:t>0.1: $</w:t>
            </w:r>
            <w:r w:rsidR="00B255B9">
              <w:t>255,000 to &lt; 355,000/QALY</w:t>
            </w:r>
            <w:r w:rsidRPr="00361189">
              <w:t xml:space="preserve"> (+101%)</w:t>
            </w:r>
          </w:p>
          <w:p w:rsidR="00E6055E" w:rsidRPr="00361189" w:rsidRDefault="00E6055E" w:rsidP="00B255B9">
            <w:pPr>
              <w:pStyle w:val="TableText0"/>
            </w:pPr>
            <w:r w:rsidRPr="00361189">
              <w:t>0.05: $</w:t>
            </w:r>
            <w:r w:rsidR="00B255B9">
              <w:t>455,000 to &lt; $550,000/QALY</w:t>
            </w:r>
            <w:r w:rsidRPr="00361189">
              <w:t xml:space="preserve"> (+304%)</w:t>
            </w:r>
          </w:p>
        </w:tc>
      </w:tr>
      <w:tr w:rsidR="00537182" w:rsidRPr="00361189" w:rsidTr="0052269E">
        <w:tc>
          <w:tcPr>
            <w:tcW w:w="626" w:type="pct"/>
            <w:shd w:val="clear" w:color="auto" w:fill="auto"/>
            <w:vAlign w:val="center"/>
          </w:tcPr>
          <w:p w:rsidR="00D110BD" w:rsidRPr="00361189" w:rsidRDefault="00E6055E" w:rsidP="0052269E">
            <w:pPr>
              <w:pStyle w:val="TableText0"/>
            </w:pPr>
            <w:r w:rsidRPr="00361189">
              <w:t>Duration of utility benefit</w:t>
            </w:r>
          </w:p>
        </w:tc>
        <w:tc>
          <w:tcPr>
            <w:tcW w:w="2673" w:type="pct"/>
            <w:shd w:val="clear" w:color="auto" w:fill="auto"/>
            <w:vAlign w:val="center"/>
          </w:tcPr>
          <w:p w:rsidR="00106B80" w:rsidRPr="00361189" w:rsidRDefault="00E6055E" w:rsidP="00733DB5">
            <w:pPr>
              <w:pStyle w:val="TableText0"/>
            </w:pPr>
            <w:r w:rsidRPr="00361189">
              <w:t xml:space="preserve">Base case assumed utility benefit of 0.2 declines linearly over 20 years to 0. </w:t>
            </w:r>
            <w:r w:rsidR="00733DB5" w:rsidRPr="00361189">
              <w:t>The ICER was sensitive to the duration over which the utility benefit decline</w:t>
            </w:r>
            <w:r w:rsidR="00655E1E" w:rsidRPr="00361189">
              <w:t>d</w:t>
            </w:r>
            <w:r w:rsidR="00733DB5" w:rsidRPr="00361189">
              <w:t xml:space="preserve"> </w:t>
            </w:r>
          </w:p>
        </w:tc>
        <w:tc>
          <w:tcPr>
            <w:tcW w:w="1701" w:type="pct"/>
            <w:shd w:val="clear" w:color="auto" w:fill="auto"/>
            <w:vAlign w:val="center"/>
          </w:tcPr>
          <w:p w:rsidR="00733DB5" w:rsidRPr="00361189" w:rsidRDefault="00733DB5" w:rsidP="008D743C">
            <w:pPr>
              <w:pStyle w:val="TableText0"/>
            </w:pPr>
            <w:r w:rsidRPr="00361189">
              <w:t>High, favours pre-symptomatic initiation</w:t>
            </w:r>
          </w:p>
          <w:p w:rsidR="00E6055E" w:rsidRPr="00361189" w:rsidRDefault="00E6055E" w:rsidP="008D743C">
            <w:pPr>
              <w:pStyle w:val="TableText0"/>
            </w:pPr>
            <w:r w:rsidRPr="00361189">
              <w:t>Base case (20 years): $</w:t>
            </w:r>
            <w:r w:rsidR="00B44F88">
              <w:t>115,000 to &lt; $135,000/QALY</w:t>
            </w:r>
          </w:p>
          <w:p w:rsidR="00490B17" w:rsidRPr="00361189" w:rsidRDefault="00E6055E" w:rsidP="008D743C">
            <w:pPr>
              <w:pStyle w:val="TableText0"/>
            </w:pPr>
            <w:r w:rsidRPr="00361189">
              <w:t>10 years: $</w:t>
            </w:r>
            <w:r w:rsidR="00B44F88">
              <w:t>155,000 to &lt; 255,000/QALY</w:t>
            </w:r>
            <w:r w:rsidRPr="00361189">
              <w:t xml:space="preserve"> (+77%)</w:t>
            </w:r>
          </w:p>
          <w:p w:rsidR="00E6055E" w:rsidRPr="00361189" w:rsidRDefault="00E6055E" w:rsidP="0053607E">
            <w:pPr>
              <w:pStyle w:val="TableText0"/>
            </w:pPr>
            <w:r w:rsidRPr="00361189">
              <w:t>5 years: $</w:t>
            </w:r>
            <w:r w:rsidR="0053607E">
              <w:t>355,000 to &lt; $455,000/QALY</w:t>
            </w:r>
            <w:r w:rsidRPr="00361189">
              <w:t xml:space="preserve"> (+222%)</w:t>
            </w:r>
          </w:p>
        </w:tc>
      </w:tr>
      <w:tr w:rsidR="00537182" w:rsidRPr="00361189" w:rsidTr="0052269E">
        <w:tc>
          <w:tcPr>
            <w:tcW w:w="626" w:type="pct"/>
            <w:shd w:val="clear" w:color="auto" w:fill="auto"/>
            <w:vAlign w:val="center"/>
          </w:tcPr>
          <w:p w:rsidR="00D110BD" w:rsidRPr="00361189" w:rsidRDefault="00E6055E" w:rsidP="0052269E">
            <w:pPr>
              <w:pStyle w:val="TableText0"/>
            </w:pPr>
            <w:r w:rsidRPr="00361189">
              <w:t>Mortality from SMA</w:t>
            </w:r>
          </w:p>
        </w:tc>
        <w:tc>
          <w:tcPr>
            <w:tcW w:w="2673" w:type="pct"/>
            <w:shd w:val="clear" w:color="auto" w:fill="auto"/>
            <w:vAlign w:val="center"/>
          </w:tcPr>
          <w:p w:rsidR="00D110BD" w:rsidRPr="00361189" w:rsidRDefault="00E6055E" w:rsidP="00BB00B3">
            <w:pPr>
              <w:pStyle w:val="TableText0"/>
            </w:pPr>
            <w:r w:rsidRPr="00361189">
              <w:t>Base case assumed no mortality from SMA</w:t>
            </w:r>
            <w:r w:rsidR="00361189">
              <w:t xml:space="preserve">. </w:t>
            </w:r>
            <w:r w:rsidRPr="00361189">
              <w:t>Using a 16% annual mortality</w:t>
            </w:r>
            <w:r w:rsidR="0031564E" w:rsidRPr="00361189">
              <w:t xml:space="preserve"> rate</w:t>
            </w:r>
            <w:r w:rsidRPr="00361189">
              <w:t xml:space="preserve"> for patients with SMA Type I, as reported in nusinersen treated patients in ENDEAR, increases the ICER significantly.</w:t>
            </w:r>
          </w:p>
        </w:tc>
        <w:tc>
          <w:tcPr>
            <w:tcW w:w="1701" w:type="pct"/>
            <w:shd w:val="clear" w:color="auto" w:fill="auto"/>
            <w:vAlign w:val="center"/>
          </w:tcPr>
          <w:p w:rsidR="00733DB5" w:rsidRPr="00361189" w:rsidRDefault="00733DB5" w:rsidP="00733DB5">
            <w:pPr>
              <w:pStyle w:val="TableText0"/>
            </w:pPr>
            <w:r w:rsidRPr="00361189">
              <w:t>High, favours pre-symptomatic initiation</w:t>
            </w:r>
          </w:p>
          <w:p w:rsidR="00D110BD" w:rsidRPr="00361189" w:rsidRDefault="00E6055E" w:rsidP="008D743C">
            <w:pPr>
              <w:pStyle w:val="TableText0"/>
            </w:pPr>
            <w:r w:rsidRPr="00361189">
              <w:t>Base case (0% pa): $</w:t>
            </w:r>
            <w:r w:rsidR="005C2F87" w:rsidRPr="005C2F87">
              <w:t>115,000 to &lt; $135,000/QALY</w:t>
            </w:r>
          </w:p>
          <w:p w:rsidR="00E6055E" w:rsidRPr="00361189" w:rsidRDefault="00E6055E" w:rsidP="008D743C">
            <w:pPr>
              <w:pStyle w:val="TableText0"/>
            </w:pPr>
            <w:r w:rsidRPr="00361189">
              <w:t>16% pa: $</w:t>
            </w:r>
            <w:r w:rsidR="005C2F87">
              <w:t>255,000 to &lt; $35</w:t>
            </w:r>
            <w:r w:rsidR="005C2F87" w:rsidRPr="005C2F87">
              <w:t>5,000/QALY</w:t>
            </w:r>
            <w:r w:rsidR="005C2F87" w:rsidRPr="005C2F87" w:rsidDel="005C2F87">
              <w:t xml:space="preserve"> </w:t>
            </w:r>
            <w:r w:rsidR="005C2F87">
              <w:t xml:space="preserve"> </w:t>
            </w:r>
            <w:r w:rsidRPr="00361189">
              <w:t>(+101%)</w:t>
            </w:r>
          </w:p>
        </w:tc>
      </w:tr>
    </w:tbl>
    <w:p w:rsidR="00D110BD" w:rsidRPr="00361189" w:rsidRDefault="00E6055E" w:rsidP="00BB00B3">
      <w:pPr>
        <w:pStyle w:val="TableFigureFooter"/>
      </w:pPr>
      <w:r w:rsidRPr="00361189">
        <w:t>Source: Table 3-16, p161 and Nusinersen Economic Model_March2020.xlsx</w:t>
      </w:r>
    </w:p>
    <w:p w:rsidR="00752BA6" w:rsidRPr="00361189" w:rsidRDefault="00752BA6" w:rsidP="00752BA6">
      <w:pPr>
        <w:pStyle w:val="3-BodyText"/>
      </w:pPr>
      <w:r w:rsidRPr="00361189">
        <w:t>In the previous model, duration of early treatment, false positive rates and health state cost savings were all key drivers</w:t>
      </w:r>
      <w:r w:rsidR="00361189">
        <w:t xml:space="preserve">. </w:t>
      </w:r>
      <w:r w:rsidRPr="00361189">
        <w:t xml:space="preserve">In the resubmission, the impact </w:t>
      </w:r>
      <w:r w:rsidR="0052269E" w:rsidRPr="00361189">
        <w:t xml:space="preserve">of </w:t>
      </w:r>
      <w:r w:rsidRPr="00361189">
        <w:t xml:space="preserve">duration of early treatment and false positive rates were much less significant due to the </w:t>
      </w:r>
      <w:r w:rsidR="00C95FDE" w:rsidRPr="00361189">
        <w:rPr>
          <w:i/>
        </w:rPr>
        <w:t>SMN2</w:t>
      </w:r>
      <w:r w:rsidRPr="00361189">
        <w:t xml:space="preserve"> </w:t>
      </w:r>
      <w:r w:rsidR="00066F86" w:rsidRPr="00361189">
        <w:t xml:space="preserve">copy number </w:t>
      </w:r>
      <w:r w:rsidRPr="00361189">
        <w:t xml:space="preserve">threshold changing from </w:t>
      </w:r>
      <w:r w:rsidR="00066F86" w:rsidRPr="00361189">
        <w:rPr>
          <w:rFonts w:cstheme="minorHAnsi"/>
        </w:rPr>
        <w:t>≤</w:t>
      </w:r>
      <w:r w:rsidRPr="00361189">
        <w:t xml:space="preserve">3 to </w:t>
      </w:r>
      <w:r w:rsidR="00066F86" w:rsidRPr="00361189">
        <w:rPr>
          <w:rFonts w:cstheme="minorHAnsi"/>
        </w:rPr>
        <w:t>≤</w:t>
      </w:r>
      <w:r w:rsidRPr="00361189">
        <w:t>2</w:t>
      </w:r>
      <w:r w:rsidR="00361189">
        <w:t xml:space="preserve">. </w:t>
      </w:r>
      <w:r w:rsidR="00066F86" w:rsidRPr="00361189">
        <w:t xml:space="preserve">An </w:t>
      </w:r>
      <w:r w:rsidR="00C95FDE" w:rsidRPr="00361189">
        <w:rPr>
          <w:i/>
        </w:rPr>
        <w:t>SMN2</w:t>
      </w:r>
      <w:r w:rsidR="00066F86" w:rsidRPr="00361189">
        <w:t xml:space="preserve"> copy number threshold of</w:t>
      </w:r>
      <w:r w:rsidR="00DA191F" w:rsidRPr="00361189">
        <w:t xml:space="preserve"> </w:t>
      </w:r>
      <w:r w:rsidR="00DA191F" w:rsidRPr="00361189">
        <w:rPr>
          <w:rFonts w:cstheme="minorHAnsi"/>
        </w:rPr>
        <w:t>≤</w:t>
      </w:r>
      <w:r w:rsidR="00DA191F" w:rsidRPr="00361189">
        <w:t>2 resulted in</w:t>
      </w:r>
      <w:r w:rsidR="00066F86" w:rsidRPr="00361189">
        <w:t xml:space="preserve"> </w:t>
      </w:r>
      <w:r w:rsidRPr="00361189">
        <w:t>(i) the proportion of each SMA Type changing significantly, with a much higher proportion of SMA Type I</w:t>
      </w:r>
      <w:r w:rsidR="0031564E" w:rsidRPr="00361189">
        <w:t>,</w:t>
      </w:r>
      <w:r w:rsidR="00733DB5" w:rsidRPr="00361189">
        <w:t xml:space="preserve"> </w:t>
      </w:r>
      <w:r w:rsidRPr="00361189">
        <w:t xml:space="preserve">which </w:t>
      </w:r>
      <w:r w:rsidR="00DA191F" w:rsidRPr="00361189">
        <w:t>is associated with a</w:t>
      </w:r>
      <w:r w:rsidRPr="00361189">
        <w:t xml:space="preserve"> shorter incremental </w:t>
      </w:r>
      <w:r w:rsidRPr="00361189">
        <w:lastRenderedPageBreak/>
        <w:t>duration of pre-symptomatic treatment</w:t>
      </w:r>
      <w:r w:rsidR="0052269E" w:rsidRPr="00361189">
        <w:t>;</w:t>
      </w:r>
      <w:r w:rsidRPr="00361189">
        <w:t xml:space="preserve"> and (ii) a lower false positive rate</w:t>
      </w:r>
      <w:r w:rsidR="00361189">
        <w:t xml:space="preserve">. </w:t>
      </w:r>
      <w:r w:rsidRPr="00361189">
        <w:t xml:space="preserve">The assumed health state cost savings </w:t>
      </w:r>
      <w:r w:rsidR="00DA191F" w:rsidRPr="00361189">
        <w:t xml:space="preserve">had a smaller </w:t>
      </w:r>
      <w:r w:rsidRPr="00361189">
        <w:t>impact on the ICER</w:t>
      </w:r>
      <w:r w:rsidR="00DA191F" w:rsidRPr="00361189">
        <w:t xml:space="preserve"> than in the previous submission and in</w:t>
      </w:r>
      <w:r w:rsidRPr="00361189">
        <w:t xml:space="preserve"> </w:t>
      </w:r>
      <w:r w:rsidR="00DA191F" w:rsidRPr="00361189">
        <w:t>comparison to</w:t>
      </w:r>
      <w:r w:rsidRPr="00361189">
        <w:t xml:space="preserve"> other factors listed in </w:t>
      </w:r>
      <w:r w:rsidR="0052269E" w:rsidRPr="00361189">
        <w:t>Table 11</w:t>
      </w:r>
      <w:r w:rsidR="00361189">
        <w:t xml:space="preserve">. </w:t>
      </w:r>
      <w:r w:rsidRPr="00361189">
        <w:t xml:space="preserve">Additionally, the change in model structure made cross model comparisons of </w:t>
      </w:r>
      <w:r w:rsidR="00DA191F" w:rsidRPr="00361189">
        <w:t xml:space="preserve">key </w:t>
      </w:r>
      <w:r w:rsidRPr="00361189">
        <w:t>driver</w:t>
      </w:r>
      <w:r w:rsidR="00DA191F" w:rsidRPr="00361189">
        <w:t>s</w:t>
      </w:r>
      <w:r w:rsidRPr="00361189">
        <w:t xml:space="preserve"> difficult</w:t>
      </w:r>
      <w:r w:rsidR="00733DB5" w:rsidRPr="00361189">
        <w:t xml:space="preserve"> and uninformative</w:t>
      </w:r>
      <w:r w:rsidRPr="00361189">
        <w:t xml:space="preserve">. </w:t>
      </w:r>
    </w:p>
    <w:p w:rsidR="0052269E" w:rsidRPr="00361189" w:rsidRDefault="0052269E" w:rsidP="0052269E">
      <w:pPr>
        <w:pStyle w:val="3-BodyText"/>
        <w:spacing w:after="0"/>
      </w:pPr>
      <w:r w:rsidRPr="00361189">
        <w:t>The resubmission estimated an ICER of $</w:t>
      </w:r>
      <w:r w:rsidR="00F454FB">
        <w:t>45,000 to &lt; $55,000</w:t>
      </w:r>
      <w:r w:rsidRPr="00361189">
        <w:t>/QALY</w:t>
      </w:r>
      <w:r w:rsidR="00361189">
        <w:t xml:space="preserve">. </w:t>
      </w:r>
      <w:r w:rsidRPr="00361189">
        <w:t>Various errors in the economic model were identified in terms of:</w:t>
      </w:r>
    </w:p>
    <w:p w:rsidR="0052269E" w:rsidRPr="00361189" w:rsidRDefault="0052269E" w:rsidP="00E157D9">
      <w:pPr>
        <w:pStyle w:val="ListParagraph"/>
        <w:numPr>
          <w:ilvl w:val="0"/>
          <w:numId w:val="18"/>
        </w:numPr>
        <w:spacing w:after="0"/>
        <w:ind w:hanging="371"/>
      </w:pPr>
      <w:r w:rsidRPr="00361189">
        <w:t>Application of half cycle corrections</w:t>
      </w:r>
      <w:r w:rsidR="00417412" w:rsidRPr="00361189">
        <w:t xml:space="preserve">: half cycle correction was inappropriately applied to the </w:t>
      </w:r>
      <w:r w:rsidR="00B31C71" w:rsidRPr="00361189">
        <w:t>cost</w:t>
      </w:r>
      <w:r w:rsidR="00417412" w:rsidRPr="00361189">
        <w:t xml:space="preserve"> of nusinersen, along </w:t>
      </w:r>
      <w:r w:rsidR="00B31C71" w:rsidRPr="00361189">
        <w:t xml:space="preserve">with the cost of administration, </w:t>
      </w:r>
      <w:r w:rsidR="00417412" w:rsidRPr="00361189">
        <w:t>adverse events as well as utility decrement from adverse events in the first cycle;</w:t>
      </w:r>
    </w:p>
    <w:p w:rsidR="0052269E" w:rsidRPr="00361189" w:rsidRDefault="0052269E" w:rsidP="00600BA7">
      <w:pPr>
        <w:pStyle w:val="ListBullet"/>
        <w:numPr>
          <w:ilvl w:val="0"/>
          <w:numId w:val="18"/>
        </w:numPr>
        <w:ind w:left="1134" w:hanging="425"/>
      </w:pPr>
      <w:r w:rsidRPr="00361189">
        <w:t xml:space="preserve">Doses in the initiation phase: </w:t>
      </w:r>
      <w:r w:rsidR="008D1CC1" w:rsidRPr="00361189">
        <w:t xml:space="preserve">the resubmission assumed three doses in each of the first two cycles for initiation of nusinersen. This was changed to </w:t>
      </w:r>
      <w:r w:rsidRPr="00361189">
        <w:t>four doses in the first cycle of initiation, then two doses in the second cycle</w:t>
      </w:r>
      <w:r w:rsidR="00417412" w:rsidRPr="00361189">
        <w:t xml:space="preserve"> </w:t>
      </w:r>
      <w:r w:rsidR="008D1CC1" w:rsidRPr="00361189">
        <w:t>to more accurately reflect the dosing schedule according to the product information;</w:t>
      </w:r>
      <w:r w:rsidR="00417412" w:rsidRPr="00361189">
        <w:t xml:space="preserve"> and</w:t>
      </w:r>
    </w:p>
    <w:p w:rsidR="00417412" w:rsidRPr="00361189" w:rsidRDefault="0052269E" w:rsidP="00600BA7">
      <w:pPr>
        <w:pStyle w:val="ListBullet"/>
        <w:numPr>
          <w:ilvl w:val="0"/>
          <w:numId w:val="18"/>
        </w:numPr>
        <w:spacing w:after="120"/>
        <w:ind w:left="1134" w:hanging="425"/>
        <w:contextualSpacing w:val="0"/>
      </w:pPr>
      <w:r w:rsidRPr="00361189">
        <w:t xml:space="preserve">Rebate in the SoC arm: </w:t>
      </w:r>
      <w:r w:rsidR="00417412" w:rsidRPr="00361189">
        <w:t xml:space="preserve">the resubmission did not </w:t>
      </w:r>
      <w:r w:rsidRPr="00361189">
        <w:t>appl</w:t>
      </w:r>
      <w:r w:rsidR="00417412" w:rsidRPr="00361189">
        <w:t>y</w:t>
      </w:r>
      <w:r w:rsidRPr="00361189">
        <w:t xml:space="preserve"> the rebate for </w:t>
      </w:r>
      <w:r w:rsidR="00E659B7">
        <w:rPr>
          <w:noProof/>
          <w:color w:val="000000"/>
          <w:highlight w:val="black"/>
        </w:rPr>
        <w:t>''''''' ''''' ''''''''' '''''''''''''' ''''''''''</w:t>
      </w:r>
      <w:r w:rsidRPr="00361189">
        <w:t xml:space="preserve"> to the SoC arm</w:t>
      </w:r>
      <w:r w:rsidR="00417412" w:rsidRPr="00361189">
        <w:t xml:space="preserve"> in patients with Type II and IIIa SMA</w:t>
      </w:r>
      <w:r w:rsidRPr="00361189">
        <w:t>, treated once becoming symptomatic</w:t>
      </w:r>
      <w:r w:rsidR="00417412" w:rsidRPr="00361189">
        <w:t>.</w:t>
      </w:r>
      <w:r w:rsidRPr="00361189">
        <w:t xml:space="preserve"> </w:t>
      </w:r>
    </w:p>
    <w:p w:rsidR="0052269E" w:rsidRPr="00361189" w:rsidRDefault="009570E4" w:rsidP="0052269E">
      <w:pPr>
        <w:pStyle w:val="ListBullet"/>
        <w:numPr>
          <w:ilvl w:val="0"/>
          <w:numId w:val="0"/>
        </w:numPr>
        <w:spacing w:after="120"/>
        <w:ind w:left="709"/>
      </w:pPr>
      <w:r w:rsidRPr="00361189">
        <w:t>The resulting ICER</w:t>
      </w:r>
      <w:r w:rsidR="00D217E2" w:rsidRPr="00361189">
        <w:t xml:space="preserve"> </w:t>
      </w:r>
      <w:r w:rsidRPr="00361189">
        <w:t xml:space="preserve">following correction of </w:t>
      </w:r>
      <w:r w:rsidR="0052269E" w:rsidRPr="00361189">
        <w:t xml:space="preserve">these errors </w:t>
      </w:r>
      <w:r w:rsidR="00417412" w:rsidRPr="00361189">
        <w:t>was $</w:t>
      </w:r>
      <w:r w:rsidR="00FD33B7">
        <w:t>115,000 to &lt; $135,000</w:t>
      </w:r>
      <w:r w:rsidR="00D217E2" w:rsidRPr="00361189">
        <w:t>/QALY</w:t>
      </w:r>
      <w:r w:rsidR="00361189">
        <w:t xml:space="preserve">. </w:t>
      </w:r>
      <w:r w:rsidR="0052269E" w:rsidRPr="00361189">
        <w:t>All results (base case and sensitivity analyses) are in reference to this corrected ICER</w:t>
      </w:r>
      <w:r w:rsidR="00361189">
        <w:t xml:space="preserve">. </w:t>
      </w:r>
    </w:p>
    <w:p w:rsidR="00752BA6" w:rsidRPr="00361189" w:rsidRDefault="00752BA6" w:rsidP="00752BA6">
      <w:pPr>
        <w:pStyle w:val="3-BodyText"/>
      </w:pPr>
      <w:r w:rsidRPr="00361189">
        <w:t xml:space="preserve">The results of the economic analysis </w:t>
      </w:r>
      <w:r w:rsidR="00243B72" w:rsidRPr="00361189">
        <w:t>are</w:t>
      </w:r>
      <w:r w:rsidRPr="00361189">
        <w:t xml:space="preserve"> presented in</w:t>
      </w:r>
      <w:r w:rsidR="00EE72BD">
        <w:t xml:space="preserve"> Table 13</w:t>
      </w:r>
      <w:r w:rsidRPr="00361189">
        <w:t xml:space="preserve">. </w:t>
      </w:r>
    </w:p>
    <w:p w:rsidR="00752BA6" w:rsidRPr="00361189" w:rsidRDefault="0052269E" w:rsidP="00752BA6">
      <w:pPr>
        <w:keepNext/>
        <w:keepLines/>
        <w:rPr>
          <w:rFonts w:ascii="Arial Narrow" w:hAnsi="Arial Narrow"/>
          <w:b/>
          <w:sz w:val="20"/>
          <w:szCs w:val="20"/>
        </w:rPr>
      </w:pPr>
      <w:bookmarkStart w:id="46" w:name="_Ref39365291"/>
      <w:r w:rsidRPr="00361189">
        <w:rPr>
          <w:rFonts w:ascii="Arial Narrow" w:hAnsi="Arial Narrow"/>
          <w:b/>
          <w:sz w:val="20"/>
          <w:szCs w:val="20"/>
        </w:rPr>
        <w:t xml:space="preserve">Table </w:t>
      </w:r>
      <w:bookmarkEnd w:id="46"/>
      <w:r w:rsidR="00EE72BD">
        <w:rPr>
          <w:rFonts w:ascii="Arial Narrow" w:hAnsi="Arial Narrow"/>
          <w:b/>
          <w:sz w:val="20"/>
          <w:szCs w:val="20"/>
        </w:rPr>
        <w:t>13</w:t>
      </w:r>
      <w:r w:rsidR="00752BA6" w:rsidRPr="00361189">
        <w:rPr>
          <w:rFonts w:ascii="Arial Narrow" w:hAnsi="Arial Narrow"/>
          <w:b/>
          <w:sz w:val="20"/>
          <w:szCs w:val="20"/>
        </w:rPr>
        <w:t xml:space="preserve">: Result of economic evaluation </w:t>
      </w:r>
    </w:p>
    <w:tbl>
      <w:tblPr>
        <w:tblStyle w:val="TableGrid"/>
        <w:tblW w:w="9067" w:type="dxa"/>
        <w:tblCellMar>
          <w:left w:w="28" w:type="dxa"/>
          <w:right w:w="28" w:type="dxa"/>
        </w:tblCellMar>
        <w:tblLook w:val="04A0" w:firstRow="1" w:lastRow="0" w:firstColumn="1" w:lastColumn="0" w:noHBand="0" w:noVBand="1"/>
        <w:tblCaption w:val="Table 13: Result of economic evaluation "/>
      </w:tblPr>
      <w:tblGrid>
        <w:gridCol w:w="1555"/>
        <w:gridCol w:w="2409"/>
        <w:gridCol w:w="2127"/>
        <w:gridCol w:w="2976"/>
      </w:tblGrid>
      <w:tr w:rsidR="00752BA6" w:rsidRPr="00361189" w:rsidTr="007E5A35">
        <w:trPr>
          <w:tblHeader/>
        </w:trPr>
        <w:tc>
          <w:tcPr>
            <w:tcW w:w="1555" w:type="dxa"/>
            <w:vAlign w:val="center"/>
          </w:tcPr>
          <w:p w:rsidR="00752BA6" w:rsidRPr="00361189" w:rsidRDefault="00752BA6" w:rsidP="00576FD0">
            <w:pPr>
              <w:keepNext/>
              <w:keepLines/>
              <w:jc w:val="left"/>
              <w:rPr>
                <w:rFonts w:ascii="Arial Narrow" w:hAnsi="Arial Narrow"/>
                <w:b/>
                <w:sz w:val="20"/>
                <w:szCs w:val="20"/>
              </w:rPr>
            </w:pPr>
            <w:r w:rsidRPr="00361189">
              <w:rPr>
                <w:rFonts w:ascii="Arial Narrow" w:hAnsi="Arial Narrow"/>
                <w:b/>
                <w:sz w:val="20"/>
                <w:szCs w:val="20"/>
              </w:rPr>
              <w:t>Model parameter</w:t>
            </w:r>
          </w:p>
        </w:tc>
        <w:tc>
          <w:tcPr>
            <w:tcW w:w="2409" w:type="dxa"/>
            <w:vAlign w:val="center"/>
          </w:tcPr>
          <w:p w:rsidR="00752BA6" w:rsidRPr="00361189" w:rsidRDefault="00752BA6" w:rsidP="00576FD0">
            <w:pPr>
              <w:keepNext/>
              <w:keepLines/>
              <w:jc w:val="center"/>
              <w:rPr>
                <w:rFonts w:ascii="Arial Narrow" w:hAnsi="Arial Narrow"/>
                <w:b/>
                <w:sz w:val="20"/>
                <w:szCs w:val="20"/>
              </w:rPr>
            </w:pPr>
            <w:r w:rsidRPr="00361189">
              <w:rPr>
                <w:rFonts w:ascii="Arial Narrow" w:hAnsi="Arial Narrow"/>
                <w:b/>
                <w:sz w:val="20"/>
                <w:szCs w:val="20"/>
              </w:rPr>
              <w:t>Pre-symptomatic initiation</w:t>
            </w:r>
          </w:p>
        </w:tc>
        <w:tc>
          <w:tcPr>
            <w:tcW w:w="2127" w:type="dxa"/>
            <w:vAlign w:val="center"/>
          </w:tcPr>
          <w:p w:rsidR="00752BA6" w:rsidRPr="00361189" w:rsidRDefault="00752BA6" w:rsidP="00576FD0">
            <w:pPr>
              <w:keepNext/>
              <w:keepLines/>
              <w:jc w:val="center"/>
              <w:rPr>
                <w:rFonts w:ascii="Arial Narrow" w:hAnsi="Arial Narrow"/>
                <w:b/>
                <w:sz w:val="20"/>
                <w:szCs w:val="20"/>
              </w:rPr>
            </w:pPr>
            <w:r w:rsidRPr="00361189">
              <w:rPr>
                <w:rFonts w:ascii="Arial Narrow" w:hAnsi="Arial Narrow"/>
                <w:b/>
                <w:sz w:val="20"/>
                <w:szCs w:val="20"/>
              </w:rPr>
              <w:t>Standard of Care (SoC)</w:t>
            </w:r>
          </w:p>
        </w:tc>
        <w:tc>
          <w:tcPr>
            <w:tcW w:w="2976" w:type="dxa"/>
            <w:vAlign w:val="center"/>
          </w:tcPr>
          <w:p w:rsidR="00752BA6" w:rsidRPr="00361189" w:rsidRDefault="00752BA6" w:rsidP="00576FD0">
            <w:pPr>
              <w:keepNext/>
              <w:keepLines/>
              <w:jc w:val="center"/>
              <w:rPr>
                <w:rFonts w:ascii="Arial Narrow" w:hAnsi="Arial Narrow"/>
                <w:b/>
                <w:sz w:val="20"/>
                <w:szCs w:val="20"/>
              </w:rPr>
            </w:pPr>
            <w:r w:rsidRPr="00361189">
              <w:rPr>
                <w:rFonts w:ascii="Arial Narrow" w:hAnsi="Arial Narrow"/>
                <w:b/>
                <w:sz w:val="20"/>
                <w:szCs w:val="20"/>
              </w:rPr>
              <w:t>Incremental (corrected base case)</w:t>
            </w:r>
          </w:p>
        </w:tc>
      </w:tr>
      <w:tr w:rsidR="00752BA6" w:rsidRPr="00361189" w:rsidTr="00576FD0">
        <w:tc>
          <w:tcPr>
            <w:tcW w:w="9067" w:type="dxa"/>
            <w:gridSpan w:val="4"/>
            <w:vAlign w:val="center"/>
          </w:tcPr>
          <w:p w:rsidR="00752BA6" w:rsidRPr="00361189" w:rsidRDefault="00752BA6" w:rsidP="00576FD0">
            <w:pPr>
              <w:keepNext/>
              <w:keepLines/>
              <w:jc w:val="left"/>
              <w:rPr>
                <w:rFonts w:ascii="Arial Narrow" w:hAnsi="Arial Narrow" w:cs="Calibri"/>
                <w:b/>
                <w:sz w:val="20"/>
                <w:szCs w:val="20"/>
              </w:rPr>
            </w:pPr>
            <w:r w:rsidRPr="00361189">
              <w:rPr>
                <w:rFonts w:ascii="Arial Narrow" w:hAnsi="Arial Narrow" w:cs="Calibri"/>
                <w:b/>
                <w:color w:val="000000"/>
                <w:sz w:val="20"/>
                <w:szCs w:val="20"/>
              </w:rPr>
              <w:t>Costs</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i/>
                <w:color w:val="000000"/>
                <w:sz w:val="20"/>
                <w:szCs w:val="20"/>
              </w:rPr>
              <w:t>SMN2</w:t>
            </w:r>
            <w:r w:rsidRPr="00361189">
              <w:rPr>
                <w:rFonts w:ascii="Arial Narrow" w:hAnsi="Arial Narrow" w:cs="Calibri"/>
                <w:color w:val="000000"/>
                <w:sz w:val="20"/>
                <w:szCs w:val="20"/>
              </w:rPr>
              <w:t xml:space="preserve"> test costs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$1,250</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$0</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$1,250</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color w:val="000000"/>
                <w:sz w:val="20"/>
                <w:szCs w:val="20"/>
              </w:rPr>
              <w:t>Nusinersen costs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w:t>
            </w:r>
            <w:r w:rsidR="00E659B7">
              <w:rPr>
                <w:rFonts w:ascii="Arial Narrow" w:hAnsi="Arial Narrow" w:cs="Calibri"/>
                <w:noProof/>
                <w:color w:val="000000"/>
                <w:sz w:val="20"/>
                <w:szCs w:val="20"/>
                <w:highlight w:val="black"/>
              </w:rPr>
              <w:t>'''''''''''''''''''''</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w:t>
            </w:r>
            <w:r w:rsidR="00E659B7">
              <w:rPr>
                <w:rFonts w:ascii="Arial Narrow" w:hAnsi="Arial Narrow" w:cs="Calibri"/>
                <w:noProof/>
                <w:color w:val="000000"/>
                <w:sz w:val="20"/>
                <w:szCs w:val="20"/>
                <w:highlight w:val="black"/>
              </w:rPr>
              <w:t>''''''''''''''''''''''''''</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w:t>
            </w:r>
            <w:r w:rsidR="00E659B7">
              <w:rPr>
                <w:rFonts w:ascii="Arial Narrow" w:hAnsi="Arial Narrow" w:cs="Calibri"/>
                <w:noProof/>
                <w:color w:val="000000"/>
                <w:sz w:val="20"/>
                <w:szCs w:val="20"/>
                <w:highlight w:val="black"/>
              </w:rPr>
              <w:t>''''''''''''''''''</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color w:val="000000"/>
                <w:sz w:val="20"/>
                <w:szCs w:val="20"/>
              </w:rPr>
              <w:t>Admin costs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$16,894</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$15,894</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$1,000</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color w:val="000000"/>
                <w:sz w:val="20"/>
                <w:szCs w:val="20"/>
              </w:rPr>
              <w:t>AE cost</w:t>
            </w:r>
            <w:r w:rsidR="00417412" w:rsidRPr="00361189">
              <w:rPr>
                <w:rFonts w:ascii="Arial Narrow" w:hAnsi="Arial Narrow" w:cs="Calibri"/>
                <w:color w:val="000000"/>
                <w:sz w:val="20"/>
                <w:szCs w:val="20"/>
              </w:rPr>
              <w:t xml:space="preserve"> </w:t>
            </w:r>
            <w:r w:rsidR="00417412" w:rsidRPr="00361189">
              <w:rPr>
                <w:rFonts w:ascii="Arial Narrow" w:hAnsi="Arial Narrow" w:cs="Calibri"/>
                <w:color w:val="000000"/>
                <w:sz w:val="20"/>
                <w:szCs w:val="20"/>
                <w:vertAlign w:val="superscript"/>
              </w:rPr>
              <w:t>a</w:t>
            </w:r>
            <w:r w:rsidRPr="00361189">
              <w:rPr>
                <w:rFonts w:ascii="Arial Narrow" w:hAnsi="Arial Narrow" w:cs="Calibri"/>
                <w:color w:val="000000"/>
                <w:sz w:val="20"/>
                <w:szCs w:val="20"/>
              </w:rPr>
              <w: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$1,225</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$1,022</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$203</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color w:val="000000"/>
                <w:sz w:val="20"/>
                <w:szCs w:val="20"/>
              </w:rPr>
              <w:t>HS costs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$155,976</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$177,163</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sz w:val="20"/>
                <w:szCs w:val="20"/>
              </w:rPr>
              <w:t>-$21,187</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cs="Calibri"/>
                <w:b/>
                <w:bCs/>
                <w:color w:val="000000"/>
                <w:sz w:val="20"/>
                <w:szCs w:val="20"/>
              </w:rPr>
              <w:t>Total costs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w:t>
            </w:r>
            <w:r w:rsidR="00E659B7">
              <w:rPr>
                <w:rFonts w:ascii="Arial Narrow" w:hAnsi="Arial Narrow" w:cs="Calibri"/>
                <w:b/>
                <w:bCs/>
                <w:noProof/>
                <w:color w:val="000000"/>
                <w:sz w:val="20"/>
                <w:szCs w:val="20"/>
                <w:highlight w:val="black"/>
              </w:rPr>
              <w:t>''''''''''''''''''</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w:t>
            </w:r>
            <w:r w:rsidR="00E659B7">
              <w:rPr>
                <w:rFonts w:ascii="Arial Narrow" w:hAnsi="Arial Narrow" w:cs="Calibri"/>
                <w:b/>
                <w:bCs/>
                <w:noProof/>
                <w:color w:val="000000"/>
                <w:sz w:val="20"/>
                <w:szCs w:val="20"/>
                <w:highlight w:val="black"/>
              </w:rPr>
              <w:t>'''''''''''''''''''''</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w:t>
            </w:r>
            <w:r w:rsidR="00E659B7">
              <w:rPr>
                <w:rFonts w:ascii="Arial Narrow" w:hAnsi="Arial Narrow" w:cs="Calibri"/>
                <w:b/>
                <w:bCs/>
                <w:noProof/>
                <w:color w:val="000000"/>
                <w:sz w:val="20"/>
                <w:szCs w:val="20"/>
                <w:highlight w:val="black"/>
              </w:rPr>
              <w:t>''''''''''''''''</w:t>
            </w:r>
          </w:p>
        </w:tc>
      </w:tr>
      <w:tr w:rsidR="00752BA6" w:rsidRPr="00361189" w:rsidTr="00576FD0">
        <w:tc>
          <w:tcPr>
            <w:tcW w:w="9067" w:type="dxa"/>
            <w:gridSpan w:val="4"/>
            <w:vAlign w:val="center"/>
          </w:tcPr>
          <w:p w:rsidR="00752BA6" w:rsidRPr="00361189" w:rsidRDefault="00752BA6" w:rsidP="00576FD0">
            <w:pPr>
              <w:keepNext/>
              <w:keepLines/>
              <w:jc w:val="left"/>
              <w:rPr>
                <w:rFonts w:ascii="Arial Narrow" w:hAnsi="Arial Narrow" w:cs="Calibri"/>
                <w:b/>
                <w:color w:val="000000"/>
                <w:sz w:val="20"/>
                <w:szCs w:val="20"/>
              </w:rPr>
            </w:pPr>
            <w:r w:rsidRPr="00361189">
              <w:rPr>
                <w:rFonts w:ascii="Arial Narrow" w:hAnsi="Arial Narrow"/>
                <w:b/>
                <w:sz w:val="20"/>
                <w:szCs w:val="20"/>
              </w:rPr>
              <w:t>Outcomes</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sz w:val="20"/>
                <w:szCs w:val="20"/>
              </w:rPr>
              <w:t xml:space="preserve">QALY </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10.7276</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9.2542</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1.4734</w:t>
            </w:r>
          </w:p>
        </w:tc>
      </w:tr>
      <w:tr w:rsidR="00752BA6" w:rsidRPr="00361189" w:rsidTr="00576FD0">
        <w:tc>
          <w:tcPr>
            <w:tcW w:w="1555" w:type="dxa"/>
            <w:vAlign w:val="bottom"/>
          </w:tcPr>
          <w:p w:rsidR="00752BA6" w:rsidRPr="00361189" w:rsidRDefault="00752BA6" w:rsidP="00576FD0">
            <w:pPr>
              <w:keepNext/>
              <w:keepLines/>
              <w:rPr>
                <w:rFonts w:ascii="Arial Narrow" w:hAnsi="Arial Narrow"/>
                <w:sz w:val="20"/>
                <w:szCs w:val="20"/>
              </w:rPr>
            </w:pPr>
            <w:r w:rsidRPr="00361189">
              <w:rPr>
                <w:rFonts w:ascii="Arial Narrow" w:hAnsi="Arial Narrow"/>
                <w:sz w:val="20"/>
                <w:szCs w:val="20"/>
              </w:rPr>
              <w:t>AE QALY loss</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-0.0300</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-0.0250</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color w:val="000000"/>
                <w:sz w:val="20"/>
                <w:szCs w:val="20"/>
              </w:rPr>
              <w:t>-0.0050</w:t>
            </w:r>
          </w:p>
        </w:tc>
      </w:tr>
      <w:tr w:rsidR="00752BA6" w:rsidRPr="00361189" w:rsidTr="00576FD0">
        <w:tc>
          <w:tcPr>
            <w:tcW w:w="1555" w:type="dxa"/>
            <w:vAlign w:val="bottom"/>
          </w:tcPr>
          <w:p w:rsidR="00752BA6" w:rsidRPr="00361189" w:rsidRDefault="00752BA6" w:rsidP="00576FD0">
            <w:pPr>
              <w:keepNext/>
              <w:keepLines/>
              <w:rPr>
                <w:rFonts w:ascii="Arial Narrow" w:hAnsi="Arial Narrow"/>
                <w:b/>
                <w:sz w:val="20"/>
                <w:szCs w:val="20"/>
              </w:rPr>
            </w:pPr>
            <w:r w:rsidRPr="00361189">
              <w:rPr>
                <w:rFonts w:ascii="Arial Narrow" w:hAnsi="Arial Narrow"/>
                <w:b/>
                <w:sz w:val="20"/>
                <w:szCs w:val="20"/>
              </w:rPr>
              <w:t>Total QALY</w:t>
            </w:r>
          </w:p>
        </w:tc>
        <w:tc>
          <w:tcPr>
            <w:tcW w:w="2409"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10.6976</w:t>
            </w:r>
          </w:p>
        </w:tc>
        <w:tc>
          <w:tcPr>
            <w:tcW w:w="2127"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9.2292</w:t>
            </w:r>
          </w:p>
        </w:tc>
        <w:tc>
          <w:tcPr>
            <w:tcW w:w="2976" w:type="dxa"/>
            <w:vAlign w:val="center"/>
          </w:tcPr>
          <w:p w:rsidR="00752BA6" w:rsidRPr="00361189" w:rsidRDefault="00752BA6" w:rsidP="00576FD0">
            <w:pPr>
              <w:keepNext/>
              <w:keepLines/>
              <w:jc w:val="center"/>
              <w:rPr>
                <w:rFonts w:ascii="Arial Narrow" w:hAnsi="Arial Narrow"/>
                <w:sz w:val="20"/>
                <w:szCs w:val="20"/>
              </w:rPr>
            </w:pPr>
            <w:r w:rsidRPr="00361189">
              <w:rPr>
                <w:rFonts w:ascii="Arial Narrow" w:hAnsi="Arial Narrow" w:cs="Calibri"/>
                <w:b/>
                <w:bCs/>
                <w:color w:val="000000"/>
                <w:sz w:val="20"/>
                <w:szCs w:val="20"/>
              </w:rPr>
              <w:t>1.4684</w:t>
            </w:r>
          </w:p>
        </w:tc>
      </w:tr>
      <w:tr w:rsidR="00752BA6" w:rsidRPr="00361189" w:rsidTr="00576FD0">
        <w:tc>
          <w:tcPr>
            <w:tcW w:w="6091" w:type="dxa"/>
            <w:gridSpan w:val="3"/>
            <w:vAlign w:val="bottom"/>
          </w:tcPr>
          <w:p w:rsidR="00752BA6" w:rsidRPr="00361189" w:rsidRDefault="00752BA6" w:rsidP="00576FD0">
            <w:pPr>
              <w:keepNext/>
              <w:keepLines/>
              <w:jc w:val="right"/>
              <w:rPr>
                <w:rFonts w:ascii="Arial Narrow" w:hAnsi="Arial Narrow"/>
                <w:sz w:val="20"/>
                <w:szCs w:val="20"/>
              </w:rPr>
            </w:pPr>
            <w:r w:rsidRPr="00361189">
              <w:rPr>
                <w:rFonts w:ascii="Arial Narrow" w:hAnsi="Arial Narrow"/>
                <w:b/>
                <w:sz w:val="20"/>
                <w:szCs w:val="20"/>
              </w:rPr>
              <w:t>ICER</w:t>
            </w:r>
          </w:p>
        </w:tc>
        <w:tc>
          <w:tcPr>
            <w:tcW w:w="2976" w:type="dxa"/>
            <w:vAlign w:val="center"/>
          </w:tcPr>
          <w:p w:rsidR="00752BA6" w:rsidRPr="00361189" w:rsidRDefault="00752BA6" w:rsidP="00576FD0">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r w:rsidRPr="00361189">
              <w:rPr>
                <w:rFonts w:ascii="Arial Narrow" w:hAnsi="Arial Narrow"/>
                <w:b/>
                <w:sz w:val="20"/>
                <w:szCs w:val="20"/>
              </w:rPr>
              <w:t>/QALY</w:t>
            </w:r>
          </w:p>
        </w:tc>
      </w:tr>
      <w:tr w:rsidR="00752BA6" w:rsidRPr="00361189" w:rsidTr="00576FD0">
        <w:tc>
          <w:tcPr>
            <w:tcW w:w="6091" w:type="dxa"/>
            <w:gridSpan w:val="3"/>
            <w:vAlign w:val="bottom"/>
          </w:tcPr>
          <w:p w:rsidR="00752BA6" w:rsidRPr="00361189" w:rsidRDefault="00752BA6" w:rsidP="00576FD0">
            <w:pPr>
              <w:keepNext/>
              <w:keepLines/>
              <w:jc w:val="right"/>
              <w:rPr>
                <w:rFonts w:ascii="Arial Narrow" w:hAnsi="Arial Narrow"/>
                <w:b/>
                <w:sz w:val="20"/>
                <w:szCs w:val="20"/>
              </w:rPr>
            </w:pPr>
            <w:r w:rsidRPr="00361189">
              <w:rPr>
                <w:rFonts w:ascii="Arial Narrow" w:hAnsi="Arial Narrow"/>
                <w:b/>
                <w:sz w:val="20"/>
                <w:szCs w:val="20"/>
              </w:rPr>
              <w:t>Previous submission</w:t>
            </w:r>
          </w:p>
        </w:tc>
        <w:tc>
          <w:tcPr>
            <w:tcW w:w="2976" w:type="dxa"/>
            <w:vAlign w:val="center"/>
          </w:tcPr>
          <w:p w:rsidR="00752BA6" w:rsidRPr="00361189" w:rsidRDefault="00232FDE" w:rsidP="00576FD0">
            <w:pPr>
              <w:keepNext/>
              <w:keepLines/>
              <w:jc w:val="center"/>
              <w:rPr>
                <w:rFonts w:ascii="Arial Narrow" w:hAnsi="Arial Narrow"/>
                <w:b/>
                <w:sz w:val="20"/>
                <w:szCs w:val="20"/>
                <w:vertAlign w:val="superscript"/>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r w:rsidRPr="00361189">
              <w:rPr>
                <w:rFonts w:ascii="Arial Narrow" w:hAnsi="Arial Narrow"/>
                <w:b/>
                <w:sz w:val="20"/>
                <w:szCs w:val="20"/>
              </w:rPr>
              <w:t>/QALY</w:t>
            </w:r>
            <w:r w:rsidR="00417412" w:rsidRPr="00361189">
              <w:rPr>
                <w:rFonts w:ascii="Arial Narrow" w:hAnsi="Arial Narrow"/>
                <w:b/>
                <w:sz w:val="20"/>
                <w:szCs w:val="20"/>
                <w:vertAlign w:val="superscript"/>
              </w:rPr>
              <w:t xml:space="preserve"> b</w:t>
            </w:r>
          </w:p>
        </w:tc>
      </w:tr>
      <w:tr w:rsidR="007D1105" w:rsidRPr="00361189" w:rsidTr="00576FD0">
        <w:tc>
          <w:tcPr>
            <w:tcW w:w="6091" w:type="dxa"/>
            <w:gridSpan w:val="3"/>
            <w:vAlign w:val="bottom"/>
          </w:tcPr>
          <w:p w:rsidR="007D1105" w:rsidRPr="00361189" w:rsidRDefault="007D1105" w:rsidP="007D1105">
            <w:pPr>
              <w:keepNext/>
              <w:keepLines/>
              <w:jc w:val="right"/>
              <w:rPr>
                <w:rFonts w:ascii="Arial Narrow" w:hAnsi="Arial Narrow"/>
                <w:b/>
                <w:sz w:val="20"/>
                <w:szCs w:val="20"/>
              </w:rPr>
            </w:pPr>
            <w:r w:rsidRPr="00361189">
              <w:rPr>
                <w:rFonts w:ascii="Arial Narrow" w:hAnsi="Arial Narrow"/>
                <w:b/>
                <w:sz w:val="20"/>
                <w:szCs w:val="20"/>
              </w:rPr>
              <w:t>ESC respecified base case ICER</w:t>
            </w:r>
          </w:p>
        </w:tc>
        <w:tc>
          <w:tcPr>
            <w:tcW w:w="2976" w:type="dxa"/>
            <w:vAlign w:val="center"/>
          </w:tcPr>
          <w:p w:rsidR="007D1105" w:rsidRPr="00361189" w:rsidRDefault="00D217E2" w:rsidP="00576FD0">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r w:rsidR="007D1105" w:rsidRPr="00361189">
              <w:rPr>
                <w:rFonts w:ascii="Arial Narrow" w:hAnsi="Arial Narrow"/>
                <w:b/>
                <w:sz w:val="20"/>
                <w:szCs w:val="20"/>
              </w:rPr>
              <w:t>/QALY</w:t>
            </w:r>
          </w:p>
        </w:tc>
      </w:tr>
    </w:tbl>
    <w:p w:rsidR="00752BA6" w:rsidRPr="00361189" w:rsidRDefault="00752BA6" w:rsidP="00752BA6">
      <w:pPr>
        <w:keepNext/>
        <w:keepLines/>
        <w:rPr>
          <w:rFonts w:ascii="Arial Narrow" w:hAnsi="Arial Narrow"/>
          <w:sz w:val="18"/>
          <w:szCs w:val="20"/>
        </w:rPr>
      </w:pPr>
      <w:r w:rsidRPr="00361189">
        <w:rPr>
          <w:rFonts w:ascii="Arial Narrow" w:hAnsi="Arial Narrow"/>
          <w:sz w:val="18"/>
          <w:szCs w:val="20"/>
        </w:rPr>
        <w:t>Source: constructed during evaluation using Nusinersen Economic Model_March_2020</w:t>
      </w:r>
    </w:p>
    <w:p w:rsidR="00752BA6" w:rsidRPr="00361189" w:rsidRDefault="00752BA6" w:rsidP="00752BA6">
      <w:pPr>
        <w:keepNext/>
        <w:keepLines/>
        <w:rPr>
          <w:rFonts w:ascii="Arial Narrow" w:hAnsi="Arial Narrow"/>
          <w:sz w:val="18"/>
          <w:szCs w:val="20"/>
        </w:rPr>
      </w:pPr>
      <w:r w:rsidRPr="00361189">
        <w:rPr>
          <w:rFonts w:ascii="Arial Narrow" w:hAnsi="Arial Narrow"/>
          <w:sz w:val="18"/>
          <w:szCs w:val="20"/>
        </w:rPr>
        <w:t xml:space="preserve">QALY = quality adjusted life years, AE = adverse events, HS = health state, ICER = incremental cost effectiveness ratio  </w:t>
      </w:r>
    </w:p>
    <w:p w:rsidR="00417412" w:rsidRPr="00361189" w:rsidRDefault="00232FDE" w:rsidP="00655E1E">
      <w:pPr>
        <w:keepNext/>
        <w:keepLines/>
        <w:tabs>
          <w:tab w:val="left" w:pos="284"/>
        </w:tabs>
        <w:ind w:left="284" w:hanging="284"/>
        <w:rPr>
          <w:rFonts w:ascii="Arial Narrow" w:hAnsi="Arial Narrow"/>
          <w:sz w:val="18"/>
          <w:szCs w:val="20"/>
        </w:rPr>
      </w:pPr>
      <w:r w:rsidRPr="00361189">
        <w:rPr>
          <w:rFonts w:ascii="Arial Narrow" w:hAnsi="Arial Narrow"/>
          <w:sz w:val="18"/>
          <w:szCs w:val="20"/>
          <w:vertAlign w:val="superscript"/>
        </w:rPr>
        <w:t>a</w:t>
      </w:r>
      <w:r w:rsidR="0052269E" w:rsidRPr="00361189">
        <w:rPr>
          <w:rFonts w:ascii="Arial Narrow" w:hAnsi="Arial Narrow"/>
          <w:sz w:val="18"/>
          <w:szCs w:val="20"/>
        </w:rPr>
        <w:tab/>
      </w:r>
      <w:r w:rsidR="00417412" w:rsidRPr="00361189">
        <w:rPr>
          <w:rFonts w:ascii="Arial Narrow" w:hAnsi="Arial Narrow"/>
          <w:sz w:val="18"/>
          <w:szCs w:val="20"/>
        </w:rPr>
        <w:t xml:space="preserve">Includes only the cost of management of patients with post lumbar puncture syndrome (38% if age ≤1 year, 4.6% if ≥1 year) which requires hospitalisation (15%) </w:t>
      </w:r>
    </w:p>
    <w:p w:rsidR="00232FDE" w:rsidRPr="00361189" w:rsidRDefault="00417412" w:rsidP="0052269E">
      <w:pPr>
        <w:keepNext/>
        <w:keepLines/>
        <w:tabs>
          <w:tab w:val="left" w:pos="284"/>
        </w:tabs>
        <w:spacing w:after="120"/>
        <w:rPr>
          <w:rFonts w:ascii="Arial Narrow" w:hAnsi="Arial Narrow"/>
          <w:sz w:val="18"/>
          <w:szCs w:val="20"/>
        </w:rPr>
      </w:pPr>
      <w:r w:rsidRPr="00361189">
        <w:rPr>
          <w:rFonts w:ascii="Arial Narrow" w:hAnsi="Arial Narrow"/>
          <w:sz w:val="18"/>
          <w:szCs w:val="20"/>
          <w:vertAlign w:val="superscript"/>
        </w:rPr>
        <w:t>b</w:t>
      </w:r>
      <w:r w:rsidRPr="00361189">
        <w:rPr>
          <w:rFonts w:ascii="Arial Narrow" w:hAnsi="Arial Narrow"/>
          <w:sz w:val="18"/>
          <w:szCs w:val="20"/>
        </w:rPr>
        <w:tab/>
      </w:r>
      <w:r w:rsidR="00232FDE" w:rsidRPr="00361189">
        <w:rPr>
          <w:rFonts w:ascii="Arial Narrow" w:hAnsi="Arial Narrow"/>
          <w:sz w:val="18"/>
          <w:szCs w:val="20"/>
        </w:rPr>
        <w:t>based on incremental cost of $</w:t>
      </w:r>
      <w:r w:rsidR="00E659B7">
        <w:rPr>
          <w:rFonts w:ascii="Arial Narrow" w:hAnsi="Arial Narrow"/>
          <w:noProof/>
          <w:color w:val="000000"/>
          <w:sz w:val="18"/>
          <w:szCs w:val="20"/>
          <w:highlight w:val="black"/>
        </w:rPr>
        <w:t>'''''''''''''''''''</w:t>
      </w:r>
      <w:r w:rsidR="00232FDE" w:rsidRPr="00361189">
        <w:rPr>
          <w:rFonts w:ascii="Arial Narrow" w:hAnsi="Arial Narrow"/>
          <w:sz w:val="18"/>
          <w:szCs w:val="20"/>
        </w:rPr>
        <w:t xml:space="preserve"> and incremental QALY of 3.7023 over 80 years</w:t>
      </w:r>
    </w:p>
    <w:p w:rsidR="00C56ADD" w:rsidRPr="00C56ADD" w:rsidRDefault="00C56ADD" w:rsidP="00C56ADD">
      <w:pPr>
        <w:pStyle w:val="3-BodyText"/>
        <w:numPr>
          <w:ilvl w:val="0"/>
          <w:numId w:val="0"/>
        </w:numPr>
        <w:ind w:left="720" w:hanging="720"/>
        <w:rPr>
          <w:i/>
        </w:rPr>
      </w:pPr>
      <w:r>
        <w:rPr>
          <w:i/>
        </w:rPr>
        <w:t xml:space="preserve">The redacted tables shows ICERS in the range of $115,000 to &lt; $135,000/QALY for the current ICER and previous submission; and </w:t>
      </w:r>
      <w:r w:rsidRPr="00C56ADD">
        <w:rPr>
          <w:i/>
        </w:rPr>
        <w:t>$255,000 to &lt; $355,000</w:t>
      </w:r>
      <w:r>
        <w:rPr>
          <w:i/>
        </w:rPr>
        <w:t>/QALY for the ESC respecified base case ICER.</w:t>
      </w:r>
    </w:p>
    <w:p w:rsidR="00232FDE" w:rsidRPr="00361189" w:rsidRDefault="00232FDE" w:rsidP="007047D2">
      <w:pPr>
        <w:pStyle w:val="3-BodyText"/>
      </w:pPr>
      <w:r w:rsidRPr="00361189">
        <w:lastRenderedPageBreak/>
        <w:t>The estimated ICER was $</w:t>
      </w:r>
      <w:r w:rsidR="009E4D9C">
        <w:t>55,000 to &lt; $75,000</w:t>
      </w:r>
      <w:r w:rsidRPr="00361189">
        <w:t xml:space="preserve">/QALY </w:t>
      </w:r>
      <w:r w:rsidR="007047D2" w:rsidRPr="00361189">
        <w:t xml:space="preserve">for patients with SMA Type I (89.56% of cohort) </w:t>
      </w:r>
      <w:r w:rsidRPr="00361189">
        <w:t>and $</w:t>
      </w:r>
      <w:r w:rsidR="009E4D9C">
        <w:t>755,000 to &lt; 855,000</w:t>
      </w:r>
      <w:r w:rsidRPr="00361189">
        <w:t>/QALY</w:t>
      </w:r>
      <w:r w:rsidR="007047D2" w:rsidRPr="00361189">
        <w:t xml:space="preserve"> for all other SMA Types (10.44% of cohort)</w:t>
      </w:r>
      <w:r w:rsidR="0052269E" w:rsidRPr="00361189">
        <w:t>.</w:t>
      </w:r>
      <w:r w:rsidR="007047D2" w:rsidRPr="00361189">
        <w:t xml:space="preserve"> </w:t>
      </w:r>
    </w:p>
    <w:p w:rsidR="007D1105" w:rsidRPr="00361189" w:rsidRDefault="007D1105" w:rsidP="002A3CA9">
      <w:pPr>
        <w:pStyle w:val="3-BodyText"/>
      </w:pPr>
      <w:r w:rsidRPr="00361189">
        <w:t xml:space="preserve">The ESC considered that the base case ICER should be respecified </w:t>
      </w:r>
      <w:r w:rsidR="005036F6" w:rsidRPr="00361189">
        <w:t xml:space="preserve">to include </w:t>
      </w:r>
      <w:r w:rsidR="00562CEB" w:rsidRPr="00361189">
        <w:t xml:space="preserve">a </w:t>
      </w:r>
      <w:r w:rsidR="005036F6" w:rsidRPr="00361189">
        <w:t>mortality</w:t>
      </w:r>
      <w:r w:rsidR="00562CEB" w:rsidRPr="00361189">
        <w:t xml:space="preserve"> per annum of 16% for</w:t>
      </w:r>
      <w:r w:rsidR="005036F6" w:rsidRPr="00361189">
        <w:t xml:space="preserve"> Type I SMA patients</w:t>
      </w:r>
      <w:r w:rsidR="00562CEB" w:rsidRPr="00361189">
        <w:t xml:space="preserve"> with an </w:t>
      </w:r>
      <w:r w:rsidR="007747AC" w:rsidRPr="00361189">
        <w:rPr>
          <w:rFonts w:ascii="Calibri" w:hAnsi="Calibri"/>
          <w:i/>
        </w:rPr>
        <w:t>SMN2</w:t>
      </w:r>
      <w:r w:rsidR="00562CEB" w:rsidRPr="00361189">
        <w:t xml:space="preserve"> copy number of 2 (as reported in ENDEAR)</w:t>
      </w:r>
      <w:r w:rsidR="005036F6" w:rsidRPr="00361189">
        <w:t xml:space="preserve">. Application of </w:t>
      </w:r>
      <w:r w:rsidR="00562CEB" w:rsidRPr="00361189">
        <w:t xml:space="preserve">the </w:t>
      </w:r>
      <w:r w:rsidR="005036F6" w:rsidRPr="00361189">
        <w:t>16% annual mortality</w:t>
      </w:r>
      <w:r w:rsidR="00562CEB" w:rsidRPr="00361189">
        <w:t xml:space="preserve"> </w:t>
      </w:r>
      <w:r w:rsidR="005036F6" w:rsidRPr="00361189">
        <w:t xml:space="preserve">for patients with SMA Type I and an </w:t>
      </w:r>
      <w:r w:rsidR="007747AC" w:rsidRPr="00361189">
        <w:rPr>
          <w:rFonts w:ascii="Calibri" w:hAnsi="Calibri"/>
          <w:i/>
        </w:rPr>
        <w:t>SMN2</w:t>
      </w:r>
      <w:r w:rsidR="005036F6" w:rsidRPr="00361189">
        <w:t xml:space="preserve"> copy of 2 resulted in an ICER of </w:t>
      </w:r>
      <w:r w:rsidR="00946E5A" w:rsidRPr="00361189">
        <w:t>$</w:t>
      </w:r>
      <w:r w:rsidR="004A6416">
        <w:t>255,000 to &lt; $355,000</w:t>
      </w:r>
      <w:r w:rsidR="001951BA" w:rsidRPr="00361189">
        <w:t>/</w:t>
      </w:r>
      <w:r w:rsidR="005036F6" w:rsidRPr="00361189">
        <w:t>QALY</w:t>
      </w:r>
      <w:r w:rsidR="00946E5A" w:rsidRPr="00361189">
        <w:t>.</w:t>
      </w:r>
      <w:r w:rsidR="0051210C" w:rsidRPr="00361189">
        <w:t xml:space="preserve"> The ESC considered that even with the application of mortality, the economic model was still considerably uncertain given the uncertainty around the magnitude of </w:t>
      </w:r>
      <w:r w:rsidR="00CF49E4" w:rsidRPr="00361189">
        <w:t>the utility gain</w:t>
      </w:r>
      <w:r w:rsidR="0051210C" w:rsidRPr="00361189">
        <w:t xml:space="preserve"> and issues around the structure of the model in </w:t>
      </w:r>
      <w:r w:rsidR="0051210C" w:rsidRPr="00B35832">
        <w:t xml:space="preserve">paragraph </w:t>
      </w:r>
      <w:r w:rsidR="00B35832" w:rsidRPr="00B35832">
        <w:t>6.37</w:t>
      </w:r>
      <w:r w:rsidR="0051210C" w:rsidRPr="00B35832">
        <w:t xml:space="preserve">. </w:t>
      </w:r>
      <w:r w:rsidR="009A2F43" w:rsidRPr="00B35832">
        <w:t xml:space="preserve">The pre-PBAC Response </w:t>
      </w:r>
      <w:r w:rsidR="00021F34" w:rsidRPr="00B35832">
        <w:t>noted that</w:t>
      </w:r>
      <w:r w:rsidR="009A2F43" w:rsidRPr="00B35832">
        <w:t xml:space="preserve"> application of a 16% per annum mortality for Type I S</w:t>
      </w:r>
      <w:r w:rsidR="009A2F43" w:rsidRPr="00361189">
        <w:t xml:space="preserve">MA patients </w:t>
      </w:r>
      <w:r w:rsidR="00021F34" w:rsidRPr="00361189">
        <w:t xml:space="preserve">results in death of 40% of the pre-symptomatic initiation population despite </w:t>
      </w:r>
      <w:r w:rsidR="009A2F43" w:rsidRPr="00361189">
        <w:t xml:space="preserve">was </w:t>
      </w:r>
      <w:r w:rsidR="00021F34" w:rsidRPr="00361189">
        <w:t xml:space="preserve">there being no deaths in the NURTURE trial at a medial follow up of 3.8 years (45.6 months). In this regard, the pre-PBAC Response argued that the assumption of a 16% per annum mortality for Type I SMA patients in incorrect. </w:t>
      </w:r>
    </w:p>
    <w:p w:rsidR="00B75D4C" w:rsidRPr="00361189" w:rsidRDefault="00D23D11" w:rsidP="00BB732D">
      <w:pPr>
        <w:pStyle w:val="3-BodyText"/>
      </w:pPr>
      <w:r w:rsidRPr="00361189">
        <w:t xml:space="preserve">The results of key univariate </w:t>
      </w:r>
      <w:r w:rsidR="00B75D4C" w:rsidRPr="00361189">
        <w:t>sensitivity analyses</w:t>
      </w:r>
      <w:r w:rsidR="0066742B" w:rsidRPr="00361189">
        <w:t xml:space="preserve"> presented by the resubmission</w:t>
      </w:r>
      <w:r w:rsidR="00B75D4C" w:rsidRPr="00361189">
        <w:t xml:space="preserve"> </w:t>
      </w:r>
      <w:r w:rsidR="002D6659" w:rsidRPr="00361189">
        <w:t>and conducted during the evaluation</w:t>
      </w:r>
      <w:r w:rsidR="00A970D3" w:rsidRPr="00361189">
        <w:t>,</w:t>
      </w:r>
      <w:r w:rsidR="002D6659" w:rsidRPr="00361189">
        <w:t xml:space="preserve"> </w:t>
      </w:r>
      <w:r w:rsidR="00B75D4C" w:rsidRPr="00361189">
        <w:t>are summarised in</w:t>
      </w:r>
      <w:r w:rsidR="00EE72BD">
        <w:t xml:space="preserve"> Table 14</w:t>
      </w:r>
      <w:r w:rsidR="00361189">
        <w:t xml:space="preserve">. </w:t>
      </w:r>
    </w:p>
    <w:p w:rsidR="00B75D4C" w:rsidRPr="00361189" w:rsidRDefault="0052269E" w:rsidP="00B75D4C">
      <w:pPr>
        <w:keepNext/>
        <w:keepLines/>
        <w:rPr>
          <w:rFonts w:ascii="Arial Narrow" w:hAnsi="Arial Narrow"/>
          <w:b/>
          <w:sz w:val="20"/>
          <w:szCs w:val="20"/>
        </w:rPr>
      </w:pPr>
      <w:bookmarkStart w:id="47" w:name="_Ref39365324"/>
      <w:r w:rsidRPr="00361189">
        <w:rPr>
          <w:rFonts w:ascii="Arial Narrow" w:hAnsi="Arial Narrow"/>
          <w:b/>
          <w:sz w:val="20"/>
          <w:szCs w:val="20"/>
        </w:rPr>
        <w:t>Table</w:t>
      </w:r>
      <w:bookmarkEnd w:id="47"/>
      <w:r w:rsidR="00EE72BD">
        <w:rPr>
          <w:rFonts w:ascii="Arial Narrow" w:hAnsi="Arial Narrow"/>
          <w:b/>
          <w:sz w:val="20"/>
          <w:szCs w:val="20"/>
        </w:rPr>
        <w:t xml:space="preserve"> 14</w:t>
      </w:r>
      <w:r w:rsidR="00B75D4C" w:rsidRPr="00361189">
        <w:rPr>
          <w:rFonts w:ascii="Arial Narrow" w:hAnsi="Arial Narrow"/>
          <w:b/>
          <w:sz w:val="20"/>
          <w:szCs w:val="20"/>
        </w:rPr>
        <w:t>: Univariate sensitivity analyses presented by the resubmission.</w:t>
      </w:r>
    </w:p>
    <w:tbl>
      <w:tblPr>
        <w:tblStyle w:val="TableGrid"/>
        <w:tblW w:w="0" w:type="auto"/>
        <w:tblLayout w:type="fixed"/>
        <w:tblCellMar>
          <w:left w:w="28" w:type="dxa"/>
          <w:right w:w="28" w:type="dxa"/>
        </w:tblCellMar>
        <w:tblLook w:val="04A0" w:firstRow="1" w:lastRow="0" w:firstColumn="1" w:lastColumn="0" w:noHBand="0" w:noVBand="1"/>
        <w:tblCaption w:val="Table 14: Univariate sensitivity analyses presented by the resubmission."/>
      </w:tblPr>
      <w:tblGrid>
        <w:gridCol w:w="4531"/>
        <w:gridCol w:w="1276"/>
        <w:gridCol w:w="1276"/>
        <w:gridCol w:w="992"/>
        <w:gridCol w:w="851"/>
      </w:tblGrid>
      <w:tr w:rsidR="00B75D4C" w:rsidRPr="00361189" w:rsidTr="007E5A35">
        <w:trPr>
          <w:tblHeader/>
        </w:trPr>
        <w:tc>
          <w:tcPr>
            <w:tcW w:w="4531" w:type="dxa"/>
            <w:vAlign w:val="center"/>
          </w:tcPr>
          <w:p w:rsidR="00B75D4C" w:rsidRPr="00361189" w:rsidRDefault="00B75D4C" w:rsidP="001B5BEF">
            <w:pPr>
              <w:keepNext/>
              <w:keepLines/>
              <w:jc w:val="left"/>
              <w:rPr>
                <w:rFonts w:ascii="Arial Narrow" w:hAnsi="Arial Narrow"/>
                <w:b/>
                <w:sz w:val="20"/>
                <w:szCs w:val="20"/>
              </w:rPr>
            </w:pPr>
            <w:r w:rsidRPr="00361189">
              <w:rPr>
                <w:rFonts w:ascii="Arial Narrow" w:hAnsi="Arial Narrow"/>
                <w:b/>
                <w:sz w:val="20"/>
                <w:szCs w:val="20"/>
              </w:rPr>
              <w:t>Scenario</w:t>
            </w:r>
          </w:p>
        </w:tc>
        <w:tc>
          <w:tcPr>
            <w:tcW w:w="1276"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Incremental cost</w:t>
            </w:r>
          </w:p>
        </w:tc>
        <w:tc>
          <w:tcPr>
            <w:tcW w:w="1276"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Incremental QALY</w:t>
            </w:r>
          </w:p>
        </w:tc>
        <w:tc>
          <w:tcPr>
            <w:tcW w:w="992"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ICER ($/QALY)</w:t>
            </w:r>
          </w:p>
        </w:tc>
        <w:tc>
          <w:tcPr>
            <w:tcW w:w="851"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%Δ</w:t>
            </w:r>
          </w:p>
        </w:tc>
      </w:tr>
      <w:tr w:rsidR="00B75D4C" w:rsidRPr="00361189" w:rsidTr="001B5BEF">
        <w:tc>
          <w:tcPr>
            <w:tcW w:w="4531" w:type="dxa"/>
          </w:tcPr>
          <w:p w:rsidR="00B75D4C" w:rsidRPr="00361189" w:rsidRDefault="008D1CC1" w:rsidP="008D1CC1">
            <w:pPr>
              <w:keepNext/>
              <w:keepLines/>
              <w:rPr>
                <w:rFonts w:ascii="Arial Narrow" w:hAnsi="Arial Narrow"/>
                <w:b/>
                <w:sz w:val="20"/>
                <w:szCs w:val="20"/>
              </w:rPr>
            </w:pPr>
            <w:r w:rsidRPr="00361189">
              <w:rPr>
                <w:rFonts w:ascii="Arial Narrow" w:hAnsi="Arial Narrow"/>
                <w:b/>
                <w:sz w:val="20"/>
                <w:szCs w:val="20"/>
              </w:rPr>
              <w:t>Corrected b</w:t>
            </w:r>
            <w:r w:rsidR="00B75D4C" w:rsidRPr="00361189">
              <w:rPr>
                <w:rFonts w:ascii="Arial Narrow" w:hAnsi="Arial Narrow"/>
                <w:b/>
                <w:sz w:val="20"/>
                <w:szCs w:val="20"/>
              </w:rPr>
              <w:t>ase case</w:t>
            </w:r>
          </w:p>
        </w:tc>
        <w:tc>
          <w:tcPr>
            <w:tcW w:w="1276"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1.4684</w:t>
            </w:r>
          </w:p>
        </w:tc>
        <w:tc>
          <w:tcPr>
            <w:tcW w:w="992"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b/>
                <w:sz w:val="20"/>
                <w:szCs w:val="20"/>
              </w:rPr>
            </w:pPr>
            <w:r w:rsidRPr="00361189">
              <w:rPr>
                <w:rFonts w:ascii="Arial Narrow" w:hAnsi="Arial Narrow"/>
                <w:b/>
                <w:sz w:val="20"/>
                <w:szCs w:val="20"/>
              </w:rPr>
              <w:t>0%</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i/>
                <w:sz w:val="20"/>
                <w:szCs w:val="20"/>
              </w:rPr>
              <w:t>SMN2</w:t>
            </w:r>
            <w:r w:rsidRPr="00361189">
              <w:rPr>
                <w:rFonts w:ascii="Arial Narrow" w:hAnsi="Arial Narrow"/>
                <w:sz w:val="20"/>
                <w:szCs w:val="20"/>
              </w:rPr>
              <w:t xml:space="preserve"> </w:t>
            </w:r>
            <w:r w:rsidRPr="00361189">
              <w:rPr>
                <w:rFonts w:ascii="Arial Narrow" w:hAnsi="Arial Narrow" w:cs="Calibri"/>
                <w:sz w:val="20"/>
                <w:szCs w:val="20"/>
              </w:rPr>
              <w:t>≤</w:t>
            </w:r>
            <w:r w:rsidRPr="00361189">
              <w:rPr>
                <w:rFonts w:ascii="Arial Narrow" w:hAnsi="Arial Narrow"/>
                <w:sz w:val="20"/>
                <w:szCs w:val="20"/>
              </w:rPr>
              <w:t xml:space="preserve">3 (base case </w:t>
            </w:r>
            <w:r w:rsidRPr="00361189">
              <w:rPr>
                <w:rFonts w:ascii="Arial Narrow" w:hAnsi="Arial Narrow" w:cs="Calibri"/>
                <w:sz w:val="20"/>
                <w:szCs w:val="20"/>
              </w:rPr>
              <w:t>≤</w:t>
            </w:r>
            <w:r w:rsidRPr="00361189">
              <w:rPr>
                <w:rFonts w:ascii="Arial Narrow" w:hAnsi="Arial Narrow"/>
                <w:sz w:val="20"/>
                <w:szCs w:val="20"/>
              </w:rPr>
              <w:t>2)</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1.3839</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+141%</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Assume 25% saving on health state costs</w:t>
            </w:r>
            <w:r w:rsidR="00A970D3" w:rsidRPr="00361189">
              <w:rPr>
                <w:rFonts w:ascii="Arial Narrow" w:hAnsi="Arial Narrow"/>
                <w:sz w:val="20"/>
                <w:szCs w:val="20"/>
              </w:rPr>
              <w:t xml:space="preserve"> with pre-symptomatic initiation treatment </w:t>
            </w:r>
            <w:r w:rsidRPr="00361189">
              <w:rPr>
                <w:rFonts w:ascii="Arial Narrow" w:hAnsi="Arial Narrow"/>
                <w:sz w:val="20"/>
                <w:szCs w:val="20"/>
              </w:rPr>
              <w:t>(base case 20%)</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1.4684</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-3%</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 xml:space="preserve">Assume 5% saving on health state costs </w:t>
            </w:r>
            <w:r w:rsidR="00C639DC" w:rsidRPr="00361189">
              <w:rPr>
                <w:rFonts w:ascii="Arial Narrow" w:hAnsi="Arial Narrow"/>
                <w:sz w:val="20"/>
                <w:szCs w:val="20"/>
              </w:rPr>
              <w:t xml:space="preserve">with pre-symptomatic initiation treatment </w:t>
            </w:r>
            <w:r w:rsidRPr="00361189">
              <w:rPr>
                <w:rFonts w:ascii="Arial Narrow" w:hAnsi="Arial Narrow"/>
                <w:sz w:val="20"/>
                <w:szCs w:val="20"/>
              </w:rPr>
              <w:t>(base case 20%)</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1.4684</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+8%</w:t>
            </w:r>
          </w:p>
        </w:tc>
      </w:tr>
      <w:tr w:rsidR="00B75D4C" w:rsidRPr="00361189" w:rsidTr="001B5BEF">
        <w:tc>
          <w:tcPr>
            <w:tcW w:w="4531" w:type="dxa"/>
          </w:tcPr>
          <w:p w:rsidR="00B75D4C" w:rsidRPr="00361189" w:rsidRDefault="00C639DC" w:rsidP="00C639DC">
            <w:pPr>
              <w:keepNext/>
              <w:keepLines/>
              <w:rPr>
                <w:rFonts w:ascii="Arial Narrow" w:hAnsi="Arial Narrow"/>
                <w:sz w:val="20"/>
                <w:szCs w:val="20"/>
                <w:vertAlign w:val="superscript"/>
              </w:rPr>
            </w:pPr>
            <w:r w:rsidRPr="00361189">
              <w:rPr>
                <w:rFonts w:ascii="Arial Narrow" w:hAnsi="Arial Narrow"/>
                <w:sz w:val="20"/>
                <w:szCs w:val="20"/>
              </w:rPr>
              <w:t>Assume no decline in u</w:t>
            </w:r>
            <w:r w:rsidR="00B75D4C" w:rsidRPr="00361189">
              <w:rPr>
                <w:rFonts w:ascii="Arial Narrow" w:hAnsi="Arial Narrow"/>
                <w:sz w:val="20"/>
                <w:szCs w:val="20"/>
              </w:rPr>
              <w:t xml:space="preserve">tility and cost benefit (base case decline over 20 years) </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2.4591</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-45%</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Utility benefit last 10 years (base case 20 years)</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0.8671</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+77%</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Utility benefit last 5 years (base case 20 years)</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0.4884</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+222%</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Incremental utility benefit 0.05 (base case 0.20)</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0.3634</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+304%</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Incremental utility benefit 0.10 (base case 0.20)</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0.7317</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+101%</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Incremental utility benefit 0.29 (base case 0.20)</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2.1315</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-31%</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Time horizon 5 years (base case 20 years)</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0.7305</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+69%</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Time horizon 10 years (base case 20 years)</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1.1825</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+12%</w:t>
            </w:r>
          </w:p>
        </w:tc>
      </w:tr>
      <w:tr w:rsidR="00B75D4C" w:rsidRPr="00361189" w:rsidTr="001B5BEF">
        <w:tc>
          <w:tcPr>
            <w:tcW w:w="4531" w:type="dxa"/>
          </w:tcPr>
          <w:p w:rsidR="00B75D4C" w:rsidRPr="00361189" w:rsidRDefault="00B75D4C" w:rsidP="001B5BEF">
            <w:pPr>
              <w:keepNext/>
              <w:keepLines/>
              <w:rPr>
                <w:rFonts w:ascii="Arial Narrow" w:hAnsi="Arial Narrow"/>
                <w:sz w:val="20"/>
                <w:szCs w:val="20"/>
              </w:rPr>
            </w:pPr>
            <w:r w:rsidRPr="00361189">
              <w:rPr>
                <w:rFonts w:ascii="Arial Narrow" w:hAnsi="Arial Narrow"/>
                <w:sz w:val="20"/>
                <w:szCs w:val="20"/>
              </w:rPr>
              <w:t>Time horizon 40 years (base case 20 years)</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276"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1.4690</w:t>
            </w:r>
          </w:p>
        </w:tc>
        <w:tc>
          <w:tcPr>
            <w:tcW w:w="992"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851" w:type="dxa"/>
            <w:vAlign w:val="center"/>
          </w:tcPr>
          <w:p w:rsidR="00B75D4C" w:rsidRPr="00361189" w:rsidRDefault="00B75D4C" w:rsidP="001B5BEF">
            <w:pPr>
              <w:keepNext/>
              <w:keepLines/>
              <w:jc w:val="center"/>
              <w:rPr>
                <w:rFonts w:ascii="Arial Narrow" w:hAnsi="Arial Narrow"/>
                <w:sz w:val="20"/>
                <w:szCs w:val="20"/>
              </w:rPr>
            </w:pPr>
            <w:r w:rsidRPr="00361189">
              <w:rPr>
                <w:rFonts w:ascii="Arial Narrow" w:hAnsi="Arial Narrow"/>
                <w:sz w:val="20"/>
                <w:szCs w:val="20"/>
              </w:rPr>
              <w:t>+12%</w:t>
            </w:r>
          </w:p>
        </w:tc>
      </w:tr>
    </w:tbl>
    <w:p w:rsidR="00B75D4C" w:rsidRPr="00361189" w:rsidRDefault="00B75D4C" w:rsidP="00B75D4C">
      <w:pPr>
        <w:keepNext/>
        <w:keepLines/>
        <w:rPr>
          <w:rFonts w:ascii="Arial Narrow" w:hAnsi="Arial Narrow"/>
          <w:sz w:val="18"/>
          <w:szCs w:val="20"/>
        </w:rPr>
      </w:pPr>
      <w:r w:rsidRPr="00361189">
        <w:rPr>
          <w:rFonts w:ascii="Arial Narrow" w:hAnsi="Arial Narrow"/>
          <w:sz w:val="18"/>
          <w:szCs w:val="20"/>
        </w:rPr>
        <w:t>Source: Table 3-16, p161 and Nusinersen Economic Model_March2020.xlsx</w:t>
      </w:r>
    </w:p>
    <w:p w:rsidR="00B75D4C" w:rsidRPr="00361189" w:rsidRDefault="00B75D4C" w:rsidP="00B75D4C">
      <w:pPr>
        <w:keepNext/>
        <w:keepLines/>
        <w:rPr>
          <w:rFonts w:ascii="Arial Narrow" w:hAnsi="Arial Narrow"/>
          <w:sz w:val="18"/>
          <w:szCs w:val="20"/>
        </w:rPr>
      </w:pPr>
      <w:r w:rsidRPr="00361189">
        <w:rPr>
          <w:rFonts w:ascii="Arial Narrow" w:hAnsi="Arial Narrow"/>
          <w:sz w:val="18"/>
          <w:szCs w:val="20"/>
        </w:rPr>
        <w:t>QALY = quality adjusted life year, AE = adverse event</w:t>
      </w:r>
    </w:p>
    <w:p w:rsidR="00B75D4C" w:rsidRPr="00361189" w:rsidRDefault="002135F7" w:rsidP="00F135D3">
      <w:pPr>
        <w:keepNext/>
        <w:keepLines/>
        <w:spacing w:after="120"/>
        <w:rPr>
          <w:rFonts w:ascii="Arial Narrow" w:hAnsi="Arial Narrow"/>
          <w:sz w:val="18"/>
          <w:szCs w:val="20"/>
        </w:rPr>
      </w:pPr>
      <w:r w:rsidRPr="00361189">
        <w:rPr>
          <w:rFonts w:ascii="Arial Narrow" w:hAnsi="Arial Narrow"/>
          <w:sz w:val="18"/>
          <w:szCs w:val="20"/>
        </w:rPr>
        <w:t>Values were</w:t>
      </w:r>
      <w:r w:rsidR="00B75D4C" w:rsidRPr="00361189">
        <w:rPr>
          <w:rFonts w:ascii="Arial Narrow" w:hAnsi="Arial Narrow"/>
          <w:sz w:val="18"/>
          <w:szCs w:val="20"/>
        </w:rPr>
        <w:t xml:space="preserve"> calculated during evaluation </w:t>
      </w:r>
    </w:p>
    <w:p w:rsidR="00A61477" w:rsidRPr="00A61477" w:rsidRDefault="00A61477" w:rsidP="00A61477">
      <w:pPr>
        <w:pStyle w:val="3-BodyText"/>
        <w:numPr>
          <w:ilvl w:val="0"/>
          <w:numId w:val="0"/>
        </w:numPr>
        <w:ind w:left="720" w:hanging="720"/>
        <w:rPr>
          <w:i/>
        </w:rPr>
      </w:pPr>
      <w:r>
        <w:rPr>
          <w:i/>
        </w:rPr>
        <w:t>The redacted table shows ICERs in the range of $55,000 to</w:t>
      </w:r>
      <w:r w:rsidR="004276A2">
        <w:rPr>
          <w:i/>
        </w:rPr>
        <w:t xml:space="preserve"> &lt; $75,000/QALY, $75,000/QALY to &lt; $95,000/QALY, $115,000 to &lt; $135,000/QALY, $135,000 to &lt; $155,000/QALY, $155,000 to &lt; $255,000/QALY, $255,000 to &lt; $355,000/QALY, $355,000 to &lt;$455,000/QALY, $455,000 to</w:t>
      </w:r>
      <w:r>
        <w:rPr>
          <w:i/>
        </w:rPr>
        <w:t xml:space="preserve"> &lt; $550,000/QALY.</w:t>
      </w:r>
    </w:p>
    <w:p w:rsidR="0066742B" w:rsidRPr="00361189" w:rsidRDefault="0066742B" w:rsidP="0066742B">
      <w:pPr>
        <w:pStyle w:val="3-BodyText"/>
      </w:pPr>
      <w:r w:rsidRPr="00361189">
        <w:t>The model had a peculiar relationship with the time horizon, where both a shorter (10 year) and longer (40 year) time horizon both lead to an increase in</w:t>
      </w:r>
      <w:r w:rsidR="00C639DC" w:rsidRPr="00361189">
        <w:t xml:space="preserve"> the</w:t>
      </w:r>
      <w:r w:rsidRPr="00361189">
        <w:t xml:space="preserve"> ICER</w:t>
      </w:r>
      <w:r w:rsidR="00361189">
        <w:t xml:space="preserve">. </w:t>
      </w:r>
      <w:r w:rsidR="005F24CC" w:rsidRPr="00361189">
        <w:t xml:space="preserve">The ESC </w:t>
      </w:r>
      <w:r w:rsidR="005F24CC" w:rsidRPr="00361189">
        <w:lastRenderedPageBreak/>
        <w:t xml:space="preserve">noted this </w:t>
      </w:r>
      <w:r w:rsidRPr="00361189">
        <w:t>is due to the model’s assumption that the incremental utility benefit declines linear</w:t>
      </w:r>
      <w:r w:rsidR="00C639DC" w:rsidRPr="00361189">
        <w:t xml:space="preserve">ly </w:t>
      </w:r>
      <w:r w:rsidRPr="00361189">
        <w:t>over 20 years</w:t>
      </w:r>
      <w:r w:rsidR="00361189">
        <w:t xml:space="preserve">. </w:t>
      </w:r>
      <w:r w:rsidRPr="00361189">
        <w:t>At 10 years, compared to the base case, there are still uncaptured benefits from incremental utility between the two treatment arms between Years 11 and 20</w:t>
      </w:r>
      <w:r w:rsidR="00361189">
        <w:t xml:space="preserve">. </w:t>
      </w:r>
      <w:r w:rsidRPr="00361189">
        <w:t>Beyond Year 20, there is no longer a utility difference in symptomatic patients between the two arms for patients with Type I SMA, but patients treated in the pre-symptomatic initiation arm who would not be treated under SoC (i.e. patients with Type IIIb/IV SMA) remain on treatment</w:t>
      </w:r>
      <w:r w:rsidR="00916BEC" w:rsidRPr="00361189">
        <w:t>,</w:t>
      </w:r>
      <w:r w:rsidRPr="00361189">
        <w:t xml:space="preserve"> </w:t>
      </w:r>
      <w:r w:rsidR="00916BEC" w:rsidRPr="00361189">
        <w:t xml:space="preserve">accruing </w:t>
      </w:r>
      <w:r w:rsidRPr="00361189">
        <w:t>cost</w:t>
      </w:r>
      <w:r w:rsidR="00916BEC" w:rsidRPr="00361189">
        <w:t>s</w:t>
      </w:r>
      <w:r w:rsidRPr="00361189">
        <w:t xml:space="preserve"> in the pre-symptomatic initiation arm relative to the SoC arm, leading to a higher ICER</w:t>
      </w:r>
      <w:r w:rsidR="00361189">
        <w:t xml:space="preserve">. </w:t>
      </w:r>
      <w:r w:rsidRPr="00361189">
        <w:t xml:space="preserve"> </w:t>
      </w:r>
    </w:p>
    <w:p w:rsidR="002D6659" w:rsidRPr="00361189" w:rsidRDefault="002D6659" w:rsidP="0066742B">
      <w:pPr>
        <w:pStyle w:val="3-BodyText"/>
      </w:pPr>
      <w:r w:rsidRPr="00361189">
        <w:t>Beyond the 16% annual mortality reported in ENDEAR, a range of annual mortalities were tested during the evaluation</w:t>
      </w:r>
      <w:r w:rsidR="00361189">
        <w:t xml:space="preserve">. </w:t>
      </w:r>
      <w:r w:rsidRPr="00361189">
        <w:t>T</w:t>
      </w:r>
      <w:r w:rsidR="004E7BCB" w:rsidRPr="00361189">
        <w:t>he results</w:t>
      </w:r>
      <w:r w:rsidRPr="00361189">
        <w:t xml:space="preserve"> are summarised in </w:t>
      </w:r>
      <w:r w:rsidR="00EE72BD">
        <w:t xml:space="preserve">Table 15 </w:t>
      </w:r>
      <w:r w:rsidR="0052269E" w:rsidRPr="00361189">
        <w:t xml:space="preserve">and Figure 4 </w:t>
      </w:r>
      <w:r w:rsidRPr="00361189">
        <w:t xml:space="preserve">and </w:t>
      </w:r>
      <w:r w:rsidR="0052269E" w:rsidRPr="00361189">
        <w:t>Figure 5</w:t>
      </w:r>
      <w:r w:rsidRPr="00361189">
        <w:t>.</w:t>
      </w:r>
    </w:p>
    <w:p w:rsidR="002D6659" w:rsidRPr="00361189" w:rsidRDefault="0052269E" w:rsidP="002D6659">
      <w:pPr>
        <w:keepNext/>
        <w:keepLines/>
        <w:rPr>
          <w:rFonts w:ascii="Arial Narrow" w:hAnsi="Arial Narrow"/>
          <w:b/>
          <w:sz w:val="20"/>
          <w:szCs w:val="20"/>
        </w:rPr>
      </w:pPr>
      <w:bookmarkStart w:id="48" w:name="_Ref39365555"/>
      <w:r w:rsidRPr="00361189">
        <w:rPr>
          <w:rFonts w:ascii="Arial Narrow" w:hAnsi="Arial Narrow"/>
          <w:b/>
          <w:sz w:val="20"/>
          <w:szCs w:val="20"/>
        </w:rPr>
        <w:t>Table</w:t>
      </w:r>
      <w:bookmarkEnd w:id="48"/>
      <w:r w:rsidR="00EE72BD">
        <w:rPr>
          <w:rFonts w:ascii="Arial Narrow" w:hAnsi="Arial Narrow"/>
          <w:b/>
          <w:sz w:val="20"/>
          <w:szCs w:val="20"/>
        </w:rPr>
        <w:t xml:space="preserve"> 15</w:t>
      </w:r>
      <w:r w:rsidRPr="00361189">
        <w:rPr>
          <w:rFonts w:ascii="Arial Narrow" w:hAnsi="Arial Narrow"/>
          <w:b/>
          <w:sz w:val="20"/>
          <w:szCs w:val="20"/>
        </w:rPr>
        <w:t xml:space="preserve">: </w:t>
      </w:r>
      <w:r w:rsidR="002D6659" w:rsidRPr="00361189">
        <w:rPr>
          <w:rFonts w:ascii="Arial Narrow" w:hAnsi="Arial Narrow"/>
          <w:b/>
          <w:sz w:val="20"/>
          <w:szCs w:val="20"/>
        </w:rPr>
        <w:t>Sensitivity analyses around mortality rate of SMA Type I conducted during evaluation.</w:t>
      </w:r>
    </w:p>
    <w:tbl>
      <w:tblPr>
        <w:tblStyle w:val="TableGrid"/>
        <w:tblW w:w="0" w:type="auto"/>
        <w:tblLayout w:type="fixed"/>
        <w:tblCellMar>
          <w:left w:w="28" w:type="dxa"/>
          <w:right w:w="28" w:type="dxa"/>
        </w:tblCellMar>
        <w:tblLook w:val="04A0" w:firstRow="1" w:lastRow="0" w:firstColumn="1" w:lastColumn="0" w:noHBand="0" w:noVBand="1"/>
        <w:tblCaption w:val="Table 15: Sensitivity analyses around mortality rate of SMA Type I conducted during evaluation."/>
      </w:tblPr>
      <w:tblGrid>
        <w:gridCol w:w="4815"/>
        <w:gridCol w:w="1027"/>
        <w:gridCol w:w="1028"/>
        <w:gridCol w:w="1028"/>
        <w:gridCol w:w="1028"/>
      </w:tblGrid>
      <w:tr w:rsidR="002D6659" w:rsidRPr="00361189" w:rsidTr="007E5A35">
        <w:trPr>
          <w:tblHeader/>
        </w:trPr>
        <w:tc>
          <w:tcPr>
            <w:tcW w:w="4815" w:type="dxa"/>
            <w:vAlign w:val="center"/>
          </w:tcPr>
          <w:p w:rsidR="002D6659" w:rsidRPr="00361189" w:rsidRDefault="002D6659" w:rsidP="001B5BEF">
            <w:pPr>
              <w:keepNext/>
              <w:keepLines/>
              <w:jc w:val="left"/>
              <w:rPr>
                <w:rFonts w:ascii="Arial Narrow" w:hAnsi="Arial Narrow"/>
                <w:b/>
                <w:i/>
                <w:sz w:val="20"/>
                <w:szCs w:val="20"/>
              </w:rPr>
            </w:pPr>
            <w:r w:rsidRPr="00361189">
              <w:rPr>
                <w:rFonts w:ascii="Arial Narrow" w:hAnsi="Arial Narrow"/>
                <w:b/>
                <w:i/>
                <w:sz w:val="20"/>
                <w:szCs w:val="20"/>
              </w:rPr>
              <w:t>Scenario</w:t>
            </w:r>
          </w:p>
        </w:tc>
        <w:tc>
          <w:tcPr>
            <w:tcW w:w="1027" w:type="dxa"/>
            <w:vAlign w:val="center"/>
          </w:tcPr>
          <w:p w:rsidR="002D6659" w:rsidRPr="00361189" w:rsidRDefault="002D6659" w:rsidP="001B5BEF">
            <w:pPr>
              <w:keepNext/>
              <w:keepLines/>
              <w:jc w:val="center"/>
              <w:rPr>
                <w:rFonts w:ascii="Arial Narrow" w:hAnsi="Arial Narrow"/>
                <w:b/>
                <w:i/>
                <w:sz w:val="20"/>
                <w:szCs w:val="20"/>
              </w:rPr>
            </w:pPr>
            <w:r w:rsidRPr="00361189">
              <w:rPr>
                <w:rFonts w:ascii="Arial Narrow" w:hAnsi="Arial Narrow"/>
                <w:b/>
                <w:i/>
                <w:sz w:val="20"/>
                <w:szCs w:val="20"/>
              </w:rPr>
              <w:t>Incremental cost</w:t>
            </w:r>
          </w:p>
        </w:tc>
        <w:tc>
          <w:tcPr>
            <w:tcW w:w="1028" w:type="dxa"/>
            <w:vAlign w:val="center"/>
          </w:tcPr>
          <w:p w:rsidR="002D6659" w:rsidRPr="00361189" w:rsidRDefault="002D6659" w:rsidP="001B5BEF">
            <w:pPr>
              <w:keepNext/>
              <w:keepLines/>
              <w:jc w:val="center"/>
              <w:rPr>
                <w:rFonts w:ascii="Arial Narrow" w:hAnsi="Arial Narrow"/>
                <w:b/>
                <w:i/>
                <w:sz w:val="20"/>
                <w:szCs w:val="20"/>
              </w:rPr>
            </w:pPr>
            <w:r w:rsidRPr="00361189">
              <w:rPr>
                <w:rFonts w:ascii="Arial Narrow" w:hAnsi="Arial Narrow"/>
                <w:b/>
                <w:i/>
                <w:sz w:val="20"/>
                <w:szCs w:val="20"/>
              </w:rPr>
              <w:t>Incremental QALY</w:t>
            </w:r>
          </w:p>
        </w:tc>
        <w:tc>
          <w:tcPr>
            <w:tcW w:w="1028" w:type="dxa"/>
            <w:vAlign w:val="center"/>
          </w:tcPr>
          <w:p w:rsidR="002D6659" w:rsidRPr="00361189" w:rsidRDefault="002D6659" w:rsidP="001B5BEF">
            <w:pPr>
              <w:keepNext/>
              <w:keepLines/>
              <w:jc w:val="center"/>
              <w:rPr>
                <w:rFonts w:ascii="Arial Narrow" w:hAnsi="Arial Narrow"/>
                <w:b/>
                <w:i/>
                <w:sz w:val="20"/>
                <w:szCs w:val="20"/>
              </w:rPr>
            </w:pPr>
            <w:r w:rsidRPr="00361189">
              <w:rPr>
                <w:rFonts w:ascii="Arial Narrow" w:hAnsi="Arial Narrow"/>
                <w:b/>
                <w:i/>
                <w:sz w:val="20"/>
                <w:szCs w:val="20"/>
              </w:rPr>
              <w:t>ICER ($/QALY)</w:t>
            </w:r>
          </w:p>
        </w:tc>
        <w:tc>
          <w:tcPr>
            <w:tcW w:w="1028" w:type="dxa"/>
            <w:vAlign w:val="center"/>
          </w:tcPr>
          <w:p w:rsidR="002D6659" w:rsidRPr="00361189" w:rsidRDefault="002D6659" w:rsidP="001B5BEF">
            <w:pPr>
              <w:keepNext/>
              <w:keepLines/>
              <w:jc w:val="center"/>
              <w:rPr>
                <w:rFonts w:ascii="Arial Narrow" w:hAnsi="Arial Narrow"/>
                <w:b/>
                <w:i/>
                <w:sz w:val="20"/>
                <w:szCs w:val="20"/>
              </w:rPr>
            </w:pPr>
            <w:r w:rsidRPr="00361189">
              <w:rPr>
                <w:rFonts w:ascii="Arial Narrow" w:hAnsi="Arial Narrow"/>
                <w:b/>
                <w:i/>
                <w:sz w:val="20"/>
                <w:szCs w:val="20"/>
              </w:rPr>
              <w:t>%Δ</w:t>
            </w:r>
          </w:p>
        </w:tc>
      </w:tr>
      <w:tr w:rsidR="002D6659" w:rsidRPr="00361189" w:rsidTr="001B5BEF">
        <w:tc>
          <w:tcPr>
            <w:tcW w:w="4815" w:type="dxa"/>
          </w:tcPr>
          <w:p w:rsidR="002D6659" w:rsidRPr="00361189" w:rsidRDefault="008D1CC1" w:rsidP="008D1CC1">
            <w:pPr>
              <w:keepNext/>
              <w:keepLines/>
              <w:rPr>
                <w:rFonts w:ascii="Arial Narrow" w:hAnsi="Arial Narrow"/>
                <w:b/>
                <w:sz w:val="20"/>
                <w:szCs w:val="20"/>
                <w:vertAlign w:val="superscript"/>
              </w:rPr>
            </w:pPr>
            <w:r w:rsidRPr="00361189">
              <w:rPr>
                <w:rFonts w:ascii="Arial Narrow" w:hAnsi="Arial Narrow"/>
                <w:b/>
                <w:sz w:val="20"/>
                <w:szCs w:val="20"/>
              </w:rPr>
              <w:t>Corrected b</w:t>
            </w:r>
            <w:r w:rsidR="002D6659" w:rsidRPr="00361189">
              <w:rPr>
                <w:rFonts w:ascii="Arial Narrow" w:hAnsi="Arial Narrow"/>
                <w:b/>
                <w:sz w:val="20"/>
                <w:szCs w:val="20"/>
              </w:rPr>
              <w:t>ase case (no SMA related mortality) – median OS 85.75 y</w:t>
            </w:r>
            <w:r w:rsidR="00D217E2" w:rsidRPr="00361189">
              <w:rPr>
                <w:rFonts w:ascii="Arial Narrow" w:hAnsi="Arial Narrow"/>
                <w:b/>
                <w:sz w:val="20"/>
                <w:szCs w:val="20"/>
              </w:rPr>
              <w:t>ears</w:t>
            </w:r>
            <w:r w:rsidR="002D6659" w:rsidRPr="00361189">
              <w:rPr>
                <w:rFonts w:ascii="Arial Narrow" w:hAnsi="Arial Narrow"/>
                <w:b/>
                <w:sz w:val="20"/>
                <w:szCs w:val="20"/>
                <w:vertAlign w:val="superscript"/>
              </w:rPr>
              <w:t>a</w:t>
            </w:r>
          </w:p>
        </w:tc>
        <w:tc>
          <w:tcPr>
            <w:tcW w:w="1027"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1.4684</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0%</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1% annua</w:t>
            </w:r>
            <w:r w:rsidR="00D217E2" w:rsidRPr="00361189">
              <w:rPr>
                <w:rFonts w:ascii="Arial Narrow" w:hAnsi="Arial Narrow"/>
                <w:sz w:val="20"/>
                <w:szCs w:val="20"/>
              </w:rPr>
              <w:t>l mortality – median OS 61.75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1.3976</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+6%</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2% annua</w:t>
            </w:r>
            <w:r w:rsidR="00D217E2" w:rsidRPr="00361189">
              <w:rPr>
                <w:rFonts w:ascii="Arial Narrow" w:hAnsi="Arial Narrow"/>
                <w:sz w:val="20"/>
                <w:szCs w:val="20"/>
              </w:rPr>
              <w:t>l mortality – median OS 34.25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1.3321</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+12%</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5% annual</w:t>
            </w:r>
            <w:r w:rsidR="00D217E2" w:rsidRPr="00361189">
              <w:rPr>
                <w:rFonts w:ascii="Arial Narrow" w:hAnsi="Arial Narrow"/>
                <w:sz w:val="20"/>
                <w:szCs w:val="20"/>
              </w:rPr>
              <w:t xml:space="preserve"> mortality – median OS 13.75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1.1634</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+30%</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7.5% annu</w:t>
            </w:r>
            <w:r w:rsidR="00D217E2" w:rsidRPr="00361189">
              <w:rPr>
                <w:rFonts w:ascii="Arial Narrow" w:hAnsi="Arial Narrow"/>
                <w:sz w:val="20"/>
                <w:szCs w:val="20"/>
              </w:rPr>
              <w:t>al mortality – median OS 9.25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1.0489</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+45%</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10% annu</w:t>
            </w:r>
            <w:r w:rsidR="00D217E2" w:rsidRPr="00361189">
              <w:rPr>
                <w:rFonts w:ascii="Arial Narrow" w:hAnsi="Arial Narrow"/>
                <w:sz w:val="20"/>
                <w:szCs w:val="20"/>
              </w:rPr>
              <w:t>al mortality – median OS 7,25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0.9530</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+61%</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12.5% annu</w:t>
            </w:r>
            <w:r w:rsidR="00D217E2" w:rsidRPr="00361189">
              <w:rPr>
                <w:rFonts w:ascii="Arial Narrow" w:hAnsi="Arial Narrow"/>
                <w:sz w:val="20"/>
                <w:szCs w:val="20"/>
              </w:rPr>
              <w:t>al mortality – median OS 5.75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0.8722</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+78%</w:t>
            </w:r>
          </w:p>
        </w:tc>
      </w:tr>
      <w:tr w:rsidR="002D6659" w:rsidRPr="00361189" w:rsidTr="001B5BEF">
        <w:tc>
          <w:tcPr>
            <w:tcW w:w="4815" w:type="dxa"/>
          </w:tcPr>
          <w:p w:rsidR="002D6659" w:rsidRPr="00361189" w:rsidRDefault="002D6659" w:rsidP="00D217E2">
            <w:pPr>
              <w:keepNext/>
              <w:keepLines/>
              <w:rPr>
                <w:rFonts w:ascii="Arial Narrow" w:hAnsi="Arial Narrow"/>
                <w:b/>
                <w:sz w:val="20"/>
                <w:szCs w:val="20"/>
              </w:rPr>
            </w:pPr>
            <w:r w:rsidRPr="00361189">
              <w:rPr>
                <w:rFonts w:ascii="Arial Narrow" w:hAnsi="Arial Narrow"/>
                <w:b/>
                <w:sz w:val="20"/>
                <w:szCs w:val="20"/>
              </w:rPr>
              <w:t>16% annual mortality as per ENDEAR – median OS 4.25 y</w:t>
            </w:r>
            <w:r w:rsidR="00D217E2" w:rsidRPr="00361189">
              <w:rPr>
                <w:rFonts w:ascii="Arial Narrow" w:hAnsi="Arial Narrow"/>
                <w:b/>
                <w:sz w:val="20"/>
                <w:szCs w:val="20"/>
              </w:rPr>
              <w:t>ears</w:t>
            </w:r>
            <w:r w:rsidR="00946E5A" w:rsidRPr="00361189">
              <w:rPr>
                <w:rFonts w:ascii="Arial Narrow" w:hAnsi="Arial Narrow"/>
                <w:b/>
                <w:sz w:val="20"/>
                <w:szCs w:val="20"/>
              </w:rPr>
              <w:t xml:space="preserve"> (ESC respecified base case) </w:t>
            </w:r>
          </w:p>
        </w:tc>
        <w:tc>
          <w:tcPr>
            <w:tcW w:w="1027"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0.7787</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b/>
                <w:sz w:val="20"/>
                <w:szCs w:val="20"/>
              </w:rPr>
            </w:pPr>
            <w:r w:rsidRPr="00361189">
              <w:rPr>
                <w:rFonts w:ascii="Arial Narrow" w:hAnsi="Arial Narrow"/>
                <w:b/>
                <w:sz w:val="20"/>
                <w:szCs w:val="20"/>
              </w:rPr>
              <w:t>+101%</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20% annu</w:t>
            </w:r>
            <w:r w:rsidR="00D217E2" w:rsidRPr="00361189">
              <w:rPr>
                <w:rFonts w:ascii="Arial Narrow" w:hAnsi="Arial Narrow"/>
                <w:sz w:val="20"/>
                <w:szCs w:val="20"/>
              </w:rPr>
              <w:t>al mortality – median OS 3.75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0.6934</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+128%</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25% annu</w:t>
            </w:r>
            <w:r w:rsidR="00D217E2" w:rsidRPr="00361189">
              <w:rPr>
                <w:rFonts w:ascii="Arial Narrow" w:hAnsi="Arial Narrow"/>
                <w:sz w:val="20"/>
                <w:szCs w:val="20"/>
              </w:rPr>
              <w:t>al mortality – median OS 2.75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0.6102</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+162%</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30% annu</w:t>
            </w:r>
            <w:r w:rsidR="00D217E2" w:rsidRPr="00361189">
              <w:rPr>
                <w:rFonts w:ascii="Arial Narrow" w:hAnsi="Arial Narrow"/>
                <w:sz w:val="20"/>
                <w:szCs w:val="20"/>
              </w:rPr>
              <w:t>al mortality – median OS 2.25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0.5455</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+195%</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40% annu</w:t>
            </w:r>
            <w:r w:rsidR="00D217E2" w:rsidRPr="00361189">
              <w:rPr>
                <w:rFonts w:ascii="Arial Narrow" w:hAnsi="Arial Narrow"/>
                <w:sz w:val="20"/>
                <w:szCs w:val="20"/>
              </w:rPr>
              <w:t>al mortality – median OS 1.75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0.4517</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+262%</w:t>
            </w:r>
          </w:p>
        </w:tc>
      </w:tr>
      <w:tr w:rsidR="002D6659" w:rsidRPr="00361189" w:rsidTr="001B5BEF">
        <w:tc>
          <w:tcPr>
            <w:tcW w:w="4815" w:type="dxa"/>
          </w:tcPr>
          <w:p w:rsidR="002D6659" w:rsidRPr="00361189" w:rsidRDefault="002D6659" w:rsidP="001B5BEF">
            <w:pPr>
              <w:keepNext/>
              <w:keepLines/>
              <w:rPr>
                <w:rFonts w:ascii="Arial Narrow" w:hAnsi="Arial Narrow"/>
                <w:sz w:val="20"/>
                <w:szCs w:val="20"/>
              </w:rPr>
            </w:pPr>
            <w:r w:rsidRPr="00361189">
              <w:rPr>
                <w:rFonts w:ascii="Arial Narrow" w:hAnsi="Arial Narrow"/>
                <w:sz w:val="20"/>
                <w:szCs w:val="20"/>
              </w:rPr>
              <w:t>50% annu</w:t>
            </w:r>
            <w:r w:rsidR="00D217E2" w:rsidRPr="00361189">
              <w:rPr>
                <w:rFonts w:ascii="Arial Narrow" w:hAnsi="Arial Narrow"/>
                <w:sz w:val="20"/>
                <w:szCs w:val="20"/>
              </w:rPr>
              <w:t>al mortality – median OS 0.75 years</w:t>
            </w:r>
          </w:p>
        </w:tc>
        <w:tc>
          <w:tcPr>
            <w:tcW w:w="1027"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0.3870</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28" w:type="dxa"/>
            <w:vAlign w:val="center"/>
          </w:tcPr>
          <w:p w:rsidR="002D6659" w:rsidRPr="00361189" w:rsidRDefault="002D6659" w:rsidP="001B5BEF">
            <w:pPr>
              <w:keepNext/>
              <w:keepLines/>
              <w:jc w:val="center"/>
              <w:rPr>
                <w:rFonts w:ascii="Arial Narrow" w:hAnsi="Arial Narrow"/>
                <w:sz w:val="20"/>
                <w:szCs w:val="20"/>
              </w:rPr>
            </w:pPr>
            <w:r w:rsidRPr="00361189">
              <w:rPr>
                <w:rFonts w:ascii="Arial Narrow" w:hAnsi="Arial Narrow"/>
                <w:sz w:val="20"/>
                <w:szCs w:val="20"/>
              </w:rPr>
              <w:t>+329%</w:t>
            </w:r>
          </w:p>
        </w:tc>
      </w:tr>
    </w:tbl>
    <w:p w:rsidR="002D6659" w:rsidRPr="00361189" w:rsidRDefault="002D6659" w:rsidP="002D6659">
      <w:pPr>
        <w:keepNext/>
        <w:keepLines/>
        <w:rPr>
          <w:rFonts w:ascii="Arial Narrow" w:hAnsi="Arial Narrow"/>
          <w:sz w:val="18"/>
          <w:szCs w:val="20"/>
        </w:rPr>
      </w:pPr>
      <w:r w:rsidRPr="00361189">
        <w:rPr>
          <w:rFonts w:ascii="Arial Narrow" w:hAnsi="Arial Narrow"/>
          <w:sz w:val="18"/>
          <w:szCs w:val="20"/>
        </w:rPr>
        <w:t>Source: Constructed during evaluation using Nusinersen Economic Model_March2020.xlsx</w:t>
      </w:r>
    </w:p>
    <w:p w:rsidR="002D6659" w:rsidRPr="00361189" w:rsidRDefault="002D6659" w:rsidP="002D6659">
      <w:pPr>
        <w:keepNext/>
        <w:keepLines/>
        <w:rPr>
          <w:rFonts w:ascii="Arial Narrow" w:hAnsi="Arial Narrow"/>
          <w:sz w:val="18"/>
          <w:szCs w:val="20"/>
        </w:rPr>
      </w:pPr>
      <w:r w:rsidRPr="00361189">
        <w:rPr>
          <w:rFonts w:ascii="Arial Narrow" w:hAnsi="Arial Narrow"/>
          <w:sz w:val="18"/>
          <w:szCs w:val="20"/>
        </w:rPr>
        <w:t>QALY = quality adjusted life year, AE = adverse event, OS = overall survival, yo = years old</w:t>
      </w:r>
    </w:p>
    <w:p w:rsidR="002D6659" w:rsidRPr="00361189" w:rsidRDefault="002D6659" w:rsidP="002D6659">
      <w:pPr>
        <w:keepNext/>
        <w:keepLines/>
        <w:tabs>
          <w:tab w:val="left" w:pos="284"/>
        </w:tabs>
        <w:ind w:left="284" w:hanging="284"/>
        <w:rPr>
          <w:rFonts w:ascii="Arial Narrow" w:hAnsi="Arial Narrow"/>
          <w:sz w:val="18"/>
          <w:szCs w:val="20"/>
        </w:rPr>
      </w:pPr>
      <w:r w:rsidRPr="00361189">
        <w:rPr>
          <w:rFonts w:ascii="Arial Narrow" w:hAnsi="Arial Narrow"/>
          <w:sz w:val="18"/>
          <w:szCs w:val="20"/>
          <w:vertAlign w:val="superscript"/>
        </w:rPr>
        <w:t xml:space="preserve">a </w:t>
      </w:r>
      <w:r w:rsidRPr="00361189">
        <w:rPr>
          <w:rFonts w:ascii="Arial Narrow" w:hAnsi="Arial Narrow"/>
          <w:sz w:val="18"/>
          <w:szCs w:val="20"/>
          <w:vertAlign w:val="superscript"/>
        </w:rPr>
        <w:tab/>
      </w:r>
      <w:r w:rsidRPr="00361189">
        <w:rPr>
          <w:rFonts w:ascii="Arial Narrow" w:hAnsi="Arial Narrow"/>
          <w:sz w:val="18"/>
          <w:szCs w:val="20"/>
        </w:rPr>
        <w:t>Median OS for SMA Type I patient only, estimated by looking for 50</w:t>
      </w:r>
      <w:r w:rsidRPr="00361189">
        <w:rPr>
          <w:rFonts w:ascii="Arial Narrow" w:hAnsi="Arial Narrow"/>
          <w:sz w:val="18"/>
          <w:szCs w:val="20"/>
          <w:vertAlign w:val="superscript"/>
        </w:rPr>
        <w:t>th</w:t>
      </w:r>
      <w:r w:rsidRPr="00361189">
        <w:rPr>
          <w:rFonts w:ascii="Arial Narrow" w:hAnsi="Arial Narrow"/>
          <w:sz w:val="18"/>
          <w:szCs w:val="20"/>
        </w:rPr>
        <w:t xml:space="preserve"> percentile in dead state after setting 100% of cohort to SMA type I in model </w:t>
      </w:r>
    </w:p>
    <w:p w:rsidR="002D6659" w:rsidRPr="00361189" w:rsidRDefault="002D6659" w:rsidP="002D6659"/>
    <w:p w:rsidR="007735B7" w:rsidRPr="007735B7" w:rsidRDefault="007735B7" w:rsidP="007735B7">
      <w:pPr>
        <w:pStyle w:val="3-BodyText"/>
        <w:numPr>
          <w:ilvl w:val="0"/>
          <w:numId w:val="0"/>
        </w:numPr>
        <w:ind w:left="720" w:hanging="720"/>
        <w:rPr>
          <w:i/>
        </w:rPr>
      </w:pPr>
      <w:r>
        <w:rPr>
          <w:i/>
        </w:rPr>
        <w:t>The redacted table shows ICERs in the range of $115,000 to &lt; $655,000/QALY.</w:t>
      </w:r>
    </w:p>
    <w:p w:rsidR="004E7BCB" w:rsidRPr="00361189" w:rsidRDefault="004E7BCB" w:rsidP="00B06388">
      <w:pPr>
        <w:pStyle w:val="3-BodyText"/>
      </w:pPr>
      <w:r w:rsidRPr="00361189">
        <w:t>The sur</w:t>
      </w:r>
      <w:r w:rsidR="00B35100" w:rsidRPr="00361189">
        <w:t>vival of SMA Type I patients had</w:t>
      </w:r>
      <w:r w:rsidRPr="00361189">
        <w:t xml:space="preserve"> a large impact on the estimated ICER, and increasing mortality ha</w:t>
      </w:r>
      <w:r w:rsidR="00EF001D" w:rsidRPr="00361189">
        <w:t>d</w:t>
      </w:r>
      <w:r w:rsidRPr="00361189">
        <w:t xml:space="preserve"> an impact on both the incremental cost (smaller cost offsets) and incremental QALY (fewer QALY gain</w:t>
      </w:r>
      <w:r w:rsidR="00EF001D" w:rsidRPr="00361189">
        <w:t>s due to reduced life years</w:t>
      </w:r>
      <w:r w:rsidRPr="00361189">
        <w:t>)</w:t>
      </w:r>
      <w:r w:rsidR="00361189">
        <w:t xml:space="preserve">. </w:t>
      </w:r>
      <w:r w:rsidRPr="00361189">
        <w:t xml:space="preserve">However, it was difficult to identify the most appropriate annual mortality for the economic model as there is a paucity of evidence of the </w:t>
      </w:r>
      <w:r w:rsidR="005629A6" w:rsidRPr="00361189">
        <w:t>long-term</w:t>
      </w:r>
      <w:r w:rsidRPr="00361189">
        <w:t xml:space="preserve"> survival of patients with SMA Type I and </w:t>
      </w:r>
      <w:r w:rsidR="007747AC" w:rsidRPr="00361189">
        <w:rPr>
          <w:rFonts w:ascii="Calibri" w:hAnsi="Calibri"/>
          <w:i/>
        </w:rPr>
        <w:t>SMN2</w:t>
      </w:r>
      <w:r w:rsidRPr="00361189">
        <w:t xml:space="preserve"> copy ≤2 treated with nusinersen</w:t>
      </w:r>
      <w:r w:rsidR="00361189">
        <w:t xml:space="preserve">. </w:t>
      </w:r>
      <w:r w:rsidRPr="00361189">
        <w:t xml:space="preserve">In the absence of </w:t>
      </w:r>
      <w:r w:rsidR="005629A6" w:rsidRPr="00361189">
        <w:t>long-term survival data</w:t>
      </w:r>
      <w:r w:rsidRPr="00361189">
        <w:t xml:space="preserve">, it was likely most appropriate to </w:t>
      </w:r>
      <w:r w:rsidR="005629A6" w:rsidRPr="00361189">
        <w:t>apply</w:t>
      </w:r>
      <w:r w:rsidRPr="00361189">
        <w:t xml:space="preserve"> the 16% annual mortality reported in patients with SMA Type I and </w:t>
      </w:r>
      <w:r w:rsidR="005629A6" w:rsidRPr="00361189">
        <w:t xml:space="preserve">an </w:t>
      </w:r>
      <w:r w:rsidR="007747AC" w:rsidRPr="00361189">
        <w:rPr>
          <w:rFonts w:ascii="Calibri" w:hAnsi="Calibri"/>
          <w:i/>
        </w:rPr>
        <w:t>SMN2</w:t>
      </w:r>
      <w:r w:rsidRPr="00361189">
        <w:t xml:space="preserve"> copy</w:t>
      </w:r>
      <w:r w:rsidR="005629A6" w:rsidRPr="00361189">
        <w:t xml:space="preserve"> of </w:t>
      </w:r>
      <w:r w:rsidRPr="00361189">
        <w:t xml:space="preserve">2 treated with nusinersen in ENDEAR (n=80). </w:t>
      </w:r>
      <w:r w:rsidR="00C6143E" w:rsidRPr="00361189">
        <w:t xml:space="preserve">The PSCR </w:t>
      </w:r>
      <w:r w:rsidR="00B06388" w:rsidRPr="00361189">
        <w:t xml:space="preserve">argued that applying a constant 16% mortality per annum is unreasonable as no additional patients in the ENDEAR and SHINE studies died beyond 78 weeks. The PSCR stated that the omission of SMA related mortality was a conservative approach given that no benefit in overall survival with pre-symptomatic treatment was claimed </w:t>
      </w:r>
      <w:r w:rsidR="00B06388" w:rsidRPr="00361189">
        <w:lastRenderedPageBreak/>
        <w:t>in the resubmission.</w:t>
      </w:r>
      <w:r w:rsidR="00C931DA" w:rsidRPr="00361189">
        <w:t xml:space="preserve"> The ESC considered that the omission of SMA related mortality was </w:t>
      </w:r>
      <w:r w:rsidR="00FE7149" w:rsidRPr="00361189">
        <w:t xml:space="preserve">not a </w:t>
      </w:r>
      <w:r w:rsidR="0042176F" w:rsidRPr="00361189">
        <w:t xml:space="preserve">conservative </w:t>
      </w:r>
      <w:r w:rsidR="00FE7149" w:rsidRPr="00361189">
        <w:t>approach noting</w:t>
      </w:r>
      <w:r w:rsidR="00C931DA" w:rsidRPr="00361189">
        <w:t xml:space="preserve"> the results of the economic analysis are driven by the </w:t>
      </w:r>
      <w:r w:rsidR="00FE7149" w:rsidRPr="00361189">
        <w:t>lack</w:t>
      </w:r>
      <w:r w:rsidR="00C931DA" w:rsidRPr="00361189">
        <w:t xml:space="preserve"> of </w:t>
      </w:r>
      <w:r w:rsidR="00FE7149" w:rsidRPr="00361189">
        <w:t xml:space="preserve">SMA related </w:t>
      </w:r>
      <w:r w:rsidR="00C931DA" w:rsidRPr="00361189">
        <w:t>mortality. The ESC considered that a median OS of 87</w:t>
      </w:r>
      <w:r w:rsidR="00FE7149" w:rsidRPr="00361189">
        <w:t>.75 years was not supported by</w:t>
      </w:r>
      <w:r w:rsidR="0095434D" w:rsidRPr="00361189">
        <w:t xml:space="preserve"> the</w:t>
      </w:r>
      <w:r w:rsidR="00FE7149" w:rsidRPr="00361189">
        <w:t xml:space="preserve"> </w:t>
      </w:r>
      <w:r w:rsidR="0042176F" w:rsidRPr="00361189">
        <w:t>clinical data</w:t>
      </w:r>
      <w:r w:rsidR="00FE7149" w:rsidRPr="00361189">
        <w:t xml:space="preserve"> and </w:t>
      </w:r>
      <w:r w:rsidR="0042176F" w:rsidRPr="00361189">
        <w:t xml:space="preserve">that </w:t>
      </w:r>
      <w:r w:rsidR="00FE7149" w:rsidRPr="00361189">
        <w:t>a median OS of 4.25 years (when the 16% mortality per annum is applied)</w:t>
      </w:r>
      <w:r w:rsidR="0042176F" w:rsidRPr="00361189">
        <w:t xml:space="preserve"> was more reflective of the available evidence</w:t>
      </w:r>
      <w:r w:rsidR="00361189">
        <w:t xml:space="preserve">. </w:t>
      </w:r>
    </w:p>
    <w:p w:rsidR="004E7BCB" w:rsidRPr="00361189" w:rsidRDefault="004E7BCB" w:rsidP="00BB732D">
      <w:pPr>
        <w:pStyle w:val="3-BodyText"/>
      </w:pPr>
      <w:r w:rsidRPr="00361189">
        <w:t>A range of multivariate sensitivity analyses were presented by the resubmission</w:t>
      </w:r>
      <w:r w:rsidR="00361189">
        <w:t xml:space="preserve">. </w:t>
      </w:r>
      <w:r w:rsidRPr="00361189">
        <w:t>These multivariate sensitivity analysis were also conducted assuming 16% annual mortality in SMA Type I during the evaluation</w:t>
      </w:r>
      <w:r w:rsidR="00361189">
        <w:t xml:space="preserve">. </w:t>
      </w:r>
      <w:r w:rsidRPr="00361189">
        <w:t>The results of these analyses are summarised in</w:t>
      </w:r>
      <w:r w:rsidR="00EE72BD">
        <w:t xml:space="preserve"> Table 16</w:t>
      </w:r>
      <w:r w:rsidR="00361189">
        <w:t xml:space="preserve">. </w:t>
      </w:r>
    </w:p>
    <w:p w:rsidR="004E7BCB" w:rsidRPr="00361189" w:rsidRDefault="0052269E" w:rsidP="004E7BCB">
      <w:pPr>
        <w:keepNext/>
        <w:keepLines/>
        <w:rPr>
          <w:rFonts w:ascii="Arial Narrow" w:hAnsi="Arial Narrow"/>
          <w:b/>
          <w:sz w:val="20"/>
          <w:szCs w:val="20"/>
        </w:rPr>
      </w:pPr>
      <w:bookmarkStart w:id="49" w:name="_Ref39365695"/>
      <w:r w:rsidRPr="00361189">
        <w:rPr>
          <w:rFonts w:ascii="Arial Narrow" w:hAnsi="Arial Narrow"/>
          <w:b/>
          <w:sz w:val="20"/>
          <w:szCs w:val="20"/>
        </w:rPr>
        <w:t>Table</w:t>
      </w:r>
      <w:bookmarkEnd w:id="49"/>
      <w:r w:rsidR="00EE72BD">
        <w:rPr>
          <w:rFonts w:ascii="Arial Narrow" w:hAnsi="Arial Narrow"/>
          <w:b/>
          <w:sz w:val="20"/>
          <w:szCs w:val="20"/>
        </w:rPr>
        <w:t xml:space="preserve"> 16</w:t>
      </w:r>
      <w:r w:rsidRPr="00361189">
        <w:rPr>
          <w:rFonts w:ascii="Arial Narrow" w:hAnsi="Arial Narrow"/>
          <w:b/>
          <w:sz w:val="20"/>
          <w:szCs w:val="20"/>
        </w:rPr>
        <w:t xml:space="preserve">: </w:t>
      </w:r>
      <w:r w:rsidR="004E7BCB" w:rsidRPr="00361189">
        <w:rPr>
          <w:rFonts w:ascii="Arial Narrow" w:hAnsi="Arial Narrow"/>
          <w:b/>
          <w:sz w:val="20"/>
          <w:szCs w:val="20"/>
        </w:rPr>
        <w:t xml:space="preserve">Multivariate sensitivity analysis presented by the resubmission </w:t>
      </w:r>
    </w:p>
    <w:tbl>
      <w:tblPr>
        <w:tblStyle w:val="TableGrid"/>
        <w:tblW w:w="0" w:type="auto"/>
        <w:tblCellMar>
          <w:left w:w="28" w:type="dxa"/>
          <w:right w:w="28" w:type="dxa"/>
        </w:tblCellMar>
        <w:tblLook w:val="04A0" w:firstRow="1" w:lastRow="0" w:firstColumn="1" w:lastColumn="0" w:noHBand="0" w:noVBand="1"/>
        <w:tblCaption w:val="Table 16: Multivariate sensitivity analysis presented by the resubmission "/>
      </w:tblPr>
      <w:tblGrid>
        <w:gridCol w:w="1803"/>
        <w:gridCol w:w="1803"/>
        <w:gridCol w:w="1803"/>
        <w:gridCol w:w="1804"/>
        <w:gridCol w:w="1804"/>
      </w:tblGrid>
      <w:tr w:rsidR="004E7BCB" w:rsidRPr="00361189" w:rsidTr="007E5A35">
        <w:trPr>
          <w:tblHeader/>
        </w:trPr>
        <w:tc>
          <w:tcPr>
            <w:tcW w:w="1803" w:type="dxa"/>
            <w:vMerge w:val="restart"/>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Treatment benefit (utility gain)</w:t>
            </w:r>
          </w:p>
        </w:tc>
        <w:tc>
          <w:tcPr>
            <w:tcW w:w="1803" w:type="dxa"/>
            <w:vMerge w:val="restart"/>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Health state cost saving</w:t>
            </w:r>
          </w:p>
        </w:tc>
        <w:tc>
          <w:tcPr>
            <w:tcW w:w="5411" w:type="dxa"/>
            <w:gridSpan w:val="3"/>
            <w:vAlign w:val="center"/>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ICER /QALY by duration of treatment effect</w:t>
            </w:r>
          </w:p>
        </w:tc>
      </w:tr>
      <w:tr w:rsidR="004E7BCB" w:rsidRPr="00361189" w:rsidTr="007E5A35">
        <w:trPr>
          <w:tblHeader/>
        </w:trPr>
        <w:tc>
          <w:tcPr>
            <w:tcW w:w="1803" w:type="dxa"/>
            <w:vMerge/>
            <w:tcBorders>
              <w:bottom w:val="double" w:sz="4" w:space="0" w:color="auto"/>
            </w:tcBorders>
            <w:vAlign w:val="center"/>
          </w:tcPr>
          <w:p w:rsidR="004E7BCB" w:rsidRPr="00361189" w:rsidRDefault="004E7BCB" w:rsidP="001B5BEF">
            <w:pPr>
              <w:keepNext/>
              <w:keepLines/>
              <w:jc w:val="center"/>
              <w:rPr>
                <w:rFonts w:ascii="Arial Narrow" w:hAnsi="Arial Narrow"/>
                <w:b/>
                <w:sz w:val="20"/>
                <w:szCs w:val="20"/>
              </w:rPr>
            </w:pPr>
          </w:p>
        </w:tc>
        <w:tc>
          <w:tcPr>
            <w:tcW w:w="1803" w:type="dxa"/>
            <w:vMerge/>
            <w:tcBorders>
              <w:bottom w:val="double" w:sz="4" w:space="0" w:color="auto"/>
            </w:tcBorders>
            <w:vAlign w:val="center"/>
          </w:tcPr>
          <w:p w:rsidR="004E7BCB" w:rsidRPr="00361189" w:rsidRDefault="004E7BCB" w:rsidP="001B5BEF">
            <w:pPr>
              <w:keepNext/>
              <w:keepLines/>
              <w:jc w:val="center"/>
              <w:rPr>
                <w:rFonts w:ascii="Arial Narrow" w:hAnsi="Arial Narrow"/>
                <w:b/>
                <w:sz w:val="20"/>
                <w:szCs w:val="20"/>
              </w:rPr>
            </w:pPr>
          </w:p>
        </w:tc>
        <w:tc>
          <w:tcPr>
            <w:tcW w:w="1803" w:type="dxa"/>
            <w:tcBorders>
              <w:bottom w:val="double" w:sz="4" w:space="0" w:color="auto"/>
            </w:tcBorders>
            <w:vAlign w:val="center"/>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5 years</w:t>
            </w:r>
          </w:p>
        </w:tc>
        <w:tc>
          <w:tcPr>
            <w:tcW w:w="1804" w:type="dxa"/>
            <w:tcBorders>
              <w:bottom w:val="double" w:sz="4" w:space="0" w:color="auto"/>
            </w:tcBorders>
            <w:vAlign w:val="center"/>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10 years</w:t>
            </w:r>
          </w:p>
        </w:tc>
        <w:tc>
          <w:tcPr>
            <w:tcW w:w="1804" w:type="dxa"/>
            <w:tcBorders>
              <w:bottom w:val="double" w:sz="4" w:space="0" w:color="auto"/>
            </w:tcBorders>
            <w:vAlign w:val="center"/>
          </w:tcPr>
          <w:p w:rsidR="004E7BCB" w:rsidRPr="00361189" w:rsidRDefault="004E7BCB" w:rsidP="001B5BEF">
            <w:pPr>
              <w:keepNext/>
              <w:keepLines/>
              <w:jc w:val="center"/>
              <w:rPr>
                <w:rFonts w:ascii="Arial Narrow" w:hAnsi="Arial Narrow"/>
                <w:b/>
                <w:sz w:val="20"/>
                <w:szCs w:val="20"/>
              </w:rPr>
            </w:pPr>
            <w:r w:rsidRPr="00361189">
              <w:rPr>
                <w:rFonts w:ascii="Arial Narrow" w:hAnsi="Arial Narrow"/>
                <w:b/>
                <w:sz w:val="20"/>
                <w:szCs w:val="20"/>
              </w:rPr>
              <w:t>20 years (Base case)</w:t>
            </w:r>
          </w:p>
        </w:tc>
      </w:tr>
      <w:tr w:rsidR="004E7BCB" w:rsidRPr="00361189" w:rsidTr="001B5BEF">
        <w:tc>
          <w:tcPr>
            <w:tcW w:w="9017" w:type="dxa"/>
            <w:gridSpan w:val="5"/>
            <w:tcBorders>
              <w:top w:val="double" w:sz="4" w:space="0" w:color="auto"/>
            </w:tcBorders>
            <w:vAlign w:val="center"/>
          </w:tcPr>
          <w:p w:rsidR="004E7BCB" w:rsidRPr="00361189" w:rsidRDefault="00B35100" w:rsidP="004E7BCB">
            <w:pPr>
              <w:keepNext/>
              <w:keepLines/>
              <w:jc w:val="left"/>
              <w:rPr>
                <w:rFonts w:ascii="Arial Narrow" w:hAnsi="Arial Narrow"/>
                <w:b/>
                <w:sz w:val="20"/>
                <w:szCs w:val="20"/>
              </w:rPr>
            </w:pPr>
            <w:r w:rsidRPr="00361189">
              <w:rPr>
                <w:rFonts w:ascii="Arial Narrow" w:hAnsi="Arial Narrow"/>
                <w:b/>
                <w:sz w:val="20"/>
                <w:szCs w:val="20"/>
              </w:rPr>
              <w:t>No mortality from SMA</w:t>
            </w:r>
            <w:r w:rsidR="00E83F48" w:rsidRPr="00361189">
              <w:rPr>
                <w:rFonts w:ascii="Arial Narrow" w:hAnsi="Arial Narrow"/>
                <w:b/>
                <w:sz w:val="20"/>
                <w:szCs w:val="20"/>
                <w:vertAlign w:val="superscript"/>
              </w:rPr>
              <w:t>a</w:t>
            </w:r>
            <w:r w:rsidRPr="00361189">
              <w:rPr>
                <w:rFonts w:ascii="Arial Narrow" w:hAnsi="Arial Narrow"/>
                <w:b/>
                <w:sz w:val="20"/>
                <w:szCs w:val="20"/>
              </w:rPr>
              <w:t xml:space="preserve"> </w:t>
            </w:r>
          </w:p>
        </w:tc>
      </w:tr>
      <w:tr w:rsidR="004E7BCB" w:rsidRPr="00361189" w:rsidTr="00816250">
        <w:tc>
          <w:tcPr>
            <w:tcW w:w="1803" w:type="dxa"/>
            <w:vMerge w:val="restart"/>
            <w:tcBorders>
              <w:top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0.1</w:t>
            </w:r>
          </w:p>
        </w:tc>
        <w:tc>
          <w:tcPr>
            <w:tcW w:w="1803" w:type="dxa"/>
            <w:tcBorders>
              <w:top w:val="double" w:sz="4" w:space="0" w:color="auto"/>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5%</w:t>
            </w:r>
          </w:p>
        </w:tc>
        <w:tc>
          <w:tcPr>
            <w:tcW w:w="1803" w:type="dxa"/>
            <w:tcBorders>
              <w:top w:val="double" w:sz="4" w:space="0" w:color="auto"/>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10%</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tcBorders>
              <w:bottom w:val="double" w:sz="4" w:space="0" w:color="auto"/>
            </w:tcBorders>
            <w:vAlign w:val="center"/>
          </w:tcPr>
          <w:p w:rsidR="004E7BCB" w:rsidRPr="00361189" w:rsidRDefault="004E7BCB" w:rsidP="001B5BEF">
            <w:pPr>
              <w:keepNext/>
              <w:keepLines/>
              <w:jc w:val="center"/>
              <w:rPr>
                <w:rFonts w:ascii="Arial Narrow" w:hAnsi="Arial Narrow"/>
                <w:sz w:val="20"/>
                <w:szCs w:val="20"/>
              </w:rPr>
            </w:pPr>
          </w:p>
        </w:tc>
        <w:tc>
          <w:tcPr>
            <w:tcW w:w="1803" w:type="dxa"/>
            <w:tcBorders>
              <w:bottom w:val="double" w:sz="4" w:space="0" w:color="auto"/>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20% (bas</w:t>
            </w:r>
            <w:r w:rsidR="006E05AF" w:rsidRPr="00361189">
              <w:rPr>
                <w:rFonts w:ascii="Arial Narrow" w:hAnsi="Arial Narrow"/>
                <w:sz w:val="20"/>
                <w:szCs w:val="20"/>
              </w:rPr>
              <w:t>e</w:t>
            </w:r>
            <w:r w:rsidRPr="00361189">
              <w:rPr>
                <w:rFonts w:ascii="Arial Narrow" w:hAnsi="Arial Narrow"/>
                <w:sz w:val="20"/>
                <w:szCs w:val="20"/>
              </w:rPr>
              <w:t xml:space="preserve"> case)</w:t>
            </w:r>
          </w:p>
        </w:tc>
        <w:tc>
          <w:tcPr>
            <w:tcW w:w="1803" w:type="dxa"/>
            <w:tcBorders>
              <w:left w:val="double" w:sz="4" w:space="0" w:color="auto"/>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restart"/>
            <w:tcBorders>
              <w:top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0.2 (base case)</w:t>
            </w:r>
          </w:p>
        </w:tc>
        <w:tc>
          <w:tcPr>
            <w:tcW w:w="1803" w:type="dxa"/>
            <w:tcBorders>
              <w:top w:val="double" w:sz="4" w:space="0" w:color="auto"/>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5%</w:t>
            </w:r>
          </w:p>
        </w:tc>
        <w:tc>
          <w:tcPr>
            <w:tcW w:w="1803" w:type="dxa"/>
            <w:tcBorders>
              <w:top w:val="double" w:sz="4" w:space="0" w:color="auto"/>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10%</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sz w:val="20"/>
                <w:szCs w:val="20"/>
              </w:rPr>
            </w:pPr>
            <w:r w:rsidRPr="00361189">
              <w:rPr>
                <w:rFonts w:ascii="Arial Narrow" w:hAnsi="Arial Narrow"/>
                <w:sz w:val="20"/>
                <w:szCs w:val="20"/>
              </w:rPr>
              <w:t>20% (bas</w:t>
            </w:r>
            <w:r w:rsidR="006E05AF" w:rsidRPr="00361189">
              <w:rPr>
                <w:rFonts w:ascii="Arial Narrow" w:hAnsi="Arial Narrow"/>
                <w:sz w:val="20"/>
                <w:szCs w:val="20"/>
              </w:rPr>
              <w:t>e</w:t>
            </w:r>
            <w:r w:rsidRPr="00361189">
              <w:rPr>
                <w:rFonts w:ascii="Arial Narrow" w:hAnsi="Arial Narrow"/>
                <w:sz w:val="20"/>
                <w:szCs w:val="20"/>
              </w:rPr>
              <w:t xml:space="preserve"> case)</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B35100" w:rsidRPr="00361189" w:rsidTr="00B35100">
        <w:tc>
          <w:tcPr>
            <w:tcW w:w="9017" w:type="dxa"/>
            <w:gridSpan w:val="5"/>
            <w:tcBorders>
              <w:top w:val="double" w:sz="4" w:space="0" w:color="auto"/>
            </w:tcBorders>
            <w:shd w:val="clear" w:color="auto" w:fill="auto"/>
            <w:vAlign w:val="center"/>
          </w:tcPr>
          <w:p w:rsidR="00B35100" w:rsidRPr="00361189" w:rsidRDefault="00B35100" w:rsidP="00B35100">
            <w:pPr>
              <w:keepNext/>
              <w:keepLines/>
              <w:jc w:val="left"/>
              <w:rPr>
                <w:rFonts w:ascii="Arial Narrow" w:hAnsi="Arial Narrow"/>
                <w:b/>
                <w:sz w:val="20"/>
                <w:szCs w:val="20"/>
                <w:vertAlign w:val="superscript"/>
              </w:rPr>
            </w:pPr>
            <w:r w:rsidRPr="00361189">
              <w:rPr>
                <w:rFonts w:ascii="Arial Narrow" w:hAnsi="Arial Narrow"/>
                <w:b/>
                <w:sz w:val="20"/>
                <w:szCs w:val="20"/>
              </w:rPr>
              <w:t>Assume 16% annual mortality in SMA Type I</w:t>
            </w:r>
            <w:r w:rsidR="00E83F48" w:rsidRPr="00361189">
              <w:rPr>
                <w:rFonts w:ascii="Arial Narrow" w:hAnsi="Arial Narrow"/>
                <w:b/>
                <w:sz w:val="20"/>
                <w:szCs w:val="20"/>
                <w:vertAlign w:val="superscript"/>
              </w:rPr>
              <w:t>b</w:t>
            </w:r>
          </w:p>
        </w:tc>
      </w:tr>
      <w:tr w:rsidR="004E7BCB" w:rsidRPr="00361189" w:rsidTr="00816250">
        <w:tc>
          <w:tcPr>
            <w:tcW w:w="1803" w:type="dxa"/>
            <w:vMerge w:val="restart"/>
            <w:tcBorders>
              <w:top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0.1</w:t>
            </w:r>
          </w:p>
        </w:tc>
        <w:tc>
          <w:tcPr>
            <w:tcW w:w="1803" w:type="dxa"/>
            <w:tcBorders>
              <w:top w:val="double" w:sz="4" w:space="0" w:color="auto"/>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5%</w:t>
            </w:r>
          </w:p>
        </w:tc>
        <w:tc>
          <w:tcPr>
            <w:tcW w:w="1803" w:type="dxa"/>
            <w:tcBorders>
              <w:top w:val="double" w:sz="4" w:space="0" w:color="auto"/>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i/>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10%</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tcBorders>
              <w:bottom w:val="double" w:sz="4" w:space="0" w:color="auto"/>
            </w:tcBorders>
            <w:vAlign w:val="center"/>
          </w:tcPr>
          <w:p w:rsidR="004E7BCB" w:rsidRPr="00361189" w:rsidRDefault="004E7BCB" w:rsidP="001B5BEF">
            <w:pPr>
              <w:keepNext/>
              <w:keepLines/>
              <w:jc w:val="center"/>
              <w:rPr>
                <w:rFonts w:ascii="Arial Narrow" w:hAnsi="Arial Narrow"/>
                <w:i/>
                <w:sz w:val="20"/>
                <w:szCs w:val="20"/>
              </w:rPr>
            </w:pPr>
          </w:p>
        </w:tc>
        <w:tc>
          <w:tcPr>
            <w:tcW w:w="1803" w:type="dxa"/>
            <w:tcBorders>
              <w:bottom w:val="double" w:sz="4" w:space="0" w:color="auto"/>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20% (bas</w:t>
            </w:r>
            <w:r w:rsidR="006E05AF" w:rsidRPr="00361189">
              <w:rPr>
                <w:rFonts w:ascii="Arial Narrow" w:hAnsi="Arial Narrow"/>
                <w:i/>
                <w:sz w:val="20"/>
                <w:szCs w:val="20"/>
              </w:rPr>
              <w:t>e</w:t>
            </w:r>
            <w:r w:rsidRPr="00361189">
              <w:rPr>
                <w:rFonts w:ascii="Arial Narrow" w:hAnsi="Arial Narrow"/>
                <w:i/>
                <w:sz w:val="20"/>
                <w:szCs w:val="20"/>
              </w:rPr>
              <w:t xml:space="preserve"> case)</w:t>
            </w:r>
          </w:p>
        </w:tc>
        <w:tc>
          <w:tcPr>
            <w:tcW w:w="1803" w:type="dxa"/>
            <w:tcBorders>
              <w:left w:val="double" w:sz="4" w:space="0" w:color="auto"/>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bottom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restart"/>
            <w:tcBorders>
              <w:top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0.2 (base case)</w:t>
            </w:r>
          </w:p>
        </w:tc>
        <w:tc>
          <w:tcPr>
            <w:tcW w:w="1803" w:type="dxa"/>
            <w:tcBorders>
              <w:top w:val="double" w:sz="4" w:space="0" w:color="auto"/>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5%</w:t>
            </w:r>
          </w:p>
        </w:tc>
        <w:tc>
          <w:tcPr>
            <w:tcW w:w="1803" w:type="dxa"/>
            <w:tcBorders>
              <w:top w:val="double" w:sz="4" w:space="0" w:color="auto"/>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tcBorders>
              <w:top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i/>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10%</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r w:rsidR="004E7BCB" w:rsidRPr="00361189" w:rsidTr="00816250">
        <w:tc>
          <w:tcPr>
            <w:tcW w:w="1803" w:type="dxa"/>
            <w:vMerge/>
            <w:vAlign w:val="center"/>
          </w:tcPr>
          <w:p w:rsidR="004E7BCB" w:rsidRPr="00361189" w:rsidRDefault="004E7BCB" w:rsidP="001B5BEF">
            <w:pPr>
              <w:keepNext/>
              <w:keepLines/>
              <w:jc w:val="center"/>
              <w:rPr>
                <w:rFonts w:ascii="Arial Narrow" w:hAnsi="Arial Narrow"/>
                <w:i/>
                <w:sz w:val="20"/>
                <w:szCs w:val="20"/>
              </w:rPr>
            </w:pPr>
          </w:p>
        </w:tc>
        <w:tc>
          <w:tcPr>
            <w:tcW w:w="1803" w:type="dxa"/>
            <w:tcBorders>
              <w:right w:val="double" w:sz="4" w:space="0" w:color="auto"/>
            </w:tcBorders>
            <w:vAlign w:val="center"/>
          </w:tcPr>
          <w:p w:rsidR="004E7BCB" w:rsidRPr="00361189" w:rsidRDefault="004E7BCB" w:rsidP="001B5BEF">
            <w:pPr>
              <w:keepNext/>
              <w:keepLines/>
              <w:jc w:val="center"/>
              <w:rPr>
                <w:rFonts w:ascii="Arial Narrow" w:hAnsi="Arial Narrow"/>
                <w:i/>
                <w:sz w:val="20"/>
                <w:szCs w:val="20"/>
              </w:rPr>
            </w:pPr>
            <w:r w:rsidRPr="00361189">
              <w:rPr>
                <w:rFonts w:ascii="Arial Narrow" w:hAnsi="Arial Narrow"/>
                <w:i/>
                <w:sz w:val="20"/>
                <w:szCs w:val="20"/>
              </w:rPr>
              <w:t>20% (bas</w:t>
            </w:r>
            <w:r w:rsidR="006E05AF" w:rsidRPr="00361189">
              <w:rPr>
                <w:rFonts w:ascii="Arial Narrow" w:hAnsi="Arial Narrow"/>
                <w:i/>
                <w:sz w:val="20"/>
                <w:szCs w:val="20"/>
              </w:rPr>
              <w:t>e</w:t>
            </w:r>
            <w:r w:rsidRPr="00361189">
              <w:rPr>
                <w:rFonts w:ascii="Arial Narrow" w:hAnsi="Arial Narrow"/>
                <w:i/>
                <w:sz w:val="20"/>
                <w:szCs w:val="20"/>
              </w:rPr>
              <w:t xml:space="preserve"> case)</w:t>
            </w:r>
          </w:p>
        </w:tc>
        <w:tc>
          <w:tcPr>
            <w:tcW w:w="1803" w:type="dxa"/>
            <w:tcBorders>
              <w:left w:val="double" w:sz="4" w:space="0" w:color="auto"/>
            </w:tcBorders>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c>
          <w:tcPr>
            <w:tcW w:w="1804" w:type="dxa"/>
            <w:shd w:val="clear" w:color="auto" w:fill="auto"/>
            <w:vAlign w:val="center"/>
          </w:tcPr>
          <w:p w:rsidR="004E7BCB" w:rsidRPr="00E659B7" w:rsidRDefault="00E659B7" w:rsidP="001B5BEF">
            <w:pPr>
              <w:keepNext/>
              <w:keepLines/>
              <w:jc w:val="center"/>
              <w:rPr>
                <w:rFonts w:ascii="Arial Narrow" w:hAnsi="Arial Narrow"/>
                <w:i/>
                <w:sz w:val="20"/>
                <w:szCs w:val="20"/>
                <w:highlight w:val="black"/>
              </w:rPr>
            </w:pPr>
            <w:r>
              <w:rPr>
                <w:rFonts w:ascii="Arial Narrow" w:hAnsi="Arial Narrow"/>
                <w:i/>
                <w:noProof/>
                <w:color w:val="000000"/>
                <w:sz w:val="20"/>
                <w:szCs w:val="20"/>
                <w:highlight w:val="black"/>
              </w:rPr>
              <w:t>''''''''''''''''''''''''</w:t>
            </w:r>
          </w:p>
        </w:tc>
      </w:tr>
    </w:tbl>
    <w:p w:rsidR="004E7BCB" w:rsidRPr="00361189" w:rsidRDefault="004E7BCB" w:rsidP="004E7BCB">
      <w:pPr>
        <w:keepNext/>
        <w:keepLines/>
        <w:rPr>
          <w:rFonts w:ascii="Arial Narrow" w:hAnsi="Arial Narrow"/>
          <w:sz w:val="18"/>
          <w:szCs w:val="20"/>
        </w:rPr>
      </w:pPr>
      <w:r w:rsidRPr="00361189">
        <w:rPr>
          <w:rFonts w:ascii="Arial Narrow" w:hAnsi="Arial Narrow"/>
          <w:sz w:val="18"/>
          <w:szCs w:val="20"/>
        </w:rPr>
        <w:t>Source: Table 3-17, p162 and Constructed during evaluation using Nusinersen Economic Model_March2020.xlsx</w:t>
      </w:r>
    </w:p>
    <w:p w:rsidR="00E83F48" w:rsidRPr="00361189" w:rsidRDefault="00E83F48" w:rsidP="004E7BCB">
      <w:pPr>
        <w:keepNext/>
        <w:keepLines/>
        <w:rPr>
          <w:rFonts w:ascii="Arial Narrow" w:hAnsi="Arial Narrow"/>
          <w:sz w:val="18"/>
          <w:szCs w:val="20"/>
        </w:rPr>
      </w:pPr>
      <w:r w:rsidRPr="00361189">
        <w:rPr>
          <w:rFonts w:ascii="Arial Narrow" w:hAnsi="Arial Narrow"/>
          <w:sz w:val="18"/>
          <w:szCs w:val="20"/>
          <w:vertAlign w:val="superscript"/>
        </w:rPr>
        <w:t>a</w:t>
      </w:r>
      <w:r w:rsidRPr="00361189">
        <w:rPr>
          <w:rFonts w:ascii="Arial Narrow" w:hAnsi="Arial Narrow"/>
          <w:sz w:val="18"/>
          <w:szCs w:val="20"/>
        </w:rPr>
        <w:t xml:space="preserve"> Values have been corrected during the evaluation</w:t>
      </w:r>
    </w:p>
    <w:p w:rsidR="00E83F48" w:rsidRPr="00361189" w:rsidRDefault="00E83F48" w:rsidP="004E7BCB">
      <w:pPr>
        <w:keepNext/>
        <w:keepLines/>
        <w:rPr>
          <w:rFonts w:ascii="Arial Narrow" w:hAnsi="Arial Narrow"/>
          <w:sz w:val="18"/>
          <w:szCs w:val="20"/>
        </w:rPr>
      </w:pPr>
      <w:r w:rsidRPr="00361189">
        <w:rPr>
          <w:rFonts w:ascii="Arial Narrow" w:hAnsi="Arial Narrow"/>
          <w:sz w:val="18"/>
          <w:szCs w:val="20"/>
          <w:vertAlign w:val="superscript"/>
        </w:rPr>
        <w:t>b</w:t>
      </w:r>
      <w:r w:rsidRPr="00361189">
        <w:rPr>
          <w:rFonts w:ascii="Arial Narrow" w:hAnsi="Arial Narrow"/>
          <w:sz w:val="18"/>
          <w:szCs w:val="20"/>
        </w:rPr>
        <w:t xml:space="preserve"> Calculated during the evaluation</w:t>
      </w:r>
    </w:p>
    <w:p w:rsidR="00E83F48" w:rsidRPr="003536B0" w:rsidRDefault="003536B0" w:rsidP="003536B0">
      <w:pPr>
        <w:pStyle w:val="3-BodyText"/>
        <w:numPr>
          <w:ilvl w:val="0"/>
          <w:numId w:val="0"/>
        </w:numPr>
        <w:ind w:left="720" w:hanging="720"/>
        <w:rPr>
          <w:rFonts w:ascii="Arial Narrow" w:hAnsi="Arial Narrow"/>
          <w:i/>
          <w:sz w:val="18"/>
          <w:szCs w:val="20"/>
        </w:rPr>
      </w:pPr>
      <w:r w:rsidRPr="003536B0">
        <w:rPr>
          <w:i/>
        </w:rPr>
        <w:t>The redacted table shows ICERs in the range of $115,000 to &gt; $1,055,000</w:t>
      </w:r>
      <w:r w:rsidR="00A408B5">
        <w:rPr>
          <w:i/>
        </w:rPr>
        <w:t>/QALY</w:t>
      </w:r>
      <w:r w:rsidRPr="003536B0">
        <w:rPr>
          <w:i/>
        </w:rPr>
        <w:t>.</w:t>
      </w:r>
    </w:p>
    <w:p w:rsidR="00C25D9C" w:rsidRPr="00361189" w:rsidRDefault="00C25D9C" w:rsidP="00BB732D">
      <w:pPr>
        <w:pStyle w:val="4-SubsectionHeading"/>
      </w:pPr>
      <w:bookmarkStart w:id="50" w:name="_Toc22897646"/>
      <w:bookmarkStart w:id="51" w:name="_Toc40874425"/>
      <w:r w:rsidRPr="00361189">
        <w:t>Drug</w:t>
      </w:r>
      <w:r w:rsidR="00C45975" w:rsidRPr="00361189">
        <w:t xml:space="preserve"> </w:t>
      </w:r>
      <w:r w:rsidRPr="00361189">
        <w:t>cost/patient/</w:t>
      </w:r>
      <w:r w:rsidR="00C45975" w:rsidRPr="00361189">
        <w:t xml:space="preserve"> </w:t>
      </w:r>
      <w:r w:rsidRPr="00361189">
        <w:t>year</w:t>
      </w:r>
      <w:bookmarkEnd w:id="50"/>
      <w:bookmarkEnd w:id="51"/>
    </w:p>
    <w:p w:rsidR="00494207" w:rsidRPr="00361189" w:rsidRDefault="0089312A" w:rsidP="00BB732D">
      <w:pPr>
        <w:pStyle w:val="TableFigureHeading"/>
        <w:rPr>
          <w:rStyle w:val="CommentReference"/>
          <w:b/>
          <w:szCs w:val="24"/>
        </w:rPr>
      </w:pPr>
      <w:r w:rsidRPr="00361189">
        <w:rPr>
          <w:rStyle w:val="CommentReference"/>
          <w:b/>
          <w:szCs w:val="24"/>
        </w:rPr>
        <w:t>Table</w:t>
      </w:r>
      <w:r w:rsidR="00EE72BD">
        <w:rPr>
          <w:rStyle w:val="CommentReference"/>
          <w:b/>
          <w:szCs w:val="24"/>
        </w:rPr>
        <w:t xml:space="preserve"> 17</w:t>
      </w:r>
      <w:r w:rsidR="00494207" w:rsidRPr="00361189">
        <w:rPr>
          <w:rStyle w:val="CommentReference"/>
          <w:b/>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C45975" w:rsidRPr="00361189" w:rsidTr="00C45975">
        <w:trPr>
          <w:cantSplit/>
          <w:tblHeader/>
          <w:jc w:val="center"/>
        </w:trPr>
        <w:tc>
          <w:tcPr>
            <w:tcW w:w="815" w:type="pct"/>
            <w:shd w:val="clear" w:color="auto" w:fill="auto"/>
            <w:vAlign w:val="center"/>
          </w:tcPr>
          <w:p w:rsidR="00C45975" w:rsidRPr="00361189" w:rsidRDefault="00C45975" w:rsidP="00BB732D">
            <w:pPr>
              <w:pStyle w:val="In-tableHeading"/>
              <w:jc w:val="center"/>
              <w:rPr>
                <w:lang w:val="en-AU"/>
              </w:rPr>
            </w:pPr>
          </w:p>
        </w:tc>
        <w:tc>
          <w:tcPr>
            <w:tcW w:w="2091" w:type="pct"/>
            <w:gridSpan w:val="3"/>
            <w:shd w:val="clear" w:color="auto" w:fill="auto"/>
            <w:vAlign w:val="center"/>
          </w:tcPr>
          <w:p w:rsidR="00C45975" w:rsidRPr="00361189" w:rsidRDefault="0089312A" w:rsidP="00BB732D">
            <w:pPr>
              <w:pStyle w:val="In-tableHeading"/>
              <w:jc w:val="center"/>
              <w:rPr>
                <w:lang w:val="en-AU"/>
              </w:rPr>
            </w:pPr>
            <w:r w:rsidRPr="00361189">
              <w:rPr>
                <w:lang w:val="en-AU"/>
              </w:rPr>
              <w:t>Pre-symptomatic initi</w:t>
            </w:r>
            <w:r w:rsidR="00C45975" w:rsidRPr="00361189">
              <w:rPr>
                <w:lang w:val="en-AU"/>
              </w:rPr>
              <w:t>a</w:t>
            </w:r>
            <w:r w:rsidRPr="00361189">
              <w:rPr>
                <w:lang w:val="en-AU"/>
              </w:rPr>
              <w:t>t</w:t>
            </w:r>
            <w:r w:rsidR="00C45975" w:rsidRPr="00361189">
              <w:rPr>
                <w:lang w:val="en-AU"/>
              </w:rPr>
              <w:t>ion</w:t>
            </w:r>
          </w:p>
        </w:tc>
        <w:tc>
          <w:tcPr>
            <w:tcW w:w="2094" w:type="pct"/>
            <w:gridSpan w:val="3"/>
            <w:shd w:val="clear" w:color="auto" w:fill="auto"/>
            <w:vAlign w:val="center"/>
          </w:tcPr>
          <w:p w:rsidR="00C45975" w:rsidRPr="00361189" w:rsidRDefault="00C45975" w:rsidP="00BB732D">
            <w:pPr>
              <w:pStyle w:val="In-tableHeading"/>
              <w:jc w:val="center"/>
              <w:rPr>
                <w:lang w:val="en-AU"/>
              </w:rPr>
            </w:pPr>
            <w:r w:rsidRPr="00361189">
              <w:rPr>
                <w:lang w:val="en-AU"/>
              </w:rPr>
              <w:t>SoC</w:t>
            </w:r>
          </w:p>
        </w:tc>
      </w:tr>
      <w:tr w:rsidR="00C45975" w:rsidRPr="00361189" w:rsidTr="001B5BEF">
        <w:trPr>
          <w:cantSplit/>
          <w:tblHeader/>
          <w:jc w:val="center"/>
        </w:trPr>
        <w:tc>
          <w:tcPr>
            <w:tcW w:w="815" w:type="pct"/>
            <w:shd w:val="clear" w:color="auto" w:fill="auto"/>
            <w:vAlign w:val="center"/>
          </w:tcPr>
          <w:p w:rsidR="00C45975" w:rsidRPr="00361189" w:rsidRDefault="00C45975" w:rsidP="00C45975">
            <w:pPr>
              <w:pStyle w:val="In-tableHeading"/>
              <w:jc w:val="center"/>
              <w:rPr>
                <w:lang w:val="en-AU"/>
              </w:rPr>
            </w:pPr>
          </w:p>
        </w:tc>
        <w:tc>
          <w:tcPr>
            <w:tcW w:w="697" w:type="pct"/>
            <w:shd w:val="clear" w:color="auto" w:fill="auto"/>
            <w:vAlign w:val="center"/>
          </w:tcPr>
          <w:p w:rsidR="00C45975" w:rsidRPr="00361189" w:rsidRDefault="00E016F6" w:rsidP="00C45975">
            <w:pPr>
              <w:pStyle w:val="In-tableHeading"/>
              <w:jc w:val="center"/>
              <w:rPr>
                <w:lang w:val="en-AU"/>
              </w:rPr>
            </w:pPr>
            <w:r w:rsidRPr="00361189">
              <w:rPr>
                <w:lang w:val="en-AU"/>
              </w:rPr>
              <w:t>Study</w:t>
            </w:r>
            <w:r w:rsidR="00C45975" w:rsidRPr="00361189">
              <w:rPr>
                <w:lang w:val="en-AU"/>
              </w:rPr>
              <w:t xml:space="preserve"> dose and duration</w:t>
            </w:r>
          </w:p>
        </w:tc>
        <w:tc>
          <w:tcPr>
            <w:tcW w:w="696" w:type="pct"/>
            <w:shd w:val="clear" w:color="auto" w:fill="auto"/>
            <w:vAlign w:val="center"/>
          </w:tcPr>
          <w:p w:rsidR="00C45975" w:rsidRPr="00361189" w:rsidRDefault="00C45975" w:rsidP="00C45975">
            <w:pPr>
              <w:pStyle w:val="In-tableHeading"/>
              <w:jc w:val="center"/>
              <w:rPr>
                <w:lang w:val="en-AU"/>
              </w:rPr>
            </w:pPr>
            <w:r w:rsidRPr="00361189">
              <w:rPr>
                <w:lang w:val="en-AU"/>
              </w:rPr>
              <w:t>Model</w:t>
            </w:r>
          </w:p>
        </w:tc>
        <w:tc>
          <w:tcPr>
            <w:tcW w:w="698" w:type="pct"/>
            <w:shd w:val="clear" w:color="auto" w:fill="auto"/>
            <w:vAlign w:val="center"/>
          </w:tcPr>
          <w:p w:rsidR="00C45975" w:rsidRPr="00361189" w:rsidRDefault="00C45975" w:rsidP="00C45975">
            <w:pPr>
              <w:pStyle w:val="In-tableHeading"/>
              <w:jc w:val="center"/>
              <w:rPr>
                <w:lang w:val="en-AU"/>
              </w:rPr>
            </w:pPr>
            <w:r w:rsidRPr="00361189">
              <w:rPr>
                <w:lang w:val="en-AU"/>
              </w:rPr>
              <w:t>Financial estimates</w:t>
            </w:r>
          </w:p>
        </w:tc>
        <w:tc>
          <w:tcPr>
            <w:tcW w:w="696" w:type="pct"/>
            <w:shd w:val="clear" w:color="auto" w:fill="auto"/>
            <w:vAlign w:val="center"/>
          </w:tcPr>
          <w:p w:rsidR="00C45975" w:rsidRPr="00361189" w:rsidRDefault="00E016F6" w:rsidP="00C45975">
            <w:pPr>
              <w:pStyle w:val="In-tableHeading"/>
              <w:jc w:val="center"/>
              <w:rPr>
                <w:lang w:val="en-AU"/>
              </w:rPr>
            </w:pPr>
            <w:r w:rsidRPr="00361189">
              <w:rPr>
                <w:lang w:val="en-AU"/>
              </w:rPr>
              <w:t>Study</w:t>
            </w:r>
            <w:r w:rsidR="00C45975" w:rsidRPr="00361189">
              <w:rPr>
                <w:lang w:val="en-AU"/>
              </w:rPr>
              <w:t xml:space="preserve"> dose and duration</w:t>
            </w:r>
          </w:p>
        </w:tc>
        <w:tc>
          <w:tcPr>
            <w:tcW w:w="699" w:type="pct"/>
            <w:shd w:val="clear" w:color="auto" w:fill="auto"/>
            <w:vAlign w:val="center"/>
          </w:tcPr>
          <w:p w:rsidR="00C45975" w:rsidRPr="00361189" w:rsidRDefault="00C45975" w:rsidP="00C45975">
            <w:pPr>
              <w:pStyle w:val="In-tableHeading"/>
              <w:jc w:val="center"/>
              <w:rPr>
                <w:lang w:val="en-AU"/>
              </w:rPr>
            </w:pPr>
            <w:r w:rsidRPr="00361189">
              <w:rPr>
                <w:lang w:val="en-AU"/>
              </w:rPr>
              <w:t>Model</w:t>
            </w:r>
          </w:p>
        </w:tc>
        <w:tc>
          <w:tcPr>
            <w:tcW w:w="699" w:type="pct"/>
            <w:vAlign w:val="center"/>
          </w:tcPr>
          <w:p w:rsidR="00C45975" w:rsidRPr="00361189" w:rsidRDefault="00C45975" w:rsidP="00C45975">
            <w:pPr>
              <w:pStyle w:val="In-tableHeading"/>
              <w:jc w:val="center"/>
              <w:rPr>
                <w:lang w:val="en-AU"/>
              </w:rPr>
            </w:pPr>
            <w:r w:rsidRPr="00361189">
              <w:rPr>
                <w:lang w:val="en-AU"/>
              </w:rPr>
              <w:t>Financial estimates</w:t>
            </w:r>
          </w:p>
        </w:tc>
      </w:tr>
      <w:tr w:rsidR="00C45975" w:rsidRPr="00361189" w:rsidTr="00C45975">
        <w:trPr>
          <w:cantSplit/>
          <w:jc w:val="center"/>
        </w:trPr>
        <w:tc>
          <w:tcPr>
            <w:tcW w:w="815" w:type="pct"/>
            <w:shd w:val="clear" w:color="auto" w:fill="auto"/>
            <w:vAlign w:val="center"/>
          </w:tcPr>
          <w:p w:rsidR="00C45975" w:rsidRPr="00361189" w:rsidRDefault="00C45975" w:rsidP="00BB732D">
            <w:pPr>
              <w:pStyle w:val="TableText0"/>
            </w:pPr>
            <w:r w:rsidRPr="00361189">
              <w:t>Mean dose</w:t>
            </w:r>
          </w:p>
        </w:tc>
        <w:tc>
          <w:tcPr>
            <w:tcW w:w="2091" w:type="pct"/>
            <w:gridSpan w:val="3"/>
            <w:shd w:val="clear" w:color="auto" w:fill="auto"/>
            <w:vAlign w:val="center"/>
          </w:tcPr>
          <w:p w:rsidR="00C45975" w:rsidRPr="00361189" w:rsidRDefault="00C45975" w:rsidP="005C307A">
            <w:pPr>
              <w:pStyle w:val="TableText0"/>
              <w:jc w:val="center"/>
            </w:pPr>
            <w:r w:rsidRPr="00361189">
              <w:t>12mg at days 0, 14, 28 and 63, then every 4 months after</w:t>
            </w:r>
            <w:r w:rsidR="005C307A" w:rsidRPr="00361189">
              <w:t xml:space="preserve"> confirmed</w:t>
            </w:r>
            <w:r w:rsidRPr="00361189">
              <w:t xml:space="preserve"> </w:t>
            </w:r>
            <w:r w:rsidRPr="00361189">
              <w:rPr>
                <w:i/>
              </w:rPr>
              <w:t>SMN1</w:t>
            </w:r>
            <w:r w:rsidRPr="00361189">
              <w:t xml:space="preserve"> deletion/mutation </w:t>
            </w:r>
          </w:p>
        </w:tc>
        <w:tc>
          <w:tcPr>
            <w:tcW w:w="2094" w:type="pct"/>
            <w:gridSpan w:val="3"/>
            <w:shd w:val="clear" w:color="auto" w:fill="auto"/>
            <w:vAlign w:val="center"/>
          </w:tcPr>
          <w:p w:rsidR="00C45975" w:rsidRPr="00361189" w:rsidRDefault="00C45975" w:rsidP="00C45975">
            <w:pPr>
              <w:pStyle w:val="TableText0"/>
              <w:jc w:val="center"/>
            </w:pPr>
            <w:r w:rsidRPr="00361189">
              <w:t>12mg at days 0, 14, 28 and 63, then every 4 months after onset of at least 2 SMA symptoms</w:t>
            </w:r>
          </w:p>
        </w:tc>
      </w:tr>
      <w:tr w:rsidR="00C45975" w:rsidRPr="00361189" w:rsidTr="00C45975">
        <w:trPr>
          <w:cantSplit/>
          <w:jc w:val="center"/>
        </w:trPr>
        <w:tc>
          <w:tcPr>
            <w:tcW w:w="815" w:type="pct"/>
            <w:shd w:val="clear" w:color="auto" w:fill="auto"/>
            <w:vAlign w:val="center"/>
          </w:tcPr>
          <w:p w:rsidR="00C45975" w:rsidRPr="00361189" w:rsidRDefault="00C45975" w:rsidP="00BB732D">
            <w:pPr>
              <w:pStyle w:val="TableText0"/>
            </w:pPr>
            <w:r w:rsidRPr="00361189">
              <w:t>Mean duration</w:t>
            </w:r>
          </w:p>
        </w:tc>
        <w:tc>
          <w:tcPr>
            <w:tcW w:w="4185" w:type="pct"/>
            <w:gridSpan w:val="6"/>
            <w:shd w:val="clear" w:color="auto" w:fill="auto"/>
            <w:vAlign w:val="center"/>
          </w:tcPr>
          <w:p w:rsidR="00C45975" w:rsidRPr="00361189" w:rsidRDefault="00C45975" w:rsidP="00BB732D">
            <w:pPr>
              <w:pStyle w:val="TableText0"/>
              <w:jc w:val="center"/>
            </w:pPr>
            <w:r w:rsidRPr="00361189">
              <w:t>Life long</w:t>
            </w:r>
          </w:p>
        </w:tc>
      </w:tr>
      <w:tr w:rsidR="00C45975" w:rsidRPr="00361189" w:rsidTr="00C45975">
        <w:trPr>
          <w:cantSplit/>
          <w:jc w:val="center"/>
        </w:trPr>
        <w:tc>
          <w:tcPr>
            <w:tcW w:w="815" w:type="pct"/>
            <w:shd w:val="clear" w:color="auto" w:fill="auto"/>
            <w:vAlign w:val="center"/>
          </w:tcPr>
          <w:p w:rsidR="00C45975" w:rsidRPr="00361189" w:rsidRDefault="00C45975" w:rsidP="00C45975">
            <w:pPr>
              <w:pStyle w:val="TableText0"/>
            </w:pPr>
            <w:r w:rsidRPr="00361189">
              <w:t>Cost/patient/dose</w:t>
            </w:r>
          </w:p>
        </w:tc>
        <w:tc>
          <w:tcPr>
            <w:tcW w:w="4185" w:type="pct"/>
            <w:gridSpan w:val="6"/>
            <w:shd w:val="clear" w:color="auto" w:fill="auto"/>
            <w:vAlign w:val="center"/>
          </w:tcPr>
          <w:p w:rsidR="00C45975" w:rsidRPr="00361189" w:rsidRDefault="00C45975" w:rsidP="00BB732D">
            <w:pPr>
              <w:pStyle w:val="TableText0"/>
              <w:jc w:val="center"/>
            </w:pPr>
            <w:r w:rsidRPr="00361189">
              <w:t>$</w:t>
            </w:r>
            <w:r w:rsidR="00E659B7">
              <w:rPr>
                <w:noProof/>
                <w:color w:val="000000"/>
                <w:highlight w:val="black"/>
              </w:rPr>
              <w:t>'''''''''''''''</w:t>
            </w:r>
          </w:p>
        </w:tc>
      </w:tr>
      <w:tr w:rsidR="004523C8" w:rsidRPr="00361189" w:rsidTr="004523C8">
        <w:trPr>
          <w:cantSplit/>
          <w:jc w:val="center"/>
        </w:trPr>
        <w:tc>
          <w:tcPr>
            <w:tcW w:w="815" w:type="pct"/>
            <w:shd w:val="clear" w:color="auto" w:fill="auto"/>
            <w:vAlign w:val="center"/>
          </w:tcPr>
          <w:p w:rsidR="004523C8" w:rsidRPr="00361189" w:rsidRDefault="004523C8" w:rsidP="004523C8">
            <w:pPr>
              <w:pStyle w:val="TableText0"/>
            </w:pPr>
            <w:r w:rsidRPr="00361189">
              <w:t>Cost/patient/year</w:t>
            </w:r>
          </w:p>
        </w:tc>
        <w:tc>
          <w:tcPr>
            <w:tcW w:w="2091" w:type="pct"/>
            <w:gridSpan w:val="3"/>
            <w:shd w:val="clear" w:color="auto" w:fill="auto"/>
            <w:vAlign w:val="center"/>
          </w:tcPr>
          <w:p w:rsidR="004523C8" w:rsidRPr="00361189" w:rsidRDefault="004523C8" w:rsidP="00BB732D">
            <w:pPr>
              <w:pStyle w:val="TableText0"/>
              <w:jc w:val="center"/>
            </w:pPr>
            <w:r w:rsidRPr="00361189">
              <w:t>Initiation: $</w:t>
            </w:r>
            <w:r w:rsidR="00E659B7">
              <w:rPr>
                <w:noProof/>
                <w:color w:val="000000"/>
                <w:highlight w:val="black"/>
              </w:rPr>
              <w:t>''''''''''''''''''</w:t>
            </w:r>
          </w:p>
          <w:p w:rsidR="004523C8" w:rsidRPr="00361189" w:rsidRDefault="004523C8" w:rsidP="00BB732D">
            <w:pPr>
              <w:pStyle w:val="TableText0"/>
              <w:jc w:val="center"/>
            </w:pPr>
            <w:r w:rsidRPr="00361189">
              <w:t>Maintenance: $</w:t>
            </w:r>
            <w:r w:rsidR="00E659B7">
              <w:rPr>
                <w:noProof/>
                <w:color w:val="000000"/>
                <w:highlight w:val="black"/>
              </w:rPr>
              <w:t>''''''''''''''''''</w:t>
            </w:r>
            <w:r w:rsidRPr="00361189">
              <w:t>/year</w:t>
            </w:r>
          </w:p>
        </w:tc>
        <w:tc>
          <w:tcPr>
            <w:tcW w:w="2094" w:type="pct"/>
            <w:gridSpan w:val="3"/>
            <w:shd w:val="clear" w:color="auto" w:fill="auto"/>
            <w:vAlign w:val="center"/>
          </w:tcPr>
          <w:p w:rsidR="004523C8" w:rsidRPr="00361189" w:rsidRDefault="004523C8" w:rsidP="004523C8">
            <w:pPr>
              <w:pStyle w:val="TableText0"/>
              <w:jc w:val="center"/>
              <w:rPr>
                <w:vertAlign w:val="superscript"/>
              </w:rPr>
            </w:pPr>
            <w:r w:rsidRPr="00361189">
              <w:t>Initiation: $</w:t>
            </w:r>
            <w:r w:rsidR="00E659B7">
              <w:rPr>
                <w:noProof/>
                <w:color w:val="000000"/>
                <w:highlight w:val="black"/>
              </w:rPr>
              <w:t>''''''''''''''''''</w:t>
            </w:r>
            <w:r w:rsidRPr="00361189">
              <w:t xml:space="preserve"> </w:t>
            </w:r>
            <w:r w:rsidRPr="00361189">
              <w:rPr>
                <w:vertAlign w:val="superscript"/>
              </w:rPr>
              <w:t>a</w:t>
            </w:r>
          </w:p>
          <w:p w:rsidR="004523C8" w:rsidRPr="00361189" w:rsidRDefault="004523C8" w:rsidP="004523C8">
            <w:pPr>
              <w:pStyle w:val="TableText0"/>
              <w:jc w:val="center"/>
            </w:pPr>
            <w:r w:rsidRPr="00361189">
              <w:t>Maintenance: $</w:t>
            </w:r>
            <w:r w:rsidR="00E659B7">
              <w:rPr>
                <w:noProof/>
                <w:color w:val="000000"/>
                <w:highlight w:val="black"/>
              </w:rPr>
              <w:t>''''''''''''''''''''''</w:t>
            </w:r>
            <w:r w:rsidRPr="00361189">
              <w:t xml:space="preserve">/year </w:t>
            </w:r>
          </w:p>
        </w:tc>
      </w:tr>
    </w:tbl>
    <w:p w:rsidR="00494207" w:rsidRPr="00361189" w:rsidRDefault="00494207" w:rsidP="00C94053">
      <w:pPr>
        <w:pStyle w:val="TableFigureFooter"/>
      </w:pPr>
      <w:r w:rsidRPr="00361189">
        <w:t xml:space="preserve">Source: </w:t>
      </w:r>
      <w:r w:rsidR="004523C8" w:rsidRPr="00361189">
        <w:t>Constructed during evaluation</w:t>
      </w:r>
    </w:p>
    <w:p w:rsidR="004523C8" w:rsidRPr="00361189" w:rsidRDefault="004523C8" w:rsidP="0089312A">
      <w:pPr>
        <w:pStyle w:val="TableFigureFooter"/>
        <w:tabs>
          <w:tab w:val="left" w:pos="284"/>
        </w:tabs>
        <w:ind w:left="284" w:hanging="284"/>
      </w:pPr>
      <w:r w:rsidRPr="00361189">
        <w:rPr>
          <w:vertAlign w:val="superscript"/>
        </w:rPr>
        <w:t>a</w:t>
      </w:r>
      <w:r w:rsidR="0089312A" w:rsidRPr="00361189">
        <w:tab/>
      </w:r>
      <w:r w:rsidRPr="00361189">
        <w:t xml:space="preserve">There is a rebate for </w:t>
      </w:r>
      <w:r w:rsidR="00E659B7">
        <w:rPr>
          <w:noProof/>
          <w:color w:val="000000"/>
          <w:highlight w:val="black"/>
        </w:rPr>
        <w:t>'''''''' ''''''''''' ''''' '''''''' '''''''''''''''''' '''''''''''''</w:t>
      </w:r>
      <w:r w:rsidRPr="00361189">
        <w:t xml:space="preserve"> for </w:t>
      </w:r>
      <w:r w:rsidR="00A201EC" w:rsidRPr="00361189">
        <w:t>patients with Type II and IIIa SM</w:t>
      </w:r>
      <w:r w:rsidR="00F135D3" w:rsidRPr="00361189">
        <w:t xml:space="preserve">A under </w:t>
      </w:r>
      <w:r w:rsidR="00A770B7" w:rsidRPr="00361189">
        <w:t xml:space="preserve">the </w:t>
      </w:r>
      <w:r w:rsidR="00F135D3" w:rsidRPr="00361189">
        <w:t xml:space="preserve">current </w:t>
      </w:r>
      <w:r w:rsidR="00A770B7" w:rsidRPr="00361189">
        <w:t xml:space="preserve">Deed of </w:t>
      </w:r>
      <w:r w:rsidR="00F135D3" w:rsidRPr="00361189">
        <w:t>agreement</w:t>
      </w:r>
      <w:r w:rsidR="00A201EC" w:rsidRPr="00361189">
        <w:t xml:space="preserve">, but this was not included in either of the resubmission’s economic model or financial estimates </w:t>
      </w:r>
    </w:p>
    <w:p w:rsidR="005C307A" w:rsidRPr="00361189" w:rsidRDefault="005C307A" w:rsidP="0089312A">
      <w:pPr>
        <w:pStyle w:val="TableFigureFooter"/>
        <w:tabs>
          <w:tab w:val="left" w:pos="284"/>
        </w:tabs>
        <w:ind w:left="284" w:hanging="284"/>
      </w:pPr>
      <w:r w:rsidRPr="00361189">
        <w:t xml:space="preserve">SoC = standard of care </w:t>
      </w:r>
    </w:p>
    <w:p w:rsidR="00AD6B80" w:rsidRPr="00361189" w:rsidRDefault="00A201EC" w:rsidP="002B05A1">
      <w:pPr>
        <w:pStyle w:val="3-BodyText"/>
        <w:rPr>
          <w:snapToGrid/>
        </w:rPr>
      </w:pPr>
      <w:r w:rsidRPr="00361189">
        <w:t>The drug cost of nusinersen was $</w:t>
      </w:r>
      <w:r w:rsidR="00E659B7">
        <w:rPr>
          <w:noProof/>
          <w:color w:val="000000"/>
          <w:highlight w:val="black"/>
        </w:rPr>
        <w:t>''''''''''''''</w:t>
      </w:r>
      <w:r w:rsidRPr="00361189">
        <w:t xml:space="preserve"> for the four </w:t>
      </w:r>
      <w:r w:rsidR="00FD01F3" w:rsidRPr="00361189">
        <w:t xml:space="preserve">initial loading </w:t>
      </w:r>
      <w:r w:rsidRPr="00361189">
        <w:t>doses and $</w:t>
      </w:r>
      <w:r w:rsidR="00E659B7">
        <w:rPr>
          <w:noProof/>
          <w:color w:val="000000"/>
          <w:highlight w:val="black"/>
        </w:rPr>
        <w:t>''''''''''''''''</w:t>
      </w:r>
      <w:r w:rsidRPr="00361189">
        <w:t xml:space="preserve"> per year thereafter for maintenance, based on the effective price of $</w:t>
      </w:r>
      <w:r w:rsidR="00E659B7">
        <w:rPr>
          <w:noProof/>
          <w:color w:val="000000"/>
          <w:highlight w:val="black"/>
        </w:rPr>
        <w:t>''''''''''''</w:t>
      </w:r>
      <w:r w:rsidRPr="00361189">
        <w:t xml:space="preserve"> per 12mg dose</w:t>
      </w:r>
      <w:r w:rsidR="0089312A" w:rsidRPr="00361189">
        <w:t>.</w:t>
      </w:r>
    </w:p>
    <w:p w:rsidR="00AD6B80" w:rsidRPr="00361189" w:rsidRDefault="00AD6B80" w:rsidP="00AD6B80">
      <w:pPr>
        <w:pStyle w:val="3-BodyText"/>
        <w:rPr>
          <w:snapToGrid/>
        </w:rPr>
      </w:pPr>
      <w:r w:rsidRPr="00361189">
        <w:lastRenderedPageBreak/>
        <w:t>In the resubmission, the incremental mean duration of treatment from pre-symptomatic initiation of treatment compared to SoC can be estimated from the economic model by removing the rebate for SMA Type II and IIIa in the SoC arm (from the corrected base case), changing the discounting rate to zero, then dividing the incremental drug cost ($</w:t>
      </w:r>
      <w:r w:rsidR="00E659B7">
        <w:rPr>
          <w:noProof/>
          <w:color w:val="000000"/>
          <w:highlight w:val="black"/>
        </w:rPr>
        <w:t>''''''''''''''</w:t>
      </w:r>
      <w:r w:rsidRPr="00361189">
        <w:t>) by the cost per unit of nusinersen ($</w:t>
      </w:r>
      <w:r w:rsidR="00E659B7">
        <w:rPr>
          <w:noProof/>
          <w:color w:val="000000"/>
          <w:highlight w:val="black"/>
        </w:rPr>
        <w:t>''''''''''''''</w:t>
      </w:r>
      <w:r w:rsidRPr="00361189">
        <w:t>)</w:t>
      </w:r>
      <w:r w:rsidR="00361189">
        <w:t xml:space="preserve">. </w:t>
      </w:r>
      <w:r w:rsidRPr="00361189">
        <w:t>This gives a result of 2.93 doses, or 11.71 months/0.98 years, which was marginally longer than the 0.91 year applied in the model in the previous submission</w:t>
      </w:r>
      <w:r w:rsidR="00361189">
        <w:t xml:space="preserve">. </w:t>
      </w:r>
      <w:r w:rsidRPr="00361189">
        <w:t>The PBAC had previously considered that an incremental duration of treatment of 0.91 years for pre-symptomatic initiation (which was rounded up to 1 year in the model) was underestimated and therefore the resubmission’s estimate may also represent an underestimate of the incremental duration of treatment for patients treated with pre-symptomatic initiation compared to SoC</w:t>
      </w:r>
      <w:r w:rsidR="00361189">
        <w:t xml:space="preserve">. </w:t>
      </w:r>
      <w:r w:rsidRPr="00361189">
        <w:t>However</w:t>
      </w:r>
      <w:r w:rsidR="0089312A" w:rsidRPr="00361189">
        <w:t>,</w:t>
      </w:r>
      <w:r w:rsidRPr="00361189">
        <w:t xml:space="preserve"> given the difference in the proportion of each SMA types in the assumed cohort, the incremental duration of treatment may not be comparable between the resubmission and the previous submission. </w:t>
      </w:r>
    </w:p>
    <w:p w:rsidR="00B60939" w:rsidRPr="00361189" w:rsidRDefault="00B60939" w:rsidP="002B05A1">
      <w:pPr>
        <w:pStyle w:val="4-SubsectionHeading"/>
      </w:pPr>
      <w:bookmarkStart w:id="52" w:name="_Toc22897647"/>
      <w:bookmarkStart w:id="53" w:name="_Toc40874426"/>
      <w:r w:rsidRPr="00361189">
        <w:t>Estimated PBS usage &amp; financial implications</w:t>
      </w:r>
      <w:bookmarkEnd w:id="52"/>
      <w:bookmarkEnd w:id="53"/>
    </w:p>
    <w:p w:rsidR="001B5BEF" w:rsidRPr="00361189" w:rsidRDefault="00550D8C" w:rsidP="00550D8C">
      <w:pPr>
        <w:pStyle w:val="3-BodyText"/>
      </w:pPr>
      <w:bookmarkStart w:id="54" w:name="_Ref39370809"/>
      <w:r w:rsidRPr="00361189">
        <w:t>The resubmission was not considered by DUSC</w:t>
      </w:r>
      <w:r w:rsidR="00361189">
        <w:t xml:space="preserve">. </w:t>
      </w:r>
      <w:r w:rsidR="00904BA2" w:rsidRPr="00361189">
        <w:t xml:space="preserve">The resubmission </w:t>
      </w:r>
      <w:r w:rsidR="003C65E8" w:rsidRPr="00361189">
        <w:t xml:space="preserve">used an </w:t>
      </w:r>
      <w:r w:rsidR="00904BA2" w:rsidRPr="00361189">
        <w:t>epidemiological approach for the financial estimates for the listing of nusinersen for pre-symptomatic initiation</w:t>
      </w:r>
      <w:bookmarkEnd w:id="54"/>
      <w:r w:rsidR="00361189">
        <w:t xml:space="preserve">. </w:t>
      </w:r>
    </w:p>
    <w:p w:rsidR="002B05A1" w:rsidRPr="00361189" w:rsidRDefault="00CB5DFA" w:rsidP="001B5BEF">
      <w:pPr>
        <w:pStyle w:val="3-BodyText"/>
      </w:pPr>
      <w:r w:rsidRPr="00361189">
        <w:t xml:space="preserve">For the financial estimates, the resubmission assumed that all newborn babies in Australia will be screened for SMN1 </w:t>
      </w:r>
      <w:r w:rsidR="008B08E5" w:rsidRPr="00361189">
        <w:t>mutation though</w:t>
      </w:r>
      <w:r w:rsidRPr="00361189">
        <w:t xml:space="preserve"> the resubmission is not seeking funding for screening</w:t>
      </w:r>
      <w:r w:rsidR="00361189">
        <w:t xml:space="preserve">. </w:t>
      </w:r>
      <w:r w:rsidR="00676749" w:rsidRPr="00361189">
        <w:t xml:space="preserve">The ESC considered this was not </w:t>
      </w:r>
      <w:r w:rsidRPr="00361189">
        <w:t>an appropriate assumption</w:t>
      </w:r>
      <w:r w:rsidR="00676749" w:rsidRPr="00361189">
        <w:t xml:space="preserve"> given issues of access to screening remain (see </w:t>
      </w:r>
      <w:r w:rsidR="00676749" w:rsidRPr="00B35832">
        <w:t>paragraph 6.</w:t>
      </w:r>
      <w:r w:rsidR="00B35832" w:rsidRPr="00B35832">
        <w:t>34</w:t>
      </w:r>
      <w:r w:rsidR="00676749" w:rsidRPr="00B35832">
        <w:t>)</w:t>
      </w:r>
      <w:r w:rsidR="00361189" w:rsidRPr="00B35832">
        <w:t xml:space="preserve">. </w:t>
      </w:r>
      <w:r w:rsidRPr="00B35832">
        <w:t>The</w:t>
      </w:r>
      <w:r w:rsidRPr="00361189">
        <w:t xml:space="preserve"> PBAC considered that there is an equity issue as newborn screening costs in States and Territories apart from NSW and ACT are currently borne by public hospitals and private payers</w:t>
      </w:r>
      <w:r w:rsidR="00876BD1" w:rsidRPr="00361189">
        <w:t xml:space="preserve">, with the cost of the </w:t>
      </w:r>
      <w:r w:rsidR="00C95FDE" w:rsidRPr="00361189">
        <w:rPr>
          <w:i/>
        </w:rPr>
        <w:t>SMN1</w:t>
      </w:r>
      <w:r w:rsidR="00876BD1" w:rsidRPr="00361189">
        <w:t xml:space="preserve"> test being $220 and the cost of the </w:t>
      </w:r>
      <w:r w:rsidR="00C95FDE" w:rsidRPr="00361189">
        <w:rPr>
          <w:i/>
        </w:rPr>
        <w:t>SMN2</w:t>
      </w:r>
      <w:r w:rsidR="00876BD1" w:rsidRPr="00361189">
        <w:t xml:space="preserve"> copy number test being $350 based on VCGS prices</w:t>
      </w:r>
      <w:r w:rsidR="003B46DD" w:rsidRPr="00361189">
        <w:t xml:space="preserve"> (paragraph 11.9, nusinersen, Addendum to the July 2019 PSD, November 2019 PSD)</w:t>
      </w:r>
      <w:r w:rsidR="00361189">
        <w:t xml:space="preserve">. </w:t>
      </w:r>
      <w:r w:rsidRPr="00361189">
        <w:t>DUSC (</w:t>
      </w:r>
      <w:r w:rsidR="00095F99" w:rsidRPr="00361189">
        <w:t>p</w:t>
      </w:r>
      <w:r w:rsidRPr="00361189">
        <w:t>ara</w:t>
      </w:r>
      <w:r w:rsidR="00095F99" w:rsidRPr="00361189">
        <w:t>graph</w:t>
      </w:r>
      <w:r w:rsidRPr="00361189">
        <w:t xml:space="preserve"> 6.48,</w:t>
      </w:r>
      <w:r w:rsidR="00095F99" w:rsidRPr="00361189">
        <w:t xml:space="preserve"> </w:t>
      </w:r>
      <w:r w:rsidRPr="00361189">
        <w:t>nusinersen</w:t>
      </w:r>
      <w:r w:rsidR="00095F99" w:rsidRPr="00361189">
        <w:t>, PSD,</w:t>
      </w:r>
      <w:r w:rsidRPr="00361189">
        <w:t xml:space="preserve"> July 2019)</w:t>
      </w:r>
      <w:r w:rsidR="00095F99" w:rsidRPr="00361189">
        <w:t xml:space="preserve"> previously</w:t>
      </w:r>
      <w:r w:rsidRPr="00361189">
        <w:t xml:space="preserve"> noted that screening rates will likely increase if pre-symptomatic initiation of nusinersen was PBS listed</w:t>
      </w:r>
      <w:r w:rsidR="00FE354B" w:rsidRPr="00361189">
        <w:t xml:space="preserve">. </w:t>
      </w:r>
      <w:r w:rsidR="008B08E5" w:rsidRPr="00361189">
        <w:t xml:space="preserve">The </w:t>
      </w:r>
      <w:r w:rsidRPr="00361189">
        <w:t>assumption</w:t>
      </w:r>
      <w:r w:rsidR="008B08E5" w:rsidRPr="00361189">
        <w:t xml:space="preserve"> that all newborns are screened for </w:t>
      </w:r>
      <w:r w:rsidR="00C95FDE" w:rsidRPr="00361189">
        <w:rPr>
          <w:i/>
        </w:rPr>
        <w:t>SMN1</w:t>
      </w:r>
      <w:r w:rsidR="008B08E5" w:rsidRPr="00361189">
        <w:t xml:space="preserve"> mutation</w:t>
      </w:r>
      <w:r w:rsidRPr="00361189">
        <w:t xml:space="preserve"> result</w:t>
      </w:r>
      <w:r w:rsidR="00D520B0" w:rsidRPr="00361189">
        <w:t>ed</w:t>
      </w:r>
      <w:r w:rsidRPr="00361189">
        <w:t xml:space="preserve"> in much earlier treatment in the SoC arm, </w:t>
      </w:r>
      <w:r w:rsidR="00D520B0" w:rsidRPr="00361189">
        <w:t xml:space="preserve">which </w:t>
      </w:r>
      <w:r w:rsidRPr="00361189">
        <w:t xml:space="preserve">potentially </w:t>
      </w:r>
      <w:r w:rsidR="00D520B0" w:rsidRPr="00361189">
        <w:t xml:space="preserve">overestimate </w:t>
      </w:r>
      <w:r w:rsidRPr="00361189">
        <w:t>the cost offsets in the SoC arm</w:t>
      </w:r>
      <w:r w:rsidR="00361189">
        <w:t xml:space="preserve">. </w:t>
      </w:r>
      <w:r w:rsidR="001B5BEF" w:rsidRPr="00361189">
        <w:t xml:space="preserve">Based on the estimated live births from ABS projections and assuming a cost of $220 per test as per the VCGS website, the estimated cost of screening for </w:t>
      </w:r>
      <w:r w:rsidR="00C95FDE" w:rsidRPr="00361189">
        <w:rPr>
          <w:i/>
        </w:rPr>
        <w:t>SMN1</w:t>
      </w:r>
      <w:r w:rsidR="00B6304B" w:rsidRPr="00361189">
        <w:t xml:space="preserve"> </w:t>
      </w:r>
      <w:r w:rsidR="001B5BEF" w:rsidRPr="00361189">
        <w:t>mutation for the rest of Australia</w:t>
      </w:r>
      <w:r w:rsidR="00B6304B" w:rsidRPr="00361189">
        <w:t xml:space="preserve"> (excluding ACT and NSW)</w:t>
      </w:r>
      <w:r w:rsidR="001B5BEF" w:rsidRPr="00361189">
        <w:t xml:space="preserve"> would be between $49.5 million to $53.0 million per annum from 2021 to 2026</w:t>
      </w:r>
      <w:r w:rsidR="00361189">
        <w:t xml:space="preserve">. </w:t>
      </w:r>
      <w:r w:rsidR="001B5BEF" w:rsidRPr="00361189">
        <w:t xml:space="preserve"> </w:t>
      </w:r>
    </w:p>
    <w:p w:rsidR="00876BD1" w:rsidRPr="00361189" w:rsidRDefault="0089312A" w:rsidP="00876BD1">
      <w:pPr>
        <w:pStyle w:val="3-BodyText"/>
      </w:pPr>
      <w:r w:rsidRPr="00361189">
        <w:t>Al</w:t>
      </w:r>
      <w:r w:rsidR="00876BD1" w:rsidRPr="00361189">
        <w:t xml:space="preserve">though the resubmission requested a grandfathering restriction, no grandfathered patients were </w:t>
      </w:r>
      <w:r w:rsidR="00816250" w:rsidRPr="00361189">
        <w:t>included in</w:t>
      </w:r>
      <w:r w:rsidR="00876BD1" w:rsidRPr="00361189">
        <w:t xml:space="preserve"> the financial estimates. </w:t>
      </w:r>
      <w:r w:rsidR="00833B06" w:rsidRPr="00361189">
        <w:t xml:space="preserve">The pre-PBAC Response </w:t>
      </w:r>
      <w:r w:rsidR="007A5475" w:rsidRPr="00361189">
        <w:t xml:space="preserve">confirmed </w:t>
      </w:r>
      <w:r w:rsidR="00D36F07" w:rsidRPr="00361189">
        <w:t xml:space="preserve">that only </w:t>
      </w:r>
      <w:r w:rsidR="000F5DF2">
        <w:t>&lt; 500</w:t>
      </w:r>
      <w:r w:rsidR="000F5DF2" w:rsidRPr="00361189">
        <w:t xml:space="preserve"> </w:t>
      </w:r>
      <w:r w:rsidR="00D36F07" w:rsidRPr="00361189">
        <w:t xml:space="preserve">patient was currently </w:t>
      </w:r>
      <w:r w:rsidR="00361189" w:rsidRPr="00361189">
        <w:t>receiving nusinersen</w:t>
      </w:r>
      <w:r w:rsidR="00833B06" w:rsidRPr="00361189">
        <w:t xml:space="preserve"> free of charge and this patient would not be eligible for grandfather treatment</w:t>
      </w:r>
      <w:r w:rsidR="00D36F07" w:rsidRPr="00361189">
        <w:t xml:space="preserve"> (see paragraph 3.7)</w:t>
      </w:r>
      <w:r w:rsidR="00833B06" w:rsidRPr="00361189">
        <w:t>.</w:t>
      </w:r>
    </w:p>
    <w:p w:rsidR="00904BA2" w:rsidRPr="00361189" w:rsidRDefault="0089312A" w:rsidP="007E24A1">
      <w:pPr>
        <w:pStyle w:val="TableFigureHeading"/>
        <w:keepLines/>
      </w:pPr>
      <w:r w:rsidRPr="00361189">
        <w:rPr>
          <w:rStyle w:val="CommentReference"/>
          <w:b/>
          <w:szCs w:val="24"/>
        </w:rPr>
        <w:lastRenderedPageBreak/>
        <w:t>Table</w:t>
      </w:r>
      <w:r w:rsidR="00EE72BD">
        <w:rPr>
          <w:rStyle w:val="CommentReference"/>
          <w:b/>
          <w:szCs w:val="24"/>
        </w:rPr>
        <w:t xml:space="preserve"> 18</w:t>
      </w:r>
      <w:r w:rsidR="00E42F73" w:rsidRPr="00361189">
        <w:rPr>
          <w:rStyle w:val="CommentReference"/>
          <w:b/>
          <w:szCs w:val="24"/>
        </w:rPr>
        <w:t>: Key inputs for financial estimates</w:t>
      </w:r>
    </w:p>
    <w:tbl>
      <w:tblPr>
        <w:tblStyle w:val="TableGrid"/>
        <w:tblW w:w="5000" w:type="pct"/>
        <w:tblCellMar>
          <w:left w:w="28" w:type="dxa"/>
          <w:right w:w="28" w:type="dxa"/>
        </w:tblCellMar>
        <w:tblLook w:val="04A0" w:firstRow="1" w:lastRow="0" w:firstColumn="1" w:lastColumn="0" w:noHBand="0" w:noVBand="1"/>
        <w:tblCaption w:val="Table 18: Key inputs for financial estimates"/>
      </w:tblPr>
      <w:tblGrid>
        <w:gridCol w:w="1324"/>
        <w:gridCol w:w="4591"/>
        <w:gridCol w:w="3102"/>
      </w:tblGrid>
      <w:tr w:rsidR="00904BA2" w:rsidRPr="00361189" w:rsidTr="009350BA">
        <w:trPr>
          <w:tblHeader/>
        </w:trPr>
        <w:tc>
          <w:tcPr>
            <w:tcW w:w="734" w:type="pct"/>
          </w:tcPr>
          <w:p w:rsidR="00904BA2" w:rsidRPr="00361189" w:rsidRDefault="00904BA2" w:rsidP="007E24A1">
            <w:pPr>
              <w:keepNext/>
              <w:keepLines/>
              <w:rPr>
                <w:rFonts w:ascii="Arial Narrow" w:hAnsi="Arial Narrow"/>
                <w:b/>
                <w:sz w:val="20"/>
                <w:szCs w:val="20"/>
              </w:rPr>
            </w:pPr>
            <w:r w:rsidRPr="00361189">
              <w:rPr>
                <w:rFonts w:ascii="Arial Narrow" w:hAnsi="Arial Narrow"/>
                <w:b/>
                <w:sz w:val="20"/>
                <w:szCs w:val="20"/>
              </w:rPr>
              <w:t>Parameter</w:t>
            </w:r>
          </w:p>
        </w:tc>
        <w:tc>
          <w:tcPr>
            <w:tcW w:w="2546" w:type="pct"/>
            <w:vAlign w:val="center"/>
          </w:tcPr>
          <w:p w:rsidR="00904BA2" w:rsidRPr="00361189" w:rsidRDefault="00904BA2" w:rsidP="007E24A1">
            <w:pPr>
              <w:keepNext/>
              <w:keepLines/>
              <w:jc w:val="center"/>
              <w:rPr>
                <w:rFonts w:ascii="Arial Narrow" w:hAnsi="Arial Narrow"/>
                <w:b/>
                <w:sz w:val="20"/>
                <w:szCs w:val="20"/>
              </w:rPr>
            </w:pPr>
            <w:r w:rsidRPr="00361189">
              <w:rPr>
                <w:rFonts w:ascii="Arial Narrow" w:hAnsi="Arial Narrow"/>
                <w:b/>
                <w:sz w:val="20"/>
                <w:szCs w:val="20"/>
              </w:rPr>
              <w:t>Value and source</w:t>
            </w:r>
          </w:p>
        </w:tc>
        <w:tc>
          <w:tcPr>
            <w:tcW w:w="1720" w:type="pct"/>
            <w:vAlign w:val="center"/>
          </w:tcPr>
          <w:p w:rsidR="00904BA2" w:rsidRPr="00361189" w:rsidRDefault="00904BA2" w:rsidP="007E24A1">
            <w:pPr>
              <w:keepNext/>
              <w:keepLines/>
              <w:jc w:val="center"/>
              <w:rPr>
                <w:rFonts w:ascii="Arial Narrow" w:hAnsi="Arial Narrow"/>
                <w:b/>
                <w:sz w:val="20"/>
                <w:szCs w:val="20"/>
              </w:rPr>
            </w:pPr>
            <w:r w:rsidRPr="00361189">
              <w:rPr>
                <w:rFonts w:ascii="Arial Narrow" w:hAnsi="Arial Narrow"/>
                <w:b/>
                <w:sz w:val="20"/>
                <w:szCs w:val="20"/>
              </w:rPr>
              <w:t>Comment</w:t>
            </w:r>
          </w:p>
        </w:tc>
      </w:tr>
      <w:tr w:rsidR="00904BA2" w:rsidRPr="00361189" w:rsidTr="009350BA">
        <w:tc>
          <w:tcPr>
            <w:tcW w:w="734" w:type="pct"/>
          </w:tcPr>
          <w:p w:rsidR="00904BA2" w:rsidRPr="00361189" w:rsidRDefault="00B1070E" w:rsidP="007E24A1">
            <w:pPr>
              <w:keepNext/>
              <w:keepLines/>
              <w:rPr>
                <w:rFonts w:ascii="Arial Narrow" w:hAnsi="Arial Narrow"/>
                <w:sz w:val="20"/>
                <w:szCs w:val="20"/>
              </w:rPr>
            </w:pPr>
            <w:r w:rsidRPr="00361189">
              <w:rPr>
                <w:rFonts w:ascii="Arial Narrow" w:hAnsi="Arial Narrow"/>
                <w:sz w:val="20"/>
                <w:szCs w:val="20"/>
              </w:rPr>
              <w:t>Eligible patients</w:t>
            </w:r>
            <w:r w:rsidR="00904BA2" w:rsidRPr="00361189">
              <w:rPr>
                <w:rFonts w:ascii="Arial Narrow" w:hAnsi="Arial Narrow"/>
                <w:sz w:val="20"/>
                <w:szCs w:val="20"/>
              </w:rPr>
              <w:t xml:space="preserve"> </w:t>
            </w:r>
          </w:p>
        </w:tc>
        <w:tc>
          <w:tcPr>
            <w:tcW w:w="2546" w:type="pct"/>
          </w:tcPr>
          <w:p w:rsidR="00904BA2" w:rsidRPr="00361189" w:rsidRDefault="00B1070E" w:rsidP="000F5DF2">
            <w:pPr>
              <w:keepNext/>
              <w:keepLines/>
              <w:rPr>
                <w:rFonts w:ascii="Arial Narrow" w:hAnsi="Arial Narrow"/>
                <w:sz w:val="20"/>
                <w:szCs w:val="20"/>
              </w:rPr>
            </w:pPr>
            <w:r w:rsidRPr="00361189">
              <w:rPr>
                <w:rFonts w:ascii="Arial Narrow" w:hAnsi="Arial Narrow"/>
                <w:sz w:val="20"/>
                <w:szCs w:val="20"/>
              </w:rPr>
              <w:t xml:space="preserve">Estimate </w:t>
            </w:r>
            <w:r w:rsidR="000F5DF2">
              <w:rPr>
                <w:rFonts w:ascii="Arial Narrow" w:hAnsi="Arial Narrow"/>
                <w:sz w:val="20"/>
                <w:szCs w:val="20"/>
              </w:rPr>
              <w:t>&lt; 500</w:t>
            </w:r>
            <w:r w:rsidRPr="00361189">
              <w:rPr>
                <w:rFonts w:ascii="Arial Narrow" w:hAnsi="Arial Narrow"/>
                <w:sz w:val="20"/>
                <w:szCs w:val="20"/>
              </w:rPr>
              <w:t xml:space="preserve"> new SMA patients per year, with </w:t>
            </w:r>
            <w:r w:rsidR="000F5DF2">
              <w:rPr>
                <w:rFonts w:ascii="Arial Narrow" w:hAnsi="Arial Narrow"/>
                <w:sz w:val="20"/>
                <w:szCs w:val="20"/>
              </w:rPr>
              <w:t>&lt;500</w:t>
            </w:r>
            <w:r w:rsidRPr="00361189">
              <w:rPr>
                <w:rFonts w:ascii="Arial Narrow" w:hAnsi="Arial Narrow"/>
                <w:sz w:val="20"/>
                <w:szCs w:val="20"/>
              </w:rPr>
              <w:t xml:space="preserve"> eligible for pre-symptomatic initiation of treatment </w:t>
            </w:r>
          </w:p>
        </w:tc>
        <w:tc>
          <w:tcPr>
            <w:tcW w:w="1720" w:type="pct"/>
          </w:tcPr>
          <w:p w:rsidR="00904BA2" w:rsidRPr="00361189" w:rsidRDefault="005162ED" w:rsidP="007E24A1">
            <w:pPr>
              <w:keepNext/>
              <w:keepLines/>
              <w:rPr>
                <w:rFonts w:ascii="Arial Narrow" w:hAnsi="Arial Narrow"/>
                <w:sz w:val="20"/>
                <w:szCs w:val="20"/>
              </w:rPr>
            </w:pPr>
            <w:r w:rsidRPr="00361189">
              <w:rPr>
                <w:rFonts w:ascii="Arial Narrow" w:hAnsi="Arial Narrow"/>
                <w:sz w:val="20"/>
                <w:szCs w:val="20"/>
              </w:rPr>
              <w:t>The ESC noted this is overestimated as it is based on all newborn babies being screened.</w:t>
            </w:r>
          </w:p>
        </w:tc>
      </w:tr>
      <w:tr w:rsidR="00904BA2" w:rsidRPr="00361189" w:rsidTr="009350BA">
        <w:tc>
          <w:tcPr>
            <w:tcW w:w="734"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 xml:space="preserve">Distribution of </w:t>
            </w:r>
            <w:r w:rsidRPr="00361189">
              <w:rPr>
                <w:rFonts w:ascii="Arial Narrow" w:hAnsi="Arial Narrow"/>
                <w:i/>
                <w:sz w:val="20"/>
                <w:szCs w:val="20"/>
              </w:rPr>
              <w:t>SMN2</w:t>
            </w:r>
            <w:r w:rsidRPr="00361189">
              <w:rPr>
                <w:rFonts w:ascii="Arial Narrow" w:hAnsi="Arial Narrow"/>
                <w:sz w:val="20"/>
                <w:szCs w:val="20"/>
              </w:rPr>
              <w:t xml:space="preserve"> copy number for each SMA type</w:t>
            </w:r>
          </w:p>
        </w:tc>
        <w:tc>
          <w:tcPr>
            <w:tcW w:w="2546" w:type="pct"/>
          </w:tcPr>
          <w:tbl>
            <w:tblPr>
              <w:tblStyle w:val="TableGrid"/>
              <w:tblW w:w="0" w:type="auto"/>
              <w:tblCellMar>
                <w:left w:w="28" w:type="dxa"/>
                <w:right w:w="28" w:type="dxa"/>
              </w:tblCellMar>
              <w:tblLook w:val="04A0" w:firstRow="1" w:lastRow="0" w:firstColumn="1" w:lastColumn="0" w:noHBand="0" w:noVBand="1"/>
            </w:tblPr>
            <w:tblGrid>
              <w:gridCol w:w="627"/>
              <w:gridCol w:w="717"/>
              <w:gridCol w:w="717"/>
              <w:gridCol w:w="771"/>
              <w:gridCol w:w="717"/>
              <w:gridCol w:w="783"/>
            </w:tblGrid>
            <w:tr w:rsidR="00904BA2" w:rsidRPr="00361189" w:rsidTr="001B5BEF">
              <w:tc>
                <w:tcPr>
                  <w:tcW w:w="627" w:type="dxa"/>
                </w:tcPr>
                <w:p w:rsidR="00904BA2" w:rsidRPr="00361189" w:rsidRDefault="00904BA2" w:rsidP="007E24A1">
                  <w:pPr>
                    <w:keepNext/>
                    <w:keepLines/>
                    <w:rPr>
                      <w:rFonts w:ascii="Arial Narrow" w:hAnsi="Arial Narrow"/>
                      <w:b/>
                      <w:sz w:val="18"/>
                      <w:szCs w:val="18"/>
                    </w:rPr>
                  </w:pPr>
                </w:p>
              </w:tc>
              <w:tc>
                <w:tcPr>
                  <w:tcW w:w="3705" w:type="dxa"/>
                  <w:gridSpan w:val="5"/>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SMA type</w:t>
                  </w:r>
                </w:p>
              </w:tc>
            </w:tr>
            <w:tr w:rsidR="00904BA2" w:rsidRPr="00361189" w:rsidTr="001B5BEF">
              <w:tc>
                <w:tcPr>
                  <w:tcW w:w="627" w:type="dxa"/>
                </w:tcPr>
                <w:p w:rsidR="00904BA2" w:rsidRPr="00361189" w:rsidRDefault="00904BA2" w:rsidP="007E24A1">
                  <w:pPr>
                    <w:keepNext/>
                    <w:keepLines/>
                    <w:rPr>
                      <w:rFonts w:ascii="Arial Narrow" w:hAnsi="Arial Narrow"/>
                      <w:b/>
                      <w:sz w:val="18"/>
                      <w:szCs w:val="18"/>
                    </w:rPr>
                  </w:pPr>
                  <w:r w:rsidRPr="00361189">
                    <w:rPr>
                      <w:rFonts w:ascii="Arial Narrow" w:hAnsi="Arial Narrow"/>
                      <w:b/>
                      <w:i/>
                      <w:sz w:val="18"/>
                      <w:szCs w:val="18"/>
                    </w:rPr>
                    <w:t>SMN2</w:t>
                  </w:r>
                  <w:r w:rsidRPr="00361189">
                    <w:rPr>
                      <w:rFonts w:ascii="Arial Narrow" w:hAnsi="Arial Narrow"/>
                      <w:b/>
                      <w:sz w:val="18"/>
                      <w:szCs w:val="18"/>
                    </w:rPr>
                    <w:t xml:space="preserve"> copy</w:t>
                  </w:r>
                </w:p>
              </w:tc>
              <w:tc>
                <w:tcPr>
                  <w:tcW w:w="717" w:type="dxa"/>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I</w:t>
                  </w:r>
                </w:p>
              </w:tc>
              <w:tc>
                <w:tcPr>
                  <w:tcW w:w="717" w:type="dxa"/>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II</w:t>
                  </w:r>
                </w:p>
              </w:tc>
              <w:tc>
                <w:tcPr>
                  <w:tcW w:w="771" w:type="dxa"/>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IIIa</w:t>
                  </w:r>
                </w:p>
              </w:tc>
              <w:tc>
                <w:tcPr>
                  <w:tcW w:w="717" w:type="dxa"/>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IIIb</w:t>
                  </w:r>
                </w:p>
              </w:tc>
              <w:tc>
                <w:tcPr>
                  <w:tcW w:w="783" w:type="dxa"/>
                  <w:vAlign w:val="center"/>
                </w:tcPr>
                <w:p w:rsidR="00904BA2" w:rsidRPr="00361189" w:rsidRDefault="00904BA2" w:rsidP="007E24A1">
                  <w:pPr>
                    <w:keepNext/>
                    <w:keepLines/>
                    <w:jc w:val="center"/>
                    <w:rPr>
                      <w:rFonts w:ascii="Arial Narrow" w:hAnsi="Arial Narrow"/>
                      <w:b/>
                      <w:sz w:val="18"/>
                      <w:szCs w:val="18"/>
                    </w:rPr>
                  </w:pPr>
                  <w:r w:rsidRPr="00361189">
                    <w:rPr>
                      <w:rFonts w:ascii="Arial Narrow" w:hAnsi="Arial Narrow"/>
                      <w:b/>
                      <w:sz w:val="18"/>
                      <w:szCs w:val="18"/>
                    </w:rPr>
                    <w:t>IV</w:t>
                  </w:r>
                </w:p>
              </w:tc>
            </w:tr>
            <w:tr w:rsidR="00904BA2" w:rsidRPr="00361189" w:rsidTr="001B5BEF">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1</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1.69%</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0.11%</w:t>
                  </w:r>
                </w:p>
              </w:tc>
              <w:tc>
                <w:tcPr>
                  <w:tcW w:w="771"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c>
                <w:tcPr>
                  <w:tcW w:w="783"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r>
            <w:tr w:rsidR="00904BA2" w:rsidRPr="00361189" w:rsidTr="001B5BEF">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2</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23.40%</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2.02%</w:t>
                  </w:r>
                </w:p>
              </w:tc>
              <w:tc>
                <w:tcPr>
                  <w:tcW w:w="771"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0.22%</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0.56%</w:t>
                  </w:r>
                </w:p>
              </w:tc>
              <w:tc>
                <w:tcPr>
                  <w:tcW w:w="783"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r>
            <w:tr w:rsidR="00904BA2" w:rsidRPr="00361189" w:rsidTr="001B5BEF">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3</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8.89%</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30.26%</w:t>
                  </w:r>
                </w:p>
              </w:tc>
              <w:tc>
                <w:tcPr>
                  <w:tcW w:w="771"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10.12%</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3.71%</w:t>
                  </w:r>
                </w:p>
              </w:tc>
              <w:tc>
                <w:tcPr>
                  <w:tcW w:w="783"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r>
            <w:tr w:rsidR="00904BA2" w:rsidRPr="00361189" w:rsidTr="001B5BEF">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4</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0.11%</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2.14%</w:t>
                  </w:r>
                </w:p>
              </w:tc>
              <w:tc>
                <w:tcPr>
                  <w:tcW w:w="771"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5.51%</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10.01%</w:t>
                  </w:r>
                </w:p>
              </w:tc>
              <w:tc>
                <w:tcPr>
                  <w:tcW w:w="783"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0.67%</w:t>
                  </w:r>
                </w:p>
              </w:tc>
            </w:tr>
            <w:tr w:rsidR="00904BA2" w:rsidRPr="00361189" w:rsidTr="001B5BEF">
              <w:trPr>
                <w:trHeight w:val="60"/>
              </w:trPr>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5+</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c>
                <w:tcPr>
                  <w:tcW w:w="771"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c>
                <w:tcPr>
                  <w:tcW w:w="717"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0.56%</w:t>
                  </w:r>
                </w:p>
              </w:tc>
              <w:tc>
                <w:tcPr>
                  <w:tcW w:w="783" w:type="dxa"/>
                  <w:vAlign w:val="center"/>
                </w:tcPr>
                <w:p w:rsidR="00904BA2" w:rsidRPr="00361189" w:rsidRDefault="00904BA2" w:rsidP="007E24A1">
                  <w:pPr>
                    <w:keepNext/>
                    <w:keepLines/>
                    <w:jc w:val="center"/>
                    <w:rPr>
                      <w:rFonts w:ascii="Arial Narrow" w:hAnsi="Arial Narrow"/>
                      <w:sz w:val="18"/>
                      <w:szCs w:val="18"/>
                    </w:rPr>
                  </w:pPr>
                  <w:r w:rsidRPr="00361189">
                    <w:rPr>
                      <w:rFonts w:ascii="Arial Narrow" w:hAnsi="Arial Narrow"/>
                      <w:color w:val="000000"/>
                      <w:sz w:val="18"/>
                      <w:szCs w:val="18"/>
                    </w:rPr>
                    <w:t>0.00%</w:t>
                  </w:r>
                </w:p>
              </w:tc>
            </w:tr>
            <w:tr w:rsidR="00904BA2" w:rsidRPr="00361189" w:rsidTr="001B5BEF">
              <w:trPr>
                <w:trHeight w:val="60"/>
              </w:trPr>
              <w:tc>
                <w:tcPr>
                  <w:tcW w:w="627" w:type="dxa"/>
                </w:tcPr>
                <w:p w:rsidR="00904BA2" w:rsidRPr="00361189" w:rsidRDefault="00904BA2" w:rsidP="007E24A1">
                  <w:pPr>
                    <w:keepNext/>
                    <w:keepLines/>
                    <w:rPr>
                      <w:rFonts w:ascii="Arial Narrow" w:hAnsi="Arial Narrow"/>
                      <w:sz w:val="18"/>
                      <w:szCs w:val="18"/>
                    </w:rPr>
                  </w:pPr>
                  <w:r w:rsidRPr="00361189">
                    <w:rPr>
                      <w:rFonts w:ascii="Arial Narrow" w:hAnsi="Arial Narrow"/>
                      <w:sz w:val="18"/>
                      <w:szCs w:val="18"/>
                    </w:rPr>
                    <w:t>All</w:t>
                  </w:r>
                </w:p>
              </w:tc>
              <w:tc>
                <w:tcPr>
                  <w:tcW w:w="717" w:type="dxa"/>
                  <w:vAlign w:val="center"/>
                </w:tcPr>
                <w:p w:rsidR="00904BA2" w:rsidRPr="00361189" w:rsidRDefault="00904BA2" w:rsidP="007E24A1">
                  <w:pPr>
                    <w:keepNext/>
                    <w:keepLines/>
                    <w:jc w:val="center"/>
                    <w:rPr>
                      <w:rFonts w:ascii="Arial Narrow" w:hAnsi="Arial Narrow"/>
                      <w:color w:val="000000"/>
                      <w:sz w:val="18"/>
                      <w:szCs w:val="18"/>
                    </w:rPr>
                  </w:pPr>
                  <w:r w:rsidRPr="00361189">
                    <w:rPr>
                      <w:rFonts w:ascii="Arial Narrow" w:hAnsi="Arial Narrow"/>
                      <w:color w:val="000000"/>
                      <w:sz w:val="18"/>
                      <w:szCs w:val="18"/>
                    </w:rPr>
                    <w:t>34.08%</w:t>
                  </w:r>
                </w:p>
              </w:tc>
              <w:tc>
                <w:tcPr>
                  <w:tcW w:w="717" w:type="dxa"/>
                  <w:vAlign w:val="center"/>
                </w:tcPr>
                <w:p w:rsidR="00904BA2" w:rsidRPr="00361189" w:rsidRDefault="00904BA2" w:rsidP="007E24A1">
                  <w:pPr>
                    <w:keepNext/>
                    <w:keepLines/>
                    <w:jc w:val="center"/>
                    <w:rPr>
                      <w:rFonts w:ascii="Arial Narrow" w:hAnsi="Arial Narrow"/>
                      <w:color w:val="000000"/>
                      <w:sz w:val="18"/>
                      <w:szCs w:val="18"/>
                    </w:rPr>
                  </w:pPr>
                  <w:r w:rsidRPr="00361189">
                    <w:rPr>
                      <w:rFonts w:ascii="Arial Narrow" w:hAnsi="Arial Narrow"/>
                      <w:color w:val="000000"/>
                      <w:sz w:val="18"/>
                      <w:szCs w:val="18"/>
                    </w:rPr>
                    <w:t>34.53%</w:t>
                  </w:r>
                </w:p>
              </w:tc>
              <w:tc>
                <w:tcPr>
                  <w:tcW w:w="771" w:type="dxa"/>
                  <w:vAlign w:val="center"/>
                </w:tcPr>
                <w:p w:rsidR="00904BA2" w:rsidRPr="00361189" w:rsidRDefault="00904BA2" w:rsidP="007E24A1">
                  <w:pPr>
                    <w:keepNext/>
                    <w:keepLines/>
                    <w:jc w:val="center"/>
                    <w:rPr>
                      <w:rFonts w:ascii="Arial Narrow" w:hAnsi="Arial Narrow"/>
                      <w:color w:val="000000"/>
                      <w:sz w:val="18"/>
                      <w:szCs w:val="18"/>
                    </w:rPr>
                  </w:pPr>
                  <w:r w:rsidRPr="00361189">
                    <w:rPr>
                      <w:rFonts w:ascii="Arial Narrow" w:hAnsi="Arial Narrow"/>
                      <w:color w:val="000000"/>
                      <w:sz w:val="18"/>
                      <w:szCs w:val="18"/>
                    </w:rPr>
                    <w:t>15.86%</w:t>
                  </w:r>
                </w:p>
              </w:tc>
              <w:tc>
                <w:tcPr>
                  <w:tcW w:w="717" w:type="dxa"/>
                  <w:vAlign w:val="center"/>
                </w:tcPr>
                <w:p w:rsidR="00904BA2" w:rsidRPr="00361189" w:rsidRDefault="00904BA2" w:rsidP="007E24A1">
                  <w:pPr>
                    <w:keepNext/>
                    <w:keepLines/>
                    <w:jc w:val="center"/>
                    <w:rPr>
                      <w:rFonts w:ascii="Arial Narrow" w:hAnsi="Arial Narrow"/>
                      <w:color w:val="000000"/>
                      <w:sz w:val="18"/>
                      <w:szCs w:val="18"/>
                    </w:rPr>
                  </w:pPr>
                  <w:r w:rsidRPr="00361189">
                    <w:rPr>
                      <w:rFonts w:ascii="Arial Narrow" w:hAnsi="Arial Narrow"/>
                      <w:color w:val="000000"/>
                      <w:sz w:val="18"/>
                      <w:szCs w:val="18"/>
                    </w:rPr>
                    <w:t>14.85%</w:t>
                  </w:r>
                </w:p>
              </w:tc>
              <w:tc>
                <w:tcPr>
                  <w:tcW w:w="783" w:type="dxa"/>
                  <w:vAlign w:val="center"/>
                </w:tcPr>
                <w:p w:rsidR="00904BA2" w:rsidRPr="00361189" w:rsidRDefault="00904BA2" w:rsidP="007E24A1">
                  <w:pPr>
                    <w:keepNext/>
                    <w:keepLines/>
                    <w:jc w:val="center"/>
                    <w:rPr>
                      <w:rFonts w:ascii="Arial Narrow" w:hAnsi="Arial Narrow"/>
                      <w:color w:val="000000"/>
                      <w:sz w:val="18"/>
                      <w:szCs w:val="18"/>
                    </w:rPr>
                  </w:pPr>
                  <w:r w:rsidRPr="00361189">
                    <w:rPr>
                      <w:rFonts w:ascii="Arial Narrow" w:hAnsi="Arial Narrow"/>
                      <w:color w:val="000000"/>
                      <w:sz w:val="18"/>
                      <w:szCs w:val="18"/>
                    </w:rPr>
                    <w:t>0.67%</w:t>
                  </w:r>
                </w:p>
              </w:tc>
            </w:tr>
          </w:tbl>
          <w:p w:rsidR="00904BA2" w:rsidRPr="00361189" w:rsidRDefault="00904BA2" w:rsidP="007E24A1">
            <w:pPr>
              <w:keepNext/>
              <w:keepLines/>
              <w:rPr>
                <w:rFonts w:ascii="Arial Narrow" w:hAnsi="Arial Narrow"/>
                <w:sz w:val="20"/>
                <w:szCs w:val="20"/>
              </w:rPr>
            </w:pPr>
            <w:r w:rsidRPr="00361189">
              <w:rPr>
                <w:rFonts w:ascii="Arial Narrow" w:hAnsi="Arial Narrow"/>
                <w:sz w:val="18"/>
                <w:szCs w:val="20"/>
              </w:rPr>
              <w:t>Source: Biogen B1 effective price sheet, Nusinersen Section 4_March2020.xlsx</w:t>
            </w:r>
          </w:p>
        </w:tc>
        <w:tc>
          <w:tcPr>
            <w:tcW w:w="1720" w:type="pct"/>
          </w:tcPr>
          <w:p w:rsidR="00904BA2" w:rsidRPr="00361189" w:rsidRDefault="00904BA2" w:rsidP="007E24A1">
            <w:pPr>
              <w:keepNext/>
              <w:keepLines/>
              <w:spacing w:after="40"/>
              <w:jc w:val="left"/>
              <w:rPr>
                <w:rFonts w:ascii="Arial Narrow" w:hAnsi="Arial Narrow"/>
                <w:sz w:val="20"/>
                <w:szCs w:val="20"/>
              </w:rPr>
            </w:pPr>
            <w:r w:rsidRPr="00361189">
              <w:rPr>
                <w:rFonts w:ascii="Arial Narrow" w:hAnsi="Arial Narrow"/>
                <w:sz w:val="20"/>
                <w:szCs w:val="20"/>
              </w:rPr>
              <w:t>The proportion of Type I SMA patients estimated (34.08% overall) was much higher than the proportion of Type I SMA patients treated on the PBS under the current restriction between 1 June 2018 to 30 December 2018 (7/74, 9.5%)  Should the proportion of Type I SMA be overestimated, the financial estimates will be underestimated</w:t>
            </w:r>
            <w:r w:rsidR="00361189">
              <w:rPr>
                <w:rFonts w:ascii="Arial Narrow" w:hAnsi="Arial Narrow"/>
                <w:sz w:val="20"/>
                <w:szCs w:val="20"/>
              </w:rPr>
              <w:t xml:space="preserve">. </w:t>
            </w:r>
          </w:p>
          <w:p w:rsidR="00904BA2" w:rsidRPr="00361189" w:rsidRDefault="00904BA2" w:rsidP="007E24A1">
            <w:pPr>
              <w:keepNext/>
              <w:keepLines/>
              <w:jc w:val="left"/>
              <w:rPr>
                <w:rFonts w:ascii="Arial Narrow" w:hAnsi="Arial Narrow"/>
                <w:i/>
                <w:sz w:val="20"/>
                <w:szCs w:val="20"/>
              </w:rPr>
            </w:pPr>
            <w:r w:rsidRPr="00361189">
              <w:rPr>
                <w:rFonts w:ascii="Arial Narrow" w:hAnsi="Arial Narrow"/>
                <w:sz w:val="20"/>
                <w:szCs w:val="20"/>
              </w:rPr>
              <w:t xml:space="preserve">Base case includes only </w:t>
            </w:r>
            <w:r w:rsidR="00C95FDE" w:rsidRPr="00361189">
              <w:rPr>
                <w:rFonts w:ascii="Arial Narrow" w:hAnsi="Arial Narrow"/>
                <w:i/>
                <w:sz w:val="20"/>
                <w:szCs w:val="20"/>
              </w:rPr>
              <w:t>SMN2</w:t>
            </w:r>
            <w:r w:rsidR="008551AB" w:rsidRPr="00361189">
              <w:rPr>
                <w:rFonts w:ascii="Arial Narrow" w:hAnsi="Arial Narrow"/>
                <w:sz w:val="20"/>
                <w:szCs w:val="20"/>
              </w:rPr>
              <w:t xml:space="preserve"> copy of 1 and 2. </w:t>
            </w:r>
          </w:p>
        </w:tc>
      </w:tr>
      <w:tr w:rsidR="00904BA2" w:rsidRPr="00361189" w:rsidTr="009350BA">
        <w:tc>
          <w:tcPr>
            <w:tcW w:w="734"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 xml:space="preserve">Dosages of </w:t>
            </w:r>
            <w:r w:rsidR="00361189" w:rsidRPr="00361189">
              <w:rPr>
                <w:rFonts w:ascii="Arial Narrow" w:hAnsi="Arial Narrow"/>
                <w:sz w:val="20"/>
                <w:szCs w:val="20"/>
              </w:rPr>
              <w:t>nusinersen</w:t>
            </w:r>
          </w:p>
        </w:tc>
        <w:tc>
          <w:tcPr>
            <w:tcW w:w="2546" w:type="pct"/>
          </w:tcPr>
          <w:p w:rsidR="00904BA2" w:rsidRPr="00361189" w:rsidRDefault="00904BA2" w:rsidP="007E24A1">
            <w:pPr>
              <w:keepNext/>
              <w:keepLines/>
              <w:spacing w:after="40"/>
              <w:jc w:val="left"/>
              <w:rPr>
                <w:rFonts w:ascii="Arial Narrow" w:hAnsi="Arial Narrow"/>
                <w:sz w:val="20"/>
                <w:szCs w:val="20"/>
              </w:rPr>
            </w:pPr>
            <w:r w:rsidRPr="00361189">
              <w:rPr>
                <w:rFonts w:ascii="Arial Narrow" w:hAnsi="Arial Narrow"/>
                <w:sz w:val="20"/>
                <w:szCs w:val="20"/>
              </w:rPr>
              <w:t>Pre-symptomatic initiation, all patients: 6 doses per year for initiation first year (incident patients), 3 doses per year for maintenance thereafter (prevalent patients), based on product information</w:t>
            </w:r>
          </w:p>
          <w:p w:rsidR="00904BA2" w:rsidRPr="00361189" w:rsidRDefault="00904BA2" w:rsidP="007E24A1">
            <w:pPr>
              <w:keepNext/>
              <w:keepLines/>
              <w:spacing w:after="40"/>
              <w:rPr>
                <w:rFonts w:ascii="Arial Narrow" w:hAnsi="Arial Narrow"/>
                <w:sz w:val="20"/>
                <w:szCs w:val="20"/>
              </w:rPr>
            </w:pPr>
            <w:r w:rsidRPr="00361189">
              <w:rPr>
                <w:rFonts w:ascii="Arial Narrow" w:hAnsi="Arial Narrow"/>
                <w:sz w:val="20"/>
                <w:szCs w:val="20"/>
              </w:rPr>
              <w:t xml:space="preserve">SoC, Type I: onset at 6 months, therefore 3 doses in year 1 and 4.5 doses in year 2 then 3 doses per year thereafter </w:t>
            </w:r>
          </w:p>
          <w:p w:rsidR="00904BA2" w:rsidRPr="00361189" w:rsidRDefault="00904BA2" w:rsidP="007E24A1">
            <w:pPr>
              <w:keepNext/>
              <w:keepLines/>
              <w:spacing w:after="40"/>
              <w:rPr>
                <w:rFonts w:ascii="Arial Narrow" w:hAnsi="Arial Narrow"/>
                <w:sz w:val="20"/>
                <w:szCs w:val="20"/>
              </w:rPr>
            </w:pPr>
            <w:r w:rsidRPr="00361189">
              <w:rPr>
                <w:rFonts w:ascii="Arial Narrow" w:hAnsi="Arial Narrow"/>
                <w:sz w:val="20"/>
                <w:szCs w:val="20"/>
              </w:rPr>
              <w:t xml:space="preserve">SoC Type II: onset at 1 year, 5 doses in year 1 (includes rebate </w:t>
            </w:r>
            <w:r w:rsidR="00E659B7">
              <w:rPr>
                <w:rFonts w:ascii="Arial Narrow" w:hAnsi="Arial Narrow"/>
                <w:noProof/>
                <w:color w:val="000000"/>
                <w:sz w:val="20"/>
                <w:szCs w:val="20"/>
                <w:highlight w:val="black"/>
              </w:rPr>
              <w:t>'''''''''' ''' '''''''''''</w:t>
            </w:r>
            <w:r w:rsidRPr="00361189">
              <w:rPr>
                <w:rFonts w:ascii="Arial Narrow" w:hAnsi="Arial Narrow"/>
                <w:sz w:val="20"/>
                <w:szCs w:val="20"/>
              </w:rPr>
              <w:t xml:space="preserve">), and 3 doses per year thereafter </w:t>
            </w:r>
          </w:p>
          <w:p w:rsidR="00904BA2" w:rsidRPr="00361189" w:rsidRDefault="00904BA2" w:rsidP="007E24A1">
            <w:pPr>
              <w:keepNext/>
              <w:keepLines/>
              <w:spacing w:after="40"/>
              <w:rPr>
                <w:rFonts w:ascii="Arial Narrow" w:hAnsi="Arial Narrow"/>
                <w:sz w:val="20"/>
                <w:szCs w:val="20"/>
              </w:rPr>
            </w:pPr>
            <w:r w:rsidRPr="00361189">
              <w:rPr>
                <w:rFonts w:ascii="Arial Narrow" w:hAnsi="Arial Narrow"/>
                <w:sz w:val="20"/>
                <w:szCs w:val="20"/>
              </w:rPr>
              <w:t xml:space="preserve">SoC Type III: onset at 2.25 years, 3.75 doses in year 1, 3.50 doses in year 2, 3 doses per year thereafter. </w:t>
            </w:r>
          </w:p>
        </w:tc>
        <w:tc>
          <w:tcPr>
            <w:tcW w:w="1720" w:type="pct"/>
          </w:tcPr>
          <w:p w:rsidR="00904BA2" w:rsidRPr="00361189" w:rsidRDefault="00904BA2" w:rsidP="007E24A1">
            <w:pPr>
              <w:keepNext/>
              <w:keepLines/>
              <w:spacing w:after="40"/>
              <w:jc w:val="left"/>
              <w:rPr>
                <w:rFonts w:ascii="Arial Narrow" w:hAnsi="Arial Narrow"/>
                <w:sz w:val="20"/>
                <w:szCs w:val="20"/>
              </w:rPr>
            </w:pPr>
            <w:r w:rsidRPr="00361189">
              <w:rPr>
                <w:rFonts w:ascii="Arial Narrow" w:hAnsi="Arial Narrow"/>
                <w:sz w:val="20"/>
                <w:szCs w:val="20"/>
              </w:rPr>
              <w:t>Assumption that patient</w:t>
            </w:r>
            <w:r w:rsidR="001644DF" w:rsidRPr="00361189">
              <w:rPr>
                <w:rFonts w:ascii="Arial Narrow" w:hAnsi="Arial Narrow"/>
                <w:sz w:val="20"/>
                <w:szCs w:val="20"/>
              </w:rPr>
              <w:t>s</w:t>
            </w:r>
            <w:r w:rsidRPr="00361189">
              <w:rPr>
                <w:rFonts w:ascii="Arial Narrow" w:hAnsi="Arial Narrow"/>
                <w:sz w:val="20"/>
                <w:szCs w:val="20"/>
              </w:rPr>
              <w:t xml:space="preserve"> begin treatment at </w:t>
            </w:r>
            <w:r w:rsidR="001644DF" w:rsidRPr="00361189">
              <w:rPr>
                <w:rFonts w:ascii="Arial Narrow" w:hAnsi="Arial Narrow"/>
                <w:sz w:val="20"/>
                <w:szCs w:val="20"/>
              </w:rPr>
              <w:t xml:space="preserve">symptom </w:t>
            </w:r>
            <w:r w:rsidRPr="00361189">
              <w:rPr>
                <w:rFonts w:ascii="Arial Narrow" w:hAnsi="Arial Narrow"/>
                <w:sz w:val="20"/>
                <w:szCs w:val="20"/>
              </w:rPr>
              <w:t xml:space="preserve">onset will overestimate cost offsets in SoC. All evidence points to a delay between symptom onset and treatment initiation. </w:t>
            </w:r>
            <w:r w:rsidR="002B3EE0" w:rsidRPr="00361189">
              <w:rPr>
                <w:rFonts w:ascii="Arial Narrow" w:hAnsi="Arial Narrow"/>
                <w:sz w:val="20"/>
                <w:szCs w:val="20"/>
              </w:rPr>
              <w:t>The age of assumed onset are reasonably consistent with the diagnostic criteria for Type I SMA (onset 0-6 months) and Type II SMA (&lt;18 months) and Type IIIa SMA (&lt;3 years)</w:t>
            </w:r>
          </w:p>
          <w:p w:rsidR="00904BA2" w:rsidRPr="00361189" w:rsidRDefault="00904BA2" w:rsidP="007E24A1">
            <w:pPr>
              <w:keepNext/>
              <w:keepLines/>
              <w:jc w:val="left"/>
              <w:rPr>
                <w:rFonts w:ascii="Arial Narrow" w:hAnsi="Arial Narrow"/>
                <w:i/>
                <w:sz w:val="20"/>
                <w:szCs w:val="20"/>
              </w:rPr>
            </w:pPr>
          </w:p>
        </w:tc>
      </w:tr>
      <w:tr w:rsidR="00904BA2" w:rsidRPr="00361189" w:rsidTr="009350BA">
        <w:tc>
          <w:tcPr>
            <w:tcW w:w="734"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Beneficiary type</w:t>
            </w:r>
          </w:p>
        </w:tc>
        <w:tc>
          <w:tcPr>
            <w:tcW w:w="2546"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 xml:space="preserve">Assume 39% of use by general patients, with 61% in concession category. </w:t>
            </w:r>
          </w:p>
        </w:tc>
        <w:tc>
          <w:tcPr>
            <w:tcW w:w="1720"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 xml:space="preserve">Reasonable. However </w:t>
            </w:r>
            <w:r w:rsidR="009A2C2F" w:rsidRPr="00361189">
              <w:rPr>
                <w:rFonts w:ascii="Arial Narrow" w:hAnsi="Arial Narrow"/>
                <w:sz w:val="20"/>
                <w:szCs w:val="20"/>
              </w:rPr>
              <w:t>co-payments</w:t>
            </w:r>
            <w:r w:rsidRPr="00361189">
              <w:rPr>
                <w:rFonts w:ascii="Arial Narrow" w:hAnsi="Arial Narrow"/>
                <w:sz w:val="20"/>
                <w:szCs w:val="20"/>
              </w:rPr>
              <w:t xml:space="preserve"> not considered in financial estimates, which is conservative and overestimates the financial estimates, albeit by a very minor margin. </w:t>
            </w:r>
          </w:p>
        </w:tc>
      </w:tr>
      <w:tr w:rsidR="00904BA2" w:rsidRPr="00361189" w:rsidTr="009350BA">
        <w:tc>
          <w:tcPr>
            <w:tcW w:w="734"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Nusinersen costs</w:t>
            </w:r>
          </w:p>
        </w:tc>
        <w:tc>
          <w:tcPr>
            <w:tcW w:w="2546"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r w:rsidRPr="00361189">
              <w:rPr>
                <w:rFonts w:ascii="Arial Narrow" w:hAnsi="Arial Narrow"/>
                <w:sz w:val="20"/>
                <w:szCs w:val="20"/>
              </w:rPr>
              <w:t xml:space="preserve"> per dose. </w:t>
            </w:r>
          </w:p>
        </w:tc>
        <w:tc>
          <w:tcPr>
            <w:tcW w:w="1720" w:type="pct"/>
          </w:tcPr>
          <w:p w:rsidR="00904BA2" w:rsidRPr="00361189" w:rsidRDefault="00086F6A" w:rsidP="00086F6A">
            <w:pPr>
              <w:keepNext/>
              <w:keepLines/>
              <w:jc w:val="left"/>
              <w:rPr>
                <w:rFonts w:ascii="Arial Narrow" w:hAnsi="Arial Narrow"/>
                <w:sz w:val="20"/>
                <w:szCs w:val="20"/>
              </w:rPr>
            </w:pPr>
            <w:r w:rsidRPr="00361189">
              <w:rPr>
                <w:rFonts w:ascii="Arial Narrow" w:hAnsi="Arial Narrow"/>
                <w:sz w:val="20"/>
                <w:szCs w:val="20"/>
              </w:rPr>
              <w:t>C</w:t>
            </w:r>
            <w:r w:rsidR="00904BA2" w:rsidRPr="00361189">
              <w:rPr>
                <w:rFonts w:ascii="Arial Narrow" w:hAnsi="Arial Narrow"/>
                <w:sz w:val="20"/>
                <w:szCs w:val="20"/>
              </w:rPr>
              <w:t xml:space="preserve">onsistent with economic evaluation. </w:t>
            </w:r>
          </w:p>
        </w:tc>
      </w:tr>
      <w:tr w:rsidR="00904BA2" w:rsidRPr="00361189" w:rsidTr="009350BA">
        <w:tc>
          <w:tcPr>
            <w:tcW w:w="734"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Cost of A</w:t>
            </w:r>
            <w:r w:rsidR="009A2C2F" w:rsidRPr="00361189">
              <w:rPr>
                <w:rFonts w:ascii="Arial Narrow" w:hAnsi="Arial Narrow"/>
                <w:sz w:val="20"/>
                <w:szCs w:val="20"/>
              </w:rPr>
              <w:t xml:space="preserve">dverse </w:t>
            </w:r>
            <w:r w:rsidRPr="00361189">
              <w:rPr>
                <w:rFonts w:ascii="Arial Narrow" w:hAnsi="Arial Narrow"/>
                <w:sz w:val="20"/>
                <w:szCs w:val="20"/>
              </w:rPr>
              <w:t>E</w:t>
            </w:r>
            <w:r w:rsidR="009A2C2F" w:rsidRPr="00361189">
              <w:rPr>
                <w:rFonts w:ascii="Arial Narrow" w:hAnsi="Arial Narrow"/>
                <w:sz w:val="20"/>
                <w:szCs w:val="20"/>
              </w:rPr>
              <w:t>vent</w:t>
            </w:r>
            <w:r w:rsidRPr="00361189">
              <w:rPr>
                <w:rFonts w:ascii="Arial Narrow" w:hAnsi="Arial Narrow"/>
                <w:sz w:val="20"/>
                <w:szCs w:val="20"/>
              </w:rPr>
              <w:t xml:space="preserve"> treatment</w:t>
            </w:r>
          </w:p>
        </w:tc>
        <w:tc>
          <w:tcPr>
            <w:tcW w:w="2546"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Assume 15% of patients will need hospitalisation for PLPS in 38% of patients treated with nusinersen at a cost of $1,839 per episode</w:t>
            </w:r>
          </w:p>
        </w:tc>
        <w:tc>
          <w:tcPr>
            <w:tcW w:w="1720"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Consistent with economic evaluation. Applied to all age groups and may be more conserv</w:t>
            </w:r>
            <w:r w:rsidR="0089312A" w:rsidRPr="00361189">
              <w:rPr>
                <w:rFonts w:ascii="Arial Narrow" w:hAnsi="Arial Narrow"/>
                <w:sz w:val="20"/>
                <w:szCs w:val="20"/>
              </w:rPr>
              <w:t>ative than economic evaluation</w:t>
            </w:r>
          </w:p>
        </w:tc>
      </w:tr>
      <w:tr w:rsidR="00904BA2" w:rsidRPr="00361189" w:rsidTr="009350BA">
        <w:tc>
          <w:tcPr>
            <w:tcW w:w="734" w:type="pct"/>
          </w:tcPr>
          <w:p w:rsidR="00904BA2" w:rsidRPr="00361189" w:rsidRDefault="00904BA2" w:rsidP="007E24A1">
            <w:pPr>
              <w:keepNext/>
              <w:keepLines/>
              <w:rPr>
                <w:rFonts w:ascii="Arial Narrow" w:hAnsi="Arial Narrow"/>
                <w:sz w:val="20"/>
                <w:szCs w:val="20"/>
              </w:rPr>
            </w:pPr>
            <w:r w:rsidRPr="00361189">
              <w:rPr>
                <w:rFonts w:ascii="Arial Narrow" w:hAnsi="Arial Narrow"/>
                <w:sz w:val="20"/>
                <w:szCs w:val="20"/>
              </w:rPr>
              <w:t>Nusinersen administration</w:t>
            </w:r>
          </w:p>
        </w:tc>
        <w:tc>
          <w:tcPr>
            <w:tcW w:w="2546" w:type="pct"/>
          </w:tcPr>
          <w:tbl>
            <w:tblPr>
              <w:tblStyle w:val="TableGrid"/>
              <w:tblW w:w="0" w:type="auto"/>
              <w:tblCellMar>
                <w:left w:w="28" w:type="dxa"/>
                <w:right w:w="28" w:type="dxa"/>
              </w:tblCellMar>
              <w:tblLook w:val="04A0" w:firstRow="1" w:lastRow="0" w:firstColumn="1" w:lastColumn="0" w:noHBand="0" w:noVBand="1"/>
            </w:tblPr>
            <w:tblGrid>
              <w:gridCol w:w="2266"/>
              <w:gridCol w:w="513"/>
              <w:gridCol w:w="809"/>
              <w:gridCol w:w="809"/>
            </w:tblGrid>
            <w:tr w:rsidR="00904BA2" w:rsidRPr="00361189" w:rsidTr="001B5BEF">
              <w:tc>
                <w:tcPr>
                  <w:tcW w:w="2266" w:type="dxa"/>
                  <w:vAlign w:val="center"/>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Resource</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MBS item</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Unit cost applied</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Unit cost current</w:t>
                  </w:r>
                </w:p>
              </w:tc>
            </w:tr>
            <w:tr w:rsidR="00904BA2" w:rsidRPr="00361189" w:rsidTr="001B5BEF">
              <w:tc>
                <w:tcPr>
                  <w:tcW w:w="2266" w:type="dxa"/>
                </w:tcPr>
                <w:p w:rsidR="00904BA2" w:rsidRPr="00361189" w:rsidRDefault="00904BA2" w:rsidP="007E24A1">
                  <w:pPr>
                    <w:keepNext/>
                    <w:keepLines/>
                    <w:rPr>
                      <w:rFonts w:ascii="Arial Narrow" w:hAnsi="Arial Narrow"/>
                      <w:sz w:val="20"/>
                      <w:szCs w:val="20"/>
                    </w:rPr>
                  </w:pPr>
                  <w:r w:rsidRPr="00361189">
                    <w:rPr>
                      <w:rFonts w:ascii="Arial Narrow" w:hAnsi="Arial Narrow"/>
                      <w:sz w:val="20"/>
                      <w:szCs w:val="20"/>
                    </w:rPr>
                    <w:t>Specialist consultation</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105</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$43.65</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$44.35</w:t>
                  </w:r>
                </w:p>
              </w:tc>
            </w:tr>
            <w:tr w:rsidR="00904BA2" w:rsidRPr="00361189" w:rsidTr="001B5BEF">
              <w:tc>
                <w:tcPr>
                  <w:tcW w:w="2266" w:type="dxa"/>
                </w:tcPr>
                <w:p w:rsidR="00904BA2" w:rsidRPr="00361189" w:rsidRDefault="00904BA2" w:rsidP="007E24A1">
                  <w:pPr>
                    <w:keepNext/>
                    <w:keepLines/>
                    <w:rPr>
                      <w:rFonts w:ascii="Arial Narrow" w:hAnsi="Arial Narrow"/>
                      <w:sz w:val="20"/>
                      <w:szCs w:val="20"/>
                    </w:rPr>
                  </w:pPr>
                  <w:r w:rsidRPr="00361189">
                    <w:rPr>
                      <w:rFonts w:ascii="Arial Narrow" w:hAnsi="Arial Narrow"/>
                      <w:sz w:val="20"/>
                      <w:szCs w:val="20"/>
                    </w:rPr>
                    <w:t>Pre-anaesthesia consultation</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17610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$43.65</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$44.35</w:t>
                  </w:r>
                </w:p>
              </w:tc>
            </w:tr>
            <w:tr w:rsidR="00904BA2" w:rsidRPr="00361189" w:rsidTr="001B5BEF">
              <w:tc>
                <w:tcPr>
                  <w:tcW w:w="2266" w:type="dxa"/>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Initiation of anaesthesia for lumbar puncture</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21945</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$99.00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$100.50</w:t>
                  </w:r>
                </w:p>
              </w:tc>
            </w:tr>
            <w:tr w:rsidR="00904BA2" w:rsidRPr="00361189" w:rsidTr="001B5BEF">
              <w:tc>
                <w:tcPr>
                  <w:tcW w:w="2266" w:type="dxa"/>
                </w:tcPr>
                <w:p w:rsidR="00904BA2" w:rsidRPr="00361189" w:rsidRDefault="0089312A" w:rsidP="007E24A1">
                  <w:pPr>
                    <w:keepNext/>
                    <w:keepLines/>
                    <w:rPr>
                      <w:rFonts w:ascii="Arial Narrow" w:hAnsi="Arial Narrow"/>
                      <w:sz w:val="20"/>
                      <w:szCs w:val="20"/>
                    </w:rPr>
                  </w:pPr>
                  <w:r w:rsidRPr="00361189">
                    <w:rPr>
                      <w:rFonts w:ascii="Arial Narrow" w:hAnsi="Arial Narrow"/>
                      <w:sz w:val="20"/>
                      <w:szCs w:val="20"/>
                    </w:rPr>
                    <w:t>Anaesthesia for &lt;</w:t>
                  </w:r>
                  <w:r w:rsidR="00904BA2" w:rsidRPr="00361189">
                    <w:rPr>
                      <w:rFonts w:ascii="Arial Narrow" w:hAnsi="Arial Narrow"/>
                      <w:sz w:val="20"/>
                      <w:szCs w:val="20"/>
                    </w:rPr>
                    <w:t>15 minutes</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23010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$19.80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$20.10</w:t>
                  </w:r>
                </w:p>
              </w:tc>
            </w:tr>
            <w:tr w:rsidR="00904BA2" w:rsidRPr="00361189" w:rsidTr="001B5BEF">
              <w:tc>
                <w:tcPr>
                  <w:tcW w:w="2266" w:type="dxa"/>
                </w:tcPr>
                <w:p w:rsidR="00904BA2" w:rsidRPr="00361189" w:rsidRDefault="00904BA2" w:rsidP="007E24A1">
                  <w:pPr>
                    <w:keepNext/>
                    <w:keepLines/>
                    <w:rPr>
                      <w:rFonts w:ascii="Arial Narrow" w:hAnsi="Arial Narrow"/>
                      <w:sz w:val="20"/>
                      <w:szCs w:val="20"/>
                    </w:rPr>
                  </w:pPr>
                  <w:r w:rsidRPr="00361189">
                    <w:rPr>
                      <w:rFonts w:ascii="Arial Narrow" w:hAnsi="Arial Narrow"/>
                      <w:sz w:val="20"/>
                      <w:szCs w:val="20"/>
                    </w:rPr>
                    <w:t>Intrathecal infusion</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18216</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$189.90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$192.95</w:t>
                  </w:r>
                </w:p>
              </w:tc>
            </w:tr>
            <w:tr w:rsidR="00904BA2" w:rsidRPr="00361189" w:rsidTr="001B5BEF">
              <w:tc>
                <w:tcPr>
                  <w:tcW w:w="2266" w:type="dxa"/>
                </w:tcPr>
                <w:p w:rsidR="00904BA2" w:rsidRPr="00361189" w:rsidRDefault="00904BA2" w:rsidP="007E24A1">
                  <w:pPr>
                    <w:keepNext/>
                    <w:keepLines/>
                    <w:rPr>
                      <w:rFonts w:ascii="Arial Narrow" w:hAnsi="Arial Narrow"/>
                      <w:sz w:val="20"/>
                      <w:szCs w:val="20"/>
                    </w:rPr>
                  </w:pPr>
                  <w:r w:rsidRPr="00361189">
                    <w:rPr>
                      <w:rFonts w:ascii="Arial Narrow" w:hAnsi="Arial Narrow"/>
                      <w:sz w:val="20"/>
                      <w:szCs w:val="20"/>
                    </w:rPr>
                    <w:t>Total admin cost</w:t>
                  </w:r>
                </w:p>
              </w:tc>
              <w:tc>
                <w:tcPr>
                  <w:tcW w:w="397"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$396.00</w:t>
                  </w:r>
                </w:p>
              </w:tc>
              <w:tc>
                <w:tcPr>
                  <w:tcW w:w="809" w:type="dxa"/>
                  <w:vAlign w:val="center"/>
                </w:tcPr>
                <w:p w:rsidR="00904BA2" w:rsidRPr="00361189" w:rsidRDefault="00904BA2" w:rsidP="007E24A1">
                  <w:pPr>
                    <w:keepNext/>
                    <w:keepLines/>
                    <w:jc w:val="center"/>
                    <w:rPr>
                      <w:rFonts w:ascii="Arial Narrow" w:hAnsi="Arial Narrow"/>
                      <w:sz w:val="20"/>
                      <w:szCs w:val="20"/>
                    </w:rPr>
                  </w:pPr>
                  <w:r w:rsidRPr="00361189">
                    <w:rPr>
                      <w:rFonts w:ascii="Arial Narrow" w:hAnsi="Arial Narrow"/>
                      <w:sz w:val="20"/>
                      <w:szCs w:val="20"/>
                    </w:rPr>
                    <w:t>$402.25</w:t>
                  </w:r>
                </w:p>
              </w:tc>
            </w:tr>
          </w:tbl>
          <w:p w:rsidR="00904BA2" w:rsidRPr="00361189" w:rsidRDefault="00904BA2" w:rsidP="007E24A1">
            <w:pPr>
              <w:keepNext/>
              <w:keepLines/>
              <w:rPr>
                <w:rFonts w:ascii="Arial Narrow" w:hAnsi="Arial Narrow"/>
                <w:sz w:val="20"/>
                <w:szCs w:val="20"/>
              </w:rPr>
            </w:pPr>
            <w:r w:rsidRPr="00361189">
              <w:rPr>
                <w:rFonts w:ascii="Arial Narrow" w:hAnsi="Arial Narrow"/>
                <w:sz w:val="18"/>
                <w:szCs w:val="20"/>
              </w:rPr>
              <w:t>Source: Table 4-12, p172. Costs reflect 100% MBS benefits</w:t>
            </w:r>
          </w:p>
        </w:tc>
        <w:tc>
          <w:tcPr>
            <w:tcW w:w="1720" w:type="pct"/>
          </w:tcPr>
          <w:p w:rsidR="00904BA2" w:rsidRPr="00361189" w:rsidRDefault="00904BA2" w:rsidP="007E24A1">
            <w:pPr>
              <w:keepNext/>
              <w:keepLines/>
              <w:jc w:val="left"/>
              <w:rPr>
                <w:rFonts w:ascii="Arial Narrow" w:hAnsi="Arial Narrow"/>
                <w:sz w:val="20"/>
                <w:szCs w:val="20"/>
              </w:rPr>
            </w:pPr>
            <w:r w:rsidRPr="00361189">
              <w:rPr>
                <w:rFonts w:ascii="Arial Narrow" w:hAnsi="Arial Narrow"/>
                <w:sz w:val="20"/>
                <w:szCs w:val="20"/>
              </w:rPr>
              <w:t>There is a minor difference between the unit costs applied in the resubmission and the current MBS benefits. However the magnitude of difference is minor relative to the cost of nusinersen</w:t>
            </w:r>
            <w:r w:rsidR="00361189">
              <w:rPr>
                <w:rFonts w:ascii="Arial Narrow" w:hAnsi="Arial Narrow"/>
                <w:sz w:val="20"/>
                <w:szCs w:val="20"/>
              </w:rPr>
              <w:t xml:space="preserve">. </w:t>
            </w:r>
          </w:p>
        </w:tc>
      </w:tr>
    </w:tbl>
    <w:p w:rsidR="006B39BA" w:rsidRPr="00361189" w:rsidRDefault="00904BA2" w:rsidP="006B39BA">
      <w:pPr>
        <w:keepNext/>
        <w:keepLines/>
        <w:rPr>
          <w:rFonts w:ascii="Arial Narrow" w:hAnsi="Arial Narrow"/>
          <w:sz w:val="18"/>
          <w:szCs w:val="20"/>
        </w:rPr>
      </w:pPr>
      <w:r w:rsidRPr="00361189">
        <w:rPr>
          <w:rFonts w:ascii="Arial Narrow" w:hAnsi="Arial Narrow"/>
          <w:sz w:val="18"/>
          <w:szCs w:val="20"/>
        </w:rPr>
        <w:t>Source: constructed during evaluation using information from Nusinersen Economic Moderl_March2020, p165-169 of the resubmission.</w:t>
      </w:r>
    </w:p>
    <w:p w:rsidR="006B39BA" w:rsidRPr="00361189" w:rsidRDefault="006B39BA" w:rsidP="006B39BA">
      <w:pPr>
        <w:keepNext/>
        <w:keepLines/>
        <w:rPr>
          <w:rFonts w:ascii="Arial Narrow" w:hAnsi="Arial Narrow"/>
          <w:sz w:val="18"/>
          <w:szCs w:val="20"/>
        </w:rPr>
      </w:pPr>
      <w:r w:rsidRPr="00361189">
        <w:rPr>
          <w:rFonts w:ascii="Arial Narrow" w:hAnsi="Arial Narrow"/>
          <w:sz w:val="18"/>
          <w:szCs w:val="20"/>
        </w:rPr>
        <w:t xml:space="preserve">PLPS = post-lumbar puncture syndrome </w:t>
      </w:r>
    </w:p>
    <w:p w:rsidR="00904BA2" w:rsidRPr="00361189" w:rsidRDefault="00904BA2" w:rsidP="006B39BA">
      <w:pPr>
        <w:keepNext/>
        <w:keepLines/>
        <w:rPr>
          <w:rFonts w:ascii="Arial Narrow" w:hAnsi="Arial Narrow"/>
          <w:sz w:val="18"/>
          <w:szCs w:val="20"/>
        </w:rPr>
      </w:pPr>
      <w:r w:rsidRPr="00361189">
        <w:rPr>
          <w:rFonts w:ascii="Arial Narrow" w:hAnsi="Arial Narrow"/>
          <w:sz w:val="18"/>
          <w:szCs w:val="20"/>
        </w:rPr>
        <w:t xml:space="preserve"> </w:t>
      </w:r>
    </w:p>
    <w:p w:rsidR="00B505C8" w:rsidRPr="00361189" w:rsidRDefault="00CB5DFA" w:rsidP="00B505C8">
      <w:pPr>
        <w:pStyle w:val="3-BodyText"/>
        <w:rPr>
          <w:color w:val="0066FF"/>
        </w:rPr>
      </w:pPr>
      <w:r w:rsidRPr="00361189">
        <w:t>The financial estimates for extending the listing of nusinersen to include pre-symptomatic initiation of tr</w:t>
      </w:r>
      <w:r w:rsidR="0089312A" w:rsidRPr="00361189">
        <w:t>eatment with nusinersen</w:t>
      </w:r>
      <w:r w:rsidRPr="00361189">
        <w:t xml:space="preserve"> in patients with </w:t>
      </w:r>
      <w:r w:rsidRPr="00361189">
        <w:rPr>
          <w:i/>
        </w:rPr>
        <w:t>SMN1</w:t>
      </w:r>
      <w:r w:rsidRPr="00361189">
        <w:t xml:space="preserve"> deletion or mutation and </w:t>
      </w:r>
      <w:r w:rsidRPr="00361189">
        <w:rPr>
          <w:i/>
        </w:rPr>
        <w:t>SMN2</w:t>
      </w:r>
      <w:r w:rsidRPr="00361189">
        <w:t xml:space="preserve"> copy number </w:t>
      </w:r>
      <w:r w:rsidRPr="00361189">
        <w:rPr>
          <w:rFonts w:cstheme="minorHAnsi"/>
        </w:rPr>
        <w:t>≤</w:t>
      </w:r>
      <w:r w:rsidR="00EE72BD">
        <w:t>2 are summarised in Table 19</w:t>
      </w:r>
      <w:r w:rsidR="00361189">
        <w:t xml:space="preserve">. </w:t>
      </w:r>
      <w:r w:rsidR="005A512D" w:rsidRPr="00361189">
        <w:t xml:space="preserve">Additionally, </w:t>
      </w:r>
      <w:r w:rsidR="005A512D" w:rsidRPr="00361189">
        <w:lastRenderedPageBreak/>
        <w:t xml:space="preserve">results from the previous submission and a scenario assuming a threshold of </w:t>
      </w:r>
      <w:r w:rsidR="005A512D" w:rsidRPr="00361189">
        <w:rPr>
          <w:i/>
        </w:rPr>
        <w:t>SMN2</w:t>
      </w:r>
      <w:r w:rsidR="005A512D" w:rsidRPr="00361189">
        <w:t xml:space="preserve"> copy number </w:t>
      </w:r>
      <w:r w:rsidR="005A512D" w:rsidRPr="00361189">
        <w:rPr>
          <w:rFonts w:cstheme="minorHAnsi"/>
        </w:rPr>
        <w:t>≤</w:t>
      </w:r>
      <w:r w:rsidR="005A512D" w:rsidRPr="00361189">
        <w:t>3 were also presented for comparison.</w:t>
      </w:r>
    </w:p>
    <w:p w:rsidR="00C25D9C" w:rsidRPr="00361189" w:rsidRDefault="0089312A" w:rsidP="0089312A">
      <w:pPr>
        <w:pStyle w:val="TableFigureHeading"/>
        <w:keepNext w:val="0"/>
      </w:pPr>
      <w:r w:rsidRPr="00361189">
        <w:rPr>
          <w:rStyle w:val="CommentReference"/>
          <w:b/>
          <w:szCs w:val="24"/>
        </w:rPr>
        <w:t>Table</w:t>
      </w:r>
      <w:r w:rsidR="00EE72BD">
        <w:rPr>
          <w:rStyle w:val="CommentReference"/>
          <w:b/>
          <w:szCs w:val="24"/>
        </w:rPr>
        <w:t xml:space="preserve"> 19</w:t>
      </w:r>
      <w:r w:rsidR="002A2F50" w:rsidRPr="00361189">
        <w:rPr>
          <w:rStyle w:val="CommentReference"/>
          <w:b/>
          <w:szCs w:val="24"/>
        </w:rPr>
        <w:t>: Estimated use and financial implications</w:t>
      </w:r>
    </w:p>
    <w:tbl>
      <w:tblPr>
        <w:tblStyle w:val="TableGrid"/>
        <w:tblW w:w="9017" w:type="dxa"/>
        <w:tblLayout w:type="fixed"/>
        <w:tblCellMar>
          <w:left w:w="28" w:type="dxa"/>
          <w:right w:w="28" w:type="dxa"/>
        </w:tblCellMar>
        <w:tblLook w:val="04A0" w:firstRow="1" w:lastRow="0" w:firstColumn="1" w:lastColumn="0" w:noHBand="0" w:noVBand="1"/>
        <w:tblCaption w:val="Table 19: Estimated use and financial implications"/>
      </w:tblPr>
      <w:tblGrid>
        <w:gridCol w:w="2830"/>
        <w:gridCol w:w="993"/>
        <w:gridCol w:w="992"/>
        <w:gridCol w:w="992"/>
        <w:gridCol w:w="1134"/>
        <w:gridCol w:w="992"/>
        <w:gridCol w:w="1084"/>
      </w:tblGrid>
      <w:tr w:rsidR="009157CA" w:rsidRPr="00361189" w:rsidTr="00E4480C">
        <w:trPr>
          <w:tblHeader/>
        </w:trPr>
        <w:tc>
          <w:tcPr>
            <w:tcW w:w="2830" w:type="dxa"/>
            <w:vAlign w:val="center"/>
          </w:tcPr>
          <w:p w:rsidR="009157CA" w:rsidRPr="00361189" w:rsidRDefault="009157CA" w:rsidP="0089312A">
            <w:pPr>
              <w:keepLines/>
              <w:jc w:val="left"/>
              <w:rPr>
                <w:rFonts w:ascii="Arial Narrow" w:hAnsi="Arial Narrow"/>
                <w:b/>
                <w:sz w:val="20"/>
                <w:szCs w:val="20"/>
              </w:rPr>
            </w:pPr>
          </w:p>
        </w:tc>
        <w:tc>
          <w:tcPr>
            <w:tcW w:w="993"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2021</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2022</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2023</w:t>
            </w:r>
          </w:p>
        </w:tc>
        <w:tc>
          <w:tcPr>
            <w:tcW w:w="113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2024</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2025</w:t>
            </w:r>
          </w:p>
        </w:tc>
        <w:tc>
          <w:tcPr>
            <w:tcW w:w="108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2026</w:t>
            </w:r>
          </w:p>
        </w:tc>
      </w:tr>
      <w:tr w:rsidR="00E4480C" w:rsidRPr="00361189" w:rsidTr="005B106B">
        <w:tc>
          <w:tcPr>
            <w:tcW w:w="9017" w:type="dxa"/>
            <w:gridSpan w:val="7"/>
            <w:vAlign w:val="center"/>
          </w:tcPr>
          <w:p w:rsidR="00E4480C" w:rsidRPr="00361189" w:rsidRDefault="00E4480C" w:rsidP="00E4480C">
            <w:pPr>
              <w:keepLines/>
              <w:jc w:val="left"/>
              <w:rPr>
                <w:rFonts w:ascii="Arial Narrow" w:eastAsia="TimesNewRoman" w:hAnsi="Arial Narrow"/>
                <w:b/>
                <w:sz w:val="20"/>
                <w:szCs w:val="20"/>
              </w:rPr>
            </w:pPr>
            <w:r w:rsidRPr="00361189">
              <w:rPr>
                <w:rFonts w:ascii="Arial Narrow" w:eastAsia="TimesNewRoman" w:hAnsi="Arial Narrow"/>
                <w:b/>
                <w:sz w:val="20"/>
                <w:szCs w:val="20"/>
              </w:rPr>
              <w:t>Estimated extent of use</w:t>
            </w:r>
          </w:p>
        </w:tc>
      </w:tr>
      <w:tr w:rsidR="009157CA" w:rsidRPr="00361189" w:rsidTr="00E4480C">
        <w:tc>
          <w:tcPr>
            <w:tcW w:w="2830" w:type="dxa"/>
            <w:vAlign w:val="center"/>
          </w:tcPr>
          <w:p w:rsidR="009157CA" w:rsidRPr="00361189" w:rsidRDefault="009157CA" w:rsidP="004E1A1D">
            <w:pPr>
              <w:keepLines/>
              <w:jc w:val="left"/>
              <w:rPr>
                <w:rFonts w:ascii="Arial Narrow" w:hAnsi="Arial Narrow"/>
                <w:sz w:val="20"/>
                <w:szCs w:val="20"/>
              </w:rPr>
            </w:pPr>
            <w:r w:rsidRPr="00361189">
              <w:rPr>
                <w:rFonts w:ascii="Arial Narrow" w:hAnsi="Arial Narrow"/>
                <w:sz w:val="20"/>
                <w:szCs w:val="20"/>
              </w:rPr>
              <w:t>Total</w:t>
            </w:r>
            <w:r w:rsidR="004E1A1D" w:rsidRPr="00361189">
              <w:rPr>
                <w:rFonts w:ascii="Arial Narrow" w:hAnsi="Arial Narrow"/>
                <w:sz w:val="20"/>
                <w:szCs w:val="20"/>
              </w:rPr>
              <w:t xml:space="preserve"> incident patients</w:t>
            </w:r>
          </w:p>
        </w:tc>
        <w:tc>
          <w:tcPr>
            <w:tcW w:w="993"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c>
          <w:tcPr>
            <w:tcW w:w="1134"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c>
          <w:tcPr>
            <w:tcW w:w="1084"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eastAsia="TimesNewRoman" w:hAnsi="Arial Narrow"/>
                <w:noProof/>
                <w:color w:val="000000"/>
                <w:sz w:val="20"/>
                <w:szCs w:val="20"/>
                <w:highlight w:val="black"/>
              </w:rPr>
              <w:t>''''''''''</w:t>
            </w:r>
          </w:p>
        </w:tc>
      </w:tr>
      <w:tr w:rsidR="009157CA" w:rsidRPr="00361189" w:rsidTr="00E4480C">
        <w:tc>
          <w:tcPr>
            <w:tcW w:w="2830" w:type="dxa"/>
            <w:vAlign w:val="center"/>
          </w:tcPr>
          <w:p w:rsidR="009157CA" w:rsidRPr="00361189" w:rsidRDefault="009157CA" w:rsidP="0089312A">
            <w:pPr>
              <w:keepLines/>
              <w:jc w:val="left"/>
              <w:rPr>
                <w:rFonts w:ascii="Arial Narrow" w:hAnsi="Arial Narrow"/>
                <w:sz w:val="20"/>
                <w:szCs w:val="20"/>
                <w:vertAlign w:val="superscript"/>
              </w:rPr>
            </w:pPr>
            <w:r w:rsidRPr="00361189">
              <w:rPr>
                <w:rFonts w:ascii="Arial Narrow" w:hAnsi="Arial Narrow"/>
                <w:sz w:val="20"/>
                <w:szCs w:val="20"/>
              </w:rPr>
              <w:t>Total</w:t>
            </w:r>
            <w:r w:rsidR="004E1A1D" w:rsidRPr="00361189">
              <w:rPr>
                <w:rFonts w:ascii="Arial Narrow" w:hAnsi="Arial Narrow"/>
                <w:sz w:val="20"/>
                <w:szCs w:val="20"/>
              </w:rPr>
              <w:t xml:space="preserve"> scripts dispensed </w:t>
            </w:r>
            <w:r w:rsidR="004E1A1D" w:rsidRPr="00361189">
              <w:rPr>
                <w:rFonts w:ascii="Arial Narrow" w:hAnsi="Arial Narrow"/>
                <w:sz w:val="20"/>
                <w:szCs w:val="20"/>
                <w:vertAlign w:val="superscript"/>
              </w:rPr>
              <w:t>a</w:t>
            </w:r>
          </w:p>
        </w:tc>
        <w:tc>
          <w:tcPr>
            <w:tcW w:w="993"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34"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84" w:type="dxa"/>
            <w:vAlign w:val="center"/>
          </w:tcPr>
          <w:p w:rsidR="009157CA" w:rsidRPr="00E659B7" w:rsidRDefault="00E659B7" w:rsidP="0089312A">
            <w:pPr>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4480C" w:rsidRPr="00361189" w:rsidTr="005B106B">
        <w:tc>
          <w:tcPr>
            <w:tcW w:w="9017" w:type="dxa"/>
            <w:gridSpan w:val="7"/>
            <w:vAlign w:val="center"/>
          </w:tcPr>
          <w:p w:rsidR="00E4480C" w:rsidRPr="00361189" w:rsidRDefault="00E4480C" w:rsidP="00E4480C">
            <w:pPr>
              <w:keepLines/>
              <w:jc w:val="left"/>
              <w:rPr>
                <w:rFonts w:ascii="Arial Narrow" w:hAnsi="Arial Narrow"/>
                <w:b/>
                <w:sz w:val="20"/>
                <w:szCs w:val="20"/>
              </w:rPr>
            </w:pPr>
            <w:r w:rsidRPr="00361189">
              <w:rPr>
                <w:rFonts w:ascii="Arial Narrow" w:hAnsi="Arial Narrow"/>
                <w:b/>
                <w:sz w:val="20"/>
                <w:szCs w:val="20"/>
              </w:rPr>
              <w:t>Estimated financial implications of pre-symptomatic initiation of nusinersen</w:t>
            </w:r>
          </w:p>
        </w:tc>
      </w:tr>
      <w:tr w:rsidR="009157CA" w:rsidRPr="00361189" w:rsidTr="00E4480C">
        <w:tc>
          <w:tcPr>
            <w:tcW w:w="2830" w:type="dxa"/>
            <w:vAlign w:val="center"/>
          </w:tcPr>
          <w:p w:rsidR="009157CA" w:rsidRPr="00361189" w:rsidRDefault="0089312A" w:rsidP="0089312A">
            <w:pPr>
              <w:keepLines/>
              <w:jc w:val="left"/>
              <w:rPr>
                <w:rFonts w:ascii="Arial Narrow" w:hAnsi="Arial Narrow"/>
                <w:sz w:val="20"/>
                <w:szCs w:val="20"/>
              </w:rPr>
            </w:pPr>
            <w:r w:rsidRPr="00361189">
              <w:rPr>
                <w:rFonts w:ascii="Arial Narrow" w:hAnsi="Arial Narrow"/>
                <w:sz w:val="20"/>
                <w:szCs w:val="20"/>
              </w:rPr>
              <w:t>Drug cost nusin</w:t>
            </w:r>
            <w:r w:rsidR="009157CA" w:rsidRPr="00361189">
              <w:rPr>
                <w:rFonts w:ascii="Arial Narrow" w:hAnsi="Arial Narrow"/>
                <w:sz w:val="20"/>
                <w:szCs w:val="20"/>
              </w:rPr>
              <w:t>ersen</w:t>
            </w:r>
            <w:r w:rsidR="004E1A1D" w:rsidRPr="00361189">
              <w:rPr>
                <w:rFonts w:ascii="Arial Narrow" w:hAnsi="Arial Narrow"/>
                <w:sz w:val="20"/>
                <w:szCs w:val="20"/>
              </w:rPr>
              <w:t xml:space="preserve"> (PBS/RPBS)</w:t>
            </w:r>
          </w:p>
        </w:tc>
        <w:tc>
          <w:tcPr>
            <w:tcW w:w="993"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r>
      <w:tr w:rsidR="009157CA" w:rsidRPr="00361189" w:rsidTr="00E4480C">
        <w:tc>
          <w:tcPr>
            <w:tcW w:w="2830" w:type="dxa"/>
            <w:vAlign w:val="center"/>
          </w:tcPr>
          <w:p w:rsidR="009157CA" w:rsidRPr="00361189" w:rsidRDefault="009157CA" w:rsidP="0089312A">
            <w:pPr>
              <w:keepLines/>
              <w:jc w:val="left"/>
              <w:rPr>
                <w:rFonts w:ascii="Arial Narrow" w:hAnsi="Arial Narrow"/>
                <w:b/>
                <w:sz w:val="20"/>
                <w:szCs w:val="20"/>
                <w:vertAlign w:val="superscript"/>
              </w:rPr>
            </w:pPr>
            <w:r w:rsidRPr="00361189">
              <w:rPr>
                <w:rFonts w:ascii="Arial Narrow" w:hAnsi="Arial Narrow"/>
                <w:b/>
                <w:sz w:val="20"/>
                <w:szCs w:val="20"/>
              </w:rPr>
              <w:t>Total cost pre-symptomatic initiation</w:t>
            </w:r>
            <w:r w:rsidR="00E4480C" w:rsidRPr="00361189">
              <w:rPr>
                <w:rFonts w:ascii="Arial Narrow" w:hAnsi="Arial Narrow"/>
                <w:b/>
                <w:sz w:val="20"/>
                <w:szCs w:val="20"/>
              </w:rPr>
              <w:t xml:space="preserve"> </w:t>
            </w:r>
            <w:r w:rsidR="00E4480C" w:rsidRPr="00361189">
              <w:rPr>
                <w:rFonts w:ascii="Arial Narrow" w:hAnsi="Arial Narrow"/>
                <w:b/>
                <w:sz w:val="20"/>
                <w:szCs w:val="20"/>
                <w:vertAlign w:val="superscript"/>
              </w:rPr>
              <w:t>b</w:t>
            </w:r>
          </w:p>
        </w:tc>
        <w:tc>
          <w:tcPr>
            <w:tcW w:w="993"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r>
      <w:tr w:rsidR="009157CA" w:rsidRPr="00361189" w:rsidTr="00E4480C">
        <w:tc>
          <w:tcPr>
            <w:tcW w:w="2830" w:type="dxa"/>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Previous submission</w:t>
            </w:r>
          </w:p>
        </w:tc>
        <w:tc>
          <w:tcPr>
            <w:tcW w:w="993"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b/>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r>
      <w:tr w:rsidR="009157CA" w:rsidRPr="00361189" w:rsidTr="00E4480C">
        <w:tc>
          <w:tcPr>
            <w:tcW w:w="2830" w:type="dxa"/>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Doses used by Type IIIb (leakage)</w:t>
            </w:r>
          </w:p>
        </w:tc>
        <w:tc>
          <w:tcPr>
            <w:tcW w:w="993"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0.98</w:t>
            </w:r>
          </w:p>
        </w:tc>
        <w:tc>
          <w:tcPr>
            <w:tcW w:w="992"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1.49</w:t>
            </w:r>
          </w:p>
        </w:tc>
        <w:tc>
          <w:tcPr>
            <w:tcW w:w="992"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2.00</w:t>
            </w:r>
          </w:p>
        </w:tc>
        <w:tc>
          <w:tcPr>
            <w:tcW w:w="1134"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2.53</w:t>
            </w:r>
          </w:p>
        </w:tc>
        <w:tc>
          <w:tcPr>
            <w:tcW w:w="992"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3.05</w:t>
            </w:r>
          </w:p>
        </w:tc>
        <w:tc>
          <w:tcPr>
            <w:tcW w:w="1084" w:type="dxa"/>
            <w:vAlign w:val="center"/>
          </w:tcPr>
          <w:p w:rsidR="009157CA" w:rsidRPr="00361189" w:rsidRDefault="009157CA" w:rsidP="0089312A">
            <w:pPr>
              <w:keepLines/>
              <w:jc w:val="center"/>
              <w:rPr>
                <w:rFonts w:ascii="Arial Narrow" w:hAnsi="Arial Narrow"/>
                <w:i/>
                <w:sz w:val="20"/>
                <w:szCs w:val="20"/>
              </w:rPr>
            </w:pPr>
            <w:r w:rsidRPr="00361189">
              <w:rPr>
                <w:rFonts w:ascii="Arial Narrow" w:hAnsi="Arial Narrow"/>
                <w:color w:val="000000"/>
                <w:sz w:val="20"/>
                <w:szCs w:val="20"/>
              </w:rPr>
              <w:t>3.58</w:t>
            </w:r>
          </w:p>
        </w:tc>
      </w:tr>
      <w:tr w:rsidR="009157CA" w:rsidRPr="00361189" w:rsidTr="00E4480C">
        <w:tc>
          <w:tcPr>
            <w:tcW w:w="2830" w:type="dxa"/>
            <w:tcBorders>
              <w:bottom w:val="double" w:sz="4" w:space="0" w:color="auto"/>
            </w:tcBorders>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 xml:space="preserve">Cost for Type IIIb (leakage) </w:t>
            </w:r>
          </w:p>
        </w:tc>
        <w:tc>
          <w:tcPr>
            <w:tcW w:w="993"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134"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84" w:type="dxa"/>
            <w:tcBorders>
              <w:bottom w:val="double" w:sz="4" w:space="0" w:color="auto"/>
            </w:tcBorders>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r>
      <w:tr w:rsidR="00E4480C" w:rsidRPr="00361189" w:rsidTr="005B106B">
        <w:tc>
          <w:tcPr>
            <w:tcW w:w="9017" w:type="dxa"/>
            <w:gridSpan w:val="7"/>
            <w:vAlign w:val="center"/>
          </w:tcPr>
          <w:p w:rsidR="00E4480C" w:rsidRPr="00361189" w:rsidRDefault="00E4480C" w:rsidP="00E4480C">
            <w:pPr>
              <w:keepLines/>
              <w:jc w:val="left"/>
              <w:rPr>
                <w:rFonts w:ascii="Arial Narrow" w:hAnsi="Arial Narrow" w:cs="Calibri"/>
                <w:b/>
                <w:color w:val="000000"/>
                <w:sz w:val="20"/>
                <w:szCs w:val="20"/>
              </w:rPr>
            </w:pPr>
            <w:r w:rsidRPr="00361189">
              <w:rPr>
                <w:rFonts w:ascii="Arial Narrow" w:hAnsi="Arial Narrow" w:cs="Calibri"/>
                <w:b/>
                <w:color w:val="000000"/>
                <w:sz w:val="20"/>
                <w:szCs w:val="20"/>
              </w:rPr>
              <w:t>Estimated financial implications for SoC</w:t>
            </w:r>
          </w:p>
        </w:tc>
      </w:tr>
      <w:tr w:rsidR="009157CA" w:rsidRPr="00361189" w:rsidTr="00E4480C">
        <w:tc>
          <w:tcPr>
            <w:tcW w:w="2830" w:type="dxa"/>
            <w:vAlign w:val="center"/>
          </w:tcPr>
          <w:p w:rsidR="009157CA" w:rsidRPr="00361189" w:rsidRDefault="00E4480C" w:rsidP="00E4480C">
            <w:pPr>
              <w:keepLines/>
              <w:jc w:val="left"/>
              <w:rPr>
                <w:rFonts w:ascii="Arial Narrow" w:hAnsi="Arial Narrow"/>
                <w:sz w:val="20"/>
                <w:szCs w:val="20"/>
              </w:rPr>
            </w:pPr>
            <w:r w:rsidRPr="00361189">
              <w:rPr>
                <w:rFonts w:ascii="Arial Narrow" w:hAnsi="Arial Narrow"/>
                <w:sz w:val="20"/>
                <w:szCs w:val="20"/>
              </w:rPr>
              <w:t>Total scripts under SoC (Cost offset)</w:t>
            </w:r>
          </w:p>
        </w:tc>
        <w:tc>
          <w:tcPr>
            <w:tcW w:w="993"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21.9</w:t>
            </w:r>
          </w:p>
        </w:tc>
        <w:tc>
          <w:tcPr>
            <w:tcW w:w="992"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58.23</w:t>
            </w:r>
          </w:p>
        </w:tc>
        <w:tc>
          <w:tcPr>
            <w:tcW w:w="992"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83.19</w:t>
            </w:r>
          </w:p>
        </w:tc>
        <w:tc>
          <w:tcPr>
            <w:tcW w:w="1134"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108.46</w:t>
            </w:r>
          </w:p>
        </w:tc>
        <w:tc>
          <w:tcPr>
            <w:tcW w:w="992"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133.99</w:t>
            </w:r>
          </w:p>
        </w:tc>
        <w:tc>
          <w:tcPr>
            <w:tcW w:w="1084" w:type="dxa"/>
            <w:vAlign w:val="center"/>
          </w:tcPr>
          <w:p w:rsidR="009157CA" w:rsidRPr="00EA6421" w:rsidRDefault="009157CA" w:rsidP="0089312A">
            <w:pPr>
              <w:keepLines/>
              <w:jc w:val="center"/>
              <w:rPr>
                <w:rFonts w:ascii="Arial Narrow" w:hAnsi="Arial Narrow"/>
                <w:sz w:val="20"/>
                <w:szCs w:val="20"/>
              </w:rPr>
            </w:pPr>
            <w:r w:rsidRPr="00EA6421">
              <w:rPr>
                <w:rFonts w:ascii="Arial Narrow" w:hAnsi="Arial Narrow" w:cs="Calibri"/>
                <w:color w:val="000000"/>
                <w:sz w:val="20"/>
                <w:szCs w:val="20"/>
              </w:rPr>
              <w:t>159.78</w:t>
            </w:r>
          </w:p>
        </w:tc>
      </w:tr>
      <w:tr w:rsidR="009157CA" w:rsidRPr="00361189" w:rsidTr="00E4480C">
        <w:tc>
          <w:tcPr>
            <w:tcW w:w="2830" w:type="dxa"/>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Total cost SoC</w:t>
            </w:r>
            <w:r w:rsidR="00E4480C" w:rsidRPr="00361189">
              <w:rPr>
                <w:rFonts w:ascii="Arial Narrow" w:hAnsi="Arial Narrow"/>
                <w:sz w:val="20"/>
                <w:szCs w:val="20"/>
              </w:rPr>
              <w:t xml:space="preserve"> (Cost offset)</w:t>
            </w:r>
          </w:p>
        </w:tc>
        <w:tc>
          <w:tcPr>
            <w:tcW w:w="993"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r>
      <w:tr w:rsidR="009157CA" w:rsidRPr="00361189" w:rsidTr="00E4480C">
        <w:tc>
          <w:tcPr>
            <w:tcW w:w="2830" w:type="dxa"/>
            <w:tcBorders>
              <w:bottom w:val="single" w:sz="4" w:space="0" w:color="auto"/>
            </w:tcBorders>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Previous submission</w:t>
            </w:r>
          </w:p>
        </w:tc>
        <w:tc>
          <w:tcPr>
            <w:tcW w:w="993"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134"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084" w:type="dxa"/>
            <w:tcBorders>
              <w:bottom w:val="single" w:sz="4" w:space="0" w:color="auto"/>
            </w:tcBorders>
            <w:vAlign w:val="center"/>
          </w:tcPr>
          <w:p w:rsidR="009157CA" w:rsidRPr="00361189" w:rsidRDefault="009157CA" w:rsidP="0089312A">
            <w:pPr>
              <w:keepLines/>
              <w:jc w:val="center"/>
              <w:rPr>
                <w:rFonts w:ascii="Arial Narrow" w:hAnsi="Arial Narrow" w:cs="Calibri"/>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r>
      <w:tr w:rsidR="00E4480C" w:rsidRPr="00361189" w:rsidTr="00E4480C">
        <w:tc>
          <w:tcPr>
            <w:tcW w:w="9017" w:type="dxa"/>
            <w:gridSpan w:val="7"/>
            <w:tcBorders>
              <w:top w:val="single" w:sz="4" w:space="0" w:color="auto"/>
            </w:tcBorders>
          </w:tcPr>
          <w:p w:rsidR="00E4480C" w:rsidRPr="00361189" w:rsidRDefault="00E4480C" w:rsidP="00E4480C">
            <w:pPr>
              <w:keepLines/>
              <w:jc w:val="left"/>
              <w:rPr>
                <w:rFonts w:ascii="Arial Narrow" w:hAnsi="Arial Narrow"/>
                <w:b/>
                <w:sz w:val="20"/>
                <w:szCs w:val="20"/>
              </w:rPr>
            </w:pPr>
            <w:r w:rsidRPr="00361189">
              <w:rPr>
                <w:rFonts w:ascii="Arial Narrow" w:hAnsi="Arial Narrow"/>
                <w:b/>
                <w:sz w:val="20"/>
                <w:szCs w:val="20"/>
              </w:rPr>
              <w:t>Net financial implications</w:t>
            </w:r>
          </w:p>
        </w:tc>
      </w:tr>
      <w:tr w:rsidR="009157CA" w:rsidRPr="00361189" w:rsidTr="00E4480C">
        <w:tc>
          <w:tcPr>
            <w:tcW w:w="2830" w:type="dxa"/>
            <w:tcBorders>
              <w:top w:val="single" w:sz="4" w:space="0" w:color="auto"/>
            </w:tcBorders>
          </w:tcPr>
          <w:p w:rsidR="009157CA" w:rsidRPr="00361189" w:rsidRDefault="00234B85" w:rsidP="0089312A">
            <w:pPr>
              <w:keepLines/>
              <w:rPr>
                <w:rFonts w:ascii="Arial Narrow" w:hAnsi="Arial Narrow"/>
                <w:sz w:val="20"/>
                <w:szCs w:val="20"/>
              </w:rPr>
            </w:pPr>
            <w:r w:rsidRPr="00361189">
              <w:rPr>
                <w:rFonts w:ascii="Arial Narrow" w:hAnsi="Arial Narrow"/>
                <w:sz w:val="20"/>
                <w:szCs w:val="20"/>
              </w:rPr>
              <w:t xml:space="preserve">Net </w:t>
            </w:r>
            <w:r w:rsidR="009157CA" w:rsidRPr="00361189">
              <w:rPr>
                <w:rFonts w:ascii="Arial Narrow" w:hAnsi="Arial Narrow"/>
                <w:sz w:val="20"/>
                <w:szCs w:val="20"/>
              </w:rPr>
              <w:t>Cost to PBS/RPBS</w:t>
            </w:r>
          </w:p>
        </w:tc>
        <w:tc>
          <w:tcPr>
            <w:tcW w:w="993"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134"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84" w:type="dxa"/>
            <w:tcBorders>
              <w:top w:val="single" w:sz="4" w:space="0" w:color="auto"/>
            </w:tcBorders>
            <w:vAlign w:val="center"/>
          </w:tcPr>
          <w:p w:rsidR="009157CA" w:rsidRPr="00361189" w:rsidRDefault="009157CA" w:rsidP="0089312A">
            <w:pPr>
              <w:keepLines/>
              <w:jc w:val="center"/>
              <w:rPr>
                <w:rFonts w:ascii="Arial Narrow" w:hAnsi="Arial Narrow" w:cs="Calibri"/>
                <w:bCs/>
                <w:color w:val="000000"/>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r>
      <w:tr w:rsidR="009157CA" w:rsidRPr="00361189" w:rsidTr="00E4480C">
        <w:tc>
          <w:tcPr>
            <w:tcW w:w="2830" w:type="dxa"/>
          </w:tcPr>
          <w:p w:rsidR="009157CA" w:rsidRPr="00361189" w:rsidRDefault="00234B85" w:rsidP="0089312A">
            <w:pPr>
              <w:keepLines/>
              <w:rPr>
                <w:rFonts w:ascii="Arial Narrow" w:hAnsi="Arial Narrow"/>
                <w:sz w:val="20"/>
                <w:szCs w:val="20"/>
              </w:rPr>
            </w:pPr>
            <w:r w:rsidRPr="00361189">
              <w:rPr>
                <w:rFonts w:ascii="Arial Narrow" w:hAnsi="Arial Narrow"/>
                <w:sz w:val="20"/>
                <w:szCs w:val="20"/>
              </w:rPr>
              <w:t xml:space="preserve">Net </w:t>
            </w:r>
            <w:r w:rsidR="009157CA" w:rsidRPr="00361189">
              <w:rPr>
                <w:rFonts w:ascii="Arial Narrow" w:hAnsi="Arial Narrow"/>
                <w:sz w:val="20"/>
                <w:szCs w:val="20"/>
              </w:rPr>
              <w:t xml:space="preserve">Cost to MBS </w:t>
            </w:r>
          </w:p>
        </w:tc>
        <w:tc>
          <w:tcPr>
            <w:tcW w:w="993"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bCs/>
                <w:color w:val="000000"/>
                <w:sz w:val="20"/>
                <w:szCs w:val="20"/>
              </w:rPr>
              <w:t>$</w:t>
            </w:r>
            <w:r w:rsidR="00E659B7">
              <w:rPr>
                <w:rFonts w:ascii="Arial Narrow" w:hAnsi="Arial Narrow"/>
                <w:bCs/>
                <w:noProof/>
                <w:color w:val="000000"/>
                <w:sz w:val="20"/>
                <w:szCs w:val="20"/>
                <w:highlight w:val="black"/>
              </w:rPr>
              <w:t>''''''''''''''</w:t>
            </w:r>
          </w:p>
        </w:tc>
      </w:tr>
      <w:tr w:rsidR="009157CA" w:rsidRPr="00361189" w:rsidTr="00E4480C">
        <w:tc>
          <w:tcPr>
            <w:tcW w:w="2830" w:type="dxa"/>
            <w:vAlign w:val="center"/>
          </w:tcPr>
          <w:p w:rsidR="009157CA" w:rsidRPr="00361189" w:rsidRDefault="009157CA" w:rsidP="0089312A">
            <w:pPr>
              <w:keepLines/>
              <w:jc w:val="left"/>
              <w:rPr>
                <w:rFonts w:ascii="Arial Narrow" w:hAnsi="Arial Narrow"/>
                <w:sz w:val="20"/>
                <w:szCs w:val="20"/>
              </w:rPr>
            </w:pPr>
            <w:r w:rsidRPr="00361189">
              <w:rPr>
                <w:rFonts w:ascii="Arial Narrow" w:hAnsi="Arial Narrow"/>
                <w:sz w:val="20"/>
                <w:szCs w:val="20"/>
              </w:rPr>
              <w:t xml:space="preserve">Total cost pre-symptomatic </w:t>
            </w:r>
          </w:p>
        </w:tc>
        <w:tc>
          <w:tcPr>
            <w:tcW w:w="993"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sz w:val="20"/>
                <w:szCs w:val="20"/>
              </w:rPr>
              <w:t>$</w:t>
            </w:r>
            <w:r w:rsidR="00E659B7">
              <w:rPr>
                <w:rFonts w:ascii="Arial Narrow" w:hAnsi="Arial Narrow"/>
                <w:noProof/>
                <w:color w:val="000000"/>
                <w:sz w:val="20"/>
                <w:szCs w:val="20"/>
                <w:highlight w:val="black"/>
              </w:rPr>
              <w:t>''''''''''''''''''''''''''''</w:t>
            </w:r>
          </w:p>
        </w:tc>
      </w:tr>
      <w:tr w:rsidR="009157CA" w:rsidRPr="00361189" w:rsidTr="00E4480C">
        <w:tc>
          <w:tcPr>
            <w:tcW w:w="2830" w:type="dxa"/>
          </w:tcPr>
          <w:p w:rsidR="009157CA" w:rsidRPr="00361189" w:rsidRDefault="009157CA" w:rsidP="0089312A">
            <w:pPr>
              <w:keepLines/>
              <w:rPr>
                <w:rFonts w:ascii="Arial Narrow" w:hAnsi="Arial Narrow"/>
                <w:sz w:val="20"/>
                <w:szCs w:val="20"/>
              </w:rPr>
            </w:pPr>
            <w:r w:rsidRPr="00361189">
              <w:rPr>
                <w:rFonts w:ascii="Arial Narrow" w:hAnsi="Arial Narrow"/>
                <w:sz w:val="20"/>
                <w:szCs w:val="20"/>
              </w:rPr>
              <w:t>Total cost SoC</w:t>
            </w:r>
          </w:p>
        </w:tc>
        <w:tc>
          <w:tcPr>
            <w:tcW w:w="993"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sz w:val="20"/>
                <w:szCs w:val="20"/>
              </w:rPr>
            </w:pPr>
            <w:r w:rsidRPr="00361189">
              <w:rPr>
                <w:rFonts w:ascii="Arial Narrow" w:hAnsi="Arial Narrow" w:cs="Calibri"/>
                <w:sz w:val="20"/>
                <w:szCs w:val="20"/>
              </w:rPr>
              <w:t>$</w:t>
            </w:r>
            <w:r w:rsidR="00E659B7">
              <w:rPr>
                <w:rFonts w:ascii="Arial Narrow" w:hAnsi="Arial Narrow" w:cs="Calibri"/>
                <w:noProof/>
                <w:color w:val="000000"/>
                <w:sz w:val="20"/>
                <w:szCs w:val="20"/>
                <w:highlight w:val="black"/>
              </w:rPr>
              <w:t>'''''''''''''''''''''''</w:t>
            </w:r>
          </w:p>
        </w:tc>
      </w:tr>
      <w:tr w:rsidR="009157CA" w:rsidRPr="00361189" w:rsidTr="00E4480C">
        <w:tc>
          <w:tcPr>
            <w:tcW w:w="2830" w:type="dxa"/>
          </w:tcPr>
          <w:p w:rsidR="009157CA" w:rsidRPr="00361189" w:rsidRDefault="009157CA" w:rsidP="0089312A">
            <w:pPr>
              <w:keepLines/>
              <w:rPr>
                <w:rFonts w:ascii="Arial Narrow" w:hAnsi="Arial Narrow"/>
                <w:b/>
                <w:sz w:val="20"/>
                <w:szCs w:val="20"/>
              </w:rPr>
            </w:pPr>
            <w:r w:rsidRPr="00361189">
              <w:rPr>
                <w:rFonts w:ascii="Arial Narrow" w:hAnsi="Arial Narrow"/>
                <w:b/>
                <w:sz w:val="20"/>
                <w:szCs w:val="20"/>
              </w:rPr>
              <w:t xml:space="preserve">Net cost to government </w:t>
            </w:r>
          </w:p>
        </w:tc>
        <w:tc>
          <w:tcPr>
            <w:tcW w:w="993"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cs="Calibri"/>
                <w:b/>
                <w:sz w:val="20"/>
                <w:szCs w:val="20"/>
              </w:rPr>
            </w:pPr>
            <w:r w:rsidRPr="00361189">
              <w:rPr>
                <w:rFonts w:ascii="Arial Narrow" w:hAnsi="Arial Narrow" w:cs="Calibri"/>
                <w:b/>
                <w:sz w:val="20"/>
                <w:szCs w:val="20"/>
              </w:rPr>
              <w:t>$</w:t>
            </w:r>
            <w:r w:rsidR="00E659B7">
              <w:rPr>
                <w:rFonts w:ascii="Arial Narrow" w:hAnsi="Arial Narrow" w:cs="Calibri"/>
                <w:b/>
                <w:noProof/>
                <w:color w:val="000000"/>
                <w:sz w:val="20"/>
                <w:szCs w:val="20"/>
                <w:highlight w:val="black"/>
              </w:rPr>
              <w:t>''''''''''''''''''</w:t>
            </w:r>
          </w:p>
        </w:tc>
      </w:tr>
      <w:tr w:rsidR="009157CA" w:rsidRPr="00361189" w:rsidTr="00E4480C">
        <w:tc>
          <w:tcPr>
            <w:tcW w:w="2830" w:type="dxa"/>
          </w:tcPr>
          <w:p w:rsidR="009157CA" w:rsidRPr="00361189" w:rsidRDefault="009157CA" w:rsidP="0089312A">
            <w:pPr>
              <w:keepLines/>
              <w:rPr>
                <w:rFonts w:ascii="Arial Narrow" w:hAnsi="Arial Narrow"/>
                <w:sz w:val="20"/>
                <w:szCs w:val="20"/>
              </w:rPr>
            </w:pPr>
            <w:r w:rsidRPr="00361189">
              <w:rPr>
                <w:rFonts w:ascii="Arial Narrow" w:hAnsi="Arial Narrow"/>
                <w:sz w:val="20"/>
                <w:szCs w:val="20"/>
              </w:rPr>
              <w:t xml:space="preserve">Previous submission </w:t>
            </w:r>
          </w:p>
        </w:tc>
        <w:tc>
          <w:tcPr>
            <w:tcW w:w="993"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c>
          <w:tcPr>
            <w:tcW w:w="1134"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c>
          <w:tcPr>
            <w:tcW w:w="992"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c>
          <w:tcPr>
            <w:tcW w:w="1084" w:type="dxa"/>
            <w:vAlign w:val="center"/>
          </w:tcPr>
          <w:p w:rsidR="009157CA" w:rsidRPr="00361189" w:rsidRDefault="009157CA" w:rsidP="0089312A">
            <w:pPr>
              <w:keepLines/>
              <w:jc w:val="center"/>
              <w:rPr>
                <w:rFonts w:ascii="Arial Narrow" w:hAnsi="Arial Narrow" w:cs="Calibri"/>
                <w:sz w:val="20"/>
                <w:szCs w:val="20"/>
              </w:rPr>
            </w:pPr>
            <w:r w:rsidRPr="00361189">
              <w:rPr>
                <w:rFonts w:ascii="Arial Narrow" w:eastAsia="TimesNewRoman" w:hAnsi="Arial Narrow" w:cstheme="minorHAnsi"/>
                <w:color w:val="000000"/>
                <w:sz w:val="20"/>
                <w:szCs w:val="20"/>
              </w:rPr>
              <w:t>$</w:t>
            </w:r>
            <w:r w:rsidR="00E659B7">
              <w:rPr>
                <w:rFonts w:ascii="Arial Narrow" w:eastAsia="TimesNewRoman" w:hAnsi="Arial Narrow" w:cstheme="minorHAnsi"/>
                <w:noProof/>
                <w:color w:val="000000"/>
                <w:sz w:val="20"/>
                <w:szCs w:val="20"/>
                <w:highlight w:val="black"/>
              </w:rPr>
              <w:t>''''''''''''''''''''''''''</w:t>
            </w:r>
          </w:p>
        </w:tc>
      </w:tr>
      <w:tr w:rsidR="005A512D" w:rsidRPr="00361189" w:rsidTr="00E4480C">
        <w:tc>
          <w:tcPr>
            <w:tcW w:w="2830" w:type="dxa"/>
          </w:tcPr>
          <w:p w:rsidR="005A512D" w:rsidRPr="00361189" w:rsidRDefault="007747AC" w:rsidP="0089312A">
            <w:pPr>
              <w:keepLines/>
              <w:rPr>
                <w:rFonts w:ascii="Arial Narrow" w:hAnsi="Arial Narrow"/>
                <w:sz w:val="20"/>
                <w:szCs w:val="20"/>
              </w:rPr>
            </w:pPr>
            <w:r w:rsidRPr="00361189">
              <w:rPr>
                <w:i/>
                <w:sz w:val="20"/>
                <w:szCs w:val="20"/>
              </w:rPr>
              <w:t>SMN2</w:t>
            </w:r>
            <w:r w:rsidR="00B9749A" w:rsidRPr="00361189">
              <w:rPr>
                <w:rFonts w:ascii="Arial Narrow" w:hAnsi="Arial Narrow"/>
                <w:sz w:val="20"/>
                <w:szCs w:val="20"/>
              </w:rPr>
              <w:t xml:space="preserve"> threshold ≤</w:t>
            </w:r>
            <w:r w:rsidR="005A512D" w:rsidRPr="00361189">
              <w:rPr>
                <w:rFonts w:ascii="Arial Narrow" w:hAnsi="Arial Narrow"/>
                <w:sz w:val="20"/>
                <w:szCs w:val="20"/>
              </w:rPr>
              <w:t>3</w:t>
            </w:r>
          </w:p>
        </w:tc>
        <w:tc>
          <w:tcPr>
            <w:tcW w:w="993"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134"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992"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c>
          <w:tcPr>
            <w:tcW w:w="1084" w:type="dxa"/>
            <w:vAlign w:val="center"/>
          </w:tcPr>
          <w:p w:rsidR="005A512D" w:rsidRPr="00361189" w:rsidRDefault="005A512D" w:rsidP="0089312A">
            <w:pPr>
              <w:keepLines/>
              <w:jc w:val="center"/>
              <w:rPr>
                <w:rFonts w:ascii="Arial Narrow" w:eastAsia="TimesNewRoman" w:hAnsi="Arial Narrow" w:cstheme="minorHAnsi"/>
                <w:i/>
                <w:color w:val="000000"/>
                <w:sz w:val="20"/>
                <w:szCs w:val="20"/>
              </w:rPr>
            </w:pPr>
            <w:r w:rsidRPr="00361189">
              <w:rPr>
                <w:rFonts w:ascii="Arial Narrow" w:hAnsi="Arial Narrow"/>
                <w:b/>
                <w:sz w:val="20"/>
                <w:szCs w:val="20"/>
              </w:rPr>
              <w:t>$</w:t>
            </w:r>
            <w:r w:rsidR="00E659B7">
              <w:rPr>
                <w:rFonts w:ascii="Arial Narrow" w:hAnsi="Arial Narrow"/>
                <w:b/>
                <w:noProof/>
                <w:color w:val="000000"/>
                <w:sz w:val="20"/>
                <w:szCs w:val="20"/>
                <w:highlight w:val="black"/>
              </w:rPr>
              <w:t>''''''''''''''''''</w:t>
            </w:r>
          </w:p>
        </w:tc>
      </w:tr>
    </w:tbl>
    <w:p w:rsidR="00620C25" w:rsidRPr="00361189" w:rsidRDefault="00620C25" w:rsidP="0089312A">
      <w:pPr>
        <w:pStyle w:val="TableFigureFooter"/>
        <w:rPr>
          <w:szCs w:val="20"/>
        </w:rPr>
      </w:pPr>
      <w:r w:rsidRPr="00361189">
        <w:t xml:space="preserve">Source: </w:t>
      </w:r>
      <w:r w:rsidR="009157CA" w:rsidRPr="00361189">
        <w:rPr>
          <w:szCs w:val="20"/>
        </w:rPr>
        <w:t xml:space="preserve">Table 4-6, p169, Table 4-7, p170, Table 4-8, p170, Table 4-9, p171, able 4-10, p172, Table 4-13, p173, Table 4-14, p174 </w:t>
      </w:r>
      <w:r w:rsidR="005A512D" w:rsidRPr="00361189">
        <w:rPr>
          <w:szCs w:val="20"/>
        </w:rPr>
        <w:t>and Table 4-17, p176</w:t>
      </w:r>
      <w:r w:rsidR="009157CA" w:rsidRPr="00361189">
        <w:rPr>
          <w:szCs w:val="20"/>
        </w:rPr>
        <w:t>of the resubmission, Table 4.2.6, 6.05.COM.82, Table 4.3.1, 6.05.COM.83 and Table 4.5.5, 6.05.COM.87, nusinersen July 2019 commentary, additional information extracted from Nusinersen Economic Moderl_March2020, p165-169 of the resubmission</w:t>
      </w:r>
      <w:r w:rsidR="00361189">
        <w:rPr>
          <w:szCs w:val="20"/>
        </w:rPr>
        <w:t xml:space="preserve">. </w:t>
      </w:r>
    </w:p>
    <w:p w:rsidR="004E1A1D" w:rsidRPr="00361189" w:rsidRDefault="00E4480C" w:rsidP="0089312A">
      <w:pPr>
        <w:pStyle w:val="TableFigureFooter"/>
        <w:rPr>
          <w:szCs w:val="20"/>
        </w:rPr>
      </w:pPr>
      <w:r w:rsidRPr="00361189">
        <w:rPr>
          <w:szCs w:val="20"/>
        </w:rPr>
        <w:t xml:space="preserve">SoC = standard of care </w:t>
      </w:r>
    </w:p>
    <w:p w:rsidR="004E1A1D" w:rsidRPr="00361189" w:rsidRDefault="004E1A1D" w:rsidP="00655E1E">
      <w:pPr>
        <w:pStyle w:val="TableFigureFooter"/>
        <w:tabs>
          <w:tab w:val="left" w:pos="284"/>
        </w:tabs>
        <w:ind w:left="284" w:hanging="284"/>
        <w:rPr>
          <w:szCs w:val="20"/>
        </w:rPr>
      </w:pPr>
      <w:r w:rsidRPr="00361189">
        <w:rPr>
          <w:szCs w:val="20"/>
          <w:vertAlign w:val="superscript"/>
        </w:rPr>
        <w:t>a</w:t>
      </w:r>
      <w:r w:rsidRPr="00361189">
        <w:rPr>
          <w:szCs w:val="20"/>
        </w:rPr>
        <w:tab/>
        <w:t xml:space="preserve">All patients assumed will use 6 scripts per year for initiation first year (incident patients) and 3 scripts per year for maintenance thereafter (prevalent patients), based on product information. Estimate assumes no mortality </w:t>
      </w:r>
    </w:p>
    <w:p w:rsidR="00E4480C" w:rsidRPr="00361189" w:rsidRDefault="00E4480C" w:rsidP="00655E1E">
      <w:pPr>
        <w:pStyle w:val="TableFigureFooter"/>
        <w:tabs>
          <w:tab w:val="left" w:pos="284"/>
        </w:tabs>
        <w:ind w:left="284" w:hanging="284"/>
        <w:rPr>
          <w:szCs w:val="20"/>
        </w:rPr>
      </w:pPr>
      <w:r w:rsidRPr="00361189">
        <w:rPr>
          <w:szCs w:val="20"/>
          <w:vertAlign w:val="superscript"/>
        </w:rPr>
        <w:t>b</w:t>
      </w:r>
      <w:r w:rsidRPr="00361189">
        <w:rPr>
          <w:szCs w:val="20"/>
        </w:rPr>
        <w:tab/>
        <w:t xml:space="preserve">Includes MBS administration costs, hospitalisation costs for management of post lumbar puncture syndrome and cost of </w:t>
      </w:r>
      <w:r w:rsidR="007747AC" w:rsidRPr="00361189">
        <w:rPr>
          <w:rFonts w:ascii="Calibri" w:hAnsi="Calibri"/>
          <w:i/>
          <w:szCs w:val="20"/>
        </w:rPr>
        <w:t>SMN2</w:t>
      </w:r>
      <w:r w:rsidRPr="00361189">
        <w:rPr>
          <w:szCs w:val="20"/>
        </w:rPr>
        <w:t xml:space="preserve"> copy number testing for patients who were not eligible for pre-symptomatic treatment (i.e. copy number ≥3)</w:t>
      </w:r>
    </w:p>
    <w:p w:rsidR="004E1A1D" w:rsidRPr="00EA6421" w:rsidRDefault="00EA6421" w:rsidP="00EA6421">
      <w:pPr>
        <w:pStyle w:val="3-BodyText"/>
        <w:numPr>
          <w:ilvl w:val="0"/>
          <w:numId w:val="0"/>
        </w:numPr>
        <w:ind w:left="720" w:hanging="720"/>
        <w:rPr>
          <w:i/>
        </w:rPr>
      </w:pPr>
      <w:r w:rsidRPr="00EA6421">
        <w:rPr>
          <w:i/>
        </w:rPr>
        <w:t xml:space="preserve">The redacted table shows that at Year 6, </w:t>
      </w:r>
      <w:r w:rsidR="00FF320E">
        <w:rPr>
          <w:i/>
        </w:rPr>
        <w:t xml:space="preserve">the estimated number of total incident patients was &lt; 500; </w:t>
      </w:r>
      <w:r w:rsidRPr="00EA6421">
        <w:rPr>
          <w:i/>
        </w:rPr>
        <w:t>the estimated number of scripts dispensed was &lt; 500 and the net cost to government in this submission, the previous submission and SMN2 threshold ≤3 would be $0 to &lt; $10 million.</w:t>
      </w:r>
    </w:p>
    <w:p w:rsidR="000902D9" w:rsidRPr="00361189" w:rsidRDefault="000902D9" w:rsidP="003B6B67">
      <w:pPr>
        <w:pStyle w:val="3-BodyText"/>
      </w:pPr>
      <w:r w:rsidRPr="00361189">
        <w:t xml:space="preserve">The total cost to the PBS/RPBS of </w:t>
      </w:r>
      <w:r w:rsidR="009157CA" w:rsidRPr="00361189">
        <w:t xml:space="preserve">extending the </w:t>
      </w:r>
      <w:r w:rsidRPr="00361189">
        <w:t xml:space="preserve">listing </w:t>
      </w:r>
      <w:r w:rsidR="009157CA" w:rsidRPr="00361189">
        <w:t xml:space="preserve">of nusinersen to include pre-symptomatic initiation of treatment </w:t>
      </w:r>
      <w:r w:rsidRPr="00361189">
        <w:t xml:space="preserve">was estimated </w:t>
      </w:r>
      <w:r w:rsidR="00A05C32" w:rsidRPr="00361189">
        <w:t>to be</w:t>
      </w:r>
      <w:r w:rsidRPr="00361189">
        <w:t xml:space="preserve"> </w:t>
      </w:r>
      <w:r w:rsidR="003B6B67">
        <w:t>$0 to &lt; $10</w:t>
      </w:r>
      <w:r w:rsidR="009157CA" w:rsidRPr="00361189">
        <w:t xml:space="preserve"> million</w:t>
      </w:r>
      <w:r w:rsidRPr="00361189">
        <w:t xml:space="preserve"> in Year 6, and a total of </w:t>
      </w:r>
      <w:r w:rsidR="003B6B67" w:rsidRPr="003B6B67">
        <w:t xml:space="preserve">$0 to &lt; $10 </w:t>
      </w:r>
      <w:r w:rsidR="009157CA" w:rsidRPr="00361189">
        <w:t>million</w:t>
      </w:r>
      <w:r w:rsidRPr="00361189">
        <w:t xml:space="preserve"> in the first 6 years of listing</w:t>
      </w:r>
      <w:r w:rsidR="009157CA" w:rsidRPr="00361189">
        <w:t xml:space="preserve">. </w:t>
      </w:r>
    </w:p>
    <w:p w:rsidR="003009A8" w:rsidRPr="00361189" w:rsidRDefault="00876BD1" w:rsidP="003009A8">
      <w:pPr>
        <w:pStyle w:val="3-BodyText"/>
      </w:pPr>
      <w:r w:rsidRPr="00361189">
        <w:t xml:space="preserve">The cost offsets may be overestimated due to the assumption that patients in SoC will initiate treatment as soon as they become symptomatic. </w:t>
      </w:r>
      <w:r w:rsidR="001E1C31" w:rsidRPr="00361189">
        <w:t xml:space="preserve">The ESC noted that cost offsets from SoC treatment were not true cost savings but rather a shifting of costs </w:t>
      </w:r>
      <w:r w:rsidR="00E02D46" w:rsidRPr="00361189">
        <w:t xml:space="preserve">to </w:t>
      </w:r>
      <w:r w:rsidR="001E1C31" w:rsidRPr="00361189">
        <w:t>earlier if nusinersen was listed for pre-symptomatic initiation of treatment.</w:t>
      </w:r>
      <w:r w:rsidR="005D53F4" w:rsidRPr="00361189">
        <w:t xml:space="preserve"> The ESC further noted that the estimates are based on all newborn babies in Australia being screened which is currently not the case.</w:t>
      </w:r>
    </w:p>
    <w:p w:rsidR="006B39BA" w:rsidRPr="00361189" w:rsidRDefault="006B39BA" w:rsidP="003009A8">
      <w:pPr>
        <w:pStyle w:val="3-BodyText"/>
      </w:pPr>
      <w:r w:rsidRPr="00361189">
        <w:lastRenderedPageBreak/>
        <w:t xml:space="preserve">The pre-PBAC Response </w:t>
      </w:r>
      <w:r w:rsidR="00F05AF2" w:rsidRPr="00361189">
        <w:t xml:space="preserve">stated that SMN1 testing costs were omitted from the financial estimates as this test </w:t>
      </w:r>
      <w:r w:rsidR="00CF30EB" w:rsidRPr="00361189">
        <w:t xml:space="preserve">is only offered to infants suspected to be at risk of SMA and </w:t>
      </w:r>
      <w:r w:rsidR="00F05AF2" w:rsidRPr="00361189">
        <w:t>would be conducted irrespective of the availability of nusinersen for pre-symptomatic initiation of treatment</w:t>
      </w:r>
      <w:r w:rsidR="00CF30EB" w:rsidRPr="00361189">
        <w:t xml:space="preserve">. </w:t>
      </w:r>
    </w:p>
    <w:p w:rsidR="00876BD1" w:rsidRPr="00361189" w:rsidRDefault="00876BD1" w:rsidP="0089312A">
      <w:pPr>
        <w:pStyle w:val="3-BodyText"/>
        <w:spacing w:after="0"/>
      </w:pPr>
      <w:r w:rsidRPr="00361189">
        <w:t>The overall financial impact in the resubmission was lower than the previous submission as:</w:t>
      </w:r>
    </w:p>
    <w:p w:rsidR="00876BD1" w:rsidRPr="00361189" w:rsidRDefault="00876BD1" w:rsidP="00600BA7">
      <w:pPr>
        <w:pStyle w:val="ListParagraph"/>
        <w:numPr>
          <w:ilvl w:val="0"/>
          <w:numId w:val="12"/>
        </w:numPr>
        <w:spacing w:after="0"/>
        <w:ind w:left="1134" w:hanging="425"/>
      </w:pPr>
      <w:r w:rsidRPr="00361189">
        <w:t xml:space="preserve">The previous submission assumed a </w:t>
      </w:r>
      <w:r w:rsidR="0077650B" w:rsidRPr="00361189">
        <w:t xml:space="preserve">higher </w:t>
      </w:r>
      <w:r w:rsidR="007747AC" w:rsidRPr="00361189">
        <w:rPr>
          <w:rFonts w:ascii="Calibri" w:hAnsi="Calibri"/>
          <w:i/>
        </w:rPr>
        <w:t>SMN2</w:t>
      </w:r>
      <w:r w:rsidRPr="00361189">
        <w:t xml:space="preserve"> threshold of </w:t>
      </w:r>
      <w:r w:rsidRPr="00361189">
        <w:rPr>
          <w:rFonts w:cstheme="minorHAnsi"/>
        </w:rPr>
        <w:t>≤</w:t>
      </w:r>
      <w:r w:rsidRPr="00361189">
        <w:t xml:space="preserve">3 compared to </w:t>
      </w:r>
      <w:r w:rsidRPr="00361189">
        <w:rPr>
          <w:rFonts w:cstheme="minorHAnsi"/>
        </w:rPr>
        <w:t>≤</w:t>
      </w:r>
      <w:r w:rsidRPr="00361189">
        <w:t>2 in the current resubmission; and</w:t>
      </w:r>
    </w:p>
    <w:p w:rsidR="00876BD1" w:rsidRPr="00361189" w:rsidRDefault="0077650B" w:rsidP="00600BA7">
      <w:pPr>
        <w:pStyle w:val="ListParagraph"/>
        <w:numPr>
          <w:ilvl w:val="0"/>
          <w:numId w:val="12"/>
        </w:numPr>
        <w:ind w:left="1134" w:hanging="425"/>
      </w:pPr>
      <w:r w:rsidRPr="00361189">
        <w:t>U</w:t>
      </w:r>
      <w:r w:rsidR="00876BD1" w:rsidRPr="00361189">
        <w:t xml:space="preserve">sing an alternative distribution of </w:t>
      </w:r>
      <w:r w:rsidR="007747AC" w:rsidRPr="00361189">
        <w:rPr>
          <w:rFonts w:ascii="Calibri" w:hAnsi="Calibri"/>
          <w:i/>
        </w:rPr>
        <w:t>SMN2</w:t>
      </w:r>
      <w:r w:rsidR="00876BD1" w:rsidRPr="00361189">
        <w:t xml:space="preserve"> by SMA type, the previous submission estimated far more Type II and IIIa patients (7 and 3 by Year 6, respectively) than the current resubmission (0.66 and 0.07, respectively)</w:t>
      </w:r>
      <w:r w:rsidR="00361189">
        <w:t xml:space="preserve">. </w:t>
      </w:r>
      <w:r w:rsidR="00876BD1" w:rsidRPr="00361189">
        <w:t>The additional number of doses used in pre-symptomatic initiation for Type II (4 doses in previous submission, average 4.35 in current resubmission) and Type IIIa (7 and 7.5 doses, respectively) were significantly higher than in Type I (1 and 1.5 doses, respectively)</w:t>
      </w:r>
      <w:r w:rsidR="00361189">
        <w:t xml:space="preserve">. </w:t>
      </w:r>
      <w:r w:rsidR="00876BD1" w:rsidRPr="00361189">
        <w:t xml:space="preserve"> </w:t>
      </w:r>
    </w:p>
    <w:p w:rsidR="008266B0" w:rsidRPr="00361189" w:rsidRDefault="005A512D" w:rsidP="004B0324">
      <w:pPr>
        <w:pStyle w:val="3-BodyText"/>
      </w:pPr>
      <w:bookmarkStart w:id="55" w:name="_Ref40702071"/>
      <w:r w:rsidRPr="00361189">
        <w:t>The resubmission also presented sensitivity analyses around the financial estimates assuming a</w:t>
      </w:r>
      <w:r w:rsidR="00D51ECD" w:rsidRPr="00361189">
        <w:t>n</w:t>
      </w:r>
      <w:r w:rsidRPr="00361189">
        <w:t xml:space="preserve"> </w:t>
      </w:r>
      <w:r w:rsidR="007747AC" w:rsidRPr="00361189">
        <w:rPr>
          <w:rFonts w:ascii="Calibri" w:hAnsi="Calibri"/>
          <w:i/>
        </w:rPr>
        <w:t>SMN2</w:t>
      </w:r>
      <w:r w:rsidRPr="00361189">
        <w:t xml:space="preserve"> copy number threshold of </w:t>
      </w:r>
      <w:r w:rsidRPr="00361189">
        <w:rPr>
          <w:rFonts w:cstheme="minorHAnsi"/>
        </w:rPr>
        <w:t>≤</w:t>
      </w:r>
      <w:r w:rsidRPr="00361189">
        <w:t>3, same as the previous submission</w:t>
      </w:r>
      <w:r w:rsidR="00361189">
        <w:t xml:space="preserve">. </w:t>
      </w:r>
      <w:r w:rsidRPr="00361189">
        <w:t xml:space="preserve">The estimated cost per year increased to </w:t>
      </w:r>
      <w:r w:rsidR="004B0324" w:rsidRPr="004B0324">
        <w:t xml:space="preserve">$0 to &lt; $10 </w:t>
      </w:r>
      <w:r w:rsidRPr="00361189">
        <w:t xml:space="preserve"> million by yea</w:t>
      </w:r>
      <w:r w:rsidR="0089312A" w:rsidRPr="00361189">
        <w:t>r 6 and $</w:t>
      </w:r>
      <w:r w:rsidR="004B0324">
        <w:t>50 to &lt; $60</w:t>
      </w:r>
      <w:r w:rsidR="004B0324" w:rsidRPr="00361189">
        <w:t xml:space="preserve"> </w:t>
      </w:r>
      <w:r w:rsidR="0089312A" w:rsidRPr="00361189">
        <w:t>million in the firs</w:t>
      </w:r>
      <w:r w:rsidRPr="00361189">
        <w:t>t 6 years of listing</w:t>
      </w:r>
      <w:r w:rsidR="00361189">
        <w:t xml:space="preserve">. </w:t>
      </w:r>
      <w:r w:rsidR="00234B85" w:rsidRPr="00361189">
        <w:t>These estimates were higher than the previous submission due to differences listed in</w:t>
      </w:r>
      <w:bookmarkEnd w:id="55"/>
      <w:r w:rsidR="00234B85" w:rsidRPr="00361189">
        <w:t xml:space="preserve"> </w:t>
      </w:r>
      <w:r w:rsidR="00234B85" w:rsidRPr="00B35832">
        <w:t xml:space="preserve">paragraph </w:t>
      </w:r>
      <w:r w:rsidR="00915344" w:rsidRPr="00B35832">
        <w:t>6.61</w:t>
      </w:r>
      <w:r w:rsidR="00234B85" w:rsidRPr="00B35832">
        <w:t xml:space="preserve"> and the</w:t>
      </w:r>
      <w:r w:rsidR="00234B85" w:rsidRPr="00361189">
        <w:t xml:space="preserve"> previous submission assumed much lower uptake of screening (30% in Year 1 and 2, 50% in Year 3, 80% in Year 4 and then 100% thereafter) in the first four years of listing, leading to smaller patient numbers and lower financial estimates</w:t>
      </w:r>
    </w:p>
    <w:p w:rsidR="00576972" w:rsidRPr="00361189" w:rsidRDefault="00576972" w:rsidP="00606FBA">
      <w:pPr>
        <w:pStyle w:val="4-SubsectionHeading"/>
      </w:pPr>
      <w:bookmarkStart w:id="56" w:name="_Toc22897648"/>
      <w:bookmarkStart w:id="57" w:name="_Toc40874427"/>
      <w:r w:rsidRPr="00361189">
        <w:t>Quality Use of Medicines</w:t>
      </w:r>
      <w:bookmarkEnd w:id="56"/>
      <w:bookmarkEnd w:id="57"/>
    </w:p>
    <w:p w:rsidR="00576972" w:rsidRPr="00361189" w:rsidRDefault="001B5BEF" w:rsidP="001B5BEF">
      <w:pPr>
        <w:pStyle w:val="3-BodyText"/>
      </w:pPr>
      <w:r w:rsidRPr="00361189">
        <w:t>No quality use of medicines issues were identified</w:t>
      </w:r>
      <w:r w:rsidR="00361189">
        <w:t xml:space="preserve">. </w:t>
      </w:r>
      <w:r w:rsidRPr="00361189">
        <w:t>Given the lack of evidence available, consideration with regards to collection of real world data may be relevant to the current resubmission.</w:t>
      </w:r>
    </w:p>
    <w:p w:rsidR="00576972" w:rsidRPr="00361189" w:rsidRDefault="00576972" w:rsidP="00606FBA">
      <w:pPr>
        <w:pStyle w:val="4-SubsectionHeading"/>
      </w:pPr>
      <w:bookmarkStart w:id="58" w:name="_Toc22897649"/>
      <w:bookmarkStart w:id="59" w:name="_Toc40874428"/>
      <w:r w:rsidRPr="00361189">
        <w:t>Financial Management – Risk Sharing Arrangements</w:t>
      </w:r>
      <w:bookmarkEnd w:id="58"/>
      <w:bookmarkEnd w:id="59"/>
    </w:p>
    <w:p w:rsidR="001B5BEF" w:rsidRPr="00361189" w:rsidRDefault="00E016F6" w:rsidP="001B5BEF">
      <w:pPr>
        <w:pStyle w:val="3-BodyText"/>
      </w:pPr>
      <w:r w:rsidRPr="00361189">
        <w:t>The s</w:t>
      </w:r>
      <w:r w:rsidR="001B5BEF" w:rsidRPr="00361189">
        <w:t>ponsor proposed that the expenditure cap</w:t>
      </w:r>
      <w:r w:rsidR="00006828" w:rsidRPr="00361189">
        <w:t>s</w:t>
      </w:r>
      <w:r w:rsidR="001B5BEF" w:rsidRPr="00361189">
        <w:t xml:space="preserve"> specified in the current Deed of Agreement for nusinersen remain unchanged, but </w:t>
      </w:r>
      <w:r w:rsidR="00793278" w:rsidRPr="00361189">
        <w:t xml:space="preserve">that the Deed of Agreement </w:t>
      </w:r>
      <w:r w:rsidR="001B5BEF" w:rsidRPr="00361189">
        <w:t>be amended to include the cost of patients treated under pre-symptomatic initiation</w:t>
      </w:r>
      <w:r w:rsidR="00361189">
        <w:t xml:space="preserve">. </w:t>
      </w:r>
    </w:p>
    <w:p w:rsidR="001B5BEF" w:rsidRPr="00361189" w:rsidRDefault="00E016F6" w:rsidP="001B5BEF">
      <w:pPr>
        <w:pStyle w:val="3-BodyText"/>
      </w:pPr>
      <w:r w:rsidRPr="00361189">
        <w:t>Additionally, the s</w:t>
      </w:r>
      <w:r w:rsidR="001B5BEF" w:rsidRPr="00361189">
        <w:t xml:space="preserve">ponsor </w:t>
      </w:r>
      <w:r w:rsidR="005D53F4" w:rsidRPr="00361189">
        <w:t xml:space="preserve">stated </w:t>
      </w:r>
      <w:r w:rsidR="001B5BEF" w:rsidRPr="00361189">
        <w:t xml:space="preserve">that the cost associated with any potential use of nusinersen </w:t>
      </w:r>
      <w:r w:rsidR="00793278" w:rsidRPr="00361189">
        <w:t xml:space="preserve">in patients who would otherwise never become eligible for treatment under </w:t>
      </w:r>
      <w:r w:rsidR="001B5BEF" w:rsidRPr="00361189">
        <w:t xml:space="preserve">the current PBS restriction </w:t>
      </w:r>
      <w:r w:rsidR="00006828" w:rsidRPr="00361189">
        <w:t>be</w:t>
      </w:r>
      <w:r w:rsidR="001B5BEF" w:rsidRPr="00361189">
        <w:t xml:space="preserve"> rebated to the Government, but no further details </w:t>
      </w:r>
      <w:r w:rsidR="0089312A" w:rsidRPr="00361189">
        <w:t>were</w:t>
      </w:r>
      <w:r w:rsidR="001B5BEF" w:rsidRPr="00361189">
        <w:t xml:space="preserve"> </w:t>
      </w:r>
      <w:r w:rsidR="0089312A" w:rsidRPr="00361189">
        <w:t>provided</w:t>
      </w:r>
      <w:r w:rsidR="00361189">
        <w:t xml:space="preserve">. </w:t>
      </w:r>
      <w:r w:rsidR="008D1CC1" w:rsidRPr="00361189">
        <w:t>T</w:t>
      </w:r>
      <w:r w:rsidR="00234B85" w:rsidRPr="00361189">
        <w:t>he cost of pre-symptomatic initiation of nusinersen in patients with Type IIIb and IV SMA were included in the costs presented</w:t>
      </w:r>
      <w:r w:rsidR="008D1CC1" w:rsidRPr="00361189">
        <w:t xml:space="preserve"> in the resubmission</w:t>
      </w:r>
      <w:r w:rsidR="00234B85" w:rsidRPr="00361189">
        <w:t>, with no mention of any rebates</w:t>
      </w:r>
      <w:r w:rsidR="00361189">
        <w:t xml:space="preserve">. </w:t>
      </w:r>
      <w:r w:rsidR="001B5BEF" w:rsidRPr="00361189">
        <w:t>In the previous submission, the Sponsor proposed that the cost of patients treated under the proposed restriction who would not have developed symptoms by the age of 3 years could be borne by the sponsor via an appropriate mutually agreed funding mechanism</w:t>
      </w:r>
      <w:r w:rsidR="00006828" w:rsidRPr="00361189">
        <w:t>.</w:t>
      </w:r>
    </w:p>
    <w:p w:rsidR="00E00D6D" w:rsidRPr="00361189" w:rsidRDefault="0019237B" w:rsidP="00E816F2">
      <w:pPr>
        <w:pStyle w:val="3-BodyText"/>
      </w:pPr>
      <w:r w:rsidRPr="00361189">
        <w:lastRenderedPageBreak/>
        <w:t xml:space="preserve">The PSCR </w:t>
      </w:r>
      <w:r w:rsidR="00210515" w:rsidRPr="00361189">
        <w:t xml:space="preserve">requested that the existing expenditure caps for nusinersen be adjusted to account for pre-symptomatic initiation of treatment as earlier dosing is expected to impact expenditure in each 12 month period. </w:t>
      </w:r>
      <w:r w:rsidR="008D5629" w:rsidRPr="00361189">
        <w:t xml:space="preserve">The ESC considered that any addition to the existing caps to account for pre-symptomatic initiation of treatment should not be made without a decrease in the existing caps proportional to the </w:t>
      </w:r>
      <w:r w:rsidR="002E5C51" w:rsidRPr="00361189">
        <w:t>cost for</w:t>
      </w:r>
      <w:r w:rsidR="008D5629" w:rsidRPr="00361189">
        <w:t xml:space="preserve"> patients</w:t>
      </w:r>
      <w:r w:rsidR="002E5C51" w:rsidRPr="00361189">
        <w:t xml:space="preserve"> estimated to be treated with nusinersen under the current </w:t>
      </w:r>
      <w:r w:rsidR="00342A4A" w:rsidRPr="00361189">
        <w:t>listing that</w:t>
      </w:r>
      <w:r w:rsidR="008D5629" w:rsidRPr="00361189">
        <w:t xml:space="preserve"> would </w:t>
      </w:r>
      <w:r w:rsidR="002E5C51" w:rsidRPr="00361189">
        <w:t>be expected to shift to pre-symptomatic initiation of treatment.</w:t>
      </w:r>
      <w:r w:rsidR="008D5629" w:rsidRPr="00361189">
        <w:t xml:space="preserve"> </w:t>
      </w:r>
    </w:p>
    <w:p w:rsidR="00D76E35" w:rsidRPr="00361189" w:rsidRDefault="00D76E35" w:rsidP="00D76E35">
      <w:pPr>
        <w:pStyle w:val="3-BodyText"/>
        <w:numPr>
          <w:ilvl w:val="0"/>
          <w:numId w:val="0"/>
        </w:numPr>
        <w:ind w:left="720"/>
      </w:pPr>
      <w:r w:rsidRPr="00361189">
        <w:rPr>
          <w:i/>
        </w:rPr>
        <w:t>For more detail on PBAC’s view, see section 7 PBAC outcome.</w:t>
      </w:r>
    </w:p>
    <w:p w:rsidR="00E816F2" w:rsidRPr="00361189" w:rsidRDefault="00E816F2" w:rsidP="00E816F2">
      <w:pPr>
        <w:pStyle w:val="2-SectionHeading"/>
      </w:pPr>
      <w:r w:rsidRPr="00361189">
        <w:t xml:space="preserve">PBAC Outcome </w:t>
      </w:r>
    </w:p>
    <w:p w:rsidR="00BD6113" w:rsidRPr="00361189" w:rsidRDefault="001028DD" w:rsidP="00E23B81">
      <w:pPr>
        <w:pStyle w:val="3-BodyText"/>
      </w:pPr>
      <w:r w:rsidRPr="00361189">
        <w:t>The PBAC recommended the</w:t>
      </w:r>
      <w:r w:rsidR="00647308">
        <w:t xml:space="preserve"> addition of pre-symptomatic initiation to the</w:t>
      </w:r>
      <w:r w:rsidRPr="00361189">
        <w:t xml:space="preserve"> current listing of nusinersen to include the pre-symptomatic initiation of treatment of patients</w:t>
      </w:r>
      <w:r w:rsidR="00D42990" w:rsidRPr="00361189">
        <w:t xml:space="preserve"> genetically diagnosed with SMA</w:t>
      </w:r>
      <w:r w:rsidR="007D57CC" w:rsidRPr="00361189">
        <w:t>,</w:t>
      </w:r>
      <w:r w:rsidR="00BD6113" w:rsidRPr="00361189">
        <w:t xml:space="preserve"> who have an SMN2 copy number of </w:t>
      </w:r>
      <w:r w:rsidR="00BD6113" w:rsidRPr="00361189">
        <w:rPr>
          <w:rFonts w:cstheme="minorHAnsi"/>
        </w:rPr>
        <w:t>≤</w:t>
      </w:r>
      <w:r w:rsidR="00BD6113" w:rsidRPr="00361189">
        <w:t>2</w:t>
      </w:r>
      <w:r w:rsidR="00D42990" w:rsidRPr="00361189">
        <w:t xml:space="preserve">. The PBAC considered that pre-symptomatic initiation of treatment with nusinersen would provide </w:t>
      </w:r>
      <w:r w:rsidR="006279A1" w:rsidRPr="00361189">
        <w:t xml:space="preserve">an additional benefit for some patients compared with </w:t>
      </w:r>
      <w:r w:rsidR="00086F6A" w:rsidRPr="00361189">
        <w:t xml:space="preserve">initiation upon development of </w:t>
      </w:r>
      <w:r w:rsidR="006279A1" w:rsidRPr="00361189">
        <w:t>symptom</w:t>
      </w:r>
      <w:r w:rsidR="00086F6A" w:rsidRPr="00361189">
        <w:t>s</w:t>
      </w:r>
      <w:r w:rsidR="006279A1" w:rsidRPr="00361189">
        <w:t>. The PBAC</w:t>
      </w:r>
      <w:r w:rsidR="00D104DD" w:rsidRPr="00361189">
        <w:t xml:space="preserve"> noted</w:t>
      </w:r>
      <w:r w:rsidR="006279A1" w:rsidRPr="00361189">
        <w:t xml:space="preserve"> </w:t>
      </w:r>
      <w:r w:rsidR="00E23B81" w:rsidRPr="00361189">
        <w:t>there was remaining uncertainty</w:t>
      </w:r>
      <w:r w:rsidR="006279A1" w:rsidRPr="00361189">
        <w:t xml:space="preserve"> </w:t>
      </w:r>
      <w:r w:rsidR="00127258" w:rsidRPr="00361189">
        <w:t>regarding</w:t>
      </w:r>
      <w:r w:rsidR="00E23B81" w:rsidRPr="00361189">
        <w:t xml:space="preserve"> the </w:t>
      </w:r>
      <w:r w:rsidR="006279A1" w:rsidRPr="00361189">
        <w:t>cost-effectiveness of presymptomatic initiation of nusinersen</w:t>
      </w:r>
      <w:r w:rsidR="00E23B81" w:rsidRPr="00361189">
        <w:t xml:space="preserve"> due to the uncertain magnitude of incremental benefit</w:t>
      </w:r>
      <w:r w:rsidR="00D104DD" w:rsidRPr="00361189">
        <w:t xml:space="preserve"> compared to symptomatic treatment</w:t>
      </w:r>
      <w:r w:rsidR="006279A1" w:rsidRPr="00361189">
        <w:t>. However, the PBAC</w:t>
      </w:r>
      <w:r w:rsidR="00D104DD" w:rsidRPr="00361189">
        <w:t xml:space="preserve"> was satisfied</w:t>
      </w:r>
      <w:r w:rsidR="00136BC9" w:rsidRPr="00361189">
        <w:t xml:space="preserve"> that extension of the</w:t>
      </w:r>
      <w:r w:rsidR="00D104DD" w:rsidRPr="00361189">
        <w:t xml:space="preserve"> current listing</w:t>
      </w:r>
      <w:r w:rsidR="004B6D43" w:rsidRPr="00361189">
        <w:t xml:space="preserve"> </w:t>
      </w:r>
      <w:r w:rsidR="00D104DD" w:rsidRPr="00361189">
        <w:t xml:space="preserve">would be adequately cost-effective </w:t>
      </w:r>
      <w:r w:rsidR="004B6D43" w:rsidRPr="00361189">
        <w:t>if the conditions specified in the existing Deed of Agreement were a</w:t>
      </w:r>
      <w:r w:rsidR="00136BC9" w:rsidRPr="00361189">
        <w:t xml:space="preserve">lso applied to </w:t>
      </w:r>
      <w:r w:rsidR="00D76DE9" w:rsidRPr="00361189">
        <w:t>the extended listing</w:t>
      </w:r>
      <w:r w:rsidR="00361189">
        <w:t xml:space="preserve">. </w:t>
      </w:r>
    </w:p>
    <w:p w:rsidR="000869B1" w:rsidRPr="00361189" w:rsidRDefault="000869B1" w:rsidP="00403819">
      <w:pPr>
        <w:pStyle w:val="3-BodyText"/>
      </w:pPr>
      <w:r w:rsidRPr="00361189">
        <w:t xml:space="preserve">The PBAC welcomed the consumer comments from patients, health professionals and organisations. The PBAC acknowledged that the current requirement for symptoms to develop prior to accessing subsidised treatment could have a significant burden on the families of infants genetically diagnosed with SMA. </w:t>
      </w:r>
    </w:p>
    <w:p w:rsidR="00E816F2" w:rsidRPr="00361189" w:rsidRDefault="00BD6113" w:rsidP="00BD6113">
      <w:pPr>
        <w:pStyle w:val="3-BodyText"/>
      </w:pPr>
      <w:r w:rsidRPr="00361189">
        <w:t xml:space="preserve">The PBAC recalled that MSAC considered the prognostic value was more reliable for infants with an SMN2 copy number of </w:t>
      </w:r>
      <w:r w:rsidRPr="00361189">
        <w:rPr>
          <w:rFonts w:cstheme="minorHAnsi"/>
        </w:rPr>
        <w:t>≤</w:t>
      </w:r>
      <w:r w:rsidRPr="00361189">
        <w:t xml:space="preserve">2. The PBAC also recalled that it previously considered it may be appropriate to restrict any future listing of nusinersen for the pre-symptomatic initiation of treatment to those with </w:t>
      </w:r>
      <w:r w:rsidRPr="00361189">
        <w:rPr>
          <w:rFonts w:cstheme="minorHAnsi"/>
        </w:rPr>
        <w:t>≤</w:t>
      </w:r>
      <w:r w:rsidRPr="00361189">
        <w:t>2 or less copies of SMN2 to manage the risk of overtreatment (i.e. treatment of patients who would have otherwise developed type IIIb or IV SMA).</w:t>
      </w:r>
    </w:p>
    <w:p w:rsidR="00F234FD" w:rsidRPr="00361189" w:rsidRDefault="0082230F" w:rsidP="00E23B81">
      <w:pPr>
        <w:pStyle w:val="3-BodyText"/>
      </w:pPr>
      <w:r w:rsidRPr="00361189">
        <w:t xml:space="preserve">The PBAC noted </w:t>
      </w:r>
      <w:r w:rsidR="00D46852" w:rsidRPr="00361189">
        <w:t>the February 2020 interim analysis of the NURTURE trial presented in the pre-PBAC Response, which represented a median follow-up of 3.8 years.</w:t>
      </w:r>
      <w:r w:rsidR="00B40D47" w:rsidRPr="00361189">
        <w:t xml:space="preserve"> The PBAC noted </w:t>
      </w:r>
      <w:r w:rsidR="008C65A5" w:rsidRPr="00361189">
        <w:t>at the time of the interim analysis, all patients</w:t>
      </w:r>
      <w:r w:rsidR="00005236" w:rsidRPr="00361189">
        <w:t xml:space="preserve"> (n=25)</w:t>
      </w:r>
      <w:r w:rsidR="008C65A5" w:rsidRPr="00361189">
        <w:t xml:space="preserve"> remained on treatment </w:t>
      </w:r>
      <w:r w:rsidR="00005236" w:rsidRPr="00361189">
        <w:t>without requirement for permanent ventilation and that there were no deaths. The PBAC also noted there was no loss of major motor milestones for an</w:t>
      </w:r>
      <w:r w:rsidR="00B40D47" w:rsidRPr="00361189">
        <w:t>y patients</w:t>
      </w:r>
      <w:r w:rsidR="00005236" w:rsidRPr="00361189">
        <w:t xml:space="preserve">. </w:t>
      </w:r>
      <w:r w:rsidR="001B760B" w:rsidRPr="00361189">
        <w:t>The PBAC considered that while the updated data provi</w:t>
      </w:r>
      <w:r w:rsidR="00B40D47" w:rsidRPr="00361189">
        <w:t xml:space="preserve">ded </w:t>
      </w:r>
      <w:r w:rsidR="005577EA" w:rsidRPr="00361189">
        <w:t xml:space="preserve">some </w:t>
      </w:r>
      <w:r w:rsidR="006276CE" w:rsidRPr="00361189">
        <w:t>assurance in</w:t>
      </w:r>
      <w:r w:rsidR="00B40D47" w:rsidRPr="00361189">
        <w:t xml:space="preserve"> the durability of response, the magnitude of incremental benefit compared with symptomatic treatment over a lifetime</w:t>
      </w:r>
      <w:r w:rsidR="00F234FD" w:rsidRPr="00361189">
        <w:t xml:space="preserve"> remains uncertain</w:t>
      </w:r>
      <w:r w:rsidR="00B40D47" w:rsidRPr="00361189">
        <w:t xml:space="preserve">. </w:t>
      </w:r>
      <w:r w:rsidR="00F234FD" w:rsidRPr="00361189">
        <w:t>The PBAC noted that comparative long-term data that would address this uncertainty was unlikely to be available in the future.</w:t>
      </w:r>
    </w:p>
    <w:p w:rsidR="00357684" w:rsidRPr="00361189" w:rsidRDefault="00357684" w:rsidP="00E23B81">
      <w:pPr>
        <w:pStyle w:val="3-BodyText"/>
      </w:pPr>
      <w:r w:rsidRPr="00361189">
        <w:lastRenderedPageBreak/>
        <w:t>The PBAC noted that no new safety signals from the NURTURE trial were identified at a median follow-up of 3.8 years</w:t>
      </w:r>
      <w:r w:rsidR="00B436D6" w:rsidRPr="00361189">
        <w:t>.</w:t>
      </w:r>
      <w:r w:rsidR="00C2381B" w:rsidRPr="00361189">
        <w:t xml:space="preserve"> The PBAC noted that the safety of a lifetime treatment with nusinersen was unknown. </w:t>
      </w:r>
    </w:p>
    <w:p w:rsidR="00A741EA" w:rsidRPr="00361189" w:rsidRDefault="00A741EA" w:rsidP="00AF2076">
      <w:pPr>
        <w:pStyle w:val="3-BodyText"/>
      </w:pPr>
      <w:r w:rsidRPr="00361189">
        <w:t xml:space="preserve">The PBAC noted </w:t>
      </w:r>
      <w:r w:rsidR="00364B1E" w:rsidRPr="00361189">
        <w:t xml:space="preserve">that the revised economic analysis </w:t>
      </w:r>
      <w:r w:rsidR="009A784F" w:rsidRPr="00361189">
        <w:t xml:space="preserve">used a </w:t>
      </w:r>
      <w:r w:rsidR="006B0DEB" w:rsidRPr="00361189">
        <w:t>time horizon of 20 years</w:t>
      </w:r>
      <w:r w:rsidR="009A784F" w:rsidRPr="00361189">
        <w:t xml:space="preserve"> and incorporated</w:t>
      </w:r>
      <w:r w:rsidR="00323D26" w:rsidRPr="00361189">
        <w:t xml:space="preserve"> an assumption of a 0.2 utility </w:t>
      </w:r>
      <w:r w:rsidR="006B0DEB" w:rsidRPr="00361189">
        <w:t>gain, which</w:t>
      </w:r>
      <w:r w:rsidR="00323D26" w:rsidRPr="00361189">
        <w:t xml:space="preserve"> decreased linea</w:t>
      </w:r>
      <w:r w:rsidR="00AB130D" w:rsidRPr="00361189">
        <w:t>rly to 0 over the time horizon.</w:t>
      </w:r>
      <w:r w:rsidR="006B0DEB" w:rsidRPr="00361189">
        <w:t xml:space="preserve"> The PBAC noted that the ICER (corrected for errors) was estimated to be $</w:t>
      </w:r>
      <w:r w:rsidR="0082057D">
        <w:t>115,000 to &lt; $135,000</w:t>
      </w:r>
      <w:r w:rsidR="006B0DEB" w:rsidRPr="00361189">
        <w:t xml:space="preserve">/QALY. </w:t>
      </w:r>
      <w:r w:rsidR="00AB130D" w:rsidRPr="00361189">
        <w:t xml:space="preserve">The PBAC considered that while the revised economic model was more conservative </w:t>
      </w:r>
      <w:r w:rsidR="006D031F" w:rsidRPr="00361189">
        <w:t>than that of the previous submission,</w:t>
      </w:r>
      <w:r w:rsidR="0083331F" w:rsidRPr="00361189">
        <w:t xml:space="preserve"> there was remaining uncertainty </w:t>
      </w:r>
      <w:r w:rsidR="00E26F6A" w:rsidRPr="00361189">
        <w:t>regarding</w:t>
      </w:r>
      <w:r w:rsidR="0083331F" w:rsidRPr="00361189">
        <w:t xml:space="preserve"> the estimated ICER</w:t>
      </w:r>
      <w:r w:rsidR="00EE4AD2" w:rsidRPr="00361189">
        <w:t xml:space="preserve"> as the </w:t>
      </w:r>
      <w:r w:rsidR="00577A5D" w:rsidRPr="00361189">
        <w:t xml:space="preserve">model inputs were assumptions. </w:t>
      </w:r>
      <w:r w:rsidR="00D36A38" w:rsidRPr="00361189">
        <w:t xml:space="preserve">The PBAC noted </w:t>
      </w:r>
      <w:r w:rsidR="00577A5D" w:rsidRPr="00361189">
        <w:t xml:space="preserve">the </w:t>
      </w:r>
      <w:r w:rsidR="00845E74" w:rsidRPr="00361189">
        <w:t xml:space="preserve">ICER </w:t>
      </w:r>
      <w:r w:rsidR="004B3B00" w:rsidRPr="00361189">
        <w:t>was sensitive to</w:t>
      </w:r>
      <w:r w:rsidR="00577A5D" w:rsidRPr="00361189">
        <w:t xml:space="preserve"> </w:t>
      </w:r>
      <w:r w:rsidR="008845B4" w:rsidRPr="00361189">
        <w:t xml:space="preserve">the </w:t>
      </w:r>
      <w:r w:rsidR="00577A5D" w:rsidRPr="00361189">
        <w:t>survival of SMA type I patients, who</w:t>
      </w:r>
      <w:r w:rsidR="008845B4" w:rsidRPr="00361189">
        <w:t xml:space="preserve"> are estimated to</w:t>
      </w:r>
      <w:r w:rsidR="00577A5D" w:rsidRPr="00361189">
        <w:t xml:space="preserve"> account for the majority (89.56%) of patients with</w:t>
      </w:r>
      <w:r w:rsidR="008845B4" w:rsidRPr="00361189">
        <w:t xml:space="preserve"> an SMN2 copy number of </w:t>
      </w:r>
      <w:r w:rsidR="008845B4" w:rsidRPr="00361189">
        <w:rPr>
          <w:rFonts w:cstheme="minorHAnsi"/>
        </w:rPr>
        <w:t>≤</w:t>
      </w:r>
      <w:r w:rsidR="008845B4" w:rsidRPr="00361189">
        <w:t>2</w:t>
      </w:r>
      <w:r w:rsidR="00D36A38" w:rsidRPr="00361189">
        <w:t xml:space="preserve"> and that the ICER increased to $</w:t>
      </w:r>
      <w:r w:rsidR="0082057D">
        <w:t>255,000 to $355,000</w:t>
      </w:r>
      <w:r w:rsidR="00D36A38" w:rsidRPr="00361189">
        <w:t>/QALY when a 16% annual mortality was applied to SMA type I patients</w:t>
      </w:r>
      <w:r w:rsidR="00361189">
        <w:t xml:space="preserve">. </w:t>
      </w:r>
      <w:r w:rsidR="00845E74" w:rsidRPr="00361189">
        <w:t xml:space="preserve">The </w:t>
      </w:r>
      <w:r w:rsidR="00B16397" w:rsidRPr="00361189">
        <w:t xml:space="preserve">PBAC considered that the most appropriate mortality </w:t>
      </w:r>
      <w:r w:rsidR="0086476C" w:rsidRPr="00361189">
        <w:t>rate to apply to SMA Type I patients in the model was u</w:t>
      </w:r>
      <w:r w:rsidR="000C5E59" w:rsidRPr="00361189">
        <w:t>ncertain given the lack of long-</w:t>
      </w:r>
      <w:r w:rsidR="0086476C" w:rsidRPr="00361189">
        <w:t xml:space="preserve">term data however, considered that the omission of </w:t>
      </w:r>
      <w:r w:rsidR="00F84BC6" w:rsidRPr="00361189">
        <w:t>SMA related mortality from the model likely overestimated survival</w:t>
      </w:r>
      <w:r w:rsidR="00E54B5E" w:rsidRPr="00361189">
        <w:t>,</w:t>
      </w:r>
      <w:r w:rsidR="00F84BC6" w:rsidRPr="00361189">
        <w:t xml:space="preserve"> noting median OS is 85.75 years in the resubmission’</w:t>
      </w:r>
      <w:r w:rsidR="00FA38D3" w:rsidRPr="00361189">
        <w:t>s base case.</w:t>
      </w:r>
      <w:r w:rsidR="00E54B5E" w:rsidRPr="00361189">
        <w:t xml:space="preserve"> The PBAC also noted that the ICER was sensitive to the </w:t>
      </w:r>
      <w:r w:rsidR="004B3B00" w:rsidRPr="00361189">
        <w:t>assum</w:t>
      </w:r>
      <w:r w:rsidR="00E26F6A" w:rsidRPr="00361189">
        <w:t>ed</w:t>
      </w:r>
      <w:r w:rsidR="004B3B00" w:rsidRPr="00361189">
        <w:t xml:space="preserve"> utility gain and that the assumption of </w:t>
      </w:r>
      <w:r w:rsidR="000531AE" w:rsidRPr="00361189">
        <w:t>a linear decrease in utility gain over the</w:t>
      </w:r>
      <w:r w:rsidR="00581459" w:rsidRPr="00361189">
        <w:t xml:space="preserve"> 20-year</w:t>
      </w:r>
      <w:r w:rsidR="000531AE" w:rsidRPr="00361189">
        <w:t xml:space="preserve"> time horizon</w:t>
      </w:r>
      <w:r w:rsidR="00581459" w:rsidRPr="00361189">
        <w:t xml:space="preserve"> resulted in the ICER increasing with both a shorter and longer time horizon.</w:t>
      </w:r>
      <w:r w:rsidR="00FA38D3" w:rsidRPr="00361189">
        <w:t xml:space="preserve"> Overall, the PBAC </w:t>
      </w:r>
      <w:r w:rsidR="000251B5" w:rsidRPr="00361189">
        <w:t xml:space="preserve">was uncertain that the model structure </w:t>
      </w:r>
      <w:r w:rsidR="00031E4E" w:rsidRPr="00361189">
        <w:t xml:space="preserve">accurately reflected </w:t>
      </w:r>
      <w:r w:rsidR="003B4867" w:rsidRPr="00361189">
        <w:t>the progr</w:t>
      </w:r>
      <w:r w:rsidR="00031E4E" w:rsidRPr="00361189">
        <w:t xml:space="preserve">ession </w:t>
      </w:r>
      <w:r w:rsidR="003B4867" w:rsidRPr="00361189">
        <w:t xml:space="preserve">of SMA. </w:t>
      </w:r>
      <w:r w:rsidR="00AF2076" w:rsidRPr="00361189">
        <w:t xml:space="preserve">In light of these uncertainties, the PBAC advised that the rebate of </w:t>
      </w:r>
      <w:r w:rsidR="00E659B7">
        <w:rPr>
          <w:noProof/>
          <w:color w:val="000000"/>
          <w:highlight w:val="black"/>
        </w:rPr>
        <w:t>'''''''' '''' '''''''' ''''''''''''' '''''''''''</w:t>
      </w:r>
      <w:r w:rsidR="00AF2076" w:rsidRPr="00361189">
        <w:t xml:space="preserve">, which currently applies for symptomatic treatment of SMA Type II or IIIa, </w:t>
      </w:r>
      <w:r w:rsidR="00634E1F" w:rsidRPr="00361189">
        <w:t xml:space="preserve">would need to be </w:t>
      </w:r>
      <w:r w:rsidR="00F5021E" w:rsidRPr="00361189">
        <w:t>extended</w:t>
      </w:r>
      <w:r w:rsidR="00AF2076" w:rsidRPr="00361189">
        <w:t xml:space="preserve"> to all patients who initiate treatment prior to the onset of symptoms</w:t>
      </w:r>
      <w:r w:rsidR="00634E1F" w:rsidRPr="00361189">
        <w:t>,</w:t>
      </w:r>
      <w:r w:rsidR="00AF2076" w:rsidRPr="00361189">
        <w:t xml:space="preserve"> to achieve cost-effectiveness in this treatment setting. </w:t>
      </w:r>
    </w:p>
    <w:p w:rsidR="00170269" w:rsidRPr="00361189" w:rsidRDefault="00060EBD" w:rsidP="00151FCA">
      <w:pPr>
        <w:pStyle w:val="3-BodyText"/>
      </w:pPr>
      <w:r w:rsidRPr="00361189">
        <w:t xml:space="preserve">The PBAC </w:t>
      </w:r>
      <w:r w:rsidR="0025371A" w:rsidRPr="00361189">
        <w:t>noted the total</w:t>
      </w:r>
      <w:r w:rsidR="004B705D" w:rsidRPr="00361189">
        <w:t xml:space="preserve"> estimated</w:t>
      </w:r>
      <w:r w:rsidR="0025371A" w:rsidRPr="00361189">
        <w:t xml:space="preserve"> cost of extending the</w:t>
      </w:r>
      <w:r w:rsidRPr="00361189">
        <w:t xml:space="preserve"> </w:t>
      </w:r>
      <w:r w:rsidR="0025371A" w:rsidRPr="00361189">
        <w:t>listing of nusinersen to include pre-symptomatic initiation of treatment</w:t>
      </w:r>
      <w:r w:rsidR="004B705D" w:rsidRPr="00361189">
        <w:t>,</w:t>
      </w:r>
      <w:r w:rsidR="0025371A" w:rsidRPr="00361189">
        <w:t xml:space="preserve"> was</w:t>
      </w:r>
      <w:r w:rsidR="004B705D" w:rsidRPr="00361189">
        <w:t xml:space="preserve"> </w:t>
      </w:r>
      <w:r w:rsidR="00151FCA" w:rsidRPr="00151FCA">
        <w:t xml:space="preserve">$0 to &lt; $10 </w:t>
      </w:r>
      <w:r w:rsidR="0025371A" w:rsidRPr="00361189">
        <w:t xml:space="preserve"> million over the first 6 years of listing.</w:t>
      </w:r>
      <w:r w:rsidR="00EE2F09" w:rsidRPr="00361189">
        <w:t xml:space="preserve"> </w:t>
      </w:r>
      <w:r w:rsidR="00656C8E" w:rsidRPr="00361189">
        <w:t xml:space="preserve">The PBAC considered that </w:t>
      </w:r>
      <w:r w:rsidR="00BC37CA" w:rsidRPr="00361189">
        <w:t xml:space="preserve">the uncertainties in the financial estimates could be </w:t>
      </w:r>
      <w:r w:rsidR="00887F57" w:rsidRPr="00361189">
        <w:t xml:space="preserve">managed </w:t>
      </w:r>
      <w:r w:rsidR="00D76DE9" w:rsidRPr="00361189">
        <w:t>by including the</w:t>
      </w:r>
      <w:r w:rsidR="000B3F7E" w:rsidRPr="00361189">
        <w:t xml:space="preserve"> extended listing</w:t>
      </w:r>
      <w:r w:rsidR="0041188C" w:rsidRPr="00361189">
        <w:t xml:space="preserve"> in the current Risk Sharing Arrangement in place for nusinersen. </w:t>
      </w:r>
      <w:r w:rsidR="00DD159A" w:rsidRPr="00361189">
        <w:t>The PBAC advised that any adjustments to the current caps to account for pre-symptomatic initiation of treatment should be made in conjunction w</w:t>
      </w:r>
      <w:r w:rsidR="001D6998" w:rsidRPr="00361189">
        <w:t>ith a corresponding decrease to account for patients who would have received treat</w:t>
      </w:r>
      <w:r w:rsidR="0003467A" w:rsidRPr="00361189">
        <w:t>ment under the current listing.</w:t>
      </w:r>
    </w:p>
    <w:p w:rsidR="00634E1F" w:rsidRPr="00361189" w:rsidRDefault="000C77D5" w:rsidP="00AF2076">
      <w:pPr>
        <w:pStyle w:val="3-BodyText"/>
      </w:pPr>
      <w:r w:rsidRPr="00361189">
        <w:t xml:space="preserve">The PBAC noted that access to newborn screening for SMA remained an outstanding issue </w:t>
      </w:r>
      <w:r w:rsidR="00AA0E20" w:rsidRPr="00361189">
        <w:t xml:space="preserve">as only NSW and ACT have a newborn screening program for SMA in place currently. </w:t>
      </w:r>
      <w:r w:rsidR="00BD7CC5" w:rsidRPr="00361189">
        <w:t xml:space="preserve">Further, the PBAC noted </w:t>
      </w:r>
      <w:r w:rsidR="00A06AA6" w:rsidRPr="00361189">
        <w:t xml:space="preserve">that implementation of any screening program was the responsibility of individual states and territories and as such, Australia wide availability of newborn screening for SMA may not be available for some time. </w:t>
      </w:r>
      <w:r w:rsidR="002A746C" w:rsidRPr="00361189">
        <w:t xml:space="preserve">However, the PBAC </w:t>
      </w:r>
      <w:r w:rsidR="004B6081" w:rsidRPr="00361189">
        <w:t xml:space="preserve">acknowledged that </w:t>
      </w:r>
      <w:r w:rsidR="00BC5DB7" w:rsidRPr="00361189">
        <w:t xml:space="preserve">overall, </w:t>
      </w:r>
      <w:r w:rsidR="004B6081" w:rsidRPr="00361189">
        <w:t xml:space="preserve">the </w:t>
      </w:r>
      <w:r w:rsidR="006B057D" w:rsidRPr="00361189">
        <w:t>clinical management and diagnosis of SMA was evolving w</w:t>
      </w:r>
      <w:r w:rsidR="00BC5DB7" w:rsidRPr="00361189">
        <w:t>ith increasing awareness of SMA.</w:t>
      </w:r>
      <w:r w:rsidR="00522B1C">
        <w:t xml:space="preserve"> Nevertheless, the PBAC advised that</w:t>
      </w:r>
      <w:r w:rsidR="002B1576">
        <w:t>, reflecting ESC’s advice,</w:t>
      </w:r>
      <w:r w:rsidR="00522B1C">
        <w:t xml:space="preserve"> the adjustment to the RSA caps should reflect the </w:t>
      </w:r>
      <w:r w:rsidR="00522B1C">
        <w:lastRenderedPageBreak/>
        <w:t xml:space="preserve">current newborn screening practice rather than </w:t>
      </w:r>
      <w:r w:rsidR="002B1576">
        <w:t xml:space="preserve">be based on </w:t>
      </w:r>
      <w:r w:rsidR="00522B1C">
        <w:t>the submission’s assumption of nation-wide newborn screening.</w:t>
      </w:r>
    </w:p>
    <w:p w:rsidR="00A9011D" w:rsidRPr="00361189" w:rsidRDefault="007B0AE2" w:rsidP="00E23B81">
      <w:pPr>
        <w:pStyle w:val="3-BodyText"/>
      </w:pPr>
      <w:r w:rsidRPr="00361189">
        <w:t>The PBAC advised that pre-symptomatic initiation of treatment should be limited to patients less than three years of age</w:t>
      </w:r>
      <w:r w:rsidR="00361189">
        <w:t xml:space="preserve">. </w:t>
      </w:r>
    </w:p>
    <w:p w:rsidR="00DC1461" w:rsidRPr="00361189" w:rsidRDefault="00702B4B" w:rsidP="00E23B81">
      <w:pPr>
        <w:pStyle w:val="3-BodyText"/>
      </w:pPr>
      <w:r w:rsidRPr="00361189">
        <w:t xml:space="preserve">The PBAC considered </w:t>
      </w:r>
      <w:r w:rsidR="003E1923" w:rsidRPr="00361189">
        <w:t>it would be appropriate to limit the maximum quantity to one pack with no repeats for continuing treatment, consistent with the current listings</w:t>
      </w:r>
      <w:r w:rsidR="00361189">
        <w:t xml:space="preserve">. </w:t>
      </w:r>
    </w:p>
    <w:p w:rsidR="008E0806" w:rsidRDefault="008E0806" w:rsidP="00E23B81">
      <w:pPr>
        <w:pStyle w:val="3-BodyText"/>
      </w:pPr>
      <w:r w:rsidRPr="00361189">
        <w:t xml:space="preserve">The PBAC noted that this submission is not eligible for an independent review as it received a positive recommendation. </w:t>
      </w:r>
    </w:p>
    <w:p w:rsidR="00614BD1" w:rsidRPr="00B1054A" w:rsidRDefault="00614BD1" w:rsidP="00614BD1">
      <w:pPr>
        <w:pStyle w:val="3-BodyText"/>
        <w:rPr>
          <w:snapToGrid/>
        </w:rPr>
      </w:pPr>
      <w:r w:rsidRPr="00B1054A">
        <w:rPr>
          <w:snapToGrid/>
        </w:rPr>
        <w:t xml:space="preserve">The PBAC found that the criteria prescribed by the </w:t>
      </w:r>
      <w:r w:rsidRPr="00614BD1">
        <w:rPr>
          <w:i/>
          <w:snapToGrid/>
        </w:rPr>
        <w:t>National Health (Pharmaceutical and Vaccines – Cost Recovery) Regulations 2009</w:t>
      </w:r>
      <w:r w:rsidRPr="00B1054A">
        <w:rPr>
          <w:snapToGrid/>
        </w:rPr>
        <w:t xml:space="preserve"> for Pricing Pathway A were not met. Specifically, the PBAC found that in the circumstances of its recommendation for </w:t>
      </w:r>
      <w:r>
        <w:rPr>
          <w:snapToGrid/>
        </w:rPr>
        <w:t>nusinersen</w:t>
      </w:r>
      <w:r w:rsidRPr="00B1054A">
        <w:rPr>
          <w:snapToGrid/>
        </w:rPr>
        <w:t>:</w:t>
      </w:r>
    </w:p>
    <w:p w:rsidR="00614BD1" w:rsidRPr="00B1054A" w:rsidRDefault="00614BD1" w:rsidP="00614BD1">
      <w:pPr>
        <w:pStyle w:val="3-BodyText"/>
        <w:numPr>
          <w:ilvl w:val="1"/>
          <w:numId w:val="32"/>
        </w:numPr>
        <w:ind w:left="964" w:hanging="284"/>
      </w:pPr>
      <w:r w:rsidRPr="00B1054A">
        <w:t>The treatment is expected to provide a substantial and clinically relevant improvement in efficacy over SoC;</w:t>
      </w:r>
    </w:p>
    <w:p w:rsidR="00614BD1" w:rsidRPr="00B1054A" w:rsidRDefault="00614BD1" w:rsidP="00614BD1">
      <w:pPr>
        <w:pStyle w:val="3-BodyText"/>
        <w:numPr>
          <w:ilvl w:val="1"/>
          <w:numId w:val="32"/>
        </w:numPr>
        <w:ind w:left="964" w:hanging="284"/>
      </w:pPr>
      <w:r w:rsidRPr="00B1054A">
        <w:t xml:space="preserve">The treatment is </w:t>
      </w:r>
      <w:r>
        <w:t>not expected</w:t>
      </w:r>
      <w:r w:rsidRPr="00B1054A">
        <w:t xml:space="preserve"> to address a high and urgent unmet clinical need; and </w:t>
      </w:r>
    </w:p>
    <w:p w:rsidR="00614BD1" w:rsidRPr="004B33CB" w:rsidRDefault="00614BD1" w:rsidP="00614BD1">
      <w:pPr>
        <w:pStyle w:val="3-BodyText"/>
        <w:numPr>
          <w:ilvl w:val="1"/>
          <w:numId w:val="32"/>
        </w:numPr>
        <w:ind w:left="964" w:hanging="284"/>
      </w:pPr>
      <w:r w:rsidRPr="00B1054A">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rsidR="00614BD1" w:rsidRPr="00361189" w:rsidRDefault="00614BD1" w:rsidP="00614BD1">
      <w:pPr>
        <w:pStyle w:val="3-BodyText"/>
        <w:numPr>
          <w:ilvl w:val="0"/>
          <w:numId w:val="0"/>
        </w:numPr>
        <w:ind w:left="720"/>
      </w:pPr>
    </w:p>
    <w:p w:rsidR="00E816F2" w:rsidRPr="00361189" w:rsidRDefault="00E816F2" w:rsidP="00E816F2">
      <w:pPr>
        <w:spacing w:before="240"/>
        <w:rPr>
          <w:rFonts w:asciiTheme="minorHAnsi" w:hAnsiTheme="minorHAnsi"/>
          <w:b/>
          <w:bCs/>
          <w:snapToGrid w:val="0"/>
        </w:rPr>
      </w:pPr>
      <w:r w:rsidRPr="00361189">
        <w:rPr>
          <w:rFonts w:asciiTheme="minorHAnsi" w:hAnsiTheme="minorHAnsi"/>
          <w:b/>
          <w:bCs/>
          <w:snapToGrid w:val="0"/>
        </w:rPr>
        <w:t>Outcome:</w:t>
      </w:r>
    </w:p>
    <w:p w:rsidR="00E816F2" w:rsidRPr="00002B65" w:rsidRDefault="00002B65" w:rsidP="00002B65">
      <w:pPr>
        <w:rPr>
          <w:rFonts w:asciiTheme="minorHAnsi" w:hAnsiTheme="minorHAnsi"/>
          <w:bCs/>
          <w:snapToGrid w:val="0"/>
        </w:rPr>
      </w:pPr>
      <w:r>
        <w:rPr>
          <w:rFonts w:asciiTheme="minorHAnsi" w:hAnsiTheme="minorHAnsi"/>
          <w:bCs/>
          <w:snapToGrid w:val="0"/>
        </w:rPr>
        <w:t xml:space="preserve">Recommended </w:t>
      </w:r>
    </w:p>
    <w:p w:rsidR="00B713BC" w:rsidRPr="00361189" w:rsidRDefault="00B713BC" w:rsidP="00B713BC">
      <w:pPr>
        <w:pStyle w:val="2-SectionHeading"/>
      </w:pPr>
      <w:r w:rsidRPr="00361189">
        <w:t>Recommended listing</w:t>
      </w:r>
    </w:p>
    <w:p w:rsidR="00B713BC" w:rsidRDefault="00B713BC" w:rsidP="00B83B6E">
      <w:pPr>
        <w:pStyle w:val="3-BodyText"/>
      </w:pPr>
      <w:r w:rsidRPr="00361189">
        <w:t>Add new</w:t>
      </w:r>
      <w:r w:rsidR="00A00643">
        <w:t xml:space="preserve"> PBS indication with one </w:t>
      </w:r>
      <w:r w:rsidR="00C42A97">
        <w:t>new treatment phase as follows:</w:t>
      </w:r>
    </w:p>
    <w:p w:rsidR="00A00643" w:rsidRPr="00667C9C" w:rsidRDefault="00A00643" w:rsidP="00A00643">
      <w:pPr>
        <w:spacing w:after="120"/>
        <w:rPr>
          <w:rFonts w:ascii="Arial Narrow" w:hAnsi="Arial Narrow"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1719"/>
        <w:gridCol w:w="1003"/>
        <w:gridCol w:w="860"/>
        <w:gridCol w:w="716"/>
        <w:gridCol w:w="1573"/>
      </w:tblGrid>
      <w:tr w:rsidR="00BA1C0B" w:rsidRPr="009A610D" w:rsidTr="009350BA">
        <w:trPr>
          <w:cantSplit/>
          <w:trHeight w:val="471"/>
        </w:trPr>
        <w:tc>
          <w:tcPr>
            <w:tcW w:w="1745" w:type="pct"/>
            <w:tcBorders>
              <w:bottom w:val="single" w:sz="4" w:space="0" w:color="auto"/>
            </w:tcBorders>
          </w:tcPr>
          <w:p w:rsidR="00BA1C0B" w:rsidRPr="009A610D" w:rsidRDefault="00BA1C0B" w:rsidP="00BA1C0B">
            <w:pPr>
              <w:keepNext/>
              <w:ind w:left="-108"/>
              <w:jc w:val="left"/>
              <w:rPr>
                <w:rFonts w:ascii="Arial Narrow" w:hAnsi="Arial Narrow"/>
                <w:b/>
                <w:sz w:val="18"/>
                <w:szCs w:val="18"/>
              </w:rPr>
            </w:pPr>
            <w:r w:rsidRPr="00BA1C0B">
              <w:rPr>
                <w:rFonts w:ascii="Arial Narrow" w:hAnsi="Arial Narrow"/>
                <w:b/>
                <w:bCs/>
                <w:sz w:val="18"/>
                <w:szCs w:val="18"/>
              </w:rPr>
              <w:t>Medicinal Product Pack</w:t>
            </w:r>
            <w:r w:rsidRPr="00BA1C0B">
              <w:rPr>
                <w:rFonts w:ascii="Arial Narrow" w:hAnsi="Arial Narrow"/>
                <w:b/>
                <w:bCs/>
                <w:sz w:val="18"/>
                <w:szCs w:val="18"/>
              </w:rPr>
              <w:br/>
              <w:t>(Name, form &amp; strength and pack size)</w:t>
            </w:r>
          </w:p>
        </w:tc>
        <w:tc>
          <w:tcPr>
            <w:tcW w:w="953" w:type="pct"/>
            <w:tcBorders>
              <w:bottom w:val="single" w:sz="4" w:space="0" w:color="auto"/>
            </w:tcBorders>
          </w:tcPr>
          <w:p w:rsidR="00BA1C0B" w:rsidRPr="009A610D" w:rsidRDefault="00BA1C0B" w:rsidP="00522B1C">
            <w:pPr>
              <w:keepNext/>
              <w:ind w:left="-108"/>
              <w:jc w:val="center"/>
              <w:rPr>
                <w:rFonts w:ascii="Arial Narrow" w:hAnsi="Arial Narrow"/>
                <w:b/>
                <w:sz w:val="18"/>
                <w:szCs w:val="18"/>
              </w:rPr>
            </w:pPr>
            <w:r>
              <w:rPr>
                <w:rFonts w:ascii="Arial Narrow" w:hAnsi="Arial Narrow"/>
                <w:b/>
                <w:sz w:val="18"/>
                <w:szCs w:val="18"/>
              </w:rPr>
              <w:t>PBS item code</w:t>
            </w:r>
          </w:p>
        </w:tc>
        <w:tc>
          <w:tcPr>
            <w:tcW w:w="556" w:type="pct"/>
            <w:tcBorders>
              <w:bottom w:val="single" w:sz="4" w:space="0" w:color="auto"/>
            </w:tcBorders>
          </w:tcPr>
          <w:p w:rsidR="00BA1C0B" w:rsidRPr="009A610D" w:rsidRDefault="00BA1C0B" w:rsidP="00522B1C">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477" w:type="pct"/>
            <w:tcBorders>
              <w:bottom w:val="single" w:sz="4" w:space="0" w:color="auto"/>
            </w:tcBorders>
          </w:tcPr>
          <w:p w:rsidR="00BA1C0B" w:rsidRPr="009A610D" w:rsidRDefault="00BA1C0B" w:rsidP="00522B1C">
            <w:pPr>
              <w:keepNext/>
              <w:ind w:left="-108"/>
              <w:jc w:val="center"/>
              <w:rPr>
                <w:rFonts w:ascii="Arial Narrow" w:hAnsi="Arial Narrow"/>
                <w:b/>
                <w:sz w:val="18"/>
                <w:szCs w:val="18"/>
              </w:rPr>
            </w:pPr>
            <w:r>
              <w:rPr>
                <w:rFonts w:ascii="Arial Narrow" w:hAnsi="Arial Narrow"/>
                <w:b/>
                <w:sz w:val="18"/>
                <w:szCs w:val="18"/>
              </w:rPr>
              <w:t>Max. qty units</w:t>
            </w:r>
          </w:p>
        </w:tc>
        <w:tc>
          <w:tcPr>
            <w:tcW w:w="397" w:type="pct"/>
            <w:tcBorders>
              <w:bottom w:val="single" w:sz="4" w:space="0" w:color="auto"/>
            </w:tcBorders>
          </w:tcPr>
          <w:p w:rsidR="00BA1C0B" w:rsidRPr="009A610D" w:rsidRDefault="00BA1C0B" w:rsidP="00522B1C">
            <w:pPr>
              <w:keepNext/>
              <w:ind w:left="-108"/>
              <w:jc w:val="center"/>
              <w:rPr>
                <w:rFonts w:ascii="Arial Narrow" w:hAnsi="Arial Narrow"/>
                <w:b/>
                <w:sz w:val="18"/>
                <w:szCs w:val="18"/>
              </w:rPr>
            </w:pPr>
            <w:r w:rsidRPr="009A610D">
              <w:rPr>
                <w:rFonts w:ascii="Arial Narrow" w:hAnsi="Arial Narrow"/>
                <w:b/>
                <w:sz w:val="18"/>
                <w:szCs w:val="18"/>
              </w:rPr>
              <w:t>№.of</w:t>
            </w:r>
          </w:p>
          <w:p w:rsidR="00BA1C0B" w:rsidRPr="009A610D" w:rsidRDefault="00BA1C0B" w:rsidP="00522B1C">
            <w:pPr>
              <w:keepNext/>
              <w:ind w:left="-108"/>
              <w:jc w:val="center"/>
              <w:rPr>
                <w:rFonts w:ascii="Arial Narrow" w:hAnsi="Arial Narrow"/>
                <w:b/>
                <w:sz w:val="18"/>
                <w:szCs w:val="18"/>
              </w:rPr>
            </w:pPr>
            <w:r w:rsidRPr="009A610D">
              <w:rPr>
                <w:rFonts w:ascii="Arial Narrow" w:hAnsi="Arial Narrow"/>
                <w:b/>
                <w:sz w:val="18"/>
                <w:szCs w:val="18"/>
              </w:rPr>
              <w:t>Rpts</w:t>
            </w:r>
          </w:p>
        </w:tc>
        <w:tc>
          <w:tcPr>
            <w:tcW w:w="873" w:type="pct"/>
            <w:tcBorders>
              <w:bottom w:val="single" w:sz="4" w:space="0" w:color="auto"/>
            </w:tcBorders>
          </w:tcPr>
          <w:p w:rsidR="00BA1C0B" w:rsidRPr="009A610D" w:rsidRDefault="00BA1C0B" w:rsidP="00522B1C">
            <w:pPr>
              <w:keepNext/>
              <w:rPr>
                <w:rFonts w:ascii="Arial Narrow" w:hAnsi="Arial Narrow"/>
                <w:b/>
                <w:sz w:val="18"/>
                <w:szCs w:val="18"/>
                <w:lang w:val="fr-FR"/>
              </w:rPr>
            </w:pPr>
            <w:r>
              <w:rPr>
                <w:rFonts w:ascii="Arial Narrow" w:hAnsi="Arial Narrow"/>
                <w:b/>
                <w:sz w:val="18"/>
                <w:szCs w:val="18"/>
              </w:rPr>
              <w:t>Available brands</w:t>
            </w:r>
          </w:p>
        </w:tc>
      </w:tr>
      <w:tr w:rsidR="00BA1C0B" w:rsidRPr="009A610D" w:rsidTr="009350BA">
        <w:trPr>
          <w:cantSplit/>
          <w:trHeight w:val="180"/>
        </w:trPr>
        <w:tc>
          <w:tcPr>
            <w:tcW w:w="1745" w:type="pct"/>
            <w:tcBorders>
              <w:bottom w:val="nil"/>
              <w:right w:val="single" w:sz="4" w:space="0" w:color="auto"/>
            </w:tcBorders>
          </w:tcPr>
          <w:p w:rsidR="00BA1C0B" w:rsidRPr="003803A0" w:rsidRDefault="00BA1C0B" w:rsidP="00522B1C">
            <w:pPr>
              <w:keepNext/>
              <w:ind w:left="-108"/>
              <w:rPr>
                <w:rFonts w:ascii="Arial Narrow" w:hAnsi="Arial Narrow"/>
                <w:sz w:val="18"/>
                <w:szCs w:val="18"/>
              </w:rPr>
            </w:pPr>
            <w:r>
              <w:rPr>
                <w:rFonts w:ascii="Arial Narrow" w:hAnsi="Arial Narrow"/>
                <w:sz w:val="18"/>
                <w:szCs w:val="18"/>
              </w:rPr>
              <w:t>NUSINERSEN</w:t>
            </w:r>
          </w:p>
        </w:tc>
        <w:tc>
          <w:tcPr>
            <w:tcW w:w="953" w:type="pct"/>
            <w:tcBorders>
              <w:left w:val="single" w:sz="4" w:space="0" w:color="auto"/>
              <w:bottom w:val="nil"/>
              <w:right w:val="single" w:sz="4" w:space="0" w:color="auto"/>
            </w:tcBorders>
          </w:tcPr>
          <w:p w:rsidR="00BA1C0B" w:rsidRPr="009A610D" w:rsidRDefault="00BA1C0B" w:rsidP="00522B1C">
            <w:pPr>
              <w:keepNext/>
              <w:rPr>
                <w:rFonts w:ascii="Arial Narrow" w:hAnsi="Arial Narrow"/>
                <w:sz w:val="18"/>
                <w:szCs w:val="18"/>
              </w:rPr>
            </w:pPr>
          </w:p>
        </w:tc>
        <w:tc>
          <w:tcPr>
            <w:tcW w:w="556" w:type="pct"/>
            <w:tcBorders>
              <w:left w:val="single" w:sz="4" w:space="0" w:color="auto"/>
              <w:bottom w:val="nil"/>
              <w:right w:val="single" w:sz="4" w:space="0" w:color="auto"/>
            </w:tcBorders>
          </w:tcPr>
          <w:p w:rsidR="00BA1C0B" w:rsidRPr="009A610D" w:rsidRDefault="00BA1C0B" w:rsidP="00522B1C">
            <w:pPr>
              <w:keepNext/>
              <w:jc w:val="center"/>
              <w:rPr>
                <w:rFonts w:ascii="Arial Narrow" w:hAnsi="Arial Narrow"/>
                <w:sz w:val="18"/>
                <w:szCs w:val="18"/>
              </w:rPr>
            </w:pPr>
          </w:p>
        </w:tc>
        <w:tc>
          <w:tcPr>
            <w:tcW w:w="477" w:type="pct"/>
            <w:tcBorders>
              <w:left w:val="single" w:sz="4" w:space="0" w:color="auto"/>
              <w:bottom w:val="nil"/>
              <w:right w:val="single" w:sz="4" w:space="0" w:color="auto"/>
            </w:tcBorders>
          </w:tcPr>
          <w:p w:rsidR="00BA1C0B" w:rsidRPr="009A610D" w:rsidRDefault="00BA1C0B" w:rsidP="00522B1C">
            <w:pPr>
              <w:keepNext/>
              <w:ind w:left="-108"/>
              <w:jc w:val="center"/>
              <w:rPr>
                <w:rFonts w:ascii="Arial Narrow" w:hAnsi="Arial Narrow"/>
                <w:sz w:val="18"/>
                <w:szCs w:val="18"/>
              </w:rPr>
            </w:pPr>
          </w:p>
        </w:tc>
        <w:tc>
          <w:tcPr>
            <w:tcW w:w="397" w:type="pct"/>
            <w:tcBorders>
              <w:left w:val="single" w:sz="4" w:space="0" w:color="auto"/>
              <w:bottom w:val="nil"/>
              <w:right w:val="single" w:sz="4" w:space="0" w:color="auto"/>
            </w:tcBorders>
          </w:tcPr>
          <w:p w:rsidR="00BA1C0B" w:rsidRPr="009A610D" w:rsidRDefault="00BA1C0B" w:rsidP="00522B1C">
            <w:pPr>
              <w:keepNext/>
              <w:rPr>
                <w:rFonts w:ascii="Arial Narrow" w:hAnsi="Arial Narrow"/>
                <w:sz w:val="18"/>
                <w:szCs w:val="18"/>
              </w:rPr>
            </w:pPr>
          </w:p>
        </w:tc>
        <w:tc>
          <w:tcPr>
            <w:tcW w:w="873" w:type="pct"/>
            <w:tcBorders>
              <w:left w:val="single" w:sz="4" w:space="0" w:color="auto"/>
              <w:bottom w:val="nil"/>
            </w:tcBorders>
          </w:tcPr>
          <w:p w:rsidR="00BA1C0B" w:rsidRPr="009A610D" w:rsidRDefault="00BA1C0B" w:rsidP="00522B1C">
            <w:pPr>
              <w:keepNext/>
              <w:rPr>
                <w:rFonts w:ascii="Arial Narrow" w:hAnsi="Arial Narrow"/>
                <w:sz w:val="18"/>
                <w:szCs w:val="18"/>
              </w:rPr>
            </w:pPr>
          </w:p>
        </w:tc>
      </w:tr>
      <w:tr w:rsidR="00BA1C0B" w:rsidRPr="009A610D" w:rsidTr="009350BA">
        <w:trPr>
          <w:cantSplit/>
          <w:trHeight w:val="347"/>
        </w:trPr>
        <w:tc>
          <w:tcPr>
            <w:tcW w:w="1745" w:type="pct"/>
            <w:tcBorders>
              <w:top w:val="nil"/>
              <w:right w:val="single" w:sz="4" w:space="0" w:color="auto"/>
            </w:tcBorders>
          </w:tcPr>
          <w:p w:rsidR="00BA1C0B" w:rsidRDefault="00BA1C0B" w:rsidP="00522B1C">
            <w:pPr>
              <w:keepNext/>
              <w:spacing w:before="120"/>
              <w:ind w:left="-108"/>
              <w:rPr>
                <w:rFonts w:ascii="Arial Narrow" w:hAnsi="Arial Narrow"/>
                <w:sz w:val="18"/>
                <w:szCs w:val="18"/>
              </w:rPr>
            </w:pPr>
            <w:r>
              <w:rPr>
                <w:rFonts w:ascii="Arial Narrow" w:hAnsi="Arial Narrow"/>
                <w:sz w:val="18"/>
                <w:szCs w:val="18"/>
              </w:rPr>
              <w:t xml:space="preserve">nusinersen </w:t>
            </w:r>
            <w:r w:rsidRPr="003803A0">
              <w:rPr>
                <w:rFonts w:ascii="Arial Narrow" w:hAnsi="Arial Narrow"/>
                <w:sz w:val="18"/>
                <w:szCs w:val="18"/>
              </w:rPr>
              <w:t xml:space="preserve"> </w:t>
            </w:r>
            <w:r>
              <w:rPr>
                <w:rFonts w:ascii="Arial Narrow" w:hAnsi="Arial Narrow"/>
                <w:sz w:val="18"/>
                <w:szCs w:val="18"/>
              </w:rPr>
              <w:t>12 mg/5 mL injection, 5 mL vial</w:t>
            </w:r>
          </w:p>
        </w:tc>
        <w:tc>
          <w:tcPr>
            <w:tcW w:w="953" w:type="pct"/>
            <w:tcBorders>
              <w:top w:val="nil"/>
              <w:left w:val="single" w:sz="4" w:space="0" w:color="auto"/>
              <w:right w:val="single" w:sz="4" w:space="0" w:color="auto"/>
            </w:tcBorders>
          </w:tcPr>
          <w:p w:rsidR="00BA1C0B" w:rsidRDefault="00BA1C0B" w:rsidP="00522B1C">
            <w:pPr>
              <w:keepNext/>
              <w:spacing w:before="120"/>
              <w:ind w:left="-108"/>
              <w:jc w:val="center"/>
              <w:rPr>
                <w:rFonts w:ascii="Arial Narrow" w:hAnsi="Arial Narrow"/>
                <w:sz w:val="18"/>
                <w:szCs w:val="18"/>
              </w:rPr>
            </w:pPr>
            <w:r w:rsidRPr="00BA1C0B">
              <w:rPr>
                <w:rFonts w:ascii="Arial Narrow" w:hAnsi="Arial Narrow"/>
                <w:sz w:val="18"/>
                <w:szCs w:val="18"/>
              </w:rPr>
              <w:t>11363C</w:t>
            </w:r>
            <w:r>
              <w:rPr>
                <w:rFonts w:ascii="Arial Narrow" w:hAnsi="Arial Narrow"/>
                <w:sz w:val="18"/>
                <w:szCs w:val="18"/>
              </w:rPr>
              <w:t xml:space="preserve"> (Public)</w:t>
            </w:r>
          </w:p>
          <w:p w:rsidR="00BA1C0B" w:rsidRDefault="00BA1C0B" w:rsidP="00522B1C">
            <w:pPr>
              <w:keepNext/>
              <w:spacing w:before="120"/>
              <w:ind w:left="-108"/>
              <w:jc w:val="center"/>
              <w:rPr>
                <w:rFonts w:ascii="Arial Narrow" w:hAnsi="Arial Narrow"/>
                <w:sz w:val="18"/>
                <w:szCs w:val="18"/>
              </w:rPr>
            </w:pPr>
            <w:r w:rsidRPr="00BA1C0B">
              <w:rPr>
                <w:rFonts w:ascii="Arial Narrow" w:hAnsi="Arial Narrow"/>
                <w:sz w:val="18"/>
                <w:szCs w:val="18"/>
              </w:rPr>
              <w:t>11472T</w:t>
            </w:r>
            <w:r>
              <w:rPr>
                <w:rFonts w:ascii="Arial Narrow" w:hAnsi="Arial Narrow"/>
                <w:sz w:val="18"/>
                <w:szCs w:val="18"/>
              </w:rPr>
              <w:t xml:space="preserve"> (Private)</w:t>
            </w:r>
          </w:p>
        </w:tc>
        <w:tc>
          <w:tcPr>
            <w:tcW w:w="556" w:type="pct"/>
            <w:tcBorders>
              <w:top w:val="nil"/>
              <w:left w:val="single" w:sz="4" w:space="0" w:color="auto"/>
              <w:right w:val="single" w:sz="4" w:space="0" w:color="auto"/>
            </w:tcBorders>
          </w:tcPr>
          <w:p w:rsidR="00BA1C0B" w:rsidRDefault="00BA1C0B" w:rsidP="00522B1C">
            <w:pPr>
              <w:keepNext/>
              <w:spacing w:before="120"/>
              <w:jc w:val="center"/>
              <w:rPr>
                <w:rFonts w:ascii="Arial Narrow" w:hAnsi="Arial Narrow"/>
                <w:sz w:val="18"/>
                <w:szCs w:val="18"/>
              </w:rPr>
            </w:pPr>
            <w:r>
              <w:rPr>
                <w:rFonts w:ascii="Arial Narrow" w:hAnsi="Arial Narrow"/>
                <w:sz w:val="18"/>
                <w:szCs w:val="18"/>
              </w:rPr>
              <w:t>1</w:t>
            </w:r>
          </w:p>
        </w:tc>
        <w:tc>
          <w:tcPr>
            <w:tcW w:w="477" w:type="pct"/>
            <w:tcBorders>
              <w:top w:val="nil"/>
              <w:left w:val="single" w:sz="4" w:space="0" w:color="auto"/>
              <w:right w:val="single" w:sz="4" w:space="0" w:color="auto"/>
            </w:tcBorders>
          </w:tcPr>
          <w:p w:rsidR="00BA1C0B" w:rsidRDefault="00BA1C0B" w:rsidP="00522B1C">
            <w:pPr>
              <w:keepNext/>
              <w:spacing w:before="120"/>
              <w:ind w:left="-108"/>
              <w:jc w:val="center"/>
              <w:rPr>
                <w:rFonts w:ascii="Arial Narrow" w:hAnsi="Arial Narrow"/>
                <w:sz w:val="18"/>
                <w:szCs w:val="18"/>
              </w:rPr>
            </w:pPr>
            <w:r>
              <w:rPr>
                <w:rFonts w:ascii="Arial Narrow" w:hAnsi="Arial Narrow"/>
                <w:sz w:val="18"/>
                <w:szCs w:val="18"/>
              </w:rPr>
              <w:t>1</w:t>
            </w:r>
          </w:p>
        </w:tc>
        <w:tc>
          <w:tcPr>
            <w:tcW w:w="397" w:type="pct"/>
            <w:tcBorders>
              <w:top w:val="nil"/>
              <w:left w:val="single" w:sz="4" w:space="0" w:color="auto"/>
              <w:right w:val="single" w:sz="4" w:space="0" w:color="auto"/>
            </w:tcBorders>
          </w:tcPr>
          <w:p w:rsidR="00BA1C0B" w:rsidRPr="009A610D" w:rsidRDefault="00BA1C0B" w:rsidP="00522B1C">
            <w:pPr>
              <w:keepNext/>
              <w:spacing w:before="120"/>
              <w:ind w:left="-108"/>
              <w:jc w:val="center"/>
              <w:rPr>
                <w:rFonts w:ascii="Arial Narrow" w:hAnsi="Arial Narrow"/>
                <w:sz w:val="18"/>
                <w:szCs w:val="18"/>
              </w:rPr>
            </w:pPr>
            <w:r>
              <w:rPr>
                <w:rFonts w:ascii="Arial Narrow" w:hAnsi="Arial Narrow"/>
                <w:sz w:val="18"/>
                <w:szCs w:val="18"/>
              </w:rPr>
              <w:t>3</w:t>
            </w:r>
          </w:p>
        </w:tc>
        <w:tc>
          <w:tcPr>
            <w:tcW w:w="873" w:type="pct"/>
            <w:tcBorders>
              <w:top w:val="nil"/>
              <w:left w:val="single" w:sz="4" w:space="0" w:color="auto"/>
            </w:tcBorders>
          </w:tcPr>
          <w:p w:rsidR="00BA1C0B" w:rsidRDefault="00BA1C0B" w:rsidP="00522B1C">
            <w:pPr>
              <w:keepNext/>
              <w:spacing w:before="120"/>
              <w:rPr>
                <w:rFonts w:ascii="Arial Narrow" w:hAnsi="Arial Narrow"/>
                <w:sz w:val="18"/>
                <w:szCs w:val="18"/>
              </w:rPr>
            </w:pPr>
            <w:r>
              <w:rPr>
                <w:rFonts w:ascii="Arial Narrow" w:hAnsi="Arial Narrow"/>
                <w:sz w:val="18"/>
                <w:szCs w:val="18"/>
              </w:rPr>
              <w:t>Spinraza</w:t>
            </w:r>
          </w:p>
        </w:tc>
      </w:tr>
    </w:tbl>
    <w:p w:rsidR="00A00643" w:rsidRPr="00361189" w:rsidRDefault="00A00643" w:rsidP="00A00643">
      <w:pPr>
        <w:pStyle w:val="3-BodyText"/>
        <w:numPr>
          <w:ilvl w:val="0"/>
          <w:numId w:val="0"/>
        </w:numPr>
      </w:pPr>
    </w:p>
    <w:p w:rsidR="00BA1C0B" w:rsidRPr="00BA1C0B" w:rsidRDefault="00BA1C0B" w:rsidP="00BA1C0B">
      <w:pPr>
        <w:jc w:val="left"/>
        <w:rPr>
          <w:rFonts w:ascii="Arial Narrow" w:eastAsia="Calibri" w:hAnsi="Arial Narrow" w:cs="Times New Roman"/>
          <w:b/>
          <w:sz w:val="18"/>
          <w:szCs w:val="18"/>
          <w:lang w:val="en-GB" w:eastAsia="en-US"/>
        </w:rPr>
      </w:pPr>
      <w:r>
        <w:rPr>
          <w:rFonts w:ascii="Arial Narrow" w:eastAsia="Calibri" w:hAnsi="Arial Narrow" w:cs="Times New Roman"/>
          <w:b/>
          <w:sz w:val="18"/>
          <w:szCs w:val="18"/>
          <w:lang w:val="en-GB" w:eastAsia="en-US"/>
        </w:rPr>
        <w:t>Restriction Summary [New</w:t>
      </w:r>
      <w:r>
        <w:rPr>
          <w:rFonts w:ascii="Arial Narrow" w:eastAsia="Calibri" w:hAnsi="Arial Narrow" w:cs="Times New Roman"/>
          <w:sz w:val="18"/>
          <w:szCs w:val="18"/>
          <w:lang w:val="en-GB" w:eastAsia="en-US"/>
        </w:rPr>
        <w:t>]</w:t>
      </w:r>
      <w:r>
        <w:rPr>
          <w:rFonts w:ascii="Arial Narrow" w:eastAsia="Calibri" w:hAnsi="Arial Narrow" w:cs="Times New Roman"/>
          <w:b/>
          <w:sz w:val="18"/>
          <w:szCs w:val="18"/>
          <w:lang w:val="en-GB" w:eastAsia="en-US"/>
        </w:rPr>
        <w:t>:</w:t>
      </w:r>
    </w:p>
    <w:p w:rsidR="00F02910" w:rsidRPr="00361189" w:rsidRDefault="00F02910" w:rsidP="00F02910"/>
    <w:tbl>
      <w:tblPr>
        <w:tblW w:w="5000" w:type="pct"/>
        <w:tblLook w:val="04A0" w:firstRow="1" w:lastRow="0" w:firstColumn="1" w:lastColumn="0" w:noHBand="0" w:noVBand="1"/>
      </w:tblPr>
      <w:tblGrid>
        <w:gridCol w:w="9017"/>
      </w:tblGrid>
      <w:tr w:rsidR="004F0C22" w:rsidRPr="00BA1C0B" w:rsidTr="004F0C22">
        <w:trPr>
          <w:cantSplit/>
          <w:trHeight w:val="152"/>
        </w:trPr>
        <w:tc>
          <w:tcPr>
            <w:tcW w:w="5000" w:type="pct"/>
            <w:tcBorders>
              <w:top w:val="single" w:sz="4" w:space="0" w:color="auto"/>
              <w:left w:val="single" w:sz="4" w:space="0" w:color="auto"/>
              <w:bottom w:val="single" w:sz="4" w:space="0" w:color="auto"/>
              <w:right w:val="single" w:sz="4" w:space="0" w:color="auto"/>
            </w:tcBorders>
            <w:hideMark/>
          </w:tcPr>
          <w:p w:rsidR="004F0C22" w:rsidRPr="00BA1C0B" w:rsidRDefault="004F0C22" w:rsidP="00BC1720">
            <w:pPr>
              <w:rPr>
                <w:rFonts w:ascii="Arial Narrow" w:hAnsi="Arial Narrow"/>
                <w:sz w:val="18"/>
                <w:szCs w:val="18"/>
              </w:rPr>
            </w:pPr>
            <w:r w:rsidRPr="00BA1C0B">
              <w:rPr>
                <w:rFonts w:ascii="Arial Narrow" w:hAnsi="Arial Narrow"/>
                <w:b/>
                <w:sz w:val="18"/>
                <w:szCs w:val="18"/>
              </w:rPr>
              <w:t xml:space="preserve">Category/Program: </w:t>
            </w:r>
            <w:r w:rsidRPr="00BA1C0B">
              <w:rPr>
                <w:rFonts w:ascii="Arial Narrow" w:hAnsi="Arial Narrow"/>
                <w:sz w:val="18"/>
                <w:szCs w:val="18"/>
              </w:rPr>
              <w:t>Section 100 – Highly Specialised Drugs Program (Public/Private)</w:t>
            </w:r>
          </w:p>
        </w:tc>
      </w:tr>
      <w:tr w:rsidR="004F0C22" w:rsidRPr="00BA1C0B" w:rsidTr="004F0C22">
        <w:trPr>
          <w:cantSplit/>
          <w:trHeight w:val="64"/>
        </w:trPr>
        <w:tc>
          <w:tcPr>
            <w:tcW w:w="5000" w:type="pct"/>
            <w:tcBorders>
              <w:top w:val="single" w:sz="4" w:space="0" w:color="auto"/>
              <w:left w:val="single" w:sz="4" w:space="0" w:color="auto"/>
              <w:bottom w:val="single" w:sz="4" w:space="0" w:color="auto"/>
              <w:right w:val="single" w:sz="4" w:space="0" w:color="auto"/>
            </w:tcBorders>
            <w:hideMark/>
          </w:tcPr>
          <w:p w:rsidR="004F0C22" w:rsidRPr="00BA1C0B" w:rsidRDefault="004F0C22" w:rsidP="00BC1720">
            <w:pPr>
              <w:ind w:left="432" w:hanging="432"/>
              <w:contextualSpacing/>
              <w:rPr>
                <w:rFonts w:ascii="Arial Narrow" w:hAnsi="Arial Narrow"/>
                <w:sz w:val="18"/>
                <w:szCs w:val="18"/>
              </w:rPr>
            </w:pPr>
            <w:r w:rsidRPr="00BA1C0B">
              <w:rPr>
                <w:rFonts w:ascii="Arial Narrow" w:hAnsi="Arial Narrow"/>
                <w:b/>
                <w:sz w:val="18"/>
                <w:szCs w:val="18"/>
              </w:rPr>
              <w:t xml:space="preserve">Prescriber type: </w:t>
            </w:r>
            <w:r w:rsidRPr="00BA1C0B">
              <w:rPr>
                <w:rFonts w:ascii="Arial Narrow" w:hAnsi="Arial Narrow"/>
                <w:sz w:val="18"/>
                <w:szCs w:val="18"/>
              </w:rPr>
              <w:fldChar w:fldCharType="begin">
                <w:ffData>
                  <w:name w:val=""/>
                  <w:enabled/>
                  <w:calcOnExit w:val="0"/>
                  <w:checkBox>
                    <w:sizeAuto/>
                    <w:default w:val="1"/>
                  </w:checkBox>
                </w:ffData>
              </w:fldChar>
            </w:r>
            <w:r w:rsidRPr="00BA1C0B">
              <w:rPr>
                <w:rFonts w:ascii="Arial Narrow" w:hAnsi="Arial Narrow"/>
                <w:sz w:val="18"/>
                <w:szCs w:val="18"/>
              </w:rPr>
              <w:instrText xml:space="preserve"> FORMCHECKBOX </w:instrText>
            </w:r>
            <w:r w:rsidR="00744727">
              <w:rPr>
                <w:rFonts w:ascii="Arial Narrow" w:hAnsi="Arial Narrow"/>
                <w:sz w:val="18"/>
                <w:szCs w:val="18"/>
              </w:rPr>
            </w:r>
            <w:r w:rsidR="00744727">
              <w:rPr>
                <w:rFonts w:ascii="Arial Narrow" w:hAnsi="Arial Narrow"/>
                <w:sz w:val="18"/>
                <w:szCs w:val="18"/>
              </w:rPr>
              <w:fldChar w:fldCharType="separate"/>
            </w:r>
            <w:r w:rsidRPr="00BA1C0B">
              <w:rPr>
                <w:rFonts w:ascii="Arial Narrow" w:hAnsi="Arial Narrow"/>
                <w:sz w:val="18"/>
                <w:szCs w:val="18"/>
              </w:rPr>
              <w:fldChar w:fldCharType="end"/>
            </w:r>
            <w:r w:rsidRPr="00BA1C0B">
              <w:rPr>
                <w:rFonts w:ascii="Arial Narrow" w:hAnsi="Arial Narrow"/>
                <w:sz w:val="18"/>
                <w:szCs w:val="18"/>
              </w:rPr>
              <w:t xml:space="preserve"> Medical Practitioners</w:t>
            </w:r>
          </w:p>
        </w:tc>
      </w:tr>
      <w:tr w:rsidR="004F0C22" w:rsidRPr="00BA1C0B" w:rsidTr="004F0C22">
        <w:trPr>
          <w:cantSplit/>
          <w:trHeight w:val="64"/>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62C97">
            <w:pPr>
              <w:contextualSpacing/>
              <w:rPr>
                <w:rFonts w:ascii="Arial Narrow" w:hAnsi="Arial Narrow"/>
                <w:b/>
                <w:sz w:val="18"/>
                <w:szCs w:val="18"/>
              </w:rPr>
            </w:pPr>
            <w:r w:rsidRPr="00BA1C0B">
              <w:rPr>
                <w:rFonts w:ascii="Arial Narrow" w:hAnsi="Arial Narrow"/>
                <w:b/>
                <w:sz w:val="18"/>
                <w:szCs w:val="18"/>
              </w:rPr>
              <w:t>Restriction</w:t>
            </w:r>
            <w:r>
              <w:rPr>
                <w:rFonts w:ascii="Arial Narrow" w:hAnsi="Arial Narrow"/>
                <w:b/>
                <w:sz w:val="18"/>
                <w:szCs w:val="18"/>
              </w:rPr>
              <w:t xml:space="preserve"> type: </w:t>
            </w:r>
            <w:r w:rsidRPr="00BA1C0B">
              <w:rPr>
                <w:rFonts w:ascii="Arial Narrow" w:hAnsi="Arial Narrow"/>
                <w:sz w:val="18"/>
                <w:szCs w:val="18"/>
              </w:rPr>
              <w:fldChar w:fldCharType="begin">
                <w:ffData>
                  <w:name w:val=""/>
                  <w:enabled/>
                  <w:calcOnExit w:val="0"/>
                  <w:checkBox>
                    <w:sizeAuto/>
                    <w:default w:val="1"/>
                  </w:checkBox>
                </w:ffData>
              </w:fldChar>
            </w:r>
            <w:r w:rsidRPr="00BA1C0B">
              <w:rPr>
                <w:rFonts w:ascii="Arial Narrow" w:hAnsi="Arial Narrow"/>
                <w:sz w:val="18"/>
                <w:szCs w:val="18"/>
              </w:rPr>
              <w:instrText xml:space="preserve"> FORMCHECKBOX </w:instrText>
            </w:r>
            <w:r w:rsidR="00744727">
              <w:rPr>
                <w:rFonts w:ascii="Arial Narrow" w:hAnsi="Arial Narrow"/>
                <w:sz w:val="18"/>
                <w:szCs w:val="18"/>
              </w:rPr>
            </w:r>
            <w:r w:rsidR="00744727">
              <w:rPr>
                <w:rFonts w:ascii="Arial Narrow" w:hAnsi="Arial Narrow"/>
                <w:sz w:val="18"/>
                <w:szCs w:val="18"/>
              </w:rPr>
              <w:fldChar w:fldCharType="separate"/>
            </w:r>
            <w:r w:rsidRPr="00BA1C0B">
              <w:rPr>
                <w:rFonts w:ascii="Arial Narrow" w:hAnsi="Arial Narrow"/>
                <w:sz w:val="18"/>
                <w:szCs w:val="18"/>
              </w:rPr>
              <w:fldChar w:fldCharType="end"/>
            </w:r>
            <w:r w:rsidRPr="00BA1C0B">
              <w:rPr>
                <w:rFonts w:ascii="Arial Narrow" w:hAnsi="Arial Narrow"/>
                <w:sz w:val="18"/>
                <w:szCs w:val="18"/>
              </w:rPr>
              <w:t xml:space="preserve"> Authority Required - </w:t>
            </w:r>
            <w:r w:rsidRPr="0072204B">
              <w:rPr>
                <w:rFonts w:ascii="Arial Narrow" w:hAnsi="Arial Narrow"/>
                <w:sz w:val="18"/>
                <w:szCs w:val="18"/>
              </w:rPr>
              <w:t>non-immediate/delayed assessment by Services Australia (i</w:t>
            </w:r>
            <w:r>
              <w:rPr>
                <w:rFonts w:ascii="Arial Narrow" w:hAnsi="Arial Narrow"/>
                <w:sz w:val="18"/>
                <w:szCs w:val="18"/>
              </w:rPr>
              <w:t xml:space="preserve">n-writing only </w:t>
            </w:r>
            <w:r w:rsidRPr="0072204B">
              <w:rPr>
                <w:rFonts w:ascii="Arial Narrow" w:hAnsi="Arial Narrow"/>
                <w:sz w:val="18"/>
                <w:szCs w:val="18"/>
              </w:rPr>
              <w:t>via mail/postal service or electronic upload to Hobart)</w:t>
            </w:r>
          </w:p>
        </w:tc>
      </w:tr>
      <w:tr w:rsidR="004F0C22" w:rsidRPr="00BA1C0B" w:rsidTr="004F0C22">
        <w:trPr>
          <w:cantSplit/>
          <w:trHeight w:val="101"/>
        </w:trPr>
        <w:tc>
          <w:tcPr>
            <w:tcW w:w="5000" w:type="pct"/>
            <w:tcBorders>
              <w:top w:val="single" w:sz="4" w:space="0" w:color="auto"/>
              <w:left w:val="single" w:sz="4" w:space="0" w:color="auto"/>
              <w:bottom w:val="single" w:sz="4" w:space="0" w:color="auto"/>
              <w:right w:val="single" w:sz="4" w:space="0" w:color="auto"/>
            </w:tcBorders>
          </w:tcPr>
          <w:p w:rsidR="004F0C22" w:rsidRPr="00721648" w:rsidRDefault="004F0C22" w:rsidP="00BC1720">
            <w:pPr>
              <w:rPr>
                <w:rFonts w:ascii="Arial Narrow" w:hAnsi="Arial Narrow"/>
                <w:sz w:val="18"/>
                <w:szCs w:val="18"/>
              </w:rPr>
            </w:pPr>
            <w:r>
              <w:rPr>
                <w:rFonts w:ascii="Arial Narrow" w:hAnsi="Arial Narrow"/>
                <w:b/>
                <w:sz w:val="18"/>
                <w:szCs w:val="18"/>
              </w:rPr>
              <w:t>Episodicity:</w:t>
            </w:r>
            <w:r>
              <w:rPr>
                <w:rFonts w:ascii="Arial Narrow" w:hAnsi="Arial Narrow"/>
                <w:sz w:val="18"/>
                <w:szCs w:val="18"/>
              </w:rPr>
              <w:t xml:space="preserve"> [blank]</w:t>
            </w:r>
          </w:p>
        </w:tc>
      </w:tr>
      <w:tr w:rsidR="004F0C22" w:rsidRPr="00BA1C0B" w:rsidTr="004F0C22">
        <w:trPr>
          <w:cantSplit/>
          <w:trHeight w:val="101"/>
        </w:trPr>
        <w:tc>
          <w:tcPr>
            <w:tcW w:w="5000" w:type="pct"/>
            <w:tcBorders>
              <w:top w:val="single" w:sz="4" w:space="0" w:color="auto"/>
              <w:left w:val="single" w:sz="4" w:space="0" w:color="auto"/>
              <w:bottom w:val="single" w:sz="4" w:space="0" w:color="auto"/>
              <w:right w:val="single" w:sz="4" w:space="0" w:color="auto"/>
            </w:tcBorders>
          </w:tcPr>
          <w:p w:rsidR="004F0C22" w:rsidRPr="00721648" w:rsidRDefault="004F0C22" w:rsidP="00BC1720">
            <w:pPr>
              <w:rPr>
                <w:rFonts w:ascii="Arial Narrow" w:hAnsi="Arial Narrow"/>
                <w:sz w:val="18"/>
                <w:szCs w:val="18"/>
              </w:rPr>
            </w:pPr>
            <w:r>
              <w:rPr>
                <w:rFonts w:ascii="Arial Narrow" w:hAnsi="Arial Narrow"/>
                <w:b/>
                <w:sz w:val="18"/>
                <w:szCs w:val="18"/>
              </w:rPr>
              <w:t xml:space="preserve">Severity: </w:t>
            </w:r>
            <w:r>
              <w:rPr>
                <w:rFonts w:ascii="Arial Narrow" w:hAnsi="Arial Narrow"/>
                <w:sz w:val="18"/>
                <w:szCs w:val="18"/>
              </w:rPr>
              <w:t>Asymptomatic</w:t>
            </w:r>
          </w:p>
        </w:tc>
      </w:tr>
      <w:tr w:rsidR="004F0C22" w:rsidRPr="00BA1C0B" w:rsidTr="004F0C22">
        <w:trPr>
          <w:cantSplit/>
          <w:trHeight w:val="101"/>
        </w:trPr>
        <w:tc>
          <w:tcPr>
            <w:tcW w:w="5000" w:type="pct"/>
            <w:tcBorders>
              <w:top w:val="single" w:sz="4" w:space="0" w:color="auto"/>
              <w:left w:val="single" w:sz="4" w:space="0" w:color="auto"/>
              <w:bottom w:val="single" w:sz="4" w:space="0" w:color="auto"/>
              <w:right w:val="single" w:sz="4" w:space="0" w:color="auto"/>
            </w:tcBorders>
            <w:hideMark/>
          </w:tcPr>
          <w:p w:rsidR="004F0C22" w:rsidRPr="00BA1C0B" w:rsidRDefault="004F0C22" w:rsidP="00BC1720">
            <w:pPr>
              <w:rPr>
                <w:rFonts w:ascii="Arial Narrow" w:hAnsi="Arial Narrow"/>
                <w:sz w:val="18"/>
                <w:szCs w:val="18"/>
              </w:rPr>
            </w:pPr>
            <w:r w:rsidRPr="00BA1C0B">
              <w:rPr>
                <w:rFonts w:ascii="Arial Narrow" w:hAnsi="Arial Narrow"/>
                <w:b/>
                <w:sz w:val="18"/>
                <w:szCs w:val="18"/>
              </w:rPr>
              <w:lastRenderedPageBreak/>
              <w:t xml:space="preserve">Condition: </w:t>
            </w:r>
            <w:r>
              <w:rPr>
                <w:rFonts w:ascii="Arial Narrow" w:hAnsi="Arial Narrow"/>
                <w:sz w:val="18"/>
                <w:szCs w:val="18"/>
              </w:rPr>
              <w:t>s</w:t>
            </w:r>
            <w:r w:rsidRPr="00BA1C0B">
              <w:rPr>
                <w:rFonts w:ascii="Arial Narrow" w:hAnsi="Arial Narrow"/>
                <w:sz w:val="18"/>
                <w:szCs w:val="18"/>
              </w:rPr>
              <w:t>pinal muscular atrophy (SMA)</w:t>
            </w:r>
          </w:p>
        </w:tc>
      </w:tr>
      <w:tr w:rsidR="004F0C22" w:rsidRPr="00BA1C0B" w:rsidTr="004F0C22">
        <w:trPr>
          <w:cantSplit/>
          <w:trHeight w:val="187"/>
        </w:trPr>
        <w:tc>
          <w:tcPr>
            <w:tcW w:w="5000" w:type="pct"/>
            <w:tcBorders>
              <w:top w:val="single" w:sz="4" w:space="0" w:color="auto"/>
              <w:left w:val="single" w:sz="4" w:space="0" w:color="auto"/>
              <w:bottom w:val="single" w:sz="4" w:space="0" w:color="auto"/>
              <w:right w:val="single" w:sz="4" w:space="0" w:color="auto"/>
            </w:tcBorders>
            <w:hideMark/>
          </w:tcPr>
          <w:p w:rsidR="004F0C22" w:rsidRPr="00BA1C0B" w:rsidRDefault="004F0C22" w:rsidP="00F02910">
            <w:pPr>
              <w:rPr>
                <w:rFonts w:ascii="Arial Narrow" w:hAnsi="Arial Narrow"/>
                <w:sz w:val="18"/>
                <w:szCs w:val="18"/>
              </w:rPr>
            </w:pPr>
            <w:r w:rsidRPr="00BA1C0B">
              <w:rPr>
                <w:rFonts w:ascii="Arial Narrow" w:hAnsi="Arial Narrow"/>
                <w:b/>
                <w:sz w:val="18"/>
                <w:szCs w:val="18"/>
              </w:rPr>
              <w:t xml:space="preserve">PBS Indication: </w:t>
            </w:r>
            <w:r>
              <w:rPr>
                <w:rFonts w:ascii="Arial Narrow" w:hAnsi="Arial Narrow"/>
                <w:sz w:val="18"/>
                <w:szCs w:val="18"/>
              </w:rPr>
              <w:t>Asymptomatic s</w:t>
            </w:r>
            <w:r w:rsidRPr="00BA1C0B">
              <w:rPr>
                <w:rFonts w:ascii="Arial Narrow" w:hAnsi="Arial Narrow"/>
                <w:sz w:val="18"/>
                <w:szCs w:val="18"/>
              </w:rPr>
              <w:t>pinal muscular atrophy (SMA)</w:t>
            </w:r>
          </w:p>
        </w:tc>
      </w:tr>
      <w:tr w:rsidR="004F0C22" w:rsidRPr="00BA1C0B" w:rsidTr="004F0C22">
        <w:trPr>
          <w:cantSplit/>
          <w:trHeight w:val="64"/>
        </w:trPr>
        <w:tc>
          <w:tcPr>
            <w:tcW w:w="5000" w:type="pct"/>
            <w:tcBorders>
              <w:top w:val="single" w:sz="4" w:space="0" w:color="auto"/>
              <w:left w:val="single" w:sz="4" w:space="0" w:color="auto"/>
              <w:bottom w:val="single" w:sz="4" w:space="0" w:color="auto"/>
              <w:right w:val="single" w:sz="4" w:space="0" w:color="auto"/>
            </w:tcBorders>
            <w:hideMark/>
          </w:tcPr>
          <w:p w:rsidR="004F0C22" w:rsidRPr="00BA1C0B" w:rsidRDefault="004F0C22" w:rsidP="00BC1720">
            <w:pPr>
              <w:rPr>
                <w:rFonts w:ascii="Arial Narrow" w:hAnsi="Arial Narrow"/>
                <w:sz w:val="18"/>
                <w:szCs w:val="18"/>
              </w:rPr>
            </w:pPr>
            <w:r w:rsidRPr="00BA1C0B">
              <w:rPr>
                <w:rFonts w:ascii="Arial Narrow" w:hAnsi="Arial Narrow"/>
                <w:b/>
                <w:sz w:val="18"/>
                <w:szCs w:val="18"/>
              </w:rPr>
              <w:t xml:space="preserve">Treatment phase: </w:t>
            </w:r>
            <w:r w:rsidRPr="00BA1C0B">
              <w:rPr>
                <w:rFonts w:ascii="Arial Narrow" w:hAnsi="Arial Narrow"/>
                <w:sz w:val="18"/>
                <w:szCs w:val="18"/>
              </w:rPr>
              <w:t>Initial treatment</w:t>
            </w:r>
            <w:r>
              <w:rPr>
                <w:rFonts w:ascii="Arial Narrow" w:hAnsi="Arial Narrow"/>
                <w:sz w:val="18"/>
                <w:szCs w:val="18"/>
              </w:rPr>
              <w:t xml:space="preserve"> of asymptomatic SMA</w:t>
            </w:r>
            <w:r w:rsidRPr="00BA1C0B">
              <w:rPr>
                <w:rFonts w:ascii="Arial Narrow" w:hAnsi="Arial Narrow"/>
                <w:sz w:val="18"/>
                <w:szCs w:val="18"/>
              </w:rPr>
              <w:t xml:space="preserve"> – Loading doses</w:t>
            </w:r>
          </w:p>
        </w:tc>
      </w:tr>
      <w:tr w:rsidR="004F0C22" w:rsidRPr="00BA1C0B" w:rsidTr="004F0C22">
        <w:trPr>
          <w:cantSplit/>
          <w:trHeight w:val="64"/>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Treatment criteria:</w:t>
            </w:r>
          </w:p>
        </w:tc>
      </w:tr>
      <w:tr w:rsidR="004F0C22" w:rsidRPr="00BA1C0B" w:rsidTr="004F0C22">
        <w:trPr>
          <w:cantSplit/>
          <w:trHeight w:val="360"/>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sz w:val="18"/>
                <w:szCs w:val="18"/>
              </w:rPr>
            </w:pPr>
            <w:r w:rsidRPr="00BA1C0B">
              <w:rPr>
                <w:rFonts w:ascii="Arial Narrow" w:hAnsi="Arial Narrow"/>
                <w:sz w:val="18"/>
                <w:szCs w:val="18"/>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p>
        </w:tc>
      </w:tr>
      <w:tr w:rsidR="004F0C22" w:rsidRPr="00BA1C0B" w:rsidTr="004F0C22">
        <w:trPr>
          <w:cantSplit/>
          <w:trHeight w:val="127"/>
        </w:trPr>
        <w:tc>
          <w:tcPr>
            <w:tcW w:w="5000" w:type="pct"/>
            <w:tcBorders>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Clinical criteria:</w:t>
            </w:r>
          </w:p>
        </w:tc>
      </w:tr>
      <w:tr w:rsidR="004F0C22" w:rsidRPr="00BA1C0B" w:rsidTr="004F0C22">
        <w:trPr>
          <w:cantSplit/>
          <w:trHeight w:val="360"/>
        </w:trPr>
        <w:tc>
          <w:tcPr>
            <w:tcW w:w="5000" w:type="pct"/>
            <w:tcBorders>
              <w:left w:val="single" w:sz="4" w:space="0" w:color="auto"/>
              <w:bottom w:val="single" w:sz="4" w:space="0" w:color="auto"/>
              <w:right w:val="single" w:sz="4" w:space="0" w:color="auto"/>
            </w:tcBorders>
          </w:tcPr>
          <w:p w:rsidR="004F0C22" w:rsidRPr="00BA1C0B" w:rsidRDefault="004F0C22" w:rsidP="00205E42">
            <w:pPr>
              <w:pStyle w:val="StyleTablebullet9pt"/>
              <w:numPr>
                <w:ilvl w:val="0"/>
                <w:numId w:val="0"/>
              </w:numPr>
              <w:spacing w:before="0" w:after="0"/>
              <w:contextualSpacing/>
              <w:rPr>
                <w:rFonts w:ascii="Arial Narrow" w:hAnsi="Arial Narrow" w:cs="Arial"/>
                <w:color w:val="auto"/>
                <w:szCs w:val="18"/>
                <w:lang w:eastAsia="en-AU"/>
              </w:rPr>
            </w:pPr>
            <w:r w:rsidRPr="00BA1C0B">
              <w:rPr>
                <w:rFonts w:ascii="Arial Narrow" w:hAnsi="Arial Narrow" w:cs="Arial"/>
                <w:color w:val="auto"/>
                <w:szCs w:val="18"/>
                <w:lang w:eastAsia="en-AU"/>
              </w:rPr>
              <w:t>The condition must have.</w:t>
            </w:r>
            <w:r w:rsidRPr="00205E42">
              <w:rPr>
                <w:rFonts w:cs="Arial"/>
                <w:color w:val="auto"/>
                <w:sz w:val="24"/>
                <w:szCs w:val="24"/>
                <w:lang w:eastAsia="en-AU"/>
              </w:rPr>
              <w:t xml:space="preserve"> </w:t>
            </w:r>
            <w:r w:rsidRPr="00205E42">
              <w:rPr>
                <w:rFonts w:ascii="Arial Narrow" w:hAnsi="Arial Narrow" w:cs="Arial"/>
                <w:color w:val="auto"/>
                <w:szCs w:val="18"/>
                <w:lang w:eastAsia="en-AU"/>
              </w:rPr>
              <w:t>gen</w:t>
            </w:r>
            <w:r>
              <w:rPr>
                <w:rFonts w:ascii="Arial Narrow" w:hAnsi="Arial Narrow" w:cs="Arial"/>
                <w:color w:val="auto"/>
                <w:szCs w:val="18"/>
                <w:lang w:eastAsia="en-AU"/>
              </w:rPr>
              <w:t>etic confirmation of</w:t>
            </w:r>
            <w:r w:rsidRPr="00205E42">
              <w:rPr>
                <w:rFonts w:ascii="Arial Narrow" w:hAnsi="Arial Narrow" w:cs="Arial"/>
                <w:color w:val="auto"/>
                <w:szCs w:val="18"/>
                <w:lang w:eastAsia="en-AU"/>
              </w:rPr>
              <w:t xml:space="preserve"> 5q homozygous deletion of the </w:t>
            </w:r>
            <w:r w:rsidRPr="00205E42">
              <w:rPr>
                <w:rFonts w:ascii="Arial Narrow" w:hAnsi="Arial Narrow" w:cs="Arial"/>
                <w:i/>
                <w:iCs/>
                <w:color w:val="auto"/>
                <w:szCs w:val="18"/>
                <w:lang w:eastAsia="en-AU"/>
              </w:rPr>
              <w:t>survival motor neuron 1</w:t>
            </w:r>
            <w:r w:rsidRPr="00205E42">
              <w:rPr>
                <w:rFonts w:ascii="Arial Narrow" w:hAnsi="Arial Narrow" w:cs="Arial"/>
                <w:color w:val="auto"/>
                <w:szCs w:val="18"/>
                <w:lang w:eastAsia="en-AU"/>
              </w:rPr>
              <w:t xml:space="preserve"> (</w:t>
            </w:r>
            <w:r w:rsidRPr="00205E42">
              <w:rPr>
                <w:rFonts w:ascii="Arial Narrow" w:hAnsi="Arial Narrow" w:cs="Arial"/>
                <w:i/>
                <w:iCs/>
                <w:color w:val="auto"/>
                <w:szCs w:val="18"/>
                <w:lang w:eastAsia="en-AU"/>
              </w:rPr>
              <w:t>SMN1</w:t>
            </w:r>
            <w:r w:rsidRPr="00205E42">
              <w:rPr>
                <w:rFonts w:ascii="Arial Narrow" w:hAnsi="Arial Narrow" w:cs="Arial"/>
                <w:color w:val="auto"/>
                <w:szCs w:val="18"/>
                <w:lang w:eastAsia="en-AU"/>
              </w:rPr>
              <w:t>) gene</w:t>
            </w:r>
            <w:r>
              <w:rPr>
                <w:rFonts w:ascii="Arial Narrow" w:hAnsi="Arial Narrow" w:cs="Arial"/>
                <w:color w:val="auto"/>
                <w:szCs w:val="18"/>
                <w:lang w:eastAsia="en-AU"/>
              </w:rPr>
              <w:t>; or</w:t>
            </w:r>
          </w:p>
        </w:tc>
      </w:tr>
      <w:tr w:rsidR="004F0C22" w:rsidRPr="00BA1C0B" w:rsidTr="004F0C22">
        <w:trPr>
          <w:cantSplit/>
          <w:trHeight w:val="289"/>
        </w:trPr>
        <w:tc>
          <w:tcPr>
            <w:tcW w:w="5000" w:type="pct"/>
            <w:tcBorders>
              <w:top w:val="single" w:sz="4" w:space="0" w:color="auto"/>
              <w:left w:val="single" w:sz="4" w:space="0" w:color="auto"/>
              <w:bottom w:val="single" w:sz="4" w:space="0" w:color="auto"/>
              <w:right w:val="single" w:sz="4" w:space="0" w:color="auto"/>
            </w:tcBorders>
          </w:tcPr>
          <w:p w:rsidR="004F0C22" w:rsidRPr="00205E42" w:rsidRDefault="004F0C22" w:rsidP="00205E42">
            <w:pPr>
              <w:pStyle w:val="StyleTablebullet9pt"/>
              <w:numPr>
                <w:ilvl w:val="0"/>
                <w:numId w:val="0"/>
              </w:numPr>
              <w:spacing w:before="0" w:after="0"/>
              <w:contextualSpacing/>
              <w:rPr>
                <w:rFonts w:ascii="Arial Narrow" w:hAnsi="Arial Narrow" w:cs="Arial"/>
                <w:color w:val="auto"/>
                <w:szCs w:val="18"/>
                <w:lang w:eastAsia="en-AU"/>
              </w:rPr>
            </w:pPr>
            <w:r w:rsidRPr="00205E42">
              <w:rPr>
                <w:rFonts w:ascii="Arial Narrow" w:hAnsi="Arial Narrow" w:cs="Arial"/>
                <w:color w:val="auto"/>
                <w:szCs w:val="18"/>
                <w:lang w:eastAsia="en-AU"/>
              </w:rPr>
              <w:t xml:space="preserve">The condition must have genetic confirmation </w:t>
            </w:r>
            <w:r>
              <w:rPr>
                <w:rFonts w:ascii="Arial Narrow" w:hAnsi="Arial Narrow" w:cs="Arial"/>
                <w:color w:val="auto"/>
                <w:szCs w:val="18"/>
                <w:lang w:eastAsia="en-AU"/>
              </w:rPr>
              <w:t>of</w:t>
            </w:r>
            <w:r w:rsidRPr="00205E42">
              <w:rPr>
                <w:rFonts w:ascii="Arial Narrow" w:hAnsi="Arial Narrow" w:cs="Arial"/>
                <w:color w:val="auto"/>
                <w:szCs w:val="18"/>
                <w:lang w:eastAsia="en-AU"/>
              </w:rPr>
              <w:t xml:space="preserve"> deletion of one copy of the </w:t>
            </w:r>
            <w:r w:rsidRPr="00205E42">
              <w:rPr>
                <w:rFonts w:ascii="Arial Narrow" w:hAnsi="Arial Narrow" w:cs="Arial"/>
                <w:i/>
                <w:iCs/>
                <w:color w:val="auto"/>
                <w:szCs w:val="18"/>
                <w:lang w:eastAsia="en-AU"/>
              </w:rPr>
              <w:t>SMN1</w:t>
            </w:r>
            <w:r>
              <w:rPr>
                <w:rFonts w:ascii="Arial Narrow" w:hAnsi="Arial Narrow" w:cs="Arial"/>
                <w:color w:val="auto"/>
                <w:szCs w:val="18"/>
                <w:lang w:eastAsia="en-AU"/>
              </w:rPr>
              <w:t xml:space="preserve"> gene in addition to</w:t>
            </w:r>
            <w:r w:rsidRPr="00205E42">
              <w:rPr>
                <w:rFonts w:ascii="Arial Narrow" w:hAnsi="Arial Narrow" w:cs="Arial"/>
                <w:color w:val="auto"/>
                <w:szCs w:val="18"/>
                <w:lang w:eastAsia="en-AU"/>
              </w:rPr>
              <w:t xml:space="preserve"> a pathogenic</w:t>
            </w:r>
            <w:r>
              <w:rPr>
                <w:rFonts w:ascii="Arial Narrow" w:hAnsi="Arial Narrow" w:cs="Arial"/>
                <w:color w:val="auto"/>
                <w:szCs w:val="18"/>
                <w:lang w:eastAsia="en-AU"/>
              </w:rPr>
              <w:t>/likely pathogenic variant</w:t>
            </w:r>
            <w:r w:rsidRPr="00205E42">
              <w:rPr>
                <w:rFonts w:ascii="Arial Narrow" w:hAnsi="Arial Narrow" w:cs="Arial"/>
                <w:color w:val="auto"/>
                <w:szCs w:val="18"/>
                <w:lang w:eastAsia="en-AU"/>
              </w:rPr>
              <w:t xml:space="preserve"> in the remaining single copy of the </w:t>
            </w:r>
            <w:r w:rsidRPr="00205E42">
              <w:rPr>
                <w:rFonts w:ascii="Arial Narrow" w:hAnsi="Arial Narrow" w:cs="Arial"/>
                <w:i/>
                <w:iCs/>
                <w:color w:val="auto"/>
                <w:szCs w:val="18"/>
                <w:lang w:eastAsia="en-AU"/>
              </w:rPr>
              <w:t>SMN1</w:t>
            </w:r>
            <w:r w:rsidRPr="00205E42">
              <w:rPr>
                <w:rFonts w:ascii="Arial Narrow" w:hAnsi="Arial Narrow" w:cs="Arial"/>
                <w:color w:val="auto"/>
                <w:szCs w:val="18"/>
                <w:lang w:eastAsia="en-AU"/>
              </w:rPr>
              <w:t xml:space="preserve"> gene</w:t>
            </w:r>
          </w:p>
        </w:tc>
      </w:tr>
      <w:tr w:rsidR="004F0C22" w:rsidRPr="00BA1C0B" w:rsidTr="004F0C22">
        <w:trPr>
          <w:cantSplit/>
          <w:trHeight w:val="28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9350BA">
            <w:pPr>
              <w:pStyle w:val="StyleTablebullet9pt"/>
              <w:keepNext/>
              <w:keepLines/>
              <w:numPr>
                <w:ilvl w:val="0"/>
                <w:numId w:val="0"/>
              </w:numPr>
              <w:spacing w:before="0" w:after="0"/>
              <w:contextualSpacing/>
              <w:rPr>
                <w:rFonts w:ascii="Arial Narrow" w:hAnsi="Arial Narrow" w:cs="Arial"/>
                <w:b/>
                <w:color w:val="auto"/>
                <w:szCs w:val="18"/>
                <w:lang w:eastAsia="en-AU"/>
              </w:rPr>
            </w:pPr>
            <w:r>
              <w:rPr>
                <w:rFonts w:ascii="Arial Narrow" w:hAnsi="Arial Narrow" w:cs="Arial"/>
                <w:b/>
                <w:color w:val="auto"/>
                <w:szCs w:val="18"/>
                <w:lang w:eastAsia="en-AU"/>
              </w:rPr>
              <w:t>AND</w:t>
            </w:r>
          </w:p>
        </w:tc>
      </w:tr>
      <w:tr w:rsidR="004F0C22" w:rsidRPr="00BA1C0B" w:rsidTr="004F0C22">
        <w:trPr>
          <w:cantSplit/>
          <w:trHeight w:val="289"/>
        </w:trPr>
        <w:tc>
          <w:tcPr>
            <w:tcW w:w="5000" w:type="pct"/>
            <w:tcBorders>
              <w:left w:val="single" w:sz="4" w:space="0" w:color="auto"/>
              <w:bottom w:val="single" w:sz="4" w:space="0" w:color="auto"/>
              <w:right w:val="single" w:sz="4" w:space="0" w:color="auto"/>
            </w:tcBorders>
          </w:tcPr>
          <w:p w:rsidR="004F0C22" w:rsidRDefault="004F0C22" w:rsidP="009350BA">
            <w:pPr>
              <w:pStyle w:val="StyleTablebullet9pt"/>
              <w:keepNext/>
              <w:keepLines/>
              <w:numPr>
                <w:ilvl w:val="0"/>
                <w:numId w:val="0"/>
              </w:numPr>
              <w:spacing w:before="0" w:after="0"/>
              <w:contextualSpacing/>
              <w:rPr>
                <w:rFonts w:ascii="Arial Narrow" w:hAnsi="Arial Narrow" w:cs="Arial"/>
                <w:b/>
                <w:color w:val="auto"/>
                <w:szCs w:val="18"/>
                <w:lang w:eastAsia="en-AU"/>
              </w:rPr>
            </w:pPr>
            <w:r w:rsidRPr="00BA1C0B">
              <w:rPr>
                <w:rFonts w:ascii="Arial Narrow" w:hAnsi="Arial Narrow"/>
                <w:b/>
                <w:szCs w:val="18"/>
              </w:rPr>
              <w:t>Clinical criteria:</w:t>
            </w:r>
          </w:p>
        </w:tc>
      </w:tr>
      <w:tr w:rsidR="004F0C22" w:rsidRPr="00BA1C0B" w:rsidTr="004F0C22">
        <w:trPr>
          <w:cantSplit/>
          <w:trHeight w:val="289"/>
        </w:trPr>
        <w:tc>
          <w:tcPr>
            <w:tcW w:w="5000" w:type="pct"/>
            <w:tcBorders>
              <w:left w:val="single" w:sz="4" w:space="0" w:color="auto"/>
              <w:bottom w:val="single" w:sz="4" w:space="0" w:color="auto"/>
              <w:right w:val="single" w:sz="4" w:space="0" w:color="auto"/>
            </w:tcBorders>
          </w:tcPr>
          <w:p w:rsidR="004F0C22" w:rsidRPr="00205E42" w:rsidRDefault="004F0C22" w:rsidP="009350BA">
            <w:pPr>
              <w:pStyle w:val="StyleTablebullet9pt"/>
              <w:keepNext/>
              <w:keepLines/>
              <w:numPr>
                <w:ilvl w:val="0"/>
                <w:numId w:val="0"/>
              </w:numPr>
              <w:spacing w:before="0" w:after="0"/>
              <w:contextualSpacing/>
              <w:rPr>
                <w:rFonts w:ascii="Arial Narrow" w:hAnsi="Arial Narrow" w:cs="Arial"/>
                <w:color w:val="auto"/>
                <w:szCs w:val="18"/>
                <w:lang w:eastAsia="en-AU"/>
              </w:rPr>
            </w:pPr>
            <w:r w:rsidRPr="00205E42">
              <w:rPr>
                <w:rFonts w:ascii="Arial Narrow" w:hAnsi="Arial Narrow" w:cs="Arial"/>
                <w:color w:val="auto"/>
                <w:szCs w:val="18"/>
                <w:lang w:eastAsia="en-AU"/>
              </w:rPr>
              <w:t xml:space="preserve">The condition must have genetic confirmation that there are </w:t>
            </w:r>
            <w:r>
              <w:rPr>
                <w:rFonts w:ascii="Arial Narrow" w:hAnsi="Arial Narrow" w:cs="Arial"/>
                <w:color w:val="auto"/>
                <w:szCs w:val="18"/>
                <w:lang w:eastAsia="en-AU"/>
              </w:rPr>
              <w:t>1 to 2</w:t>
            </w:r>
            <w:r w:rsidRPr="00205E42">
              <w:rPr>
                <w:rFonts w:ascii="Arial Narrow" w:hAnsi="Arial Narrow" w:cs="Arial"/>
                <w:color w:val="auto"/>
                <w:szCs w:val="18"/>
                <w:lang w:eastAsia="en-AU"/>
              </w:rPr>
              <w:t xml:space="preserve"> copies of the</w:t>
            </w:r>
            <w:r w:rsidRPr="00B64A58">
              <w:rPr>
                <w:rFonts w:ascii="Arial Narrow" w:hAnsi="Arial Narrow" w:cs="Arial"/>
                <w:i/>
                <w:color w:val="auto"/>
                <w:szCs w:val="18"/>
                <w:lang w:eastAsia="en-AU"/>
              </w:rPr>
              <w:t xml:space="preserve"> survival motor neuron 2 (SMN2)</w:t>
            </w:r>
            <w:r w:rsidRPr="00205E42">
              <w:rPr>
                <w:rFonts w:ascii="Arial Narrow" w:hAnsi="Arial Narrow" w:cs="Arial"/>
                <w:color w:val="auto"/>
                <w:szCs w:val="18"/>
                <w:lang w:eastAsia="en-AU"/>
              </w:rPr>
              <w:t xml:space="preserve"> gene</w:t>
            </w:r>
          </w:p>
        </w:tc>
      </w:tr>
      <w:tr w:rsidR="004F0C22" w:rsidRPr="00BA1C0B" w:rsidTr="004F0C22">
        <w:trPr>
          <w:cantSplit/>
          <w:trHeight w:val="253"/>
        </w:trPr>
        <w:tc>
          <w:tcPr>
            <w:tcW w:w="5000" w:type="pct"/>
            <w:tcBorders>
              <w:left w:val="single" w:sz="4" w:space="0" w:color="auto"/>
              <w:bottom w:val="single" w:sz="4" w:space="0" w:color="auto"/>
              <w:right w:val="single" w:sz="4" w:space="0" w:color="auto"/>
            </w:tcBorders>
          </w:tcPr>
          <w:p w:rsidR="004F0C22" w:rsidRPr="00BA1C0B" w:rsidRDefault="004F0C22" w:rsidP="00BC1720">
            <w:pPr>
              <w:pStyle w:val="StyleTablebullet9pt"/>
              <w:numPr>
                <w:ilvl w:val="0"/>
                <w:numId w:val="0"/>
              </w:numPr>
              <w:spacing w:before="0" w:after="0"/>
              <w:contextualSpacing/>
              <w:rPr>
                <w:rFonts w:ascii="Arial Narrow" w:hAnsi="Arial Narrow" w:cs="Arial"/>
                <w:b/>
                <w:color w:val="auto"/>
                <w:szCs w:val="18"/>
                <w:lang w:eastAsia="en-AU"/>
              </w:rPr>
            </w:pPr>
            <w:r w:rsidRPr="00BA1C0B">
              <w:rPr>
                <w:rFonts w:ascii="Arial Narrow" w:hAnsi="Arial Narrow" w:cs="Arial"/>
                <w:b/>
                <w:color w:val="auto"/>
                <w:szCs w:val="18"/>
                <w:lang w:eastAsia="en-AU"/>
              </w:rPr>
              <w:t>AND</w:t>
            </w:r>
          </w:p>
        </w:tc>
      </w:tr>
      <w:tr w:rsidR="004F0C22" w:rsidRPr="00BA1C0B" w:rsidTr="004F0C22">
        <w:trPr>
          <w:cantSplit/>
          <w:trHeight w:val="289"/>
        </w:trPr>
        <w:tc>
          <w:tcPr>
            <w:tcW w:w="5000" w:type="pct"/>
            <w:tcBorders>
              <w:left w:val="single" w:sz="4" w:space="0" w:color="auto"/>
              <w:bottom w:val="single" w:sz="4" w:space="0" w:color="auto"/>
              <w:right w:val="single" w:sz="4" w:space="0" w:color="auto"/>
            </w:tcBorders>
          </w:tcPr>
          <w:p w:rsidR="004F0C22" w:rsidRPr="00BA1C0B" w:rsidRDefault="004F0C22" w:rsidP="00BC1720">
            <w:pPr>
              <w:pStyle w:val="StyleTablebullet9pt"/>
              <w:numPr>
                <w:ilvl w:val="0"/>
                <w:numId w:val="0"/>
              </w:numPr>
              <w:spacing w:before="0" w:after="0"/>
              <w:contextualSpacing/>
              <w:rPr>
                <w:rFonts w:ascii="Arial Narrow" w:hAnsi="Arial Narrow" w:cs="Arial"/>
                <w:b/>
                <w:color w:val="auto"/>
                <w:szCs w:val="18"/>
                <w:lang w:eastAsia="en-AU"/>
              </w:rPr>
            </w:pPr>
            <w:r>
              <w:rPr>
                <w:rFonts w:ascii="Arial Narrow" w:hAnsi="Arial Narrow" w:cs="Arial"/>
                <w:b/>
                <w:color w:val="auto"/>
                <w:szCs w:val="18"/>
                <w:lang w:eastAsia="en-AU"/>
              </w:rPr>
              <w:t>Clinical criteria:</w:t>
            </w:r>
          </w:p>
        </w:tc>
      </w:tr>
      <w:tr w:rsidR="004F0C22" w:rsidRPr="00BA1C0B" w:rsidTr="004F0C22">
        <w:trPr>
          <w:cantSplit/>
          <w:trHeight w:val="261"/>
        </w:trPr>
        <w:tc>
          <w:tcPr>
            <w:tcW w:w="5000" w:type="pct"/>
            <w:tcBorders>
              <w:left w:val="single" w:sz="4" w:space="0" w:color="auto"/>
              <w:bottom w:val="single" w:sz="4" w:space="0" w:color="auto"/>
              <w:right w:val="single" w:sz="4" w:space="0" w:color="auto"/>
            </w:tcBorders>
          </w:tcPr>
          <w:p w:rsidR="004F0C22" w:rsidRPr="00BA1C0B" w:rsidRDefault="004F0C22" w:rsidP="00BD4DA9">
            <w:pPr>
              <w:pStyle w:val="StyleTablebullet9pt"/>
              <w:numPr>
                <w:ilvl w:val="0"/>
                <w:numId w:val="0"/>
              </w:numPr>
              <w:spacing w:before="0" w:after="0"/>
              <w:contextualSpacing/>
              <w:rPr>
                <w:rFonts w:ascii="Arial Narrow" w:hAnsi="Arial Narrow" w:cs="Arial"/>
                <w:color w:val="auto"/>
                <w:szCs w:val="18"/>
                <w:lang w:eastAsia="en-AU"/>
              </w:rPr>
            </w:pPr>
            <w:r>
              <w:rPr>
                <w:rFonts w:ascii="Arial Narrow" w:hAnsi="Arial Narrow" w:cs="Arial"/>
                <w:color w:val="auto"/>
                <w:szCs w:val="18"/>
                <w:lang w:eastAsia="en-AU"/>
              </w:rPr>
              <w:t>The condition must be asymptomatic</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AND</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Clinical criteria:</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pStyle w:val="StyleTablebullet9pt"/>
              <w:numPr>
                <w:ilvl w:val="0"/>
                <w:numId w:val="0"/>
              </w:numPr>
              <w:spacing w:before="0" w:after="0"/>
              <w:contextualSpacing/>
              <w:rPr>
                <w:rFonts w:ascii="Arial Narrow" w:hAnsi="Arial Narrow"/>
                <w:color w:val="auto"/>
                <w:szCs w:val="18"/>
              </w:rPr>
            </w:pPr>
            <w:r w:rsidRPr="00BA1C0B">
              <w:rPr>
                <w:rFonts w:ascii="Arial Narrow" w:hAnsi="Arial Narrow"/>
                <w:color w:val="auto"/>
                <w:szCs w:val="18"/>
              </w:rPr>
              <w:t>The treatment must be given concomitantly with standard of care for this condition.</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pStyle w:val="StyleTablebullet9pt"/>
              <w:numPr>
                <w:ilvl w:val="0"/>
                <w:numId w:val="0"/>
              </w:numPr>
              <w:spacing w:before="0" w:after="0"/>
              <w:contextualSpacing/>
              <w:rPr>
                <w:rFonts w:ascii="Arial Narrow" w:hAnsi="Arial Narrow"/>
                <w:b/>
                <w:color w:val="auto"/>
                <w:szCs w:val="18"/>
              </w:rPr>
            </w:pPr>
            <w:r w:rsidRPr="00BA1C0B">
              <w:rPr>
                <w:rFonts w:ascii="Arial Narrow" w:hAnsi="Arial Narrow"/>
                <w:b/>
                <w:color w:val="auto"/>
                <w:szCs w:val="18"/>
              </w:rPr>
              <w:t>AND</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Clinical criteria:</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pStyle w:val="StyleTablebullet9pt"/>
              <w:numPr>
                <w:ilvl w:val="0"/>
                <w:numId w:val="0"/>
              </w:numPr>
              <w:spacing w:before="0" w:after="0"/>
              <w:contextualSpacing/>
              <w:rPr>
                <w:rFonts w:ascii="Arial Narrow" w:hAnsi="Arial Narrow"/>
                <w:color w:val="auto"/>
                <w:szCs w:val="18"/>
              </w:rPr>
            </w:pPr>
            <w:r w:rsidRPr="00BA1C0B">
              <w:rPr>
                <w:rFonts w:ascii="Arial Narrow" w:hAnsi="Arial Narrow"/>
                <w:color w:val="auto"/>
                <w:szCs w:val="18"/>
              </w:rPr>
              <w:t>The treatment must not exceed four loading doses (at days 0, 14, 28 and 63) under this restriction.</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b/>
                <w:sz w:val="18"/>
                <w:szCs w:val="18"/>
              </w:rPr>
            </w:pPr>
            <w:r w:rsidRPr="00BA1C0B">
              <w:rPr>
                <w:rFonts w:ascii="Arial Narrow" w:hAnsi="Arial Narrow"/>
                <w:b/>
                <w:sz w:val="18"/>
                <w:szCs w:val="18"/>
              </w:rPr>
              <w:t>Population criteria:</w:t>
            </w:r>
          </w:p>
        </w:tc>
      </w:tr>
      <w:tr w:rsidR="004F0C22" w:rsidRPr="00BA1C0B" w:rsidTr="004F0C22">
        <w:trPr>
          <w:cantSplit/>
          <w:trHeight w:val="269"/>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hAnsi="Arial Narrow"/>
                <w:sz w:val="18"/>
                <w:szCs w:val="18"/>
              </w:rPr>
            </w:pPr>
            <w:r w:rsidRPr="00BA1C0B">
              <w:rPr>
                <w:rFonts w:ascii="Arial Narrow" w:hAnsi="Arial Narrow"/>
                <w:sz w:val="18"/>
                <w:szCs w:val="18"/>
              </w:rPr>
              <w:t xml:space="preserve">Patient must be </w:t>
            </w:r>
            <w:r w:rsidRPr="00435487">
              <w:rPr>
                <w:rFonts w:ascii="Arial Narrow" w:hAnsi="Arial Narrow"/>
                <w:strike/>
                <w:sz w:val="18"/>
                <w:szCs w:val="18"/>
              </w:rPr>
              <w:t xml:space="preserve">3 years of </w:t>
            </w:r>
            <w:r w:rsidRPr="00BA1C0B">
              <w:rPr>
                <w:rFonts w:ascii="Arial Narrow" w:hAnsi="Arial Narrow"/>
                <w:sz w:val="18"/>
                <w:szCs w:val="18"/>
              </w:rPr>
              <w:t>age</w:t>
            </w:r>
            <w:r>
              <w:rPr>
                <w:rFonts w:ascii="Arial Narrow" w:hAnsi="Arial Narrow"/>
                <w:i/>
                <w:sz w:val="18"/>
                <w:szCs w:val="18"/>
              </w:rPr>
              <w:t>d</w:t>
            </w:r>
            <w:r w:rsidRPr="00BA1C0B">
              <w:rPr>
                <w:rFonts w:ascii="Arial Narrow" w:hAnsi="Arial Narrow"/>
                <w:sz w:val="18"/>
                <w:szCs w:val="18"/>
              </w:rPr>
              <w:t xml:space="preserve"> </w:t>
            </w:r>
            <w:r w:rsidRPr="00435487">
              <w:rPr>
                <w:rFonts w:ascii="Arial Narrow" w:hAnsi="Arial Narrow"/>
                <w:strike/>
                <w:sz w:val="18"/>
                <w:szCs w:val="18"/>
              </w:rPr>
              <w:t xml:space="preserve">or </w:t>
            </w:r>
            <w:r w:rsidRPr="00BA1C0B">
              <w:rPr>
                <w:rFonts w:ascii="Arial Narrow" w:hAnsi="Arial Narrow"/>
                <w:sz w:val="18"/>
                <w:szCs w:val="18"/>
              </w:rPr>
              <w:t>under</w:t>
            </w:r>
            <w:r>
              <w:rPr>
                <w:rFonts w:ascii="Arial Narrow" w:hAnsi="Arial Narrow"/>
                <w:sz w:val="18"/>
                <w:szCs w:val="18"/>
              </w:rPr>
              <w:t xml:space="preserve"> </w:t>
            </w:r>
            <w:r>
              <w:rPr>
                <w:rFonts w:ascii="Arial Narrow" w:hAnsi="Arial Narrow"/>
                <w:i/>
                <w:sz w:val="18"/>
                <w:szCs w:val="18"/>
              </w:rPr>
              <w:t>36 months prior to commencing treatment</w:t>
            </w:r>
            <w:r w:rsidRPr="00BA1C0B">
              <w:rPr>
                <w:rFonts w:ascii="Arial Narrow" w:hAnsi="Arial Narrow"/>
                <w:sz w:val="18"/>
                <w:szCs w:val="18"/>
              </w:rPr>
              <w:t>.</w:t>
            </w:r>
          </w:p>
        </w:tc>
      </w:tr>
      <w:tr w:rsidR="004F0C22" w:rsidRPr="00BA1C0B" w:rsidTr="004F0C22">
        <w:trPr>
          <w:cantSplit/>
          <w:trHeight w:val="360"/>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486936">
            <w:pPr>
              <w:rPr>
                <w:rFonts w:ascii="Arial Narrow" w:eastAsia="Calibri" w:hAnsi="Arial Narrow"/>
                <w:sz w:val="18"/>
                <w:szCs w:val="18"/>
              </w:rPr>
            </w:pPr>
            <w:r w:rsidRPr="00BA1C0B">
              <w:rPr>
                <w:rFonts w:ascii="Arial Narrow" w:eastAsia="Calibri" w:hAnsi="Arial Narrow"/>
                <w:sz w:val="18"/>
                <w:szCs w:val="18"/>
              </w:rPr>
              <w:t xml:space="preserve">Application for authorisation of initial treatment must be in writing </w:t>
            </w:r>
            <w:r>
              <w:rPr>
                <w:rFonts w:ascii="Arial Narrow" w:eastAsia="Calibri" w:hAnsi="Arial Narrow"/>
                <w:sz w:val="18"/>
                <w:szCs w:val="18"/>
              </w:rPr>
              <w:br/>
              <w:t xml:space="preserve">(lodged via postal service or electronic upload) </w:t>
            </w:r>
            <w:r w:rsidRPr="00BA1C0B">
              <w:rPr>
                <w:rFonts w:ascii="Arial Narrow" w:eastAsia="Calibri" w:hAnsi="Arial Narrow"/>
                <w:sz w:val="18"/>
                <w:szCs w:val="18"/>
              </w:rPr>
              <w:t>and must include:</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(a) a completed authority prescription form; and</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 xml:space="preserve">(b) a completed </w:t>
            </w:r>
            <w:r>
              <w:rPr>
                <w:rFonts w:ascii="Arial Narrow" w:eastAsia="Calibri" w:hAnsi="Arial Narrow"/>
                <w:sz w:val="18"/>
                <w:szCs w:val="18"/>
              </w:rPr>
              <w:t>Asymptomatic s</w:t>
            </w:r>
            <w:r w:rsidRPr="00BA1C0B">
              <w:rPr>
                <w:rFonts w:ascii="Arial Narrow" w:eastAsia="Calibri" w:hAnsi="Arial Narrow"/>
                <w:sz w:val="18"/>
                <w:szCs w:val="18"/>
              </w:rPr>
              <w:t>pinal muscular atrophy PBS Authority Application - Supporting Information Form which seeks the following:</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 xml:space="preserve">     (i) confirmation of genetic diagnosis of SMA; and</w:t>
            </w:r>
          </w:p>
          <w:p w:rsidR="004F0C22" w:rsidRDefault="004F0C22" w:rsidP="00B64A58">
            <w:pPr>
              <w:ind w:left="32"/>
              <w:rPr>
                <w:rFonts w:ascii="Arial Narrow" w:eastAsia="Calibri" w:hAnsi="Arial Narrow"/>
                <w:sz w:val="18"/>
                <w:szCs w:val="18"/>
              </w:rPr>
            </w:pPr>
            <w:r w:rsidRPr="00BA1C0B">
              <w:rPr>
                <w:rFonts w:ascii="Arial Narrow" w:eastAsia="Calibri" w:hAnsi="Arial Narrow"/>
                <w:sz w:val="18"/>
                <w:szCs w:val="18"/>
              </w:rPr>
              <w:t xml:space="preserve">    (ii) a copy of </w:t>
            </w:r>
            <w:r>
              <w:rPr>
                <w:rFonts w:ascii="Arial Narrow" w:eastAsia="Calibri" w:hAnsi="Arial Narrow"/>
                <w:sz w:val="18"/>
                <w:szCs w:val="18"/>
              </w:rPr>
              <w:t xml:space="preserve">the </w:t>
            </w:r>
            <w:r w:rsidRPr="00BA1C0B">
              <w:rPr>
                <w:rFonts w:ascii="Arial Narrow" w:eastAsia="Calibri" w:hAnsi="Arial Narrow"/>
                <w:sz w:val="18"/>
                <w:szCs w:val="18"/>
              </w:rPr>
              <w:t xml:space="preserve">results </w:t>
            </w:r>
            <w:r>
              <w:rPr>
                <w:rFonts w:ascii="Arial Narrow" w:eastAsia="Calibri" w:hAnsi="Arial Narrow"/>
                <w:sz w:val="18"/>
                <w:szCs w:val="18"/>
              </w:rPr>
              <w:t xml:space="preserve">substantiating </w:t>
            </w:r>
            <w:r w:rsidRPr="00BA1C0B">
              <w:rPr>
                <w:rFonts w:ascii="Arial Narrow" w:eastAsia="Calibri" w:hAnsi="Arial Narrow"/>
                <w:sz w:val="18"/>
                <w:szCs w:val="18"/>
              </w:rPr>
              <w:t xml:space="preserve"> </w:t>
            </w:r>
            <w:r>
              <w:rPr>
                <w:rFonts w:ascii="Arial Narrow" w:eastAsia="Calibri" w:hAnsi="Arial Narrow"/>
                <w:sz w:val="18"/>
                <w:szCs w:val="18"/>
              </w:rPr>
              <w:t xml:space="preserve">the </w:t>
            </w:r>
            <w:r w:rsidRPr="00BA1C0B">
              <w:rPr>
                <w:rFonts w:ascii="Arial Narrow" w:eastAsia="Calibri" w:hAnsi="Arial Narrow"/>
                <w:sz w:val="18"/>
                <w:szCs w:val="18"/>
              </w:rPr>
              <w:t xml:space="preserve">number of </w:t>
            </w:r>
            <w:r w:rsidRPr="00B64A58">
              <w:rPr>
                <w:rFonts w:ascii="Arial Narrow" w:eastAsia="Calibri" w:hAnsi="Arial Narrow"/>
                <w:i/>
                <w:sz w:val="18"/>
                <w:szCs w:val="18"/>
              </w:rPr>
              <w:t>SMN2</w:t>
            </w:r>
            <w:r>
              <w:rPr>
                <w:rFonts w:ascii="Arial Narrow" w:eastAsia="Calibri" w:hAnsi="Arial Narrow"/>
                <w:sz w:val="18"/>
                <w:szCs w:val="18"/>
              </w:rPr>
              <w:t xml:space="preserve"> gene </w:t>
            </w:r>
            <w:r w:rsidRPr="00BA1C0B">
              <w:rPr>
                <w:rFonts w:ascii="Arial Narrow" w:eastAsia="Calibri" w:hAnsi="Arial Narrow"/>
                <w:sz w:val="18"/>
                <w:szCs w:val="18"/>
              </w:rPr>
              <w:t xml:space="preserve"> cop</w:t>
            </w:r>
            <w:r>
              <w:rPr>
                <w:rFonts w:ascii="Arial Narrow" w:eastAsia="Calibri" w:hAnsi="Arial Narrow"/>
                <w:sz w:val="18"/>
                <w:szCs w:val="18"/>
              </w:rPr>
              <w:t>ies</w:t>
            </w:r>
            <w:r w:rsidRPr="00BA1C0B">
              <w:rPr>
                <w:rFonts w:ascii="Arial Narrow" w:eastAsia="Calibri" w:hAnsi="Arial Narrow"/>
                <w:sz w:val="18"/>
                <w:szCs w:val="18"/>
              </w:rPr>
              <w:t xml:space="preserve"> determined by quantitative polymerase chain reaction (qPCR) </w:t>
            </w:r>
            <w:r>
              <w:rPr>
                <w:rFonts w:ascii="Arial Narrow" w:eastAsia="Calibri" w:hAnsi="Arial Narrow"/>
                <w:sz w:val="18"/>
                <w:szCs w:val="18"/>
              </w:rPr>
              <w:t>o</w:t>
            </w:r>
            <w:r w:rsidRPr="00BA1C0B">
              <w:rPr>
                <w:rFonts w:ascii="Arial Narrow" w:eastAsia="Calibri" w:hAnsi="Arial Narrow"/>
                <w:sz w:val="18"/>
                <w:szCs w:val="18"/>
              </w:rPr>
              <w:t xml:space="preserve">r multiple ligation dependent probe amplification (MLPA); </w:t>
            </w:r>
          </w:p>
          <w:p w:rsidR="004F0C22" w:rsidRDefault="004F0C22" w:rsidP="00CD6411">
            <w:pPr>
              <w:ind w:left="32"/>
              <w:rPr>
                <w:rFonts w:ascii="Arial Narrow" w:eastAsia="Calibri" w:hAnsi="Arial Narrow"/>
                <w:sz w:val="18"/>
                <w:szCs w:val="18"/>
              </w:rPr>
            </w:pPr>
          </w:p>
          <w:p w:rsidR="004F0C22" w:rsidRPr="00BA1C0B" w:rsidRDefault="004F0C22" w:rsidP="00486936">
            <w:pPr>
              <w:ind w:left="32"/>
              <w:rPr>
                <w:rFonts w:ascii="Arial Narrow" w:eastAsia="Calibri" w:hAnsi="Arial Narrow"/>
                <w:sz w:val="18"/>
                <w:szCs w:val="18"/>
              </w:rPr>
            </w:pPr>
            <w:r>
              <w:rPr>
                <w:rFonts w:ascii="Arial Narrow" w:eastAsia="Calibri" w:hAnsi="Arial Narrow"/>
                <w:sz w:val="18"/>
                <w:szCs w:val="18"/>
              </w:rPr>
              <w:t xml:space="preserve">An outcome on the authority application is not immediate, but will follow in due course. Electronic upload is encouraged to reduce processing time.  </w:t>
            </w:r>
          </w:p>
        </w:tc>
      </w:tr>
      <w:tr w:rsidR="004F0C22" w:rsidRPr="00BA1C0B" w:rsidTr="004F0C22">
        <w:trPr>
          <w:cantSplit/>
          <w:trHeight w:val="360"/>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eastAsia="Calibri" w:hAnsi="Arial Narrow"/>
                <w:b/>
                <w:sz w:val="18"/>
                <w:szCs w:val="18"/>
              </w:rPr>
            </w:pPr>
            <w:r w:rsidRPr="00BA1C0B">
              <w:rPr>
                <w:rFonts w:ascii="Arial Narrow" w:eastAsia="Calibri" w:hAnsi="Arial Narrow"/>
                <w:b/>
                <w:sz w:val="18"/>
                <w:szCs w:val="18"/>
              </w:rPr>
              <w:t>Prescriber Instructions:</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Recognised hospitals in the management of SMA are Queensland Children’s Hospital (Brisbane), Royal Children's Hospital Melbourne, Monash Children's Hospital (Melbourne), John Hunter Hospital (Newcastle), Sydney Children's Hospital Randwick, Children's Hospital at Westmead, Adelaide Women and Children's Hospital and Perth Children's Hospital.</w:t>
            </w:r>
          </w:p>
        </w:tc>
      </w:tr>
      <w:tr w:rsidR="004F0C22" w:rsidRPr="00BA1C0B" w:rsidTr="004F0C22">
        <w:trPr>
          <w:cantSplit/>
          <w:trHeight w:val="2996"/>
        </w:trPr>
        <w:tc>
          <w:tcPr>
            <w:tcW w:w="5000" w:type="pct"/>
            <w:tcBorders>
              <w:top w:val="single" w:sz="4" w:space="0" w:color="auto"/>
              <w:left w:val="single" w:sz="4" w:space="0" w:color="auto"/>
              <w:right w:val="single" w:sz="4" w:space="0" w:color="auto"/>
            </w:tcBorders>
            <w:hideMark/>
          </w:tcPr>
          <w:p w:rsidR="004F0C22" w:rsidRPr="00BA1C0B" w:rsidRDefault="004F0C22" w:rsidP="00BC1720">
            <w:pPr>
              <w:rPr>
                <w:rFonts w:ascii="Arial Narrow" w:eastAsia="Calibri" w:hAnsi="Arial Narrow"/>
                <w:sz w:val="18"/>
                <w:szCs w:val="18"/>
              </w:rPr>
            </w:pPr>
            <w:r w:rsidRPr="00BA1C0B">
              <w:rPr>
                <w:rFonts w:ascii="Arial Narrow" w:eastAsia="Calibri" w:hAnsi="Arial Narrow"/>
                <w:b/>
                <w:sz w:val="18"/>
                <w:szCs w:val="18"/>
              </w:rPr>
              <w:t xml:space="preserve">Administrative Advice: </w:t>
            </w:r>
            <w:r w:rsidRPr="00BA1C0B">
              <w:rPr>
                <w:rFonts w:ascii="Arial Narrow" w:eastAsia="Calibri" w:hAnsi="Arial Narrow"/>
                <w:sz w:val="18"/>
                <w:szCs w:val="18"/>
              </w:rPr>
              <w:t>Any queries concerning the arrangements to prescribe may be directed to Services Australia on 1800 700 270 (hours of operation 8 a.m. to 5 p.m. EST Monday to Friday).</w:t>
            </w:r>
          </w:p>
          <w:p w:rsidR="004F0C22" w:rsidRPr="00BA1C0B" w:rsidRDefault="004F0C22" w:rsidP="00BC1720">
            <w:pPr>
              <w:rPr>
                <w:rFonts w:ascii="Arial Narrow" w:eastAsia="Calibri" w:hAnsi="Arial Narrow"/>
                <w:sz w:val="18"/>
                <w:szCs w:val="18"/>
              </w:rPr>
            </w:pP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Prescribing information (including Authority Application forms and other relevant documentation as applicable) is available on the Services Australia website at www.servicesaustralia.gov.au</w:t>
            </w:r>
          </w:p>
          <w:p w:rsidR="004F0C22" w:rsidRPr="00BA1C0B" w:rsidRDefault="004F0C22" w:rsidP="00BC1720">
            <w:pPr>
              <w:rPr>
                <w:rFonts w:ascii="Arial Narrow" w:eastAsia="Calibri" w:hAnsi="Arial Narrow"/>
                <w:strike/>
                <w:sz w:val="18"/>
                <w:szCs w:val="18"/>
              </w:rPr>
            </w:pP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Applications for authority to prescribe should be submitted online using the form upload facility in Health Professional Online Services (HPOS) at www.servicesaustralia.gov.au/hpos</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Or mailed to:</w:t>
            </w:r>
          </w:p>
          <w:p w:rsidR="004F0C22" w:rsidRPr="00BA1C0B" w:rsidRDefault="004F0C22" w:rsidP="00BC1720">
            <w:pPr>
              <w:rPr>
                <w:rFonts w:ascii="Arial Narrow" w:eastAsia="Calibri" w:hAnsi="Arial Narrow"/>
                <w:sz w:val="18"/>
                <w:szCs w:val="18"/>
              </w:rPr>
            </w:pP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Services Australia</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Complex Drugs</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Reply Paid 9826</w:t>
            </w:r>
          </w:p>
          <w:p w:rsidR="004F0C22" w:rsidRPr="00BA1C0B" w:rsidRDefault="004F0C22" w:rsidP="00BC1720">
            <w:pPr>
              <w:rPr>
                <w:rFonts w:ascii="Arial Narrow" w:eastAsia="Calibri" w:hAnsi="Arial Narrow"/>
                <w:sz w:val="18"/>
                <w:szCs w:val="18"/>
              </w:rPr>
            </w:pPr>
            <w:r w:rsidRPr="00BA1C0B">
              <w:rPr>
                <w:rFonts w:ascii="Arial Narrow" w:eastAsia="Calibri" w:hAnsi="Arial Narrow"/>
                <w:sz w:val="18"/>
                <w:szCs w:val="18"/>
              </w:rPr>
              <w:t>HOBART TAS 7001</w:t>
            </w:r>
          </w:p>
        </w:tc>
      </w:tr>
      <w:tr w:rsidR="004F0C22" w:rsidRPr="00BA1C0B" w:rsidTr="004F0C22">
        <w:trPr>
          <w:cantSplit/>
          <w:trHeight w:val="177"/>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eastAsia="Calibri" w:hAnsi="Arial Narrow"/>
                <w:sz w:val="18"/>
                <w:szCs w:val="18"/>
              </w:rPr>
            </w:pPr>
            <w:r w:rsidRPr="00BA1C0B">
              <w:rPr>
                <w:rFonts w:ascii="Arial Narrow" w:eastAsia="Calibri" w:hAnsi="Arial Narrow"/>
                <w:b/>
                <w:sz w:val="18"/>
                <w:szCs w:val="18"/>
              </w:rPr>
              <w:lastRenderedPageBreak/>
              <w:t xml:space="preserve">Administrative Advice: </w:t>
            </w:r>
            <w:r w:rsidRPr="00BA1C0B">
              <w:rPr>
                <w:rFonts w:ascii="Arial Narrow" w:eastAsia="Calibri" w:hAnsi="Arial Narrow"/>
                <w:sz w:val="18"/>
                <w:szCs w:val="18"/>
              </w:rPr>
              <w:t>No increase in the maximum quantity or number of units may be authorised.</w:t>
            </w:r>
          </w:p>
        </w:tc>
      </w:tr>
      <w:tr w:rsidR="004F0C22" w:rsidRPr="00BA1C0B" w:rsidTr="004F0C22">
        <w:trPr>
          <w:cantSplit/>
          <w:trHeight w:val="64"/>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eastAsia="Calibri" w:hAnsi="Arial Narrow"/>
                <w:sz w:val="18"/>
                <w:szCs w:val="18"/>
              </w:rPr>
            </w:pPr>
            <w:r w:rsidRPr="00BA1C0B">
              <w:rPr>
                <w:rFonts w:ascii="Arial Narrow" w:eastAsia="Calibri" w:hAnsi="Arial Narrow"/>
                <w:b/>
                <w:sz w:val="18"/>
                <w:szCs w:val="18"/>
              </w:rPr>
              <w:t xml:space="preserve">Administrative Advice: </w:t>
            </w:r>
            <w:r w:rsidRPr="00BA1C0B">
              <w:rPr>
                <w:rFonts w:ascii="Arial Narrow" w:eastAsia="Calibri" w:hAnsi="Arial Narrow"/>
                <w:sz w:val="18"/>
                <w:szCs w:val="18"/>
              </w:rPr>
              <w:t>No increase in the maximum number of repeats may be authorised.</w:t>
            </w:r>
          </w:p>
        </w:tc>
      </w:tr>
      <w:tr w:rsidR="004F0C22" w:rsidRPr="00BA1C0B" w:rsidTr="004F0C22">
        <w:trPr>
          <w:cantSplit/>
          <w:trHeight w:val="60"/>
        </w:trPr>
        <w:tc>
          <w:tcPr>
            <w:tcW w:w="5000" w:type="pct"/>
            <w:tcBorders>
              <w:top w:val="single" w:sz="4" w:space="0" w:color="auto"/>
              <w:left w:val="single" w:sz="4" w:space="0" w:color="auto"/>
              <w:bottom w:val="single" w:sz="4" w:space="0" w:color="auto"/>
              <w:right w:val="single" w:sz="4" w:space="0" w:color="auto"/>
            </w:tcBorders>
          </w:tcPr>
          <w:p w:rsidR="004F0C22" w:rsidRPr="00BA1C0B" w:rsidRDefault="004F0C22" w:rsidP="00BC1720">
            <w:pPr>
              <w:rPr>
                <w:rFonts w:ascii="Arial Narrow" w:eastAsia="Calibri" w:hAnsi="Arial Narrow"/>
                <w:sz w:val="18"/>
                <w:szCs w:val="18"/>
              </w:rPr>
            </w:pPr>
            <w:r w:rsidRPr="00BA1C0B">
              <w:rPr>
                <w:rFonts w:ascii="Arial Narrow" w:eastAsia="Calibri" w:hAnsi="Arial Narrow"/>
                <w:b/>
                <w:sz w:val="18"/>
                <w:szCs w:val="18"/>
              </w:rPr>
              <w:t xml:space="preserve">Administrative Advice: </w:t>
            </w:r>
            <w:r w:rsidRPr="00BA1C0B">
              <w:rPr>
                <w:rFonts w:ascii="Arial Narrow" w:eastAsia="Calibri" w:hAnsi="Arial Narrow"/>
                <w:sz w:val="18"/>
                <w:szCs w:val="18"/>
              </w:rPr>
              <w:t>Special Pricing Arrangements apply.</w:t>
            </w:r>
          </w:p>
        </w:tc>
      </w:tr>
    </w:tbl>
    <w:p w:rsidR="00B713BC" w:rsidRDefault="00B713BC" w:rsidP="00E816F2">
      <w:pPr>
        <w:ind w:left="360"/>
        <w:contextualSpacing/>
        <w:jc w:val="left"/>
        <w:rPr>
          <w:rFonts w:cs="Calibri"/>
        </w:rPr>
      </w:pPr>
    </w:p>
    <w:p w:rsidR="008C3454" w:rsidRPr="00361189" w:rsidRDefault="008C3454" w:rsidP="00E816F2">
      <w:pPr>
        <w:ind w:left="360"/>
        <w:contextualSpacing/>
        <w:jc w:val="left"/>
        <w:rPr>
          <w:rFonts w:cs="Calibri"/>
        </w:rPr>
      </w:pPr>
    </w:p>
    <w:p w:rsidR="00735BF8" w:rsidRDefault="00735BF8" w:rsidP="009350BA">
      <w:pPr>
        <w:pStyle w:val="3-BodyText"/>
        <w:keepNext/>
        <w:keepLines/>
      </w:pPr>
      <w:r>
        <w:t>F</w:t>
      </w:r>
      <w:r w:rsidR="008D5136" w:rsidRPr="00361189">
        <w:t>low</w:t>
      </w:r>
      <w:r>
        <w:t>-</w:t>
      </w:r>
      <w:r w:rsidR="008D5136" w:rsidRPr="00361189">
        <w:t>on change</w:t>
      </w:r>
      <w:r>
        <w:t>s</w:t>
      </w:r>
      <w:r w:rsidR="008D5136" w:rsidRPr="00361189">
        <w:t xml:space="preserve"> to the current nusinersen</w:t>
      </w:r>
      <w:r>
        <w:t xml:space="preserve"> listings are outlined as follows:</w:t>
      </w:r>
      <w:r w:rsidR="008D5136" w:rsidRPr="00361189">
        <w:t xml:space="preserve"> </w:t>
      </w:r>
    </w:p>
    <w:p w:rsidR="003F51B1" w:rsidRDefault="003F51B1" w:rsidP="009350BA">
      <w:pPr>
        <w:pStyle w:val="3-BodyText"/>
        <w:keepNext/>
        <w:keepLines/>
        <w:numPr>
          <w:ilvl w:val="0"/>
          <w:numId w:val="0"/>
        </w:numPr>
        <w:ind w:left="720"/>
        <w:rPr>
          <w:b/>
        </w:rPr>
      </w:pPr>
    </w:p>
    <w:p w:rsidR="0096543B" w:rsidRDefault="0096543B" w:rsidP="009350BA">
      <w:pPr>
        <w:pStyle w:val="3-BodyText"/>
        <w:keepNext/>
        <w:keepLines/>
        <w:numPr>
          <w:ilvl w:val="0"/>
          <w:numId w:val="0"/>
        </w:numPr>
        <w:ind w:left="720"/>
        <w:rPr>
          <w:b/>
        </w:rPr>
      </w:pPr>
      <w:r w:rsidRPr="00BB03A7">
        <w:rPr>
          <w:b/>
        </w:rPr>
        <w:t>Initial treatment:</w:t>
      </w:r>
    </w:p>
    <w:p w:rsidR="00E23866" w:rsidRPr="00E23866" w:rsidRDefault="00970509" w:rsidP="009350BA">
      <w:pPr>
        <w:pStyle w:val="3-BodyText"/>
        <w:keepNext/>
        <w:keepLines/>
        <w:numPr>
          <w:ilvl w:val="0"/>
          <w:numId w:val="0"/>
        </w:numPr>
        <w:ind w:left="720"/>
      </w:pPr>
      <w:r>
        <w:t>Restriction summary 7854/Treatment of Concept 7849</w:t>
      </w:r>
      <w:r w:rsidR="00E23866">
        <w:t>; PBS item codes</w:t>
      </w:r>
      <w:r>
        <w:t>: 11363C (Public)/</w:t>
      </w:r>
      <w:r w:rsidR="00E23866">
        <w:t xml:space="preserve"> </w:t>
      </w:r>
      <w:r w:rsidRPr="00E659B7">
        <w:t>11472T</w:t>
      </w:r>
      <w:r>
        <w:t xml:space="preserve"> (Private)</w:t>
      </w:r>
    </w:p>
    <w:p w:rsidR="00735BF8" w:rsidRDefault="00735BF8" w:rsidP="00735BF8">
      <w:pPr>
        <w:pStyle w:val="3-BodyText"/>
        <w:numPr>
          <w:ilvl w:val="0"/>
          <w:numId w:val="0"/>
        </w:numPr>
        <w:ind w:left="720"/>
      </w:pPr>
      <w:r>
        <w:t xml:space="preserve">(i) Edit indication </w:t>
      </w:r>
      <w:r w:rsidR="009910F6">
        <w:t>to make it easily distinguishable from the new asymptomatic indication:</w:t>
      </w:r>
    </w:p>
    <w:tbl>
      <w:tblPr>
        <w:tblW w:w="398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79"/>
      </w:tblGrid>
      <w:tr w:rsidR="004F0C22" w:rsidRPr="00E23866" w:rsidTr="004F0C22">
        <w:tc>
          <w:tcPr>
            <w:tcW w:w="5000" w:type="pct"/>
            <w:vAlign w:val="center"/>
          </w:tcPr>
          <w:p w:rsidR="004F0C22" w:rsidRPr="00E23866" w:rsidRDefault="004F0C22" w:rsidP="009910F6">
            <w:pPr>
              <w:jc w:val="left"/>
              <w:rPr>
                <w:rFonts w:ascii="Arial Narrow" w:hAnsi="Arial Narrow" w:cs="Times New Roman"/>
                <w:bCs/>
                <w:color w:val="333333"/>
                <w:sz w:val="18"/>
                <w:szCs w:val="18"/>
              </w:rPr>
            </w:pPr>
            <w:r w:rsidRPr="00E23866">
              <w:rPr>
                <w:rFonts w:ascii="Arial Narrow" w:hAnsi="Arial Narrow" w:cs="Times New Roman"/>
                <w:b/>
                <w:bCs/>
                <w:color w:val="333333"/>
                <w:sz w:val="18"/>
                <w:szCs w:val="18"/>
              </w:rPr>
              <w:t xml:space="preserve">Episodicity: </w:t>
            </w:r>
            <w:r w:rsidRPr="009910F6">
              <w:rPr>
                <w:rFonts w:ascii="Arial Narrow" w:hAnsi="Arial Narrow" w:cs="Times New Roman"/>
                <w:bCs/>
                <w:i/>
                <w:color w:val="333333"/>
                <w:sz w:val="18"/>
                <w:szCs w:val="18"/>
              </w:rPr>
              <w:t>Symptomatic</w:t>
            </w:r>
          </w:p>
        </w:tc>
      </w:tr>
      <w:tr w:rsidR="004F0C22" w:rsidRPr="00E23866" w:rsidTr="004F0C22">
        <w:tc>
          <w:tcPr>
            <w:tcW w:w="5000" w:type="pct"/>
            <w:vAlign w:val="center"/>
          </w:tcPr>
          <w:p w:rsidR="004F0C22" w:rsidRPr="00E23866" w:rsidRDefault="004F0C22" w:rsidP="00E23866">
            <w:pPr>
              <w:jc w:val="left"/>
              <w:rPr>
                <w:rFonts w:ascii="Arial Narrow" w:hAnsi="Arial Narrow" w:cs="Times New Roman"/>
                <w:b/>
                <w:bCs/>
                <w:color w:val="333333"/>
                <w:sz w:val="18"/>
                <w:szCs w:val="18"/>
              </w:rPr>
            </w:pPr>
            <w:r w:rsidRPr="00E23866">
              <w:rPr>
                <w:rFonts w:ascii="Arial Narrow" w:hAnsi="Arial Narrow" w:cs="Times New Roman"/>
                <w:b/>
                <w:bCs/>
                <w:color w:val="333333"/>
                <w:sz w:val="18"/>
                <w:szCs w:val="18"/>
              </w:rPr>
              <w:t xml:space="preserve">Severity: </w:t>
            </w:r>
            <w:r w:rsidRPr="00E23866">
              <w:rPr>
                <w:rFonts w:ascii="Arial Narrow" w:hAnsi="Arial Narrow" w:cs="Times New Roman"/>
                <w:bCs/>
                <w:i/>
                <w:color w:val="333333"/>
                <w:sz w:val="18"/>
                <w:szCs w:val="18"/>
              </w:rPr>
              <w:t>Type I, II or IIIa</w:t>
            </w:r>
          </w:p>
        </w:tc>
      </w:tr>
      <w:tr w:rsidR="004F0C22" w:rsidRPr="00E23866" w:rsidTr="004F0C22">
        <w:tc>
          <w:tcPr>
            <w:tcW w:w="5000" w:type="pct"/>
            <w:vAlign w:val="center"/>
          </w:tcPr>
          <w:p w:rsidR="004F0C22" w:rsidRPr="00E23866" w:rsidRDefault="004F0C22" w:rsidP="00E23866">
            <w:pPr>
              <w:jc w:val="left"/>
              <w:rPr>
                <w:rFonts w:ascii="Arial Narrow" w:hAnsi="Arial Narrow" w:cs="Times New Roman"/>
                <w:b/>
                <w:bCs/>
                <w:color w:val="333333"/>
                <w:sz w:val="18"/>
                <w:szCs w:val="18"/>
              </w:rPr>
            </w:pPr>
            <w:r w:rsidRPr="00E23866">
              <w:rPr>
                <w:rFonts w:ascii="Arial Narrow" w:hAnsi="Arial Narrow" w:cs="Times New Roman"/>
                <w:b/>
                <w:bCs/>
                <w:color w:val="333333"/>
                <w:sz w:val="18"/>
                <w:szCs w:val="18"/>
              </w:rPr>
              <w:t xml:space="preserve">Condition: </w:t>
            </w:r>
            <w:r>
              <w:rPr>
                <w:rFonts w:ascii="Arial Narrow" w:hAnsi="Arial Narrow" w:cs="Times New Roman"/>
                <w:b/>
                <w:bCs/>
                <w:strike/>
                <w:color w:val="333333"/>
                <w:sz w:val="18"/>
                <w:szCs w:val="18"/>
              </w:rPr>
              <w:t>S</w:t>
            </w:r>
            <w:r w:rsidRPr="009910F6">
              <w:rPr>
                <w:rFonts w:ascii="Arial Narrow" w:hAnsi="Arial Narrow" w:cs="Times New Roman"/>
                <w:bCs/>
                <w:i/>
                <w:color w:val="333333"/>
                <w:sz w:val="18"/>
                <w:szCs w:val="18"/>
              </w:rPr>
              <w:t>s</w:t>
            </w:r>
            <w:r>
              <w:rPr>
                <w:rFonts w:ascii="Arial Narrow" w:hAnsi="Arial Narrow" w:cs="Times New Roman"/>
                <w:bCs/>
                <w:color w:val="333333"/>
                <w:sz w:val="18"/>
                <w:szCs w:val="18"/>
              </w:rPr>
              <w:t>pinal muscular atrophy (SMA)</w:t>
            </w:r>
          </w:p>
        </w:tc>
      </w:tr>
      <w:tr w:rsidR="004F0C22" w:rsidRPr="00E23866" w:rsidTr="004F0C22">
        <w:tc>
          <w:tcPr>
            <w:tcW w:w="5000" w:type="pct"/>
            <w:vAlign w:val="center"/>
            <w:hideMark/>
          </w:tcPr>
          <w:p w:rsidR="004F0C22" w:rsidRPr="00E23866" w:rsidRDefault="004F0C22" w:rsidP="00E23866">
            <w:pPr>
              <w:jc w:val="left"/>
              <w:rPr>
                <w:rFonts w:ascii="Arial Narrow" w:hAnsi="Arial Narrow" w:cs="Times New Roman"/>
                <w:color w:val="333333"/>
                <w:sz w:val="18"/>
                <w:szCs w:val="18"/>
              </w:rPr>
            </w:pPr>
            <w:r w:rsidRPr="00E23866">
              <w:rPr>
                <w:rFonts w:ascii="Arial Narrow" w:hAnsi="Arial Narrow" w:cs="Times New Roman"/>
                <w:b/>
                <w:bCs/>
                <w:color w:val="333333"/>
                <w:sz w:val="18"/>
                <w:szCs w:val="18"/>
              </w:rPr>
              <w:t>Indication:</w:t>
            </w:r>
            <w:r w:rsidRPr="00E23866">
              <w:rPr>
                <w:rFonts w:ascii="Arial Narrow" w:hAnsi="Arial Narrow" w:cs="Times New Roman"/>
                <w:color w:val="333333"/>
                <w:sz w:val="18"/>
                <w:szCs w:val="18"/>
              </w:rPr>
              <w:t xml:space="preserve"> </w:t>
            </w:r>
            <w:r w:rsidRPr="009910F6">
              <w:rPr>
                <w:rFonts w:ascii="Arial Narrow" w:hAnsi="Arial Narrow" w:cs="Times New Roman"/>
                <w:i/>
                <w:color w:val="333333"/>
                <w:sz w:val="18"/>
                <w:szCs w:val="18"/>
              </w:rPr>
              <w:t>Symptomatic Type I, II or IIIa</w:t>
            </w:r>
            <w:r>
              <w:rPr>
                <w:rFonts w:ascii="Arial Narrow" w:hAnsi="Arial Narrow" w:cs="Times New Roman"/>
                <w:color w:val="333333"/>
                <w:sz w:val="18"/>
                <w:szCs w:val="18"/>
              </w:rPr>
              <w:t xml:space="preserve"> spinal muscular atrophy (SMA)</w:t>
            </w:r>
          </w:p>
        </w:tc>
      </w:tr>
    </w:tbl>
    <w:p w:rsidR="00BB03A7" w:rsidRDefault="00BB03A7" w:rsidP="002901C0">
      <w:pPr>
        <w:pStyle w:val="3-BodyText"/>
        <w:numPr>
          <w:ilvl w:val="0"/>
          <w:numId w:val="0"/>
        </w:numPr>
        <w:spacing w:after="0"/>
      </w:pPr>
    </w:p>
    <w:p w:rsidR="008D5136" w:rsidRDefault="00735BF8" w:rsidP="00735BF8">
      <w:pPr>
        <w:pStyle w:val="3-BodyText"/>
        <w:numPr>
          <w:ilvl w:val="0"/>
          <w:numId w:val="0"/>
        </w:numPr>
        <w:ind w:left="720"/>
      </w:pPr>
      <w:r>
        <w:t xml:space="preserve">(ii) </w:t>
      </w:r>
      <w:r w:rsidR="0096543B">
        <w:t xml:space="preserve">Edit </w:t>
      </w:r>
      <w:r w:rsidR="008D5136" w:rsidRPr="00361189">
        <w:t>the</w:t>
      </w:r>
      <w:r w:rsidR="00D639DF" w:rsidRPr="00361189">
        <w:t xml:space="preserve"> treatment phase </w:t>
      </w:r>
      <w:r w:rsidR="0096543B">
        <w:t>description to distinguish it from that described for asymptomatic patients</w:t>
      </w:r>
    </w:p>
    <w:tbl>
      <w:tblPr>
        <w:tblStyle w:val="TableGrid"/>
        <w:tblW w:w="0" w:type="auto"/>
        <w:tblInd w:w="704" w:type="dxa"/>
        <w:tblLook w:val="04A0" w:firstRow="1" w:lastRow="0" w:firstColumn="1" w:lastColumn="0" w:noHBand="0" w:noVBand="1"/>
      </w:tblPr>
      <w:tblGrid>
        <w:gridCol w:w="7229"/>
      </w:tblGrid>
      <w:tr w:rsidR="00BB03A7" w:rsidTr="004F0C22">
        <w:tc>
          <w:tcPr>
            <w:tcW w:w="7229" w:type="dxa"/>
          </w:tcPr>
          <w:p w:rsidR="00BB03A7" w:rsidRPr="009910F6" w:rsidRDefault="009910F6" w:rsidP="00735BF8">
            <w:pPr>
              <w:pStyle w:val="3-BodyText"/>
              <w:numPr>
                <w:ilvl w:val="0"/>
                <w:numId w:val="0"/>
              </w:numPr>
              <w:rPr>
                <w:rFonts w:ascii="Arial Narrow" w:hAnsi="Arial Narrow"/>
                <w:sz w:val="18"/>
                <w:szCs w:val="18"/>
              </w:rPr>
            </w:pPr>
            <w:r w:rsidRPr="009910F6">
              <w:rPr>
                <w:rFonts w:ascii="Arial Narrow" w:hAnsi="Arial Narrow"/>
                <w:b/>
                <w:sz w:val="18"/>
                <w:szCs w:val="18"/>
              </w:rPr>
              <w:t>Treatment Phase:</w:t>
            </w:r>
            <w:r w:rsidRPr="009910F6">
              <w:rPr>
                <w:rFonts w:ascii="Arial Narrow" w:hAnsi="Arial Narrow"/>
                <w:sz w:val="18"/>
                <w:szCs w:val="18"/>
              </w:rPr>
              <w:t xml:space="preserve"> Initial treatment </w:t>
            </w:r>
            <w:r>
              <w:rPr>
                <w:rFonts w:ascii="Arial Narrow" w:hAnsi="Arial Narrow"/>
                <w:i/>
                <w:sz w:val="18"/>
                <w:szCs w:val="18"/>
              </w:rPr>
              <w:t xml:space="preserve">of symptomatic Type I, II or IIIa SMA </w:t>
            </w:r>
            <w:r w:rsidRPr="009910F6">
              <w:rPr>
                <w:rFonts w:ascii="Arial Narrow" w:hAnsi="Arial Narrow"/>
                <w:sz w:val="18"/>
                <w:szCs w:val="18"/>
              </w:rPr>
              <w:t>- Loading doses</w:t>
            </w:r>
          </w:p>
        </w:tc>
      </w:tr>
    </w:tbl>
    <w:p w:rsidR="00BB03A7" w:rsidRDefault="00BB03A7" w:rsidP="002901C0">
      <w:pPr>
        <w:pStyle w:val="3-BodyText"/>
        <w:numPr>
          <w:ilvl w:val="0"/>
          <w:numId w:val="0"/>
        </w:numPr>
        <w:spacing w:after="0"/>
        <w:ind w:left="720"/>
      </w:pPr>
    </w:p>
    <w:p w:rsidR="00E23866" w:rsidRDefault="0096543B" w:rsidP="002901C0">
      <w:pPr>
        <w:pStyle w:val="3-BodyText"/>
        <w:numPr>
          <w:ilvl w:val="0"/>
          <w:numId w:val="0"/>
        </w:numPr>
        <w:ind w:left="720"/>
      </w:pPr>
      <w:r>
        <w:t>(iii) Edit the clinical criterion</w:t>
      </w:r>
      <w:r w:rsidR="00BB03A7">
        <w:t xml:space="preserve"> mentioning the</w:t>
      </w:r>
      <w:r>
        <w:t xml:space="preserve"> SMN1 gene </w:t>
      </w:r>
      <w:r w:rsidR="00BB03A7">
        <w:t>for further clarity and technical correctness</w:t>
      </w:r>
      <w:r w:rsidR="00B97522">
        <w:t>:</w:t>
      </w:r>
    </w:p>
    <w:tbl>
      <w:tblPr>
        <w:tblStyle w:val="TableGrid"/>
        <w:tblW w:w="0" w:type="auto"/>
        <w:tblInd w:w="704" w:type="dxa"/>
        <w:tblLook w:val="04A0" w:firstRow="1" w:lastRow="0" w:firstColumn="1" w:lastColumn="0" w:noHBand="0" w:noVBand="1"/>
      </w:tblPr>
      <w:tblGrid>
        <w:gridCol w:w="7179"/>
      </w:tblGrid>
      <w:tr w:rsidR="004F0C22" w:rsidTr="002901C0">
        <w:tc>
          <w:tcPr>
            <w:tcW w:w="7179" w:type="dxa"/>
          </w:tcPr>
          <w:p w:rsidR="004F0C22" w:rsidRPr="00970509" w:rsidRDefault="004F0C22" w:rsidP="00B97522">
            <w:pPr>
              <w:pStyle w:val="3-BodyText"/>
              <w:numPr>
                <w:ilvl w:val="0"/>
                <w:numId w:val="0"/>
              </w:numPr>
              <w:rPr>
                <w:rFonts w:ascii="Arial Narrow" w:hAnsi="Arial Narrow"/>
                <w:b/>
                <w:sz w:val="18"/>
                <w:szCs w:val="18"/>
              </w:rPr>
            </w:pPr>
            <w:r w:rsidRPr="00970509">
              <w:rPr>
                <w:rFonts w:ascii="Arial Narrow" w:hAnsi="Arial Narrow"/>
                <w:b/>
                <w:sz w:val="18"/>
                <w:szCs w:val="18"/>
              </w:rPr>
              <w:t>Clinical Criterion</w:t>
            </w:r>
          </w:p>
        </w:tc>
      </w:tr>
      <w:tr w:rsidR="004F0C22" w:rsidTr="002901C0">
        <w:tc>
          <w:tcPr>
            <w:tcW w:w="7179" w:type="dxa"/>
          </w:tcPr>
          <w:p w:rsidR="004F0C22" w:rsidRPr="00B97522" w:rsidRDefault="004F0C22" w:rsidP="00970509">
            <w:pPr>
              <w:pStyle w:val="3-BodyText"/>
              <w:numPr>
                <w:ilvl w:val="0"/>
                <w:numId w:val="0"/>
              </w:numPr>
              <w:rPr>
                <w:rFonts w:ascii="Arial Narrow" w:hAnsi="Arial Narrow"/>
                <w:sz w:val="18"/>
                <w:szCs w:val="18"/>
              </w:rPr>
            </w:pPr>
            <w:r w:rsidRPr="00B97522">
              <w:rPr>
                <w:rFonts w:ascii="Arial Narrow" w:hAnsi="Arial Narrow"/>
                <w:sz w:val="18"/>
                <w:szCs w:val="18"/>
              </w:rPr>
              <w:t xml:space="preserve">The condition must </w:t>
            </w:r>
            <w:r w:rsidRPr="00B97522">
              <w:rPr>
                <w:rFonts w:ascii="Arial Narrow" w:hAnsi="Arial Narrow"/>
                <w:strike/>
                <w:sz w:val="18"/>
                <w:szCs w:val="18"/>
              </w:rPr>
              <w:t>5q homozygous deletion, mutation of, or compound heterozygous mutation in the SMN1 gene of type I, II or IIIa,</w:t>
            </w:r>
            <w:r>
              <w:rPr>
                <w:rFonts w:ascii="Arial Narrow" w:hAnsi="Arial Narrow"/>
                <w:sz w:val="18"/>
                <w:szCs w:val="18"/>
              </w:rPr>
              <w:t xml:space="preserve"> </w:t>
            </w:r>
            <w:r w:rsidRPr="00B97522">
              <w:rPr>
                <w:rFonts w:ascii="Arial Narrow" w:hAnsi="Arial Narrow"/>
                <w:sz w:val="18"/>
                <w:szCs w:val="18"/>
              </w:rPr>
              <w:t xml:space="preserve">have genetic confirmation </w:t>
            </w:r>
            <w:r>
              <w:rPr>
                <w:rFonts w:ascii="Arial Narrow" w:hAnsi="Arial Narrow"/>
                <w:sz w:val="18"/>
                <w:szCs w:val="18"/>
              </w:rPr>
              <w:t>of</w:t>
            </w:r>
            <w:r w:rsidRPr="00B97522">
              <w:rPr>
                <w:rFonts w:ascii="Arial Narrow" w:hAnsi="Arial Narrow"/>
                <w:sz w:val="18"/>
                <w:szCs w:val="18"/>
              </w:rPr>
              <w:t xml:space="preserve"> 5q homozygous deletion of the </w:t>
            </w:r>
            <w:r w:rsidRPr="00B97522">
              <w:rPr>
                <w:rFonts w:ascii="Arial Narrow" w:hAnsi="Arial Narrow"/>
                <w:i/>
                <w:iCs/>
                <w:sz w:val="18"/>
                <w:szCs w:val="18"/>
              </w:rPr>
              <w:t>survival motor neuron 1</w:t>
            </w:r>
            <w:r w:rsidRPr="00B97522">
              <w:rPr>
                <w:rFonts w:ascii="Arial Narrow" w:hAnsi="Arial Narrow"/>
                <w:sz w:val="18"/>
                <w:szCs w:val="18"/>
              </w:rPr>
              <w:t xml:space="preserve"> (</w:t>
            </w:r>
            <w:r w:rsidRPr="00B97522">
              <w:rPr>
                <w:rFonts w:ascii="Arial Narrow" w:hAnsi="Arial Narrow"/>
                <w:i/>
                <w:iCs/>
                <w:sz w:val="18"/>
                <w:szCs w:val="18"/>
              </w:rPr>
              <w:t>SMN1</w:t>
            </w:r>
            <w:r>
              <w:rPr>
                <w:rFonts w:ascii="Arial Narrow" w:hAnsi="Arial Narrow"/>
                <w:sz w:val="18"/>
                <w:szCs w:val="18"/>
              </w:rPr>
              <w:t>) gene; or</w:t>
            </w:r>
            <w:r w:rsidRPr="00B97522">
              <w:rPr>
                <w:rFonts w:ascii="Arial Narrow" w:hAnsi="Arial Narrow"/>
                <w:sz w:val="18"/>
                <w:szCs w:val="18"/>
              </w:rPr>
              <w:t xml:space="preserve"> </w:t>
            </w:r>
          </w:p>
        </w:tc>
      </w:tr>
      <w:tr w:rsidR="004F0C22" w:rsidTr="002901C0">
        <w:tc>
          <w:tcPr>
            <w:tcW w:w="7179" w:type="dxa"/>
          </w:tcPr>
          <w:p w:rsidR="004F0C22" w:rsidRDefault="004F0C22" w:rsidP="00970509">
            <w:pPr>
              <w:pStyle w:val="3-BodyText"/>
              <w:numPr>
                <w:ilvl w:val="0"/>
                <w:numId w:val="0"/>
              </w:numPr>
            </w:pPr>
            <w:r>
              <w:rPr>
                <w:rFonts w:ascii="Arial Narrow" w:hAnsi="Arial Narrow"/>
                <w:sz w:val="18"/>
                <w:szCs w:val="18"/>
              </w:rPr>
              <w:t>The condition must have genetic confirmation of</w:t>
            </w:r>
            <w:r w:rsidRPr="00B97522">
              <w:rPr>
                <w:rFonts w:ascii="Arial Narrow" w:hAnsi="Arial Narrow"/>
                <w:sz w:val="18"/>
                <w:szCs w:val="18"/>
              </w:rPr>
              <w:t xml:space="preserve"> deletion of one copy of the </w:t>
            </w:r>
            <w:r w:rsidRPr="00B97522">
              <w:rPr>
                <w:rFonts w:ascii="Arial Narrow" w:hAnsi="Arial Narrow"/>
                <w:i/>
                <w:iCs/>
                <w:sz w:val="18"/>
                <w:szCs w:val="18"/>
              </w:rPr>
              <w:t>SMN1</w:t>
            </w:r>
            <w:r w:rsidRPr="00B97522">
              <w:rPr>
                <w:rFonts w:ascii="Arial Narrow" w:hAnsi="Arial Narrow"/>
                <w:sz w:val="18"/>
                <w:szCs w:val="18"/>
              </w:rPr>
              <w:t xml:space="preserve"> gene </w:t>
            </w:r>
            <w:r>
              <w:rPr>
                <w:rFonts w:ascii="Arial Narrow" w:hAnsi="Arial Narrow"/>
                <w:sz w:val="18"/>
                <w:szCs w:val="18"/>
              </w:rPr>
              <w:t>in addition to a pathogenic/likely pathogenic variant</w:t>
            </w:r>
            <w:r w:rsidRPr="00B97522">
              <w:rPr>
                <w:rFonts w:ascii="Arial Narrow" w:hAnsi="Arial Narrow"/>
                <w:sz w:val="18"/>
                <w:szCs w:val="18"/>
              </w:rPr>
              <w:t xml:space="preserve"> in the remaining single copy of the </w:t>
            </w:r>
            <w:r w:rsidRPr="00B97522">
              <w:rPr>
                <w:rFonts w:ascii="Arial Narrow" w:hAnsi="Arial Narrow"/>
                <w:i/>
                <w:iCs/>
                <w:sz w:val="18"/>
                <w:szCs w:val="18"/>
              </w:rPr>
              <w:t>SMN1</w:t>
            </w:r>
            <w:r w:rsidRPr="00B97522">
              <w:rPr>
                <w:rFonts w:ascii="Arial Narrow" w:hAnsi="Arial Narrow"/>
                <w:sz w:val="18"/>
                <w:szCs w:val="18"/>
              </w:rPr>
              <w:t xml:space="preserve"> gene</w:t>
            </w:r>
          </w:p>
        </w:tc>
      </w:tr>
    </w:tbl>
    <w:p w:rsidR="00E23866" w:rsidRDefault="00E23866" w:rsidP="00970509">
      <w:pPr>
        <w:pStyle w:val="3-BodyText"/>
        <w:numPr>
          <w:ilvl w:val="0"/>
          <w:numId w:val="0"/>
        </w:numPr>
      </w:pPr>
    </w:p>
    <w:p w:rsidR="00845584" w:rsidRDefault="00845584" w:rsidP="002901C0">
      <w:pPr>
        <w:pStyle w:val="3-BodyText"/>
        <w:numPr>
          <w:ilvl w:val="0"/>
          <w:numId w:val="0"/>
        </w:numPr>
      </w:pPr>
      <w:r>
        <w:tab/>
        <w:t>(iv) Update Prescriber Instruction for electronic upload option:</w:t>
      </w:r>
    </w:p>
    <w:tbl>
      <w:tblPr>
        <w:tblStyle w:val="TableGrid"/>
        <w:tblW w:w="0" w:type="auto"/>
        <w:tblInd w:w="704" w:type="dxa"/>
        <w:tblLook w:val="04A0" w:firstRow="1" w:lastRow="0" w:firstColumn="1" w:lastColumn="0" w:noHBand="0" w:noVBand="1"/>
      </w:tblPr>
      <w:tblGrid>
        <w:gridCol w:w="7321"/>
      </w:tblGrid>
      <w:tr w:rsidR="004F0C22" w:rsidTr="002901C0">
        <w:tc>
          <w:tcPr>
            <w:tcW w:w="7321" w:type="dxa"/>
          </w:tcPr>
          <w:p w:rsidR="004F0C22" w:rsidRPr="00845584" w:rsidRDefault="004F0C22" w:rsidP="00845584">
            <w:pPr>
              <w:pStyle w:val="3-BodyText"/>
              <w:numPr>
                <w:ilvl w:val="0"/>
                <w:numId w:val="0"/>
              </w:numPr>
              <w:spacing w:after="0"/>
              <w:ind w:left="720" w:hanging="720"/>
              <w:rPr>
                <w:rFonts w:ascii="Arial Narrow" w:hAnsi="Arial Narrow"/>
                <w:b/>
                <w:sz w:val="18"/>
                <w:szCs w:val="18"/>
              </w:rPr>
            </w:pPr>
            <w:r w:rsidRPr="00845584">
              <w:rPr>
                <w:rFonts w:ascii="Arial Narrow" w:hAnsi="Arial Narrow"/>
                <w:b/>
                <w:sz w:val="18"/>
                <w:szCs w:val="18"/>
              </w:rPr>
              <w:t>Prescriber instructions</w:t>
            </w:r>
            <w:r>
              <w:rPr>
                <w:rFonts w:ascii="Arial Narrow" w:hAnsi="Arial Narrow"/>
                <w:b/>
                <w:sz w:val="18"/>
                <w:szCs w:val="18"/>
              </w:rPr>
              <w:t>:</w:t>
            </w:r>
          </w:p>
          <w:p w:rsidR="004F0C22" w:rsidRPr="00845584" w:rsidRDefault="004F0C22" w:rsidP="00845584">
            <w:pPr>
              <w:pStyle w:val="3-BodyText"/>
              <w:numPr>
                <w:ilvl w:val="0"/>
                <w:numId w:val="0"/>
              </w:numPr>
              <w:spacing w:after="0"/>
              <w:rPr>
                <w:rFonts w:ascii="Arial Narrow" w:hAnsi="Arial Narrow"/>
                <w:sz w:val="18"/>
                <w:szCs w:val="18"/>
              </w:rPr>
            </w:pPr>
            <w:r w:rsidRPr="00845584">
              <w:rPr>
                <w:rFonts w:ascii="Arial Narrow" w:hAnsi="Arial Narrow"/>
                <w:sz w:val="18"/>
                <w:szCs w:val="18"/>
              </w:rPr>
              <w:t>Application for authorisation of initial treatment must be in writing</w:t>
            </w:r>
            <w:r w:rsidRPr="00845584">
              <w:rPr>
                <w:rFonts w:ascii="Arial Narrow" w:hAnsi="Arial Narrow"/>
                <w:i/>
                <w:sz w:val="18"/>
                <w:szCs w:val="18"/>
              </w:rPr>
              <w:t xml:space="preserve"> </w:t>
            </w:r>
            <w:r w:rsidRPr="00845584">
              <w:rPr>
                <w:rFonts w:ascii="Arial Narrow" w:eastAsia="Calibri" w:hAnsi="Arial Narrow"/>
                <w:i/>
                <w:sz w:val="18"/>
                <w:szCs w:val="18"/>
              </w:rPr>
              <w:t>(lodged via postal service or electronic upload)</w:t>
            </w:r>
            <w:r>
              <w:rPr>
                <w:rFonts w:ascii="Arial Narrow" w:eastAsia="Calibri" w:hAnsi="Arial Narrow"/>
                <w:sz w:val="18"/>
                <w:szCs w:val="18"/>
              </w:rPr>
              <w:t xml:space="preserve"> </w:t>
            </w:r>
            <w:r w:rsidRPr="00845584">
              <w:rPr>
                <w:rFonts w:ascii="Arial Narrow" w:hAnsi="Arial Narrow"/>
                <w:sz w:val="18"/>
                <w:szCs w:val="18"/>
              </w:rPr>
              <w:t>and must include:</w:t>
            </w:r>
          </w:p>
          <w:p w:rsidR="004F0C22" w:rsidRPr="00845584" w:rsidRDefault="004F0C22" w:rsidP="00845584">
            <w:pPr>
              <w:pStyle w:val="3-BodyText"/>
              <w:numPr>
                <w:ilvl w:val="0"/>
                <w:numId w:val="0"/>
              </w:numPr>
              <w:spacing w:after="0"/>
              <w:rPr>
                <w:rFonts w:ascii="Arial Narrow" w:hAnsi="Arial Narrow"/>
                <w:sz w:val="18"/>
                <w:szCs w:val="18"/>
              </w:rPr>
            </w:pPr>
            <w:r w:rsidRPr="00845584">
              <w:rPr>
                <w:rFonts w:ascii="Arial Narrow" w:hAnsi="Arial Narrow"/>
                <w:sz w:val="18"/>
                <w:szCs w:val="18"/>
              </w:rPr>
              <w:t>(a) a completed authority prescription form; and</w:t>
            </w:r>
          </w:p>
          <w:p w:rsidR="004F0C22" w:rsidRPr="00845584" w:rsidRDefault="004F0C22" w:rsidP="00845584">
            <w:pPr>
              <w:pStyle w:val="3-BodyText"/>
              <w:numPr>
                <w:ilvl w:val="0"/>
                <w:numId w:val="0"/>
              </w:numPr>
              <w:spacing w:after="0"/>
              <w:rPr>
                <w:rFonts w:ascii="Arial Narrow" w:hAnsi="Arial Narrow"/>
                <w:sz w:val="18"/>
                <w:szCs w:val="18"/>
              </w:rPr>
            </w:pPr>
            <w:r w:rsidRPr="00845584">
              <w:rPr>
                <w:rFonts w:ascii="Arial Narrow" w:hAnsi="Arial Narrow"/>
                <w:sz w:val="18"/>
                <w:szCs w:val="18"/>
              </w:rPr>
              <w:t>(b) a completed Spinal muscular atrophy PBS Authority Application - Supporting Information Form which includes the following:</w:t>
            </w:r>
          </w:p>
          <w:p w:rsidR="004F0C22" w:rsidRPr="00845584" w:rsidRDefault="004F0C22" w:rsidP="00845584">
            <w:pPr>
              <w:pStyle w:val="3-BodyText"/>
              <w:numPr>
                <w:ilvl w:val="0"/>
                <w:numId w:val="0"/>
              </w:numPr>
              <w:spacing w:after="0"/>
              <w:ind w:left="720" w:hanging="720"/>
              <w:rPr>
                <w:rFonts w:ascii="Arial Narrow" w:hAnsi="Arial Narrow"/>
                <w:sz w:val="18"/>
                <w:szCs w:val="18"/>
              </w:rPr>
            </w:pPr>
            <w:r w:rsidRPr="00845584">
              <w:rPr>
                <w:rFonts w:ascii="Arial Narrow" w:hAnsi="Arial Narrow"/>
                <w:sz w:val="18"/>
                <w:szCs w:val="18"/>
              </w:rPr>
              <w:t>i) specification of SMA type (I, II or IIIa); and</w:t>
            </w:r>
          </w:p>
          <w:p w:rsidR="004F0C22" w:rsidRPr="00845584" w:rsidRDefault="004F0C22" w:rsidP="00845584">
            <w:pPr>
              <w:pStyle w:val="3-BodyText"/>
              <w:numPr>
                <w:ilvl w:val="0"/>
                <w:numId w:val="0"/>
              </w:numPr>
              <w:spacing w:after="0"/>
              <w:ind w:left="720" w:hanging="720"/>
              <w:rPr>
                <w:rFonts w:ascii="Arial Narrow" w:hAnsi="Arial Narrow"/>
                <w:sz w:val="18"/>
                <w:szCs w:val="18"/>
              </w:rPr>
            </w:pPr>
            <w:r w:rsidRPr="00845584">
              <w:rPr>
                <w:rFonts w:ascii="Arial Narrow" w:hAnsi="Arial Narrow"/>
                <w:sz w:val="18"/>
                <w:szCs w:val="18"/>
              </w:rPr>
              <w:t>(ii) sign(s) and symptom(s) that the patient has experienced; and</w:t>
            </w:r>
          </w:p>
          <w:p w:rsidR="004F0C22" w:rsidRDefault="004F0C22" w:rsidP="00845584">
            <w:pPr>
              <w:pStyle w:val="3-BodyText"/>
              <w:numPr>
                <w:ilvl w:val="0"/>
                <w:numId w:val="0"/>
              </w:numPr>
              <w:spacing w:after="0"/>
              <w:rPr>
                <w:rFonts w:ascii="Arial Narrow" w:hAnsi="Arial Narrow"/>
                <w:sz w:val="18"/>
                <w:szCs w:val="18"/>
              </w:rPr>
            </w:pPr>
            <w:r w:rsidRPr="00845584">
              <w:rPr>
                <w:rFonts w:ascii="Arial Narrow" w:hAnsi="Arial Narrow"/>
                <w:sz w:val="18"/>
                <w:szCs w:val="18"/>
              </w:rPr>
              <w:t>(iii) patient's age at the onset of sign(s) and symptom(s).</w:t>
            </w:r>
          </w:p>
          <w:p w:rsidR="004F0C22" w:rsidRDefault="004F0C22" w:rsidP="00845584">
            <w:pPr>
              <w:pStyle w:val="3-BodyText"/>
              <w:numPr>
                <w:ilvl w:val="0"/>
                <w:numId w:val="0"/>
              </w:numPr>
              <w:spacing w:after="0"/>
              <w:rPr>
                <w:rFonts w:ascii="Arial Narrow" w:hAnsi="Arial Narrow"/>
                <w:sz w:val="18"/>
                <w:szCs w:val="18"/>
              </w:rPr>
            </w:pPr>
          </w:p>
          <w:p w:rsidR="004F0C22" w:rsidRPr="00845584" w:rsidRDefault="004F0C22" w:rsidP="00845584">
            <w:pPr>
              <w:pStyle w:val="3-BodyText"/>
              <w:numPr>
                <w:ilvl w:val="0"/>
                <w:numId w:val="0"/>
              </w:numPr>
              <w:spacing w:after="0"/>
              <w:rPr>
                <w:i/>
              </w:rPr>
            </w:pPr>
            <w:r w:rsidRPr="00845584">
              <w:rPr>
                <w:rFonts w:ascii="Arial Narrow" w:eastAsia="Calibri" w:hAnsi="Arial Narrow"/>
                <w:i/>
                <w:sz w:val="18"/>
                <w:szCs w:val="18"/>
              </w:rPr>
              <w:t xml:space="preserve">An outcome on the authority application is not immediate, but will follow in due course. Electronic upload is encouraged to reduce processing time.  </w:t>
            </w:r>
          </w:p>
        </w:tc>
      </w:tr>
    </w:tbl>
    <w:p w:rsidR="003F51B1" w:rsidRDefault="003F51B1" w:rsidP="00735BF8">
      <w:pPr>
        <w:pStyle w:val="3-BodyText"/>
        <w:numPr>
          <w:ilvl w:val="0"/>
          <w:numId w:val="0"/>
        </w:numPr>
        <w:ind w:left="720"/>
        <w:rPr>
          <w:b/>
        </w:rPr>
      </w:pPr>
    </w:p>
    <w:p w:rsidR="00BB03A7" w:rsidRDefault="00BB03A7" w:rsidP="00735BF8">
      <w:pPr>
        <w:pStyle w:val="3-BodyText"/>
        <w:numPr>
          <w:ilvl w:val="0"/>
          <w:numId w:val="0"/>
        </w:numPr>
        <w:ind w:left="720"/>
        <w:rPr>
          <w:b/>
        </w:rPr>
      </w:pPr>
      <w:r w:rsidRPr="00BB03A7">
        <w:rPr>
          <w:b/>
        </w:rPr>
        <w:lastRenderedPageBreak/>
        <w:t>Continuing treatment:</w:t>
      </w:r>
    </w:p>
    <w:p w:rsidR="00970509" w:rsidRPr="00E23866" w:rsidRDefault="00970509" w:rsidP="00970509">
      <w:pPr>
        <w:pStyle w:val="3-BodyText"/>
        <w:numPr>
          <w:ilvl w:val="0"/>
          <w:numId w:val="0"/>
        </w:numPr>
        <w:ind w:left="720"/>
      </w:pPr>
      <w:r>
        <w:t xml:space="preserve">Restriction summary 10194/Treatment of Concept 10112; PBS item codes: </w:t>
      </w:r>
      <w:r w:rsidRPr="00E659B7">
        <w:t>11378W</w:t>
      </w:r>
      <w:r w:rsidRPr="00970509">
        <w:t xml:space="preserve"> </w:t>
      </w:r>
      <w:r>
        <w:t xml:space="preserve">(Public)/ </w:t>
      </w:r>
      <w:r w:rsidRPr="00E659B7">
        <w:t>11476B</w:t>
      </w:r>
      <w:r w:rsidRPr="00970509">
        <w:t xml:space="preserve"> </w:t>
      </w:r>
      <w:r>
        <w:t>(Private)</w:t>
      </w:r>
    </w:p>
    <w:p w:rsidR="00970509" w:rsidRPr="00BB03A7" w:rsidRDefault="00970509" w:rsidP="00735BF8">
      <w:pPr>
        <w:pStyle w:val="3-BodyText"/>
        <w:numPr>
          <w:ilvl w:val="0"/>
          <w:numId w:val="0"/>
        </w:numPr>
        <w:ind w:left="720"/>
        <w:rPr>
          <w:b/>
        </w:rPr>
      </w:pPr>
    </w:p>
    <w:p w:rsidR="00BB03A7" w:rsidRDefault="00BB03A7" w:rsidP="00735BF8">
      <w:pPr>
        <w:pStyle w:val="3-BodyText"/>
        <w:numPr>
          <w:ilvl w:val="0"/>
          <w:numId w:val="0"/>
        </w:numPr>
        <w:ind w:left="720"/>
      </w:pPr>
      <w:r>
        <w:t>(i) Edit the treatment phase description to make it clear that the listing covers continuing treatment in both the SMA Type I, II, IIIa patient and the asymptomatic patient</w:t>
      </w:r>
      <w:r w:rsidR="00A23852">
        <w:t>:</w:t>
      </w:r>
    </w:p>
    <w:tbl>
      <w:tblPr>
        <w:tblStyle w:val="TableGrid"/>
        <w:tblW w:w="0" w:type="auto"/>
        <w:tblInd w:w="720" w:type="dxa"/>
        <w:tblLook w:val="04A0" w:firstRow="1" w:lastRow="0" w:firstColumn="1" w:lastColumn="0" w:noHBand="0" w:noVBand="1"/>
      </w:tblPr>
      <w:tblGrid>
        <w:gridCol w:w="7072"/>
      </w:tblGrid>
      <w:tr w:rsidR="00BB03A7" w:rsidTr="004C2F01">
        <w:tc>
          <w:tcPr>
            <w:tcW w:w="7072" w:type="dxa"/>
          </w:tcPr>
          <w:p w:rsidR="00BB03A7" w:rsidRPr="00F510A1" w:rsidRDefault="00F510A1" w:rsidP="00735BF8">
            <w:pPr>
              <w:pStyle w:val="3-BodyText"/>
              <w:numPr>
                <w:ilvl w:val="0"/>
                <w:numId w:val="0"/>
              </w:numPr>
              <w:rPr>
                <w:rFonts w:ascii="Arial Narrow" w:hAnsi="Arial Narrow"/>
                <w:i/>
                <w:sz w:val="18"/>
                <w:szCs w:val="18"/>
              </w:rPr>
            </w:pPr>
            <w:r w:rsidRPr="002901C0">
              <w:rPr>
                <w:rFonts w:ascii="Arial Narrow" w:hAnsi="Arial Narrow"/>
                <w:b/>
                <w:sz w:val="18"/>
                <w:szCs w:val="18"/>
              </w:rPr>
              <w:t>Treatment Phase:</w:t>
            </w:r>
            <w:r w:rsidRPr="00F510A1">
              <w:rPr>
                <w:rFonts w:ascii="Arial Narrow" w:hAnsi="Arial Narrow"/>
                <w:sz w:val="18"/>
                <w:szCs w:val="18"/>
              </w:rPr>
              <w:t xml:space="preserve"> Continuing</w:t>
            </w:r>
            <w:r>
              <w:rPr>
                <w:rFonts w:ascii="Arial Narrow" w:hAnsi="Arial Narrow"/>
                <w:i/>
                <w:sz w:val="18"/>
                <w:szCs w:val="18"/>
              </w:rPr>
              <w:t>/maintenance</w:t>
            </w:r>
            <w:r w:rsidRPr="00F510A1">
              <w:rPr>
                <w:rFonts w:ascii="Arial Narrow" w:hAnsi="Arial Narrow"/>
                <w:sz w:val="18"/>
                <w:szCs w:val="18"/>
              </w:rPr>
              <w:t xml:space="preserve"> treatment </w:t>
            </w:r>
            <w:r>
              <w:rPr>
                <w:rFonts w:ascii="Arial Narrow" w:hAnsi="Arial Narrow"/>
                <w:strike/>
                <w:sz w:val="18"/>
                <w:szCs w:val="18"/>
              </w:rPr>
              <w:t>–</w:t>
            </w:r>
            <w:r w:rsidRPr="00F510A1">
              <w:rPr>
                <w:rFonts w:ascii="Arial Narrow" w:hAnsi="Arial Narrow"/>
                <w:strike/>
                <w:sz w:val="18"/>
                <w:szCs w:val="18"/>
              </w:rPr>
              <w:t xml:space="preserve"> Maintenance</w:t>
            </w:r>
            <w:r>
              <w:rPr>
                <w:rFonts w:ascii="Arial Narrow" w:hAnsi="Arial Narrow"/>
                <w:strike/>
                <w:sz w:val="18"/>
                <w:szCs w:val="18"/>
              </w:rPr>
              <w:t xml:space="preserve"> </w:t>
            </w:r>
            <w:r>
              <w:rPr>
                <w:rFonts w:ascii="Arial Narrow" w:hAnsi="Arial Narrow"/>
                <w:i/>
                <w:sz w:val="18"/>
                <w:szCs w:val="18"/>
              </w:rPr>
              <w:t xml:space="preserve">of either symptomatic Type I, II or IIIa SMA </w:t>
            </w:r>
            <w:r w:rsidR="00A23852">
              <w:rPr>
                <w:rFonts w:ascii="Arial Narrow" w:hAnsi="Arial Narrow"/>
                <w:i/>
                <w:sz w:val="18"/>
                <w:szCs w:val="18"/>
              </w:rPr>
              <w:t>or of a patient commenced on this drug under the asymptomatic SMA listing</w:t>
            </w:r>
          </w:p>
        </w:tc>
      </w:tr>
    </w:tbl>
    <w:p w:rsidR="00BB03A7" w:rsidRDefault="00BB03A7" w:rsidP="00735BF8">
      <w:pPr>
        <w:pStyle w:val="3-BodyText"/>
        <w:numPr>
          <w:ilvl w:val="0"/>
          <w:numId w:val="0"/>
        </w:numPr>
        <w:ind w:left="720"/>
      </w:pPr>
    </w:p>
    <w:p w:rsidR="00BB03A7" w:rsidRDefault="006D69CB" w:rsidP="002901C0">
      <w:pPr>
        <w:pStyle w:val="3-BodyText"/>
        <w:numPr>
          <w:ilvl w:val="0"/>
          <w:numId w:val="0"/>
        </w:numPr>
        <w:ind w:left="720"/>
      </w:pPr>
      <w:r>
        <w:t>(ii) U</w:t>
      </w:r>
      <w:r w:rsidR="00BB03A7">
        <w:t xml:space="preserve">pdate the administrative advice to mention Services </w:t>
      </w:r>
      <w:r w:rsidR="00A23852">
        <w:t xml:space="preserve">Australia in place of the Department </w:t>
      </w:r>
      <w:r w:rsidR="00B56F27">
        <w:t>of Human Services</w:t>
      </w:r>
      <w:r w:rsidR="00A23852">
        <w:t>:</w:t>
      </w:r>
    </w:p>
    <w:tbl>
      <w:tblPr>
        <w:tblStyle w:val="TableGrid"/>
        <w:tblW w:w="0" w:type="auto"/>
        <w:tblInd w:w="720" w:type="dxa"/>
        <w:tblLook w:val="04A0" w:firstRow="1" w:lastRow="0" w:firstColumn="1" w:lastColumn="0" w:noHBand="0" w:noVBand="1"/>
      </w:tblPr>
      <w:tblGrid>
        <w:gridCol w:w="7037"/>
      </w:tblGrid>
      <w:tr w:rsidR="004F0C22" w:rsidTr="002901C0">
        <w:tc>
          <w:tcPr>
            <w:tcW w:w="7037" w:type="dxa"/>
          </w:tcPr>
          <w:p w:rsidR="004F0C22" w:rsidRPr="007627E6" w:rsidRDefault="004F0C22" w:rsidP="00735BF8">
            <w:pPr>
              <w:pStyle w:val="3-BodyText"/>
              <w:numPr>
                <w:ilvl w:val="0"/>
                <w:numId w:val="0"/>
              </w:numPr>
              <w:rPr>
                <w:rFonts w:ascii="Arial Narrow" w:hAnsi="Arial Narrow"/>
                <w:strike/>
                <w:sz w:val="18"/>
                <w:szCs w:val="18"/>
              </w:rPr>
            </w:pPr>
            <w:r w:rsidRPr="007627E6">
              <w:rPr>
                <w:rFonts w:ascii="Arial Narrow" w:hAnsi="Arial Narrow"/>
                <w:strike/>
                <w:sz w:val="18"/>
                <w:szCs w:val="18"/>
              </w:rPr>
              <w:t>Authority applications for continuing treatment may be made by telephone to the Department of Human Services on 1800 700 270 (hours of operation 8 a.m. to 5 p.m. EST Monday to Friday).</w:t>
            </w:r>
          </w:p>
        </w:tc>
      </w:tr>
      <w:tr w:rsidR="004F0C22" w:rsidTr="002901C0">
        <w:tc>
          <w:tcPr>
            <w:tcW w:w="7037" w:type="dxa"/>
          </w:tcPr>
          <w:p w:rsidR="004F0C22" w:rsidRPr="007627E6" w:rsidRDefault="004F0C22" w:rsidP="00735BF8">
            <w:pPr>
              <w:pStyle w:val="3-BodyText"/>
              <w:numPr>
                <w:ilvl w:val="0"/>
                <w:numId w:val="0"/>
              </w:numPr>
              <w:rPr>
                <w:rFonts w:ascii="Arial Narrow" w:hAnsi="Arial Narrow"/>
                <w:sz w:val="18"/>
                <w:szCs w:val="18"/>
              </w:rPr>
            </w:pPr>
            <w:r w:rsidRPr="007627E6">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rsidR="00AF7C2B" w:rsidRDefault="00AF7C2B" w:rsidP="00A74818">
      <w:pPr>
        <w:rPr>
          <w:rFonts w:ascii="Arial" w:hAnsi="Arial"/>
          <w:b/>
          <w:i/>
          <w:sz w:val="22"/>
          <w:szCs w:val="22"/>
        </w:rPr>
      </w:pPr>
    </w:p>
    <w:p w:rsidR="00E816F2" w:rsidRPr="00AF7C2B" w:rsidRDefault="00AF7C2B" w:rsidP="00A74818">
      <w:pPr>
        <w:rPr>
          <w:rFonts w:asciiTheme="minorHAnsi" w:hAnsiTheme="minorHAnsi" w:cstheme="minorHAnsi"/>
        </w:rPr>
      </w:pPr>
      <w:r w:rsidRPr="00AF7C2B">
        <w:rPr>
          <w:rFonts w:asciiTheme="minorHAnsi" w:hAnsiTheme="minorHAnsi" w:cstheme="minorHAnsi"/>
          <w:b/>
          <w:i/>
        </w:rPr>
        <w:t>This restriction may be subject to further review. Should there be any changes made to the restriction the Sponsor will be informed.</w:t>
      </w:r>
    </w:p>
    <w:p w:rsidR="00173E16" w:rsidRPr="00173E16" w:rsidRDefault="00173E16" w:rsidP="00173E16">
      <w:pPr>
        <w:pStyle w:val="2-SectionHeading"/>
      </w:pPr>
      <w:r w:rsidRPr="00C07617">
        <w:t>Context for Decision</w:t>
      </w:r>
    </w:p>
    <w:p w:rsidR="00173E16" w:rsidRPr="007129F2" w:rsidRDefault="00173E16" w:rsidP="003F51B1">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73E16" w:rsidRPr="00C07617" w:rsidRDefault="00173E16" w:rsidP="00173E16">
      <w:pPr>
        <w:pStyle w:val="2-SectionHeading"/>
        <w:rPr>
          <w:b w:val="0"/>
        </w:rPr>
      </w:pPr>
      <w:r w:rsidRPr="00C07617" w:rsidDel="007129F2">
        <w:t xml:space="preserve"> </w:t>
      </w:r>
      <w:r>
        <w:t>Sponsor’s Comment</w:t>
      </w:r>
    </w:p>
    <w:p w:rsidR="00606FBA" w:rsidRDefault="004C7104" w:rsidP="003F51B1">
      <w:pPr>
        <w:spacing w:after="120"/>
        <w:rPr>
          <w:rFonts w:asciiTheme="minorHAnsi" w:hAnsiTheme="minorHAnsi"/>
          <w:bCs/>
          <w:lang w:val="en-GB"/>
        </w:rPr>
      </w:pPr>
      <w:r w:rsidRPr="004C7104">
        <w:rPr>
          <w:rFonts w:asciiTheme="minorHAnsi" w:hAnsiTheme="minorHAnsi"/>
          <w:bCs/>
          <w:lang w:val="en-GB"/>
        </w:rPr>
        <w:t>Biogen welcomes the positive recommendation for nusinersen for the treatment of patients with pre-symptomatic Spinal Muscular Atrophy (SMA). Biogen is committed to pursuing every opportunity to make nusinersen accessible to all those patients in the SMA community who could benefit from it.</w:t>
      </w:r>
    </w:p>
    <w:p w:rsidR="009957CE" w:rsidRDefault="009957CE" w:rsidP="009957CE">
      <w:pPr>
        <w:rPr>
          <w:rFonts w:asciiTheme="minorHAnsi" w:hAnsiTheme="minorHAnsi"/>
          <w:bCs/>
          <w:lang w:val="en-GB"/>
        </w:rPr>
      </w:pPr>
    </w:p>
    <w:p w:rsidR="009957CE" w:rsidRPr="009957CE" w:rsidRDefault="009957CE" w:rsidP="003F51B1">
      <w:pPr>
        <w:spacing w:after="120"/>
        <w:rPr>
          <w:rFonts w:asciiTheme="minorHAnsi" w:hAnsiTheme="minorHAnsi"/>
          <w:bCs/>
        </w:rPr>
      </w:pPr>
      <w:r w:rsidRPr="009957CE">
        <w:t xml:space="preserve">As part of post-PBAC processes, Biogen will propose </w:t>
      </w:r>
      <w:r w:rsidR="00DE2CE5">
        <w:t xml:space="preserve">the </w:t>
      </w:r>
      <w:r w:rsidRPr="009957CE">
        <w:t>use of terminology ‘pre-symptomatic’ in the PBS restriction as this terminology is clinically accurate in describing the disease state of patients enrolled in the NURTURE study.</w:t>
      </w:r>
    </w:p>
    <w:sectPr w:rsidR="009957CE" w:rsidRPr="009957CE" w:rsidSect="0013214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B7" w:rsidRDefault="00E659B7" w:rsidP="00124A51">
      <w:r>
        <w:separator/>
      </w:r>
    </w:p>
    <w:p w:rsidR="00E659B7" w:rsidRDefault="00E659B7"/>
  </w:endnote>
  <w:endnote w:type="continuationSeparator" w:id="0">
    <w:p w:rsidR="00E659B7" w:rsidRDefault="00E659B7" w:rsidP="00124A51">
      <w:r>
        <w:continuationSeparator/>
      </w:r>
    </w:p>
    <w:p w:rsidR="00E659B7" w:rsidRDefault="00E65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35" w:rsidRDefault="007E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0E" w:rsidRPr="00D13A3E" w:rsidRDefault="00DB450E" w:rsidP="00015886">
    <w:pPr>
      <w:ind w:right="360"/>
      <w:jc w:val="center"/>
      <w:rPr>
        <w:b/>
        <w:sz w:val="20"/>
      </w:rPr>
    </w:pPr>
  </w:p>
  <w:p w:rsidR="00DB450E" w:rsidRPr="007C1CD9" w:rsidRDefault="00DB450E" w:rsidP="000669AF">
    <w:pPr>
      <w:ind w:right="360"/>
      <w:jc w:val="center"/>
    </w:pPr>
    <w:r w:rsidRPr="00836F75">
      <w:rPr>
        <w:b/>
      </w:rPr>
      <w:fldChar w:fldCharType="begin"/>
    </w:r>
    <w:r w:rsidRPr="00836F75">
      <w:rPr>
        <w:b/>
      </w:rPr>
      <w:instrText xml:space="preserve"> PAGE   \* MERGEFORMAT </w:instrText>
    </w:r>
    <w:r w:rsidRPr="00836F75">
      <w:rPr>
        <w:b/>
      </w:rPr>
      <w:fldChar w:fldCharType="separate"/>
    </w:r>
    <w:r w:rsidR="00744727">
      <w:rPr>
        <w:b/>
        <w:noProof/>
      </w:rPr>
      <w:t>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35" w:rsidRDefault="007E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B7" w:rsidRDefault="00E659B7" w:rsidP="00124A51">
      <w:r>
        <w:separator/>
      </w:r>
    </w:p>
    <w:p w:rsidR="00E659B7" w:rsidRDefault="00E659B7"/>
  </w:footnote>
  <w:footnote w:type="continuationSeparator" w:id="0">
    <w:p w:rsidR="00E659B7" w:rsidRDefault="00E659B7" w:rsidP="00124A51">
      <w:r>
        <w:continuationSeparator/>
      </w:r>
    </w:p>
    <w:p w:rsidR="00E659B7" w:rsidRDefault="00E659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35" w:rsidRDefault="007E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0E" w:rsidRPr="00834E36" w:rsidRDefault="007F7934" w:rsidP="000669AF">
    <w:pPr>
      <w:keepNext/>
      <w:tabs>
        <w:tab w:val="center" w:pos="4153"/>
        <w:tab w:val="right" w:pos="8306"/>
      </w:tabs>
      <w:ind w:left="360"/>
      <w:jc w:val="center"/>
      <w:rPr>
        <w:i/>
        <w:color w:val="808080"/>
        <w:lang w:eastAsia="en-US"/>
      </w:rPr>
    </w:pPr>
    <w:r>
      <w:rPr>
        <w:i/>
        <w:color w:val="808080"/>
        <w:lang w:eastAsia="en-US"/>
      </w:rPr>
      <w:t>Public Summary Document</w:t>
    </w:r>
    <w:r w:rsidR="00DB450E">
      <w:rPr>
        <w:i/>
        <w:color w:val="808080"/>
        <w:lang w:eastAsia="en-US"/>
      </w:rPr>
      <w:t xml:space="preserve"> – July 2020</w:t>
    </w:r>
    <w:r w:rsidR="00DB450E" w:rsidRPr="00834E36">
      <w:rPr>
        <w:i/>
        <w:color w:val="808080"/>
        <w:lang w:eastAsia="en-US"/>
      </w:rPr>
      <w:t xml:space="preserve"> PBAC Meeting</w:t>
    </w:r>
  </w:p>
  <w:p w:rsidR="00DB450E" w:rsidRPr="008C7ECB" w:rsidRDefault="00DB4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A35" w:rsidRDefault="007E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84DAF6"/>
    <w:lvl w:ilvl="0">
      <w:start w:val="1"/>
      <w:numFmt w:val="bullet"/>
      <w:pStyle w:val="ListBullet"/>
      <w:lvlText w:val=""/>
      <w:lvlJc w:val="left"/>
      <w:pPr>
        <w:tabs>
          <w:tab w:val="num" w:pos="710"/>
        </w:tabs>
        <w:ind w:left="710" w:hanging="360"/>
      </w:pPr>
      <w:rPr>
        <w:rFonts w:ascii="Symbol" w:hAnsi="Symbol" w:hint="default"/>
      </w:rPr>
    </w:lvl>
  </w:abstractNum>
  <w:abstractNum w:abstractNumId="1" w15:restartNumberingAfterBreak="0">
    <w:nsid w:val="02E40DF2"/>
    <w:multiLevelType w:val="hybridMultilevel"/>
    <w:tmpl w:val="33BE8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71847"/>
    <w:multiLevelType w:val="hybridMultilevel"/>
    <w:tmpl w:val="DC7E4932"/>
    <w:lvl w:ilvl="0" w:tplc="92008F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D5F5D"/>
    <w:multiLevelType w:val="hybridMultilevel"/>
    <w:tmpl w:val="87AEA1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B1627B"/>
    <w:multiLevelType w:val="hybridMultilevel"/>
    <w:tmpl w:val="DED6426A"/>
    <w:lvl w:ilvl="0" w:tplc="F7EE2D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536C9"/>
    <w:multiLevelType w:val="hybridMultilevel"/>
    <w:tmpl w:val="11A4346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31422DD"/>
    <w:multiLevelType w:val="hybridMultilevel"/>
    <w:tmpl w:val="BBA43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9484A"/>
    <w:multiLevelType w:val="hybridMultilevel"/>
    <w:tmpl w:val="EC08B866"/>
    <w:lvl w:ilvl="0" w:tplc="C99A94EE">
      <w:start w:val="1"/>
      <w:numFmt w:val="bullet"/>
      <w:lvlText w:val="•"/>
      <w:lvlJc w:val="left"/>
      <w:pPr>
        <w:tabs>
          <w:tab w:val="num" w:pos="720"/>
        </w:tabs>
        <w:ind w:left="720" w:hanging="360"/>
      </w:pPr>
      <w:rPr>
        <w:rFonts w:ascii="Arial" w:hAnsi="Arial" w:hint="default"/>
      </w:rPr>
    </w:lvl>
    <w:lvl w:ilvl="1" w:tplc="EC506992">
      <w:start w:val="1"/>
      <w:numFmt w:val="bullet"/>
      <w:lvlText w:val="•"/>
      <w:lvlJc w:val="left"/>
      <w:pPr>
        <w:tabs>
          <w:tab w:val="num" w:pos="1440"/>
        </w:tabs>
        <w:ind w:left="1440" w:hanging="360"/>
      </w:pPr>
      <w:rPr>
        <w:rFonts w:ascii="Arial" w:hAnsi="Arial" w:hint="default"/>
      </w:rPr>
    </w:lvl>
    <w:lvl w:ilvl="2" w:tplc="8E1677F8" w:tentative="1">
      <w:start w:val="1"/>
      <w:numFmt w:val="bullet"/>
      <w:lvlText w:val="•"/>
      <w:lvlJc w:val="left"/>
      <w:pPr>
        <w:tabs>
          <w:tab w:val="num" w:pos="2160"/>
        </w:tabs>
        <w:ind w:left="2160" w:hanging="360"/>
      </w:pPr>
      <w:rPr>
        <w:rFonts w:ascii="Arial" w:hAnsi="Arial" w:hint="default"/>
      </w:rPr>
    </w:lvl>
    <w:lvl w:ilvl="3" w:tplc="E73A4DE8" w:tentative="1">
      <w:start w:val="1"/>
      <w:numFmt w:val="bullet"/>
      <w:lvlText w:val="•"/>
      <w:lvlJc w:val="left"/>
      <w:pPr>
        <w:tabs>
          <w:tab w:val="num" w:pos="2880"/>
        </w:tabs>
        <w:ind w:left="2880" w:hanging="360"/>
      </w:pPr>
      <w:rPr>
        <w:rFonts w:ascii="Arial" w:hAnsi="Arial" w:hint="default"/>
      </w:rPr>
    </w:lvl>
    <w:lvl w:ilvl="4" w:tplc="288AB746" w:tentative="1">
      <w:start w:val="1"/>
      <w:numFmt w:val="bullet"/>
      <w:lvlText w:val="•"/>
      <w:lvlJc w:val="left"/>
      <w:pPr>
        <w:tabs>
          <w:tab w:val="num" w:pos="3600"/>
        </w:tabs>
        <w:ind w:left="3600" w:hanging="360"/>
      </w:pPr>
      <w:rPr>
        <w:rFonts w:ascii="Arial" w:hAnsi="Arial" w:hint="default"/>
      </w:rPr>
    </w:lvl>
    <w:lvl w:ilvl="5" w:tplc="8EA00A98" w:tentative="1">
      <w:start w:val="1"/>
      <w:numFmt w:val="bullet"/>
      <w:lvlText w:val="•"/>
      <w:lvlJc w:val="left"/>
      <w:pPr>
        <w:tabs>
          <w:tab w:val="num" w:pos="4320"/>
        </w:tabs>
        <w:ind w:left="4320" w:hanging="360"/>
      </w:pPr>
      <w:rPr>
        <w:rFonts w:ascii="Arial" w:hAnsi="Arial" w:hint="default"/>
      </w:rPr>
    </w:lvl>
    <w:lvl w:ilvl="6" w:tplc="A5A63A12" w:tentative="1">
      <w:start w:val="1"/>
      <w:numFmt w:val="bullet"/>
      <w:lvlText w:val="•"/>
      <w:lvlJc w:val="left"/>
      <w:pPr>
        <w:tabs>
          <w:tab w:val="num" w:pos="5040"/>
        </w:tabs>
        <w:ind w:left="5040" w:hanging="360"/>
      </w:pPr>
      <w:rPr>
        <w:rFonts w:ascii="Arial" w:hAnsi="Arial" w:hint="default"/>
      </w:rPr>
    </w:lvl>
    <w:lvl w:ilvl="7" w:tplc="40FA3F76" w:tentative="1">
      <w:start w:val="1"/>
      <w:numFmt w:val="bullet"/>
      <w:lvlText w:val="•"/>
      <w:lvlJc w:val="left"/>
      <w:pPr>
        <w:tabs>
          <w:tab w:val="num" w:pos="5760"/>
        </w:tabs>
        <w:ind w:left="5760" w:hanging="360"/>
      </w:pPr>
      <w:rPr>
        <w:rFonts w:ascii="Arial" w:hAnsi="Arial" w:hint="default"/>
      </w:rPr>
    </w:lvl>
    <w:lvl w:ilvl="8" w:tplc="0ABAF8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B6274A"/>
    <w:multiLevelType w:val="hybridMultilevel"/>
    <w:tmpl w:val="773223F4"/>
    <w:lvl w:ilvl="0" w:tplc="960E0CBE">
      <w:start w:val="1"/>
      <w:numFmt w:val="decimal"/>
      <w:lvlText w:val="%1."/>
      <w:lvlJc w:val="left"/>
      <w:pPr>
        <w:ind w:left="360" w:hanging="360"/>
      </w:pPr>
      <w:rPr>
        <w:rFonts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3607F"/>
    <w:multiLevelType w:val="hybridMultilevel"/>
    <w:tmpl w:val="77D0C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470566"/>
    <w:multiLevelType w:val="hybridMultilevel"/>
    <w:tmpl w:val="8A8E0086"/>
    <w:lvl w:ilvl="0" w:tplc="88989AD4">
      <w:start w:val="1"/>
      <w:numFmt w:val="lowerRoman"/>
      <w:lvlText w:val="%1)"/>
      <w:lvlJc w:val="left"/>
      <w:pPr>
        <w:ind w:left="780" w:hanging="360"/>
      </w:pPr>
      <w:rPr>
        <w:rFonts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A555E60"/>
    <w:multiLevelType w:val="hybridMultilevel"/>
    <w:tmpl w:val="9E44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9A410B"/>
    <w:multiLevelType w:val="hybridMultilevel"/>
    <w:tmpl w:val="A6A829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4CCE4D2A"/>
    <w:multiLevelType w:val="hybridMultilevel"/>
    <w:tmpl w:val="FCD07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372711D"/>
    <w:multiLevelType w:val="hybridMultilevel"/>
    <w:tmpl w:val="6F162232"/>
    <w:lvl w:ilvl="0" w:tplc="0C090001">
      <w:start w:val="1"/>
      <w:numFmt w:val="bullet"/>
      <w:lvlText w:val=""/>
      <w:lvlJc w:val="left"/>
      <w:pPr>
        <w:ind w:left="780" w:hanging="360"/>
      </w:pPr>
      <w:rPr>
        <w:rFonts w:ascii="Symbol" w:hAnsi="Symbol"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54324697"/>
    <w:multiLevelType w:val="hybridMultilevel"/>
    <w:tmpl w:val="8DC2F0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6332AF"/>
    <w:multiLevelType w:val="hybridMultilevel"/>
    <w:tmpl w:val="47285D50"/>
    <w:lvl w:ilvl="0" w:tplc="1A52FD5C">
      <w:start w:val="1"/>
      <w:numFmt w:val="bullet"/>
      <w:pStyle w:val="Table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0"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BE4648"/>
    <w:multiLevelType w:val="hybridMultilevel"/>
    <w:tmpl w:val="C128D44C"/>
    <w:lvl w:ilvl="0" w:tplc="F2A677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3760C7"/>
    <w:multiLevelType w:val="hybridMultilevel"/>
    <w:tmpl w:val="9AD0C582"/>
    <w:lvl w:ilvl="0" w:tplc="92CAB1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AC08C0"/>
    <w:multiLevelType w:val="hybridMultilevel"/>
    <w:tmpl w:val="C5AAB316"/>
    <w:lvl w:ilvl="0" w:tplc="F35E286E">
      <w:start w:val="1"/>
      <w:numFmt w:val="bullet"/>
      <w:lvlText w:val="•"/>
      <w:lvlJc w:val="left"/>
      <w:pPr>
        <w:tabs>
          <w:tab w:val="num" w:pos="720"/>
        </w:tabs>
        <w:ind w:left="720" w:hanging="360"/>
      </w:pPr>
      <w:rPr>
        <w:rFonts w:ascii="Arial" w:hAnsi="Arial" w:hint="default"/>
      </w:rPr>
    </w:lvl>
    <w:lvl w:ilvl="1" w:tplc="6D48D8F4" w:tentative="1">
      <w:start w:val="1"/>
      <w:numFmt w:val="bullet"/>
      <w:lvlText w:val="•"/>
      <w:lvlJc w:val="left"/>
      <w:pPr>
        <w:tabs>
          <w:tab w:val="num" w:pos="1440"/>
        </w:tabs>
        <w:ind w:left="1440" w:hanging="360"/>
      </w:pPr>
      <w:rPr>
        <w:rFonts w:ascii="Arial" w:hAnsi="Arial" w:hint="default"/>
      </w:rPr>
    </w:lvl>
    <w:lvl w:ilvl="2" w:tplc="A2D40A8E" w:tentative="1">
      <w:start w:val="1"/>
      <w:numFmt w:val="bullet"/>
      <w:lvlText w:val="•"/>
      <w:lvlJc w:val="left"/>
      <w:pPr>
        <w:tabs>
          <w:tab w:val="num" w:pos="2160"/>
        </w:tabs>
        <w:ind w:left="2160" w:hanging="360"/>
      </w:pPr>
      <w:rPr>
        <w:rFonts w:ascii="Arial" w:hAnsi="Arial" w:hint="default"/>
      </w:rPr>
    </w:lvl>
    <w:lvl w:ilvl="3" w:tplc="2DE29272" w:tentative="1">
      <w:start w:val="1"/>
      <w:numFmt w:val="bullet"/>
      <w:lvlText w:val="•"/>
      <w:lvlJc w:val="left"/>
      <w:pPr>
        <w:tabs>
          <w:tab w:val="num" w:pos="2880"/>
        </w:tabs>
        <w:ind w:left="2880" w:hanging="360"/>
      </w:pPr>
      <w:rPr>
        <w:rFonts w:ascii="Arial" w:hAnsi="Arial" w:hint="default"/>
      </w:rPr>
    </w:lvl>
    <w:lvl w:ilvl="4" w:tplc="B6AC82BA" w:tentative="1">
      <w:start w:val="1"/>
      <w:numFmt w:val="bullet"/>
      <w:lvlText w:val="•"/>
      <w:lvlJc w:val="left"/>
      <w:pPr>
        <w:tabs>
          <w:tab w:val="num" w:pos="3600"/>
        </w:tabs>
        <w:ind w:left="3600" w:hanging="360"/>
      </w:pPr>
      <w:rPr>
        <w:rFonts w:ascii="Arial" w:hAnsi="Arial" w:hint="default"/>
      </w:rPr>
    </w:lvl>
    <w:lvl w:ilvl="5" w:tplc="A93878B8" w:tentative="1">
      <w:start w:val="1"/>
      <w:numFmt w:val="bullet"/>
      <w:lvlText w:val="•"/>
      <w:lvlJc w:val="left"/>
      <w:pPr>
        <w:tabs>
          <w:tab w:val="num" w:pos="4320"/>
        </w:tabs>
        <w:ind w:left="4320" w:hanging="360"/>
      </w:pPr>
      <w:rPr>
        <w:rFonts w:ascii="Arial" w:hAnsi="Arial" w:hint="default"/>
      </w:rPr>
    </w:lvl>
    <w:lvl w:ilvl="6" w:tplc="92EAA686" w:tentative="1">
      <w:start w:val="1"/>
      <w:numFmt w:val="bullet"/>
      <w:lvlText w:val="•"/>
      <w:lvlJc w:val="left"/>
      <w:pPr>
        <w:tabs>
          <w:tab w:val="num" w:pos="5040"/>
        </w:tabs>
        <w:ind w:left="5040" w:hanging="360"/>
      </w:pPr>
      <w:rPr>
        <w:rFonts w:ascii="Arial" w:hAnsi="Arial" w:hint="default"/>
      </w:rPr>
    </w:lvl>
    <w:lvl w:ilvl="7" w:tplc="ED30EC7E" w:tentative="1">
      <w:start w:val="1"/>
      <w:numFmt w:val="bullet"/>
      <w:lvlText w:val="•"/>
      <w:lvlJc w:val="left"/>
      <w:pPr>
        <w:tabs>
          <w:tab w:val="num" w:pos="5760"/>
        </w:tabs>
        <w:ind w:left="5760" w:hanging="360"/>
      </w:pPr>
      <w:rPr>
        <w:rFonts w:ascii="Arial" w:hAnsi="Arial" w:hint="default"/>
      </w:rPr>
    </w:lvl>
    <w:lvl w:ilvl="8" w:tplc="2C8EA5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1A03D9"/>
    <w:multiLevelType w:val="hybridMultilevel"/>
    <w:tmpl w:val="18DAC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A1529"/>
    <w:multiLevelType w:val="hybridMultilevel"/>
    <w:tmpl w:val="45C63E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C272B"/>
    <w:multiLevelType w:val="hybridMultilevel"/>
    <w:tmpl w:val="4DB696C0"/>
    <w:lvl w:ilvl="0" w:tplc="B4CA4DF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2"/>
  </w:num>
  <w:num w:numId="4">
    <w:abstractNumId w:val="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18"/>
  </w:num>
  <w:num w:numId="10">
    <w:abstractNumId w:val="9"/>
  </w:num>
  <w:num w:numId="11">
    <w:abstractNumId w:val="21"/>
  </w:num>
  <w:num w:numId="12">
    <w:abstractNumId w:val="22"/>
  </w:num>
  <w:num w:numId="13">
    <w:abstractNumId w:val="15"/>
  </w:num>
  <w:num w:numId="14">
    <w:abstractNumId w:val="16"/>
  </w:num>
  <w:num w:numId="15">
    <w:abstractNumId w:val="25"/>
  </w:num>
  <w:num w:numId="16">
    <w:abstractNumId w:val="1"/>
  </w:num>
  <w:num w:numId="17">
    <w:abstractNumId w:val="14"/>
  </w:num>
  <w:num w:numId="18">
    <w:abstractNumId w:val="2"/>
  </w:num>
  <w:num w:numId="19">
    <w:abstractNumId w:val="24"/>
  </w:num>
  <w:num w:numId="20">
    <w:abstractNumId w:val="3"/>
  </w:num>
  <w:num w:numId="21">
    <w:abstractNumId w:val="10"/>
  </w:num>
  <w:num w:numId="22">
    <w:abstractNumId w:val="5"/>
  </w:num>
  <w:num w:numId="23">
    <w:abstractNumId w:val="4"/>
  </w:num>
  <w:num w:numId="24">
    <w:abstractNumId w:val="17"/>
  </w:num>
  <w:num w:numId="25">
    <w:abstractNumId w:val="26"/>
  </w:num>
  <w:num w:numId="26">
    <w:abstractNumId w:val="19"/>
  </w:num>
  <w:num w:numId="27">
    <w:abstractNumId w:val="8"/>
  </w:num>
  <w:num w:numId="28">
    <w:abstractNumId w:val="13"/>
  </w:num>
  <w:num w:numId="29">
    <w:abstractNumId w:val="7"/>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26"/>
  </w:num>
  <w:num w:numId="35">
    <w:abstractNumId w:val="26"/>
  </w:num>
  <w:num w:numId="3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A26"/>
    <w:rsid w:val="00002B65"/>
    <w:rsid w:val="00003499"/>
    <w:rsid w:val="000039AA"/>
    <w:rsid w:val="000039B7"/>
    <w:rsid w:val="000045DA"/>
    <w:rsid w:val="00005236"/>
    <w:rsid w:val="000057D7"/>
    <w:rsid w:val="0000639A"/>
    <w:rsid w:val="00006828"/>
    <w:rsid w:val="0001068D"/>
    <w:rsid w:val="00011803"/>
    <w:rsid w:val="00011BF4"/>
    <w:rsid w:val="00013247"/>
    <w:rsid w:val="000141A4"/>
    <w:rsid w:val="00015886"/>
    <w:rsid w:val="000162EF"/>
    <w:rsid w:val="000207C9"/>
    <w:rsid w:val="00020F13"/>
    <w:rsid w:val="00021F34"/>
    <w:rsid w:val="0002225F"/>
    <w:rsid w:val="00023763"/>
    <w:rsid w:val="000251B5"/>
    <w:rsid w:val="00025BBD"/>
    <w:rsid w:val="000274B8"/>
    <w:rsid w:val="00031252"/>
    <w:rsid w:val="000316D9"/>
    <w:rsid w:val="00031E4E"/>
    <w:rsid w:val="00033863"/>
    <w:rsid w:val="00033FBE"/>
    <w:rsid w:val="00034070"/>
    <w:rsid w:val="0003467A"/>
    <w:rsid w:val="00035A87"/>
    <w:rsid w:val="00035DC0"/>
    <w:rsid w:val="000363EB"/>
    <w:rsid w:val="00036829"/>
    <w:rsid w:val="00037697"/>
    <w:rsid w:val="00040895"/>
    <w:rsid w:val="0004137C"/>
    <w:rsid w:val="00041BC6"/>
    <w:rsid w:val="000435EE"/>
    <w:rsid w:val="0004388B"/>
    <w:rsid w:val="00043C37"/>
    <w:rsid w:val="00043F3E"/>
    <w:rsid w:val="00045017"/>
    <w:rsid w:val="00045A2B"/>
    <w:rsid w:val="0004698F"/>
    <w:rsid w:val="0004700B"/>
    <w:rsid w:val="000470B3"/>
    <w:rsid w:val="00052C31"/>
    <w:rsid w:val="000531AE"/>
    <w:rsid w:val="000539D0"/>
    <w:rsid w:val="00054621"/>
    <w:rsid w:val="000546D7"/>
    <w:rsid w:val="00056ECF"/>
    <w:rsid w:val="00057097"/>
    <w:rsid w:val="0005788C"/>
    <w:rsid w:val="000604DF"/>
    <w:rsid w:val="00060EBD"/>
    <w:rsid w:val="00062891"/>
    <w:rsid w:val="00064783"/>
    <w:rsid w:val="000653B5"/>
    <w:rsid w:val="00066360"/>
    <w:rsid w:val="00066412"/>
    <w:rsid w:val="000669AF"/>
    <w:rsid w:val="00066AF8"/>
    <w:rsid w:val="00066F86"/>
    <w:rsid w:val="00067898"/>
    <w:rsid w:val="00067A08"/>
    <w:rsid w:val="00071248"/>
    <w:rsid w:val="000720B9"/>
    <w:rsid w:val="0007281E"/>
    <w:rsid w:val="000731DF"/>
    <w:rsid w:val="00073306"/>
    <w:rsid w:val="000737F7"/>
    <w:rsid w:val="0007672F"/>
    <w:rsid w:val="00076B54"/>
    <w:rsid w:val="000774F0"/>
    <w:rsid w:val="0007762A"/>
    <w:rsid w:val="000804F6"/>
    <w:rsid w:val="00080909"/>
    <w:rsid w:val="000812CA"/>
    <w:rsid w:val="00081E63"/>
    <w:rsid w:val="0008258D"/>
    <w:rsid w:val="00083E99"/>
    <w:rsid w:val="000848FB"/>
    <w:rsid w:val="00084ABA"/>
    <w:rsid w:val="00084CBA"/>
    <w:rsid w:val="00084FA8"/>
    <w:rsid w:val="000856C5"/>
    <w:rsid w:val="00085C31"/>
    <w:rsid w:val="000869B1"/>
    <w:rsid w:val="00086F6A"/>
    <w:rsid w:val="000873DD"/>
    <w:rsid w:val="000879F7"/>
    <w:rsid w:val="000902D9"/>
    <w:rsid w:val="0009081A"/>
    <w:rsid w:val="00090C0A"/>
    <w:rsid w:val="00090C7E"/>
    <w:rsid w:val="00092600"/>
    <w:rsid w:val="0009262B"/>
    <w:rsid w:val="00093310"/>
    <w:rsid w:val="0009445C"/>
    <w:rsid w:val="00095200"/>
    <w:rsid w:val="00095F99"/>
    <w:rsid w:val="00095FE5"/>
    <w:rsid w:val="00096284"/>
    <w:rsid w:val="000969D6"/>
    <w:rsid w:val="000A0770"/>
    <w:rsid w:val="000A0CD7"/>
    <w:rsid w:val="000A1BC0"/>
    <w:rsid w:val="000A2C6A"/>
    <w:rsid w:val="000A4B0F"/>
    <w:rsid w:val="000A53EA"/>
    <w:rsid w:val="000A6039"/>
    <w:rsid w:val="000A6867"/>
    <w:rsid w:val="000A7453"/>
    <w:rsid w:val="000A7D08"/>
    <w:rsid w:val="000B0121"/>
    <w:rsid w:val="000B0670"/>
    <w:rsid w:val="000B0E75"/>
    <w:rsid w:val="000B2DCB"/>
    <w:rsid w:val="000B38E7"/>
    <w:rsid w:val="000B3F7E"/>
    <w:rsid w:val="000B4956"/>
    <w:rsid w:val="000B4EE4"/>
    <w:rsid w:val="000B5CE0"/>
    <w:rsid w:val="000B6CAC"/>
    <w:rsid w:val="000B7612"/>
    <w:rsid w:val="000B78AE"/>
    <w:rsid w:val="000C2B33"/>
    <w:rsid w:val="000C3CAE"/>
    <w:rsid w:val="000C3DF9"/>
    <w:rsid w:val="000C508D"/>
    <w:rsid w:val="000C5E59"/>
    <w:rsid w:val="000C5F5C"/>
    <w:rsid w:val="000C6713"/>
    <w:rsid w:val="000C77D5"/>
    <w:rsid w:val="000C78B6"/>
    <w:rsid w:val="000D0A89"/>
    <w:rsid w:val="000D1BFC"/>
    <w:rsid w:val="000D1D5D"/>
    <w:rsid w:val="000D281A"/>
    <w:rsid w:val="000D2848"/>
    <w:rsid w:val="000D2DD9"/>
    <w:rsid w:val="000D326A"/>
    <w:rsid w:val="000D4EC6"/>
    <w:rsid w:val="000D51FB"/>
    <w:rsid w:val="000D74B6"/>
    <w:rsid w:val="000D7E64"/>
    <w:rsid w:val="000E0640"/>
    <w:rsid w:val="000E135D"/>
    <w:rsid w:val="000E3793"/>
    <w:rsid w:val="000E5952"/>
    <w:rsid w:val="000E5DE6"/>
    <w:rsid w:val="000E745F"/>
    <w:rsid w:val="000F00BA"/>
    <w:rsid w:val="000F2961"/>
    <w:rsid w:val="000F316A"/>
    <w:rsid w:val="000F3C74"/>
    <w:rsid w:val="000F4BB8"/>
    <w:rsid w:val="000F4FA9"/>
    <w:rsid w:val="000F53FB"/>
    <w:rsid w:val="000F5DF2"/>
    <w:rsid w:val="000F6BC2"/>
    <w:rsid w:val="000F7127"/>
    <w:rsid w:val="000F75BE"/>
    <w:rsid w:val="000F7B54"/>
    <w:rsid w:val="00100F8A"/>
    <w:rsid w:val="001028DD"/>
    <w:rsid w:val="00103653"/>
    <w:rsid w:val="0010452E"/>
    <w:rsid w:val="00104C68"/>
    <w:rsid w:val="00105AE2"/>
    <w:rsid w:val="001060C6"/>
    <w:rsid w:val="00106B80"/>
    <w:rsid w:val="0011032E"/>
    <w:rsid w:val="00112061"/>
    <w:rsid w:val="0011348B"/>
    <w:rsid w:val="001136A8"/>
    <w:rsid w:val="00114F7F"/>
    <w:rsid w:val="00115982"/>
    <w:rsid w:val="00115F10"/>
    <w:rsid w:val="00116AE8"/>
    <w:rsid w:val="00116C53"/>
    <w:rsid w:val="00117C97"/>
    <w:rsid w:val="00121799"/>
    <w:rsid w:val="00121F1E"/>
    <w:rsid w:val="001222FC"/>
    <w:rsid w:val="00123902"/>
    <w:rsid w:val="00123BA8"/>
    <w:rsid w:val="00124A51"/>
    <w:rsid w:val="00126621"/>
    <w:rsid w:val="00126B1D"/>
    <w:rsid w:val="00126C62"/>
    <w:rsid w:val="00127144"/>
    <w:rsid w:val="00127258"/>
    <w:rsid w:val="001301E9"/>
    <w:rsid w:val="00131D82"/>
    <w:rsid w:val="0013214C"/>
    <w:rsid w:val="00132B22"/>
    <w:rsid w:val="00132D9F"/>
    <w:rsid w:val="0013313E"/>
    <w:rsid w:val="00133A2B"/>
    <w:rsid w:val="00133D36"/>
    <w:rsid w:val="00135BEA"/>
    <w:rsid w:val="001360AC"/>
    <w:rsid w:val="00136BC9"/>
    <w:rsid w:val="00137645"/>
    <w:rsid w:val="0014015A"/>
    <w:rsid w:val="00140E99"/>
    <w:rsid w:val="0014270A"/>
    <w:rsid w:val="00142CBB"/>
    <w:rsid w:val="00143F67"/>
    <w:rsid w:val="00143F8D"/>
    <w:rsid w:val="00145540"/>
    <w:rsid w:val="001456B0"/>
    <w:rsid w:val="001469B9"/>
    <w:rsid w:val="00150F0B"/>
    <w:rsid w:val="00151FCA"/>
    <w:rsid w:val="00152939"/>
    <w:rsid w:val="00154E4B"/>
    <w:rsid w:val="0015519E"/>
    <w:rsid w:val="00156F8F"/>
    <w:rsid w:val="00157130"/>
    <w:rsid w:val="00157139"/>
    <w:rsid w:val="001576B1"/>
    <w:rsid w:val="00157EE7"/>
    <w:rsid w:val="0016047B"/>
    <w:rsid w:val="00160A4C"/>
    <w:rsid w:val="00162913"/>
    <w:rsid w:val="00163EFF"/>
    <w:rsid w:val="00163F66"/>
    <w:rsid w:val="001644DF"/>
    <w:rsid w:val="00165DF9"/>
    <w:rsid w:val="001661FB"/>
    <w:rsid w:val="001671A0"/>
    <w:rsid w:val="0016767F"/>
    <w:rsid w:val="00167C84"/>
    <w:rsid w:val="00170269"/>
    <w:rsid w:val="001716AC"/>
    <w:rsid w:val="00171C7F"/>
    <w:rsid w:val="001724AC"/>
    <w:rsid w:val="00173565"/>
    <w:rsid w:val="00173B07"/>
    <w:rsid w:val="00173E16"/>
    <w:rsid w:val="001751FA"/>
    <w:rsid w:val="001760F1"/>
    <w:rsid w:val="00176634"/>
    <w:rsid w:val="00177CB7"/>
    <w:rsid w:val="00181D9C"/>
    <w:rsid w:val="00182E28"/>
    <w:rsid w:val="00184B0E"/>
    <w:rsid w:val="00185F0B"/>
    <w:rsid w:val="00186629"/>
    <w:rsid w:val="0018746B"/>
    <w:rsid w:val="0018752F"/>
    <w:rsid w:val="0019127D"/>
    <w:rsid w:val="0019237B"/>
    <w:rsid w:val="00193838"/>
    <w:rsid w:val="00194AD8"/>
    <w:rsid w:val="00194C8D"/>
    <w:rsid w:val="001951BA"/>
    <w:rsid w:val="00195222"/>
    <w:rsid w:val="0019623D"/>
    <w:rsid w:val="00197118"/>
    <w:rsid w:val="001975D8"/>
    <w:rsid w:val="001975FB"/>
    <w:rsid w:val="001A018E"/>
    <w:rsid w:val="001A049A"/>
    <w:rsid w:val="001A1677"/>
    <w:rsid w:val="001A178E"/>
    <w:rsid w:val="001A43FA"/>
    <w:rsid w:val="001A47C5"/>
    <w:rsid w:val="001A59FB"/>
    <w:rsid w:val="001A5A34"/>
    <w:rsid w:val="001A5E9E"/>
    <w:rsid w:val="001A6354"/>
    <w:rsid w:val="001A6366"/>
    <w:rsid w:val="001A68BE"/>
    <w:rsid w:val="001A7AE8"/>
    <w:rsid w:val="001B1F03"/>
    <w:rsid w:val="001B204E"/>
    <w:rsid w:val="001B2372"/>
    <w:rsid w:val="001B2BE7"/>
    <w:rsid w:val="001B3443"/>
    <w:rsid w:val="001B40C4"/>
    <w:rsid w:val="001B47BD"/>
    <w:rsid w:val="001B4D20"/>
    <w:rsid w:val="001B5473"/>
    <w:rsid w:val="001B5BEF"/>
    <w:rsid w:val="001B760B"/>
    <w:rsid w:val="001B78EF"/>
    <w:rsid w:val="001C086E"/>
    <w:rsid w:val="001C2A9B"/>
    <w:rsid w:val="001C3292"/>
    <w:rsid w:val="001C32DA"/>
    <w:rsid w:val="001C4299"/>
    <w:rsid w:val="001C4874"/>
    <w:rsid w:val="001C5F94"/>
    <w:rsid w:val="001C6441"/>
    <w:rsid w:val="001C6E66"/>
    <w:rsid w:val="001D1100"/>
    <w:rsid w:val="001D1391"/>
    <w:rsid w:val="001D25D7"/>
    <w:rsid w:val="001D2871"/>
    <w:rsid w:val="001D425A"/>
    <w:rsid w:val="001D50B2"/>
    <w:rsid w:val="001D6998"/>
    <w:rsid w:val="001D7645"/>
    <w:rsid w:val="001E1C31"/>
    <w:rsid w:val="001E1E86"/>
    <w:rsid w:val="001E238E"/>
    <w:rsid w:val="001E2483"/>
    <w:rsid w:val="001E2B1E"/>
    <w:rsid w:val="001E2CFF"/>
    <w:rsid w:val="001E2F24"/>
    <w:rsid w:val="001E30D4"/>
    <w:rsid w:val="001E34DF"/>
    <w:rsid w:val="001E3B52"/>
    <w:rsid w:val="001E4034"/>
    <w:rsid w:val="001E52EB"/>
    <w:rsid w:val="001E61D2"/>
    <w:rsid w:val="001E740C"/>
    <w:rsid w:val="001E771E"/>
    <w:rsid w:val="001F1235"/>
    <w:rsid w:val="001F1CB3"/>
    <w:rsid w:val="001F38B5"/>
    <w:rsid w:val="001F4081"/>
    <w:rsid w:val="001F7361"/>
    <w:rsid w:val="002011B0"/>
    <w:rsid w:val="002013B4"/>
    <w:rsid w:val="00201C87"/>
    <w:rsid w:val="00203181"/>
    <w:rsid w:val="00203783"/>
    <w:rsid w:val="0020385F"/>
    <w:rsid w:val="00205E42"/>
    <w:rsid w:val="002068A0"/>
    <w:rsid w:val="00207021"/>
    <w:rsid w:val="0020732F"/>
    <w:rsid w:val="00207D00"/>
    <w:rsid w:val="00210515"/>
    <w:rsid w:val="002105C1"/>
    <w:rsid w:val="00211529"/>
    <w:rsid w:val="002135F7"/>
    <w:rsid w:val="00213EF5"/>
    <w:rsid w:val="00215897"/>
    <w:rsid w:val="00216BF5"/>
    <w:rsid w:val="0022021C"/>
    <w:rsid w:val="00222402"/>
    <w:rsid w:val="0022259C"/>
    <w:rsid w:val="00222787"/>
    <w:rsid w:val="00223B49"/>
    <w:rsid w:val="00223D5A"/>
    <w:rsid w:val="00224DD4"/>
    <w:rsid w:val="00226C63"/>
    <w:rsid w:val="002278A0"/>
    <w:rsid w:val="00230610"/>
    <w:rsid w:val="002309CC"/>
    <w:rsid w:val="0023154E"/>
    <w:rsid w:val="00231B7C"/>
    <w:rsid w:val="0023209F"/>
    <w:rsid w:val="00232FDE"/>
    <w:rsid w:val="00233C01"/>
    <w:rsid w:val="0023413C"/>
    <w:rsid w:val="002346F0"/>
    <w:rsid w:val="00234B85"/>
    <w:rsid w:val="00235D81"/>
    <w:rsid w:val="0023629D"/>
    <w:rsid w:val="00237255"/>
    <w:rsid w:val="002406D3"/>
    <w:rsid w:val="00241870"/>
    <w:rsid w:val="002424AF"/>
    <w:rsid w:val="00242F2E"/>
    <w:rsid w:val="002439DC"/>
    <w:rsid w:val="00243B72"/>
    <w:rsid w:val="002441D2"/>
    <w:rsid w:val="00244731"/>
    <w:rsid w:val="00244DC8"/>
    <w:rsid w:val="002458BA"/>
    <w:rsid w:val="00245CE9"/>
    <w:rsid w:val="0024636C"/>
    <w:rsid w:val="00247681"/>
    <w:rsid w:val="00247925"/>
    <w:rsid w:val="00251006"/>
    <w:rsid w:val="0025185C"/>
    <w:rsid w:val="002524D5"/>
    <w:rsid w:val="0025371A"/>
    <w:rsid w:val="00253B1D"/>
    <w:rsid w:val="00254A95"/>
    <w:rsid w:val="00254DCF"/>
    <w:rsid w:val="0025534B"/>
    <w:rsid w:val="00255BB7"/>
    <w:rsid w:val="00256D30"/>
    <w:rsid w:val="00257541"/>
    <w:rsid w:val="00257A39"/>
    <w:rsid w:val="00257AC4"/>
    <w:rsid w:val="0026142C"/>
    <w:rsid w:val="00261EEF"/>
    <w:rsid w:val="00262748"/>
    <w:rsid w:val="00262A1A"/>
    <w:rsid w:val="00262A87"/>
    <w:rsid w:val="00263DF4"/>
    <w:rsid w:val="00264D26"/>
    <w:rsid w:val="002662AC"/>
    <w:rsid w:val="00267642"/>
    <w:rsid w:val="00267AEA"/>
    <w:rsid w:val="002700E6"/>
    <w:rsid w:val="0027294B"/>
    <w:rsid w:val="00273EB4"/>
    <w:rsid w:val="00274682"/>
    <w:rsid w:val="00275C5A"/>
    <w:rsid w:val="00276BAC"/>
    <w:rsid w:val="002770C2"/>
    <w:rsid w:val="002774F7"/>
    <w:rsid w:val="0028007B"/>
    <w:rsid w:val="00280BB3"/>
    <w:rsid w:val="00280CBF"/>
    <w:rsid w:val="00280E62"/>
    <w:rsid w:val="00281014"/>
    <w:rsid w:val="002811CB"/>
    <w:rsid w:val="002815C0"/>
    <w:rsid w:val="0028212A"/>
    <w:rsid w:val="00282A48"/>
    <w:rsid w:val="00282EE2"/>
    <w:rsid w:val="0028513F"/>
    <w:rsid w:val="0028665D"/>
    <w:rsid w:val="002869F4"/>
    <w:rsid w:val="00287954"/>
    <w:rsid w:val="002901C0"/>
    <w:rsid w:val="00293A07"/>
    <w:rsid w:val="00294F0A"/>
    <w:rsid w:val="00297A3E"/>
    <w:rsid w:val="002A14AB"/>
    <w:rsid w:val="002A1E6F"/>
    <w:rsid w:val="002A2ADE"/>
    <w:rsid w:val="002A2F50"/>
    <w:rsid w:val="002A3CA9"/>
    <w:rsid w:val="002A6A82"/>
    <w:rsid w:val="002A746C"/>
    <w:rsid w:val="002B05A1"/>
    <w:rsid w:val="002B09A4"/>
    <w:rsid w:val="002B1576"/>
    <w:rsid w:val="002B1C1F"/>
    <w:rsid w:val="002B21C8"/>
    <w:rsid w:val="002B3EE0"/>
    <w:rsid w:val="002B432F"/>
    <w:rsid w:val="002B62B3"/>
    <w:rsid w:val="002B6754"/>
    <w:rsid w:val="002B69E4"/>
    <w:rsid w:val="002B6CCE"/>
    <w:rsid w:val="002B7AEF"/>
    <w:rsid w:val="002C2510"/>
    <w:rsid w:val="002C2775"/>
    <w:rsid w:val="002C27C1"/>
    <w:rsid w:val="002C5099"/>
    <w:rsid w:val="002C5889"/>
    <w:rsid w:val="002C5A0C"/>
    <w:rsid w:val="002C71CE"/>
    <w:rsid w:val="002D08F8"/>
    <w:rsid w:val="002D0BD8"/>
    <w:rsid w:val="002D16F2"/>
    <w:rsid w:val="002D54A5"/>
    <w:rsid w:val="002D577C"/>
    <w:rsid w:val="002D6659"/>
    <w:rsid w:val="002D785B"/>
    <w:rsid w:val="002E1071"/>
    <w:rsid w:val="002E15B9"/>
    <w:rsid w:val="002E1773"/>
    <w:rsid w:val="002E2158"/>
    <w:rsid w:val="002E2C2C"/>
    <w:rsid w:val="002E4F02"/>
    <w:rsid w:val="002E5C51"/>
    <w:rsid w:val="002E7722"/>
    <w:rsid w:val="002F07BA"/>
    <w:rsid w:val="002F0DA9"/>
    <w:rsid w:val="002F0E1F"/>
    <w:rsid w:val="002F1014"/>
    <w:rsid w:val="002F18AC"/>
    <w:rsid w:val="002F26C7"/>
    <w:rsid w:val="002F5F44"/>
    <w:rsid w:val="002F643C"/>
    <w:rsid w:val="002F71C0"/>
    <w:rsid w:val="002F74F1"/>
    <w:rsid w:val="003009A8"/>
    <w:rsid w:val="00301017"/>
    <w:rsid w:val="0030155F"/>
    <w:rsid w:val="00303F53"/>
    <w:rsid w:val="0030439C"/>
    <w:rsid w:val="00305765"/>
    <w:rsid w:val="0030587B"/>
    <w:rsid w:val="00306D98"/>
    <w:rsid w:val="00307386"/>
    <w:rsid w:val="0030786C"/>
    <w:rsid w:val="00310118"/>
    <w:rsid w:val="003102CD"/>
    <w:rsid w:val="0031031A"/>
    <w:rsid w:val="00310981"/>
    <w:rsid w:val="003124D9"/>
    <w:rsid w:val="00312594"/>
    <w:rsid w:val="003146F0"/>
    <w:rsid w:val="00315498"/>
    <w:rsid w:val="0031564E"/>
    <w:rsid w:val="003156C2"/>
    <w:rsid w:val="00316474"/>
    <w:rsid w:val="003212AB"/>
    <w:rsid w:val="00322107"/>
    <w:rsid w:val="00322355"/>
    <w:rsid w:val="00322846"/>
    <w:rsid w:val="00323D26"/>
    <w:rsid w:val="00324BCB"/>
    <w:rsid w:val="00326DA7"/>
    <w:rsid w:val="003270E4"/>
    <w:rsid w:val="003305CA"/>
    <w:rsid w:val="00330DAA"/>
    <w:rsid w:val="00330F5C"/>
    <w:rsid w:val="00333175"/>
    <w:rsid w:val="003345A3"/>
    <w:rsid w:val="00334FD0"/>
    <w:rsid w:val="003366C9"/>
    <w:rsid w:val="003371B0"/>
    <w:rsid w:val="00337EDE"/>
    <w:rsid w:val="00340DF1"/>
    <w:rsid w:val="00342768"/>
    <w:rsid w:val="00342854"/>
    <w:rsid w:val="00342A4A"/>
    <w:rsid w:val="0034554D"/>
    <w:rsid w:val="00345A48"/>
    <w:rsid w:val="00345A49"/>
    <w:rsid w:val="0034726F"/>
    <w:rsid w:val="003472A1"/>
    <w:rsid w:val="003517F9"/>
    <w:rsid w:val="00351BA9"/>
    <w:rsid w:val="00352D04"/>
    <w:rsid w:val="00353422"/>
    <w:rsid w:val="003536B0"/>
    <w:rsid w:val="003537DD"/>
    <w:rsid w:val="00354F64"/>
    <w:rsid w:val="0035620E"/>
    <w:rsid w:val="00356CBD"/>
    <w:rsid w:val="00357684"/>
    <w:rsid w:val="00360345"/>
    <w:rsid w:val="00361189"/>
    <w:rsid w:val="00361519"/>
    <w:rsid w:val="00361A05"/>
    <w:rsid w:val="003624C4"/>
    <w:rsid w:val="00363B00"/>
    <w:rsid w:val="00364B1E"/>
    <w:rsid w:val="003654AC"/>
    <w:rsid w:val="00367BDD"/>
    <w:rsid w:val="00370B9D"/>
    <w:rsid w:val="003710CF"/>
    <w:rsid w:val="00372E09"/>
    <w:rsid w:val="0037358A"/>
    <w:rsid w:val="003750F6"/>
    <w:rsid w:val="003754E9"/>
    <w:rsid w:val="003760FC"/>
    <w:rsid w:val="00376689"/>
    <w:rsid w:val="003809F9"/>
    <w:rsid w:val="0038365C"/>
    <w:rsid w:val="0038369B"/>
    <w:rsid w:val="00383B78"/>
    <w:rsid w:val="00383F40"/>
    <w:rsid w:val="00384306"/>
    <w:rsid w:val="00385A9D"/>
    <w:rsid w:val="003875AA"/>
    <w:rsid w:val="003902B1"/>
    <w:rsid w:val="0039179C"/>
    <w:rsid w:val="00391C2F"/>
    <w:rsid w:val="00392503"/>
    <w:rsid w:val="00395A62"/>
    <w:rsid w:val="00395F83"/>
    <w:rsid w:val="00396896"/>
    <w:rsid w:val="00396FD0"/>
    <w:rsid w:val="003A1A7A"/>
    <w:rsid w:val="003A2392"/>
    <w:rsid w:val="003A248F"/>
    <w:rsid w:val="003A2831"/>
    <w:rsid w:val="003A3CB6"/>
    <w:rsid w:val="003A3ED1"/>
    <w:rsid w:val="003A4021"/>
    <w:rsid w:val="003A44DB"/>
    <w:rsid w:val="003A4B4F"/>
    <w:rsid w:val="003A5179"/>
    <w:rsid w:val="003A5333"/>
    <w:rsid w:val="003A6FDC"/>
    <w:rsid w:val="003A753C"/>
    <w:rsid w:val="003B3971"/>
    <w:rsid w:val="003B446E"/>
    <w:rsid w:val="003B46DD"/>
    <w:rsid w:val="003B4867"/>
    <w:rsid w:val="003B55D1"/>
    <w:rsid w:val="003B5B61"/>
    <w:rsid w:val="003B6B67"/>
    <w:rsid w:val="003B7D89"/>
    <w:rsid w:val="003C1654"/>
    <w:rsid w:val="003C22B8"/>
    <w:rsid w:val="003C5542"/>
    <w:rsid w:val="003C608C"/>
    <w:rsid w:val="003C65E8"/>
    <w:rsid w:val="003C7D19"/>
    <w:rsid w:val="003C7D2F"/>
    <w:rsid w:val="003D083D"/>
    <w:rsid w:val="003D1205"/>
    <w:rsid w:val="003D1828"/>
    <w:rsid w:val="003D1DE4"/>
    <w:rsid w:val="003D1E9A"/>
    <w:rsid w:val="003D2422"/>
    <w:rsid w:val="003D393C"/>
    <w:rsid w:val="003D39A1"/>
    <w:rsid w:val="003D3CB4"/>
    <w:rsid w:val="003D3FBF"/>
    <w:rsid w:val="003D4A30"/>
    <w:rsid w:val="003D52C8"/>
    <w:rsid w:val="003D7452"/>
    <w:rsid w:val="003D79BB"/>
    <w:rsid w:val="003D7C98"/>
    <w:rsid w:val="003D7D9D"/>
    <w:rsid w:val="003E0543"/>
    <w:rsid w:val="003E1572"/>
    <w:rsid w:val="003E1923"/>
    <w:rsid w:val="003E41F4"/>
    <w:rsid w:val="003E54FE"/>
    <w:rsid w:val="003E72BE"/>
    <w:rsid w:val="003E749E"/>
    <w:rsid w:val="003F19E8"/>
    <w:rsid w:val="003F3B2A"/>
    <w:rsid w:val="003F4156"/>
    <w:rsid w:val="003F51B1"/>
    <w:rsid w:val="003F5ADF"/>
    <w:rsid w:val="003F7EA9"/>
    <w:rsid w:val="00400B29"/>
    <w:rsid w:val="00402F1A"/>
    <w:rsid w:val="00403819"/>
    <w:rsid w:val="0040504B"/>
    <w:rsid w:val="004059F4"/>
    <w:rsid w:val="00407FE5"/>
    <w:rsid w:val="00410107"/>
    <w:rsid w:val="004101B0"/>
    <w:rsid w:val="00410326"/>
    <w:rsid w:val="00410425"/>
    <w:rsid w:val="00410708"/>
    <w:rsid w:val="00410EC7"/>
    <w:rsid w:val="0041188C"/>
    <w:rsid w:val="00411B39"/>
    <w:rsid w:val="004127A7"/>
    <w:rsid w:val="00413A1E"/>
    <w:rsid w:val="00414476"/>
    <w:rsid w:val="00414C2E"/>
    <w:rsid w:val="00415161"/>
    <w:rsid w:val="004151CF"/>
    <w:rsid w:val="00416364"/>
    <w:rsid w:val="00417412"/>
    <w:rsid w:val="00417609"/>
    <w:rsid w:val="0042047F"/>
    <w:rsid w:val="00420AA6"/>
    <w:rsid w:val="00420AEC"/>
    <w:rsid w:val="00420B9F"/>
    <w:rsid w:val="0042176F"/>
    <w:rsid w:val="0042192C"/>
    <w:rsid w:val="00422260"/>
    <w:rsid w:val="004226D6"/>
    <w:rsid w:val="00422DD9"/>
    <w:rsid w:val="0042413F"/>
    <w:rsid w:val="00426B99"/>
    <w:rsid w:val="004276A2"/>
    <w:rsid w:val="00427C40"/>
    <w:rsid w:val="00431140"/>
    <w:rsid w:val="004319F8"/>
    <w:rsid w:val="00431E55"/>
    <w:rsid w:val="00431E9A"/>
    <w:rsid w:val="004321F6"/>
    <w:rsid w:val="00433044"/>
    <w:rsid w:val="00434088"/>
    <w:rsid w:val="00435487"/>
    <w:rsid w:val="004375B9"/>
    <w:rsid w:val="004428D0"/>
    <w:rsid w:val="00442B65"/>
    <w:rsid w:val="00444185"/>
    <w:rsid w:val="004443A7"/>
    <w:rsid w:val="0044442C"/>
    <w:rsid w:val="00444C9E"/>
    <w:rsid w:val="00445941"/>
    <w:rsid w:val="00445D38"/>
    <w:rsid w:val="004464EB"/>
    <w:rsid w:val="00447D26"/>
    <w:rsid w:val="00447DFC"/>
    <w:rsid w:val="00451961"/>
    <w:rsid w:val="004523C8"/>
    <w:rsid w:val="00455D45"/>
    <w:rsid w:val="00457309"/>
    <w:rsid w:val="00460C53"/>
    <w:rsid w:val="004617EC"/>
    <w:rsid w:val="00462708"/>
    <w:rsid w:val="00464595"/>
    <w:rsid w:val="004658B5"/>
    <w:rsid w:val="0046616F"/>
    <w:rsid w:val="004704C7"/>
    <w:rsid w:val="00471365"/>
    <w:rsid w:val="0047167C"/>
    <w:rsid w:val="00471755"/>
    <w:rsid w:val="00471EA5"/>
    <w:rsid w:val="00472A79"/>
    <w:rsid w:val="00472C2C"/>
    <w:rsid w:val="00473F19"/>
    <w:rsid w:val="0047518B"/>
    <w:rsid w:val="0047523B"/>
    <w:rsid w:val="00475E22"/>
    <w:rsid w:val="00477831"/>
    <w:rsid w:val="0048088E"/>
    <w:rsid w:val="00480F2B"/>
    <w:rsid w:val="00481966"/>
    <w:rsid w:val="00482227"/>
    <w:rsid w:val="00482720"/>
    <w:rsid w:val="00483475"/>
    <w:rsid w:val="004835E7"/>
    <w:rsid w:val="004867E2"/>
    <w:rsid w:val="00486936"/>
    <w:rsid w:val="00490B17"/>
    <w:rsid w:val="00491B3A"/>
    <w:rsid w:val="00492CFD"/>
    <w:rsid w:val="0049314E"/>
    <w:rsid w:val="00494207"/>
    <w:rsid w:val="00494DD5"/>
    <w:rsid w:val="004962D2"/>
    <w:rsid w:val="00496433"/>
    <w:rsid w:val="00496E40"/>
    <w:rsid w:val="004A0DA1"/>
    <w:rsid w:val="004A13D6"/>
    <w:rsid w:val="004A1CC6"/>
    <w:rsid w:val="004A3B97"/>
    <w:rsid w:val="004A52E9"/>
    <w:rsid w:val="004A558A"/>
    <w:rsid w:val="004A6040"/>
    <w:rsid w:val="004A6416"/>
    <w:rsid w:val="004A6597"/>
    <w:rsid w:val="004A7848"/>
    <w:rsid w:val="004B0324"/>
    <w:rsid w:val="004B1CB4"/>
    <w:rsid w:val="004B2CC3"/>
    <w:rsid w:val="004B2F18"/>
    <w:rsid w:val="004B3B00"/>
    <w:rsid w:val="004B3DB0"/>
    <w:rsid w:val="004B3DDB"/>
    <w:rsid w:val="004B415F"/>
    <w:rsid w:val="004B44FD"/>
    <w:rsid w:val="004B47D0"/>
    <w:rsid w:val="004B4E00"/>
    <w:rsid w:val="004B5256"/>
    <w:rsid w:val="004B5730"/>
    <w:rsid w:val="004B5CFC"/>
    <w:rsid w:val="004B6081"/>
    <w:rsid w:val="004B6D43"/>
    <w:rsid w:val="004B6F79"/>
    <w:rsid w:val="004B705D"/>
    <w:rsid w:val="004B7195"/>
    <w:rsid w:val="004B774D"/>
    <w:rsid w:val="004C0176"/>
    <w:rsid w:val="004C0921"/>
    <w:rsid w:val="004C22E3"/>
    <w:rsid w:val="004C2F01"/>
    <w:rsid w:val="004C3F4D"/>
    <w:rsid w:val="004C4AED"/>
    <w:rsid w:val="004C69D3"/>
    <w:rsid w:val="004C7104"/>
    <w:rsid w:val="004D0628"/>
    <w:rsid w:val="004D17B7"/>
    <w:rsid w:val="004D2C2D"/>
    <w:rsid w:val="004D41DE"/>
    <w:rsid w:val="004D69B5"/>
    <w:rsid w:val="004D6C29"/>
    <w:rsid w:val="004D7227"/>
    <w:rsid w:val="004E0E7F"/>
    <w:rsid w:val="004E0EB8"/>
    <w:rsid w:val="004E18E9"/>
    <w:rsid w:val="004E1A1D"/>
    <w:rsid w:val="004E2ADC"/>
    <w:rsid w:val="004E2B46"/>
    <w:rsid w:val="004E4195"/>
    <w:rsid w:val="004E43B2"/>
    <w:rsid w:val="004E47D6"/>
    <w:rsid w:val="004E7620"/>
    <w:rsid w:val="004E7B49"/>
    <w:rsid w:val="004E7BCB"/>
    <w:rsid w:val="004F0C22"/>
    <w:rsid w:val="004F1D02"/>
    <w:rsid w:val="004F208E"/>
    <w:rsid w:val="004F2679"/>
    <w:rsid w:val="004F285C"/>
    <w:rsid w:val="004F2C7C"/>
    <w:rsid w:val="004F2F21"/>
    <w:rsid w:val="004F3DE5"/>
    <w:rsid w:val="004F45AA"/>
    <w:rsid w:val="004F5717"/>
    <w:rsid w:val="004F6913"/>
    <w:rsid w:val="004F6F43"/>
    <w:rsid w:val="004F7865"/>
    <w:rsid w:val="0050174E"/>
    <w:rsid w:val="005017F4"/>
    <w:rsid w:val="00501854"/>
    <w:rsid w:val="0050219B"/>
    <w:rsid w:val="005036F6"/>
    <w:rsid w:val="00503A8A"/>
    <w:rsid w:val="00503EDC"/>
    <w:rsid w:val="00503F17"/>
    <w:rsid w:val="00506928"/>
    <w:rsid w:val="005069FF"/>
    <w:rsid w:val="0050713B"/>
    <w:rsid w:val="005077EF"/>
    <w:rsid w:val="00510B2C"/>
    <w:rsid w:val="00511AD5"/>
    <w:rsid w:val="00511DC7"/>
    <w:rsid w:val="00511F77"/>
    <w:rsid w:val="0051210C"/>
    <w:rsid w:val="005137D6"/>
    <w:rsid w:val="00514190"/>
    <w:rsid w:val="005141B4"/>
    <w:rsid w:val="005142C5"/>
    <w:rsid w:val="00514878"/>
    <w:rsid w:val="0051501B"/>
    <w:rsid w:val="005152B5"/>
    <w:rsid w:val="005159E5"/>
    <w:rsid w:val="005162ED"/>
    <w:rsid w:val="00520102"/>
    <w:rsid w:val="0052123C"/>
    <w:rsid w:val="00521319"/>
    <w:rsid w:val="0052269E"/>
    <w:rsid w:val="00522B1C"/>
    <w:rsid w:val="00522BC8"/>
    <w:rsid w:val="00523C28"/>
    <w:rsid w:val="00524902"/>
    <w:rsid w:val="00530D0D"/>
    <w:rsid w:val="0053176B"/>
    <w:rsid w:val="00532F53"/>
    <w:rsid w:val="00532FF7"/>
    <w:rsid w:val="00533DFC"/>
    <w:rsid w:val="0053607E"/>
    <w:rsid w:val="005369F6"/>
    <w:rsid w:val="00536F42"/>
    <w:rsid w:val="00537182"/>
    <w:rsid w:val="00541D80"/>
    <w:rsid w:val="00541EDD"/>
    <w:rsid w:val="00542157"/>
    <w:rsid w:val="00542743"/>
    <w:rsid w:val="00542C2D"/>
    <w:rsid w:val="00544835"/>
    <w:rsid w:val="00545A36"/>
    <w:rsid w:val="0054761A"/>
    <w:rsid w:val="005478BD"/>
    <w:rsid w:val="005479E3"/>
    <w:rsid w:val="00550062"/>
    <w:rsid w:val="00550D8C"/>
    <w:rsid w:val="00551985"/>
    <w:rsid w:val="00552BD3"/>
    <w:rsid w:val="005532A0"/>
    <w:rsid w:val="00555109"/>
    <w:rsid w:val="00556B35"/>
    <w:rsid w:val="0055741A"/>
    <w:rsid w:val="005577EA"/>
    <w:rsid w:val="005579A3"/>
    <w:rsid w:val="005611B7"/>
    <w:rsid w:val="005618D4"/>
    <w:rsid w:val="00561E98"/>
    <w:rsid w:val="005629A6"/>
    <w:rsid w:val="00562CEB"/>
    <w:rsid w:val="005631E2"/>
    <w:rsid w:val="00564EA5"/>
    <w:rsid w:val="00565DF0"/>
    <w:rsid w:val="0056616E"/>
    <w:rsid w:val="0056696F"/>
    <w:rsid w:val="00566BF4"/>
    <w:rsid w:val="00570703"/>
    <w:rsid w:val="00570BB2"/>
    <w:rsid w:val="005716FC"/>
    <w:rsid w:val="00572269"/>
    <w:rsid w:val="0057244A"/>
    <w:rsid w:val="005727D0"/>
    <w:rsid w:val="00572F26"/>
    <w:rsid w:val="0057351F"/>
    <w:rsid w:val="00573DBD"/>
    <w:rsid w:val="005750C5"/>
    <w:rsid w:val="005752DE"/>
    <w:rsid w:val="00575BBE"/>
    <w:rsid w:val="00575D8D"/>
    <w:rsid w:val="00576972"/>
    <w:rsid w:val="00576FD0"/>
    <w:rsid w:val="00577A5D"/>
    <w:rsid w:val="0058059C"/>
    <w:rsid w:val="005805A8"/>
    <w:rsid w:val="00580A5D"/>
    <w:rsid w:val="00581459"/>
    <w:rsid w:val="00582ABE"/>
    <w:rsid w:val="00583699"/>
    <w:rsid w:val="00585CDD"/>
    <w:rsid w:val="00587058"/>
    <w:rsid w:val="005878E3"/>
    <w:rsid w:val="00591957"/>
    <w:rsid w:val="00592BD5"/>
    <w:rsid w:val="00593B8F"/>
    <w:rsid w:val="0059469E"/>
    <w:rsid w:val="005955D0"/>
    <w:rsid w:val="00597BF9"/>
    <w:rsid w:val="005A309A"/>
    <w:rsid w:val="005A373D"/>
    <w:rsid w:val="005A3F9B"/>
    <w:rsid w:val="005A512D"/>
    <w:rsid w:val="005A6E1A"/>
    <w:rsid w:val="005B0B58"/>
    <w:rsid w:val="005B106B"/>
    <w:rsid w:val="005B4E53"/>
    <w:rsid w:val="005B5857"/>
    <w:rsid w:val="005C1B83"/>
    <w:rsid w:val="005C238C"/>
    <w:rsid w:val="005C25FF"/>
    <w:rsid w:val="005C2D55"/>
    <w:rsid w:val="005C2F87"/>
    <w:rsid w:val="005C307A"/>
    <w:rsid w:val="005C346B"/>
    <w:rsid w:val="005C4D9B"/>
    <w:rsid w:val="005C6391"/>
    <w:rsid w:val="005C66CE"/>
    <w:rsid w:val="005D044D"/>
    <w:rsid w:val="005D0ABD"/>
    <w:rsid w:val="005D18AD"/>
    <w:rsid w:val="005D26B4"/>
    <w:rsid w:val="005D28B1"/>
    <w:rsid w:val="005D2ECC"/>
    <w:rsid w:val="005D4ED2"/>
    <w:rsid w:val="005D53F4"/>
    <w:rsid w:val="005D64D2"/>
    <w:rsid w:val="005E27C9"/>
    <w:rsid w:val="005E2928"/>
    <w:rsid w:val="005E6CBC"/>
    <w:rsid w:val="005E72FF"/>
    <w:rsid w:val="005E73C0"/>
    <w:rsid w:val="005F1478"/>
    <w:rsid w:val="005F24CC"/>
    <w:rsid w:val="005F2706"/>
    <w:rsid w:val="005F2E29"/>
    <w:rsid w:val="005F6A8F"/>
    <w:rsid w:val="005F6BB7"/>
    <w:rsid w:val="005F7588"/>
    <w:rsid w:val="00600AF1"/>
    <w:rsid w:val="00600BA7"/>
    <w:rsid w:val="00601B37"/>
    <w:rsid w:val="00603AD7"/>
    <w:rsid w:val="00603DB9"/>
    <w:rsid w:val="00605EAE"/>
    <w:rsid w:val="00606FBA"/>
    <w:rsid w:val="00607449"/>
    <w:rsid w:val="00607669"/>
    <w:rsid w:val="006076F4"/>
    <w:rsid w:val="00607AFD"/>
    <w:rsid w:val="00610D6C"/>
    <w:rsid w:val="006128EE"/>
    <w:rsid w:val="00612F97"/>
    <w:rsid w:val="0061345D"/>
    <w:rsid w:val="00614BD1"/>
    <w:rsid w:val="0061549B"/>
    <w:rsid w:val="00616802"/>
    <w:rsid w:val="00617E12"/>
    <w:rsid w:val="00620C25"/>
    <w:rsid w:val="00621477"/>
    <w:rsid w:val="00621ADA"/>
    <w:rsid w:val="00622B80"/>
    <w:rsid w:val="00622BFB"/>
    <w:rsid w:val="00623C03"/>
    <w:rsid w:val="00623DE9"/>
    <w:rsid w:val="00623F7B"/>
    <w:rsid w:val="0062559A"/>
    <w:rsid w:val="006276CE"/>
    <w:rsid w:val="006277C2"/>
    <w:rsid w:val="006279A1"/>
    <w:rsid w:val="006305F8"/>
    <w:rsid w:val="0063158F"/>
    <w:rsid w:val="00631D6B"/>
    <w:rsid w:val="00632183"/>
    <w:rsid w:val="006330A1"/>
    <w:rsid w:val="0063441E"/>
    <w:rsid w:val="00634502"/>
    <w:rsid w:val="0063479F"/>
    <w:rsid w:val="00634E1F"/>
    <w:rsid w:val="00635062"/>
    <w:rsid w:val="006353DE"/>
    <w:rsid w:val="006353F0"/>
    <w:rsid w:val="006357B5"/>
    <w:rsid w:val="006360B9"/>
    <w:rsid w:val="006364A1"/>
    <w:rsid w:val="0063678E"/>
    <w:rsid w:val="00636E86"/>
    <w:rsid w:val="00637BFD"/>
    <w:rsid w:val="00640506"/>
    <w:rsid w:val="00641C4E"/>
    <w:rsid w:val="00641FB3"/>
    <w:rsid w:val="00642390"/>
    <w:rsid w:val="00642FEC"/>
    <w:rsid w:val="0064434C"/>
    <w:rsid w:val="006471CC"/>
    <w:rsid w:val="00647308"/>
    <w:rsid w:val="00647A29"/>
    <w:rsid w:val="00647C69"/>
    <w:rsid w:val="0065079F"/>
    <w:rsid w:val="006514F7"/>
    <w:rsid w:val="006517AF"/>
    <w:rsid w:val="00652A28"/>
    <w:rsid w:val="0065379F"/>
    <w:rsid w:val="00655E1E"/>
    <w:rsid w:val="00656188"/>
    <w:rsid w:val="00656352"/>
    <w:rsid w:val="00656C8E"/>
    <w:rsid w:val="0065715A"/>
    <w:rsid w:val="006610F1"/>
    <w:rsid w:val="00661C6B"/>
    <w:rsid w:val="00664B1F"/>
    <w:rsid w:val="006663C4"/>
    <w:rsid w:val="0066742B"/>
    <w:rsid w:val="00670398"/>
    <w:rsid w:val="006707E4"/>
    <w:rsid w:val="00670E18"/>
    <w:rsid w:val="00671004"/>
    <w:rsid w:val="00672646"/>
    <w:rsid w:val="006743EF"/>
    <w:rsid w:val="00674E42"/>
    <w:rsid w:val="00675B61"/>
    <w:rsid w:val="00675E86"/>
    <w:rsid w:val="0067612B"/>
    <w:rsid w:val="00676622"/>
    <w:rsid w:val="00676718"/>
    <w:rsid w:val="00676749"/>
    <w:rsid w:val="006800B4"/>
    <w:rsid w:val="00681302"/>
    <w:rsid w:val="006813F8"/>
    <w:rsid w:val="00682112"/>
    <w:rsid w:val="00682BA6"/>
    <w:rsid w:val="006835ED"/>
    <w:rsid w:val="00683980"/>
    <w:rsid w:val="00683D7C"/>
    <w:rsid w:val="006841A6"/>
    <w:rsid w:val="00684803"/>
    <w:rsid w:val="00686914"/>
    <w:rsid w:val="00686957"/>
    <w:rsid w:val="006872BA"/>
    <w:rsid w:val="0069023C"/>
    <w:rsid w:val="00690795"/>
    <w:rsid w:val="00690D8A"/>
    <w:rsid w:val="00691648"/>
    <w:rsid w:val="006917D7"/>
    <w:rsid w:val="00692BB7"/>
    <w:rsid w:val="00692C47"/>
    <w:rsid w:val="00693F71"/>
    <w:rsid w:val="0069434C"/>
    <w:rsid w:val="00694F44"/>
    <w:rsid w:val="00696F51"/>
    <w:rsid w:val="006979A5"/>
    <w:rsid w:val="006A0412"/>
    <w:rsid w:val="006A4564"/>
    <w:rsid w:val="006A4720"/>
    <w:rsid w:val="006A6B99"/>
    <w:rsid w:val="006A7E5F"/>
    <w:rsid w:val="006B0202"/>
    <w:rsid w:val="006B057D"/>
    <w:rsid w:val="006B0DEB"/>
    <w:rsid w:val="006B261B"/>
    <w:rsid w:val="006B2B88"/>
    <w:rsid w:val="006B2C90"/>
    <w:rsid w:val="006B35E6"/>
    <w:rsid w:val="006B39BA"/>
    <w:rsid w:val="006B465A"/>
    <w:rsid w:val="006B6DD0"/>
    <w:rsid w:val="006B7360"/>
    <w:rsid w:val="006B73D5"/>
    <w:rsid w:val="006B7BA3"/>
    <w:rsid w:val="006C0065"/>
    <w:rsid w:val="006C0399"/>
    <w:rsid w:val="006C1D4D"/>
    <w:rsid w:val="006C29FD"/>
    <w:rsid w:val="006C2A8E"/>
    <w:rsid w:val="006C3255"/>
    <w:rsid w:val="006C3F26"/>
    <w:rsid w:val="006C3F9D"/>
    <w:rsid w:val="006C6109"/>
    <w:rsid w:val="006C63B3"/>
    <w:rsid w:val="006C6633"/>
    <w:rsid w:val="006C674C"/>
    <w:rsid w:val="006C6ACF"/>
    <w:rsid w:val="006C7C44"/>
    <w:rsid w:val="006C7F3C"/>
    <w:rsid w:val="006D031F"/>
    <w:rsid w:val="006D0D17"/>
    <w:rsid w:val="006D1AA3"/>
    <w:rsid w:val="006D281D"/>
    <w:rsid w:val="006D3A82"/>
    <w:rsid w:val="006D3AE7"/>
    <w:rsid w:val="006D3C7D"/>
    <w:rsid w:val="006D460C"/>
    <w:rsid w:val="006D4659"/>
    <w:rsid w:val="006D5D5F"/>
    <w:rsid w:val="006D68FB"/>
    <w:rsid w:val="006D69CB"/>
    <w:rsid w:val="006E05AF"/>
    <w:rsid w:val="006E2868"/>
    <w:rsid w:val="006E7289"/>
    <w:rsid w:val="006F1DD6"/>
    <w:rsid w:val="006F238B"/>
    <w:rsid w:val="006F306C"/>
    <w:rsid w:val="006F3C90"/>
    <w:rsid w:val="006F63A5"/>
    <w:rsid w:val="00700374"/>
    <w:rsid w:val="0070142B"/>
    <w:rsid w:val="0070194A"/>
    <w:rsid w:val="0070276E"/>
    <w:rsid w:val="00702A7D"/>
    <w:rsid w:val="00702B4B"/>
    <w:rsid w:val="00702F8F"/>
    <w:rsid w:val="007047D2"/>
    <w:rsid w:val="007058DE"/>
    <w:rsid w:val="00707472"/>
    <w:rsid w:val="007079FC"/>
    <w:rsid w:val="00711A36"/>
    <w:rsid w:val="007124D9"/>
    <w:rsid w:val="00712951"/>
    <w:rsid w:val="00712FC1"/>
    <w:rsid w:val="00712FF7"/>
    <w:rsid w:val="00713AA6"/>
    <w:rsid w:val="00714431"/>
    <w:rsid w:val="00714C26"/>
    <w:rsid w:val="0071529C"/>
    <w:rsid w:val="0071561C"/>
    <w:rsid w:val="00716274"/>
    <w:rsid w:val="00716D9A"/>
    <w:rsid w:val="007170DA"/>
    <w:rsid w:val="007172AD"/>
    <w:rsid w:val="007179BD"/>
    <w:rsid w:val="00717F34"/>
    <w:rsid w:val="00720801"/>
    <w:rsid w:val="00721648"/>
    <w:rsid w:val="0072204B"/>
    <w:rsid w:val="00722B1B"/>
    <w:rsid w:val="0072416F"/>
    <w:rsid w:val="00724B65"/>
    <w:rsid w:val="007256A6"/>
    <w:rsid w:val="00727C94"/>
    <w:rsid w:val="007314C5"/>
    <w:rsid w:val="00731B0A"/>
    <w:rsid w:val="00731C00"/>
    <w:rsid w:val="00731EAE"/>
    <w:rsid w:val="00733073"/>
    <w:rsid w:val="007332AC"/>
    <w:rsid w:val="00733BEB"/>
    <w:rsid w:val="00733DB5"/>
    <w:rsid w:val="0073479A"/>
    <w:rsid w:val="00734CE7"/>
    <w:rsid w:val="00735033"/>
    <w:rsid w:val="00735328"/>
    <w:rsid w:val="00735BF8"/>
    <w:rsid w:val="0073685B"/>
    <w:rsid w:val="00740045"/>
    <w:rsid w:val="00741887"/>
    <w:rsid w:val="00744727"/>
    <w:rsid w:val="007449BF"/>
    <w:rsid w:val="00745563"/>
    <w:rsid w:val="00746539"/>
    <w:rsid w:val="00746BC0"/>
    <w:rsid w:val="00747CB6"/>
    <w:rsid w:val="0075002A"/>
    <w:rsid w:val="007510B4"/>
    <w:rsid w:val="00752142"/>
    <w:rsid w:val="007521F6"/>
    <w:rsid w:val="007523F9"/>
    <w:rsid w:val="00752BA6"/>
    <w:rsid w:val="0075357E"/>
    <w:rsid w:val="00754342"/>
    <w:rsid w:val="007573E8"/>
    <w:rsid w:val="007609B9"/>
    <w:rsid w:val="00760C4E"/>
    <w:rsid w:val="00760F9E"/>
    <w:rsid w:val="007627BE"/>
    <w:rsid w:val="007627E6"/>
    <w:rsid w:val="007635B4"/>
    <w:rsid w:val="00763661"/>
    <w:rsid w:val="007649F4"/>
    <w:rsid w:val="00764F03"/>
    <w:rsid w:val="007652E7"/>
    <w:rsid w:val="00765B1A"/>
    <w:rsid w:val="00772723"/>
    <w:rsid w:val="007735B7"/>
    <w:rsid w:val="007747AC"/>
    <w:rsid w:val="0077650B"/>
    <w:rsid w:val="00776699"/>
    <w:rsid w:val="00777335"/>
    <w:rsid w:val="00780A17"/>
    <w:rsid w:val="0078428C"/>
    <w:rsid w:val="007843F2"/>
    <w:rsid w:val="00785A9F"/>
    <w:rsid w:val="00785B7A"/>
    <w:rsid w:val="00790612"/>
    <w:rsid w:val="007925DF"/>
    <w:rsid w:val="00793278"/>
    <w:rsid w:val="00794F8F"/>
    <w:rsid w:val="00797AA0"/>
    <w:rsid w:val="007A08AA"/>
    <w:rsid w:val="007A0A12"/>
    <w:rsid w:val="007A132D"/>
    <w:rsid w:val="007A1345"/>
    <w:rsid w:val="007A2DDB"/>
    <w:rsid w:val="007A40B8"/>
    <w:rsid w:val="007A5475"/>
    <w:rsid w:val="007A67FE"/>
    <w:rsid w:val="007A70BA"/>
    <w:rsid w:val="007A7A8B"/>
    <w:rsid w:val="007B0AE2"/>
    <w:rsid w:val="007B0D68"/>
    <w:rsid w:val="007B0EC4"/>
    <w:rsid w:val="007B251D"/>
    <w:rsid w:val="007B4761"/>
    <w:rsid w:val="007B4F58"/>
    <w:rsid w:val="007B528D"/>
    <w:rsid w:val="007B63CA"/>
    <w:rsid w:val="007B66A1"/>
    <w:rsid w:val="007B77D1"/>
    <w:rsid w:val="007B7A58"/>
    <w:rsid w:val="007C07C7"/>
    <w:rsid w:val="007C1741"/>
    <w:rsid w:val="007C1B7B"/>
    <w:rsid w:val="007C1CD9"/>
    <w:rsid w:val="007C32EF"/>
    <w:rsid w:val="007C361D"/>
    <w:rsid w:val="007C4B84"/>
    <w:rsid w:val="007C70FF"/>
    <w:rsid w:val="007C73A2"/>
    <w:rsid w:val="007C7C25"/>
    <w:rsid w:val="007D004F"/>
    <w:rsid w:val="007D0B38"/>
    <w:rsid w:val="007D0C1F"/>
    <w:rsid w:val="007D1105"/>
    <w:rsid w:val="007D2A11"/>
    <w:rsid w:val="007D32B7"/>
    <w:rsid w:val="007D3A9E"/>
    <w:rsid w:val="007D5440"/>
    <w:rsid w:val="007D57CC"/>
    <w:rsid w:val="007D6199"/>
    <w:rsid w:val="007D626E"/>
    <w:rsid w:val="007D69EB"/>
    <w:rsid w:val="007D7C0B"/>
    <w:rsid w:val="007D7DA1"/>
    <w:rsid w:val="007E0174"/>
    <w:rsid w:val="007E128F"/>
    <w:rsid w:val="007E24A1"/>
    <w:rsid w:val="007E3959"/>
    <w:rsid w:val="007E523D"/>
    <w:rsid w:val="007E5A35"/>
    <w:rsid w:val="007E70BC"/>
    <w:rsid w:val="007E7D1A"/>
    <w:rsid w:val="007F0B9D"/>
    <w:rsid w:val="007F1017"/>
    <w:rsid w:val="007F4999"/>
    <w:rsid w:val="007F4A3F"/>
    <w:rsid w:val="007F4A61"/>
    <w:rsid w:val="007F4DA1"/>
    <w:rsid w:val="007F5255"/>
    <w:rsid w:val="007F56CC"/>
    <w:rsid w:val="007F61C2"/>
    <w:rsid w:val="007F7934"/>
    <w:rsid w:val="00804A52"/>
    <w:rsid w:val="00805142"/>
    <w:rsid w:val="00805968"/>
    <w:rsid w:val="00805FCE"/>
    <w:rsid w:val="0080653A"/>
    <w:rsid w:val="00806746"/>
    <w:rsid w:val="00806A28"/>
    <w:rsid w:val="00807A8B"/>
    <w:rsid w:val="00807C34"/>
    <w:rsid w:val="00810CBF"/>
    <w:rsid w:val="00810EE5"/>
    <w:rsid w:val="00811383"/>
    <w:rsid w:val="00812149"/>
    <w:rsid w:val="00812315"/>
    <w:rsid w:val="00812CAC"/>
    <w:rsid w:val="00816250"/>
    <w:rsid w:val="00816361"/>
    <w:rsid w:val="008166EF"/>
    <w:rsid w:val="00816FEF"/>
    <w:rsid w:val="0082057D"/>
    <w:rsid w:val="00820A8C"/>
    <w:rsid w:val="008215FB"/>
    <w:rsid w:val="00821628"/>
    <w:rsid w:val="0082217A"/>
    <w:rsid w:val="0082230F"/>
    <w:rsid w:val="00823174"/>
    <w:rsid w:val="00825751"/>
    <w:rsid w:val="00825B29"/>
    <w:rsid w:val="008264EB"/>
    <w:rsid w:val="008266B0"/>
    <w:rsid w:val="0083012A"/>
    <w:rsid w:val="00830543"/>
    <w:rsid w:val="00830A2D"/>
    <w:rsid w:val="0083120F"/>
    <w:rsid w:val="00831923"/>
    <w:rsid w:val="00832949"/>
    <w:rsid w:val="0083331F"/>
    <w:rsid w:val="00833B05"/>
    <w:rsid w:val="00833B06"/>
    <w:rsid w:val="00834E36"/>
    <w:rsid w:val="008352F1"/>
    <w:rsid w:val="008362B4"/>
    <w:rsid w:val="00837277"/>
    <w:rsid w:val="00840CA2"/>
    <w:rsid w:val="0084374F"/>
    <w:rsid w:val="00844512"/>
    <w:rsid w:val="00844A22"/>
    <w:rsid w:val="00844D8D"/>
    <w:rsid w:val="008453D1"/>
    <w:rsid w:val="00845584"/>
    <w:rsid w:val="00845E74"/>
    <w:rsid w:val="00847703"/>
    <w:rsid w:val="00847DF5"/>
    <w:rsid w:val="008526F0"/>
    <w:rsid w:val="0085309D"/>
    <w:rsid w:val="008551AB"/>
    <w:rsid w:val="00856897"/>
    <w:rsid w:val="00856E9A"/>
    <w:rsid w:val="00860669"/>
    <w:rsid w:val="0086075D"/>
    <w:rsid w:val="008620E5"/>
    <w:rsid w:val="00862502"/>
    <w:rsid w:val="00862CC1"/>
    <w:rsid w:val="0086476C"/>
    <w:rsid w:val="008660D4"/>
    <w:rsid w:val="0086612F"/>
    <w:rsid w:val="00866AF4"/>
    <w:rsid w:val="00866B7F"/>
    <w:rsid w:val="00866D9D"/>
    <w:rsid w:val="00867125"/>
    <w:rsid w:val="008700C8"/>
    <w:rsid w:val="0087179D"/>
    <w:rsid w:val="008719CD"/>
    <w:rsid w:val="00871FA9"/>
    <w:rsid w:val="008728E9"/>
    <w:rsid w:val="008730DB"/>
    <w:rsid w:val="00876BD1"/>
    <w:rsid w:val="008802CB"/>
    <w:rsid w:val="00882874"/>
    <w:rsid w:val="00882E3C"/>
    <w:rsid w:val="00883787"/>
    <w:rsid w:val="008845B4"/>
    <w:rsid w:val="008855E4"/>
    <w:rsid w:val="00886CD2"/>
    <w:rsid w:val="00887F57"/>
    <w:rsid w:val="0089074B"/>
    <w:rsid w:val="00891E6F"/>
    <w:rsid w:val="00892653"/>
    <w:rsid w:val="0089275D"/>
    <w:rsid w:val="00892A36"/>
    <w:rsid w:val="0089312A"/>
    <w:rsid w:val="00893239"/>
    <w:rsid w:val="00894489"/>
    <w:rsid w:val="008953B5"/>
    <w:rsid w:val="00895423"/>
    <w:rsid w:val="008963A5"/>
    <w:rsid w:val="00896A40"/>
    <w:rsid w:val="00896D5D"/>
    <w:rsid w:val="00897B3B"/>
    <w:rsid w:val="00897CA0"/>
    <w:rsid w:val="008A0A0A"/>
    <w:rsid w:val="008A1D7A"/>
    <w:rsid w:val="008A3363"/>
    <w:rsid w:val="008A3371"/>
    <w:rsid w:val="008A3C3E"/>
    <w:rsid w:val="008A5DC4"/>
    <w:rsid w:val="008A6B91"/>
    <w:rsid w:val="008A79DE"/>
    <w:rsid w:val="008B08E5"/>
    <w:rsid w:val="008B1757"/>
    <w:rsid w:val="008B3557"/>
    <w:rsid w:val="008B4CC0"/>
    <w:rsid w:val="008B7992"/>
    <w:rsid w:val="008B7D7E"/>
    <w:rsid w:val="008C3454"/>
    <w:rsid w:val="008C5610"/>
    <w:rsid w:val="008C5739"/>
    <w:rsid w:val="008C65A5"/>
    <w:rsid w:val="008C7ECB"/>
    <w:rsid w:val="008D1C1E"/>
    <w:rsid w:val="008D1CC1"/>
    <w:rsid w:val="008D299B"/>
    <w:rsid w:val="008D3B86"/>
    <w:rsid w:val="008D4755"/>
    <w:rsid w:val="008D4C3D"/>
    <w:rsid w:val="008D5136"/>
    <w:rsid w:val="008D5629"/>
    <w:rsid w:val="008D743C"/>
    <w:rsid w:val="008E0367"/>
    <w:rsid w:val="008E053D"/>
    <w:rsid w:val="008E0806"/>
    <w:rsid w:val="008E0D3C"/>
    <w:rsid w:val="008E1B9E"/>
    <w:rsid w:val="008E55AB"/>
    <w:rsid w:val="008E76B4"/>
    <w:rsid w:val="008F120A"/>
    <w:rsid w:val="008F1CE5"/>
    <w:rsid w:val="008F27E0"/>
    <w:rsid w:val="008F48EB"/>
    <w:rsid w:val="008F4C1A"/>
    <w:rsid w:val="008F4F0B"/>
    <w:rsid w:val="008F5201"/>
    <w:rsid w:val="008F576E"/>
    <w:rsid w:val="00901622"/>
    <w:rsid w:val="009028AA"/>
    <w:rsid w:val="009031D5"/>
    <w:rsid w:val="009046C4"/>
    <w:rsid w:val="00904BA2"/>
    <w:rsid w:val="009062A5"/>
    <w:rsid w:val="00907A5D"/>
    <w:rsid w:val="00907D41"/>
    <w:rsid w:val="00910FA7"/>
    <w:rsid w:val="00911272"/>
    <w:rsid w:val="009135D6"/>
    <w:rsid w:val="00914C77"/>
    <w:rsid w:val="00914EA8"/>
    <w:rsid w:val="00915344"/>
    <w:rsid w:val="009157CA"/>
    <w:rsid w:val="00916BEC"/>
    <w:rsid w:val="00917691"/>
    <w:rsid w:val="00921047"/>
    <w:rsid w:val="00921ACB"/>
    <w:rsid w:val="0092369B"/>
    <w:rsid w:val="009257FB"/>
    <w:rsid w:val="00930980"/>
    <w:rsid w:val="00930FC3"/>
    <w:rsid w:val="009312AF"/>
    <w:rsid w:val="00933367"/>
    <w:rsid w:val="00933D9A"/>
    <w:rsid w:val="00934988"/>
    <w:rsid w:val="009350BA"/>
    <w:rsid w:val="00937089"/>
    <w:rsid w:val="009413E7"/>
    <w:rsid w:val="00944F8A"/>
    <w:rsid w:val="0094595C"/>
    <w:rsid w:val="009466F0"/>
    <w:rsid w:val="009469E9"/>
    <w:rsid w:val="00946E5A"/>
    <w:rsid w:val="009510A2"/>
    <w:rsid w:val="009513F1"/>
    <w:rsid w:val="00951A6C"/>
    <w:rsid w:val="00951C19"/>
    <w:rsid w:val="00951D80"/>
    <w:rsid w:val="00952073"/>
    <w:rsid w:val="00953257"/>
    <w:rsid w:val="0095434D"/>
    <w:rsid w:val="0095474C"/>
    <w:rsid w:val="00956137"/>
    <w:rsid w:val="009570E4"/>
    <w:rsid w:val="00960438"/>
    <w:rsid w:val="009614E2"/>
    <w:rsid w:val="00962CB9"/>
    <w:rsid w:val="00963255"/>
    <w:rsid w:val="00964312"/>
    <w:rsid w:val="00964A34"/>
    <w:rsid w:val="0096543B"/>
    <w:rsid w:val="00965B8A"/>
    <w:rsid w:val="00970509"/>
    <w:rsid w:val="0097071F"/>
    <w:rsid w:val="009717AC"/>
    <w:rsid w:val="00972A72"/>
    <w:rsid w:val="00973412"/>
    <w:rsid w:val="009751C1"/>
    <w:rsid w:val="00976E94"/>
    <w:rsid w:val="009771DD"/>
    <w:rsid w:val="0098046F"/>
    <w:rsid w:val="00980CF5"/>
    <w:rsid w:val="009811F1"/>
    <w:rsid w:val="00982A23"/>
    <w:rsid w:val="00983E57"/>
    <w:rsid w:val="009852BD"/>
    <w:rsid w:val="00985DE2"/>
    <w:rsid w:val="00985FE7"/>
    <w:rsid w:val="0098675D"/>
    <w:rsid w:val="009868B2"/>
    <w:rsid w:val="00987451"/>
    <w:rsid w:val="009910F6"/>
    <w:rsid w:val="009926E0"/>
    <w:rsid w:val="0099451E"/>
    <w:rsid w:val="009957CE"/>
    <w:rsid w:val="00995858"/>
    <w:rsid w:val="00995ECD"/>
    <w:rsid w:val="0099614F"/>
    <w:rsid w:val="00996B1A"/>
    <w:rsid w:val="009A0CD2"/>
    <w:rsid w:val="009A0D26"/>
    <w:rsid w:val="009A0DCC"/>
    <w:rsid w:val="009A1801"/>
    <w:rsid w:val="009A257B"/>
    <w:rsid w:val="009A26BD"/>
    <w:rsid w:val="009A2C2F"/>
    <w:rsid w:val="009A2DCC"/>
    <w:rsid w:val="009A2F43"/>
    <w:rsid w:val="009A4BCD"/>
    <w:rsid w:val="009A5ABC"/>
    <w:rsid w:val="009A784F"/>
    <w:rsid w:val="009A7F10"/>
    <w:rsid w:val="009B3BA2"/>
    <w:rsid w:val="009B3E26"/>
    <w:rsid w:val="009B4EA4"/>
    <w:rsid w:val="009B5BCB"/>
    <w:rsid w:val="009B7FDF"/>
    <w:rsid w:val="009C0B37"/>
    <w:rsid w:val="009C1B2F"/>
    <w:rsid w:val="009C3706"/>
    <w:rsid w:val="009C3A3A"/>
    <w:rsid w:val="009C3D73"/>
    <w:rsid w:val="009C5B15"/>
    <w:rsid w:val="009C6CEA"/>
    <w:rsid w:val="009C7229"/>
    <w:rsid w:val="009C7B85"/>
    <w:rsid w:val="009D0254"/>
    <w:rsid w:val="009D0C4C"/>
    <w:rsid w:val="009D0D6B"/>
    <w:rsid w:val="009D11DB"/>
    <w:rsid w:val="009D13F5"/>
    <w:rsid w:val="009D1A64"/>
    <w:rsid w:val="009D1B97"/>
    <w:rsid w:val="009D278A"/>
    <w:rsid w:val="009D3209"/>
    <w:rsid w:val="009D3D72"/>
    <w:rsid w:val="009D3D79"/>
    <w:rsid w:val="009D3F00"/>
    <w:rsid w:val="009D4D41"/>
    <w:rsid w:val="009D5B91"/>
    <w:rsid w:val="009D5E2C"/>
    <w:rsid w:val="009D792E"/>
    <w:rsid w:val="009E0DFE"/>
    <w:rsid w:val="009E27E8"/>
    <w:rsid w:val="009E31F6"/>
    <w:rsid w:val="009E3A20"/>
    <w:rsid w:val="009E4C07"/>
    <w:rsid w:val="009E4D9C"/>
    <w:rsid w:val="009E5530"/>
    <w:rsid w:val="009E6FD2"/>
    <w:rsid w:val="009E7E94"/>
    <w:rsid w:val="009F3BD9"/>
    <w:rsid w:val="009F50D7"/>
    <w:rsid w:val="009F7D2E"/>
    <w:rsid w:val="00A00643"/>
    <w:rsid w:val="00A01184"/>
    <w:rsid w:val="00A037C2"/>
    <w:rsid w:val="00A03D43"/>
    <w:rsid w:val="00A03F27"/>
    <w:rsid w:val="00A04380"/>
    <w:rsid w:val="00A05472"/>
    <w:rsid w:val="00A059AD"/>
    <w:rsid w:val="00A05C32"/>
    <w:rsid w:val="00A063BA"/>
    <w:rsid w:val="00A0653F"/>
    <w:rsid w:val="00A06AA6"/>
    <w:rsid w:val="00A06AB1"/>
    <w:rsid w:val="00A06ECD"/>
    <w:rsid w:val="00A11CD0"/>
    <w:rsid w:val="00A13948"/>
    <w:rsid w:val="00A1555B"/>
    <w:rsid w:val="00A155C5"/>
    <w:rsid w:val="00A1576B"/>
    <w:rsid w:val="00A16AD8"/>
    <w:rsid w:val="00A201EC"/>
    <w:rsid w:val="00A2173F"/>
    <w:rsid w:val="00A21C95"/>
    <w:rsid w:val="00A21CF3"/>
    <w:rsid w:val="00A22768"/>
    <w:rsid w:val="00A237E7"/>
    <w:rsid w:val="00A23852"/>
    <w:rsid w:val="00A24813"/>
    <w:rsid w:val="00A24EB2"/>
    <w:rsid w:val="00A2754A"/>
    <w:rsid w:val="00A27663"/>
    <w:rsid w:val="00A27AEC"/>
    <w:rsid w:val="00A30112"/>
    <w:rsid w:val="00A320DB"/>
    <w:rsid w:val="00A35520"/>
    <w:rsid w:val="00A35D16"/>
    <w:rsid w:val="00A35F01"/>
    <w:rsid w:val="00A37BCD"/>
    <w:rsid w:val="00A408B5"/>
    <w:rsid w:val="00A412E0"/>
    <w:rsid w:val="00A41689"/>
    <w:rsid w:val="00A42592"/>
    <w:rsid w:val="00A43C59"/>
    <w:rsid w:val="00A43F57"/>
    <w:rsid w:val="00A44D44"/>
    <w:rsid w:val="00A4670B"/>
    <w:rsid w:val="00A471E9"/>
    <w:rsid w:val="00A50ECD"/>
    <w:rsid w:val="00A518F3"/>
    <w:rsid w:val="00A52729"/>
    <w:rsid w:val="00A5286A"/>
    <w:rsid w:val="00A5316D"/>
    <w:rsid w:val="00A53675"/>
    <w:rsid w:val="00A564D7"/>
    <w:rsid w:val="00A56B6A"/>
    <w:rsid w:val="00A57442"/>
    <w:rsid w:val="00A578DC"/>
    <w:rsid w:val="00A61477"/>
    <w:rsid w:val="00A62C00"/>
    <w:rsid w:val="00A640E2"/>
    <w:rsid w:val="00A64D65"/>
    <w:rsid w:val="00A65A0E"/>
    <w:rsid w:val="00A6725B"/>
    <w:rsid w:val="00A67B0B"/>
    <w:rsid w:val="00A67F15"/>
    <w:rsid w:val="00A70605"/>
    <w:rsid w:val="00A7093C"/>
    <w:rsid w:val="00A725EF"/>
    <w:rsid w:val="00A73134"/>
    <w:rsid w:val="00A741EA"/>
    <w:rsid w:val="00A74448"/>
    <w:rsid w:val="00A74818"/>
    <w:rsid w:val="00A76001"/>
    <w:rsid w:val="00A76307"/>
    <w:rsid w:val="00A770B7"/>
    <w:rsid w:val="00A777B2"/>
    <w:rsid w:val="00A8034C"/>
    <w:rsid w:val="00A82133"/>
    <w:rsid w:val="00A825D4"/>
    <w:rsid w:val="00A828F6"/>
    <w:rsid w:val="00A82B73"/>
    <w:rsid w:val="00A84108"/>
    <w:rsid w:val="00A84977"/>
    <w:rsid w:val="00A85464"/>
    <w:rsid w:val="00A86E8B"/>
    <w:rsid w:val="00A87164"/>
    <w:rsid w:val="00A9011D"/>
    <w:rsid w:val="00A91778"/>
    <w:rsid w:val="00A9197B"/>
    <w:rsid w:val="00A926AE"/>
    <w:rsid w:val="00A93072"/>
    <w:rsid w:val="00A938BD"/>
    <w:rsid w:val="00A93953"/>
    <w:rsid w:val="00A94F79"/>
    <w:rsid w:val="00A959D8"/>
    <w:rsid w:val="00A967B9"/>
    <w:rsid w:val="00A970D3"/>
    <w:rsid w:val="00AA0E20"/>
    <w:rsid w:val="00AA113D"/>
    <w:rsid w:val="00AA2A8C"/>
    <w:rsid w:val="00AA2BBF"/>
    <w:rsid w:val="00AA382D"/>
    <w:rsid w:val="00AA443D"/>
    <w:rsid w:val="00AA4772"/>
    <w:rsid w:val="00AA62A9"/>
    <w:rsid w:val="00AA6BD5"/>
    <w:rsid w:val="00AA6BD8"/>
    <w:rsid w:val="00AA6C7D"/>
    <w:rsid w:val="00AA71B3"/>
    <w:rsid w:val="00AA7FD6"/>
    <w:rsid w:val="00AB0335"/>
    <w:rsid w:val="00AB042A"/>
    <w:rsid w:val="00AB130D"/>
    <w:rsid w:val="00AB19EF"/>
    <w:rsid w:val="00AB2D34"/>
    <w:rsid w:val="00AB3430"/>
    <w:rsid w:val="00AB37B9"/>
    <w:rsid w:val="00AB4AD1"/>
    <w:rsid w:val="00AB55D8"/>
    <w:rsid w:val="00AB5E07"/>
    <w:rsid w:val="00AB6A63"/>
    <w:rsid w:val="00AB726A"/>
    <w:rsid w:val="00AB79F6"/>
    <w:rsid w:val="00AB7CFA"/>
    <w:rsid w:val="00AC4578"/>
    <w:rsid w:val="00AC5B48"/>
    <w:rsid w:val="00AC6017"/>
    <w:rsid w:val="00AD060B"/>
    <w:rsid w:val="00AD1450"/>
    <w:rsid w:val="00AD189E"/>
    <w:rsid w:val="00AD1F54"/>
    <w:rsid w:val="00AD6502"/>
    <w:rsid w:val="00AD6B80"/>
    <w:rsid w:val="00AD6C57"/>
    <w:rsid w:val="00AE0695"/>
    <w:rsid w:val="00AE06B8"/>
    <w:rsid w:val="00AE09FB"/>
    <w:rsid w:val="00AE0DA0"/>
    <w:rsid w:val="00AE32FD"/>
    <w:rsid w:val="00AE373C"/>
    <w:rsid w:val="00AE3E7E"/>
    <w:rsid w:val="00AE4578"/>
    <w:rsid w:val="00AE6D25"/>
    <w:rsid w:val="00AF02B7"/>
    <w:rsid w:val="00AF1315"/>
    <w:rsid w:val="00AF19BF"/>
    <w:rsid w:val="00AF1E1D"/>
    <w:rsid w:val="00AF2076"/>
    <w:rsid w:val="00AF276A"/>
    <w:rsid w:val="00AF2DC3"/>
    <w:rsid w:val="00AF7C2B"/>
    <w:rsid w:val="00B011F7"/>
    <w:rsid w:val="00B01A01"/>
    <w:rsid w:val="00B01EA8"/>
    <w:rsid w:val="00B01FB7"/>
    <w:rsid w:val="00B033E5"/>
    <w:rsid w:val="00B03A63"/>
    <w:rsid w:val="00B06388"/>
    <w:rsid w:val="00B0680B"/>
    <w:rsid w:val="00B1070E"/>
    <w:rsid w:val="00B134F2"/>
    <w:rsid w:val="00B152CB"/>
    <w:rsid w:val="00B16397"/>
    <w:rsid w:val="00B17249"/>
    <w:rsid w:val="00B17F2F"/>
    <w:rsid w:val="00B201A4"/>
    <w:rsid w:val="00B201D1"/>
    <w:rsid w:val="00B20B75"/>
    <w:rsid w:val="00B213A6"/>
    <w:rsid w:val="00B220A6"/>
    <w:rsid w:val="00B221B0"/>
    <w:rsid w:val="00B22661"/>
    <w:rsid w:val="00B235B0"/>
    <w:rsid w:val="00B23A7D"/>
    <w:rsid w:val="00B24DF6"/>
    <w:rsid w:val="00B255B9"/>
    <w:rsid w:val="00B309CD"/>
    <w:rsid w:val="00B31B33"/>
    <w:rsid w:val="00B31C71"/>
    <w:rsid w:val="00B3205E"/>
    <w:rsid w:val="00B343F9"/>
    <w:rsid w:val="00B34FE2"/>
    <w:rsid w:val="00B35100"/>
    <w:rsid w:val="00B35166"/>
    <w:rsid w:val="00B357D8"/>
    <w:rsid w:val="00B35832"/>
    <w:rsid w:val="00B360F4"/>
    <w:rsid w:val="00B36A00"/>
    <w:rsid w:val="00B37192"/>
    <w:rsid w:val="00B37BFC"/>
    <w:rsid w:val="00B40358"/>
    <w:rsid w:val="00B40D47"/>
    <w:rsid w:val="00B40F5E"/>
    <w:rsid w:val="00B41614"/>
    <w:rsid w:val="00B41EFC"/>
    <w:rsid w:val="00B4214F"/>
    <w:rsid w:val="00B42851"/>
    <w:rsid w:val="00B42F80"/>
    <w:rsid w:val="00B4347D"/>
    <w:rsid w:val="00B435CB"/>
    <w:rsid w:val="00B436D6"/>
    <w:rsid w:val="00B44F88"/>
    <w:rsid w:val="00B47DD7"/>
    <w:rsid w:val="00B505C8"/>
    <w:rsid w:val="00B50DB8"/>
    <w:rsid w:val="00B53654"/>
    <w:rsid w:val="00B53905"/>
    <w:rsid w:val="00B53BE3"/>
    <w:rsid w:val="00B53FB6"/>
    <w:rsid w:val="00B54B5B"/>
    <w:rsid w:val="00B55046"/>
    <w:rsid w:val="00B5562E"/>
    <w:rsid w:val="00B55D65"/>
    <w:rsid w:val="00B56D12"/>
    <w:rsid w:val="00B56F27"/>
    <w:rsid w:val="00B57000"/>
    <w:rsid w:val="00B60939"/>
    <w:rsid w:val="00B609A3"/>
    <w:rsid w:val="00B60AFD"/>
    <w:rsid w:val="00B619B5"/>
    <w:rsid w:val="00B62278"/>
    <w:rsid w:val="00B62715"/>
    <w:rsid w:val="00B62C97"/>
    <w:rsid w:val="00B6304B"/>
    <w:rsid w:val="00B63C56"/>
    <w:rsid w:val="00B64A58"/>
    <w:rsid w:val="00B65611"/>
    <w:rsid w:val="00B675B5"/>
    <w:rsid w:val="00B70E8E"/>
    <w:rsid w:val="00B713BC"/>
    <w:rsid w:val="00B718E5"/>
    <w:rsid w:val="00B73C21"/>
    <w:rsid w:val="00B747A1"/>
    <w:rsid w:val="00B756D8"/>
    <w:rsid w:val="00B75D4C"/>
    <w:rsid w:val="00B76C92"/>
    <w:rsid w:val="00B77701"/>
    <w:rsid w:val="00B812D2"/>
    <w:rsid w:val="00B818A4"/>
    <w:rsid w:val="00B828AA"/>
    <w:rsid w:val="00B836B9"/>
    <w:rsid w:val="00B83B6E"/>
    <w:rsid w:val="00B84117"/>
    <w:rsid w:val="00B858F0"/>
    <w:rsid w:val="00B85AA2"/>
    <w:rsid w:val="00B8649C"/>
    <w:rsid w:val="00B867F1"/>
    <w:rsid w:val="00B8695D"/>
    <w:rsid w:val="00B87F0A"/>
    <w:rsid w:val="00B90597"/>
    <w:rsid w:val="00B92D0B"/>
    <w:rsid w:val="00B94945"/>
    <w:rsid w:val="00B94DD6"/>
    <w:rsid w:val="00B96B6F"/>
    <w:rsid w:val="00B9749A"/>
    <w:rsid w:val="00B97522"/>
    <w:rsid w:val="00BA0FCA"/>
    <w:rsid w:val="00BA1C0B"/>
    <w:rsid w:val="00BA2E19"/>
    <w:rsid w:val="00BA322D"/>
    <w:rsid w:val="00BA4293"/>
    <w:rsid w:val="00BA5DE0"/>
    <w:rsid w:val="00BA63FA"/>
    <w:rsid w:val="00BA66B4"/>
    <w:rsid w:val="00BB00B3"/>
    <w:rsid w:val="00BB03A7"/>
    <w:rsid w:val="00BB0BDD"/>
    <w:rsid w:val="00BB176C"/>
    <w:rsid w:val="00BB2A73"/>
    <w:rsid w:val="00BB3A45"/>
    <w:rsid w:val="00BB4ACC"/>
    <w:rsid w:val="00BB59A6"/>
    <w:rsid w:val="00BB703E"/>
    <w:rsid w:val="00BB732D"/>
    <w:rsid w:val="00BB7405"/>
    <w:rsid w:val="00BC1720"/>
    <w:rsid w:val="00BC2729"/>
    <w:rsid w:val="00BC3631"/>
    <w:rsid w:val="00BC37CA"/>
    <w:rsid w:val="00BC591F"/>
    <w:rsid w:val="00BC5DB7"/>
    <w:rsid w:val="00BC7D6D"/>
    <w:rsid w:val="00BD2108"/>
    <w:rsid w:val="00BD2E77"/>
    <w:rsid w:val="00BD423C"/>
    <w:rsid w:val="00BD466D"/>
    <w:rsid w:val="00BD4DA7"/>
    <w:rsid w:val="00BD4DA9"/>
    <w:rsid w:val="00BD5930"/>
    <w:rsid w:val="00BD6113"/>
    <w:rsid w:val="00BD68A3"/>
    <w:rsid w:val="00BD6938"/>
    <w:rsid w:val="00BD6CF3"/>
    <w:rsid w:val="00BD7CC5"/>
    <w:rsid w:val="00BE0ECA"/>
    <w:rsid w:val="00BE13EC"/>
    <w:rsid w:val="00BE2180"/>
    <w:rsid w:val="00BE21F2"/>
    <w:rsid w:val="00BE4275"/>
    <w:rsid w:val="00BE7B33"/>
    <w:rsid w:val="00BF06AE"/>
    <w:rsid w:val="00BF0F95"/>
    <w:rsid w:val="00BF12AF"/>
    <w:rsid w:val="00BF22AF"/>
    <w:rsid w:val="00BF2433"/>
    <w:rsid w:val="00BF2AC6"/>
    <w:rsid w:val="00BF460C"/>
    <w:rsid w:val="00BF5CD0"/>
    <w:rsid w:val="00BF61C9"/>
    <w:rsid w:val="00BF6C94"/>
    <w:rsid w:val="00C00424"/>
    <w:rsid w:val="00C1179F"/>
    <w:rsid w:val="00C12347"/>
    <w:rsid w:val="00C12AEE"/>
    <w:rsid w:val="00C12C14"/>
    <w:rsid w:val="00C148BA"/>
    <w:rsid w:val="00C15F04"/>
    <w:rsid w:val="00C179B3"/>
    <w:rsid w:val="00C17E3F"/>
    <w:rsid w:val="00C200AA"/>
    <w:rsid w:val="00C208E8"/>
    <w:rsid w:val="00C237ED"/>
    <w:rsid w:val="00C2381B"/>
    <w:rsid w:val="00C241AD"/>
    <w:rsid w:val="00C24632"/>
    <w:rsid w:val="00C25418"/>
    <w:rsid w:val="00C2595A"/>
    <w:rsid w:val="00C25D9C"/>
    <w:rsid w:val="00C263EE"/>
    <w:rsid w:val="00C265EB"/>
    <w:rsid w:val="00C267B8"/>
    <w:rsid w:val="00C2778B"/>
    <w:rsid w:val="00C300C1"/>
    <w:rsid w:val="00C31649"/>
    <w:rsid w:val="00C3434C"/>
    <w:rsid w:val="00C34864"/>
    <w:rsid w:val="00C35583"/>
    <w:rsid w:val="00C400DE"/>
    <w:rsid w:val="00C40385"/>
    <w:rsid w:val="00C41768"/>
    <w:rsid w:val="00C42A97"/>
    <w:rsid w:val="00C44D16"/>
    <w:rsid w:val="00C45975"/>
    <w:rsid w:val="00C46773"/>
    <w:rsid w:val="00C4687F"/>
    <w:rsid w:val="00C475AA"/>
    <w:rsid w:val="00C47A9F"/>
    <w:rsid w:val="00C53472"/>
    <w:rsid w:val="00C53C98"/>
    <w:rsid w:val="00C54326"/>
    <w:rsid w:val="00C54AA6"/>
    <w:rsid w:val="00C56ADD"/>
    <w:rsid w:val="00C56F0B"/>
    <w:rsid w:val="00C56FCF"/>
    <w:rsid w:val="00C57B6C"/>
    <w:rsid w:val="00C610A7"/>
    <w:rsid w:val="00C6143E"/>
    <w:rsid w:val="00C627BE"/>
    <w:rsid w:val="00C628A6"/>
    <w:rsid w:val="00C6303D"/>
    <w:rsid w:val="00C63256"/>
    <w:rsid w:val="00C639DC"/>
    <w:rsid w:val="00C64344"/>
    <w:rsid w:val="00C65108"/>
    <w:rsid w:val="00C65576"/>
    <w:rsid w:val="00C66165"/>
    <w:rsid w:val="00C6678E"/>
    <w:rsid w:val="00C7060A"/>
    <w:rsid w:val="00C7151A"/>
    <w:rsid w:val="00C717E3"/>
    <w:rsid w:val="00C7197C"/>
    <w:rsid w:val="00C71F60"/>
    <w:rsid w:val="00C72241"/>
    <w:rsid w:val="00C750C8"/>
    <w:rsid w:val="00C7560F"/>
    <w:rsid w:val="00C76E53"/>
    <w:rsid w:val="00C76F87"/>
    <w:rsid w:val="00C80726"/>
    <w:rsid w:val="00C80A0E"/>
    <w:rsid w:val="00C80BE8"/>
    <w:rsid w:val="00C818D4"/>
    <w:rsid w:val="00C81F1F"/>
    <w:rsid w:val="00C8202E"/>
    <w:rsid w:val="00C8213F"/>
    <w:rsid w:val="00C83E50"/>
    <w:rsid w:val="00C84BB8"/>
    <w:rsid w:val="00C85154"/>
    <w:rsid w:val="00C867EA"/>
    <w:rsid w:val="00C86F38"/>
    <w:rsid w:val="00C8797A"/>
    <w:rsid w:val="00C900B8"/>
    <w:rsid w:val="00C90C71"/>
    <w:rsid w:val="00C91224"/>
    <w:rsid w:val="00C91FD1"/>
    <w:rsid w:val="00C931CF"/>
    <w:rsid w:val="00C931DA"/>
    <w:rsid w:val="00C934B9"/>
    <w:rsid w:val="00C938CF"/>
    <w:rsid w:val="00C94053"/>
    <w:rsid w:val="00C94981"/>
    <w:rsid w:val="00C95FDE"/>
    <w:rsid w:val="00C9624D"/>
    <w:rsid w:val="00C969DA"/>
    <w:rsid w:val="00CA2C77"/>
    <w:rsid w:val="00CA2D28"/>
    <w:rsid w:val="00CA3BB1"/>
    <w:rsid w:val="00CA444F"/>
    <w:rsid w:val="00CA5245"/>
    <w:rsid w:val="00CA6A7E"/>
    <w:rsid w:val="00CA71F4"/>
    <w:rsid w:val="00CA7B09"/>
    <w:rsid w:val="00CB12A5"/>
    <w:rsid w:val="00CB1CAC"/>
    <w:rsid w:val="00CB2C27"/>
    <w:rsid w:val="00CB2F2A"/>
    <w:rsid w:val="00CB56B7"/>
    <w:rsid w:val="00CB5B1A"/>
    <w:rsid w:val="00CB5DFA"/>
    <w:rsid w:val="00CB6B22"/>
    <w:rsid w:val="00CB7F5F"/>
    <w:rsid w:val="00CC1351"/>
    <w:rsid w:val="00CC1B39"/>
    <w:rsid w:val="00CC2C10"/>
    <w:rsid w:val="00CC35EA"/>
    <w:rsid w:val="00CC3848"/>
    <w:rsid w:val="00CC4443"/>
    <w:rsid w:val="00CC6D09"/>
    <w:rsid w:val="00CD2906"/>
    <w:rsid w:val="00CD37BC"/>
    <w:rsid w:val="00CD3F77"/>
    <w:rsid w:val="00CD46DB"/>
    <w:rsid w:val="00CD58CE"/>
    <w:rsid w:val="00CD5DED"/>
    <w:rsid w:val="00CD6411"/>
    <w:rsid w:val="00CD6ADC"/>
    <w:rsid w:val="00CD6D1B"/>
    <w:rsid w:val="00CD7193"/>
    <w:rsid w:val="00CD719B"/>
    <w:rsid w:val="00CD7766"/>
    <w:rsid w:val="00CD79FB"/>
    <w:rsid w:val="00CE1809"/>
    <w:rsid w:val="00CE38C8"/>
    <w:rsid w:val="00CE5C2A"/>
    <w:rsid w:val="00CE6274"/>
    <w:rsid w:val="00CE77B6"/>
    <w:rsid w:val="00CF2B8D"/>
    <w:rsid w:val="00CF2FD3"/>
    <w:rsid w:val="00CF30EB"/>
    <w:rsid w:val="00CF37AB"/>
    <w:rsid w:val="00CF456B"/>
    <w:rsid w:val="00CF49E4"/>
    <w:rsid w:val="00CF581F"/>
    <w:rsid w:val="00CF5A22"/>
    <w:rsid w:val="00CF5E72"/>
    <w:rsid w:val="00D0262E"/>
    <w:rsid w:val="00D05E3D"/>
    <w:rsid w:val="00D06139"/>
    <w:rsid w:val="00D104DD"/>
    <w:rsid w:val="00D110BD"/>
    <w:rsid w:val="00D1213F"/>
    <w:rsid w:val="00D12292"/>
    <w:rsid w:val="00D13675"/>
    <w:rsid w:val="00D141E1"/>
    <w:rsid w:val="00D15314"/>
    <w:rsid w:val="00D16F39"/>
    <w:rsid w:val="00D17114"/>
    <w:rsid w:val="00D17D6C"/>
    <w:rsid w:val="00D2155B"/>
    <w:rsid w:val="00D217E2"/>
    <w:rsid w:val="00D21E5D"/>
    <w:rsid w:val="00D23660"/>
    <w:rsid w:val="00D23B66"/>
    <w:rsid w:val="00D23D11"/>
    <w:rsid w:val="00D244B6"/>
    <w:rsid w:val="00D263ED"/>
    <w:rsid w:val="00D26E07"/>
    <w:rsid w:val="00D270F8"/>
    <w:rsid w:val="00D2754D"/>
    <w:rsid w:val="00D27B27"/>
    <w:rsid w:val="00D30C9E"/>
    <w:rsid w:val="00D30D33"/>
    <w:rsid w:val="00D311CE"/>
    <w:rsid w:val="00D33BE9"/>
    <w:rsid w:val="00D33F93"/>
    <w:rsid w:val="00D3562D"/>
    <w:rsid w:val="00D357FF"/>
    <w:rsid w:val="00D36730"/>
    <w:rsid w:val="00D36A38"/>
    <w:rsid w:val="00D36F07"/>
    <w:rsid w:val="00D37E61"/>
    <w:rsid w:val="00D41C36"/>
    <w:rsid w:val="00D41D26"/>
    <w:rsid w:val="00D424C7"/>
    <w:rsid w:val="00D42500"/>
    <w:rsid w:val="00D42990"/>
    <w:rsid w:val="00D4375A"/>
    <w:rsid w:val="00D43B2A"/>
    <w:rsid w:val="00D43D83"/>
    <w:rsid w:val="00D46852"/>
    <w:rsid w:val="00D47575"/>
    <w:rsid w:val="00D479E6"/>
    <w:rsid w:val="00D51ECD"/>
    <w:rsid w:val="00D520B0"/>
    <w:rsid w:val="00D5243B"/>
    <w:rsid w:val="00D533EC"/>
    <w:rsid w:val="00D55CCD"/>
    <w:rsid w:val="00D56A95"/>
    <w:rsid w:val="00D56B30"/>
    <w:rsid w:val="00D61DE9"/>
    <w:rsid w:val="00D62A9B"/>
    <w:rsid w:val="00D639DF"/>
    <w:rsid w:val="00D63CB3"/>
    <w:rsid w:val="00D64E64"/>
    <w:rsid w:val="00D70D46"/>
    <w:rsid w:val="00D70F16"/>
    <w:rsid w:val="00D72F57"/>
    <w:rsid w:val="00D764C9"/>
    <w:rsid w:val="00D76A44"/>
    <w:rsid w:val="00D76DE9"/>
    <w:rsid w:val="00D76E35"/>
    <w:rsid w:val="00D815EF"/>
    <w:rsid w:val="00D81709"/>
    <w:rsid w:val="00D81F26"/>
    <w:rsid w:val="00D82B31"/>
    <w:rsid w:val="00D82BBB"/>
    <w:rsid w:val="00D83988"/>
    <w:rsid w:val="00D8490C"/>
    <w:rsid w:val="00D84CCB"/>
    <w:rsid w:val="00D85F83"/>
    <w:rsid w:val="00D861D8"/>
    <w:rsid w:val="00D86231"/>
    <w:rsid w:val="00D87815"/>
    <w:rsid w:val="00D87832"/>
    <w:rsid w:val="00D91923"/>
    <w:rsid w:val="00D91C32"/>
    <w:rsid w:val="00D93753"/>
    <w:rsid w:val="00D944A5"/>
    <w:rsid w:val="00DA039D"/>
    <w:rsid w:val="00DA191F"/>
    <w:rsid w:val="00DA237E"/>
    <w:rsid w:val="00DA26F4"/>
    <w:rsid w:val="00DA3167"/>
    <w:rsid w:val="00DA4DC3"/>
    <w:rsid w:val="00DA6107"/>
    <w:rsid w:val="00DA634D"/>
    <w:rsid w:val="00DA77A5"/>
    <w:rsid w:val="00DB2EEA"/>
    <w:rsid w:val="00DB3DBF"/>
    <w:rsid w:val="00DB450E"/>
    <w:rsid w:val="00DB484F"/>
    <w:rsid w:val="00DB502A"/>
    <w:rsid w:val="00DC04F6"/>
    <w:rsid w:val="00DC0690"/>
    <w:rsid w:val="00DC1461"/>
    <w:rsid w:val="00DC1D65"/>
    <w:rsid w:val="00DC3C57"/>
    <w:rsid w:val="00DC4121"/>
    <w:rsid w:val="00DC5501"/>
    <w:rsid w:val="00DC62A0"/>
    <w:rsid w:val="00DC67B0"/>
    <w:rsid w:val="00DC7154"/>
    <w:rsid w:val="00DC7E8A"/>
    <w:rsid w:val="00DD0DC1"/>
    <w:rsid w:val="00DD0F78"/>
    <w:rsid w:val="00DD159A"/>
    <w:rsid w:val="00DD2248"/>
    <w:rsid w:val="00DD273C"/>
    <w:rsid w:val="00DD2D3A"/>
    <w:rsid w:val="00DD3F28"/>
    <w:rsid w:val="00DD3F7B"/>
    <w:rsid w:val="00DD4537"/>
    <w:rsid w:val="00DD463F"/>
    <w:rsid w:val="00DD46B5"/>
    <w:rsid w:val="00DD4E15"/>
    <w:rsid w:val="00DD7060"/>
    <w:rsid w:val="00DE06AC"/>
    <w:rsid w:val="00DE2304"/>
    <w:rsid w:val="00DE2757"/>
    <w:rsid w:val="00DE2CE5"/>
    <w:rsid w:val="00DE3138"/>
    <w:rsid w:val="00DE37F8"/>
    <w:rsid w:val="00DE4C40"/>
    <w:rsid w:val="00DE4FCB"/>
    <w:rsid w:val="00DE5D07"/>
    <w:rsid w:val="00DE72A7"/>
    <w:rsid w:val="00DE7832"/>
    <w:rsid w:val="00DF18FC"/>
    <w:rsid w:val="00DF22F9"/>
    <w:rsid w:val="00DF5D2B"/>
    <w:rsid w:val="00DF6753"/>
    <w:rsid w:val="00E00D6D"/>
    <w:rsid w:val="00E00E81"/>
    <w:rsid w:val="00E00E8E"/>
    <w:rsid w:val="00E0128B"/>
    <w:rsid w:val="00E016F6"/>
    <w:rsid w:val="00E01D69"/>
    <w:rsid w:val="00E02D46"/>
    <w:rsid w:val="00E04382"/>
    <w:rsid w:val="00E045E8"/>
    <w:rsid w:val="00E04DA5"/>
    <w:rsid w:val="00E05630"/>
    <w:rsid w:val="00E06DBB"/>
    <w:rsid w:val="00E10149"/>
    <w:rsid w:val="00E109EF"/>
    <w:rsid w:val="00E11340"/>
    <w:rsid w:val="00E122A1"/>
    <w:rsid w:val="00E131F1"/>
    <w:rsid w:val="00E157D9"/>
    <w:rsid w:val="00E16372"/>
    <w:rsid w:val="00E16732"/>
    <w:rsid w:val="00E171E8"/>
    <w:rsid w:val="00E20E4D"/>
    <w:rsid w:val="00E20ED6"/>
    <w:rsid w:val="00E21358"/>
    <w:rsid w:val="00E22245"/>
    <w:rsid w:val="00E2249B"/>
    <w:rsid w:val="00E22A0D"/>
    <w:rsid w:val="00E23866"/>
    <w:rsid w:val="00E23B81"/>
    <w:rsid w:val="00E23F0D"/>
    <w:rsid w:val="00E244F6"/>
    <w:rsid w:val="00E24DFE"/>
    <w:rsid w:val="00E26F6A"/>
    <w:rsid w:val="00E2771E"/>
    <w:rsid w:val="00E30DA1"/>
    <w:rsid w:val="00E311EF"/>
    <w:rsid w:val="00E32180"/>
    <w:rsid w:val="00E328B5"/>
    <w:rsid w:val="00E3323C"/>
    <w:rsid w:val="00E34948"/>
    <w:rsid w:val="00E35EF9"/>
    <w:rsid w:val="00E37569"/>
    <w:rsid w:val="00E401B2"/>
    <w:rsid w:val="00E4093F"/>
    <w:rsid w:val="00E411CF"/>
    <w:rsid w:val="00E41E30"/>
    <w:rsid w:val="00E42F73"/>
    <w:rsid w:val="00E43667"/>
    <w:rsid w:val="00E43D70"/>
    <w:rsid w:val="00E4480C"/>
    <w:rsid w:val="00E462A5"/>
    <w:rsid w:val="00E466F3"/>
    <w:rsid w:val="00E46E70"/>
    <w:rsid w:val="00E476A9"/>
    <w:rsid w:val="00E47B2C"/>
    <w:rsid w:val="00E51560"/>
    <w:rsid w:val="00E53A4A"/>
    <w:rsid w:val="00E53D08"/>
    <w:rsid w:val="00E53FC8"/>
    <w:rsid w:val="00E54347"/>
    <w:rsid w:val="00E54B5E"/>
    <w:rsid w:val="00E55424"/>
    <w:rsid w:val="00E55915"/>
    <w:rsid w:val="00E55BB5"/>
    <w:rsid w:val="00E5693F"/>
    <w:rsid w:val="00E6055E"/>
    <w:rsid w:val="00E64040"/>
    <w:rsid w:val="00E659B7"/>
    <w:rsid w:val="00E65E79"/>
    <w:rsid w:val="00E662EA"/>
    <w:rsid w:val="00E66BA2"/>
    <w:rsid w:val="00E67416"/>
    <w:rsid w:val="00E67B34"/>
    <w:rsid w:val="00E718B6"/>
    <w:rsid w:val="00E718FA"/>
    <w:rsid w:val="00E71E4D"/>
    <w:rsid w:val="00E723BA"/>
    <w:rsid w:val="00E73581"/>
    <w:rsid w:val="00E73A0B"/>
    <w:rsid w:val="00E73E3D"/>
    <w:rsid w:val="00E761EB"/>
    <w:rsid w:val="00E81049"/>
    <w:rsid w:val="00E816F2"/>
    <w:rsid w:val="00E81C07"/>
    <w:rsid w:val="00E821A2"/>
    <w:rsid w:val="00E833F7"/>
    <w:rsid w:val="00E83658"/>
    <w:rsid w:val="00E83BDF"/>
    <w:rsid w:val="00E83F48"/>
    <w:rsid w:val="00E87A1D"/>
    <w:rsid w:val="00E9094A"/>
    <w:rsid w:val="00E91D35"/>
    <w:rsid w:val="00E91F84"/>
    <w:rsid w:val="00E926A5"/>
    <w:rsid w:val="00E926FB"/>
    <w:rsid w:val="00E961E2"/>
    <w:rsid w:val="00E97BB3"/>
    <w:rsid w:val="00EA15FE"/>
    <w:rsid w:val="00EA17C3"/>
    <w:rsid w:val="00EA1C0B"/>
    <w:rsid w:val="00EA1F73"/>
    <w:rsid w:val="00EA2CAA"/>
    <w:rsid w:val="00EA3864"/>
    <w:rsid w:val="00EA4E1A"/>
    <w:rsid w:val="00EA503E"/>
    <w:rsid w:val="00EA528F"/>
    <w:rsid w:val="00EA6421"/>
    <w:rsid w:val="00EA7F1C"/>
    <w:rsid w:val="00EB15B6"/>
    <w:rsid w:val="00EB1C84"/>
    <w:rsid w:val="00EB29A1"/>
    <w:rsid w:val="00EB2E96"/>
    <w:rsid w:val="00EB3A95"/>
    <w:rsid w:val="00EB3B0D"/>
    <w:rsid w:val="00EB3D06"/>
    <w:rsid w:val="00EB4916"/>
    <w:rsid w:val="00EB571F"/>
    <w:rsid w:val="00EB7BE1"/>
    <w:rsid w:val="00EC00C9"/>
    <w:rsid w:val="00EC0DD9"/>
    <w:rsid w:val="00EC2649"/>
    <w:rsid w:val="00EC31ED"/>
    <w:rsid w:val="00EC3A5B"/>
    <w:rsid w:val="00EC4A20"/>
    <w:rsid w:val="00EC5836"/>
    <w:rsid w:val="00EC688C"/>
    <w:rsid w:val="00ED0E7A"/>
    <w:rsid w:val="00ED25B9"/>
    <w:rsid w:val="00ED49B1"/>
    <w:rsid w:val="00ED57EA"/>
    <w:rsid w:val="00ED5BD4"/>
    <w:rsid w:val="00ED6D74"/>
    <w:rsid w:val="00EE07D3"/>
    <w:rsid w:val="00EE1861"/>
    <w:rsid w:val="00EE1996"/>
    <w:rsid w:val="00EE1C01"/>
    <w:rsid w:val="00EE1C68"/>
    <w:rsid w:val="00EE22AF"/>
    <w:rsid w:val="00EE2F09"/>
    <w:rsid w:val="00EE4AD2"/>
    <w:rsid w:val="00EE4CB1"/>
    <w:rsid w:val="00EE5E0B"/>
    <w:rsid w:val="00EE72BD"/>
    <w:rsid w:val="00EF001D"/>
    <w:rsid w:val="00EF0171"/>
    <w:rsid w:val="00EF1486"/>
    <w:rsid w:val="00EF1B25"/>
    <w:rsid w:val="00EF1DA0"/>
    <w:rsid w:val="00EF4747"/>
    <w:rsid w:val="00EF47D3"/>
    <w:rsid w:val="00EF4BF8"/>
    <w:rsid w:val="00EF5382"/>
    <w:rsid w:val="00EF63D9"/>
    <w:rsid w:val="00EF75FE"/>
    <w:rsid w:val="00F02253"/>
    <w:rsid w:val="00F02910"/>
    <w:rsid w:val="00F0388D"/>
    <w:rsid w:val="00F03C2E"/>
    <w:rsid w:val="00F04A66"/>
    <w:rsid w:val="00F04B4B"/>
    <w:rsid w:val="00F0516C"/>
    <w:rsid w:val="00F05AF2"/>
    <w:rsid w:val="00F067A2"/>
    <w:rsid w:val="00F07B9E"/>
    <w:rsid w:val="00F1116F"/>
    <w:rsid w:val="00F11FC3"/>
    <w:rsid w:val="00F12081"/>
    <w:rsid w:val="00F12217"/>
    <w:rsid w:val="00F1263A"/>
    <w:rsid w:val="00F12763"/>
    <w:rsid w:val="00F135D3"/>
    <w:rsid w:val="00F139F0"/>
    <w:rsid w:val="00F13A02"/>
    <w:rsid w:val="00F153C8"/>
    <w:rsid w:val="00F15B77"/>
    <w:rsid w:val="00F15C15"/>
    <w:rsid w:val="00F167D2"/>
    <w:rsid w:val="00F21A54"/>
    <w:rsid w:val="00F21A5C"/>
    <w:rsid w:val="00F234FD"/>
    <w:rsid w:val="00F23A3A"/>
    <w:rsid w:val="00F24837"/>
    <w:rsid w:val="00F2575F"/>
    <w:rsid w:val="00F27565"/>
    <w:rsid w:val="00F27B3F"/>
    <w:rsid w:val="00F310D4"/>
    <w:rsid w:val="00F31D5A"/>
    <w:rsid w:val="00F32EB0"/>
    <w:rsid w:val="00F337A8"/>
    <w:rsid w:val="00F33975"/>
    <w:rsid w:val="00F33DE9"/>
    <w:rsid w:val="00F35E6D"/>
    <w:rsid w:val="00F3619A"/>
    <w:rsid w:val="00F364C1"/>
    <w:rsid w:val="00F40071"/>
    <w:rsid w:val="00F4020E"/>
    <w:rsid w:val="00F40AAA"/>
    <w:rsid w:val="00F40BA7"/>
    <w:rsid w:val="00F40F9D"/>
    <w:rsid w:val="00F41ACD"/>
    <w:rsid w:val="00F44E19"/>
    <w:rsid w:val="00F44E89"/>
    <w:rsid w:val="00F454FB"/>
    <w:rsid w:val="00F46CB6"/>
    <w:rsid w:val="00F4756D"/>
    <w:rsid w:val="00F47DE8"/>
    <w:rsid w:val="00F5021E"/>
    <w:rsid w:val="00F509C2"/>
    <w:rsid w:val="00F50F65"/>
    <w:rsid w:val="00F510A1"/>
    <w:rsid w:val="00F530D5"/>
    <w:rsid w:val="00F54039"/>
    <w:rsid w:val="00F542C1"/>
    <w:rsid w:val="00F55E73"/>
    <w:rsid w:val="00F55EDA"/>
    <w:rsid w:val="00F56C80"/>
    <w:rsid w:val="00F57E42"/>
    <w:rsid w:val="00F60092"/>
    <w:rsid w:val="00F60328"/>
    <w:rsid w:val="00F610D9"/>
    <w:rsid w:val="00F61C18"/>
    <w:rsid w:val="00F62226"/>
    <w:rsid w:val="00F65F4B"/>
    <w:rsid w:val="00F67A69"/>
    <w:rsid w:val="00F70710"/>
    <w:rsid w:val="00F70BFF"/>
    <w:rsid w:val="00F70C9D"/>
    <w:rsid w:val="00F71389"/>
    <w:rsid w:val="00F72FC2"/>
    <w:rsid w:val="00F74CD9"/>
    <w:rsid w:val="00F771EC"/>
    <w:rsid w:val="00F80A7B"/>
    <w:rsid w:val="00F80E5D"/>
    <w:rsid w:val="00F81E78"/>
    <w:rsid w:val="00F84BC6"/>
    <w:rsid w:val="00F851CE"/>
    <w:rsid w:val="00F85F5B"/>
    <w:rsid w:val="00F91219"/>
    <w:rsid w:val="00F92444"/>
    <w:rsid w:val="00F9393E"/>
    <w:rsid w:val="00F93E8F"/>
    <w:rsid w:val="00F9484F"/>
    <w:rsid w:val="00F958A5"/>
    <w:rsid w:val="00F96FD0"/>
    <w:rsid w:val="00F97A78"/>
    <w:rsid w:val="00F97FDA"/>
    <w:rsid w:val="00FA0499"/>
    <w:rsid w:val="00FA0B20"/>
    <w:rsid w:val="00FA170D"/>
    <w:rsid w:val="00FA24E7"/>
    <w:rsid w:val="00FA2646"/>
    <w:rsid w:val="00FA340C"/>
    <w:rsid w:val="00FA38D3"/>
    <w:rsid w:val="00FA479F"/>
    <w:rsid w:val="00FA5EE6"/>
    <w:rsid w:val="00FA7956"/>
    <w:rsid w:val="00FA7F44"/>
    <w:rsid w:val="00FB0922"/>
    <w:rsid w:val="00FB20CE"/>
    <w:rsid w:val="00FB27C9"/>
    <w:rsid w:val="00FB2FCB"/>
    <w:rsid w:val="00FB68F3"/>
    <w:rsid w:val="00FB7C55"/>
    <w:rsid w:val="00FC1074"/>
    <w:rsid w:val="00FC1884"/>
    <w:rsid w:val="00FC240E"/>
    <w:rsid w:val="00FC371D"/>
    <w:rsid w:val="00FC5F0B"/>
    <w:rsid w:val="00FD01F3"/>
    <w:rsid w:val="00FD2100"/>
    <w:rsid w:val="00FD33B7"/>
    <w:rsid w:val="00FD3B4F"/>
    <w:rsid w:val="00FD4248"/>
    <w:rsid w:val="00FD436C"/>
    <w:rsid w:val="00FD446D"/>
    <w:rsid w:val="00FD4645"/>
    <w:rsid w:val="00FD4F2C"/>
    <w:rsid w:val="00FD56A1"/>
    <w:rsid w:val="00FD58C6"/>
    <w:rsid w:val="00FD6394"/>
    <w:rsid w:val="00FE0E6C"/>
    <w:rsid w:val="00FE1CDC"/>
    <w:rsid w:val="00FE354B"/>
    <w:rsid w:val="00FE382D"/>
    <w:rsid w:val="00FE56F8"/>
    <w:rsid w:val="00FE70C3"/>
    <w:rsid w:val="00FE7149"/>
    <w:rsid w:val="00FF0323"/>
    <w:rsid w:val="00FF062D"/>
    <w:rsid w:val="00FF2AD9"/>
    <w:rsid w:val="00FF2BD1"/>
    <w:rsid w:val="00FF320E"/>
    <w:rsid w:val="00FF359F"/>
    <w:rsid w:val="00FF3DCF"/>
    <w:rsid w:val="00FF492C"/>
    <w:rsid w:val="00FF4A21"/>
    <w:rsid w:val="00FF4F5D"/>
    <w:rsid w:val="00FF583E"/>
    <w:rsid w:val="00FF5AA3"/>
    <w:rsid w:val="00FF5AD8"/>
    <w:rsid w:val="00FF687B"/>
    <w:rsid w:val="00FF72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02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D1"/>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693F71"/>
    <w:rPr>
      <w:sz w:val="20"/>
      <w:szCs w:val="20"/>
    </w:rPr>
  </w:style>
  <w:style w:type="character" w:customStyle="1" w:styleId="FootnoteTextChar">
    <w:name w:val="Footnote Text Char"/>
    <w:basedOn w:val="DefaultParagraphFont"/>
    <w:link w:val="FootnoteText"/>
    <w:semiHidden/>
    <w:rsid w:val="00693F71"/>
    <w:rPr>
      <w:rFonts w:ascii="Calibri" w:hAnsi="Calibri" w:cs="Arial"/>
    </w:rPr>
  </w:style>
  <w:style w:type="character" w:styleId="FootnoteReference">
    <w:name w:val="footnote reference"/>
    <w:basedOn w:val="DefaultParagraphFont"/>
    <w:uiPriority w:val="99"/>
    <w:semiHidden/>
    <w:unhideWhenUsed/>
    <w:rsid w:val="00693F71"/>
    <w:rPr>
      <w:vertAlign w:val="superscript"/>
    </w:rPr>
  </w:style>
  <w:style w:type="paragraph" w:customStyle="1" w:styleId="TableNotes">
    <w:name w:val="Table Notes"/>
    <w:basedOn w:val="Normal"/>
    <w:next w:val="Normal"/>
    <w:qFormat/>
    <w:rsid w:val="00165DF9"/>
    <w:pPr>
      <w:keepLines/>
      <w:spacing w:before="60" w:after="240" w:line="276" w:lineRule="auto"/>
      <w:contextualSpacing/>
      <w:jc w:val="left"/>
    </w:pPr>
    <w:rPr>
      <w:rFonts w:ascii="Arial" w:hAnsi="Arial" w:cs="Times New Roman"/>
      <w:sz w:val="16"/>
      <w:szCs w:val="16"/>
      <w:lang w:val="en-US"/>
    </w:rPr>
  </w:style>
  <w:style w:type="paragraph" w:customStyle="1" w:styleId="BodyText1">
    <w:name w:val="Body Text1"/>
    <w:basedOn w:val="Normal"/>
    <w:link w:val="BodytextChar0"/>
    <w:qFormat/>
    <w:rsid w:val="00E961E2"/>
    <w:pPr>
      <w:spacing w:after="120" w:line="300" w:lineRule="auto"/>
      <w:jc w:val="left"/>
    </w:pPr>
    <w:rPr>
      <w:rFonts w:ascii="Arial" w:hAnsi="Arial" w:cs="Times New Roman"/>
      <w:sz w:val="22"/>
      <w:lang w:val="en-US" w:eastAsia="en-GB"/>
    </w:rPr>
  </w:style>
  <w:style w:type="character" w:customStyle="1" w:styleId="BodytextChar0">
    <w:name w:val="Body text Char"/>
    <w:link w:val="BodyText1"/>
    <w:locked/>
    <w:rsid w:val="00E961E2"/>
    <w:rPr>
      <w:rFonts w:ascii="Arial" w:hAnsi="Arial"/>
      <w:sz w:val="22"/>
      <w:szCs w:val="24"/>
      <w:lang w:val="en-US" w:eastAsia="en-GB"/>
    </w:rPr>
  </w:style>
  <w:style w:type="character" w:customStyle="1" w:styleId="V50InstructionsChar">
    <w:name w:val="V5.0 Instructions Char"/>
    <w:basedOn w:val="DefaultParagraphFont"/>
    <w:link w:val="V50Instructions"/>
    <w:locked/>
    <w:rsid w:val="00896A40"/>
    <w:rPr>
      <w:color w:val="4BACC6" w:themeColor="accent5"/>
      <w:sz w:val="24"/>
    </w:rPr>
  </w:style>
  <w:style w:type="paragraph" w:customStyle="1" w:styleId="V50Instructions">
    <w:name w:val="V5.0 Instructions"/>
    <w:basedOn w:val="Normal"/>
    <w:link w:val="V50InstructionsChar"/>
    <w:qFormat/>
    <w:rsid w:val="00896A40"/>
    <w:pPr>
      <w:spacing w:before="120" w:after="160"/>
      <w:jc w:val="left"/>
    </w:pPr>
    <w:rPr>
      <w:rFonts w:ascii="Times New Roman" w:hAnsi="Times New Roman" w:cs="Times New Roman"/>
      <w:color w:val="4BACC6" w:themeColor="accent5"/>
      <w:szCs w:val="20"/>
    </w:rPr>
  </w:style>
  <w:style w:type="paragraph" w:customStyle="1" w:styleId="Default">
    <w:name w:val="Default"/>
    <w:rsid w:val="00896A40"/>
    <w:pPr>
      <w:autoSpaceDE w:val="0"/>
      <w:autoSpaceDN w:val="0"/>
      <w:adjustRightInd w:val="0"/>
    </w:pPr>
    <w:rPr>
      <w:rFonts w:ascii="Calibri" w:eastAsiaTheme="minorHAnsi" w:hAnsi="Calibri" w:cs="Calibri"/>
      <w:color w:val="000000"/>
      <w:sz w:val="24"/>
      <w:szCs w:val="24"/>
      <w:lang w:val="en-US" w:eastAsia="en-US"/>
    </w:rPr>
  </w:style>
  <w:style w:type="paragraph" w:customStyle="1" w:styleId="C-TableHeader">
    <w:name w:val="C-Table Header"/>
    <w:next w:val="C-TableText"/>
    <w:link w:val="C-TableHeaderChar"/>
    <w:rsid w:val="00334FD0"/>
    <w:pPr>
      <w:keepNext/>
      <w:spacing w:before="60" w:after="60"/>
    </w:pPr>
    <w:rPr>
      <w:b/>
      <w:sz w:val="22"/>
      <w:lang w:val="en-US" w:eastAsia="en-US"/>
    </w:rPr>
  </w:style>
  <w:style w:type="paragraph" w:customStyle="1" w:styleId="C-TableText">
    <w:name w:val="C-Table Text"/>
    <w:link w:val="C-TableTextChar"/>
    <w:rsid w:val="00334FD0"/>
    <w:pPr>
      <w:spacing w:before="60" w:after="60"/>
    </w:pPr>
    <w:rPr>
      <w:sz w:val="22"/>
      <w:lang w:val="en-US" w:eastAsia="en-US"/>
    </w:rPr>
  </w:style>
  <w:style w:type="character" w:customStyle="1" w:styleId="C-TableCallout">
    <w:name w:val="C-Table Callout"/>
    <w:rsid w:val="00334FD0"/>
    <w:rPr>
      <w:rFonts w:ascii="Times New Roman" w:hAnsi="Times New Roman"/>
      <w:dstrike w:val="0"/>
      <w:color w:val="auto"/>
      <w:spacing w:val="0"/>
      <w:w w:val="100"/>
      <w:position w:val="-1"/>
      <w:sz w:val="22"/>
      <w:szCs w:val="22"/>
      <w:u w:val="none"/>
      <w:effect w:val="none"/>
      <w:vertAlign w:val="superscript"/>
      <w:em w:val="none"/>
    </w:rPr>
  </w:style>
  <w:style w:type="character" w:customStyle="1" w:styleId="C-TableTextChar">
    <w:name w:val="C-Table Text Char"/>
    <w:link w:val="C-TableText"/>
    <w:locked/>
    <w:rsid w:val="00334FD0"/>
    <w:rPr>
      <w:sz w:val="22"/>
      <w:lang w:val="en-US" w:eastAsia="en-US"/>
    </w:rPr>
  </w:style>
  <w:style w:type="character" w:customStyle="1" w:styleId="C-TableHeaderChar">
    <w:name w:val="C-Table Header Char"/>
    <w:link w:val="C-TableHeader"/>
    <w:rsid w:val="00334FD0"/>
    <w:rPr>
      <w:b/>
      <w:sz w:val="22"/>
      <w:lang w:val="en-US" w:eastAsia="en-US"/>
    </w:rPr>
  </w:style>
  <w:style w:type="paragraph" w:customStyle="1" w:styleId="C-TableFootnote">
    <w:name w:val="C-Table Footnote"/>
    <w:next w:val="Normal"/>
    <w:rsid w:val="00EE1C68"/>
    <w:pPr>
      <w:tabs>
        <w:tab w:val="left" w:pos="144"/>
      </w:tabs>
      <w:ind w:left="144" w:hanging="144"/>
    </w:pPr>
    <w:rPr>
      <w:rFonts w:cs="Arial"/>
      <w:lang w:val="en-US" w:eastAsia="en-US"/>
    </w:rPr>
  </w:style>
  <w:style w:type="paragraph" w:customStyle="1" w:styleId="TableHeading0">
    <w:name w:val="Table Heading"/>
    <w:basedOn w:val="Normal"/>
    <w:qFormat/>
    <w:rsid w:val="00E16732"/>
    <w:pPr>
      <w:keepNext/>
      <w:spacing w:after="60"/>
      <w:jc w:val="left"/>
    </w:pPr>
    <w:rPr>
      <w:rFonts w:ascii="Arial Narrow" w:eastAsiaTheme="minorHAnsi" w:hAnsi="Arial Narrow" w:cstheme="minorBidi"/>
      <w:b/>
      <w:sz w:val="20"/>
      <w:szCs w:val="22"/>
      <w:lang w:eastAsia="en-US"/>
    </w:rPr>
  </w:style>
  <w:style w:type="paragraph" w:customStyle="1" w:styleId="Tablebullet">
    <w:name w:val="Table bullet"/>
    <w:uiPriority w:val="4"/>
    <w:rsid w:val="00E3323C"/>
    <w:pPr>
      <w:numPr>
        <w:numId w:val="26"/>
      </w:numPr>
      <w:spacing w:before="40" w:after="60"/>
      <w:ind w:left="426" w:hanging="357"/>
    </w:pPr>
    <w:rPr>
      <w:rFonts w:ascii="Calibri" w:hAnsi="Calibri" w:cs="Calibri"/>
      <w:bCs/>
      <w:color w:val="000000"/>
      <w:sz w:val="16"/>
      <w:szCs w:val="26"/>
      <w:lang w:eastAsia="en-US"/>
    </w:rPr>
  </w:style>
  <w:style w:type="paragraph" w:customStyle="1" w:styleId="StyleTablebullet9pt">
    <w:name w:val="Style Table bullet + 9 pt"/>
    <w:basedOn w:val="Tablebullet"/>
    <w:rsid w:val="00E3323C"/>
    <w:pPr>
      <w:ind w:left="473" w:hanging="360"/>
    </w:pPr>
    <w:rPr>
      <w:bCs w:val="0"/>
      <w:sz w:val="18"/>
    </w:rPr>
  </w:style>
  <w:style w:type="character" w:styleId="PlaceholderText">
    <w:name w:val="Placeholder Text"/>
    <w:basedOn w:val="DefaultParagraphFont"/>
    <w:uiPriority w:val="99"/>
    <w:semiHidden/>
    <w:rsid w:val="00862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99170518">
      <w:bodyDiv w:val="1"/>
      <w:marLeft w:val="0"/>
      <w:marRight w:val="0"/>
      <w:marTop w:val="0"/>
      <w:marBottom w:val="0"/>
      <w:divBdr>
        <w:top w:val="none" w:sz="0" w:space="0" w:color="auto"/>
        <w:left w:val="none" w:sz="0" w:space="0" w:color="auto"/>
        <w:bottom w:val="none" w:sz="0" w:space="0" w:color="auto"/>
        <w:right w:val="none" w:sz="0" w:space="0" w:color="auto"/>
      </w:divBdr>
    </w:div>
    <w:div w:id="1112357148">
      <w:bodyDiv w:val="1"/>
      <w:marLeft w:val="0"/>
      <w:marRight w:val="0"/>
      <w:marTop w:val="0"/>
      <w:marBottom w:val="0"/>
      <w:divBdr>
        <w:top w:val="none" w:sz="0" w:space="0" w:color="auto"/>
        <w:left w:val="none" w:sz="0" w:space="0" w:color="auto"/>
        <w:bottom w:val="none" w:sz="0" w:space="0" w:color="auto"/>
        <w:right w:val="none" w:sz="0" w:space="0" w:color="auto"/>
      </w:divBdr>
      <w:divsChild>
        <w:div w:id="285549218">
          <w:marLeft w:val="360"/>
          <w:marRight w:val="0"/>
          <w:marTop w:val="200"/>
          <w:marBottom w:val="0"/>
          <w:divBdr>
            <w:top w:val="none" w:sz="0" w:space="0" w:color="auto"/>
            <w:left w:val="none" w:sz="0" w:space="0" w:color="auto"/>
            <w:bottom w:val="none" w:sz="0" w:space="0" w:color="auto"/>
            <w:right w:val="none" w:sz="0" w:space="0" w:color="auto"/>
          </w:divBdr>
        </w:div>
      </w:divsChild>
    </w:div>
    <w:div w:id="1144469718">
      <w:bodyDiv w:val="1"/>
      <w:marLeft w:val="0"/>
      <w:marRight w:val="0"/>
      <w:marTop w:val="0"/>
      <w:marBottom w:val="0"/>
      <w:divBdr>
        <w:top w:val="none" w:sz="0" w:space="0" w:color="auto"/>
        <w:left w:val="none" w:sz="0" w:space="0" w:color="auto"/>
        <w:bottom w:val="none" w:sz="0" w:space="0" w:color="auto"/>
        <w:right w:val="none" w:sz="0" w:space="0" w:color="auto"/>
      </w:divBdr>
      <w:divsChild>
        <w:div w:id="883445784">
          <w:marLeft w:val="1080"/>
          <w:marRight w:val="0"/>
          <w:marTop w:val="0"/>
          <w:marBottom w:val="0"/>
          <w:divBdr>
            <w:top w:val="none" w:sz="0" w:space="0" w:color="auto"/>
            <w:left w:val="none" w:sz="0" w:space="0" w:color="auto"/>
            <w:bottom w:val="none" w:sz="0" w:space="0" w:color="auto"/>
            <w:right w:val="none" w:sz="0" w:space="0" w:color="auto"/>
          </w:divBdr>
        </w:div>
      </w:divsChild>
    </w:div>
    <w:div w:id="115626806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4048">
      <w:bodyDiv w:val="1"/>
      <w:marLeft w:val="0"/>
      <w:marRight w:val="0"/>
      <w:marTop w:val="0"/>
      <w:marBottom w:val="0"/>
      <w:divBdr>
        <w:top w:val="none" w:sz="0" w:space="0" w:color="auto"/>
        <w:left w:val="none" w:sz="0" w:space="0" w:color="auto"/>
        <w:bottom w:val="none" w:sz="0" w:space="0" w:color="auto"/>
        <w:right w:val="none" w:sz="0" w:space="0" w:color="auto"/>
      </w:divBdr>
      <w:divsChild>
        <w:div w:id="519439195">
          <w:marLeft w:val="0"/>
          <w:marRight w:val="0"/>
          <w:marTop w:val="0"/>
          <w:marBottom w:val="0"/>
          <w:divBdr>
            <w:top w:val="none" w:sz="0" w:space="0" w:color="auto"/>
            <w:left w:val="none" w:sz="0" w:space="0" w:color="auto"/>
            <w:bottom w:val="none" w:sz="0" w:space="0" w:color="auto"/>
            <w:right w:val="none" w:sz="0" w:space="0" w:color="auto"/>
          </w:divBdr>
        </w:div>
        <w:div w:id="1072507542">
          <w:marLeft w:val="0"/>
          <w:marRight w:val="0"/>
          <w:marTop w:val="0"/>
          <w:marBottom w:val="0"/>
          <w:divBdr>
            <w:top w:val="none" w:sz="0" w:space="0" w:color="auto"/>
            <w:left w:val="none" w:sz="0" w:space="0" w:color="auto"/>
            <w:bottom w:val="none" w:sz="0" w:space="0" w:color="auto"/>
            <w:right w:val="none" w:sz="0" w:space="0" w:color="auto"/>
          </w:divBdr>
        </w:div>
      </w:divsChild>
    </w:div>
    <w:div w:id="17848119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5520484">
      <w:bodyDiv w:val="1"/>
      <w:marLeft w:val="0"/>
      <w:marRight w:val="0"/>
      <w:marTop w:val="0"/>
      <w:marBottom w:val="0"/>
      <w:divBdr>
        <w:top w:val="none" w:sz="0" w:space="0" w:color="auto"/>
        <w:left w:val="none" w:sz="0" w:space="0" w:color="auto"/>
        <w:bottom w:val="none" w:sz="0" w:space="0" w:color="auto"/>
        <w:right w:val="none" w:sz="0" w:space="0" w:color="auto"/>
      </w:divBdr>
    </w:div>
    <w:div w:id="21416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shares.deakin.edu.au\fac-hmnbs\phrep\pbac\2020\2%20July%202020\nusinersen\Nusinersen%20Economic%20Model_March2020_F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Markov Trace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'Model (2)'!$F$17</c:f>
              <c:strCache>
                <c:ptCount val="1"/>
                <c:pt idx="0">
                  <c:v>Type 1 asymptomatic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(2)'!$F$18:$F$58</c:f>
              <c:numCache>
                <c:formatCode>_-* #,##0.0000_-;\-* #,##0.0000_-;_-* "-"??_-;_-@_-</c:formatCode>
                <c:ptCount val="41"/>
                <c:pt idx="0">
                  <c:v>0.895582329317269</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yVal>
          <c:smooth val="1"/>
          <c:extLst>
            <c:ext xmlns:c16="http://schemas.microsoft.com/office/drawing/2014/chart" uri="{C3380CC4-5D6E-409C-BE32-E72D297353CC}">
              <c16:uniqueId val="{00000000-4F65-46AE-9802-33206E5D1820}"/>
            </c:ext>
          </c:extLst>
        </c:ser>
        <c:ser>
          <c:idx val="1"/>
          <c:order val="1"/>
          <c:tx>
            <c:strRef>
              <c:f>'Model (2)'!$G$17</c:f>
              <c:strCache>
                <c:ptCount val="1"/>
                <c:pt idx="0">
                  <c:v>Type 2 asymptomatic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(2)'!$G$18:$G$58</c:f>
              <c:numCache>
                <c:formatCode>_-* #,##0.0000_-;\-* #,##0.0000_-;_-* "-"??_-;_-@_-</c:formatCode>
                <c:ptCount val="41"/>
                <c:pt idx="0">
                  <c:v>7.6305220883534128E-2</c:v>
                </c:pt>
                <c:pt idx="1">
                  <c:v>7.6180359689781429E-2</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yVal>
          <c:smooth val="1"/>
          <c:extLst>
            <c:ext xmlns:c16="http://schemas.microsoft.com/office/drawing/2014/chart" uri="{C3380CC4-5D6E-409C-BE32-E72D297353CC}">
              <c16:uniqueId val="{00000001-4F65-46AE-9802-33206E5D1820}"/>
            </c:ext>
          </c:extLst>
        </c:ser>
        <c:ser>
          <c:idx val="2"/>
          <c:order val="2"/>
          <c:tx>
            <c:strRef>
              <c:f>'Model (2)'!$H$17</c:f>
              <c:strCache>
                <c:ptCount val="1"/>
                <c:pt idx="0">
                  <c:v>Type 3a asymptomatic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(2)'!$H$18:$H$58</c:f>
              <c:numCache>
                <c:formatCode>_-* #,##0.0000_-;\-* #,##0.0000_-;_-* "-"??_-;_-@_-</c:formatCode>
                <c:ptCount val="41"/>
                <c:pt idx="0">
                  <c:v>8.0321285140562242E-3</c:v>
                </c:pt>
                <c:pt idx="1">
                  <c:v>8.0189852305033085E-3</c:v>
                </c:pt>
                <c:pt idx="2">
                  <c:v>8.0058634538152599E-3</c:v>
                </c:pt>
                <c:pt idx="3">
                  <c:v>8.0048226239079218E-3</c:v>
                </c:pt>
                <c:pt idx="4">
                  <c:v>8.0037819293172687E-3</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yVal>
          <c:smooth val="1"/>
          <c:extLst>
            <c:ext xmlns:c16="http://schemas.microsoft.com/office/drawing/2014/chart" uri="{C3380CC4-5D6E-409C-BE32-E72D297353CC}">
              <c16:uniqueId val="{00000002-4F65-46AE-9802-33206E5D1820}"/>
            </c:ext>
          </c:extLst>
        </c:ser>
        <c:ser>
          <c:idx val="3"/>
          <c:order val="3"/>
          <c:tx>
            <c:strRef>
              <c:f>'Model (2)'!$I$17</c:f>
              <c:strCache>
                <c:ptCount val="1"/>
                <c:pt idx="0">
                  <c:v>Type 3b/4 asymptomatic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(2)'!$I$18:$I$58</c:f>
              <c:numCache>
                <c:formatCode>_-* #,##0.0000_-;\-* #,##0.0000_-;_-* "-"??_-;_-@_-</c:formatCode>
                <c:ptCount val="41"/>
                <c:pt idx="0">
                  <c:v>2.0080321285140701E-2</c:v>
                </c:pt>
                <c:pt idx="1">
                  <c:v>2.0047463076258411E-2</c:v>
                </c:pt>
                <c:pt idx="2">
                  <c:v>2.0014658634538291E-2</c:v>
                </c:pt>
                <c:pt idx="3">
                  <c:v>2.0012056559769946E-2</c:v>
                </c:pt>
                <c:pt idx="4">
                  <c:v>2.0009454823293311E-2</c:v>
                </c:pt>
                <c:pt idx="5">
                  <c:v>2.0008104139505621E-2</c:v>
                </c:pt>
                <c:pt idx="6">
                  <c:v>2.0006753546892166E-2</c:v>
                </c:pt>
                <c:pt idx="7">
                  <c:v>2.0005653145185206E-2</c:v>
                </c:pt>
                <c:pt idx="8">
                  <c:v>2.0004552804002006E-2</c:v>
                </c:pt>
                <c:pt idx="9">
                  <c:v>2.000360256517511E-2</c:v>
                </c:pt>
                <c:pt idx="10">
                  <c:v>2.000265237148563E-2</c:v>
                </c:pt>
                <c:pt idx="11">
                  <c:v>2.0001802240694179E-2</c:v>
                </c:pt>
                <c:pt idx="12">
                  <c:v>2.0000952146034055E-2</c:v>
                </c:pt>
                <c:pt idx="13">
                  <c:v>2.0000202096264883E-2</c:v>
                </c:pt>
                <c:pt idx="14">
                  <c:v>1.9999452074623104E-2</c:v>
                </c:pt>
                <c:pt idx="15">
                  <c:v>1.9998802081868123E-2</c:v>
                </c:pt>
                <c:pt idx="16">
                  <c:v>1.9998152110238251E-2</c:v>
                </c:pt>
                <c:pt idx="17">
                  <c:v>1.99975021597328E-2</c:v>
                </c:pt>
                <c:pt idx="18">
                  <c:v>1.9996852230351084E-2</c:v>
                </c:pt>
                <c:pt idx="19">
                  <c:v>1.9996202322092416E-2</c:v>
                </c:pt>
                <c:pt idx="20">
                  <c:v>1.9995552434956109E-2</c:v>
                </c:pt>
                <c:pt idx="21">
                  <c:v>1.999485257837318E-2</c:v>
                </c:pt>
                <c:pt idx="22">
                  <c:v>1.9994152746285659E-2</c:v>
                </c:pt>
                <c:pt idx="23">
                  <c:v>1.9993352964179846E-2</c:v>
                </c:pt>
                <c:pt idx="24">
                  <c:v>1.9992553214065956E-2</c:v>
                </c:pt>
                <c:pt idx="25">
                  <c:v>1.9991603545233119E-2</c:v>
                </c:pt>
                <c:pt idx="26">
                  <c:v>1.9990653921510622E-2</c:v>
                </c:pt>
                <c:pt idx="27">
                  <c:v>1.9989454446289995E-2</c:v>
                </c:pt>
                <c:pt idx="28">
                  <c:v>1.998825504304004E-2</c:v>
                </c:pt>
                <c:pt idx="29">
                  <c:v>1.9986705893242324E-2</c:v>
                </c:pt>
                <c:pt idx="30">
                  <c:v>1.9985156863508369E-2</c:v>
                </c:pt>
                <c:pt idx="31">
                  <c:v>1.9983208215712967E-2</c:v>
                </c:pt>
                <c:pt idx="32">
                  <c:v>1.9981259757919985E-2</c:v>
                </c:pt>
                <c:pt idx="33">
                  <c:v>1.9978811903659383E-2</c:v>
                </c:pt>
                <c:pt idx="34">
                  <c:v>1.9976364349279296E-2</c:v>
                </c:pt>
                <c:pt idx="35">
                  <c:v>1.9973417618200331E-2</c:v>
                </c:pt>
                <c:pt idx="36">
                  <c:v>1.997047132179626E-2</c:v>
                </c:pt>
                <c:pt idx="37">
                  <c:v>1.9967076053049176E-2</c:v>
                </c:pt>
                <c:pt idx="38">
                  <c:v>1.9963681361546848E-2</c:v>
                </c:pt>
                <c:pt idx="39">
                  <c:v>1.9959887901675223E-2</c:v>
                </c:pt>
                <c:pt idx="40">
                  <c:v>1.9956095162629459E-2</c:v>
                </c:pt>
              </c:numCache>
            </c:numRef>
          </c:yVal>
          <c:smooth val="1"/>
          <c:extLst>
            <c:ext xmlns:c16="http://schemas.microsoft.com/office/drawing/2014/chart" uri="{C3380CC4-5D6E-409C-BE32-E72D297353CC}">
              <c16:uniqueId val="{00000003-4F65-46AE-9802-33206E5D1820}"/>
            </c:ext>
          </c:extLst>
        </c:ser>
        <c:ser>
          <c:idx val="4"/>
          <c:order val="4"/>
          <c:tx>
            <c:strRef>
              <c:f>'Model (2)'!$J$17</c:f>
              <c:strCache>
                <c:ptCount val="1"/>
                <c:pt idx="0">
                  <c:v>Type 1 symptomatic</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(2)'!$J$18:$J$58</c:f>
              <c:numCache>
                <c:formatCode>_-* #,##0.0000_-;\-* #,##0.0000_-;_-* "-"??_-;_-@_-</c:formatCode>
                <c:ptCount val="41"/>
                <c:pt idx="0">
                  <c:v>0</c:v>
                </c:pt>
                <c:pt idx="1">
                  <c:v>0.89411685320111889</c:v>
                </c:pt>
                <c:pt idx="2">
                  <c:v>0.89265377510040156</c:v>
                </c:pt>
                <c:pt idx="3">
                  <c:v>0.89253772256573338</c:v>
                </c:pt>
                <c:pt idx="4">
                  <c:v>0.89242168511887543</c:v>
                </c:pt>
                <c:pt idx="5">
                  <c:v>0.89236144462194456</c:v>
                </c:pt>
                <c:pt idx="6">
                  <c:v>0.89230120819138448</c:v>
                </c:pt>
                <c:pt idx="7">
                  <c:v>0.89225213027525418</c:v>
                </c:pt>
                <c:pt idx="8">
                  <c:v>0.89220305505848352</c:v>
                </c:pt>
                <c:pt idx="9">
                  <c:v>0.89216067440680391</c:v>
                </c:pt>
                <c:pt idx="10">
                  <c:v>0.89211829576825308</c:v>
                </c:pt>
                <c:pt idx="11">
                  <c:v>0.89208037993495437</c:v>
                </c:pt>
                <c:pt idx="12">
                  <c:v>0.89204246571311285</c:v>
                </c:pt>
                <c:pt idx="13">
                  <c:v>0.89200901349340778</c:v>
                </c:pt>
                <c:pt idx="14">
                  <c:v>0.89197556252818444</c:v>
                </c:pt>
                <c:pt idx="15">
                  <c:v>0.8919465728513124</c:v>
                </c:pt>
                <c:pt idx="16">
                  <c:v>0.89191758411662014</c:v>
                </c:pt>
                <c:pt idx="17">
                  <c:v>0.89188859632407702</c:v>
                </c:pt>
                <c:pt idx="18">
                  <c:v>0.8918596094736525</c:v>
                </c:pt>
                <c:pt idx="19">
                  <c:v>0.89183062356531595</c:v>
                </c:pt>
                <c:pt idx="20">
                  <c:v>0.89180163859903672</c:v>
                </c:pt>
                <c:pt idx="21">
                  <c:v>0.89177042499543813</c:v>
                </c:pt>
                <c:pt idx="22">
                  <c:v>0.89173921248433474</c:v>
                </c:pt>
                <c:pt idx="23">
                  <c:v>0.89170354220241554</c:v>
                </c:pt>
                <c:pt idx="24">
                  <c:v>0.8916678733473361</c:v>
                </c:pt>
                <c:pt idx="25">
                  <c:v>0.89162551811739155</c:v>
                </c:pt>
                <c:pt idx="26">
                  <c:v>0.89158316489936817</c:v>
                </c:pt>
                <c:pt idx="27">
                  <c:v>0.89152966830452818</c:v>
                </c:pt>
                <c:pt idx="28">
                  <c:v>0.8914761749195802</c:v>
                </c:pt>
                <c:pt idx="29">
                  <c:v>0.89140708283860204</c:v>
                </c:pt>
                <c:pt idx="30">
                  <c:v>0.89133799611246767</c:v>
                </c:pt>
                <c:pt idx="31">
                  <c:v>0.89125108642079265</c:v>
                </c:pt>
                <c:pt idx="32">
                  <c:v>0.89116418520322571</c:v>
                </c:pt>
                <c:pt idx="33">
                  <c:v>0.89105501090320283</c:v>
                </c:pt>
                <c:pt idx="34">
                  <c:v>0.89094584997785087</c:v>
                </c:pt>
                <c:pt idx="35">
                  <c:v>0.89081442577172898</c:v>
                </c:pt>
                <c:pt idx="36">
                  <c:v>0.89068302095210738</c:v>
                </c:pt>
                <c:pt idx="37">
                  <c:v>0.89053159196598741</c:v>
                </c:pt>
                <c:pt idx="38">
                  <c:v>0.89038018872498359</c:v>
                </c:pt>
                <c:pt idx="39">
                  <c:v>0.89021100041470913</c:v>
                </c:pt>
                <c:pt idx="40">
                  <c:v>0.89004184425326804</c:v>
                </c:pt>
              </c:numCache>
            </c:numRef>
          </c:yVal>
          <c:smooth val="1"/>
          <c:extLst>
            <c:ext xmlns:c16="http://schemas.microsoft.com/office/drawing/2014/chart" uri="{C3380CC4-5D6E-409C-BE32-E72D297353CC}">
              <c16:uniqueId val="{00000004-4F65-46AE-9802-33206E5D1820}"/>
            </c:ext>
          </c:extLst>
        </c:ser>
        <c:ser>
          <c:idx val="5"/>
          <c:order val="5"/>
          <c:tx>
            <c:strRef>
              <c:f>'Model (2)'!$K$17</c:f>
              <c:strCache>
                <c:ptCount val="1"/>
                <c:pt idx="0">
                  <c:v>Type 2 symptomatic</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(2)'!$K$18:$K$58</c:f>
              <c:numCache>
                <c:formatCode>_-* #,##0.0000_-;\-* #,##0.0000_-;_-* "-"??_-;_-@_-</c:formatCode>
                <c:ptCount val="41"/>
                <c:pt idx="0">
                  <c:v>0</c:v>
                </c:pt>
                <c:pt idx="1">
                  <c:v>0</c:v>
                </c:pt>
                <c:pt idx="2">
                  <c:v>7.6055702811244977E-2</c:v>
                </c:pt>
                <c:pt idx="3">
                  <c:v>7.6045814927125269E-2</c:v>
                </c:pt>
                <c:pt idx="4">
                  <c:v>7.6035928328514052E-2</c:v>
                </c:pt>
                <c:pt idx="5">
                  <c:v>7.6030795730120837E-2</c:v>
                </c:pt>
                <c:pt idx="6">
                  <c:v>7.6025663478189703E-2</c:v>
                </c:pt>
                <c:pt idx="7">
                  <c:v>7.602148195170326E-2</c:v>
                </c:pt>
                <c:pt idx="8">
                  <c:v>7.6017300655207093E-2</c:v>
                </c:pt>
                <c:pt idx="9">
                  <c:v>7.6013689747664884E-2</c:v>
                </c:pt>
                <c:pt idx="10">
                  <c:v>7.601007901164486E-2</c:v>
                </c:pt>
                <c:pt idx="11">
                  <c:v>7.6006848514637348E-2</c:v>
                </c:pt>
                <c:pt idx="12">
                  <c:v>7.600361815492887E-2</c:v>
                </c:pt>
                <c:pt idx="13">
                  <c:v>7.6000767965806015E-2</c:v>
                </c:pt>
                <c:pt idx="14">
                  <c:v>7.5997917883567259E-2</c:v>
                </c:pt>
                <c:pt idx="15">
                  <c:v>7.5995447911098343E-2</c:v>
                </c:pt>
                <c:pt idx="16">
                  <c:v>7.5992978018904825E-2</c:v>
                </c:pt>
                <c:pt idx="17">
                  <c:v>7.5990508206984109E-2</c:v>
                </c:pt>
                <c:pt idx="18">
                  <c:v>7.5988038475333586E-2</c:v>
                </c:pt>
                <c:pt idx="19">
                  <c:v>7.5985568823950647E-2</c:v>
                </c:pt>
                <c:pt idx="20">
                  <c:v>7.5983099252832684E-2</c:v>
                </c:pt>
                <c:pt idx="21">
                  <c:v>7.5980439797817559E-2</c:v>
                </c:pt>
                <c:pt idx="22">
                  <c:v>7.597778043588499E-2</c:v>
                </c:pt>
                <c:pt idx="23">
                  <c:v>7.59747412638829E-2</c:v>
                </c:pt>
                <c:pt idx="24">
                  <c:v>7.5971702213450121E-2</c:v>
                </c:pt>
                <c:pt idx="25">
                  <c:v>7.5968093471885337E-2</c:v>
                </c:pt>
                <c:pt idx="26">
                  <c:v>7.5964484901739848E-2</c:v>
                </c:pt>
                <c:pt idx="27">
                  <c:v>7.5959926895901461E-2</c:v>
                </c:pt>
                <c:pt idx="28">
                  <c:v>7.5955369163551639E-2</c:v>
                </c:pt>
                <c:pt idx="29">
                  <c:v>7.5949482394320325E-2</c:v>
                </c:pt>
                <c:pt idx="30">
                  <c:v>7.5943596081331305E-2</c:v>
                </c:pt>
                <c:pt idx="31">
                  <c:v>7.5936191219708765E-2</c:v>
                </c:pt>
                <c:pt idx="32">
                  <c:v>7.5928787080095442E-2</c:v>
                </c:pt>
                <c:pt idx="33">
                  <c:v>7.5919485233905154E-2</c:v>
                </c:pt>
                <c:pt idx="34">
                  <c:v>7.5910184527260824E-2</c:v>
                </c:pt>
                <c:pt idx="35">
                  <c:v>7.5898986949160752E-2</c:v>
                </c:pt>
                <c:pt idx="36">
                  <c:v>7.5887791022825279E-2</c:v>
                </c:pt>
                <c:pt idx="37">
                  <c:v>7.5874889001586357E-2</c:v>
                </c:pt>
                <c:pt idx="38">
                  <c:v>7.5861989173877514E-2</c:v>
                </c:pt>
                <c:pt idx="39">
                  <c:v>7.5847574026365341E-2</c:v>
                </c:pt>
                <c:pt idx="40">
                  <c:v>7.5833161617991432E-2</c:v>
                </c:pt>
              </c:numCache>
            </c:numRef>
          </c:yVal>
          <c:smooth val="1"/>
          <c:extLst>
            <c:ext xmlns:c16="http://schemas.microsoft.com/office/drawing/2014/chart" uri="{C3380CC4-5D6E-409C-BE32-E72D297353CC}">
              <c16:uniqueId val="{00000005-4F65-46AE-9802-33206E5D1820}"/>
            </c:ext>
          </c:extLst>
        </c:ser>
        <c:ser>
          <c:idx val="6"/>
          <c:order val="6"/>
          <c:tx>
            <c:strRef>
              <c:f>'Model (2)'!$L$17</c:f>
              <c:strCache>
                <c:ptCount val="1"/>
                <c:pt idx="0">
                  <c:v>Type 3a symptomatic</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(2)'!$L$18:$L$58</c:f>
              <c:numCache>
                <c:formatCode>_-* #,##0.0000_-;\-* #,##0.0000_-;_-* "-"??_-;_-@_-</c:formatCode>
                <c:ptCount val="41"/>
                <c:pt idx="0">
                  <c:v>0</c:v>
                </c:pt>
                <c:pt idx="1">
                  <c:v>0</c:v>
                </c:pt>
                <c:pt idx="2">
                  <c:v>0</c:v>
                </c:pt>
                <c:pt idx="3">
                  <c:v>0</c:v>
                </c:pt>
                <c:pt idx="4">
                  <c:v>0</c:v>
                </c:pt>
                <c:pt idx="5">
                  <c:v>8.0032416558021933E-3</c:v>
                </c:pt>
                <c:pt idx="6">
                  <c:v>8.0027014187568114E-3</c:v>
                </c:pt>
                <c:pt idx="7">
                  <c:v>8.0022612580740275E-3</c:v>
                </c:pt>
                <c:pt idx="8">
                  <c:v>8.0018211216007478E-3</c:v>
                </c:pt>
                <c:pt idx="9">
                  <c:v>8.0014410260699897E-3</c:v>
                </c:pt>
                <c:pt idx="10">
                  <c:v>8.0010609485941971E-3</c:v>
                </c:pt>
                <c:pt idx="11">
                  <c:v>8.0007208962776157E-3</c:v>
                </c:pt>
                <c:pt idx="12">
                  <c:v>8.0003808584135656E-3</c:v>
                </c:pt>
                <c:pt idx="13">
                  <c:v>8.0000808385058964E-3</c:v>
                </c:pt>
                <c:pt idx="14">
                  <c:v>7.9997808298491856E-3</c:v>
                </c:pt>
                <c:pt idx="15">
                  <c:v>7.9995208327471937E-3</c:v>
                </c:pt>
                <c:pt idx="16">
                  <c:v>7.9992608440952444E-3</c:v>
                </c:pt>
                <c:pt idx="17">
                  <c:v>7.9990008638930639E-3</c:v>
                </c:pt>
                <c:pt idx="18">
                  <c:v>7.9987408921403779E-3</c:v>
                </c:pt>
                <c:pt idx="19">
                  <c:v>7.9984809288369107E-3</c:v>
                </c:pt>
                <c:pt idx="20">
                  <c:v>7.9982209739823881E-3</c:v>
                </c:pt>
                <c:pt idx="21">
                  <c:v>7.9979410313492164E-3</c:v>
                </c:pt>
                <c:pt idx="22">
                  <c:v>7.9976610985142086E-3</c:v>
                </c:pt>
                <c:pt idx="23">
                  <c:v>7.9973411856718839E-3</c:v>
                </c:pt>
                <c:pt idx="24">
                  <c:v>7.9970212856263281E-3</c:v>
                </c:pt>
                <c:pt idx="25">
                  <c:v>7.9966414180931925E-3</c:v>
                </c:pt>
                <c:pt idx="26">
                  <c:v>7.9962615686041943E-3</c:v>
                </c:pt>
                <c:pt idx="27">
                  <c:v>7.9957817785159431E-3</c:v>
                </c:pt>
                <c:pt idx="28">
                  <c:v>7.9953020172159606E-3</c:v>
                </c:pt>
                <c:pt idx="29">
                  <c:v>7.9946823572968739E-3</c:v>
                </c:pt>
                <c:pt idx="30">
                  <c:v>7.9940627454032926E-3</c:v>
                </c:pt>
                <c:pt idx="31">
                  <c:v>7.9932832862851314E-3</c:v>
                </c:pt>
                <c:pt idx="32">
                  <c:v>7.9925039031679395E-3</c:v>
                </c:pt>
                <c:pt idx="33">
                  <c:v>7.9915247614636975E-3</c:v>
                </c:pt>
                <c:pt idx="34">
                  <c:v>7.9905457397116617E-3</c:v>
                </c:pt>
                <c:pt idx="35">
                  <c:v>7.9893670472800746E-3</c:v>
                </c:pt>
                <c:pt idx="36">
                  <c:v>7.988188528718446E-3</c:v>
                </c:pt>
                <c:pt idx="37">
                  <c:v>7.9868304212196133E-3</c:v>
                </c:pt>
                <c:pt idx="38">
                  <c:v>7.9854725446186822E-3</c:v>
                </c:pt>
                <c:pt idx="39">
                  <c:v>7.983955160670032E-3</c:v>
                </c:pt>
                <c:pt idx="40">
                  <c:v>7.9824380650517258E-3</c:v>
                </c:pt>
              </c:numCache>
            </c:numRef>
          </c:yVal>
          <c:smooth val="1"/>
          <c:extLst>
            <c:ext xmlns:c16="http://schemas.microsoft.com/office/drawing/2014/chart" uri="{C3380CC4-5D6E-409C-BE32-E72D297353CC}">
              <c16:uniqueId val="{00000006-4F65-46AE-9802-33206E5D1820}"/>
            </c:ext>
          </c:extLst>
        </c:ser>
        <c:ser>
          <c:idx val="7"/>
          <c:order val="7"/>
          <c:tx>
            <c:strRef>
              <c:f>'Model (2)'!$N$17</c:f>
              <c:strCache>
                <c:ptCount val="1"/>
                <c:pt idx="0">
                  <c:v>Dead</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'Model (2)'!$E$18:$E$58</c:f>
              <c:numCache>
                <c:formatCode>General</c:formatCode>
                <c:ptCount val="4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numCache>
            </c:numRef>
          </c:xVal>
          <c:yVal>
            <c:numRef>
              <c:f>'Model (2)'!$N$18:$N$58</c:f>
              <c:numCache>
                <c:formatCode>_-* #,##0.0000_-;\-* #,##0.0000_-;_-* "-"??_-;_-@_-</c:formatCode>
                <c:ptCount val="41"/>
                <c:pt idx="0">
                  <c:v>0</c:v>
                </c:pt>
                <c:pt idx="1">
                  <c:v>1.6363388023380443E-3</c:v>
                </c:pt>
                <c:pt idx="2">
                  <c:v>3.2700000000000515E-3</c:v>
                </c:pt>
                <c:pt idx="3">
                  <c:v>3.399583323463632E-3</c:v>
                </c:pt>
                <c:pt idx="4">
                  <c:v>3.5291498000000407E-3</c:v>
                </c:pt>
                <c:pt idx="5">
                  <c:v>3.5964138526269397E-3</c:v>
                </c:pt>
                <c:pt idx="6">
                  <c:v>3.6636733647770398E-3</c:v>
                </c:pt>
                <c:pt idx="7">
                  <c:v>3.7184733697835635E-3</c:v>
                </c:pt>
                <c:pt idx="8">
                  <c:v>3.7732703607069222E-3</c:v>
                </c:pt>
                <c:pt idx="9">
                  <c:v>3.8205922542863947E-3</c:v>
                </c:pt>
                <c:pt idx="10">
                  <c:v>3.8679119000225347E-3</c:v>
                </c:pt>
                <c:pt idx="11">
                  <c:v>3.9102484134368055E-3</c:v>
                </c:pt>
                <c:pt idx="12">
                  <c:v>3.9525831275110199E-3</c:v>
                </c:pt>
                <c:pt idx="13">
                  <c:v>3.9899356060158131E-3</c:v>
                </c:pt>
                <c:pt idx="14">
                  <c:v>4.0272866837763972E-3</c:v>
                </c:pt>
                <c:pt idx="15">
                  <c:v>4.0596563229743816E-3</c:v>
                </c:pt>
                <c:pt idx="16">
                  <c:v>4.092024910141997E-3</c:v>
                </c:pt>
                <c:pt idx="17">
                  <c:v>4.1243924453134339E-3</c:v>
                </c:pt>
                <c:pt idx="18">
                  <c:v>4.1567589285228827E-3</c:v>
                </c:pt>
                <c:pt idx="19">
                  <c:v>4.1891243598045332E-3</c:v>
                </c:pt>
                <c:pt idx="20">
                  <c:v>4.2214887391925741E-3</c:v>
                </c:pt>
                <c:pt idx="21">
                  <c:v>4.2563415970224353E-3</c:v>
                </c:pt>
                <c:pt idx="22">
                  <c:v>4.291193234980924E-3</c:v>
                </c:pt>
                <c:pt idx="23">
                  <c:v>4.3310223838504023E-3</c:v>
                </c:pt>
                <c:pt idx="24">
                  <c:v>4.3708499395220613E-3</c:v>
                </c:pt>
                <c:pt idx="25">
                  <c:v>4.4181434473973633E-3</c:v>
                </c:pt>
                <c:pt idx="26">
                  <c:v>4.4654347087776857E-3</c:v>
                </c:pt>
                <c:pt idx="27">
                  <c:v>4.5251685747649062E-3</c:v>
                </c:pt>
                <c:pt idx="28">
                  <c:v>4.5848988566126398E-3</c:v>
                </c:pt>
                <c:pt idx="29">
                  <c:v>4.662046516538898E-3</c:v>
                </c:pt>
                <c:pt idx="30">
                  <c:v>4.7391881972898104E-3</c:v>
                </c:pt>
                <c:pt idx="31">
                  <c:v>4.8362308575009196E-3</c:v>
                </c:pt>
                <c:pt idx="32">
                  <c:v>4.9332640555913576E-3</c:v>
                </c:pt>
                <c:pt idx="33">
                  <c:v>5.0551671977694156E-3</c:v>
                </c:pt>
                <c:pt idx="34">
                  <c:v>5.1770554058977909E-3</c:v>
                </c:pt>
                <c:pt idx="35">
                  <c:v>5.3238026136303183E-3</c:v>
                </c:pt>
                <c:pt idx="36">
                  <c:v>5.4705281745531355E-3</c:v>
                </c:pt>
                <c:pt idx="37">
                  <c:v>5.6396125581579006E-3</c:v>
                </c:pt>
                <c:pt idx="38">
                  <c:v>5.8086681949737684E-3</c:v>
                </c:pt>
                <c:pt idx="39">
                  <c:v>5.9975824965806668E-3</c:v>
                </c:pt>
                <c:pt idx="40">
                  <c:v>6.1864609010597081E-3</c:v>
                </c:pt>
              </c:numCache>
            </c:numRef>
          </c:yVal>
          <c:smooth val="1"/>
          <c:extLst>
            <c:ext xmlns:c16="http://schemas.microsoft.com/office/drawing/2014/chart" uri="{C3380CC4-5D6E-409C-BE32-E72D297353CC}">
              <c16:uniqueId val="{00000007-4F65-46AE-9802-33206E5D1820}"/>
            </c:ext>
          </c:extLst>
        </c:ser>
        <c:dLbls>
          <c:showLegendKey val="0"/>
          <c:showVal val="0"/>
          <c:showCatName val="0"/>
          <c:showSerName val="0"/>
          <c:showPercent val="0"/>
          <c:showBubbleSize val="0"/>
        </c:dLbls>
        <c:axId val="361841824"/>
        <c:axId val="361846136"/>
      </c:scatterChart>
      <c:valAx>
        <c:axId val="361841824"/>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846136"/>
        <c:crosses val="autoZero"/>
        <c:crossBetween val="midCat"/>
      </c:valAx>
      <c:valAx>
        <c:axId val="36184613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_-* #,##0.0000_-;\-* #,##0.0000_-;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84182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2126-B4E7-4026-A2D1-049C8C51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15123</Words>
  <Characters>84604</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2020-10-27T09:56:00Z</dcterms:created>
  <dcterms:modified xsi:type="dcterms:W3CDTF">2020-10-27T09:56:00Z</dcterms:modified>
</cp:coreProperties>
</file>