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FA20B4" w:rsidRDefault="00FA20B4" w:rsidP="004027BA">
      <w:pPr>
        <w:pStyle w:val="1MainTitle"/>
        <w:jc w:val="left"/>
      </w:pPr>
      <w:r>
        <w:rPr>
          <w:rFonts w:eastAsia="Calibri"/>
          <w:lang w:eastAsia="en-US"/>
        </w:rPr>
        <w:t>6.09</w:t>
      </w:r>
      <w:r w:rsidR="00BF27A0" w:rsidRPr="00BF27A0">
        <w:rPr>
          <w:rFonts w:eastAsia="Calibri"/>
          <w:lang w:eastAsia="en-US"/>
        </w:rPr>
        <w:tab/>
      </w:r>
      <w:r w:rsidRPr="00DB4C97">
        <w:t>INACTIVATED</w:t>
      </w:r>
      <w:r w:rsidRPr="007F2BDD">
        <w:t xml:space="preserve"> QUADRIVALENT INFLUENZA VACCINE </w:t>
      </w:r>
      <w:r w:rsidRPr="00DB4C97">
        <w:t>(SPLIT VIRION)</w:t>
      </w:r>
      <w:r w:rsidR="003658B1" w:rsidRPr="00DB4C97">
        <w:t xml:space="preserve">, </w:t>
      </w:r>
      <w:r w:rsidRPr="00DB4C97">
        <w:br/>
        <w:t>Injection 0.5 mL</w:t>
      </w:r>
      <w:r w:rsidR="00BF27A0" w:rsidRPr="00BF27A0">
        <w:rPr>
          <w:rFonts w:eastAsia="Calibri"/>
          <w:lang w:eastAsia="en-US"/>
        </w:rPr>
        <w:t>,</w:t>
      </w:r>
      <w:r w:rsidR="00F82E5C">
        <w:rPr>
          <w:rFonts w:eastAsia="Calibri"/>
          <w:lang w:eastAsia="en-US"/>
        </w:rPr>
        <w:t xml:space="preserve"> </w:t>
      </w:r>
      <w:r w:rsidR="005E0D82">
        <w:rPr>
          <w:rFonts w:eastAsia="Calibri"/>
          <w:lang w:eastAsia="en-US"/>
        </w:rPr>
        <w:br/>
      </w:r>
      <w:r>
        <w:rPr>
          <w:rFonts w:eastAsia="Calibri"/>
          <w:lang w:eastAsia="en-US"/>
        </w:rPr>
        <w:t>Fluarix</w:t>
      </w:r>
      <w:r w:rsidR="00B9142C">
        <w:rPr>
          <w:rFonts w:eastAsia="Calibri"/>
          <w:lang w:eastAsia="en-US"/>
        </w:rPr>
        <w:t>® Tetra</w:t>
      </w:r>
      <w:r w:rsidR="003658B1" w:rsidRPr="00BF27A0">
        <w:rPr>
          <w:rFonts w:eastAsia="Calibri"/>
          <w:lang w:eastAsia="en-US"/>
        </w:rPr>
        <w:t xml:space="preserve">, </w:t>
      </w:r>
      <w:r w:rsidR="005E0D82">
        <w:rPr>
          <w:rFonts w:eastAsia="Calibri"/>
          <w:lang w:eastAsia="en-US"/>
        </w:rPr>
        <w:br/>
      </w:r>
      <w:r w:rsidRPr="00FA20B4">
        <w:t>GlaxoSmithKline Australia Pty Ltd</w:t>
      </w:r>
    </w:p>
    <w:p w:rsidR="008A50F1" w:rsidRPr="00D4572C" w:rsidRDefault="00CE10C4" w:rsidP="007C7625">
      <w:pPr>
        <w:pStyle w:val="2-SectionHeading"/>
        <w:jc w:val="both"/>
      </w:pPr>
      <w:r w:rsidRPr="0033263D">
        <w:t xml:space="preserve">Purpose of </w:t>
      </w:r>
      <w:r w:rsidR="0004240E" w:rsidRPr="0033263D">
        <w:t>Application</w:t>
      </w:r>
      <w:r w:rsidR="00034905">
        <w:t xml:space="preserve"> </w:t>
      </w:r>
    </w:p>
    <w:p w:rsidR="006A12A5" w:rsidRPr="00504B9D" w:rsidRDefault="00EF44A0" w:rsidP="004A083C">
      <w:pPr>
        <w:pStyle w:val="3Bodytext"/>
      </w:pPr>
      <w:r w:rsidRPr="00E7067E">
        <w:t>The mi</w:t>
      </w:r>
      <w:r w:rsidR="00FF2801" w:rsidRPr="00E7067E">
        <w:t>nor submission requested</w:t>
      </w:r>
      <w:r w:rsidR="003178E8" w:rsidRPr="00E7067E">
        <w:t xml:space="preserve"> </w:t>
      </w:r>
      <w:r w:rsidR="005A2189" w:rsidRPr="00E7067E">
        <w:t xml:space="preserve">an extension to the current listing of </w:t>
      </w:r>
      <w:bookmarkStart w:id="0" w:name="_GoBack"/>
      <w:r w:rsidR="004B3784" w:rsidRPr="00E7067E">
        <w:t xml:space="preserve">inactivated </w:t>
      </w:r>
      <w:r w:rsidR="003178E8" w:rsidRPr="00E7067E">
        <w:t>quadrivalent influenza vaccine</w:t>
      </w:r>
      <w:bookmarkEnd w:id="0"/>
      <w:r w:rsidR="003178E8" w:rsidRPr="00E7067E">
        <w:t xml:space="preserve"> (QIV)</w:t>
      </w:r>
      <w:r w:rsidR="00D04974">
        <w:t>,</w:t>
      </w:r>
      <w:r w:rsidR="003178E8" w:rsidRPr="00E7067E">
        <w:t xml:space="preserve"> </w:t>
      </w:r>
      <w:r w:rsidR="00C72C96" w:rsidRPr="00E7067E">
        <w:t>Fluarix Tetra</w:t>
      </w:r>
      <w:r w:rsidR="00D04974">
        <w:t>,</w:t>
      </w:r>
      <w:r w:rsidR="00C72C96" w:rsidRPr="00E7067E">
        <w:t xml:space="preserve"> </w:t>
      </w:r>
      <w:r w:rsidR="009A20AC" w:rsidRPr="00E7067E">
        <w:t xml:space="preserve">on Schedule 1 (Designated vaccines and circumstances in which vaccines may be provided) of the </w:t>
      </w:r>
      <w:r w:rsidR="005A2189" w:rsidRPr="00D04974">
        <w:rPr>
          <w:i/>
          <w:iCs/>
        </w:rPr>
        <w:t>National Health (Immunisation Program – Designated Vaccines) Determination 2014 (No.1)</w:t>
      </w:r>
      <w:r w:rsidR="005A2189" w:rsidRPr="00E7067E">
        <w:t xml:space="preserve"> (the Determination)</w:t>
      </w:r>
      <w:r w:rsidR="009A20AC" w:rsidRPr="00E7067E">
        <w:t>. The submission reque</w:t>
      </w:r>
      <w:r w:rsidR="00D64368" w:rsidRPr="00E7067E">
        <w:t>sted exten</w:t>
      </w:r>
      <w:r w:rsidR="00743090" w:rsidRPr="00E7067E">
        <w:t>ding</w:t>
      </w:r>
      <w:r w:rsidR="00D64368" w:rsidRPr="00E7067E">
        <w:t xml:space="preserve"> the existing </w:t>
      </w:r>
      <w:r w:rsidR="009A20AC" w:rsidRPr="00E7067E">
        <w:t xml:space="preserve">Determination to include vaccination of </w:t>
      </w:r>
      <w:r w:rsidR="003178E8" w:rsidRPr="00E7067E">
        <w:t>healthy children aged 6 months to &lt;5 years</w:t>
      </w:r>
      <w:r w:rsidR="00504B9D" w:rsidRPr="00504B9D">
        <w:rPr>
          <w:lang w:bidi="en-US"/>
        </w:rPr>
        <w:t xml:space="preserve"> </w:t>
      </w:r>
      <w:r w:rsidR="00F108EA">
        <w:rPr>
          <w:lang w:bidi="en-US"/>
        </w:rPr>
        <w:t xml:space="preserve">eligible </w:t>
      </w:r>
      <w:r w:rsidR="009A20AC">
        <w:rPr>
          <w:lang w:bidi="en-US"/>
        </w:rPr>
        <w:t xml:space="preserve">for free vaccination under </w:t>
      </w:r>
      <w:r w:rsidR="00F108EA" w:rsidRPr="00504B9D">
        <w:t xml:space="preserve">the </w:t>
      </w:r>
      <w:r w:rsidR="00F108EA" w:rsidRPr="004A083C">
        <w:t>National</w:t>
      </w:r>
      <w:r w:rsidR="00F108EA" w:rsidRPr="00504B9D">
        <w:t xml:space="preserve"> Immunisation Program (NIP)</w:t>
      </w:r>
      <w:r w:rsidR="009A20AC">
        <w:t>. This would</w:t>
      </w:r>
      <w:r w:rsidR="009A20AC">
        <w:rPr>
          <w:lang w:bidi="en-US"/>
        </w:rPr>
        <w:t xml:space="preserve"> align</w:t>
      </w:r>
      <w:r w:rsidR="00504B9D" w:rsidRPr="00504B9D">
        <w:rPr>
          <w:lang w:bidi="en-US"/>
        </w:rPr>
        <w:t xml:space="preserve"> with the</w:t>
      </w:r>
      <w:r w:rsidR="009A20AC">
        <w:rPr>
          <w:lang w:bidi="en-US"/>
        </w:rPr>
        <w:t xml:space="preserve"> current </w:t>
      </w:r>
      <w:r w:rsidR="002A1F4F">
        <w:rPr>
          <w:lang w:bidi="en-US"/>
        </w:rPr>
        <w:t xml:space="preserve">NIP listings </w:t>
      </w:r>
      <w:r w:rsidR="009A20AC">
        <w:rPr>
          <w:lang w:bidi="en-US"/>
        </w:rPr>
        <w:t xml:space="preserve">for </w:t>
      </w:r>
      <w:r w:rsidR="00504B9D">
        <w:rPr>
          <w:lang w:bidi="en-US"/>
        </w:rPr>
        <w:t>Vaxigrip Tetra</w:t>
      </w:r>
      <w:r w:rsidR="00504B9D" w:rsidRPr="00504B9D">
        <w:rPr>
          <w:vertAlign w:val="superscript"/>
          <w:lang w:bidi="en-US"/>
        </w:rPr>
        <w:t>TM</w:t>
      </w:r>
      <w:r w:rsidR="00504B9D">
        <w:rPr>
          <w:lang w:bidi="en-US"/>
        </w:rPr>
        <w:t xml:space="preserve"> and FluQuadri</w:t>
      </w:r>
      <w:r w:rsidR="00504B9D" w:rsidRPr="00504B9D">
        <w:rPr>
          <w:vertAlign w:val="superscript"/>
          <w:lang w:bidi="en-US"/>
        </w:rPr>
        <w:t>TM</w:t>
      </w:r>
      <w:r w:rsidR="002A1F4F">
        <w:rPr>
          <w:lang w:bidi="en-US"/>
        </w:rPr>
        <w:t xml:space="preserve"> QIVs</w:t>
      </w:r>
      <w:r w:rsidR="00504B9D">
        <w:rPr>
          <w:lang w:bidi="en-US"/>
        </w:rPr>
        <w:t xml:space="preserve"> </w:t>
      </w:r>
      <w:r w:rsidR="00504B9D" w:rsidRPr="00504B9D">
        <w:rPr>
          <w:lang w:bidi="en-US"/>
        </w:rPr>
        <w:t>in this population</w:t>
      </w:r>
      <w:r w:rsidR="00F108EA">
        <w:rPr>
          <w:lang w:bidi="en-US"/>
        </w:rPr>
        <w:t xml:space="preserve">. </w:t>
      </w:r>
    </w:p>
    <w:p w:rsidR="00A01432" w:rsidRPr="00FD6D8E" w:rsidRDefault="00A01432" w:rsidP="007C7625">
      <w:pPr>
        <w:pStyle w:val="2-SectionHeading"/>
        <w:jc w:val="both"/>
      </w:pPr>
      <w:r w:rsidRPr="009E2E8E">
        <w:t>Background</w:t>
      </w:r>
      <w:r>
        <w:t xml:space="preserve"> </w:t>
      </w:r>
    </w:p>
    <w:p w:rsidR="00A01432" w:rsidRDefault="00A01432" w:rsidP="007C7625">
      <w:pPr>
        <w:pStyle w:val="4-SubsectionHeading"/>
      </w:pPr>
      <w:r>
        <w:t>Registration</w:t>
      </w:r>
      <w:r w:rsidRPr="009324A6">
        <w:t xml:space="preserve"> status</w:t>
      </w:r>
    </w:p>
    <w:p w:rsidR="00A01432" w:rsidRPr="00E36570" w:rsidRDefault="00BD6C81" w:rsidP="004A083C">
      <w:pPr>
        <w:pStyle w:val="3Bodytext"/>
      </w:pPr>
      <w:r w:rsidRPr="002A77FB">
        <w:t>Fluarix Tetra</w:t>
      </w:r>
      <w:r w:rsidR="00A01432" w:rsidRPr="002A77FB">
        <w:t xml:space="preserve"> was</w:t>
      </w:r>
      <w:r w:rsidR="002A77FB" w:rsidRPr="002A77FB">
        <w:t xml:space="preserve"> TGA registered on 28 August 2013 for active immunisation of adults and children from </w:t>
      </w:r>
      <w:r w:rsidR="002A77FB">
        <w:t>3</w:t>
      </w:r>
      <w:r w:rsidR="002A77FB" w:rsidRPr="002A77FB">
        <w:t xml:space="preserve"> years of age </w:t>
      </w:r>
      <w:r w:rsidR="002A77FB" w:rsidRPr="00504B9D">
        <w:t xml:space="preserve">for the prevention of </w:t>
      </w:r>
      <w:r w:rsidR="005E02BF">
        <w:t xml:space="preserve">seasonal </w:t>
      </w:r>
      <w:r w:rsidR="002A77FB" w:rsidRPr="00504B9D">
        <w:t>influenza</w:t>
      </w:r>
      <w:r w:rsidR="002A77FB" w:rsidRPr="002A77FB">
        <w:t xml:space="preserve"> disease caused by the influenza virus types A and </w:t>
      </w:r>
      <w:r w:rsidR="002A77FB">
        <w:t xml:space="preserve">B contained in the vaccine. In May 2018, </w:t>
      </w:r>
      <w:r w:rsidR="00ED3B93" w:rsidRPr="002A77FB">
        <w:t xml:space="preserve">the TGA </w:t>
      </w:r>
      <w:r w:rsidR="002A77FB">
        <w:t xml:space="preserve">approved </w:t>
      </w:r>
      <w:r w:rsidR="00F43484" w:rsidRPr="002A77FB">
        <w:t xml:space="preserve">Fluarix Tetra </w:t>
      </w:r>
      <w:r w:rsidRPr="002A77FB">
        <w:t>for use in infants and yo</w:t>
      </w:r>
      <w:r w:rsidR="003B441C">
        <w:t xml:space="preserve">ung children 6 to </w:t>
      </w:r>
      <w:r w:rsidR="00042504" w:rsidRPr="002A77FB">
        <w:t>35 months of age</w:t>
      </w:r>
      <w:r w:rsidR="00A01432" w:rsidRPr="002A77FB">
        <w:t xml:space="preserve">. </w:t>
      </w:r>
      <w:r w:rsidR="00AC6989" w:rsidRPr="002A77FB">
        <w:t xml:space="preserve">This extension of the age indication enables Fluarix Tetra to be administered to adults and children from the age of 6 </w:t>
      </w:r>
      <w:r w:rsidR="00F43484">
        <w:t>months.</w:t>
      </w:r>
    </w:p>
    <w:p w:rsidR="00A01432" w:rsidRDefault="00A01432" w:rsidP="007C7625">
      <w:pPr>
        <w:pStyle w:val="4-SubsectionHeading"/>
      </w:pPr>
      <w:r w:rsidRPr="0012749D">
        <w:t xml:space="preserve">Previous PBAC consideration </w:t>
      </w:r>
    </w:p>
    <w:p w:rsidR="00A829E0" w:rsidRPr="0012749D" w:rsidRDefault="00A829E0" w:rsidP="004A083C">
      <w:pPr>
        <w:pStyle w:val="3Bodytext"/>
        <w:rPr>
          <w:lang w:eastAsia="en-US"/>
        </w:rPr>
      </w:pPr>
      <w:r w:rsidRPr="0012749D">
        <w:rPr>
          <w:lang w:eastAsia="en-US"/>
        </w:rPr>
        <w:t xml:space="preserve">A summary of </w:t>
      </w:r>
      <w:r w:rsidR="00941CAB" w:rsidRPr="0012749D">
        <w:rPr>
          <w:lang w:eastAsia="en-US"/>
        </w:rPr>
        <w:t xml:space="preserve">relevant </w:t>
      </w:r>
      <w:r w:rsidRPr="0012749D">
        <w:rPr>
          <w:lang w:eastAsia="en-US"/>
        </w:rPr>
        <w:t>prior PBAC considerations is provided below.</w:t>
      </w:r>
    </w:p>
    <w:p w:rsidR="00A829E0" w:rsidRPr="0001408E" w:rsidRDefault="0001408E" w:rsidP="004A083C">
      <w:pPr>
        <w:pStyle w:val="TableFigureHeading"/>
        <w:rPr>
          <w:i/>
          <w:iCs/>
        </w:rPr>
      </w:pPr>
      <w:r w:rsidRPr="0001408E">
        <w:lastRenderedPageBreak/>
        <w:t xml:space="preserve">Table </w:t>
      </w:r>
      <w:r w:rsidR="002D72D4">
        <w:rPr>
          <w:noProof/>
        </w:rPr>
        <w:t>1</w:t>
      </w:r>
      <w:r w:rsidRPr="0001408E">
        <w:t>: Previous relevant PBAC considerations</w:t>
      </w:r>
    </w:p>
    <w:tbl>
      <w:tblPr>
        <w:tblStyle w:val="TableGrid"/>
        <w:tblW w:w="5000" w:type="pct"/>
        <w:tblLook w:val="04A0" w:firstRow="1" w:lastRow="0" w:firstColumn="1" w:lastColumn="0" w:noHBand="0" w:noVBand="1"/>
        <w:tblCaption w:val="Table 1: Previous relevant PBAC considerations"/>
      </w:tblPr>
      <w:tblGrid>
        <w:gridCol w:w="1699"/>
        <w:gridCol w:w="2950"/>
        <w:gridCol w:w="1329"/>
        <w:gridCol w:w="3038"/>
      </w:tblGrid>
      <w:tr w:rsidR="001E24F4" w:rsidRPr="00255ABC" w:rsidTr="0098015F">
        <w:trPr>
          <w:tblHeader/>
        </w:trPr>
        <w:tc>
          <w:tcPr>
            <w:tcW w:w="942" w:type="pct"/>
          </w:tcPr>
          <w:p w:rsidR="00A829E0" w:rsidRPr="004A083C" w:rsidRDefault="00A829E0" w:rsidP="007C7625">
            <w:pPr>
              <w:pStyle w:val="TableText0"/>
              <w:keepLines/>
              <w:jc w:val="both"/>
              <w:rPr>
                <w:b/>
                <w:szCs w:val="20"/>
              </w:rPr>
            </w:pPr>
            <w:r w:rsidRPr="004A083C">
              <w:rPr>
                <w:b/>
                <w:szCs w:val="20"/>
              </w:rPr>
              <w:t>Meeting date</w:t>
            </w:r>
          </w:p>
        </w:tc>
        <w:tc>
          <w:tcPr>
            <w:tcW w:w="1636" w:type="pct"/>
          </w:tcPr>
          <w:p w:rsidR="00A829E0" w:rsidRPr="004A083C" w:rsidRDefault="00A829E0" w:rsidP="007C7625">
            <w:pPr>
              <w:pStyle w:val="TableText0"/>
              <w:keepLines/>
              <w:jc w:val="both"/>
              <w:rPr>
                <w:b/>
                <w:szCs w:val="20"/>
              </w:rPr>
            </w:pPr>
            <w:r w:rsidRPr="004A083C">
              <w:rPr>
                <w:b/>
                <w:szCs w:val="20"/>
              </w:rPr>
              <w:t>Request</w:t>
            </w:r>
          </w:p>
        </w:tc>
        <w:tc>
          <w:tcPr>
            <w:tcW w:w="737" w:type="pct"/>
          </w:tcPr>
          <w:p w:rsidR="00A829E0" w:rsidRPr="004A083C" w:rsidRDefault="00A829E0" w:rsidP="007C7625">
            <w:pPr>
              <w:pStyle w:val="TableText0"/>
              <w:keepLines/>
              <w:jc w:val="both"/>
              <w:rPr>
                <w:b/>
                <w:szCs w:val="20"/>
              </w:rPr>
            </w:pPr>
            <w:r w:rsidRPr="004A083C">
              <w:rPr>
                <w:b/>
                <w:szCs w:val="20"/>
              </w:rPr>
              <w:t>Outcome</w:t>
            </w:r>
          </w:p>
        </w:tc>
        <w:tc>
          <w:tcPr>
            <w:tcW w:w="1685" w:type="pct"/>
          </w:tcPr>
          <w:p w:rsidR="00A829E0" w:rsidRPr="004A083C" w:rsidRDefault="00A829E0" w:rsidP="007C7625">
            <w:pPr>
              <w:pStyle w:val="TableText0"/>
              <w:keepLines/>
              <w:jc w:val="both"/>
              <w:rPr>
                <w:b/>
                <w:szCs w:val="20"/>
              </w:rPr>
            </w:pPr>
            <w:r w:rsidRPr="004A083C">
              <w:rPr>
                <w:b/>
                <w:szCs w:val="20"/>
              </w:rPr>
              <w:t>Detail</w:t>
            </w:r>
          </w:p>
        </w:tc>
      </w:tr>
      <w:tr w:rsidR="00802C52" w:rsidRPr="00255ABC" w:rsidTr="004A083C">
        <w:tc>
          <w:tcPr>
            <w:tcW w:w="5000" w:type="pct"/>
            <w:gridSpan w:val="4"/>
          </w:tcPr>
          <w:p w:rsidR="00802C52" w:rsidRPr="004A083C" w:rsidRDefault="00802C52" w:rsidP="007C7625">
            <w:pPr>
              <w:keepNext/>
              <w:keepLines/>
              <w:autoSpaceDE w:val="0"/>
              <w:autoSpaceDN w:val="0"/>
              <w:adjustRightInd w:val="0"/>
              <w:ind w:left="12"/>
              <w:rPr>
                <w:rFonts w:ascii="Arial Narrow" w:hAnsi="Arial Narrow" w:cs="Arial"/>
                <w:color w:val="000000"/>
                <w:sz w:val="20"/>
                <w:szCs w:val="20"/>
              </w:rPr>
            </w:pPr>
            <w:r w:rsidRPr="004A083C">
              <w:rPr>
                <w:rFonts w:ascii="Arial Narrow" w:hAnsi="Arial Narrow" w:cs="Arial"/>
                <w:color w:val="000000"/>
                <w:sz w:val="20"/>
                <w:szCs w:val="20"/>
              </w:rPr>
              <w:t>Relevant Fluarix Tetra recommendations</w:t>
            </w:r>
          </w:p>
        </w:tc>
      </w:tr>
      <w:tr w:rsidR="001E24F4" w:rsidRPr="00255ABC" w:rsidTr="004A083C">
        <w:tc>
          <w:tcPr>
            <w:tcW w:w="942" w:type="pct"/>
          </w:tcPr>
          <w:p w:rsidR="00A829E0" w:rsidRPr="004A083C" w:rsidRDefault="00A829E0" w:rsidP="007C7625">
            <w:pPr>
              <w:pStyle w:val="TableText0"/>
              <w:keepLines/>
              <w:jc w:val="both"/>
              <w:rPr>
                <w:rFonts w:cs="Arial"/>
                <w:szCs w:val="20"/>
              </w:rPr>
            </w:pPr>
            <w:r w:rsidRPr="004A083C">
              <w:rPr>
                <w:rFonts w:cs="Arial"/>
                <w:szCs w:val="20"/>
              </w:rPr>
              <w:t>March 2015</w:t>
            </w:r>
          </w:p>
        </w:tc>
        <w:tc>
          <w:tcPr>
            <w:tcW w:w="1636" w:type="pct"/>
          </w:tcPr>
          <w:p w:rsidR="00A829E0" w:rsidRPr="004A083C" w:rsidRDefault="00255ABC" w:rsidP="007C7625">
            <w:pPr>
              <w:keepNext/>
              <w:keepLines/>
              <w:autoSpaceDE w:val="0"/>
              <w:autoSpaceDN w:val="0"/>
              <w:adjustRightInd w:val="0"/>
              <w:rPr>
                <w:rFonts w:ascii="Arial Narrow" w:hAnsi="Arial Narrow" w:cs="Arial"/>
                <w:color w:val="000000"/>
                <w:sz w:val="20"/>
                <w:szCs w:val="20"/>
              </w:rPr>
            </w:pPr>
            <w:r w:rsidRPr="004A083C">
              <w:rPr>
                <w:rFonts w:ascii="Arial Narrow" w:hAnsi="Arial Narrow" w:cs="Arial"/>
                <w:color w:val="000000"/>
                <w:sz w:val="20"/>
                <w:szCs w:val="20"/>
              </w:rPr>
              <w:t xml:space="preserve">A </w:t>
            </w:r>
            <w:r w:rsidR="00A829E0" w:rsidRPr="004A083C">
              <w:rPr>
                <w:rFonts w:ascii="Arial Narrow" w:hAnsi="Arial Narrow" w:cs="Arial"/>
                <w:color w:val="000000"/>
                <w:sz w:val="20"/>
                <w:szCs w:val="20"/>
              </w:rPr>
              <w:t xml:space="preserve">listing of </w:t>
            </w:r>
            <w:r w:rsidRPr="004A083C">
              <w:rPr>
                <w:rFonts w:ascii="Arial Narrow" w:hAnsi="Arial Narrow" w:cs="Arial"/>
                <w:color w:val="000000"/>
                <w:sz w:val="20"/>
                <w:szCs w:val="20"/>
              </w:rPr>
              <w:t>Fluarix Tetra</w:t>
            </w:r>
            <w:r w:rsidR="00A829E0" w:rsidRPr="004A083C">
              <w:rPr>
                <w:rFonts w:ascii="Arial Narrow" w:hAnsi="Arial Narrow" w:cs="Arial"/>
                <w:color w:val="000000"/>
                <w:sz w:val="20"/>
                <w:szCs w:val="20"/>
              </w:rPr>
              <w:t xml:space="preserve"> on the National Immunisation Program (</w:t>
            </w:r>
            <w:r w:rsidR="00BF79BF" w:rsidRPr="004A083C">
              <w:rPr>
                <w:rFonts w:ascii="Arial Narrow" w:hAnsi="Arial Narrow" w:cs="Arial"/>
                <w:color w:val="000000"/>
                <w:sz w:val="20"/>
                <w:szCs w:val="20"/>
              </w:rPr>
              <w:t>NIP) – Designated Vaccines List</w:t>
            </w:r>
            <w:r w:rsidR="00A829E0" w:rsidRPr="004A083C">
              <w:rPr>
                <w:rFonts w:ascii="Arial Narrow" w:hAnsi="Arial Narrow" w:cs="Arial"/>
                <w:color w:val="000000"/>
                <w:sz w:val="20"/>
                <w:szCs w:val="20"/>
              </w:rPr>
              <w:t xml:space="preserve"> for the prevention of seasonal influenza</w:t>
            </w:r>
            <w:r w:rsidRPr="004A083C">
              <w:rPr>
                <w:rFonts w:ascii="Arial Narrow" w:hAnsi="Arial Narrow" w:cs="Arial"/>
                <w:color w:val="000000"/>
                <w:sz w:val="20"/>
                <w:szCs w:val="20"/>
              </w:rPr>
              <w:t xml:space="preserve">. </w:t>
            </w:r>
          </w:p>
        </w:tc>
        <w:tc>
          <w:tcPr>
            <w:tcW w:w="737" w:type="pct"/>
          </w:tcPr>
          <w:p w:rsidR="00A829E0" w:rsidRPr="004A083C" w:rsidRDefault="00A829E0" w:rsidP="007C7625">
            <w:pPr>
              <w:pStyle w:val="TableText0"/>
              <w:keepLines/>
              <w:jc w:val="both"/>
              <w:rPr>
                <w:rFonts w:cs="Arial"/>
                <w:szCs w:val="20"/>
              </w:rPr>
            </w:pPr>
            <w:r w:rsidRPr="004A083C">
              <w:rPr>
                <w:rFonts w:cs="Arial"/>
                <w:szCs w:val="20"/>
              </w:rPr>
              <w:t>Recommended</w:t>
            </w:r>
          </w:p>
        </w:tc>
        <w:tc>
          <w:tcPr>
            <w:tcW w:w="1685" w:type="pct"/>
          </w:tcPr>
          <w:p w:rsidR="00A829E0" w:rsidRPr="004A083C" w:rsidRDefault="00A829E0" w:rsidP="007C7625">
            <w:pPr>
              <w:keepNext/>
              <w:keepLines/>
              <w:autoSpaceDE w:val="0"/>
              <w:autoSpaceDN w:val="0"/>
              <w:adjustRightInd w:val="0"/>
              <w:ind w:left="12"/>
              <w:rPr>
                <w:rFonts w:ascii="Arial Narrow" w:hAnsi="Arial Narrow" w:cs="Arial"/>
                <w:color w:val="000000"/>
                <w:sz w:val="20"/>
                <w:szCs w:val="20"/>
              </w:rPr>
            </w:pPr>
            <w:r w:rsidRPr="004A083C">
              <w:rPr>
                <w:rFonts w:ascii="Arial Narrow" w:hAnsi="Arial Narrow" w:cs="Arial"/>
                <w:color w:val="000000"/>
                <w:sz w:val="20"/>
                <w:szCs w:val="20"/>
              </w:rPr>
              <w:t xml:space="preserve">The PBAC recommended the listing of </w:t>
            </w:r>
            <w:r w:rsidR="00255ABC" w:rsidRPr="004A083C">
              <w:rPr>
                <w:rFonts w:ascii="Arial Narrow" w:hAnsi="Arial Narrow" w:cs="Arial"/>
                <w:color w:val="000000"/>
                <w:sz w:val="20"/>
                <w:szCs w:val="20"/>
              </w:rPr>
              <w:t xml:space="preserve">Fluarix Tetra </w:t>
            </w:r>
            <w:r w:rsidRPr="004A083C">
              <w:rPr>
                <w:rFonts w:ascii="Arial Narrow" w:hAnsi="Arial Narrow" w:cs="Arial"/>
                <w:color w:val="000000"/>
                <w:sz w:val="20"/>
                <w:szCs w:val="20"/>
              </w:rPr>
              <w:t xml:space="preserve">on the </w:t>
            </w:r>
            <w:r w:rsidR="00255ABC" w:rsidRPr="004A083C">
              <w:rPr>
                <w:rFonts w:ascii="Arial Narrow" w:hAnsi="Arial Narrow" w:cs="Arial"/>
                <w:color w:val="000000"/>
                <w:sz w:val="20"/>
                <w:szCs w:val="20"/>
              </w:rPr>
              <w:t>NIP</w:t>
            </w:r>
            <w:r w:rsidRPr="004A083C">
              <w:rPr>
                <w:rFonts w:ascii="Arial Narrow" w:hAnsi="Arial Narrow" w:cs="Arial"/>
                <w:color w:val="000000"/>
                <w:sz w:val="20"/>
                <w:szCs w:val="20"/>
              </w:rPr>
              <w:t xml:space="preserve"> – Designated Vaccines List</w:t>
            </w:r>
            <w:r w:rsidR="00255ABC" w:rsidRPr="004A083C">
              <w:rPr>
                <w:rFonts w:ascii="Arial Narrow" w:hAnsi="Arial Narrow" w:cs="Arial"/>
                <w:color w:val="000000"/>
                <w:sz w:val="20"/>
                <w:szCs w:val="20"/>
              </w:rPr>
              <w:t xml:space="preserve"> for the prevention of seasonal </w:t>
            </w:r>
            <w:r w:rsidR="00BF79BF" w:rsidRPr="004A083C">
              <w:rPr>
                <w:rFonts w:ascii="Arial Narrow" w:hAnsi="Arial Narrow" w:cs="Arial"/>
                <w:color w:val="000000"/>
                <w:sz w:val="20"/>
                <w:szCs w:val="20"/>
              </w:rPr>
              <w:t xml:space="preserve">influenza </w:t>
            </w:r>
            <w:r w:rsidRPr="004A083C">
              <w:rPr>
                <w:rFonts w:ascii="Arial Narrow" w:hAnsi="Arial Narrow" w:cs="Arial"/>
                <w:color w:val="000000"/>
                <w:sz w:val="20"/>
                <w:szCs w:val="20"/>
              </w:rPr>
              <w:t>based on a cost-minimisation basis with Fluar</w:t>
            </w:r>
            <w:r w:rsidR="00255ABC" w:rsidRPr="004A083C">
              <w:rPr>
                <w:rFonts w:ascii="Arial Narrow" w:hAnsi="Arial Narrow" w:cs="Arial"/>
                <w:color w:val="000000"/>
                <w:sz w:val="20"/>
                <w:szCs w:val="20"/>
              </w:rPr>
              <w:t xml:space="preserve">ix trivalent influenza vaccine. </w:t>
            </w:r>
          </w:p>
        </w:tc>
      </w:tr>
      <w:tr w:rsidR="001E24F4" w:rsidRPr="00255ABC" w:rsidTr="004A083C">
        <w:tc>
          <w:tcPr>
            <w:tcW w:w="942" w:type="pct"/>
          </w:tcPr>
          <w:p w:rsidR="00A829E0" w:rsidRPr="004A083C" w:rsidRDefault="00A829E0" w:rsidP="007C7625">
            <w:pPr>
              <w:pStyle w:val="TableText0"/>
              <w:keepLines/>
              <w:jc w:val="both"/>
              <w:rPr>
                <w:rFonts w:cs="Arial"/>
                <w:szCs w:val="20"/>
              </w:rPr>
            </w:pPr>
            <w:r w:rsidRPr="004A083C">
              <w:rPr>
                <w:szCs w:val="20"/>
                <w:lang w:bidi="en-US"/>
              </w:rPr>
              <w:t>November 2018</w:t>
            </w:r>
          </w:p>
        </w:tc>
        <w:tc>
          <w:tcPr>
            <w:tcW w:w="1636" w:type="pct"/>
          </w:tcPr>
          <w:p w:rsidR="00A829E0" w:rsidRPr="004A083C" w:rsidRDefault="00CA3B88" w:rsidP="007C7625">
            <w:pPr>
              <w:keepNext/>
              <w:keepLines/>
              <w:rPr>
                <w:rFonts w:ascii="Arial Narrow" w:eastAsiaTheme="minorHAnsi" w:hAnsi="Arial Narrow" w:cstheme="minorBidi"/>
                <w:sz w:val="20"/>
                <w:szCs w:val="20"/>
              </w:rPr>
            </w:pPr>
            <w:r w:rsidRPr="004A083C">
              <w:rPr>
                <w:rFonts w:ascii="Arial Narrow" w:eastAsiaTheme="minorHAnsi" w:hAnsi="Arial Narrow" w:cstheme="minorBidi"/>
                <w:sz w:val="20"/>
                <w:szCs w:val="20"/>
              </w:rPr>
              <w:t>A request by t</w:t>
            </w:r>
            <w:r w:rsidR="00715F4E" w:rsidRPr="004A083C">
              <w:rPr>
                <w:rFonts w:ascii="Arial Narrow" w:eastAsiaTheme="minorHAnsi" w:hAnsi="Arial Narrow" w:cstheme="minorBidi"/>
                <w:sz w:val="20"/>
                <w:szCs w:val="20"/>
              </w:rPr>
              <w:t xml:space="preserve">he </w:t>
            </w:r>
            <w:r w:rsidRPr="004A083C">
              <w:rPr>
                <w:rFonts w:ascii="Arial Narrow" w:eastAsiaTheme="minorHAnsi" w:hAnsi="Arial Narrow" w:cstheme="minorBidi"/>
                <w:sz w:val="20"/>
                <w:szCs w:val="20"/>
              </w:rPr>
              <w:t>CMO</w:t>
            </w:r>
            <w:r w:rsidR="00715F4E" w:rsidRPr="004A083C">
              <w:rPr>
                <w:rFonts w:ascii="Arial Narrow" w:eastAsiaTheme="minorHAnsi" w:hAnsi="Arial Narrow" w:cstheme="minorBidi"/>
                <w:sz w:val="20"/>
                <w:szCs w:val="20"/>
              </w:rPr>
              <w:t xml:space="preserve"> of the Department of Health </w:t>
            </w:r>
            <w:r w:rsidRPr="004A083C">
              <w:rPr>
                <w:rFonts w:ascii="Arial Narrow" w:eastAsiaTheme="minorHAnsi" w:hAnsi="Arial Narrow" w:cstheme="minorBidi"/>
                <w:sz w:val="20"/>
                <w:szCs w:val="20"/>
              </w:rPr>
              <w:t xml:space="preserve">that eligibility </w:t>
            </w:r>
            <w:r w:rsidR="00BF79BF" w:rsidRPr="004A083C">
              <w:rPr>
                <w:rFonts w:ascii="Arial Narrow" w:eastAsiaTheme="minorHAnsi" w:hAnsi="Arial Narrow" w:cstheme="minorBidi"/>
                <w:sz w:val="20"/>
                <w:szCs w:val="20"/>
              </w:rPr>
              <w:t>for</w:t>
            </w:r>
            <w:r w:rsidR="00715F4E" w:rsidRPr="004A083C">
              <w:rPr>
                <w:rFonts w:ascii="Arial Narrow" w:eastAsiaTheme="minorHAnsi" w:hAnsi="Arial Narrow" w:cstheme="minorBidi"/>
                <w:sz w:val="20"/>
                <w:szCs w:val="20"/>
              </w:rPr>
              <w:t xml:space="preserve"> </w:t>
            </w:r>
            <w:r w:rsidRPr="004A083C">
              <w:rPr>
                <w:rFonts w:ascii="Arial Narrow" w:eastAsiaTheme="minorHAnsi" w:hAnsi="Arial Narrow" w:cstheme="minorBidi"/>
                <w:sz w:val="20"/>
                <w:szCs w:val="20"/>
              </w:rPr>
              <w:t xml:space="preserve">NIP </w:t>
            </w:r>
            <w:r w:rsidR="00715F4E" w:rsidRPr="004A083C">
              <w:rPr>
                <w:rFonts w:ascii="Arial Narrow" w:eastAsiaTheme="minorHAnsi" w:hAnsi="Arial Narrow" w:cstheme="minorBidi"/>
                <w:sz w:val="20"/>
                <w:szCs w:val="20"/>
              </w:rPr>
              <w:t>fun</w:t>
            </w:r>
            <w:r w:rsidRPr="004A083C">
              <w:rPr>
                <w:rFonts w:ascii="Arial Narrow" w:eastAsiaTheme="minorHAnsi" w:hAnsi="Arial Narrow" w:cstheme="minorBidi"/>
                <w:sz w:val="20"/>
                <w:szCs w:val="20"/>
              </w:rPr>
              <w:t xml:space="preserve">ded seasonal influenza vaccine for </w:t>
            </w:r>
            <w:r w:rsidR="00715F4E" w:rsidRPr="004A083C">
              <w:rPr>
                <w:rFonts w:ascii="Arial Narrow" w:eastAsiaTheme="minorHAnsi" w:hAnsi="Arial Narrow" w:cstheme="minorBidi"/>
                <w:sz w:val="20"/>
                <w:szCs w:val="20"/>
              </w:rPr>
              <w:t xml:space="preserve">Aboriginal and/or Torres Strait Islander </w:t>
            </w:r>
            <w:r w:rsidR="00DF397D" w:rsidRPr="004A083C">
              <w:rPr>
                <w:rFonts w:ascii="Arial Narrow" w:eastAsiaTheme="minorHAnsi" w:hAnsi="Arial Narrow" w:cstheme="minorBidi"/>
                <w:sz w:val="20"/>
                <w:szCs w:val="20"/>
              </w:rPr>
              <w:t>(i</w:t>
            </w:r>
            <w:r w:rsidR="00DF397D" w:rsidRPr="004A083C">
              <w:rPr>
                <w:rFonts w:ascii="Arial Narrow" w:hAnsi="Arial Narrow" w:cs="Arial"/>
                <w:sz w:val="20"/>
                <w:szCs w:val="20"/>
              </w:rPr>
              <w:t xml:space="preserve">ndigenous) </w:t>
            </w:r>
            <w:r w:rsidR="00715F4E" w:rsidRPr="004A083C">
              <w:rPr>
                <w:rFonts w:ascii="Arial Narrow" w:eastAsiaTheme="minorHAnsi" w:hAnsi="Arial Narrow" w:cstheme="minorBidi"/>
                <w:sz w:val="20"/>
                <w:szCs w:val="20"/>
              </w:rPr>
              <w:t>people</w:t>
            </w:r>
            <w:r w:rsidRPr="004A083C">
              <w:rPr>
                <w:rFonts w:ascii="Arial Narrow" w:eastAsiaTheme="minorHAnsi" w:hAnsi="Arial Narrow" w:cstheme="minorBidi"/>
                <w:sz w:val="20"/>
                <w:szCs w:val="20"/>
              </w:rPr>
              <w:t xml:space="preserve"> to</w:t>
            </w:r>
            <w:r w:rsidR="00715F4E" w:rsidRPr="004A083C">
              <w:rPr>
                <w:rFonts w:ascii="Arial Narrow" w:eastAsiaTheme="minorHAnsi" w:hAnsi="Arial Narrow" w:cstheme="minorBidi"/>
                <w:sz w:val="20"/>
                <w:szCs w:val="20"/>
              </w:rPr>
              <w:t xml:space="preserve"> be expanded to include children and adolescents aged 5 to &lt;15 years. </w:t>
            </w:r>
          </w:p>
          <w:p w:rsidR="00BF79BF" w:rsidRPr="004A083C" w:rsidRDefault="00BF79BF" w:rsidP="007C7625">
            <w:pPr>
              <w:keepNext/>
              <w:keepLines/>
              <w:rPr>
                <w:rFonts w:ascii="Arial Narrow" w:hAnsi="Arial Narrow" w:cs="Arial"/>
                <w:sz w:val="20"/>
                <w:szCs w:val="20"/>
              </w:rPr>
            </w:pPr>
            <w:r w:rsidRPr="004A083C">
              <w:rPr>
                <w:rFonts w:ascii="Arial Narrow" w:eastAsiaTheme="minorHAnsi" w:hAnsi="Arial Narrow" w:cstheme="minorBidi"/>
                <w:sz w:val="20"/>
                <w:szCs w:val="20"/>
              </w:rPr>
              <w:t>(free influenza vaccine</w:t>
            </w:r>
            <w:r w:rsidR="004712A4" w:rsidRPr="004A083C">
              <w:rPr>
                <w:rFonts w:ascii="Arial Narrow" w:eastAsiaTheme="minorHAnsi" w:hAnsi="Arial Narrow" w:cstheme="minorBidi"/>
                <w:sz w:val="20"/>
                <w:szCs w:val="20"/>
              </w:rPr>
              <w:t>s</w:t>
            </w:r>
            <w:r w:rsidRPr="004A083C">
              <w:rPr>
                <w:rFonts w:ascii="Arial Narrow" w:eastAsiaTheme="minorHAnsi" w:hAnsi="Arial Narrow" w:cstheme="minorBidi"/>
                <w:sz w:val="20"/>
                <w:szCs w:val="20"/>
              </w:rPr>
              <w:t xml:space="preserve"> were then provided for </w:t>
            </w:r>
            <w:r w:rsidR="00DF397D" w:rsidRPr="004A083C">
              <w:rPr>
                <w:rFonts w:ascii="Arial Narrow" w:eastAsiaTheme="minorHAnsi" w:hAnsi="Arial Narrow" w:cstheme="minorBidi"/>
                <w:sz w:val="20"/>
                <w:szCs w:val="20"/>
              </w:rPr>
              <w:t xml:space="preserve">Indigenous </w:t>
            </w:r>
            <w:r w:rsidRPr="004A083C">
              <w:rPr>
                <w:rFonts w:ascii="Arial Narrow" w:eastAsiaTheme="minorHAnsi" w:hAnsi="Arial Narrow" w:cstheme="minorBidi"/>
                <w:sz w:val="20"/>
                <w:szCs w:val="20"/>
              </w:rPr>
              <w:t>people aged 6 months to &lt;5 years and 15 years and over</w:t>
            </w:r>
            <w:r w:rsidR="004712A4" w:rsidRPr="004A083C">
              <w:rPr>
                <w:rFonts w:ascii="Arial Narrow" w:eastAsiaTheme="minorHAnsi" w:hAnsi="Arial Narrow" w:cstheme="minorBidi"/>
                <w:sz w:val="20"/>
                <w:szCs w:val="20"/>
              </w:rPr>
              <w:t xml:space="preserve"> on the NIP</w:t>
            </w:r>
            <w:r w:rsidRPr="004A083C">
              <w:rPr>
                <w:rFonts w:ascii="Arial Narrow" w:eastAsiaTheme="minorHAnsi" w:hAnsi="Arial Narrow" w:cstheme="minorBidi"/>
                <w:sz w:val="20"/>
                <w:szCs w:val="20"/>
              </w:rPr>
              <w:t>)</w:t>
            </w:r>
          </w:p>
        </w:tc>
        <w:tc>
          <w:tcPr>
            <w:tcW w:w="737" w:type="pct"/>
          </w:tcPr>
          <w:p w:rsidR="00A829E0" w:rsidRPr="004A083C" w:rsidRDefault="00255ABC" w:rsidP="007C7625">
            <w:pPr>
              <w:pStyle w:val="TableText0"/>
              <w:keepLines/>
              <w:jc w:val="both"/>
              <w:rPr>
                <w:rFonts w:cs="Arial"/>
                <w:szCs w:val="20"/>
              </w:rPr>
            </w:pPr>
            <w:r w:rsidRPr="004A083C">
              <w:rPr>
                <w:rFonts w:cs="Arial"/>
                <w:szCs w:val="20"/>
              </w:rPr>
              <w:t>Recommended</w:t>
            </w:r>
          </w:p>
        </w:tc>
        <w:tc>
          <w:tcPr>
            <w:tcW w:w="1685" w:type="pct"/>
          </w:tcPr>
          <w:p w:rsidR="00715F4E" w:rsidRPr="004A083C" w:rsidRDefault="00715F4E" w:rsidP="007C7625">
            <w:pPr>
              <w:keepNext/>
              <w:keepLines/>
              <w:spacing w:after="120"/>
              <w:rPr>
                <w:rFonts w:ascii="Arial Narrow" w:hAnsi="Arial Narrow"/>
                <w:bCs/>
                <w:sz w:val="20"/>
                <w:szCs w:val="20"/>
                <w:lang w:val="en-GB"/>
              </w:rPr>
            </w:pPr>
            <w:r w:rsidRPr="004A083C">
              <w:rPr>
                <w:rFonts w:ascii="Arial Narrow" w:hAnsi="Arial Narrow"/>
                <w:bCs/>
                <w:sz w:val="20"/>
                <w:szCs w:val="20"/>
                <w:lang w:val="en-GB"/>
              </w:rPr>
              <w:t xml:space="preserve">The PBAC recommended a change to the </w:t>
            </w:r>
            <w:r w:rsidR="00BF79BF" w:rsidRPr="004A083C">
              <w:rPr>
                <w:rFonts w:ascii="Arial Narrow" w:hAnsi="Arial Narrow"/>
                <w:bCs/>
                <w:sz w:val="20"/>
                <w:szCs w:val="20"/>
                <w:lang w:val="en-GB"/>
              </w:rPr>
              <w:t xml:space="preserve">existing Determination to include </w:t>
            </w:r>
            <w:r w:rsidRPr="004A083C">
              <w:rPr>
                <w:rFonts w:ascii="Arial Narrow" w:hAnsi="Arial Narrow"/>
                <w:bCs/>
                <w:sz w:val="20"/>
                <w:szCs w:val="20"/>
                <w:lang w:val="en-GB"/>
              </w:rPr>
              <w:t xml:space="preserve">FluQuadri and Fluarix Tetra </w:t>
            </w:r>
            <w:r w:rsidR="00BF79BF" w:rsidRPr="004A083C">
              <w:rPr>
                <w:rFonts w:ascii="Arial Narrow" w:hAnsi="Arial Narrow"/>
                <w:bCs/>
                <w:sz w:val="20"/>
                <w:szCs w:val="20"/>
                <w:lang w:val="en-GB"/>
              </w:rPr>
              <w:t xml:space="preserve">for </w:t>
            </w:r>
            <w:r w:rsidRPr="004A083C">
              <w:rPr>
                <w:rFonts w:ascii="Arial Narrow" w:eastAsiaTheme="minorHAnsi" w:hAnsi="Arial Narrow" w:cstheme="minorBidi"/>
                <w:sz w:val="20"/>
                <w:szCs w:val="20"/>
              </w:rPr>
              <w:t>Aboriginal and/or Torres Strait Islander people aged 3 years and older</w:t>
            </w:r>
            <w:r w:rsidRPr="004A083C">
              <w:rPr>
                <w:rFonts w:ascii="Arial Narrow" w:hAnsi="Arial Narrow"/>
                <w:bCs/>
                <w:sz w:val="20"/>
                <w:szCs w:val="20"/>
                <w:lang w:val="en-GB"/>
              </w:rPr>
              <w:t xml:space="preserve"> for the prevention of influenza</w:t>
            </w:r>
            <w:r w:rsidR="00BF79BF" w:rsidRPr="004A083C">
              <w:rPr>
                <w:rFonts w:ascii="Arial Narrow" w:hAnsi="Arial Narrow"/>
                <w:bCs/>
                <w:sz w:val="20"/>
                <w:szCs w:val="20"/>
                <w:lang w:val="en-GB"/>
              </w:rPr>
              <w:t xml:space="preserve"> on the NIP</w:t>
            </w:r>
            <w:r w:rsidRPr="004A083C">
              <w:rPr>
                <w:rFonts w:ascii="Arial Narrow" w:eastAsiaTheme="minorHAnsi" w:hAnsi="Arial Narrow" w:cstheme="minorBidi"/>
                <w:sz w:val="20"/>
                <w:szCs w:val="20"/>
              </w:rPr>
              <w:t xml:space="preserve">. </w:t>
            </w:r>
          </w:p>
          <w:p w:rsidR="00A829E0" w:rsidRPr="004A083C" w:rsidRDefault="00A829E0" w:rsidP="007C7625">
            <w:pPr>
              <w:pStyle w:val="TableText0"/>
              <w:keepLines/>
              <w:jc w:val="both"/>
              <w:rPr>
                <w:rFonts w:cs="Arial"/>
                <w:szCs w:val="20"/>
              </w:rPr>
            </w:pPr>
          </w:p>
        </w:tc>
      </w:tr>
      <w:tr w:rsidR="001E24F4" w:rsidRPr="00255ABC" w:rsidTr="004A083C">
        <w:tc>
          <w:tcPr>
            <w:tcW w:w="942" w:type="pct"/>
          </w:tcPr>
          <w:p w:rsidR="00A829E0" w:rsidRPr="004A083C" w:rsidRDefault="00A829E0" w:rsidP="007C7625">
            <w:pPr>
              <w:pStyle w:val="TableText0"/>
              <w:keepLines/>
              <w:jc w:val="both"/>
              <w:rPr>
                <w:rFonts w:cs="Arial"/>
                <w:szCs w:val="20"/>
              </w:rPr>
            </w:pPr>
            <w:r w:rsidRPr="004A083C">
              <w:rPr>
                <w:szCs w:val="20"/>
                <w:lang w:bidi="en-US"/>
              </w:rPr>
              <w:t>March 2019</w:t>
            </w:r>
          </w:p>
        </w:tc>
        <w:tc>
          <w:tcPr>
            <w:tcW w:w="1636" w:type="pct"/>
          </w:tcPr>
          <w:p w:rsidR="00A829E0" w:rsidRPr="004A083C" w:rsidRDefault="00684DFD" w:rsidP="007C7625">
            <w:pPr>
              <w:keepNext/>
              <w:keepLines/>
              <w:rPr>
                <w:rFonts w:ascii="Arial Narrow" w:eastAsiaTheme="minorHAnsi" w:hAnsi="Arial Narrow" w:cstheme="minorBidi"/>
                <w:sz w:val="20"/>
                <w:szCs w:val="20"/>
              </w:rPr>
            </w:pPr>
            <w:r w:rsidRPr="004A083C">
              <w:rPr>
                <w:rFonts w:ascii="Arial Narrow" w:eastAsiaTheme="minorHAnsi" w:hAnsi="Arial Narrow" w:cstheme="minorBidi"/>
                <w:sz w:val="20"/>
                <w:szCs w:val="20"/>
              </w:rPr>
              <w:t>A request for an extension of the existing Determination listing for Fluarix Tetra to include vaccination of infants and young children aged 6 - 35 months of age eligible for free vaccination under the NIP for the prevention of seasonal influenza.</w:t>
            </w:r>
          </w:p>
        </w:tc>
        <w:tc>
          <w:tcPr>
            <w:tcW w:w="737" w:type="pct"/>
          </w:tcPr>
          <w:p w:rsidR="00A829E0" w:rsidRPr="004A083C" w:rsidRDefault="001E24F4" w:rsidP="007C7625">
            <w:pPr>
              <w:pStyle w:val="TableText0"/>
              <w:keepLines/>
              <w:jc w:val="both"/>
              <w:rPr>
                <w:rFonts w:cs="Arial"/>
                <w:szCs w:val="20"/>
              </w:rPr>
            </w:pPr>
            <w:r w:rsidRPr="004A083C">
              <w:rPr>
                <w:rFonts w:cs="Arial"/>
                <w:szCs w:val="20"/>
              </w:rPr>
              <w:t>Recommended</w:t>
            </w:r>
          </w:p>
        </w:tc>
        <w:tc>
          <w:tcPr>
            <w:tcW w:w="1685" w:type="pct"/>
          </w:tcPr>
          <w:p w:rsidR="00A829E0" w:rsidRPr="004A083C" w:rsidRDefault="00715F4E" w:rsidP="007C7625">
            <w:pPr>
              <w:keepNext/>
              <w:keepLines/>
              <w:rPr>
                <w:rFonts w:ascii="Arial Narrow" w:hAnsi="Arial Narrow" w:cs="Arial"/>
                <w:sz w:val="20"/>
                <w:szCs w:val="20"/>
              </w:rPr>
            </w:pPr>
            <w:r w:rsidRPr="004A083C">
              <w:rPr>
                <w:rFonts w:ascii="Arial Narrow" w:hAnsi="Arial Narrow"/>
                <w:bCs/>
                <w:sz w:val="20"/>
                <w:szCs w:val="20"/>
              </w:rPr>
              <w:t xml:space="preserve">The PBAC recommended </w:t>
            </w:r>
            <w:r w:rsidR="00582F50" w:rsidRPr="004A083C">
              <w:rPr>
                <w:rFonts w:ascii="Arial Narrow" w:hAnsi="Arial Narrow"/>
                <w:bCs/>
                <w:sz w:val="20"/>
                <w:szCs w:val="20"/>
              </w:rPr>
              <w:t>the</w:t>
            </w:r>
            <w:r w:rsidRPr="004A083C">
              <w:rPr>
                <w:rFonts w:ascii="Arial Narrow" w:hAnsi="Arial Narrow"/>
                <w:bCs/>
                <w:sz w:val="20"/>
                <w:szCs w:val="20"/>
              </w:rPr>
              <w:t xml:space="preserve"> extension to the listing of Fluarix Tetra </w:t>
            </w:r>
            <w:r w:rsidR="001E24F4" w:rsidRPr="004A083C">
              <w:rPr>
                <w:rFonts w:ascii="Arial Narrow" w:hAnsi="Arial Narrow"/>
                <w:bCs/>
                <w:sz w:val="20"/>
                <w:szCs w:val="20"/>
              </w:rPr>
              <w:t xml:space="preserve">on </w:t>
            </w:r>
            <w:r w:rsidRPr="004A083C">
              <w:rPr>
                <w:rFonts w:ascii="Arial Narrow" w:eastAsiaTheme="minorHAnsi" w:hAnsi="Arial Narrow" w:cstheme="minorBidi"/>
                <w:sz w:val="20"/>
                <w:szCs w:val="20"/>
              </w:rPr>
              <w:t>the Determination</w:t>
            </w:r>
            <w:r w:rsidRPr="004A083C">
              <w:rPr>
                <w:rFonts w:ascii="Arial Narrow" w:hAnsi="Arial Narrow"/>
                <w:bCs/>
                <w:sz w:val="20"/>
                <w:szCs w:val="20"/>
              </w:rPr>
              <w:t xml:space="preserve"> to include high risk and Aboriginal and/or Torres Strait Islander infants and children aged 6 to 35 months of age</w:t>
            </w:r>
            <w:r w:rsidR="001E24F4" w:rsidRPr="004A083C">
              <w:rPr>
                <w:rFonts w:ascii="Arial Narrow" w:hAnsi="Arial Narrow"/>
                <w:bCs/>
                <w:sz w:val="20"/>
                <w:szCs w:val="20"/>
              </w:rPr>
              <w:t xml:space="preserve"> </w:t>
            </w:r>
            <w:r w:rsidRPr="004A083C">
              <w:rPr>
                <w:rFonts w:ascii="Arial Narrow" w:hAnsi="Arial Narrow"/>
                <w:bCs/>
                <w:sz w:val="20"/>
                <w:szCs w:val="20"/>
              </w:rPr>
              <w:t>on a cost-minimisation basis to FluQuadri Junior</w:t>
            </w:r>
            <w:r w:rsidR="00897B98" w:rsidRPr="004A083C">
              <w:rPr>
                <w:rFonts w:ascii="Arial Narrow" w:hAnsi="Arial Narrow"/>
                <w:bCs/>
                <w:sz w:val="20"/>
                <w:szCs w:val="20"/>
              </w:rPr>
              <w:t xml:space="preserve">. The PBAC considered the claim of non-inferior comparative effectiveness and safety was reasonable. </w:t>
            </w:r>
          </w:p>
        </w:tc>
      </w:tr>
      <w:tr w:rsidR="00802C52" w:rsidRPr="00255ABC" w:rsidTr="004A083C">
        <w:tc>
          <w:tcPr>
            <w:tcW w:w="5000" w:type="pct"/>
            <w:gridSpan w:val="4"/>
          </w:tcPr>
          <w:p w:rsidR="00802C52" w:rsidRPr="004A083C" w:rsidRDefault="00802C52" w:rsidP="007C7625">
            <w:pPr>
              <w:pStyle w:val="TableText0"/>
              <w:keepLines/>
              <w:jc w:val="both"/>
            </w:pPr>
            <w:r w:rsidRPr="004A083C">
              <w:rPr>
                <w:rFonts w:cstheme="minorHAnsi"/>
                <w:szCs w:val="20"/>
              </w:rPr>
              <w:t xml:space="preserve">Relevant recommendations in healthy children 6 months to &lt; 5 years </w:t>
            </w:r>
          </w:p>
        </w:tc>
      </w:tr>
      <w:tr w:rsidR="001E24F4" w:rsidRPr="00255ABC" w:rsidTr="004A083C">
        <w:tc>
          <w:tcPr>
            <w:tcW w:w="942" w:type="pct"/>
          </w:tcPr>
          <w:p w:rsidR="00A829E0" w:rsidRPr="004A083C" w:rsidRDefault="00715F4E" w:rsidP="007C7625">
            <w:pPr>
              <w:pStyle w:val="TableText0"/>
              <w:keepLines/>
              <w:jc w:val="both"/>
              <w:rPr>
                <w:rFonts w:cs="Arial"/>
                <w:szCs w:val="20"/>
              </w:rPr>
            </w:pPr>
            <w:r w:rsidRPr="004A083C">
              <w:rPr>
                <w:rFonts w:cstheme="minorHAnsi"/>
                <w:szCs w:val="20"/>
              </w:rPr>
              <w:t>July 2019</w:t>
            </w:r>
          </w:p>
        </w:tc>
        <w:tc>
          <w:tcPr>
            <w:tcW w:w="1636" w:type="pct"/>
          </w:tcPr>
          <w:p w:rsidR="00A829E0" w:rsidRPr="004A083C" w:rsidRDefault="00FC1C14" w:rsidP="007C7625">
            <w:pPr>
              <w:pStyle w:val="TableText0"/>
              <w:keepLines/>
              <w:jc w:val="both"/>
              <w:rPr>
                <w:rFonts w:cs="Arial"/>
                <w:szCs w:val="20"/>
              </w:rPr>
            </w:pPr>
            <w:r w:rsidRPr="004A083C">
              <w:rPr>
                <w:rFonts w:cs="Arial"/>
                <w:szCs w:val="20"/>
              </w:rPr>
              <w:t xml:space="preserve">A NIP listing of Vaxigrip Tetra for the prevention of seasonal influenza in children aged 6 </w:t>
            </w:r>
            <w:r w:rsidRPr="004A083C">
              <w:t>months to &lt;5 years, who were not eligible</w:t>
            </w:r>
            <w:r w:rsidR="00573402" w:rsidRPr="004A083C">
              <w:t>,</w:t>
            </w:r>
            <w:r w:rsidRPr="004A083C">
              <w:t xml:space="preserve"> </w:t>
            </w:r>
            <w:r w:rsidR="00573402" w:rsidRPr="004A083C">
              <w:t>and at-risk individuals who were eligible for vaccination on the</w:t>
            </w:r>
            <w:r w:rsidRPr="004A083C">
              <w:t xml:space="preserve"> NIP at the time of PBAC consideration.</w:t>
            </w:r>
          </w:p>
        </w:tc>
        <w:tc>
          <w:tcPr>
            <w:tcW w:w="737" w:type="pct"/>
          </w:tcPr>
          <w:p w:rsidR="00A829E0" w:rsidRPr="004A083C" w:rsidRDefault="00573402" w:rsidP="007C7625">
            <w:pPr>
              <w:pStyle w:val="TableText0"/>
              <w:keepLines/>
              <w:jc w:val="both"/>
              <w:rPr>
                <w:rFonts w:cs="Arial"/>
                <w:szCs w:val="20"/>
              </w:rPr>
            </w:pPr>
            <w:r w:rsidRPr="004A083C">
              <w:rPr>
                <w:rFonts w:cs="Arial"/>
                <w:szCs w:val="20"/>
              </w:rPr>
              <w:t>Recommended</w:t>
            </w:r>
          </w:p>
        </w:tc>
        <w:tc>
          <w:tcPr>
            <w:tcW w:w="1685" w:type="pct"/>
          </w:tcPr>
          <w:p w:rsidR="00A829E0" w:rsidRPr="004A083C" w:rsidRDefault="00573402" w:rsidP="007C7625">
            <w:pPr>
              <w:pStyle w:val="TableText0"/>
              <w:keepLines/>
              <w:jc w:val="both"/>
              <w:rPr>
                <w:rFonts w:cs="Arial"/>
                <w:szCs w:val="20"/>
              </w:rPr>
            </w:pPr>
            <w:r w:rsidRPr="004A083C">
              <w:t>The PBAC recommended the listing of Vaxigrip Tetra on the Determination for the prevention of seasonal influenza in children aged 6 months to &lt;5 years and in at</w:t>
            </w:r>
            <w:r w:rsidRPr="004A083C">
              <w:noBreakHyphen/>
              <w:t>risk individuals who were eligible for vaccination through the NIP, under the same provisions</w:t>
            </w:r>
            <w:r w:rsidR="0006101F" w:rsidRPr="004A083C">
              <w:t xml:space="preserve"> as the other QIVs currently listed on the NIP.</w:t>
            </w:r>
          </w:p>
        </w:tc>
      </w:tr>
      <w:tr w:rsidR="00E71175" w:rsidRPr="00255ABC" w:rsidTr="004A083C">
        <w:tc>
          <w:tcPr>
            <w:tcW w:w="942" w:type="pct"/>
          </w:tcPr>
          <w:p w:rsidR="00E71175" w:rsidRPr="004A083C" w:rsidRDefault="00E71175" w:rsidP="007C7625">
            <w:pPr>
              <w:pStyle w:val="TableText0"/>
              <w:keepLines/>
              <w:jc w:val="both"/>
              <w:rPr>
                <w:rFonts w:cstheme="minorHAnsi"/>
                <w:szCs w:val="20"/>
              </w:rPr>
            </w:pPr>
            <w:r w:rsidRPr="004A083C">
              <w:rPr>
                <w:rFonts w:cstheme="minorHAnsi"/>
                <w:szCs w:val="20"/>
              </w:rPr>
              <w:t>November 2019</w:t>
            </w:r>
          </w:p>
        </w:tc>
        <w:tc>
          <w:tcPr>
            <w:tcW w:w="1636" w:type="pct"/>
          </w:tcPr>
          <w:p w:rsidR="00E71175" w:rsidRPr="004A083C" w:rsidRDefault="005251E6" w:rsidP="007C7625">
            <w:pPr>
              <w:pStyle w:val="3-BodyText"/>
              <w:keepNext/>
              <w:keepLines/>
              <w:numPr>
                <w:ilvl w:val="0"/>
                <w:numId w:val="0"/>
              </w:numPr>
              <w:snapToGrid w:val="0"/>
              <w:spacing w:after="160"/>
              <w:rPr>
                <w:rFonts w:ascii="Arial Narrow" w:hAnsi="Arial Narrow"/>
                <w:sz w:val="20"/>
                <w:szCs w:val="20"/>
              </w:rPr>
            </w:pPr>
            <w:r w:rsidRPr="004A083C">
              <w:rPr>
                <w:rFonts w:ascii="Arial Narrow" w:hAnsi="Arial Narrow"/>
                <w:sz w:val="20"/>
                <w:szCs w:val="20"/>
              </w:rPr>
              <w:t>An extension to the current listing of FluQuadri for the prevention of influenza on the NIP  to include at-risk children aged 6-35 months and healthy children aged 6 months to &lt;5 years.</w:t>
            </w:r>
          </w:p>
        </w:tc>
        <w:tc>
          <w:tcPr>
            <w:tcW w:w="737" w:type="pct"/>
          </w:tcPr>
          <w:p w:rsidR="00E71175" w:rsidRPr="004A083C" w:rsidRDefault="005251E6" w:rsidP="007C7625">
            <w:pPr>
              <w:pStyle w:val="TableText0"/>
              <w:keepLines/>
              <w:jc w:val="both"/>
              <w:rPr>
                <w:rFonts w:cs="Arial"/>
                <w:szCs w:val="20"/>
              </w:rPr>
            </w:pPr>
            <w:r w:rsidRPr="004A083C">
              <w:rPr>
                <w:rFonts w:cs="Arial"/>
                <w:szCs w:val="20"/>
              </w:rPr>
              <w:t>Recommended</w:t>
            </w:r>
          </w:p>
        </w:tc>
        <w:tc>
          <w:tcPr>
            <w:tcW w:w="1685" w:type="pct"/>
          </w:tcPr>
          <w:p w:rsidR="008E7035" w:rsidRPr="004A083C" w:rsidRDefault="005251E6" w:rsidP="007C7625">
            <w:pPr>
              <w:pStyle w:val="3-BodyText"/>
              <w:keepNext/>
              <w:keepLines/>
              <w:numPr>
                <w:ilvl w:val="0"/>
                <w:numId w:val="0"/>
              </w:numPr>
              <w:snapToGrid w:val="0"/>
              <w:spacing w:after="160"/>
              <w:rPr>
                <w:rFonts w:ascii="Arial Narrow" w:eastAsiaTheme="majorEastAsia" w:hAnsi="Arial Narrow" w:cstheme="majorBidi"/>
                <w:bCs/>
                <w:sz w:val="20"/>
                <w:szCs w:val="24"/>
              </w:rPr>
            </w:pPr>
            <w:r w:rsidRPr="004A083C">
              <w:rPr>
                <w:rFonts w:ascii="Arial Narrow" w:hAnsi="Arial Narrow"/>
                <w:snapToGrid w:val="0"/>
                <w:sz w:val="20"/>
                <w:szCs w:val="20"/>
              </w:rPr>
              <w:t xml:space="preserve">The PBAC recommended extending the current listing of </w:t>
            </w:r>
            <w:r w:rsidRPr="004A083C">
              <w:rPr>
                <w:rFonts w:ascii="Arial Narrow" w:hAnsi="Arial Narrow"/>
                <w:sz w:val="20"/>
                <w:szCs w:val="20"/>
              </w:rPr>
              <w:t>FluQuadri</w:t>
            </w:r>
            <w:r w:rsidRPr="004A083C">
              <w:rPr>
                <w:rFonts w:ascii="Arial Narrow" w:hAnsi="Arial Narrow"/>
                <w:sz w:val="20"/>
                <w:szCs w:val="20"/>
                <w:vertAlign w:val="superscript"/>
              </w:rPr>
              <w:t>TM</w:t>
            </w:r>
            <w:r w:rsidRPr="004A083C">
              <w:rPr>
                <w:rFonts w:ascii="Arial Narrow" w:hAnsi="Arial Narrow"/>
                <w:sz w:val="20"/>
                <w:szCs w:val="20"/>
              </w:rPr>
              <w:t xml:space="preserve">, </w:t>
            </w:r>
            <w:r w:rsidRPr="004A083C">
              <w:rPr>
                <w:rFonts w:ascii="Arial Narrow" w:hAnsi="Arial Narrow"/>
                <w:bCs/>
                <w:sz w:val="20"/>
                <w:szCs w:val="20"/>
              </w:rPr>
              <w:t>on the Determination</w:t>
            </w:r>
            <w:r w:rsidR="007E502F" w:rsidRPr="004A083C">
              <w:rPr>
                <w:rFonts w:ascii="Arial Narrow" w:hAnsi="Arial Narrow"/>
                <w:bCs/>
                <w:sz w:val="20"/>
                <w:szCs w:val="20"/>
              </w:rPr>
              <w:t xml:space="preserve"> </w:t>
            </w:r>
            <w:r w:rsidRPr="004A083C">
              <w:rPr>
                <w:rFonts w:ascii="Arial Narrow" w:hAnsi="Arial Narrow"/>
                <w:sz w:val="20"/>
                <w:szCs w:val="20"/>
              </w:rPr>
              <w:t xml:space="preserve">for the prevention of influenza, to include healthy children aged 6 months to &lt;5 years </w:t>
            </w:r>
            <w:r w:rsidR="007E502F" w:rsidRPr="004A083C">
              <w:rPr>
                <w:rFonts w:ascii="Arial Narrow" w:hAnsi="Arial Narrow"/>
                <w:sz w:val="20"/>
                <w:szCs w:val="20"/>
              </w:rPr>
              <w:t xml:space="preserve">and </w:t>
            </w:r>
            <w:r w:rsidRPr="004A083C">
              <w:rPr>
                <w:rFonts w:ascii="Arial Narrow" w:hAnsi="Arial Narrow"/>
                <w:sz w:val="20"/>
                <w:szCs w:val="20"/>
              </w:rPr>
              <w:t xml:space="preserve">at-risk children aged 6-35 months who </w:t>
            </w:r>
            <w:r w:rsidR="007E502F" w:rsidRPr="004A083C">
              <w:rPr>
                <w:rFonts w:ascii="Arial Narrow" w:hAnsi="Arial Narrow"/>
                <w:sz w:val="20"/>
                <w:szCs w:val="20"/>
              </w:rPr>
              <w:t xml:space="preserve">were </w:t>
            </w:r>
            <w:r w:rsidRPr="004A083C">
              <w:rPr>
                <w:rFonts w:ascii="Arial Narrow" w:hAnsi="Arial Narrow"/>
                <w:sz w:val="20"/>
                <w:szCs w:val="20"/>
              </w:rPr>
              <w:t>eligible for influenza vaccination through the NIP under the same provisions</w:t>
            </w:r>
            <w:r w:rsidR="00897B98" w:rsidRPr="004A083C">
              <w:rPr>
                <w:rFonts w:ascii="Arial Narrow" w:hAnsi="Arial Narrow"/>
              </w:rPr>
              <w:t xml:space="preserve"> </w:t>
            </w:r>
            <w:r w:rsidR="00897B98" w:rsidRPr="004A083C">
              <w:rPr>
                <w:rFonts w:ascii="Arial Narrow" w:eastAsiaTheme="majorEastAsia" w:hAnsi="Arial Narrow" w:cstheme="majorBidi"/>
                <w:bCs/>
                <w:sz w:val="20"/>
                <w:szCs w:val="24"/>
              </w:rPr>
              <w:t>as the other QIVs currently listed on the NIP.</w:t>
            </w:r>
          </w:p>
        </w:tc>
      </w:tr>
    </w:tbl>
    <w:p w:rsidR="00A829E0" w:rsidRPr="002C719A" w:rsidRDefault="00255ABC" w:rsidP="004A083C">
      <w:pPr>
        <w:pStyle w:val="TableFigureFooter"/>
        <w:rPr>
          <w:rFonts w:eastAsiaTheme="minorHAnsi"/>
        </w:rPr>
      </w:pPr>
      <w:r w:rsidRPr="002C719A">
        <w:rPr>
          <w:rFonts w:eastAsiaTheme="minorHAnsi"/>
        </w:rPr>
        <w:t xml:space="preserve">Abbreviation: CMO: Chief Medical Officer, the Determination: </w:t>
      </w:r>
      <w:r w:rsidRPr="002C719A">
        <w:rPr>
          <w:bCs/>
        </w:rPr>
        <w:t xml:space="preserve">the </w:t>
      </w:r>
      <w:r w:rsidRPr="002C719A">
        <w:rPr>
          <w:rFonts w:eastAsiaTheme="minorHAnsi"/>
        </w:rPr>
        <w:t>National Health (Immunisation Program – Designated Vaccines) Determination 2014 (No.1)</w:t>
      </w:r>
    </w:p>
    <w:p w:rsidR="00365494" w:rsidRPr="004A083C" w:rsidRDefault="002C719A" w:rsidP="004A083C">
      <w:pPr>
        <w:pStyle w:val="TableFigureFooter"/>
      </w:pPr>
      <w:r w:rsidRPr="002C719A">
        <w:t xml:space="preserve">Note: high-risk </w:t>
      </w:r>
      <w:r>
        <w:t xml:space="preserve">(or at risk) </w:t>
      </w:r>
      <w:r w:rsidRPr="002C719A">
        <w:t>populations as defined by the Determination are consistent with high-risk populations defined by the NIP.</w:t>
      </w:r>
    </w:p>
    <w:p w:rsidR="00365494" w:rsidRPr="007A3E14" w:rsidRDefault="00B33B86" w:rsidP="004A083C">
      <w:pPr>
        <w:pStyle w:val="3Bodytext"/>
      </w:pPr>
      <w:r w:rsidRPr="004A083C">
        <w:t xml:space="preserve">At its March 2019 meeting, the PBAC recommended extending the existing Determination of Fluarix Tetra (0.5 mL dose) for the prevention of seasonal influenza to include high risk and Aboriginal and/or Torres Strait Islander children aged 6 to 35 months of age on a cost-minimisation basis to FluQuadri Junior (0.25 mL dose) (paragraph 6.1, Fluarix Tetra </w:t>
      </w:r>
      <w:r w:rsidR="003F15D6" w:rsidRPr="004A083C">
        <w:t>Public Summary Document (</w:t>
      </w:r>
      <w:r w:rsidRPr="004A083C">
        <w:t>PSD</w:t>
      </w:r>
      <w:r w:rsidR="003F15D6" w:rsidRPr="004A083C">
        <w:t>)</w:t>
      </w:r>
      <w:r w:rsidRPr="004A083C">
        <w:t>, March 2019)</w:t>
      </w:r>
      <w:r w:rsidR="009D2C07" w:rsidRPr="004A083C">
        <w:t>.</w:t>
      </w:r>
      <w:r w:rsidR="00085EF6" w:rsidRPr="004A083C">
        <w:t xml:space="preserve"> </w:t>
      </w:r>
    </w:p>
    <w:p w:rsidR="003F1899" w:rsidRPr="000C6625" w:rsidRDefault="0062309C" w:rsidP="004A083C">
      <w:pPr>
        <w:pStyle w:val="3Bodytext"/>
      </w:pPr>
      <w:r w:rsidRPr="004A083C">
        <w:t>The submission noted that all children aged 6 months to &lt;5 years are currently eligible for NIP funded influenza vaccination</w:t>
      </w:r>
      <w:r w:rsidR="005B603A" w:rsidRPr="004A083C">
        <w:t xml:space="preserve"> (Vaxigrip Tetra and FluQuadri)</w:t>
      </w:r>
      <w:r w:rsidR="00C065C7" w:rsidRPr="004A083C">
        <w:t xml:space="preserve">, based on the recommendation from </w:t>
      </w:r>
      <w:r w:rsidR="00EC3741" w:rsidRPr="004A083C">
        <w:t>the Australian Technical Advisory Group on Immunisation (</w:t>
      </w:r>
      <w:r w:rsidR="00C065C7" w:rsidRPr="004A083C">
        <w:t>ATAGI</w:t>
      </w:r>
      <w:r w:rsidR="00EC3741" w:rsidRPr="004A083C">
        <w:t>)</w:t>
      </w:r>
      <w:r w:rsidR="00C065C7" w:rsidRPr="004A083C">
        <w:t xml:space="preserve"> that all </w:t>
      </w:r>
      <w:r w:rsidR="00496933" w:rsidRPr="004A083C">
        <w:t>infants</w:t>
      </w:r>
      <w:r w:rsidR="00C065C7" w:rsidRPr="004A083C">
        <w:t xml:space="preserve"> and children aged &lt;5 years have a higher risk of hospitalisation and increased morbidity after influenza</w:t>
      </w:r>
      <w:r w:rsidR="00C065C7" w:rsidRPr="004A083C">
        <w:footnoteReference w:id="1"/>
      </w:r>
      <w:r w:rsidR="00C065C7" w:rsidRPr="004A083C">
        <w:t xml:space="preserve">. </w:t>
      </w:r>
      <w:r w:rsidR="00FD1E43" w:rsidRPr="004A083C">
        <w:t>In its July 2019 consideration of Vaxigrip Tetra, t</w:t>
      </w:r>
      <w:r w:rsidR="00217950" w:rsidRPr="004A083C">
        <w:t xml:space="preserve">he PBAC considered that listing a QIV on the NIP for all children aged 6 months to &lt;5 years </w:t>
      </w:r>
      <w:r w:rsidR="00FD1E43" w:rsidRPr="004A083C">
        <w:t>was</w:t>
      </w:r>
      <w:r w:rsidR="00217950" w:rsidRPr="004A083C">
        <w:t xml:space="preserve"> warranted from a public health perspective as an additional measure to directly target this group which has a relatively high burden of disease</w:t>
      </w:r>
      <w:r w:rsidR="00941CAB" w:rsidRPr="004A083C">
        <w:t xml:space="preserve"> </w:t>
      </w:r>
      <w:r w:rsidR="00C065C7" w:rsidRPr="004A083C">
        <w:t>(</w:t>
      </w:r>
      <w:r w:rsidR="00217950" w:rsidRPr="004A083C">
        <w:t xml:space="preserve">paragraph 7.2, </w:t>
      </w:r>
      <w:r w:rsidR="00C065C7" w:rsidRPr="004A083C">
        <w:t>Vaxigrip Tetra</w:t>
      </w:r>
      <w:r w:rsidR="002C7A25" w:rsidRPr="004A083C">
        <w:t xml:space="preserve"> </w:t>
      </w:r>
      <w:r w:rsidR="00C065C7" w:rsidRPr="004A083C">
        <w:t xml:space="preserve">PSD, July 2019). </w:t>
      </w:r>
    </w:p>
    <w:p w:rsidR="00B01FB0" w:rsidRPr="002A7DD2" w:rsidRDefault="00B01FB0" w:rsidP="004A083C">
      <w:pPr>
        <w:pStyle w:val="Bodytextitalics"/>
        <w:ind w:left="720"/>
      </w:pPr>
      <w:r w:rsidRPr="002A7DD2">
        <w:t>For more detail on PBAC’s view, see section 6 PBAC outcome.</w:t>
      </w:r>
    </w:p>
    <w:p w:rsidR="00B17EE5" w:rsidRPr="00577C4D" w:rsidRDefault="00B17EE5" w:rsidP="007C7625">
      <w:pPr>
        <w:pStyle w:val="2-SectionHeading"/>
        <w:jc w:val="both"/>
      </w:pPr>
      <w:r w:rsidRPr="009E2E8E">
        <w:t>Requested</w:t>
      </w:r>
      <w:r w:rsidRPr="002B5596">
        <w:t xml:space="preserve"> listing</w:t>
      </w:r>
      <w:r w:rsidR="00D15A06">
        <w:t xml:space="preserve"> </w:t>
      </w:r>
    </w:p>
    <w:p w:rsidR="00B17EE5" w:rsidRPr="002640A5" w:rsidRDefault="00B17EE5" w:rsidP="004A083C">
      <w:pPr>
        <w:pStyle w:val="3Bodytext"/>
      </w:pPr>
      <w:r w:rsidRPr="002640A5">
        <w:t xml:space="preserve">The submission requested the </w:t>
      </w:r>
      <w:r w:rsidR="009D2C07" w:rsidRPr="00BB3B34">
        <w:t>additions</w:t>
      </w:r>
      <w:r w:rsidR="009D2C07">
        <w:t xml:space="preserve"> indicated below (</w:t>
      </w:r>
      <w:r w:rsidR="009D2C07" w:rsidRPr="00BB3B34">
        <w:t>in italics</w:t>
      </w:r>
      <w:r w:rsidR="009D2C07">
        <w:t>) to the exiting Determination:</w:t>
      </w:r>
    </w:p>
    <w:tbl>
      <w:tblPr>
        <w:tblW w:w="5000" w:type="pct"/>
        <w:tblCellMar>
          <w:left w:w="28" w:type="dxa"/>
          <w:right w:w="28" w:type="dxa"/>
        </w:tblCellMar>
        <w:tblLook w:val="04A0" w:firstRow="1" w:lastRow="0" w:firstColumn="1" w:lastColumn="0" w:noHBand="0" w:noVBand="1"/>
      </w:tblPr>
      <w:tblGrid>
        <w:gridCol w:w="2268"/>
        <w:gridCol w:w="1135"/>
        <w:gridCol w:w="2693"/>
        <w:gridCol w:w="2930"/>
      </w:tblGrid>
      <w:tr w:rsidR="00DF397D" w:rsidRPr="00123098" w:rsidTr="004A083C">
        <w:tc>
          <w:tcPr>
            <w:tcW w:w="1885" w:type="pct"/>
            <w:gridSpan w:val="2"/>
            <w:tcBorders>
              <w:top w:val="single" w:sz="4" w:space="0" w:color="auto"/>
              <w:left w:val="nil"/>
              <w:bottom w:val="single" w:sz="4" w:space="0" w:color="auto"/>
              <w:right w:val="nil"/>
            </w:tcBorders>
            <w:vAlign w:val="center"/>
            <w:hideMark/>
          </w:tcPr>
          <w:p w:rsidR="00DF397D" w:rsidRPr="00123098" w:rsidRDefault="00DF397D" w:rsidP="004A083C">
            <w:pPr>
              <w:keepNext/>
              <w:keepLines/>
              <w:snapToGrid w:val="0"/>
              <w:rPr>
                <w:rFonts w:ascii="Arial Narrow" w:hAnsi="Arial Narrow"/>
                <w:b/>
                <w:sz w:val="20"/>
                <w:szCs w:val="20"/>
              </w:rPr>
            </w:pPr>
            <w:bookmarkStart w:id="1" w:name="_Hlk17980414"/>
            <w:r w:rsidRPr="00123098">
              <w:rPr>
                <w:rFonts w:ascii="Arial Narrow" w:hAnsi="Arial Narrow"/>
                <w:b/>
                <w:sz w:val="20"/>
                <w:szCs w:val="20"/>
              </w:rPr>
              <w:t>Name, Restriction,</w:t>
            </w:r>
          </w:p>
          <w:p w:rsidR="00DF397D" w:rsidRPr="00123098" w:rsidRDefault="00DF397D" w:rsidP="004A083C">
            <w:pPr>
              <w:keepNext/>
              <w:keepLines/>
              <w:snapToGrid w:val="0"/>
              <w:rPr>
                <w:rFonts w:ascii="Arial Narrow" w:hAnsi="Arial Narrow"/>
                <w:b/>
                <w:sz w:val="20"/>
                <w:szCs w:val="20"/>
              </w:rPr>
            </w:pPr>
            <w:r w:rsidRPr="00123098">
              <w:rPr>
                <w:rFonts w:ascii="Arial Narrow" w:hAnsi="Arial Narrow"/>
                <w:b/>
                <w:sz w:val="20"/>
                <w:szCs w:val="20"/>
              </w:rPr>
              <w:t>Manner of administration and form</w:t>
            </w:r>
          </w:p>
        </w:tc>
        <w:tc>
          <w:tcPr>
            <w:tcW w:w="1492" w:type="pct"/>
            <w:tcBorders>
              <w:top w:val="single" w:sz="4" w:space="0" w:color="auto"/>
              <w:left w:val="nil"/>
              <w:bottom w:val="single" w:sz="4" w:space="0" w:color="auto"/>
              <w:right w:val="nil"/>
            </w:tcBorders>
            <w:vAlign w:val="center"/>
            <w:hideMark/>
          </w:tcPr>
          <w:p w:rsidR="00DF397D" w:rsidRPr="00123098" w:rsidRDefault="00DF397D" w:rsidP="004A083C">
            <w:pPr>
              <w:keepNext/>
              <w:keepLines/>
              <w:snapToGrid w:val="0"/>
              <w:rPr>
                <w:rFonts w:ascii="Arial Narrow" w:hAnsi="Arial Narrow"/>
                <w:b/>
                <w:sz w:val="20"/>
                <w:szCs w:val="20"/>
              </w:rPr>
            </w:pPr>
            <w:r w:rsidRPr="00123098">
              <w:rPr>
                <w:rFonts w:ascii="Arial Narrow" w:hAnsi="Arial Narrow"/>
                <w:b/>
                <w:sz w:val="20"/>
                <w:szCs w:val="20"/>
              </w:rPr>
              <w:t>Nationally Negotiated Price</w:t>
            </w:r>
          </w:p>
        </w:tc>
        <w:tc>
          <w:tcPr>
            <w:tcW w:w="1623" w:type="pct"/>
            <w:tcBorders>
              <w:top w:val="single" w:sz="4" w:space="0" w:color="auto"/>
              <w:left w:val="nil"/>
              <w:bottom w:val="single" w:sz="4" w:space="0" w:color="auto"/>
              <w:right w:val="nil"/>
            </w:tcBorders>
            <w:vAlign w:val="center"/>
            <w:hideMark/>
          </w:tcPr>
          <w:p w:rsidR="00DF397D" w:rsidRPr="00123098" w:rsidRDefault="00DF397D" w:rsidP="004A083C">
            <w:pPr>
              <w:keepNext/>
              <w:keepLines/>
              <w:snapToGrid w:val="0"/>
              <w:rPr>
                <w:rFonts w:ascii="Arial Narrow" w:hAnsi="Arial Narrow"/>
                <w:b/>
                <w:sz w:val="20"/>
                <w:szCs w:val="20"/>
              </w:rPr>
            </w:pPr>
            <w:r w:rsidRPr="00123098">
              <w:rPr>
                <w:rFonts w:ascii="Arial Narrow" w:hAnsi="Arial Narrow"/>
                <w:b/>
                <w:sz w:val="20"/>
                <w:szCs w:val="20"/>
              </w:rPr>
              <w:t>Proprietary Name and Manufacturer</w:t>
            </w:r>
          </w:p>
        </w:tc>
      </w:tr>
      <w:tr w:rsidR="00DF397D" w:rsidRPr="00123098" w:rsidTr="004A083C">
        <w:tc>
          <w:tcPr>
            <w:tcW w:w="1885" w:type="pct"/>
            <w:gridSpan w:val="2"/>
            <w:vAlign w:val="center"/>
            <w:hideMark/>
          </w:tcPr>
          <w:p w:rsidR="00DF397D" w:rsidRPr="00123098" w:rsidRDefault="00DF397D" w:rsidP="004A083C">
            <w:pPr>
              <w:keepNext/>
              <w:keepLines/>
              <w:rPr>
                <w:rFonts w:ascii="Arial Narrow" w:hAnsi="Arial Narrow"/>
                <w:sz w:val="20"/>
                <w:szCs w:val="20"/>
              </w:rPr>
            </w:pPr>
            <w:r w:rsidRPr="00123098">
              <w:rPr>
                <w:rFonts w:ascii="Arial Narrow" w:hAnsi="Arial Narrow"/>
                <w:sz w:val="20"/>
                <w:szCs w:val="20"/>
              </w:rPr>
              <w:t>Inactivated Quadrivalent Influenza Vaccine (split virion)</w:t>
            </w:r>
          </w:p>
          <w:p w:rsidR="00DF397D" w:rsidRPr="00123098" w:rsidRDefault="00DF397D" w:rsidP="004A083C">
            <w:pPr>
              <w:keepNext/>
              <w:keepLines/>
              <w:rPr>
                <w:rFonts w:ascii="Arial Narrow" w:hAnsi="Arial Narrow"/>
                <w:sz w:val="20"/>
                <w:szCs w:val="20"/>
              </w:rPr>
            </w:pPr>
            <w:r w:rsidRPr="00123098">
              <w:rPr>
                <w:rFonts w:ascii="Arial Narrow" w:hAnsi="Arial Narrow"/>
                <w:sz w:val="20"/>
                <w:szCs w:val="20"/>
              </w:rPr>
              <w:t>Injection 0.5 mL</w:t>
            </w:r>
          </w:p>
        </w:tc>
        <w:tc>
          <w:tcPr>
            <w:tcW w:w="1492" w:type="pct"/>
            <w:vAlign w:val="center"/>
          </w:tcPr>
          <w:p w:rsidR="00DF397D" w:rsidRPr="00894F41" w:rsidRDefault="00DF397D" w:rsidP="004A083C">
            <w:pPr>
              <w:keepNext/>
              <w:keepLines/>
              <w:snapToGrid w:val="0"/>
              <w:rPr>
                <w:rFonts w:ascii="Arial Narrow" w:hAnsi="Arial Narrow"/>
                <w:sz w:val="20"/>
                <w:szCs w:val="20"/>
              </w:rPr>
            </w:pPr>
            <w:r w:rsidRPr="00123098">
              <w:rPr>
                <w:rFonts w:ascii="Arial Narrow" w:hAnsi="Arial Narrow"/>
                <w:sz w:val="20"/>
                <w:szCs w:val="20"/>
              </w:rPr>
              <w:t>$</w:t>
            </w:r>
            <w:r w:rsidR="00894F41">
              <w:rPr>
                <w:rFonts w:ascii="Arial Narrow" w:hAnsi="Arial Narrow"/>
                <w:noProof/>
                <w:color w:val="000000"/>
                <w:sz w:val="20"/>
                <w:szCs w:val="20"/>
                <w:highlight w:val="black"/>
              </w:rPr>
              <w:t>'''''''''''</w:t>
            </w:r>
          </w:p>
          <w:p w:rsidR="00DF397D" w:rsidRPr="00123098" w:rsidRDefault="00DF397D" w:rsidP="004A083C">
            <w:pPr>
              <w:keepNext/>
              <w:keepLines/>
              <w:snapToGrid w:val="0"/>
              <w:rPr>
                <w:rFonts w:ascii="Arial Narrow" w:hAnsi="Arial Narrow"/>
                <w:sz w:val="20"/>
                <w:szCs w:val="20"/>
              </w:rPr>
            </w:pPr>
          </w:p>
        </w:tc>
        <w:tc>
          <w:tcPr>
            <w:tcW w:w="1623" w:type="pct"/>
            <w:vAlign w:val="center"/>
          </w:tcPr>
          <w:p w:rsidR="00DF397D" w:rsidRPr="00123098" w:rsidRDefault="00DF397D" w:rsidP="004A083C">
            <w:pPr>
              <w:keepNext/>
              <w:keepLines/>
              <w:rPr>
                <w:rFonts w:ascii="Arial Narrow" w:hAnsi="Arial Narrow"/>
                <w:sz w:val="20"/>
                <w:szCs w:val="20"/>
              </w:rPr>
            </w:pPr>
            <w:r w:rsidRPr="00123098">
              <w:rPr>
                <w:rFonts w:ascii="Arial Narrow" w:hAnsi="Arial Narrow"/>
                <w:sz w:val="20"/>
                <w:szCs w:val="20"/>
              </w:rPr>
              <w:t>Fluarix® Tetra</w:t>
            </w:r>
          </w:p>
          <w:p w:rsidR="00DF397D" w:rsidRPr="00123098" w:rsidRDefault="00B9142C" w:rsidP="004A083C">
            <w:pPr>
              <w:keepNext/>
              <w:keepLines/>
              <w:snapToGrid w:val="0"/>
              <w:rPr>
                <w:rFonts w:ascii="Arial Narrow" w:hAnsi="Arial Narrow"/>
                <w:sz w:val="20"/>
                <w:szCs w:val="20"/>
              </w:rPr>
            </w:pPr>
            <w:r w:rsidRPr="00123098">
              <w:rPr>
                <w:rFonts w:ascii="Arial Narrow" w:hAnsi="Arial Narrow"/>
                <w:sz w:val="20"/>
                <w:szCs w:val="20"/>
              </w:rPr>
              <w:t>GlaxoSmithKline Australia Pty Ltd</w:t>
            </w:r>
          </w:p>
        </w:tc>
      </w:tr>
      <w:tr w:rsidR="00F92C04" w:rsidRPr="00123098" w:rsidTr="004A083C">
        <w:tc>
          <w:tcPr>
            <w:tcW w:w="1256" w:type="pct"/>
            <w:tcBorders>
              <w:top w:val="single" w:sz="4" w:space="0" w:color="auto"/>
              <w:left w:val="single" w:sz="4" w:space="0" w:color="auto"/>
              <w:bottom w:val="single" w:sz="4" w:space="0" w:color="auto"/>
              <w:right w:val="single" w:sz="4" w:space="0" w:color="auto"/>
            </w:tcBorders>
            <w:hideMark/>
          </w:tcPr>
          <w:p w:rsidR="00F92C04" w:rsidRPr="00123098" w:rsidRDefault="00F92C04" w:rsidP="004A083C">
            <w:pPr>
              <w:keepNext/>
              <w:keepLines/>
              <w:rPr>
                <w:rFonts w:ascii="Arial Narrow" w:hAnsi="Arial Narrow"/>
                <w:b/>
                <w:bCs/>
                <w:sz w:val="20"/>
                <w:szCs w:val="20"/>
              </w:rPr>
            </w:pPr>
            <w:r w:rsidRPr="00123098">
              <w:rPr>
                <w:rFonts w:ascii="Arial Narrow" w:hAnsi="Arial Narrow"/>
                <w:b/>
                <w:bCs/>
                <w:sz w:val="20"/>
                <w:szCs w:val="20"/>
              </w:rPr>
              <w:t>Category/Program</w:t>
            </w:r>
          </w:p>
        </w:tc>
        <w:tc>
          <w:tcPr>
            <w:tcW w:w="3744" w:type="pct"/>
            <w:gridSpan w:val="3"/>
            <w:tcBorders>
              <w:top w:val="single" w:sz="4" w:space="0" w:color="auto"/>
              <w:left w:val="single" w:sz="4" w:space="0" w:color="auto"/>
              <w:bottom w:val="single" w:sz="4" w:space="0" w:color="auto"/>
              <w:right w:val="single" w:sz="4" w:space="0" w:color="auto"/>
            </w:tcBorders>
            <w:hideMark/>
          </w:tcPr>
          <w:p w:rsidR="00F92C04" w:rsidRPr="00123098" w:rsidRDefault="00F92C04" w:rsidP="004A083C">
            <w:pPr>
              <w:keepNext/>
              <w:keepLines/>
              <w:rPr>
                <w:rFonts w:ascii="Arial Narrow" w:hAnsi="Arial Narrow"/>
                <w:b/>
                <w:bCs/>
                <w:sz w:val="20"/>
                <w:szCs w:val="20"/>
              </w:rPr>
            </w:pPr>
            <w:r w:rsidRPr="00123098">
              <w:rPr>
                <w:rFonts w:ascii="Arial Narrow" w:hAnsi="Arial Narrow"/>
                <w:b/>
                <w:bCs/>
                <w:sz w:val="20"/>
                <w:szCs w:val="20"/>
              </w:rPr>
              <w:t>NIP</w:t>
            </w:r>
          </w:p>
        </w:tc>
      </w:tr>
      <w:tr w:rsidR="00176F05" w:rsidRPr="00123098" w:rsidTr="004A083C">
        <w:tc>
          <w:tcPr>
            <w:tcW w:w="5000" w:type="pct"/>
            <w:gridSpan w:val="4"/>
            <w:tcBorders>
              <w:top w:val="single" w:sz="4" w:space="0" w:color="auto"/>
              <w:left w:val="single" w:sz="4" w:space="0" w:color="auto"/>
              <w:bottom w:val="single" w:sz="4" w:space="0" w:color="auto"/>
              <w:right w:val="single" w:sz="4" w:space="0" w:color="auto"/>
            </w:tcBorders>
          </w:tcPr>
          <w:p w:rsidR="00176F05" w:rsidRPr="00FD3BFB" w:rsidRDefault="008D2802" w:rsidP="004A083C">
            <w:pPr>
              <w:keepNext/>
              <w:keepLines/>
              <w:rPr>
                <w:rFonts w:ascii="Arial Narrow" w:hAnsi="Arial Narrow"/>
                <w:iCs/>
                <w:sz w:val="20"/>
                <w:szCs w:val="20"/>
              </w:rPr>
            </w:pPr>
            <w:r>
              <w:rPr>
                <w:rFonts w:ascii="Arial Narrow" w:hAnsi="Arial Narrow"/>
                <w:iCs/>
                <w:sz w:val="20"/>
                <w:szCs w:val="20"/>
              </w:rPr>
              <w:t>Subsection 7 (7A)  For items 207A</w:t>
            </w:r>
            <w:r w:rsidR="00176F05" w:rsidRPr="00FD3BFB">
              <w:rPr>
                <w:rFonts w:ascii="Arial Narrow" w:hAnsi="Arial Narrow"/>
                <w:iCs/>
                <w:sz w:val="20"/>
                <w:szCs w:val="20"/>
              </w:rPr>
              <w:t xml:space="preserve"> of Schedule 1, a designated vaccine mentioned in this item may be provided to:</w:t>
            </w:r>
          </w:p>
        </w:tc>
      </w:tr>
      <w:tr w:rsidR="00F92C04" w:rsidRPr="00123098" w:rsidTr="004A083C">
        <w:tc>
          <w:tcPr>
            <w:tcW w:w="1256" w:type="pct"/>
            <w:tcBorders>
              <w:top w:val="single" w:sz="4" w:space="0" w:color="auto"/>
              <w:left w:val="single" w:sz="4" w:space="0" w:color="auto"/>
              <w:right w:val="single" w:sz="4" w:space="0" w:color="auto"/>
            </w:tcBorders>
            <w:hideMark/>
          </w:tcPr>
          <w:p w:rsidR="00F92C04" w:rsidRPr="00123098" w:rsidRDefault="00F92C04" w:rsidP="004A083C">
            <w:pPr>
              <w:keepNext/>
              <w:keepLines/>
              <w:rPr>
                <w:rFonts w:ascii="Arial Narrow" w:hAnsi="Arial Narrow"/>
                <w:iCs/>
                <w:sz w:val="20"/>
                <w:szCs w:val="20"/>
              </w:rPr>
            </w:pPr>
            <w:r w:rsidRPr="00123098">
              <w:rPr>
                <w:rFonts w:ascii="Arial Narrow" w:hAnsi="Arial Narrow"/>
                <w:iCs/>
                <w:sz w:val="20"/>
                <w:szCs w:val="20"/>
              </w:rPr>
              <w:t>Groups eligible for the requested NIP listing of  Flu</w:t>
            </w:r>
            <w:r w:rsidR="00123098">
              <w:rPr>
                <w:rFonts w:ascii="Arial Narrow" w:hAnsi="Arial Narrow"/>
                <w:iCs/>
                <w:sz w:val="20"/>
                <w:szCs w:val="20"/>
              </w:rPr>
              <w:t>arix® Tetra</w:t>
            </w:r>
            <w:r w:rsidR="002C719A">
              <w:rPr>
                <w:rFonts w:ascii="Arial Narrow" w:hAnsi="Arial Narrow"/>
                <w:iCs/>
                <w:sz w:val="20"/>
                <w:szCs w:val="20"/>
              </w:rPr>
              <w:t xml:space="preserve">, including </w:t>
            </w:r>
          </w:p>
          <w:p w:rsidR="00F92C04" w:rsidRPr="00123098" w:rsidRDefault="00F92C04" w:rsidP="004A083C">
            <w:pPr>
              <w:keepNext/>
              <w:keepLines/>
              <w:rPr>
                <w:rFonts w:ascii="Arial Narrow" w:hAnsi="Arial Narrow"/>
                <w:i/>
                <w:iCs/>
                <w:sz w:val="20"/>
                <w:szCs w:val="20"/>
              </w:rPr>
            </w:pPr>
          </w:p>
          <w:p w:rsidR="00F92C04" w:rsidRPr="00123098" w:rsidRDefault="00F92C04" w:rsidP="004A083C">
            <w:pPr>
              <w:keepNext/>
              <w:keepLines/>
              <w:rPr>
                <w:rFonts w:ascii="Arial Narrow" w:hAnsi="Arial Narrow"/>
                <w:i/>
                <w:iCs/>
                <w:sz w:val="20"/>
                <w:szCs w:val="20"/>
              </w:rPr>
            </w:pPr>
          </w:p>
        </w:tc>
        <w:tc>
          <w:tcPr>
            <w:tcW w:w="3744" w:type="pct"/>
            <w:gridSpan w:val="3"/>
            <w:tcBorders>
              <w:top w:val="single" w:sz="4" w:space="0" w:color="auto"/>
              <w:left w:val="single" w:sz="4" w:space="0" w:color="auto"/>
              <w:right w:val="single" w:sz="4" w:space="0" w:color="auto"/>
            </w:tcBorders>
            <w:hideMark/>
          </w:tcPr>
          <w:p w:rsidR="00176F05" w:rsidRPr="00B1003A" w:rsidRDefault="00176F05" w:rsidP="004A083C">
            <w:pPr>
              <w:keepNext/>
              <w:keepLines/>
              <w:contextualSpacing/>
              <w:rPr>
                <w:rFonts w:ascii="Arial Narrow" w:hAnsi="Arial Narrow"/>
                <w:sz w:val="20"/>
                <w:szCs w:val="20"/>
              </w:rPr>
            </w:pPr>
            <w:r w:rsidRPr="00B1003A">
              <w:rPr>
                <w:rFonts w:ascii="Arial Narrow" w:hAnsi="Arial Narrow"/>
                <w:sz w:val="20"/>
                <w:szCs w:val="20"/>
              </w:rPr>
              <w:t>a person who is at least 65 years; or</w:t>
            </w:r>
          </w:p>
          <w:p w:rsidR="00176F05" w:rsidRPr="00B1003A" w:rsidRDefault="00176F05" w:rsidP="004A083C">
            <w:pPr>
              <w:keepNext/>
              <w:keepLines/>
              <w:contextualSpacing/>
              <w:rPr>
                <w:rFonts w:ascii="Arial Narrow" w:hAnsi="Arial Narrow"/>
                <w:sz w:val="20"/>
                <w:szCs w:val="20"/>
              </w:rPr>
            </w:pPr>
            <w:r w:rsidRPr="00B1003A">
              <w:rPr>
                <w:rFonts w:ascii="Arial Narrow" w:hAnsi="Arial Narrow"/>
                <w:sz w:val="20"/>
                <w:szCs w:val="20"/>
              </w:rPr>
              <w:t>an Aboriginal or Torres Strait Islander person who is at least 6 months; or</w:t>
            </w:r>
          </w:p>
          <w:p w:rsidR="00176F05" w:rsidRPr="00B1003A" w:rsidRDefault="00176F05" w:rsidP="004A083C">
            <w:pPr>
              <w:keepNext/>
              <w:keepLines/>
              <w:contextualSpacing/>
              <w:rPr>
                <w:rFonts w:ascii="Arial Narrow" w:hAnsi="Arial Narrow"/>
                <w:i/>
                <w:iCs/>
                <w:sz w:val="20"/>
                <w:szCs w:val="20"/>
              </w:rPr>
            </w:pPr>
            <w:r w:rsidRPr="00B1003A">
              <w:rPr>
                <w:rFonts w:ascii="Arial Narrow" w:hAnsi="Arial Narrow"/>
                <w:i/>
                <w:iCs/>
                <w:sz w:val="20"/>
                <w:szCs w:val="20"/>
              </w:rPr>
              <w:t>a child who is at least 6 months old but less than 5 years old;</w:t>
            </w:r>
          </w:p>
          <w:p w:rsidR="00176F05" w:rsidRPr="00B1003A" w:rsidRDefault="00176F05" w:rsidP="004A083C">
            <w:pPr>
              <w:keepNext/>
              <w:keepLines/>
              <w:contextualSpacing/>
              <w:rPr>
                <w:rFonts w:ascii="Arial Narrow" w:hAnsi="Arial Narrow" w:cstheme="minorHAnsi"/>
                <w:sz w:val="20"/>
                <w:szCs w:val="20"/>
              </w:rPr>
            </w:pPr>
            <w:r w:rsidRPr="00B1003A">
              <w:rPr>
                <w:rFonts w:ascii="Arial Narrow" w:hAnsi="Arial Narrow"/>
                <w:sz w:val="20"/>
                <w:szCs w:val="20"/>
              </w:rPr>
              <w:t>a person who is at least 6 months who:</w:t>
            </w:r>
          </w:p>
          <w:p w:rsidR="00176F05" w:rsidRPr="00123098" w:rsidRDefault="00176F05" w:rsidP="004A083C">
            <w:pPr>
              <w:pStyle w:val="ListParagraph"/>
              <w:keepNext/>
              <w:keepLines/>
              <w:numPr>
                <w:ilvl w:val="1"/>
                <w:numId w:val="9"/>
              </w:numPr>
              <w:spacing w:after="0"/>
              <w:ind w:left="1276"/>
              <w:contextualSpacing/>
              <w:jc w:val="both"/>
              <w:rPr>
                <w:rFonts w:ascii="Arial Narrow" w:hAnsi="Arial Narrow"/>
                <w:sz w:val="20"/>
                <w:szCs w:val="20"/>
              </w:rPr>
            </w:pPr>
            <w:r w:rsidRPr="00123098">
              <w:rPr>
                <w:rFonts w:ascii="Arial Narrow" w:hAnsi="Arial Narrow"/>
                <w:sz w:val="20"/>
                <w:szCs w:val="20"/>
              </w:rPr>
              <w:t>has cardiac disease including cyanotic congenital heart disease, coronary artery disease and congestive heart failure; or</w:t>
            </w:r>
          </w:p>
          <w:p w:rsidR="00176F05" w:rsidRPr="00123098" w:rsidRDefault="00176F05" w:rsidP="004A083C">
            <w:pPr>
              <w:pStyle w:val="ListParagraph"/>
              <w:keepNext/>
              <w:keepLines/>
              <w:numPr>
                <w:ilvl w:val="1"/>
                <w:numId w:val="9"/>
              </w:numPr>
              <w:spacing w:after="0"/>
              <w:ind w:left="1276"/>
              <w:contextualSpacing/>
              <w:jc w:val="both"/>
              <w:rPr>
                <w:rFonts w:ascii="Arial Narrow" w:hAnsi="Arial Narrow"/>
                <w:sz w:val="20"/>
                <w:szCs w:val="20"/>
              </w:rPr>
            </w:pPr>
            <w:r w:rsidRPr="00123098">
              <w:rPr>
                <w:rFonts w:ascii="Arial Narrow" w:hAnsi="Arial Narrow"/>
                <w:sz w:val="20"/>
                <w:szCs w:val="20"/>
              </w:rPr>
              <w:t>has a chronic respiratory condition including suppurative lung disease, bronchiectasis, cystic fibrosis, chronic obstructive pulmonary disease, chronic emphysema and severe asthma; or</w:t>
            </w:r>
          </w:p>
          <w:p w:rsidR="00176F05" w:rsidRPr="00123098" w:rsidRDefault="00176F05" w:rsidP="004A083C">
            <w:pPr>
              <w:pStyle w:val="ListParagraph"/>
              <w:keepNext/>
              <w:keepLines/>
              <w:numPr>
                <w:ilvl w:val="1"/>
                <w:numId w:val="9"/>
              </w:numPr>
              <w:spacing w:after="0"/>
              <w:ind w:left="1276"/>
              <w:contextualSpacing/>
              <w:jc w:val="both"/>
              <w:rPr>
                <w:rFonts w:ascii="Arial Narrow" w:hAnsi="Arial Narrow"/>
                <w:sz w:val="20"/>
                <w:szCs w:val="20"/>
              </w:rPr>
            </w:pPr>
            <w:r w:rsidRPr="00123098">
              <w:rPr>
                <w:rFonts w:ascii="Arial Narrow" w:hAnsi="Arial Narrow"/>
                <w:sz w:val="20"/>
                <w:szCs w:val="20"/>
              </w:rPr>
              <w:t>has another chronic illness requiring regular medical follow</w:t>
            </w:r>
            <w:r w:rsidRPr="00123098">
              <w:rPr>
                <w:rFonts w:ascii="Arial Narrow" w:hAnsi="Arial Narrow"/>
                <w:sz w:val="20"/>
                <w:szCs w:val="20"/>
              </w:rPr>
              <w:noBreakHyphen/>
              <w:t>up or hospitalisation in the preceding year, including diabetes mellitus, chronic metabolic diseases, chronic renal failure, haemoglobinopathies and impaired immunity (including drug</w:t>
            </w:r>
            <w:r w:rsidRPr="00123098">
              <w:rPr>
                <w:rFonts w:ascii="Arial Narrow" w:hAnsi="Arial Narrow"/>
                <w:sz w:val="20"/>
                <w:szCs w:val="20"/>
              </w:rPr>
              <w:noBreakHyphen/>
              <w:t>induced immune impairment); or</w:t>
            </w:r>
          </w:p>
          <w:p w:rsidR="00176F05" w:rsidRPr="00123098" w:rsidRDefault="00176F05" w:rsidP="004A083C">
            <w:pPr>
              <w:pStyle w:val="ListParagraph"/>
              <w:keepNext/>
              <w:keepLines/>
              <w:numPr>
                <w:ilvl w:val="1"/>
                <w:numId w:val="9"/>
              </w:numPr>
              <w:spacing w:after="0"/>
              <w:ind w:left="1276"/>
              <w:contextualSpacing/>
              <w:jc w:val="both"/>
              <w:rPr>
                <w:rFonts w:ascii="Arial Narrow" w:hAnsi="Arial Narrow"/>
                <w:sz w:val="20"/>
                <w:szCs w:val="20"/>
              </w:rPr>
            </w:pPr>
            <w:r w:rsidRPr="00123098">
              <w:rPr>
                <w:rFonts w:ascii="Arial Narrow" w:hAnsi="Arial Narrow"/>
                <w:sz w:val="20"/>
                <w:szCs w:val="20"/>
              </w:rPr>
              <w:t>has a chronic neurological condition, including multiple sclerosis, spinal cord injuries, seizure disorders or other neuromuscular disorders; or</w:t>
            </w:r>
          </w:p>
          <w:p w:rsidR="00176F05" w:rsidRPr="00123098" w:rsidRDefault="00176F05" w:rsidP="004A083C">
            <w:pPr>
              <w:pStyle w:val="ListParagraph"/>
              <w:keepNext/>
              <w:keepLines/>
              <w:numPr>
                <w:ilvl w:val="1"/>
                <w:numId w:val="9"/>
              </w:numPr>
              <w:spacing w:after="0"/>
              <w:ind w:left="1276"/>
              <w:contextualSpacing/>
              <w:jc w:val="both"/>
              <w:rPr>
                <w:rFonts w:ascii="Arial Narrow" w:hAnsi="Arial Narrow"/>
                <w:sz w:val="20"/>
                <w:szCs w:val="20"/>
              </w:rPr>
            </w:pPr>
            <w:r w:rsidRPr="00123098">
              <w:rPr>
                <w:rFonts w:ascii="Arial Narrow" w:hAnsi="Arial Narrow"/>
                <w:sz w:val="20"/>
                <w:szCs w:val="20"/>
              </w:rPr>
              <w:t>has impaired immunity, including HIV infection; or</w:t>
            </w:r>
          </w:p>
          <w:p w:rsidR="00547D08" w:rsidRDefault="00176F05" w:rsidP="00547D08">
            <w:pPr>
              <w:pStyle w:val="ListParagraph"/>
              <w:keepNext/>
              <w:keepLines/>
              <w:numPr>
                <w:ilvl w:val="1"/>
                <w:numId w:val="9"/>
              </w:numPr>
              <w:spacing w:after="0"/>
              <w:ind w:left="1276"/>
              <w:contextualSpacing/>
              <w:jc w:val="both"/>
              <w:rPr>
                <w:rFonts w:ascii="Arial Narrow" w:hAnsi="Arial Narrow"/>
                <w:sz w:val="20"/>
                <w:szCs w:val="20"/>
              </w:rPr>
            </w:pPr>
            <w:r w:rsidRPr="00123098">
              <w:rPr>
                <w:rFonts w:ascii="Arial Narrow" w:hAnsi="Arial Narrow"/>
                <w:sz w:val="20"/>
                <w:szCs w:val="20"/>
              </w:rPr>
              <w:t xml:space="preserve">is less than 11 years and is receiving long term aspirin therapy; </w:t>
            </w:r>
          </w:p>
          <w:p w:rsidR="00F92C04" w:rsidRPr="00547D08" w:rsidRDefault="00176F05" w:rsidP="00547D08">
            <w:pPr>
              <w:keepNext/>
              <w:keepLines/>
              <w:contextualSpacing/>
              <w:rPr>
                <w:rFonts w:ascii="Arial Narrow" w:hAnsi="Arial Narrow"/>
                <w:sz w:val="20"/>
                <w:szCs w:val="20"/>
              </w:rPr>
            </w:pPr>
            <w:r w:rsidRPr="00547D08">
              <w:rPr>
                <w:rFonts w:ascii="Arial Narrow" w:hAnsi="Arial Narrow"/>
                <w:sz w:val="20"/>
                <w:szCs w:val="20"/>
              </w:rPr>
              <w:t>or a woman who is pregnant.</w:t>
            </w:r>
          </w:p>
        </w:tc>
      </w:tr>
      <w:tr w:rsidR="00F92C04" w:rsidRPr="00123098" w:rsidTr="004A083C">
        <w:tc>
          <w:tcPr>
            <w:tcW w:w="1256" w:type="pct"/>
            <w:tcBorders>
              <w:top w:val="single" w:sz="4" w:space="0" w:color="auto"/>
              <w:left w:val="single" w:sz="4" w:space="0" w:color="auto"/>
              <w:bottom w:val="single" w:sz="4" w:space="0" w:color="auto"/>
              <w:right w:val="single" w:sz="4" w:space="0" w:color="auto"/>
            </w:tcBorders>
            <w:hideMark/>
          </w:tcPr>
          <w:p w:rsidR="00F92C04" w:rsidRPr="00123098" w:rsidRDefault="00F92C04" w:rsidP="004A083C">
            <w:pPr>
              <w:keepNext/>
              <w:keepLines/>
              <w:rPr>
                <w:rFonts w:ascii="Arial Narrow" w:hAnsi="Arial Narrow"/>
                <w:sz w:val="20"/>
                <w:szCs w:val="20"/>
              </w:rPr>
            </w:pPr>
            <w:r w:rsidRPr="00123098">
              <w:rPr>
                <w:rFonts w:ascii="Arial Narrow" w:hAnsi="Arial Narrow"/>
                <w:sz w:val="20"/>
                <w:szCs w:val="20"/>
              </w:rPr>
              <w:t>Number and timing of doses</w:t>
            </w:r>
          </w:p>
        </w:tc>
        <w:tc>
          <w:tcPr>
            <w:tcW w:w="3744" w:type="pct"/>
            <w:gridSpan w:val="3"/>
            <w:tcBorders>
              <w:top w:val="single" w:sz="4" w:space="0" w:color="auto"/>
              <w:left w:val="single" w:sz="4" w:space="0" w:color="auto"/>
              <w:bottom w:val="single" w:sz="4" w:space="0" w:color="auto"/>
              <w:right w:val="single" w:sz="4" w:space="0" w:color="auto"/>
            </w:tcBorders>
            <w:hideMark/>
          </w:tcPr>
          <w:p w:rsidR="00F92C04" w:rsidRPr="00123098" w:rsidRDefault="00F92C04" w:rsidP="004A083C">
            <w:pPr>
              <w:keepNext/>
              <w:keepLines/>
              <w:rPr>
                <w:rFonts w:ascii="Arial Narrow" w:hAnsi="Arial Narrow"/>
                <w:sz w:val="20"/>
                <w:szCs w:val="20"/>
              </w:rPr>
            </w:pPr>
            <w:r w:rsidRPr="00123098">
              <w:rPr>
                <w:rFonts w:ascii="Arial Narrow" w:hAnsi="Arial Narrow"/>
                <w:sz w:val="20"/>
                <w:szCs w:val="20"/>
              </w:rPr>
              <w:t>Should be administered in accordance with the national recommendation as per the current Immunisation Handbook:</w:t>
            </w:r>
          </w:p>
          <w:p w:rsidR="00F92C04" w:rsidRPr="00123098" w:rsidRDefault="00F92C04" w:rsidP="004A083C">
            <w:pPr>
              <w:keepNext/>
              <w:keepLines/>
              <w:rPr>
                <w:rFonts w:ascii="Arial Narrow" w:hAnsi="Arial Narrow"/>
                <w:sz w:val="20"/>
                <w:szCs w:val="20"/>
              </w:rPr>
            </w:pPr>
            <w:r w:rsidRPr="00123098">
              <w:rPr>
                <w:rFonts w:ascii="Arial Narrow" w:hAnsi="Arial Narrow"/>
                <w:sz w:val="20"/>
                <w:szCs w:val="20"/>
              </w:rPr>
              <w:t xml:space="preserve">Children </w:t>
            </w:r>
            <w:r w:rsidRPr="00123098">
              <w:rPr>
                <w:rFonts w:ascii="Arial Narrow" w:hAnsi="Arial Narrow"/>
                <w:i/>
                <w:iCs/>
                <w:sz w:val="20"/>
                <w:szCs w:val="20"/>
              </w:rPr>
              <w:t>≥</w:t>
            </w:r>
            <w:r w:rsidRPr="00123098">
              <w:rPr>
                <w:rFonts w:ascii="Arial Narrow" w:hAnsi="Arial Narrow"/>
                <w:sz w:val="20"/>
                <w:szCs w:val="20"/>
              </w:rPr>
              <w:t>6 months to &lt;9 years of age:</w:t>
            </w:r>
          </w:p>
          <w:p w:rsidR="00F92C04" w:rsidRPr="00123098" w:rsidRDefault="00F92C04" w:rsidP="004A083C">
            <w:pPr>
              <w:pStyle w:val="TableText0"/>
              <w:keepLines/>
              <w:numPr>
                <w:ilvl w:val="0"/>
                <w:numId w:val="11"/>
              </w:numPr>
              <w:jc w:val="both"/>
              <w:rPr>
                <w:szCs w:val="20"/>
              </w:rPr>
            </w:pPr>
            <w:r w:rsidRPr="00123098">
              <w:rPr>
                <w:szCs w:val="20"/>
              </w:rPr>
              <w:t>If the child has not previously been vaccinated: two 0.5 ml injections at least one month apart.</w:t>
            </w:r>
          </w:p>
          <w:p w:rsidR="00F92C04" w:rsidRPr="00123098" w:rsidRDefault="00F92C04" w:rsidP="004A083C">
            <w:pPr>
              <w:pStyle w:val="TableText0"/>
              <w:keepLines/>
              <w:numPr>
                <w:ilvl w:val="0"/>
                <w:numId w:val="11"/>
              </w:numPr>
              <w:jc w:val="both"/>
              <w:rPr>
                <w:i/>
                <w:szCs w:val="20"/>
              </w:rPr>
            </w:pPr>
            <w:r w:rsidRPr="00123098">
              <w:rPr>
                <w:szCs w:val="20"/>
              </w:rPr>
              <w:t>If the child has been previously vaccinated: a single 0.5 ml injection.</w:t>
            </w:r>
          </w:p>
        </w:tc>
      </w:tr>
      <w:bookmarkEnd w:id="1"/>
    </w:tbl>
    <w:p w:rsidR="00FD3BFB" w:rsidRDefault="00FD3BFB" w:rsidP="007C7625">
      <w:pPr>
        <w:widowControl w:val="0"/>
      </w:pPr>
    </w:p>
    <w:p w:rsidR="00423639" w:rsidRPr="00010BE8" w:rsidRDefault="00423639" w:rsidP="004A083C">
      <w:pPr>
        <w:pStyle w:val="Bodytextitalics"/>
        <w:ind w:left="709"/>
      </w:pPr>
      <w:r w:rsidRPr="00423639">
        <w:t>For more detail on PBAC’s view, see section 6 PBAC outcome.</w:t>
      </w:r>
    </w:p>
    <w:p w:rsidR="005A3173" w:rsidRPr="00CB1818" w:rsidRDefault="005A3173" w:rsidP="007C7625">
      <w:pPr>
        <w:pStyle w:val="Heading1"/>
        <w:keepLines/>
        <w:numPr>
          <w:ilvl w:val="0"/>
          <w:numId w:val="3"/>
        </w:numPr>
        <w:spacing w:before="240"/>
        <w:ind w:left="709" w:hanging="709"/>
        <w:jc w:val="both"/>
        <w:rPr>
          <w:sz w:val="32"/>
          <w:szCs w:val="32"/>
        </w:rPr>
      </w:pPr>
      <w:r w:rsidRPr="00CB1818">
        <w:rPr>
          <w:sz w:val="32"/>
          <w:szCs w:val="32"/>
        </w:rPr>
        <w:t>Comparator</w:t>
      </w:r>
      <w:r w:rsidR="0099465B" w:rsidRPr="00CB1818">
        <w:rPr>
          <w:sz w:val="32"/>
          <w:szCs w:val="32"/>
        </w:rPr>
        <w:t xml:space="preserve"> </w:t>
      </w:r>
    </w:p>
    <w:p w:rsidR="00180713" w:rsidRPr="00423639" w:rsidRDefault="00FF2801" w:rsidP="004A083C">
      <w:pPr>
        <w:pStyle w:val="3Bodytext"/>
      </w:pPr>
      <w:r w:rsidRPr="00753543">
        <w:t>The minor submission nominated</w:t>
      </w:r>
      <w:r w:rsidR="00CB1193" w:rsidRPr="00753543">
        <w:t xml:space="preserve"> </w:t>
      </w:r>
      <w:r w:rsidR="00E85A9C" w:rsidRPr="00753543">
        <w:t xml:space="preserve">Vaxigrip Tetra </w:t>
      </w:r>
      <w:r w:rsidR="00CB1193" w:rsidRPr="00753543">
        <w:t>as the main comparator</w:t>
      </w:r>
      <w:r w:rsidR="008A62F5" w:rsidRPr="00753543">
        <w:t xml:space="preserve"> given that</w:t>
      </w:r>
      <w:r w:rsidR="00E85A9C" w:rsidRPr="00753543">
        <w:t xml:space="preserve"> this was the first QIV recommended</w:t>
      </w:r>
      <w:r w:rsidR="008A62F5" w:rsidRPr="00753543">
        <w:t xml:space="preserve"> for use</w:t>
      </w:r>
      <w:r w:rsidR="00E85A9C" w:rsidRPr="00753543">
        <w:t xml:space="preserve"> in </w:t>
      </w:r>
      <w:r w:rsidR="009E1DE1">
        <w:t xml:space="preserve">healthy </w:t>
      </w:r>
      <w:r w:rsidR="008A62F5" w:rsidRPr="00753543">
        <w:rPr>
          <w:lang w:bidi="en-US"/>
        </w:rPr>
        <w:t>children aged 6 months to &lt;5 years</w:t>
      </w:r>
      <w:r w:rsidR="008A62F5" w:rsidRPr="00753543">
        <w:t xml:space="preserve"> at the </w:t>
      </w:r>
      <w:r w:rsidR="00E85A9C" w:rsidRPr="00753543">
        <w:t>July 2019</w:t>
      </w:r>
      <w:r w:rsidR="00753543" w:rsidRPr="00753543">
        <w:t xml:space="preserve"> PBAC</w:t>
      </w:r>
      <w:r w:rsidR="008A62F5" w:rsidRPr="00753543">
        <w:t xml:space="preserve"> meeting. T</w:t>
      </w:r>
      <w:r w:rsidR="008D0697" w:rsidRPr="00753543">
        <w:t xml:space="preserve">he submission </w:t>
      </w:r>
      <w:r w:rsidR="00753543" w:rsidRPr="00753543">
        <w:t xml:space="preserve">also </w:t>
      </w:r>
      <w:r w:rsidR="00B85EDA" w:rsidRPr="00753543">
        <w:t xml:space="preserve">nominated </w:t>
      </w:r>
      <w:r w:rsidR="008D0697" w:rsidRPr="00753543">
        <w:t>FluQuadri</w:t>
      </w:r>
      <w:r w:rsidR="004904B9" w:rsidRPr="00753543">
        <w:t xml:space="preserve"> </w:t>
      </w:r>
      <w:r w:rsidR="00B85EDA" w:rsidRPr="00753543">
        <w:t>as an alternative comparator</w:t>
      </w:r>
      <w:r w:rsidR="00886439">
        <w:t xml:space="preserve">. </w:t>
      </w:r>
      <w:r w:rsidR="00886439" w:rsidRPr="00A04714">
        <w:t xml:space="preserve">The </w:t>
      </w:r>
      <w:r w:rsidR="005369BE">
        <w:t xml:space="preserve">PBAC </w:t>
      </w:r>
      <w:r w:rsidR="00802C52" w:rsidRPr="00A04714">
        <w:t xml:space="preserve">noted </w:t>
      </w:r>
      <w:r w:rsidR="005369BE">
        <w:t xml:space="preserve">it had </w:t>
      </w:r>
      <w:r w:rsidR="00802C52" w:rsidRPr="00A04714">
        <w:t xml:space="preserve">previously </w:t>
      </w:r>
      <w:r w:rsidR="00FC0568" w:rsidRPr="00A04714">
        <w:t>accepted the claim of non-</w:t>
      </w:r>
      <w:r w:rsidR="00101985" w:rsidRPr="00A04714">
        <w:t>inferiority</w:t>
      </w:r>
      <w:r w:rsidR="00FC0568" w:rsidRPr="00A04714">
        <w:t xml:space="preserve"> of </w:t>
      </w:r>
      <w:r w:rsidR="00101985" w:rsidRPr="00A04714">
        <w:t xml:space="preserve">FluQuadri </w:t>
      </w:r>
      <w:r w:rsidR="00FC0568" w:rsidRPr="00A04714">
        <w:t xml:space="preserve">compared with </w:t>
      </w:r>
      <w:r w:rsidR="00101985" w:rsidRPr="00A04714">
        <w:t xml:space="preserve">Vaxigrip Tetra </w:t>
      </w:r>
      <w:r w:rsidR="00FC0568" w:rsidRPr="00A04714">
        <w:t xml:space="preserve">in terms of comparative effectiveness and safety </w:t>
      </w:r>
      <w:r w:rsidR="005369BE">
        <w:t xml:space="preserve">in this population </w:t>
      </w:r>
      <w:r w:rsidR="00FC0568" w:rsidRPr="00A04714">
        <w:t>(</w:t>
      </w:r>
      <w:r w:rsidR="008E7035" w:rsidRPr="00A04714">
        <w:t xml:space="preserve">paragraph 7.1, </w:t>
      </w:r>
      <w:r w:rsidR="00FC0568" w:rsidRPr="00A04714">
        <w:t xml:space="preserve">FluQuadri PSD, November 2019). </w:t>
      </w:r>
    </w:p>
    <w:p w:rsidR="00423639" w:rsidRPr="004A083C" w:rsidRDefault="00423639" w:rsidP="004A083C">
      <w:pPr>
        <w:pStyle w:val="Bodytextitalics"/>
        <w:ind w:left="709"/>
      </w:pPr>
      <w:r w:rsidRPr="00423639">
        <w:t>For more detail on PBAC’s view, see section 6 PBAC outcome.</w:t>
      </w:r>
    </w:p>
    <w:p w:rsidR="000B558D" w:rsidRDefault="008D7A41" w:rsidP="004A083C">
      <w:pPr>
        <w:pStyle w:val="Heading1"/>
        <w:keepNext/>
        <w:keepLines/>
        <w:numPr>
          <w:ilvl w:val="0"/>
          <w:numId w:val="3"/>
        </w:numPr>
        <w:spacing w:before="240"/>
        <w:ind w:left="709" w:hanging="709"/>
        <w:jc w:val="both"/>
        <w:rPr>
          <w:sz w:val="32"/>
          <w:szCs w:val="32"/>
        </w:rPr>
      </w:pPr>
      <w:r w:rsidRPr="003C2FB5">
        <w:rPr>
          <w:sz w:val="32"/>
          <w:szCs w:val="32"/>
        </w:rPr>
        <w:t>C</w:t>
      </w:r>
      <w:r w:rsidR="00D84934" w:rsidRPr="003C2FB5">
        <w:rPr>
          <w:sz w:val="32"/>
          <w:szCs w:val="32"/>
        </w:rPr>
        <w:t>onsideration of the evidence</w:t>
      </w:r>
    </w:p>
    <w:p w:rsidR="002A7DD2" w:rsidRPr="00854B40" w:rsidRDefault="002A7DD2" w:rsidP="004A083C">
      <w:pPr>
        <w:pStyle w:val="4-SubsectionHeading"/>
        <w:keepLines/>
        <w:rPr>
          <w:lang w:eastAsia="en-US"/>
        </w:rPr>
      </w:pPr>
      <w:r w:rsidRPr="00854B40">
        <w:rPr>
          <w:lang w:eastAsia="en-US"/>
        </w:rPr>
        <w:t>Sponsor hearing</w:t>
      </w:r>
    </w:p>
    <w:p w:rsidR="002A7DD2" w:rsidRDefault="002A7DD2" w:rsidP="004A083C">
      <w:pPr>
        <w:pStyle w:val="3Bodytext"/>
        <w:keepNext/>
        <w:keepLines/>
      </w:pPr>
      <w:r>
        <w:t>There was no hearing for this item as it was a minor submission.</w:t>
      </w:r>
    </w:p>
    <w:p w:rsidR="002A7DD2" w:rsidRPr="00287A0B" w:rsidRDefault="002A7DD2" w:rsidP="007C7625">
      <w:pPr>
        <w:pStyle w:val="4-SubsectionHeading"/>
        <w:keepNext w:val="0"/>
        <w:rPr>
          <w:lang w:eastAsia="en-US"/>
        </w:rPr>
      </w:pPr>
      <w:r w:rsidRPr="00287A0B">
        <w:rPr>
          <w:lang w:eastAsia="en-US"/>
        </w:rPr>
        <w:t>Consumer comments</w:t>
      </w:r>
    </w:p>
    <w:p w:rsidR="002A7DD2" w:rsidRDefault="002A7DD2" w:rsidP="004A083C">
      <w:pPr>
        <w:pStyle w:val="3Bodytext"/>
        <w:rPr>
          <w:snapToGrid w:val="0"/>
        </w:rPr>
      </w:pPr>
      <w:r w:rsidRPr="00836F75">
        <w:rPr>
          <w:snapToGrid w:val="0"/>
        </w:rPr>
        <w:t xml:space="preserve">The PBAC noted and welcomed the input from </w:t>
      </w:r>
      <w:r w:rsidR="00176104">
        <w:rPr>
          <w:snapToGrid w:val="0"/>
        </w:rPr>
        <w:t xml:space="preserve">one </w:t>
      </w:r>
      <w:r w:rsidRPr="00836F75">
        <w:rPr>
          <w:snapToGrid w:val="0"/>
        </w:rPr>
        <w:t xml:space="preserve">organisation via the Consumer Comments facility on the PBS website. </w:t>
      </w:r>
      <w:r w:rsidR="003D1123">
        <w:rPr>
          <w:snapToGrid w:val="0"/>
        </w:rPr>
        <w:t xml:space="preserve">Lung Foundation Australia </w:t>
      </w:r>
      <w:r w:rsidR="008C4849">
        <w:rPr>
          <w:snapToGrid w:val="0"/>
        </w:rPr>
        <w:t xml:space="preserve">was supportive of </w:t>
      </w:r>
      <w:r w:rsidR="00F86A60">
        <w:rPr>
          <w:snapToGrid w:val="0"/>
        </w:rPr>
        <w:t xml:space="preserve">the requested extension to </w:t>
      </w:r>
      <w:r w:rsidR="008C4849">
        <w:rPr>
          <w:snapToGrid w:val="0"/>
        </w:rPr>
        <w:t xml:space="preserve">the </w:t>
      </w:r>
      <w:r w:rsidR="004D078E">
        <w:rPr>
          <w:snapToGrid w:val="0"/>
        </w:rPr>
        <w:t xml:space="preserve">existing </w:t>
      </w:r>
      <w:r w:rsidR="008C4849">
        <w:rPr>
          <w:snapToGrid w:val="0"/>
        </w:rPr>
        <w:t xml:space="preserve">listing of </w:t>
      </w:r>
      <w:r w:rsidR="00AE6C23">
        <w:rPr>
          <w:snapToGrid w:val="0"/>
        </w:rPr>
        <w:t>Fluarix Tetra</w:t>
      </w:r>
      <w:r w:rsidR="00F86A60">
        <w:rPr>
          <w:snapToGrid w:val="0"/>
        </w:rPr>
        <w:t>, and noted that an additional QIV available for NIP</w:t>
      </w:r>
      <w:r w:rsidR="00537899">
        <w:rPr>
          <w:snapToGrid w:val="0"/>
        </w:rPr>
        <w:t>-</w:t>
      </w:r>
      <w:r w:rsidR="00F86A60">
        <w:rPr>
          <w:snapToGrid w:val="0"/>
        </w:rPr>
        <w:t xml:space="preserve">funded vaccination </w:t>
      </w:r>
      <w:r w:rsidR="004D078E">
        <w:rPr>
          <w:snapToGrid w:val="0"/>
        </w:rPr>
        <w:t xml:space="preserve">in healthy </w:t>
      </w:r>
      <w:r w:rsidR="004D078E" w:rsidRPr="007F2BDD">
        <w:rPr>
          <w:rStyle w:val="3-BodyTextChar"/>
        </w:rPr>
        <w:t>children aged 6</w:t>
      </w:r>
      <w:r w:rsidR="004D078E">
        <w:rPr>
          <w:rStyle w:val="3-BodyTextChar"/>
        </w:rPr>
        <w:t xml:space="preserve"> </w:t>
      </w:r>
      <w:r w:rsidR="004D078E" w:rsidRPr="007F2BDD">
        <w:rPr>
          <w:rStyle w:val="3-BodyTextChar"/>
        </w:rPr>
        <w:t>months to &lt;5 years</w:t>
      </w:r>
      <w:r w:rsidR="004D078E">
        <w:rPr>
          <w:snapToGrid w:val="0"/>
        </w:rPr>
        <w:t xml:space="preserve"> </w:t>
      </w:r>
      <w:r w:rsidR="00F86A60">
        <w:rPr>
          <w:snapToGrid w:val="0"/>
        </w:rPr>
        <w:t xml:space="preserve">would provide </w:t>
      </w:r>
      <w:r w:rsidR="000A0132">
        <w:rPr>
          <w:snapToGrid w:val="0"/>
        </w:rPr>
        <w:t xml:space="preserve">a range of benefits by </w:t>
      </w:r>
      <w:r w:rsidR="009B6A8B">
        <w:rPr>
          <w:snapToGrid w:val="0"/>
        </w:rPr>
        <w:t>ensur</w:t>
      </w:r>
      <w:r w:rsidR="000A0132">
        <w:rPr>
          <w:snapToGrid w:val="0"/>
        </w:rPr>
        <w:t>ing</w:t>
      </w:r>
      <w:r w:rsidR="009B6A8B">
        <w:rPr>
          <w:snapToGrid w:val="0"/>
        </w:rPr>
        <w:t xml:space="preserve"> </w:t>
      </w:r>
      <w:r w:rsidR="00077238">
        <w:rPr>
          <w:snapToGrid w:val="0"/>
        </w:rPr>
        <w:t>continued access to required vaccines at the right times</w:t>
      </w:r>
      <w:r w:rsidR="000A0132">
        <w:rPr>
          <w:snapToGrid w:val="0"/>
        </w:rPr>
        <w:t xml:space="preserve">. The comments </w:t>
      </w:r>
      <w:r w:rsidR="00002C7A">
        <w:rPr>
          <w:snapToGrid w:val="0"/>
        </w:rPr>
        <w:t xml:space="preserve">emphasized </w:t>
      </w:r>
      <w:r w:rsidR="000A0132">
        <w:rPr>
          <w:snapToGrid w:val="0"/>
        </w:rPr>
        <w:t xml:space="preserve">that </w:t>
      </w:r>
      <w:r w:rsidR="00002C7A">
        <w:rPr>
          <w:snapToGrid w:val="0"/>
        </w:rPr>
        <w:t>vaccination for the prevention of seasonal influenza in this population would reduce costs</w:t>
      </w:r>
      <w:r w:rsidR="00077238">
        <w:rPr>
          <w:snapToGrid w:val="0"/>
        </w:rPr>
        <w:t xml:space="preserve"> to health systems, the risk of disease, disability and death associated with influenza outbreaks, the economic and social burden experienced </w:t>
      </w:r>
      <w:r w:rsidR="008918DF">
        <w:rPr>
          <w:snapToGrid w:val="0"/>
        </w:rPr>
        <w:t xml:space="preserve">by </w:t>
      </w:r>
      <w:r w:rsidR="00077238">
        <w:rPr>
          <w:snapToGrid w:val="0"/>
        </w:rPr>
        <w:t>parents required to care for ill children</w:t>
      </w:r>
      <w:r w:rsidR="008918DF">
        <w:rPr>
          <w:snapToGrid w:val="0"/>
        </w:rPr>
        <w:t>,</w:t>
      </w:r>
      <w:r w:rsidR="00077238">
        <w:rPr>
          <w:snapToGrid w:val="0"/>
        </w:rPr>
        <w:t xml:space="preserve"> and strengthening the respiratory health of the Australian community. </w:t>
      </w:r>
    </w:p>
    <w:p w:rsidR="00D84934" w:rsidRPr="00937958" w:rsidRDefault="00D84934" w:rsidP="007C7625">
      <w:pPr>
        <w:pStyle w:val="4-SubsectionHeading"/>
        <w:keepNext w:val="0"/>
        <w:rPr>
          <w:lang w:eastAsia="en-US"/>
        </w:rPr>
      </w:pPr>
      <w:r w:rsidRPr="003C2FB5">
        <w:rPr>
          <w:lang w:eastAsia="en-US"/>
        </w:rPr>
        <w:t>Clinical trials</w:t>
      </w:r>
      <w:r w:rsidR="0099465B">
        <w:rPr>
          <w:lang w:eastAsia="en-US"/>
        </w:rPr>
        <w:t xml:space="preserve"> </w:t>
      </w:r>
    </w:p>
    <w:p w:rsidR="0076420C" w:rsidRPr="002A7DD2" w:rsidRDefault="00980B0E" w:rsidP="004A083C">
      <w:pPr>
        <w:pStyle w:val="3Bodytext"/>
        <w:rPr>
          <w:iCs/>
        </w:rPr>
      </w:pPr>
      <w:r w:rsidRPr="00C663CF">
        <w:t xml:space="preserve">The minor submission was based on </w:t>
      </w:r>
      <w:r w:rsidR="00C027A4" w:rsidRPr="00C663CF">
        <w:t xml:space="preserve">a naïve </w:t>
      </w:r>
      <w:r w:rsidR="00F43CB4">
        <w:t xml:space="preserve">indirect </w:t>
      </w:r>
      <w:r w:rsidR="00C027A4" w:rsidRPr="00C663CF">
        <w:t xml:space="preserve">comparison of </w:t>
      </w:r>
      <w:r w:rsidR="002064C9" w:rsidRPr="00C663CF">
        <w:t xml:space="preserve">two studies </w:t>
      </w:r>
      <w:r w:rsidR="00C663CF" w:rsidRPr="00C663CF">
        <w:t>(Study D-QIV-004 and GQM05)</w:t>
      </w:r>
      <w:r w:rsidR="00C663CF">
        <w:t xml:space="preserve"> </w:t>
      </w:r>
      <w:r w:rsidR="00BB0944" w:rsidRPr="00C663CF">
        <w:t>in the absence of a head-to-head trial comparing Fluarix Tetra to Vaxigrip Tetra</w:t>
      </w:r>
      <w:r w:rsidR="00432352" w:rsidRPr="00C663CF">
        <w:t xml:space="preserve"> in children aged 6 to 35 months</w:t>
      </w:r>
      <w:r w:rsidR="00CB5AAD" w:rsidRPr="00C663CF">
        <w:t xml:space="preserve">. </w:t>
      </w:r>
      <w:r w:rsidR="000C699D" w:rsidRPr="002A7DD2">
        <w:rPr>
          <w:iCs/>
        </w:rPr>
        <w:t>No evidence was provided in the submission for children aged 36 months to &lt; 5 years; however, ATAGI considered it was reasonable to assume the efficacy of Fluarix Tetra is similar in children aged 3 to 4 years as in children aged 6 to 35 months</w:t>
      </w:r>
      <w:r w:rsidR="0095393A" w:rsidRPr="002A7DD2">
        <w:rPr>
          <w:iCs/>
        </w:rPr>
        <w:t xml:space="preserve"> (</w:t>
      </w:r>
      <w:r w:rsidR="00CA378A" w:rsidRPr="002A7DD2">
        <w:rPr>
          <w:iCs/>
        </w:rPr>
        <w:t>ATAGI March 2020 pre-submission advice</w:t>
      </w:r>
      <w:r w:rsidR="000C699D" w:rsidRPr="002A7DD2">
        <w:rPr>
          <w:iCs/>
        </w:rPr>
        <w:t xml:space="preserve">). </w:t>
      </w:r>
    </w:p>
    <w:p w:rsidR="005D799E" w:rsidRPr="002A7DD2" w:rsidRDefault="009014A5" w:rsidP="004A083C">
      <w:pPr>
        <w:pStyle w:val="3Bodytext"/>
      </w:pPr>
      <w:r w:rsidRPr="00A35AD4">
        <w:t xml:space="preserve">The </w:t>
      </w:r>
      <w:r w:rsidR="005D799E" w:rsidRPr="00A35AD4">
        <w:t xml:space="preserve">clinical </w:t>
      </w:r>
      <w:r w:rsidR="0062309C" w:rsidRPr="00A35AD4">
        <w:t xml:space="preserve">evidence </w:t>
      </w:r>
      <w:r w:rsidR="009C62C9" w:rsidRPr="00A35AD4">
        <w:t xml:space="preserve">presented in the submission </w:t>
      </w:r>
      <w:r w:rsidR="0062309C" w:rsidRPr="00A35AD4">
        <w:t xml:space="preserve">relevant to an assessment of the efficacy and safety of Fluarix Tetra </w:t>
      </w:r>
      <w:r w:rsidR="00DC4557">
        <w:t xml:space="preserve">in children aged 6 to </w:t>
      </w:r>
      <w:r w:rsidRPr="00A35AD4">
        <w:t xml:space="preserve">35 months </w:t>
      </w:r>
      <w:r w:rsidR="00D06D6D" w:rsidRPr="00A35AD4">
        <w:t>included one pivotal</w:t>
      </w:r>
      <w:r w:rsidR="00F93408" w:rsidRPr="00A35AD4">
        <w:t xml:space="preserve"> </w:t>
      </w:r>
      <w:r w:rsidR="0062309C" w:rsidRPr="00A35AD4">
        <w:t xml:space="preserve">study </w:t>
      </w:r>
      <w:r w:rsidR="00E565BF" w:rsidRPr="00A35AD4">
        <w:t>for</w:t>
      </w:r>
      <w:r w:rsidRPr="00A35AD4">
        <w:t xml:space="preserve"> Fluarix Tetra’s vaccine efficacy (VE) </w:t>
      </w:r>
      <w:r w:rsidR="00E565BF" w:rsidRPr="00A35AD4">
        <w:t xml:space="preserve">and safety </w:t>
      </w:r>
      <w:r w:rsidR="00723B4F">
        <w:t xml:space="preserve">in children aged 6 to </w:t>
      </w:r>
      <w:r w:rsidRPr="00A35AD4">
        <w:t xml:space="preserve">35 months </w:t>
      </w:r>
      <w:r w:rsidR="0062309C" w:rsidRPr="00A35AD4">
        <w:t>(</w:t>
      </w:r>
      <w:r w:rsidR="00D06D6D" w:rsidRPr="00A35AD4">
        <w:t>D-QIV-004</w:t>
      </w:r>
      <w:r w:rsidR="0062309C" w:rsidRPr="00A35AD4">
        <w:t xml:space="preserve">), two supportive immunogenicity and safety studies </w:t>
      </w:r>
      <w:r w:rsidR="00E565BF" w:rsidRPr="00A35AD4">
        <w:t xml:space="preserve">for Fluarix Tetra </w:t>
      </w:r>
      <w:r w:rsidR="0062309C" w:rsidRPr="00A35AD4">
        <w:t xml:space="preserve">in </w:t>
      </w:r>
      <w:r w:rsidR="005D799E" w:rsidRPr="00A35AD4">
        <w:t xml:space="preserve">approximately </w:t>
      </w:r>
      <w:r w:rsidR="0062309C" w:rsidRPr="00A35AD4">
        <w:t>1,300 children aged 6 to 35 months (D-QIV-009</w:t>
      </w:r>
      <w:r w:rsidRPr="00A35AD4">
        <w:t xml:space="preserve"> </w:t>
      </w:r>
      <w:r w:rsidR="0062309C" w:rsidRPr="00A35AD4">
        <w:t xml:space="preserve">and D-QIV-015), and a comparative </w:t>
      </w:r>
      <w:r w:rsidR="00E565BF" w:rsidRPr="00A35AD4">
        <w:t>immunogenicity and safety study for FluLaval Tetra (which has the same antigen content as Fluarix Tetra) and the former paediatric dose (0.25</w:t>
      </w:r>
      <w:r w:rsidR="00072A2A">
        <w:t xml:space="preserve"> </w:t>
      </w:r>
      <w:r w:rsidR="00E565BF" w:rsidRPr="00A35AD4">
        <w:t xml:space="preserve">mL) of Fluzone QIV (which has the same antigen content as FluQuadri Junior) </w:t>
      </w:r>
      <w:r w:rsidR="0062309C" w:rsidRPr="00A35AD4">
        <w:t xml:space="preserve">in </w:t>
      </w:r>
      <w:r w:rsidR="005D799E" w:rsidRPr="00A35AD4">
        <w:t xml:space="preserve">approximately </w:t>
      </w:r>
      <w:r w:rsidR="0062309C" w:rsidRPr="00A35AD4">
        <w:t>2,300 children (Q-QIV-022)</w:t>
      </w:r>
      <w:r w:rsidR="002517FF" w:rsidRPr="00A35AD4">
        <w:t xml:space="preserve">. </w:t>
      </w:r>
      <w:r w:rsidR="002517FF" w:rsidRPr="002A7DD2">
        <w:t xml:space="preserve">The Secretariat noted </w:t>
      </w:r>
      <w:r w:rsidR="00A35AD4" w:rsidRPr="002A7DD2">
        <w:t>that</w:t>
      </w:r>
      <w:r w:rsidR="001E4C55" w:rsidRPr="002A7DD2">
        <w:t xml:space="preserve"> </w:t>
      </w:r>
      <w:r w:rsidR="00723B4F" w:rsidRPr="002A7DD2">
        <w:t>trial data for the 6 to</w:t>
      </w:r>
      <w:r w:rsidR="00A35AD4" w:rsidRPr="002A7DD2">
        <w:t xml:space="preserve"> 35 month age cohort from these studies were considered by</w:t>
      </w:r>
      <w:r w:rsidR="001E4C55" w:rsidRPr="002A7DD2">
        <w:t xml:space="preserve"> </w:t>
      </w:r>
      <w:r w:rsidR="00A35AD4" w:rsidRPr="002A7DD2">
        <w:rPr>
          <w:bCs/>
        </w:rPr>
        <w:t>t</w:t>
      </w:r>
      <w:r w:rsidR="001E4C55" w:rsidRPr="002A7DD2">
        <w:rPr>
          <w:bCs/>
        </w:rPr>
        <w:t xml:space="preserve">he PBAC </w:t>
      </w:r>
      <w:r w:rsidR="00A35AD4" w:rsidRPr="002A7DD2">
        <w:rPr>
          <w:bCs/>
        </w:rPr>
        <w:t>to recommend</w:t>
      </w:r>
      <w:r w:rsidR="001E4C55" w:rsidRPr="002A7DD2">
        <w:rPr>
          <w:bCs/>
        </w:rPr>
        <w:t xml:space="preserve"> an extension to </w:t>
      </w:r>
      <w:r w:rsidR="00176104">
        <w:rPr>
          <w:bCs/>
        </w:rPr>
        <w:t xml:space="preserve">the </w:t>
      </w:r>
      <w:r w:rsidR="00176104" w:rsidRPr="002A7DD2">
        <w:t>Determination</w:t>
      </w:r>
      <w:r w:rsidR="00176104">
        <w:t xml:space="preserve"> for </w:t>
      </w:r>
      <w:r w:rsidR="001E4C55" w:rsidRPr="002A7DD2">
        <w:rPr>
          <w:bCs/>
        </w:rPr>
        <w:t>Fluarix Tetra</w:t>
      </w:r>
      <w:r w:rsidR="00A35AD4" w:rsidRPr="002A7DD2">
        <w:rPr>
          <w:bCs/>
        </w:rPr>
        <w:t xml:space="preserve"> </w:t>
      </w:r>
      <w:r w:rsidR="001E4C55" w:rsidRPr="002A7DD2">
        <w:rPr>
          <w:bCs/>
        </w:rPr>
        <w:t>for the prevention of seasonal influenza to include high risk and Aboriginal and/or Torres Strait Islander infants and children aged 6 to 35 months of age</w:t>
      </w:r>
      <w:r w:rsidR="00A35AD4" w:rsidRPr="002A7DD2">
        <w:rPr>
          <w:bCs/>
        </w:rPr>
        <w:t xml:space="preserve"> in March 2019 (see </w:t>
      </w:r>
      <w:r w:rsidR="004C7844" w:rsidRPr="002A7DD2">
        <w:rPr>
          <w:bCs/>
        </w:rPr>
        <w:t xml:space="preserve">Table </w:t>
      </w:r>
      <w:r w:rsidR="004C7844" w:rsidRPr="002A7DD2">
        <w:rPr>
          <w:bCs/>
          <w:noProof/>
        </w:rPr>
        <w:t>3</w:t>
      </w:r>
      <w:r w:rsidR="00A35AD4" w:rsidRPr="002A7DD2">
        <w:rPr>
          <w:bCs/>
        </w:rPr>
        <w:t>, Fluarix Tetra PSD, March 2019)</w:t>
      </w:r>
      <w:r w:rsidR="001E4C55" w:rsidRPr="002A7DD2">
        <w:rPr>
          <w:bCs/>
        </w:rPr>
        <w:t>.</w:t>
      </w:r>
    </w:p>
    <w:p w:rsidR="00E477FC" w:rsidRDefault="00E477FC" w:rsidP="004A083C">
      <w:pPr>
        <w:pStyle w:val="3Bodytext"/>
        <w:rPr>
          <w:i/>
          <w:iCs/>
          <w:szCs w:val="24"/>
        </w:rPr>
      </w:pPr>
      <w:r w:rsidRPr="007F2BDD">
        <w:t xml:space="preserve">Details of the trial presented in the submission are provided in </w:t>
      </w:r>
      <w:r w:rsidR="00D80689" w:rsidRPr="00D80689">
        <w:rPr>
          <w:rFonts w:cstheme="minorHAnsi"/>
          <w:szCs w:val="24"/>
        </w:rPr>
        <w:t xml:space="preserve">Table </w:t>
      </w:r>
      <w:r w:rsidR="00D80689" w:rsidRPr="00D80689">
        <w:rPr>
          <w:rFonts w:cstheme="minorHAnsi"/>
          <w:noProof/>
          <w:szCs w:val="24"/>
        </w:rPr>
        <w:t>2</w:t>
      </w:r>
      <w:r w:rsidR="004A083C">
        <w:rPr>
          <w:rFonts w:cstheme="minorHAnsi"/>
          <w:szCs w:val="24"/>
        </w:rPr>
        <w:t>.</w:t>
      </w:r>
    </w:p>
    <w:p w:rsidR="00120D62" w:rsidRPr="00B90B4C" w:rsidRDefault="00B90B4C" w:rsidP="004A083C">
      <w:pPr>
        <w:pStyle w:val="TableFigureHeading"/>
        <w:rPr>
          <w:i/>
          <w:iCs/>
        </w:rPr>
      </w:pPr>
      <w:bookmarkStart w:id="2" w:name="_Ref43801263"/>
      <w:r w:rsidRPr="00B90B4C">
        <w:t xml:space="preserve">Table </w:t>
      </w:r>
      <w:r w:rsidR="002D72D4">
        <w:rPr>
          <w:noProof/>
        </w:rPr>
        <w:t>2</w:t>
      </w:r>
      <w:bookmarkEnd w:id="2"/>
      <w:r w:rsidR="00120D62" w:rsidRPr="00B90B4C">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4"/>
        <w:gridCol w:w="5054"/>
        <w:gridCol w:w="2528"/>
      </w:tblGrid>
      <w:tr w:rsidR="00120D62" w:rsidRPr="00095759" w:rsidTr="004A083C">
        <w:trPr>
          <w:tblHeader/>
        </w:trPr>
        <w:tc>
          <w:tcPr>
            <w:tcW w:w="795" w:type="pct"/>
            <w:tcBorders>
              <w:top w:val="single" w:sz="4" w:space="0" w:color="auto"/>
              <w:left w:val="single" w:sz="4" w:space="0" w:color="auto"/>
              <w:bottom w:val="single" w:sz="4" w:space="0" w:color="auto"/>
              <w:right w:val="single" w:sz="4" w:space="0" w:color="auto"/>
            </w:tcBorders>
            <w:vAlign w:val="center"/>
            <w:hideMark/>
          </w:tcPr>
          <w:p w:rsidR="00120D62" w:rsidRPr="00095759" w:rsidRDefault="00120D62" w:rsidP="007C7625">
            <w:pPr>
              <w:pStyle w:val="TableText0"/>
              <w:keepLines/>
              <w:jc w:val="both"/>
              <w:rPr>
                <w:b/>
                <w:szCs w:val="20"/>
              </w:rPr>
            </w:pPr>
            <w:r w:rsidRPr="00095759">
              <w:rPr>
                <w:b/>
                <w:szCs w:val="20"/>
              </w:rPr>
              <w:t>Trial ID</w:t>
            </w:r>
          </w:p>
        </w:tc>
        <w:tc>
          <w:tcPr>
            <w:tcW w:w="2803" w:type="pct"/>
            <w:tcBorders>
              <w:top w:val="single" w:sz="4" w:space="0" w:color="auto"/>
              <w:left w:val="single" w:sz="4" w:space="0" w:color="auto"/>
              <w:bottom w:val="single" w:sz="4" w:space="0" w:color="auto"/>
              <w:right w:val="single" w:sz="4" w:space="0" w:color="auto"/>
            </w:tcBorders>
            <w:vAlign w:val="center"/>
            <w:hideMark/>
          </w:tcPr>
          <w:p w:rsidR="00120D62" w:rsidRPr="00095759" w:rsidRDefault="00120D62" w:rsidP="007C7625">
            <w:pPr>
              <w:pStyle w:val="TableText0"/>
              <w:keepLines/>
              <w:jc w:val="both"/>
              <w:rPr>
                <w:b/>
                <w:szCs w:val="20"/>
              </w:rPr>
            </w:pPr>
            <w:r w:rsidRPr="00095759">
              <w:rPr>
                <w:b/>
                <w:szCs w:val="20"/>
              </w:rPr>
              <w:t>Protocol title/ Publication title</w:t>
            </w:r>
          </w:p>
        </w:tc>
        <w:tc>
          <w:tcPr>
            <w:tcW w:w="1402" w:type="pct"/>
            <w:tcBorders>
              <w:top w:val="single" w:sz="4" w:space="0" w:color="auto"/>
              <w:left w:val="single" w:sz="4" w:space="0" w:color="auto"/>
              <w:bottom w:val="single" w:sz="4" w:space="0" w:color="auto"/>
              <w:right w:val="single" w:sz="4" w:space="0" w:color="auto"/>
            </w:tcBorders>
            <w:vAlign w:val="center"/>
            <w:hideMark/>
          </w:tcPr>
          <w:p w:rsidR="00120D62" w:rsidRPr="00095759" w:rsidRDefault="00120D62" w:rsidP="007C7625">
            <w:pPr>
              <w:pStyle w:val="TableText0"/>
              <w:keepLines/>
              <w:jc w:val="both"/>
              <w:rPr>
                <w:b/>
                <w:szCs w:val="20"/>
              </w:rPr>
            </w:pPr>
            <w:r w:rsidRPr="00095759">
              <w:rPr>
                <w:b/>
                <w:szCs w:val="20"/>
              </w:rPr>
              <w:t>Publication citation</w:t>
            </w:r>
          </w:p>
        </w:tc>
      </w:tr>
      <w:tr w:rsidR="00095759" w:rsidRPr="00095759" w:rsidTr="004A083C">
        <w:tc>
          <w:tcPr>
            <w:tcW w:w="795" w:type="pct"/>
            <w:tcBorders>
              <w:top w:val="single" w:sz="4" w:space="0" w:color="auto"/>
              <w:left w:val="single" w:sz="4" w:space="0" w:color="auto"/>
              <w:bottom w:val="single" w:sz="4" w:space="0" w:color="auto"/>
              <w:right w:val="single" w:sz="4" w:space="0" w:color="auto"/>
            </w:tcBorders>
            <w:hideMark/>
          </w:tcPr>
          <w:p w:rsidR="00095759" w:rsidRPr="00095759" w:rsidRDefault="00095759" w:rsidP="007C7625">
            <w:pPr>
              <w:pStyle w:val="TableText0"/>
              <w:keepLines/>
              <w:jc w:val="both"/>
              <w:rPr>
                <w:szCs w:val="20"/>
              </w:rPr>
            </w:pPr>
            <w:r w:rsidRPr="00095759">
              <w:rPr>
                <w:szCs w:val="20"/>
              </w:rPr>
              <w:t>FLU D-QIV-004</w:t>
            </w:r>
          </w:p>
        </w:tc>
        <w:tc>
          <w:tcPr>
            <w:tcW w:w="2803" w:type="pct"/>
            <w:tcBorders>
              <w:top w:val="single" w:sz="4" w:space="0" w:color="auto"/>
              <w:left w:val="single" w:sz="4" w:space="0" w:color="auto"/>
              <w:bottom w:val="single" w:sz="4" w:space="0" w:color="auto"/>
              <w:right w:val="single" w:sz="4" w:space="0" w:color="auto"/>
            </w:tcBorders>
            <w:vAlign w:val="center"/>
          </w:tcPr>
          <w:p w:rsidR="00095759" w:rsidRPr="00095759" w:rsidRDefault="00095759" w:rsidP="007C7625">
            <w:pPr>
              <w:keepNext/>
              <w:keepLines/>
              <w:rPr>
                <w:rFonts w:ascii="Arial Narrow" w:hAnsi="Arial Narrow"/>
                <w:sz w:val="20"/>
                <w:szCs w:val="20"/>
              </w:rPr>
            </w:pPr>
            <w:r w:rsidRPr="00095759">
              <w:rPr>
                <w:rFonts w:ascii="Arial Narrow" w:hAnsi="Arial Narrow"/>
                <w:sz w:val="20"/>
                <w:szCs w:val="20"/>
              </w:rPr>
              <w:t>An efficacy study of GSK Biologicals’ quadrivalent influenza vaccine GSK2321138A (FLU D-QIV) when administered in children.</w:t>
            </w:r>
          </w:p>
        </w:tc>
        <w:tc>
          <w:tcPr>
            <w:tcW w:w="1402" w:type="pct"/>
            <w:tcBorders>
              <w:top w:val="single" w:sz="4" w:space="0" w:color="auto"/>
              <w:left w:val="single" w:sz="4" w:space="0" w:color="auto"/>
              <w:bottom w:val="single" w:sz="4" w:space="0" w:color="auto"/>
              <w:right w:val="single" w:sz="4" w:space="0" w:color="auto"/>
            </w:tcBorders>
          </w:tcPr>
          <w:p w:rsidR="00095759" w:rsidRPr="00095759" w:rsidRDefault="00095759" w:rsidP="007C7625">
            <w:pPr>
              <w:pStyle w:val="TableText0"/>
              <w:keepLines/>
              <w:jc w:val="both"/>
              <w:rPr>
                <w:szCs w:val="20"/>
              </w:rPr>
            </w:pPr>
            <w:r w:rsidRPr="00174900">
              <w:rPr>
                <w:i/>
                <w:iCs/>
                <w:szCs w:val="20"/>
              </w:rPr>
              <w:t>Lancet Child Adolescent Health</w:t>
            </w:r>
            <w:r w:rsidRPr="00095759">
              <w:rPr>
                <w:szCs w:val="20"/>
              </w:rPr>
              <w:t>;2: 338-49</w:t>
            </w:r>
          </w:p>
        </w:tc>
      </w:tr>
      <w:tr w:rsidR="00095759" w:rsidRPr="00095759" w:rsidTr="004A083C">
        <w:tc>
          <w:tcPr>
            <w:tcW w:w="795" w:type="pct"/>
            <w:tcBorders>
              <w:top w:val="single" w:sz="4" w:space="0" w:color="auto"/>
              <w:left w:val="single" w:sz="4" w:space="0" w:color="auto"/>
              <w:bottom w:val="single" w:sz="4" w:space="0" w:color="auto"/>
              <w:right w:val="single" w:sz="4" w:space="0" w:color="auto"/>
            </w:tcBorders>
          </w:tcPr>
          <w:p w:rsidR="00095759" w:rsidRPr="00095759" w:rsidRDefault="00095759" w:rsidP="007C7625">
            <w:pPr>
              <w:pStyle w:val="TableText0"/>
              <w:keepLines/>
              <w:jc w:val="both"/>
              <w:rPr>
                <w:szCs w:val="20"/>
              </w:rPr>
            </w:pPr>
            <w:r w:rsidRPr="00095759">
              <w:rPr>
                <w:szCs w:val="20"/>
              </w:rPr>
              <w:t>FLU D-QIV-009</w:t>
            </w:r>
          </w:p>
        </w:tc>
        <w:tc>
          <w:tcPr>
            <w:tcW w:w="2803" w:type="pct"/>
            <w:tcBorders>
              <w:top w:val="single" w:sz="4" w:space="0" w:color="auto"/>
              <w:left w:val="single" w:sz="4" w:space="0" w:color="auto"/>
              <w:bottom w:val="single" w:sz="4" w:space="0" w:color="auto"/>
              <w:right w:val="single" w:sz="4" w:space="0" w:color="auto"/>
            </w:tcBorders>
            <w:vAlign w:val="center"/>
          </w:tcPr>
          <w:p w:rsidR="00095759" w:rsidRPr="00095759" w:rsidRDefault="00095759" w:rsidP="007C7625">
            <w:pPr>
              <w:keepNext/>
              <w:keepLines/>
              <w:rPr>
                <w:rFonts w:ascii="Arial Narrow" w:hAnsi="Arial Narrow"/>
                <w:sz w:val="20"/>
                <w:szCs w:val="20"/>
              </w:rPr>
            </w:pPr>
            <w:r w:rsidRPr="00095759">
              <w:rPr>
                <w:rFonts w:ascii="Arial Narrow" w:hAnsi="Arial Narrow"/>
                <w:sz w:val="20"/>
                <w:szCs w:val="20"/>
              </w:rPr>
              <w:t xml:space="preserve">Immunogenicity, safety and reactogenicity study of GSK Biologicals’ quadrivalent seasonal influenza candidate vaccine GSK2321138A, administered to children who previously participated in study 115345. </w:t>
            </w:r>
          </w:p>
          <w:p w:rsidR="00095759" w:rsidRPr="00095759" w:rsidRDefault="00095759" w:rsidP="007C7625">
            <w:pPr>
              <w:pStyle w:val="TableText0"/>
              <w:keepLines/>
              <w:jc w:val="both"/>
              <w:rPr>
                <w:szCs w:val="20"/>
              </w:rPr>
            </w:pPr>
          </w:p>
          <w:p w:rsidR="00095759" w:rsidRPr="00095759" w:rsidRDefault="00095759" w:rsidP="007C7625">
            <w:pPr>
              <w:pStyle w:val="TableText0"/>
              <w:keepLines/>
              <w:jc w:val="both"/>
              <w:rPr>
                <w:szCs w:val="20"/>
              </w:rPr>
            </w:pPr>
            <w:r>
              <w:rPr>
                <w:szCs w:val="20"/>
              </w:rPr>
              <w:t>A</w:t>
            </w:r>
            <w:r w:rsidRPr="00095759">
              <w:rPr>
                <w:szCs w:val="20"/>
              </w:rPr>
              <w:t>n extension of D-QIV-004, was designed to evaluate the adequacy of the immunological priming of children 6-35 months of age</w:t>
            </w:r>
            <w:r>
              <w:rPr>
                <w:szCs w:val="20"/>
              </w:rPr>
              <w:t>.</w:t>
            </w:r>
          </w:p>
        </w:tc>
        <w:tc>
          <w:tcPr>
            <w:tcW w:w="1402" w:type="pct"/>
            <w:tcBorders>
              <w:top w:val="single" w:sz="4" w:space="0" w:color="auto"/>
              <w:left w:val="single" w:sz="4" w:space="0" w:color="auto"/>
              <w:bottom w:val="single" w:sz="4" w:space="0" w:color="auto"/>
              <w:right w:val="single" w:sz="4" w:space="0" w:color="auto"/>
            </w:tcBorders>
          </w:tcPr>
          <w:p w:rsidR="00095759" w:rsidRPr="005D799E" w:rsidRDefault="00095759" w:rsidP="007C7625">
            <w:pPr>
              <w:keepNext/>
              <w:keepLines/>
              <w:rPr>
                <w:rFonts w:ascii="Arial Narrow" w:hAnsi="Arial Narrow"/>
                <w:i/>
                <w:iCs/>
                <w:sz w:val="20"/>
                <w:szCs w:val="20"/>
              </w:rPr>
            </w:pPr>
            <w:r w:rsidRPr="005D799E">
              <w:rPr>
                <w:rFonts w:ascii="Arial Narrow" w:hAnsi="Arial Narrow"/>
                <w:i/>
                <w:iCs/>
                <w:sz w:val="20"/>
                <w:szCs w:val="20"/>
              </w:rPr>
              <w:t>Unpublished</w:t>
            </w:r>
          </w:p>
        </w:tc>
      </w:tr>
      <w:tr w:rsidR="00095759" w:rsidRPr="00095759" w:rsidTr="004A083C">
        <w:tc>
          <w:tcPr>
            <w:tcW w:w="795" w:type="pct"/>
            <w:tcBorders>
              <w:top w:val="single" w:sz="4" w:space="0" w:color="auto"/>
              <w:left w:val="single" w:sz="4" w:space="0" w:color="auto"/>
              <w:bottom w:val="single" w:sz="4" w:space="0" w:color="auto"/>
              <w:right w:val="single" w:sz="4" w:space="0" w:color="auto"/>
            </w:tcBorders>
          </w:tcPr>
          <w:p w:rsidR="00095759" w:rsidRPr="00095759" w:rsidRDefault="00095759" w:rsidP="007C7625">
            <w:pPr>
              <w:pStyle w:val="TableText0"/>
              <w:keepLines/>
              <w:jc w:val="both"/>
              <w:rPr>
                <w:szCs w:val="20"/>
              </w:rPr>
            </w:pPr>
            <w:r w:rsidRPr="00095759">
              <w:rPr>
                <w:szCs w:val="20"/>
              </w:rPr>
              <w:t>FLU D-QIV-015</w:t>
            </w:r>
          </w:p>
        </w:tc>
        <w:tc>
          <w:tcPr>
            <w:tcW w:w="2803" w:type="pct"/>
            <w:tcBorders>
              <w:top w:val="single" w:sz="4" w:space="0" w:color="auto"/>
              <w:left w:val="single" w:sz="4" w:space="0" w:color="auto"/>
              <w:bottom w:val="single" w:sz="4" w:space="0" w:color="auto"/>
              <w:right w:val="single" w:sz="4" w:space="0" w:color="auto"/>
            </w:tcBorders>
            <w:vAlign w:val="center"/>
          </w:tcPr>
          <w:p w:rsidR="00095759" w:rsidRPr="00095759" w:rsidRDefault="00095759" w:rsidP="007C7625">
            <w:pPr>
              <w:keepNext/>
              <w:keepLines/>
              <w:rPr>
                <w:rFonts w:ascii="Arial Narrow" w:hAnsi="Arial Narrow"/>
                <w:sz w:val="20"/>
                <w:szCs w:val="20"/>
              </w:rPr>
            </w:pPr>
            <w:r w:rsidRPr="00095759">
              <w:rPr>
                <w:rFonts w:ascii="Arial Narrow" w:hAnsi="Arial Narrow"/>
                <w:sz w:val="20"/>
                <w:szCs w:val="20"/>
              </w:rPr>
              <w:t>Safety and immunogenicity study of GSK Biologicals’ Quadrivalent Influenza Vaccine (GSK2321138A) manufactured with a new process in adults and children.</w:t>
            </w:r>
          </w:p>
        </w:tc>
        <w:tc>
          <w:tcPr>
            <w:tcW w:w="1402" w:type="pct"/>
            <w:tcBorders>
              <w:top w:val="single" w:sz="4" w:space="0" w:color="auto"/>
              <w:left w:val="single" w:sz="4" w:space="0" w:color="auto"/>
              <w:bottom w:val="single" w:sz="4" w:space="0" w:color="auto"/>
              <w:right w:val="single" w:sz="4" w:space="0" w:color="auto"/>
            </w:tcBorders>
          </w:tcPr>
          <w:p w:rsidR="00095759" w:rsidRPr="00095759" w:rsidRDefault="00095759" w:rsidP="007C7625">
            <w:pPr>
              <w:pStyle w:val="TableText0"/>
              <w:keepLines/>
              <w:jc w:val="both"/>
              <w:rPr>
                <w:szCs w:val="20"/>
              </w:rPr>
            </w:pPr>
            <w:r w:rsidRPr="00174900">
              <w:rPr>
                <w:i/>
                <w:iCs/>
                <w:szCs w:val="20"/>
              </w:rPr>
              <w:t>BMC Infectious Diseases</w:t>
            </w:r>
            <w:r w:rsidRPr="00095759">
              <w:rPr>
                <w:szCs w:val="20"/>
              </w:rPr>
              <w:t>, vol:18 iss:1, 1471-2334</w:t>
            </w:r>
          </w:p>
        </w:tc>
      </w:tr>
      <w:tr w:rsidR="00095759" w:rsidRPr="00095759" w:rsidTr="004A083C">
        <w:tc>
          <w:tcPr>
            <w:tcW w:w="795" w:type="pct"/>
            <w:tcBorders>
              <w:top w:val="single" w:sz="4" w:space="0" w:color="auto"/>
              <w:left w:val="single" w:sz="4" w:space="0" w:color="auto"/>
              <w:bottom w:val="single" w:sz="4" w:space="0" w:color="auto"/>
              <w:right w:val="single" w:sz="4" w:space="0" w:color="auto"/>
            </w:tcBorders>
          </w:tcPr>
          <w:p w:rsidR="00095759" w:rsidRPr="00095759" w:rsidRDefault="00095759" w:rsidP="007C7625">
            <w:pPr>
              <w:pStyle w:val="TableText0"/>
              <w:keepLines/>
              <w:jc w:val="both"/>
              <w:rPr>
                <w:szCs w:val="20"/>
              </w:rPr>
            </w:pPr>
            <w:r w:rsidRPr="00095759">
              <w:rPr>
                <w:szCs w:val="20"/>
              </w:rPr>
              <w:t>FLU Q-QIV-022</w:t>
            </w:r>
          </w:p>
        </w:tc>
        <w:tc>
          <w:tcPr>
            <w:tcW w:w="2803" w:type="pct"/>
            <w:tcBorders>
              <w:top w:val="single" w:sz="4" w:space="0" w:color="auto"/>
              <w:left w:val="single" w:sz="4" w:space="0" w:color="auto"/>
              <w:bottom w:val="single" w:sz="4" w:space="0" w:color="auto"/>
              <w:right w:val="single" w:sz="4" w:space="0" w:color="auto"/>
            </w:tcBorders>
            <w:vAlign w:val="center"/>
          </w:tcPr>
          <w:p w:rsidR="00095759" w:rsidRPr="00095759" w:rsidRDefault="00095759" w:rsidP="007C7625">
            <w:pPr>
              <w:keepNext/>
              <w:keepLines/>
              <w:rPr>
                <w:rFonts w:ascii="Arial Narrow" w:hAnsi="Arial Narrow"/>
                <w:sz w:val="20"/>
                <w:szCs w:val="20"/>
              </w:rPr>
            </w:pPr>
            <w:r w:rsidRPr="00095759">
              <w:rPr>
                <w:rFonts w:ascii="Arial Narrow" w:hAnsi="Arial Narrow"/>
                <w:sz w:val="20"/>
                <w:szCs w:val="20"/>
              </w:rPr>
              <w:t>Immunogenicity and safety study of GSK Biologicals’ quadrivalent influenza vaccine (GSK2282512A) compared to Fluzone® Quadrivalent in children 6 to 35 months of age</w:t>
            </w:r>
            <w:r>
              <w:rPr>
                <w:rFonts w:ascii="Arial Narrow" w:hAnsi="Arial Narrow"/>
                <w:sz w:val="20"/>
                <w:szCs w:val="20"/>
              </w:rPr>
              <w:t>.</w:t>
            </w:r>
          </w:p>
        </w:tc>
        <w:tc>
          <w:tcPr>
            <w:tcW w:w="1402" w:type="pct"/>
            <w:tcBorders>
              <w:top w:val="single" w:sz="4" w:space="0" w:color="auto"/>
              <w:left w:val="single" w:sz="4" w:space="0" w:color="auto"/>
              <w:bottom w:val="single" w:sz="4" w:space="0" w:color="auto"/>
              <w:right w:val="single" w:sz="4" w:space="0" w:color="auto"/>
            </w:tcBorders>
          </w:tcPr>
          <w:p w:rsidR="00095759" w:rsidRPr="00095759" w:rsidRDefault="00095759" w:rsidP="007C7625">
            <w:pPr>
              <w:pStyle w:val="TableText0"/>
              <w:keepLines/>
              <w:jc w:val="both"/>
              <w:rPr>
                <w:szCs w:val="20"/>
              </w:rPr>
            </w:pPr>
            <w:r w:rsidRPr="00174900">
              <w:rPr>
                <w:i/>
                <w:iCs/>
                <w:szCs w:val="20"/>
              </w:rPr>
              <w:t>Journal of the Pediatric Infectious Diseases Society</w:t>
            </w:r>
            <w:r w:rsidRPr="00095759">
              <w:rPr>
                <w:szCs w:val="20"/>
              </w:rPr>
              <w:t>, 6 (March): 9 -19</w:t>
            </w:r>
          </w:p>
        </w:tc>
      </w:tr>
    </w:tbl>
    <w:p w:rsidR="00120D62" w:rsidRPr="00095759" w:rsidRDefault="00120D62" w:rsidP="004A083C">
      <w:pPr>
        <w:pStyle w:val="TableFigureFooter"/>
      </w:pPr>
      <w:r w:rsidRPr="00095759">
        <w:t>Source: Table 3</w:t>
      </w:r>
      <w:r w:rsidR="00095759" w:rsidRPr="00095759">
        <w:t>,</w:t>
      </w:r>
      <w:r w:rsidRPr="00095759">
        <w:t xml:space="preserve"> </w:t>
      </w:r>
      <w:r w:rsidR="00095759" w:rsidRPr="00095759">
        <w:t>p13 of the submission</w:t>
      </w:r>
    </w:p>
    <w:p w:rsidR="004D542D" w:rsidRPr="00EC3635" w:rsidRDefault="004D542D" w:rsidP="004A083C">
      <w:pPr>
        <w:pStyle w:val="3Bodytext"/>
      </w:pPr>
      <w:r w:rsidRPr="00EC3635">
        <w:t>The evaluation of non-inferiority for Fluarix Tetra VE and safety compared with Vaxigrip was primarily based on the data from Study D-QIV-004 in both previously vaccinated and influenza vaccine–na</w:t>
      </w:r>
      <w:r w:rsidR="00B218AB">
        <w:t xml:space="preserve">ïve children aged 6 to </w:t>
      </w:r>
      <w:r w:rsidRPr="00EC3635">
        <w:t xml:space="preserve">35 months. </w:t>
      </w:r>
    </w:p>
    <w:p w:rsidR="00E477FC" w:rsidRPr="008F1767" w:rsidRDefault="00E477FC" w:rsidP="004A083C">
      <w:pPr>
        <w:pStyle w:val="3Bodytext"/>
        <w:rPr>
          <w:lang w:val="en-GB"/>
        </w:rPr>
      </w:pPr>
      <w:r w:rsidRPr="00F06151">
        <w:rPr>
          <w:lang w:val="en-GB"/>
        </w:rPr>
        <w:t xml:space="preserve">The </w:t>
      </w:r>
      <w:r w:rsidR="00F06151" w:rsidRPr="00F06151">
        <w:rPr>
          <w:lang w:val="en-GB"/>
        </w:rPr>
        <w:t xml:space="preserve">submission </w:t>
      </w:r>
      <w:r w:rsidRPr="00F06151">
        <w:rPr>
          <w:lang w:val="en-GB"/>
        </w:rPr>
        <w:t>identified one relevant comparator trial (</w:t>
      </w:r>
      <w:r>
        <w:t>GQM05</w:t>
      </w:r>
      <w:r w:rsidR="00F06151">
        <w:t xml:space="preserve">, </w:t>
      </w:r>
      <w:r w:rsidR="00F06151" w:rsidRPr="00F06151">
        <w:rPr>
          <w:lang w:val="en-GB"/>
        </w:rPr>
        <w:t>Pepin</w:t>
      </w:r>
      <w:r w:rsidR="00B52581">
        <w:rPr>
          <w:lang w:val="en-GB"/>
        </w:rPr>
        <w:t xml:space="preserve"> et al.</w:t>
      </w:r>
      <w:r w:rsidR="00F06151" w:rsidRPr="00F06151">
        <w:rPr>
          <w:lang w:val="en-GB"/>
        </w:rPr>
        <w:t>, 2019</w:t>
      </w:r>
      <w:r>
        <w:t xml:space="preserve">) </w:t>
      </w:r>
      <w:r w:rsidR="00F06151" w:rsidRPr="00F06151">
        <w:rPr>
          <w:lang w:val="en-GB"/>
        </w:rPr>
        <w:t xml:space="preserve">which was considered by the PBAC in July 2019 </w:t>
      </w:r>
      <w:r w:rsidR="00F06151" w:rsidRPr="00F06151">
        <w:rPr>
          <w:iCs/>
        </w:rPr>
        <w:t xml:space="preserve">as part of the evaluation for </w:t>
      </w:r>
      <w:r w:rsidRPr="00F06151">
        <w:rPr>
          <w:iCs/>
          <w:lang w:val="en-GB"/>
        </w:rPr>
        <w:t>Vaxigrip Tetra</w:t>
      </w:r>
      <w:r w:rsidRPr="00F06151">
        <w:rPr>
          <w:lang w:val="en-GB"/>
        </w:rPr>
        <w:t xml:space="preserve"> </w:t>
      </w:r>
      <w:r w:rsidR="00F06151" w:rsidRPr="00F06151">
        <w:rPr>
          <w:lang w:val="en-GB"/>
        </w:rPr>
        <w:t>compared to placebo (no vaccine) in children aged 6 to</w:t>
      </w:r>
      <w:r w:rsidRPr="00F06151">
        <w:rPr>
          <w:lang w:val="en-GB"/>
        </w:rPr>
        <w:t xml:space="preserve"> 35 months </w:t>
      </w:r>
      <w:r w:rsidR="00F06151" w:rsidRPr="009553A0">
        <w:t xml:space="preserve">who were healthy and </w:t>
      </w:r>
      <w:r w:rsidR="0045155A">
        <w:t>influenza vaccine-naive</w:t>
      </w:r>
      <w:r w:rsidR="00F06151">
        <w:t xml:space="preserve">. </w:t>
      </w:r>
    </w:p>
    <w:p w:rsidR="00CB5AAD" w:rsidRPr="00650D20" w:rsidRDefault="006619CE" w:rsidP="004A083C">
      <w:pPr>
        <w:pStyle w:val="3Bodytext"/>
      </w:pPr>
      <w:r>
        <w:t>K</w:t>
      </w:r>
      <w:r w:rsidR="00542EAC">
        <w:t>ey features</w:t>
      </w:r>
      <w:r w:rsidR="00CB5AAD" w:rsidRPr="009722B3">
        <w:t xml:space="preserve"> of the trials </w:t>
      </w:r>
      <w:r w:rsidR="00CB5AAD">
        <w:t>for a</w:t>
      </w:r>
      <w:r w:rsidR="003150FE">
        <w:t>n</w:t>
      </w:r>
      <w:r w:rsidR="00CB5AAD">
        <w:t xml:space="preserve"> </w:t>
      </w:r>
      <w:r w:rsidR="00141E19">
        <w:t xml:space="preserve">indirect </w:t>
      </w:r>
      <w:r w:rsidR="00CB5AAD">
        <w:t xml:space="preserve">comparison </w:t>
      </w:r>
      <w:r w:rsidR="00CB5AAD" w:rsidRPr="009722B3">
        <w:t>are provided in the table below.</w:t>
      </w:r>
    </w:p>
    <w:p w:rsidR="000A6D53" w:rsidRPr="002D72D4" w:rsidRDefault="002D72D4" w:rsidP="004A083C">
      <w:pPr>
        <w:pStyle w:val="TableFigureHeading"/>
        <w:rPr>
          <w:i/>
          <w:iCs/>
        </w:rPr>
      </w:pPr>
      <w:bookmarkStart w:id="3" w:name="_Ref43801448"/>
      <w:r w:rsidRPr="002D72D4">
        <w:t xml:space="preserve">Table </w:t>
      </w:r>
      <w:r>
        <w:rPr>
          <w:noProof/>
        </w:rPr>
        <w:t>3</w:t>
      </w:r>
      <w:bookmarkEnd w:id="3"/>
      <w:r w:rsidRPr="002D72D4">
        <w:t>: Key features of the included evidence for a naïve comparison</w:t>
      </w:r>
    </w:p>
    <w:tbl>
      <w:tblPr>
        <w:tblStyle w:val="TableGrid"/>
        <w:tblW w:w="5000" w:type="pct"/>
        <w:tblLook w:val="04A0" w:firstRow="1" w:lastRow="0" w:firstColumn="1" w:lastColumn="0" w:noHBand="0" w:noVBand="1"/>
        <w:tblCaption w:val="Table 3: Key features of the included evidence for a naïve comparison"/>
      </w:tblPr>
      <w:tblGrid>
        <w:gridCol w:w="1428"/>
        <w:gridCol w:w="3794"/>
        <w:gridCol w:w="3794"/>
      </w:tblGrid>
      <w:tr w:rsidR="000A6D53" w:rsidRPr="00FB7C83" w:rsidTr="0098015F">
        <w:trPr>
          <w:tblHeader/>
        </w:trPr>
        <w:tc>
          <w:tcPr>
            <w:tcW w:w="792" w:type="pct"/>
          </w:tcPr>
          <w:p w:rsidR="000A6D53" w:rsidRPr="004A083C" w:rsidRDefault="000A6D53" w:rsidP="007C7625">
            <w:pPr>
              <w:rPr>
                <w:rFonts w:ascii="Arial Narrow" w:hAnsi="Arial Narrow"/>
                <w:sz w:val="20"/>
                <w:szCs w:val="20"/>
                <w:lang w:val="en-GB"/>
              </w:rPr>
            </w:pPr>
          </w:p>
        </w:tc>
        <w:tc>
          <w:tcPr>
            <w:tcW w:w="2104" w:type="pct"/>
          </w:tcPr>
          <w:p w:rsidR="000A6D53" w:rsidRPr="004A083C" w:rsidRDefault="000A6D53" w:rsidP="007C7625">
            <w:pPr>
              <w:rPr>
                <w:rFonts w:ascii="Arial Narrow" w:hAnsi="Arial Narrow"/>
                <w:b/>
                <w:bCs/>
                <w:sz w:val="20"/>
                <w:szCs w:val="20"/>
                <w:lang w:val="en-GB"/>
              </w:rPr>
            </w:pPr>
            <w:r w:rsidRPr="004A083C">
              <w:rPr>
                <w:rFonts w:ascii="Arial Narrow" w:hAnsi="Arial Narrow"/>
                <w:b/>
                <w:bCs/>
                <w:sz w:val="20"/>
                <w:szCs w:val="20"/>
                <w:lang w:val="en-GB"/>
              </w:rPr>
              <w:t>Fluarix Tetra</w:t>
            </w:r>
          </w:p>
        </w:tc>
        <w:tc>
          <w:tcPr>
            <w:tcW w:w="2105" w:type="pct"/>
          </w:tcPr>
          <w:p w:rsidR="000A6D53" w:rsidRPr="004A083C" w:rsidRDefault="000A6D53" w:rsidP="007C7625">
            <w:pPr>
              <w:rPr>
                <w:rFonts w:ascii="Arial Narrow" w:hAnsi="Arial Narrow"/>
                <w:b/>
                <w:bCs/>
                <w:sz w:val="20"/>
                <w:szCs w:val="20"/>
                <w:lang w:val="en-GB"/>
              </w:rPr>
            </w:pPr>
            <w:r w:rsidRPr="004A083C">
              <w:rPr>
                <w:rFonts w:ascii="Arial Narrow" w:hAnsi="Arial Narrow"/>
                <w:b/>
                <w:bCs/>
                <w:sz w:val="20"/>
                <w:szCs w:val="20"/>
                <w:lang w:val="en-GB"/>
              </w:rPr>
              <w:t>Vaxigrip Tetra</w:t>
            </w:r>
          </w:p>
        </w:tc>
      </w:tr>
      <w:tr w:rsidR="00CB5AAD" w:rsidRPr="00FB7C83" w:rsidTr="004A083C">
        <w:tc>
          <w:tcPr>
            <w:tcW w:w="792" w:type="pct"/>
          </w:tcPr>
          <w:p w:rsidR="00CB5AAD" w:rsidRPr="004A083C" w:rsidRDefault="00CB5AAD" w:rsidP="007C7625">
            <w:pPr>
              <w:rPr>
                <w:rFonts w:ascii="Arial Narrow" w:hAnsi="Arial Narrow"/>
                <w:b/>
                <w:bCs/>
                <w:sz w:val="20"/>
                <w:szCs w:val="20"/>
                <w:lang w:val="en-GB"/>
              </w:rPr>
            </w:pPr>
            <w:r w:rsidRPr="004A083C">
              <w:rPr>
                <w:rFonts w:ascii="Arial Narrow" w:hAnsi="Arial Narrow"/>
                <w:b/>
                <w:bCs/>
                <w:sz w:val="20"/>
                <w:szCs w:val="20"/>
                <w:lang w:val="en-GB"/>
              </w:rPr>
              <w:t>Trial ID</w:t>
            </w:r>
          </w:p>
          <w:p w:rsidR="003A2A56" w:rsidRPr="004A083C" w:rsidRDefault="003A2A56" w:rsidP="007C7625">
            <w:pPr>
              <w:rPr>
                <w:rFonts w:ascii="Arial Narrow" w:hAnsi="Arial Narrow"/>
                <w:b/>
                <w:bCs/>
                <w:sz w:val="20"/>
                <w:szCs w:val="20"/>
                <w:lang w:val="en-GB"/>
              </w:rPr>
            </w:pPr>
            <w:r w:rsidRPr="004A083C">
              <w:rPr>
                <w:rFonts w:ascii="Arial Narrow" w:hAnsi="Arial Narrow"/>
                <w:b/>
                <w:bCs/>
                <w:sz w:val="20"/>
                <w:szCs w:val="20"/>
                <w:lang w:val="en-GB"/>
              </w:rPr>
              <w:t xml:space="preserve">First Author </w:t>
            </w:r>
          </w:p>
        </w:tc>
        <w:tc>
          <w:tcPr>
            <w:tcW w:w="2104" w:type="pct"/>
          </w:tcPr>
          <w:p w:rsidR="00CB5AAD" w:rsidRPr="004A083C" w:rsidRDefault="00CB5AAD" w:rsidP="007C7625">
            <w:pPr>
              <w:rPr>
                <w:rFonts w:ascii="Arial Narrow" w:eastAsia="Calibri" w:hAnsi="Arial Narrow"/>
                <w:sz w:val="20"/>
                <w:szCs w:val="20"/>
                <w:lang w:val="en-GB"/>
              </w:rPr>
            </w:pPr>
            <w:r w:rsidRPr="004A083C">
              <w:rPr>
                <w:rFonts w:ascii="Arial Narrow" w:eastAsia="Calibri" w:hAnsi="Arial Narrow"/>
                <w:sz w:val="20"/>
                <w:szCs w:val="20"/>
                <w:lang w:val="en-GB"/>
              </w:rPr>
              <w:t>Study D-QIV-004</w:t>
            </w:r>
          </w:p>
          <w:p w:rsidR="003A2A56" w:rsidRPr="004A083C" w:rsidRDefault="003A2A56" w:rsidP="007C7625">
            <w:pPr>
              <w:rPr>
                <w:rFonts w:ascii="Arial Narrow" w:hAnsi="Arial Narrow"/>
                <w:sz w:val="20"/>
                <w:szCs w:val="20"/>
                <w:lang w:val="en-GB"/>
              </w:rPr>
            </w:pPr>
            <w:r w:rsidRPr="004A083C">
              <w:rPr>
                <w:rFonts w:ascii="Arial Narrow" w:eastAsia="Cambria" w:hAnsi="Arial Narrow" w:cs="Calibri"/>
                <w:sz w:val="20"/>
                <w:szCs w:val="20"/>
              </w:rPr>
              <w:t>Claeys et al., 2018</w:t>
            </w:r>
          </w:p>
        </w:tc>
        <w:tc>
          <w:tcPr>
            <w:tcW w:w="2105" w:type="pct"/>
          </w:tcPr>
          <w:p w:rsidR="00CB5AAD" w:rsidRPr="004A083C" w:rsidRDefault="00907D78" w:rsidP="007C7625">
            <w:pPr>
              <w:rPr>
                <w:rFonts w:ascii="Arial Narrow" w:hAnsi="Arial Narrow"/>
                <w:sz w:val="20"/>
                <w:szCs w:val="20"/>
              </w:rPr>
            </w:pPr>
            <w:r w:rsidRPr="004A083C">
              <w:rPr>
                <w:rFonts w:ascii="Arial Narrow" w:hAnsi="Arial Narrow"/>
                <w:sz w:val="20"/>
                <w:szCs w:val="20"/>
              </w:rPr>
              <w:t xml:space="preserve">Study </w:t>
            </w:r>
            <w:r w:rsidR="003A2A56" w:rsidRPr="004A083C">
              <w:rPr>
                <w:rFonts w:ascii="Arial Narrow" w:hAnsi="Arial Narrow"/>
                <w:sz w:val="20"/>
                <w:szCs w:val="20"/>
              </w:rPr>
              <w:t>GQM05</w:t>
            </w:r>
          </w:p>
          <w:p w:rsidR="003A2A56" w:rsidRPr="004A083C" w:rsidRDefault="003A2A56" w:rsidP="007C7625">
            <w:pPr>
              <w:rPr>
                <w:rFonts w:ascii="Arial Narrow" w:hAnsi="Arial Narrow"/>
                <w:sz w:val="20"/>
                <w:szCs w:val="20"/>
                <w:lang w:val="en-GB"/>
              </w:rPr>
            </w:pPr>
            <w:r w:rsidRPr="004A083C">
              <w:rPr>
                <w:rFonts w:ascii="Arial Narrow" w:hAnsi="Arial Narrow"/>
                <w:sz w:val="20"/>
                <w:szCs w:val="20"/>
              </w:rPr>
              <w:t>Pepin et al., 2019</w:t>
            </w:r>
          </w:p>
        </w:tc>
      </w:tr>
      <w:tr w:rsidR="00CB5AAD" w:rsidRPr="00FB7C83" w:rsidTr="004A083C">
        <w:tc>
          <w:tcPr>
            <w:tcW w:w="792" w:type="pct"/>
          </w:tcPr>
          <w:p w:rsidR="00CB5AAD" w:rsidRPr="004A083C" w:rsidRDefault="00CB5AAD" w:rsidP="007C7625">
            <w:pPr>
              <w:rPr>
                <w:rFonts w:ascii="Arial Narrow" w:hAnsi="Arial Narrow"/>
                <w:b/>
                <w:bCs/>
                <w:sz w:val="20"/>
                <w:szCs w:val="20"/>
                <w:lang w:val="en-GB"/>
              </w:rPr>
            </w:pPr>
            <w:r w:rsidRPr="004A083C">
              <w:rPr>
                <w:rFonts w:ascii="Arial Narrow" w:hAnsi="Arial Narrow"/>
                <w:b/>
                <w:bCs/>
                <w:sz w:val="20"/>
                <w:szCs w:val="20"/>
                <w:lang w:val="en-GB"/>
              </w:rPr>
              <w:t xml:space="preserve">Publication </w:t>
            </w:r>
            <w:r w:rsidR="003A2A56" w:rsidRPr="004A083C">
              <w:rPr>
                <w:rFonts w:ascii="Arial Narrow" w:hAnsi="Arial Narrow"/>
                <w:b/>
                <w:bCs/>
                <w:sz w:val="20"/>
                <w:szCs w:val="20"/>
                <w:lang w:val="en-GB"/>
              </w:rPr>
              <w:t>citation</w:t>
            </w:r>
          </w:p>
        </w:tc>
        <w:tc>
          <w:tcPr>
            <w:tcW w:w="2104" w:type="pct"/>
          </w:tcPr>
          <w:p w:rsidR="00CB5AAD" w:rsidRPr="004A083C" w:rsidRDefault="003A2A56" w:rsidP="007C7625">
            <w:pPr>
              <w:rPr>
                <w:rFonts w:ascii="Arial Narrow" w:hAnsi="Arial Narrow"/>
                <w:sz w:val="20"/>
                <w:szCs w:val="20"/>
                <w:lang w:val="en-GB"/>
              </w:rPr>
            </w:pPr>
            <w:r w:rsidRPr="004A083C">
              <w:rPr>
                <w:rFonts w:ascii="Arial Narrow" w:hAnsi="Arial Narrow"/>
                <w:sz w:val="20"/>
                <w:szCs w:val="20"/>
              </w:rPr>
              <w:t>Lancet Child Adolescent Health;2: 338-49</w:t>
            </w:r>
          </w:p>
        </w:tc>
        <w:tc>
          <w:tcPr>
            <w:tcW w:w="2105" w:type="pct"/>
          </w:tcPr>
          <w:p w:rsidR="00CB5AAD" w:rsidRPr="004A083C" w:rsidRDefault="003A2A56" w:rsidP="007C7625">
            <w:pPr>
              <w:rPr>
                <w:rFonts w:ascii="Arial Narrow" w:hAnsi="Arial Narrow"/>
                <w:sz w:val="20"/>
                <w:szCs w:val="20"/>
                <w:lang w:val="en-GB"/>
              </w:rPr>
            </w:pPr>
            <w:r w:rsidRPr="004A083C">
              <w:rPr>
                <w:rFonts w:ascii="Arial Narrow" w:hAnsi="Arial Narrow"/>
                <w:sz w:val="20"/>
                <w:szCs w:val="20"/>
              </w:rPr>
              <w:t>Vaccine, 37 (2019): 1876-1884, 1885-1888</w:t>
            </w:r>
          </w:p>
        </w:tc>
      </w:tr>
      <w:tr w:rsidR="000A6D53" w:rsidRPr="00FB7C83" w:rsidTr="004A083C">
        <w:tc>
          <w:tcPr>
            <w:tcW w:w="792" w:type="pct"/>
          </w:tcPr>
          <w:p w:rsidR="000A6D53" w:rsidRPr="004A083C" w:rsidRDefault="000A6D53" w:rsidP="007C7625">
            <w:pPr>
              <w:rPr>
                <w:rFonts w:ascii="Arial Narrow" w:hAnsi="Arial Narrow"/>
                <w:b/>
                <w:bCs/>
                <w:sz w:val="20"/>
                <w:szCs w:val="20"/>
                <w:lang w:val="en-GB"/>
              </w:rPr>
            </w:pPr>
            <w:r w:rsidRPr="004A083C">
              <w:rPr>
                <w:rFonts w:ascii="Arial Narrow" w:hAnsi="Arial Narrow"/>
                <w:b/>
                <w:bCs/>
                <w:sz w:val="20"/>
                <w:szCs w:val="20"/>
                <w:lang w:val="en-GB"/>
              </w:rPr>
              <w:t>Study design</w:t>
            </w:r>
          </w:p>
        </w:tc>
        <w:tc>
          <w:tcPr>
            <w:tcW w:w="2104" w:type="pct"/>
          </w:tcPr>
          <w:p w:rsidR="000A6D53" w:rsidRPr="004A083C" w:rsidRDefault="008516EF" w:rsidP="007C7625">
            <w:pPr>
              <w:rPr>
                <w:rFonts w:ascii="Arial Narrow" w:hAnsi="Arial Narrow"/>
                <w:sz w:val="20"/>
                <w:szCs w:val="20"/>
                <w:lang w:val="en-GB"/>
              </w:rPr>
            </w:pPr>
            <w:r w:rsidRPr="004A083C">
              <w:rPr>
                <w:rFonts w:ascii="Arial Narrow" w:hAnsi="Arial Narrow"/>
                <w:sz w:val="20"/>
                <w:szCs w:val="20"/>
                <w:lang w:val="en-GB"/>
              </w:rPr>
              <w:t>P</w:t>
            </w:r>
            <w:r w:rsidR="000A6D53" w:rsidRPr="004A083C">
              <w:rPr>
                <w:rFonts w:ascii="Arial Narrow" w:hAnsi="Arial Narrow"/>
                <w:sz w:val="20"/>
                <w:szCs w:val="20"/>
                <w:lang w:val="en-GB"/>
              </w:rPr>
              <w:t xml:space="preserve">hase 3, observer-blind, multinational </w:t>
            </w:r>
            <w:r w:rsidR="00E12F6F" w:rsidRPr="004A083C">
              <w:rPr>
                <w:rFonts w:ascii="Arial Narrow" w:hAnsi="Arial Narrow"/>
                <w:sz w:val="20"/>
                <w:szCs w:val="20"/>
                <w:lang w:val="en-GB"/>
              </w:rPr>
              <w:t xml:space="preserve">RCT </w:t>
            </w:r>
            <w:r w:rsidR="000A6D53" w:rsidRPr="004A083C">
              <w:rPr>
                <w:rFonts w:ascii="Arial Narrow" w:hAnsi="Arial Narrow"/>
                <w:sz w:val="20"/>
                <w:szCs w:val="20"/>
                <w:lang w:val="en-GB"/>
              </w:rPr>
              <w:t>with children aged 6–35 months across five influenza seasons in 13 temperate and subtropical</w:t>
            </w:r>
            <w:r w:rsidR="00DA5F5F" w:rsidRPr="004A083C">
              <w:rPr>
                <w:rFonts w:ascii="Arial Narrow" w:hAnsi="Arial Narrow"/>
                <w:sz w:val="20"/>
                <w:szCs w:val="20"/>
                <w:lang w:val="en-GB"/>
              </w:rPr>
              <w:t xml:space="preserve"> </w:t>
            </w:r>
            <w:r w:rsidR="000A6D53" w:rsidRPr="004A083C">
              <w:rPr>
                <w:rFonts w:ascii="Arial Narrow" w:hAnsi="Arial Narrow"/>
                <w:sz w:val="20"/>
                <w:szCs w:val="20"/>
                <w:lang w:val="en-GB"/>
              </w:rPr>
              <w:t>countries in Europe, Central America, and Asia between Oct 1, 2011, and Dec 31, 2014.</w:t>
            </w:r>
          </w:p>
        </w:tc>
        <w:tc>
          <w:tcPr>
            <w:tcW w:w="2105" w:type="pct"/>
          </w:tcPr>
          <w:p w:rsidR="000A6D53" w:rsidRPr="004A083C" w:rsidRDefault="00DA5F5F" w:rsidP="007C7625">
            <w:pPr>
              <w:rPr>
                <w:rFonts w:ascii="Arial Narrow" w:hAnsi="Arial Narrow"/>
                <w:sz w:val="20"/>
                <w:szCs w:val="20"/>
                <w:lang w:val="en-GB"/>
              </w:rPr>
            </w:pPr>
            <w:r w:rsidRPr="004A083C">
              <w:rPr>
                <w:rFonts w:ascii="Arial Narrow" w:hAnsi="Arial Narrow"/>
                <w:sz w:val="20"/>
                <w:szCs w:val="20"/>
                <w:lang w:val="en-GB"/>
              </w:rPr>
              <w:t>P</w:t>
            </w:r>
            <w:r w:rsidR="000A6D53" w:rsidRPr="004A083C">
              <w:rPr>
                <w:rFonts w:ascii="Arial Narrow" w:hAnsi="Arial Narrow"/>
                <w:sz w:val="20"/>
                <w:szCs w:val="20"/>
                <w:lang w:val="en-GB"/>
              </w:rPr>
              <w:t xml:space="preserve">hase 3, </w:t>
            </w:r>
            <w:r w:rsidR="00E12F6F" w:rsidRPr="004A083C">
              <w:rPr>
                <w:rFonts w:ascii="Arial Narrow" w:hAnsi="Arial Narrow"/>
                <w:sz w:val="20"/>
                <w:szCs w:val="20"/>
                <w:lang w:val="en-GB"/>
              </w:rPr>
              <w:t xml:space="preserve">RCT </w:t>
            </w:r>
            <w:r w:rsidR="000A6D53" w:rsidRPr="004A083C">
              <w:rPr>
                <w:rFonts w:ascii="Arial Narrow" w:hAnsi="Arial Narrow"/>
                <w:sz w:val="20"/>
                <w:szCs w:val="20"/>
                <w:lang w:val="en-GB"/>
              </w:rPr>
              <w:t xml:space="preserve">with children aged 6–35 months at 49 centres in Asia, Latin America, Europe and Africa between March 2014 and July 2016. Observer blinded for QIV and placebo groups and open label for </w:t>
            </w:r>
            <w:r w:rsidR="004833FC" w:rsidRPr="004A083C">
              <w:rPr>
                <w:rFonts w:ascii="Arial Narrow" w:hAnsi="Arial Narrow"/>
                <w:sz w:val="20"/>
                <w:szCs w:val="20"/>
                <w:lang w:val="en-GB"/>
              </w:rPr>
              <w:t>trivalent influenza vaccine (</w:t>
            </w:r>
            <w:r w:rsidR="000A6D53" w:rsidRPr="004A083C">
              <w:rPr>
                <w:rFonts w:ascii="Arial Narrow" w:hAnsi="Arial Narrow"/>
                <w:sz w:val="20"/>
                <w:szCs w:val="20"/>
                <w:lang w:val="en-GB"/>
              </w:rPr>
              <w:t>TIV</w:t>
            </w:r>
            <w:r w:rsidR="004833FC" w:rsidRPr="004A083C">
              <w:rPr>
                <w:rFonts w:ascii="Arial Narrow" w:hAnsi="Arial Narrow"/>
                <w:sz w:val="20"/>
                <w:szCs w:val="20"/>
                <w:lang w:val="en-GB"/>
              </w:rPr>
              <w:t>)</w:t>
            </w:r>
            <w:r w:rsidR="000A6D53" w:rsidRPr="004A083C">
              <w:rPr>
                <w:rFonts w:ascii="Arial Narrow" w:hAnsi="Arial Narrow"/>
                <w:sz w:val="20"/>
                <w:szCs w:val="20"/>
                <w:lang w:val="en-GB"/>
              </w:rPr>
              <w:t xml:space="preserve"> groups.</w:t>
            </w:r>
          </w:p>
        </w:tc>
      </w:tr>
      <w:tr w:rsidR="000A6D53" w:rsidRPr="00FB7C83" w:rsidTr="004A083C">
        <w:tc>
          <w:tcPr>
            <w:tcW w:w="792" w:type="pct"/>
          </w:tcPr>
          <w:p w:rsidR="000A6D53" w:rsidRPr="004A083C" w:rsidRDefault="008516EF" w:rsidP="007C7625">
            <w:pPr>
              <w:rPr>
                <w:rFonts w:ascii="Arial Narrow" w:hAnsi="Arial Narrow"/>
                <w:b/>
                <w:bCs/>
                <w:sz w:val="20"/>
                <w:szCs w:val="20"/>
                <w:lang w:val="en-GB"/>
              </w:rPr>
            </w:pPr>
            <w:r w:rsidRPr="004A083C">
              <w:rPr>
                <w:rFonts w:ascii="Arial Narrow" w:hAnsi="Arial Narrow"/>
                <w:b/>
                <w:bCs/>
                <w:sz w:val="20"/>
                <w:szCs w:val="20"/>
                <w:lang w:val="en-GB"/>
              </w:rPr>
              <w:t>P</w:t>
            </w:r>
            <w:r w:rsidR="000A6D53" w:rsidRPr="004A083C">
              <w:rPr>
                <w:rFonts w:ascii="Arial Narrow" w:hAnsi="Arial Narrow"/>
                <w:b/>
                <w:bCs/>
                <w:sz w:val="20"/>
                <w:szCs w:val="20"/>
                <w:lang w:val="en-GB"/>
              </w:rPr>
              <w:t>opulation</w:t>
            </w:r>
          </w:p>
        </w:tc>
        <w:tc>
          <w:tcPr>
            <w:tcW w:w="2104" w:type="pct"/>
          </w:tcPr>
          <w:p w:rsidR="000A6D53" w:rsidRPr="004A083C" w:rsidRDefault="000A6D53" w:rsidP="007C7625">
            <w:pPr>
              <w:rPr>
                <w:rFonts w:ascii="Arial Narrow" w:hAnsi="Arial Narrow"/>
                <w:sz w:val="20"/>
                <w:szCs w:val="20"/>
                <w:lang w:val="en-GB"/>
              </w:rPr>
            </w:pPr>
            <w:r w:rsidRPr="004A083C">
              <w:rPr>
                <w:rFonts w:ascii="Arial Narrow" w:hAnsi="Arial Narrow"/>
                <w:sz w:val="20"/>
                <w:szCs w:val="20"/>
                <w:lang w:val="en-GB"/>
              </w:rPr>
              <w:t>Healthy children, as determined</w:t>
            </w:r>
            <w:r w:rsidR="00DA5F5F" w:rsidRPr="004A083C">
              <w:rPr>
                <w:rFonts w:ascii="Arial Narrow" w:hAnsi="Arial Narrow"/>
                <w:sz w:val="20"/>
                <w:szCs w:val="20"/>
                <w:lang w:val="en-GB"/>
              </w:rPr>
              <w:t xml:space="preserve"> </w:t>
            </w:r>
            <w:r w:rsidRPr="004A083C">
              <w:rPr>
                <w:rFonts w:ascii="Arial Narrow" w:hAnsi="Arial Narrow"/>
                <w:sz w:val="20"/>
                <w:szCs w:val="20"/>
                <w:lang w:val="en-GB"/>
              </w:rPr>
              <w:t>by clinical e</w:t>
            </w:r>
            <w:r w:rsidR="00DA5F5F" w:rsidRPr="004A083C">
              <w:rPr>
                <w:rFonts w:ascii="Arial Narrow" w:hAnsi="Arial Narrow"/>
                <w:sz w:val="20"/>
                <w:szCs w:val="20"/>
                <w:lang w:val="en-GB"/>
              </w:rPr>
              <w:t xml:space="preserve">xamination and medical history, </w:t>
            </w:r>
            <w:r w:rsidRPr="004A083C">
              <w:rPr>
                <w:rFonts w:ascii="Arial Narrow" w:hAnsi="Arial Narrow"/>
                <w:sz w:val="20"/>
                <w:szCs w:val="20"/>
                <w:lang w:val="en-GB"/>
              </w:rPr>
              <w:t>were eligible irrespective of influenza vaccination in previous seasons, aged 6 – 35 months.</w:t>
            </w:r>
          </w:p>
        </w:tc>
        <w:tc>
          <w:tcPr>
            <w:tcW w:w="2105" w:type="pct"/>
          </w:tcPr>
          <w:p w:rsidR="000A6D53" w:rsidRPr="004A083C" w:rsidRDefault="006619CE" w:rsidP="007C7625">
            <w:pPr>
              <w:rPr>
                <w:rFonts w:ascii="Arial Narrow" w:hAnsi="Arial Narrow"/>
                <w:sz w:val="20"/>
                <w:szCs w:val="20"/>
                <w:lang w:val="en-GB"/>
              </w:rPr>
            </w:pPr>
            <w:r w:rsidRPr="004A083C">
              <w:rPr>
                <w:rFonts w:ascii="Arial Narrow" w:hAnsi="Arial Narrow"/>
                <w:sz w:val="20"/>
                <w:szCs w:val="20"/>
                <w:lang w:val="en-GB"/>
              </w:rPr>
              <w:t xml:space="preserve">Healthy children aged 6 to </w:t>
            </w:r>
            <w:r w:rsidR="000A6D53" w:rsidRPr="004A083C">
              <w:rPr>
                <w:rFonts w:ascii="Arial Narrow" w:hAnsi="Arial Narrow"/>
                <w:sz w:val="20"/>
                <w:szCs w:val="20"/>
                <w:lang w:val="en-GB"/>
              </w:rPr>
              <w:t>35 months who had not been previously vaccinated for or infected with influenza.</w:t>
            </w:r>
          </w:p>
        </w:tc>
      </w:tr>
      <w:tr w:rsidR="00F045FA" w:rsidRPr="00FB7C83" w:rsidTr="004A083C">
        <w:tc>
          <w:tcPr>
            <w:tcW w:w="792" w:type="pct"/>
          </w:tcPr>
          <w:p w:rsidR="00F045FA" w:rsidRPr="004A083C" w:rsidRDefault="00F045FA" w:rsidP="007C7625">
            <w:pPr>
              <w:rPr>
                <w:rFonts w:ascii="Arial Narrow" w:hAnsi="Arial Narrow"/>
                <w:b/>
                <w:bCs/>
                <w:sz w:val="20"/>
                <w:szCs w:val="20"/>
                <w:lang w:val="en-GB"/>
              </w:rPr>
            </w:pPr>
            <w:r w:rsidRPr="004A083C">
              <w:rPr>
                <w:rFonts w:ascii="Arial Narrow" w:hAnsi="Arial Narrow"/>
                <w:b/>
                <w:bCs/>
                <w:sz w:val="20"/>
                <w:szCs w:val="20"/>
                <w:lang w:val="en-GB"/>
              </w:rPr>
              <w:t>Number of subjects</w:t>
            </w:r>
          </w:p>
        </w:tc>
        <w:tc>
          <w:tcPr>
            <w:tcW w:w="2104" w:type="pct"/>
          </w:tcPr>
          <w:p w:rsidR="00F045FA" w:rsidRPr="004A083C" w:rsidRDefault="00F045FA" w:rsidP="007C7625">
            <w:pPr>
              <w:rPr>
                <w:rFonts w:ascii="Arial Narrow" w:eastAsia="Cambria" w:hAnsi="Arial Narrow" w:cs="Calibri"/>
                <w:sz w:val="20"/>
                <w:szCs w:val="20"/>
              </w:rPr>
            </w:pPr>
            <w:r w:rsidRPr="004A083C">
              <w:rPr>
                <w:rFonts w:ascii="Arial Narrow" w:eastAsia="Cambria" w:hAnsi="Arial Narrow" w:cs="Calibri"/>
                <w:sz w:val="20"/>
                <w:szCs w:val="20"/>
              </w:rPr>
              <w:t>Fluarix Tetra (QIV): N = 6</w:t>
            </w:r>
            <w:r w:rsidR="00BD58C6" w:rsidRPr="004A083C">
              <w:rPr>
                <w:rFonts w:ascii="Arial Narrow" w:eastAsia="Cambria" w:hAnsi="Arial Narrow" w:cs="Calibri"/>
                <w:sz w:val="20"/>
                <w:szCs w:val="20"/>
              </w:rPr>
              <w:t>,</w:t>
            </w:r>
            <w:r w:rsidRPr="004A083C">
              <w:rPr>
                <w:rFonts w:ascii="Arial Narrow" w:eastAsia="Cambria" w:hAnsi="Arial Narrow" w:cs="Calibri"/>
                <w:sz w:val="20"/>
                <w:szCs w:val="20"/>
              </w:rPr>
              <w:t xml:space="preserve">006 </w:t>
            </w:r>
          </w:p>
          <w:p w:rsidR="00F045FA" w:rsidRPr="004A083C" w:rsidRDefault="00F045FA" w:rsidP="007C7625">
            <w:pPr>
              <w:rPr>
                <w:rFonts w:ascii="Arial Narrow" w:hAnsi="Arial Narrow"/>
                <w:sz w:val="20"/>
                <w:szCs w:val="20"/>
              </w:rPr>
            </w:pPr>
            <w:r w:rsidRPr="004A083C">
              <w:rPr>
                <w:rFonts w:ascii="Arial Narrow" w:eastAsia="Cambria" w:hAnsi="Arial Narrow" w:cs="Calibri"/>
                <w:sz w:val="20"/>
                <w:szCs w:val="20"/>
              </w:rPr>
              <w:t>Control vaccines (comparators; Havrix, Varivax, Varilrix, Prevenar): N=6</w:t>
            </w:r>
            <w:r w:rsidR="00BD58C6" w:rsidRPr="004A083C">
              <w:rPr>
                <w:rFonts w:ascii="Arial Narrow" w:eastAsia="Cambria" w:hAnsi="Arial Narrow" w:cs="Calibri"/>
                <w:sz w:val="20"/>
                <w:szCs w:val="20"/>
              </w:rPr>
              <w:t>,</w:t>
            </w:r>
            <w:r w:rsidRPr="004A083C">
              <w:rPr>
                <w:rFonts w:ascii="Arial Narrow" w:eastAsia="Cambria" w:hAnsi="Arial Narrow" w:cs="Calibri"/>
                <w:sz w:val="20"/>
                <w:szCs w:val="20"/>
              </w:rPr>
              <w:t xml:space="preserve">012. </w:t>
            </w:r>
          </w:p>
        </w:tc>
        <w:tc>
          <w:tcPr>
            <w:tcW w:w="2105" w:type="pct"/>
          </w:tcPr>
          <w:p w:rsidR="005651A0" w:rsidRPr="004A083C" w:rsidRDefault="005651A0" w:rsidP="007C7625">
            <w:pPr>
              <w:rPr>
                <w:rFonts w:ascii="Arial Narrow" w:hAnsi="Arial Narrow"/>
                <w:sz w:val="20"/>
                <w:szCs w:val="20"/>
                <w:lang w:val="en-GB"/>
              </w:rPr>
            </w:pPr>
            <w:r w:rsidRPr="004A083C">
              <w:rPr>
                <w:rFonts w:ascii="Arial Narrow" w:hAnsi="Arial Narrow"/>
                <w:sz w:val="20"/>
                <w:szCs w:val="20"/>
              </w:rPr>
              <w:t>Vaxigrip Tetra (QIV)</w:t>
            </w:r>
            <w:r w:rsidRPr="004A083C">
              <w:rPr>
                <w:rFonts w:ascii="Arial Narrow" w:hAnsi="Arial Narrow"/>
                <w:sz w:val="20"/>
                <w:szCs w:val="20"/>
                <w:lang w:val="en-GB"/>
              </w:rPr>
              <w:t xml:space="preserve"> N</w:t>
            </w:r>
            <w:r w:rsidR="00BD58C6" w:rsidRPr="004A083C">
              <w:rPr>
                <w:rFonts w:ascii="Arial Narrow" w:hAnsi="Arial Narrow"/>
                <w:sz w:val="20"/>
                <w:szCs w:val="20"/>
                <w:lang w:val="en-GB"/>
              </w:rPr>
              <w:t>=2,</w:t>
            </w:r>
            <w:r w:rsidR="00F03DA5" w:rsidRPr="004A083C">
              <w:rPr>
                <w:rFonts w:ascii="Arial Narrow" w:hAnsi="Arial Narrow"/>
                <w:sz w:val="20"/>
                <w:szCs w:val="20"/>
                <w:lang w:val="en-GB"/>
              </w:rPr>
              <w:t>559</w:t>
            </w:r>
          </w:p>
          <w:p w:rsidR="00F045FA" w:rsidRPr="004A083C" w:rsidRDefault="005651A0" w:rsidP="007C7625">
            <w:pPr>
              <w:rPr>
                <w:rFonts w:ascii="Arial Narrow" w:hAnsi="Arial Narrow"/>
                <w:sz w:val="20"/>
                <w:szCs w:val="20"/>
              </w:rPr>
            </w:pPr>
            <w:r w:rsidRPr="004A083C">
              <w:rPr>
                <w:rFonts w:ascii="Arial Narrow" w:hAnsi="Arial Narrow"/>
                <w:sz w:val="20"/>
                <w:szCs w:val="20"/>
                <w:lang w:val="en-GB"/>
              </w:rPr>
              <w:t>Placebo N=2</w:t>
            </w:r>
            <w:r w:rsidR="00BD58C6" w:rsidRPr="004A083C">
              <w:rPr>
                <w:rFonts w:ascii="Arial Narrow" w:hAnsi="Arial Narrow"/>
                <w:sz w:val="20"/>
                <w:szCs w:val="20"/>
                <w:lang w:val="en-GB"/>
              </w:rPr>
              <w:t>,</w:t>
            </w:r>
            <w:r w:rsidR="00F03DA5" w:rsidRPr="004A083C">
              <w:rPr>
                <w:rFonts w:ascii="Arial Narrow" w:hAnsi="Arial Narrow"/>
                <w:sz w:val="20"/>
                <w:szCs w:val="20"/>
                <w:lang w:val="en-GB"/>
              </w:rPr>
              <w:t>570</w:t>
            </w:r>
          </w:p>
        </w:tc>
      </w:tr>
      <w:tr w:rsidR="000A6D53" w:rsidRPr="00FB7C83" w:rsidTr="004A083C">
        <w:tc>
          <w:tcPr>
            <w:tcW w:w="792" w:type="pct"/>
          </w:tcPr>
          <w:p w:rsidR="000A6D53" w:rsidRPr="004A083C" w:rsidRDefault="008516EF" w:rsidP="007C7625">
            <w:pPr>
              <w:rPr>
                <w:rFonts w:ascii="Arial Narrow" w:hAnsi="Arial Narrow"/>
                <w:b/>
                <w:bCs/>
                <w:sz w:val="20"/>
                <w:szCs w:val="20"/>
                <w:lang w:val="en-GB"/>
              </w:rPr>
            </w:pPr>
            <w:r w:rsidRPr="004A083C">
              <w:rPr>
                <w:rFonts w:ascii="Arial Narrow" w:hAnsi="Arial Narrow"/>
                <w:b/>
                <w:bCs/>
                <w:sz w:val="20"/>
                <w:szCs w:val="20"/>
                <w:lang w:val="en-GB"/>
              </w:rPr>
              <w:t>I</w:t>
            </w:r>
            <w:r w:rsidR="000A6D53" w:rsidRPr="004A083C">
              <w:rPr>
                <w:rFonts w:ascii="Arial Narrow" w:hAnsi="Arial Narrow"/>
                <w:b/>
                <w:bCs/>
                <w:sz w:val="20"/>
                <w:szCs w:val="20"/>
                <w:lang w:val="en-GB"/>
              </w:rPr>
              <w:t>ntervention</w:t>
            </w:r>
          </w:p>
        </w:tc>
        <w:tc>
          <w:tcPr>
            <w:tcW w:w="2104" w:type="pct"/>
          </w:tcPr>
          <w:p w:rsidR="000A6D53" w:rsidRPr="004A083C" w:rsidRDefault="000A6D53" w:rsidP="007C7625">
            <w:pPr>
              <w:rPr>
                <w:rFonts w:ascii="Arial Narrow" w:hAnsi="Arial Narrow"/>
                <w:sz w:val="20"/>
                <w:szCs w:val="20"/>
              </w:rPr>
            </w:pPr>
            <w:r w:rsidRPr="004A083C">
              <w:rPr>
                <w:rFonts w:ascii="Arial Narrow" w:hAnsi="Arial Narrow"/>
                <w:sz w:val="20"/>
                <w:szCs w:val="20"/>
              </w:rPr>
              <w:t>Fl</w:t>
            </w:r>
            <w:r w:rsidR="00DA5F5F" w:rsidRPr="004A083C">
              <w:rPr>
                <w:rFonts w:ascii="Arial Narrow" w:hAnsi="Arial Narrow"/>
                <w:sz w:val="20"/>
                <w:szCs w:val="20"/>
              </w:rPr>
              <w:t xml:space="preserve">uarix Tetra, QIV </w:t>
            </w:r>
            <w:r w:rsidR="006619CE" w:rsidRPr="004A083C">
              <w:rPr>
                <w:rFonts w:ascii="Arial Narrow" w:hAnsi="Arial Narrow"/>
                <w:sz w:val="20"/>
                <w:szCs w:val="20"/>
              </w:rPr>
              <w:t>contained 15 mcg</w:t>
            </w:r>
            <w:r w:rsidRPr="004A083C">
              <w:rPr>
                <w:rFonts w:ascii="Arial Narrow" w:hAnsi="Arial Narrow"/>
                <w:sz w:val="20"/>
                <w:szCs w:val="20"/>
              </w:rPr>
              <w:t xml:space="preserve"> haemagglutinin antigen per strain per 0.5 mL dose; strain composition followed WHO recommendations.</w:t>
            </w:r>
          </w:p>
          <w:p w:rsidR="00DA5F5F" w:rsidRPr="004A083C" w:rsidRDefault="000A6D53" w:rsidP="007C7625">
            <w:pPr>
              <w:rPr>
                <w:rFonts w:ascii="Arial Narrow" w:hAnsi="Arial Narrow"/>
                <w:sz w:val="20"/>
                <w:szCs w:val="20"/>
              </w:rPr>
            </w:pPr>
            <w:r w:rsidRPr="004A083C">
              <w:rPr>
                <w:rFonts w:ascii="Arial Narrow" w:hAnsi="Arial Narrow"/>
                <w:sz w:val="20"/>
                <w:szCs w:val="20"/>
              </w:rPr>
              <w:t>The vaccine was administered</w:t>
            </w:r>
            <w:r w:rsidR="00DA5F5F" w:rsidRPr="004A083C">
              <w:rPr>
                <w:rFonts w:ascii="Arial Narrow" w:hAnsi="Arial Narrow"/>
                <w:sz w:val="20"/>
                <w:szCs w:val="20"/>
              </w:rPr>
              <w:t xml:space="preserve"> </w:t>
            </w:r>
            <w:r w:rsidRPr="004A083C">
              <w:rPr>
                <w:rFonts w:ascii="Arial Narrow" w:hAnsi="Arial Narrow"/>
                <w:sz w:val="20"/>
                <w:szCs w:val="20"/>
              </w:rPr>
              <w:t xml:space="preserve">intramuscularly. </w:t>
            </w:r>
          </w:p>
          <w:p w:rsidR="000A6D53" w:rsidRPr="004A083C" w:rsidRDefault="000A6D53" w:rsidP="007C7625">
            <w:pPr>
              <w:rPr>
                <w:rFonts w:ascii="Arial Narrow" w:hAnsi="Arial Narrow"/>
                <w:sz w:val="20"/>
                <w:szCs w:val="20"/>
              </w:rPr>
            </w:pPr>
            <w:r w:rsidRPr="004A083C">
              <w:rPr>
                <w:rFonts w:ascii="Arial Narrow" w:hAnsi="Arial Narrow"/>
                <w:sz w:val="20"/>
                <w:szCs w:val="20"/>
              </w:rPr>
              <w:t>Vaccine-primed children received a single 0∙5 mL dose on day 0; vaccine-unprimed children received two doses (0∙5 mL each on days 0 and 28).</w:t>
            </w:r>
          </w:p>
        </w:tc>
        <w:tc>
          <w:tcPr>
            <w:tcW w:w="2105" w:type="pct"/>
          </w:tcPr>
          <w:p w:rsidR="000A6D53" w:rsidRPr="004A083C" w:rsidRDefault="000A6D53" w:rsidP="007C7625">
            <w:pPr>
              <w:rPr>
                <w:rFonts w:ascii="Arial Narrow" w:hAnsi="Arial Narrow"/>
                <w:sz w:val="20"/>
                <w:szCs w:val="20"/>
              </w:rPr>
            </w:pPr>
            <w:r w:rsidRPr="004A083C">
              <w:rPr>
                <w:rFonts w:ascii="Arial Narrow" w:hAnsi="Arial Narrow"/>
                <w:sz w:val="20"/>
                <w:szCs w:val="20"/>
                <w:lang w:val="en-GB"/>
              </w:rPr>
              <w:t xml:space="preserve">Vaxigrip Tetra, </w:t>
            </w:r>
            <w:r w:rsidR="00B77021" w:rsidRPr="004A083C">
              <w:rPr>
                <w:rFonts w:ascii="Arial Narrow" w:hAnsi="Arial Narrow"/>
                <w:sz w:val="20"/>
                <w:szCs w:val="20"/>
                <w:lang w:val="en-GB"/>
              </w:rPr>
              <w:t xml:space="preserve">QIV, </w:t>
            </w:r>
            <w:r w:rsidRPr="004A083C">
              <w:rPr>
                <w:rFonts w:ascii="Arial Narrow" w:hAnsi="Arial Narrow"/>
                <w:sz w:val="20"/>
                <w:szCs w:val="20"/>
                <w:lang w:val="en-GB"/>
              </w:rPr>
              <w:t xml:space="preserve">split-virion, </w:t>
            </w:r>
            <w:r w:rsidR="006619CE" w:rsidRPr="004A083C">
              <w:rPr>
                <w:rFonts w:ascii="Arial Narrow" w:hAnsi="Arial Narrow"/>
                <w:sz w:val="20"/>
                <w:szCs w:val="20"/>
              </w:rPr>
              <w:t>15 mcg</w:t>
            </w:r>
            <w:r w:rsidRPr="004A083C">
              <w:rPr>
                <w:rFonts w:ascii="Arial Narrow" w:hAnsi="Arial Narrow"/>
                <w:sz w:val="20"/>
                <w:szCs w:val="20"/>
              </w:rPr>
              <w:t xml:space="preserve"> haemagglutinin antigen per strain per 0.5 mL dose.</w:t>
            </w:r>
          </w:p>
          <w:p w:rsidR="00B77021" w:rsidRPr="004A083C" w:rsidRDefault="00B77021" w:rsidP="007C7625">
            <w:pPr>
              <w:rPr>
                <w:rFonts w:ascii="Arial Narrow" w:hAnsi="Arial Narrow"/>
                <w:sz w:val="20"/>
                <w:szCs w:val="20"/>
                <w:lang w:val="en-GB"/>
              </w:rPr>
            </w:pPr>
            <w:r w:rsidRPr="004A083C">
              <w:rPr>
                <w:rFonts w:ascii="Arial Narrow" w:hAnsi="Arial Narrow"/>
                <w:sz w:val="20"/>
                <w:szCs w:val="20"/>
                <w:lang w:val="en-GB"/>
              </w:rPr>
              <w:t>Participants were randomised to receive two 0.5-ml doses 28 days apart Vaxigrip Tetra or a licensed TIV or placebo (saline).</w:t>
            </w:r>
          </w:p>
        </w:tc>
      </w:tr>
      <w:tr w:rsidR="000A6D53" w:rsidRPr="00FB7C83" w:rsidTr="004A083C">
        <w:tc>
          <w:tcPr>
            <w:tcW w:w="792" w:type="pct"/>
          </w:tcPr>
          <w:p w:rsidR="000A6D53" w:rsidRPr="004A083C" w:rsidRDefault="009E2E6A" w:rsidP="007C7625">
            <w:pPr>
              <w:rPr>
                <w:rFonts w:ascii="Arial Narrow" w:hAnsi="Arial Narrow"/>
                <w:b/>
                <w:bCs/>
                <w:sz w:val="20"/>
                <w:szCs w:val="20"/>
                <w:lang w:val="en-GB"/>
              </w:rPr>
            </w:pPr>
            <w:r w:rsidRPr="004A083C">
              <w:rPr>
                <w:rFonts w:ascii="Arial Narrow" w:hAnsi="Arial Narrow"/>
                <w:b/>
                <w:bCs/>
                <w:sz w:val="20"/>
                <w:szCs w:val="20"/>
                <w:lang w:val="en-GB"/>
              </w:rPr>
              <w:t>C</w:t>
            </w:r>
            <w:r w:rsidR="000A6D53" w:rsidRPr="004A083C">
              <w:rPr>
                <w:rFonts w:ascii="Arial Narrow" w:hAnsi="Arial Narrow"/>
                <w:b/>
                <w:bCs/>
                <w:sz w:val="20"/>
                <w:szCs w:val="20"/>
                <w:lang w:val="en-GB"/>
              </w:rPr>
              <w:t>omparator</w:t>
            </w:r>
          </w:p>
        </w:tc>
        <w:tc>
          <w:tcPr>
            <w:tcW w:w="2104" w:type="pct"/>
          </w:tcPr>
          <w:p w:rsidR="000A6D53" w:rsidRPr="004A083C" w:rsidRDefault="000A6D53" w:rsidP="007C7625">
            <w:pPr>
              <w:rPr>
                <w:rFonts w:ascii="Arial Narrow" w:hAnsi="Arial Narrow"/>
                <w:sz w:val="20"/>
                <w:szCs w:val="20"/>
                <w:lang w:val="en-GB"/>
              </w:rPr>
            </w:pPr>
            <w:r w:rsidRPr="004A083C">
              <w:rPr>
                <w:rFonts w:ascii="Arial Narrow" w:hAnsi="Arial Narrow"/>
                <w:sz w:val="20"/>
                <w:szCs w:val="20"/>
              </w:rPr>
              <w:t>Pneumococcal conjugate vaccine (PCV), hepatitis A vaccine, or varicella vaccine. Control vaccine allocation was based on age and influenza vaccine priming status.</w:t>
            </w:r>
          </w:p>
        </w:tc>
        <w:tc>
          <w:tcPr>
            <w:tcW w:w="2105" w:type="pct"/>
          </w:tcPr>
          <w:p w:rsidR="000A6D53" w:rsidRPr="004A083C" w:rsidRDefault="000A6D53" w:rsidP="007C7625">
            <w:pPr>
              <w:rPr>
                <w:rFonts w:ascii="Arial Narrow" w:hAnsi="Arial Narrow"/>
                <w:sz w:val="20"/>
                <w:szCs w:val="20"/>
                <w:lang w:val="en-GB"/>
              </w:rPr>
            </w:pPr>
            <w:r w:rsidRPr="004A083C">
              <w:rPr>
                <w:rFonts w:ascii="Arial Narrow" w:hAnsi="Arial Narrow"/>
                <w:sz w:val="20"/>
                <w:szCs w:val="20"/>
                <w:lang w:val="en-GB"/>
              </w:rPr>
              <w:t xml:space="preserve">TIV, 2 different vaccines (one containing WHO recommended B strain (TIV-2) and the other with non-WHO recommended B strain (TIV-1)) and placebo vaccine (saline). </w:t>
            </w:r>
          </w:p>
        </w:tc>
      </w:tr>
      <w:tr w:rsidR="000A6D53" w:rsidRPr="00FB7C83" w:rsidTr="004A083C">
        <w:tc>
          <w:tcPr>
            <w:tcW w:w="792" w:type="pct"/>
          </w:tcPr>
          <w:p w:rsidR="000A6D53" w:rsidRPr="004A083C" w:rsidRDefault="00B77021" w:rsidP="007C7625">
            <w:pPr>
              <w:rPr>
                <w:rFonts w:ascii="Arial Narrow" w:hAnsi="Arial Narrow"/>
                <w:b/>
                <w:bCs/>
                <w:sz w:val="20"/>
                <w:szCs w:val="20"/>
                <w:lang w:val="en-GB"/>
              </w:rPr>
            </w:pPr>
            <w:r w:rsidRPr="004A083C">
              <w:rPr>
                <w:rFonts w:ascii="Arial Narrow" w:hAnsi="Arial Narrow"/>
                <w:b/>
                <w:bCs/>
                <w:sz w:val="20"/>
                <w:szCs w:val="20"/>
                <w:lang w:val="en-GB"/>
              </w:rPr>
              <w:t>O</w:t>
            </w:r>
            <w:r w:rsidR="000A6D53" w:rsidRPr="004A083C">
              <w:rPr>
                <w:rFonts w:ascii="Arial Narrow" w:hAnsi="Arial Narrow"/>
                <w:b/>
                <w:bCs/>
                <w:sz w:val="20"/>
                <w:szCs w:val="20"/>
                <w:lang w:val="en-GB"/>
              </w:rPr>
              <w:t>utcomes</w:t>
            </w:r>
          </w:p>
        </w:tc>
        <w:tc>
          <w:tcPr>
            <w:tcW w:w="2104" w:type="pct"/>
          </w:tcPr>
          <w:p w:rsidR="000A6D53" w:rsidRPr="004A083C" w:rsidRDefault="000A6D53" w:rsidP="007C7625">
            <w:pPr>
              <w:autoSpaceDE w:val="0"/>
              <w:autoSpaceDN w:val="0"/>
              <w:adjustRightInd w:val="0"/>
              <w:rPr>
                <w:rFonts w:ascii="Arial Narrow" w:hAnsi="Arial Narrow"/>
                <w:sz w:val="20"/>
                <w:szCs w:val="20"/>
              </w:rPr>
            </w:pPr>
            <w:r w:rsidRPr="004A083C">
              <w:rPr>
                <w:rFonts w:ascii="Arial Narrow" w:hAnsi="Arial Narrow"/>
                <w:sz w:val="20"/>
                <w:szCs w:val="20"/>
              </w:rPr>
              <w:t>The two primary endpoints, VE in preventing:</w:t>
            </w:r>
          </w:p>
          <w:p w:rsidR="000A6D53" w:rsidRPr="004A083C" w:rsidRDefault="000A6D53" w:rsidP="007C7625">
            <w:pPr>
              <w:pStyle w:val="ListParagraph"/>
              <w:numPr>
                <w:ilvl w:val="0"/>
                <w:numId w:val="13"/>
              </w:numPr>
              <w:autoSpaceDE w:val="0"/>
              <w:autoSpaceDN w:val="0"/>
              <w:adjustRightInd w:val="0"/>
              <w:spacing w:after="0"/>
              <w:contextualSpacing/>
              <w:jc w:val="both"/>
              <w:rPr>
                <w:rFonts w:ascii="Arial Narrow" w:hAnsi="Arial Narrow"/>
                <w:sz w:val="20"/>
                <w:szCs w:val="20"/>
              </w:rPr>
            </w:pPr>
            <w:r w:rsidRPr="004A083C">
              <w:rPr>
                <w:rFonts w:ascii="Arial Narrow" w:hAnsi="Arial Narrow"/>
                <w:sz w:val="20"/>
                <w:szCs w:val="20"/>
              </w:rPr>
              <w:t>RT-PCR-confirmed, moderate-to-severe influenza</w:t>
            </w:r>
            <w:r w:rsidR="00B77021" w:rsidRPr="004A083C">
              <w:rPr>
                <w:rFonts w:ascii="Arial Narrow" w:hAnsi="Arial Narrow"/>
                <w:sz w:val="20"/>
                <w:szCs w:val="20"/>
              </w:rPr>
              <w:t xml:space="preserve"> </w:t>
            </w:r>
            <w:r w:rsidR="00E12F6F" w:rsidRPr="004A083C">
              <w:rPr>
                <w:rFonts w:ascii="Arial Narrow" w:eastAsia="Cambria" w:hAnsi="Arial Narrow" w:cs="Calibri"/>
                <w:sz w:val="20"/>
                <w:szCs w:val="20"/>
              </w:rPr>
              <w:t>A and/or B disease due to any seasonal influenza strain</w:t>
            </w:r>
          </w:p>
          <w:p w:rsidR="000A6D53" w:rsidRPr="004A083C" w:rsidRDefault="000A6D53" w:rsidP="007C7625">
            <w:pPr>
              <w:pStyle w:val="ListParagraph"/>
              <w:numPr>
                <w:ilvl w:val="0"/>
                <w:numId w:val="13"/>
              </w:numPr>
              <w:autoSpaceDE w:val="0"/>
              <w:autoSpaceDN w:val="0"/>
              <w:adjustRightInd w:val="0"/>
              <w:spacing w:after="0"/>
              <w:contextualSpacing/>
              <w:jc w:val="both"/>
              <w:rPr>
                <w:rFonts w:ascii="Arial Narrow" w:hAnsi="Arial Narrow"/>
                <w:sz w:val="20"/>
                <w:szCs w:val="20"/>
              </w:rPr>
            </w:pPr>
            <w:r w:rsidRPr="004A083C">
              <w:rPr>
                <w:rFonts w:ascii="Arial Narrow" w:hAnsi="Arial Narrow"/>
                <w:sz w:val="20"/>
                <w:szCs w:val="20"/>
              </w:rPr>
              <w:t>all influenza (irrespective of disease severity) associated with any seasonal influenza strain.</w:t>
            </w:r>
          </w:p>
          <w:p w:rsidR="000A6D53" w:rsidRPr="004A083C" w:rsidRDefault="000A6D53" w:rsidP="007C7625">
            <w:pPr>
              <w:autoSpaceDE w:val="0"/>
              <w:autoSpaceDN w:val="0"/>
              <w:adjustRightInd w:val="0"/>
              <w:rPr>
                <w:rFonts w:ascii="Arial Narrow" w:hAnsi="Arial Narrow"/>
                <w:sz w:val="20"/>
                <w:szCs w:val="20"/>
              </w:rPr>
            </w:pPr>
            <w:r w:rsidRPr="004A083C">
              <w:rPr>
                <w:rFonts w:ascii="Arial Narrow" w:hAnsi="Arial Narrow"/>
                <w:sz w:val="20"/>
                <w:szCs w:val="20"/>
              </w:rPr>
              <w:t>Secondary endpoints:</w:t>
            </w:r>
          </w:p>
          <w:p w:rsidR="000A6D53" w:rsidRPr="004A083C" w:rsidRDefault="000A6D53" w:rsidP="007C7625">
            <w:pPr>
              <w:pStyle w:val="ListParagraph"/>
              <w:numPr>
                <w:ilvl w:val="0"/>
                <w:numId w:val="12"/>
              </w:numPr>
              <w:autoSpaceDE w:val="0"/>
              <w:autoSpaceDN w:val="0"/>
              <w:adjustRightInd w:val="0"/>
              <w:spacing w:after="0"/>
              <w:contextualSpacing/>
              <w:jc w:val="both"/>
              <w:rPr>
                <w:rFonts w:ascii="Arial Narrow" w:hAnsi="Arial Narrow"/>
                <w:sz w:val="20"/>
                <w:szCs w:val="20"/>
              </w:rPr>
            </w:pPr>
            <w:r w:rsidRPr="004A083C">
              <w:rPr>
                <w:rFonts w:ascii="Arial Narrow" w:hAnsi="Arial Narrow"/>
                <w:sz w:val="20"/>
                <w:szCs w:val="20"/>
              </w:rPr>
              <w:t>lower respiratory infection with</w:t>
            </w:r>
          </w:p>
          <w:p w:rsidR="000A6D53" w:rsidRPr="004A083C" w:rsidRDefault="000A6D53" w:rsidP="007C7625">
            <w:pPr>
              <w:autoSpaceDE w:val="0"/>
              <w:autoSpaceDN w:val="0"/>
              <w:adjustRightInd w:val="0"/>
              <w:ind w:left="720"/>
              <w:rPr>
                <w:rFonts w:ascii="Arial Narrow" w:hAnsi="Arial Narrow"/>
                <w:sz w:val="20"/>
                <w:szCs w:val="20"/>
              </w:rPr>
            </w:pPr>
            <w:r w:rsidRPr="004A083C">
              <w:rPr>
                <w:rFonts w:ascii="Arial Narrow" w:hAnsi="Arial Narrow"/>
                <w:sz w:val="20"/>
                <w:szCs w:val="20"/>
              </w:rPr>
              <w:t>RT-PCR-confirmed influenza</w:t>
            </w:r>
          </w:p>
          <w:p w:rsidR="000A6D53" w:rsidRPr="004A083C" w:rsidRDefault="000A6D53" w:rsidP="007C7625">
            <w:pPr>
              <w:pStyle w:val="ListParagraph"/>
              <w:numPr>
                <w:ilvl w:val="0"/>
                <w:numId w:val="12"/>
              </w:numPr>
              <w:autoSpaceDE w:val="0"/>
              <w:autoSpaceDN w:val="0"/>
              <w:adjustRightInd w:val="0"/>
              <w:spacing w:after="0"/>
              <w:contextualSpacing/>
              <w:jc w:val="both"/>
              <w:rPr>
                <w:rFonts w:ascii="Arial Narrow" w:hAnsi="Arial Narrow"/>
                <w:sz w:val="20"/>
                <w:szCs w:val="20"/>
              </w:rPr>
            </w:pPr>
            <w:r w:rsidRPr="004A083C">
              <w:rPr>
                <w:rFonts w:ascii="Arial Narrow" w:hAnsi="Arial Narrow"/>
                <w:sz w:val="20"/>
                <w:szCs w:val="20"/>
              </w:rPr>
              <w:t>culture-confirmed influenza associated with antigenically matching strains</w:t>
            </w:r>
          </w:p>
          <w:p w:rsidR="000A6D53" w:rsidRPr="004A083C" w:rsidRDefault="000A6D53" w:rsidP="007C7625">
            <w:pPr>
              <w:pStyle w:val="ListParagraph"/>
              <w:numPr>
                <w:ilvl w:val="0"/>
                <w:numId w:val="12"/>
              </w:numPr>
              <w:autoSpaceDE w:val="0"/>
              <w:autoSpaceDN w:val="0"/>
              <w:adjustRightInd w:val="0"/>
              <w:spacing w:after="0"/>
              <w:contextualSpacing/>
              <w:jc w:val="both"/>
              <w:rPr>
                <w:rFonts w:ascii="Arial Narrow" w:hAnsi="Arial Narrow"/>
                <w:sz w:val="20"/>
                <w:szCs w:val="20"/>
              </w:rPr>
            </w:pPr>
            <w:r w:rsidRPr="004A083C">
              <w:rPr>
                <w:rFonts w:ascii="Arial Narrow" w:hAnsi="Arial Narrow"/>
                <w:sz w:val="20"/>
                <w:szCs w:val="20"/>
              </w:rPr>
              <w:t>culture-confirmed influenza associated with any seasonal strain</w:t>
            </w:r>
          </w:p>
          <w:p w:rsidR="000A6D53" w:rsidRPr="004A083C" w:rsidRDefault="000A6D53" w:rsidP="007C7625">
            <w:pPr>
              <w:pStyle w:val="ListParagraph"/>
              <w:numPr>
                <w:ilvl w:val="0"/>
                <w:numId w:val="12"/>
              </w:numPr>
              <w:autoSpaceDE w:val="0"/>
              <w:autoSpaceDN w:val="0"/>
              <w:adjustRightInd w:val="0"/>
              <w:spacing w:after="0"/>
              <w:contextualSpacing/>
              <w:jc w:val="both"/>
              <w:rPr>
                <w:rFonts w:ascii="Arial Narrow" w:hAnsi="Arial Narrow"/>
                <w:sz w:val="20"/>
                <w:szCs w:val="20"/>
              </w:rPr>
            </w:pPr>
            <w:r w:rsidRPr="004A083C">
              <w:rPr>
                <w:rFonts w:ascii="Arial Narrow" w:hAnsi="Arial Narrow"/>
                <w:sz w:val="20"/>
                <w:szCs w:val="20"/>
              </w:rPr>
              <w:t>acute otitis media with RT-PCR-confirmed influenza</w:t>
            </w:r>
          </w:p>
          <w:p w:rsidR="000A6D53" w:rsidRPr="004A083C" w:rsidRDefault="000A6D53" w:rsidP="007C7625">
            <w:pPr>
              <w:pStyle w:val="ListParagraph"/>
              <w:numPr>
                <w:ilvl w:val="0"/>
                <w:numId w:val="12"/>
              </w:numPr>
              <w:autoSpaceDE w:val="0"/>
              <w:autoSpaceDN w:val="0"/>
              <w:adjustRightInd w:val="0"/>
              <w:spacing w:after="0"/>
              <w:contextualSpacing/>
              <w:jc w:val="both"/>
              <w:rPr>
                <w:rFonts w:ascii="Arial Narrow" w:hAnsi="Arial Narrow"/>
                <w:sz w:val="20"/>
                <w:szCs w:val="20"/>
              </w:rPr>
            </w:pPr>
            <w:r w:rsidRPr="004A083C">
              <w:rPr>
                <w:rFonts w:ascii="Arial Narrow" w:hAnsi="Arial Narrow"/>
                <w:sz w:val="20"/>
                <w:szCs w:val="20"/>
              </w:rPr>
              <w:t>RT-PCR-confirmed severe influenza</w:t>
            </w:r>
          </w:p>
          <w:p w:rsidR="00E12F6F" w:rsidRPr="004A083C" w:rsidRDefault="00E12F6F" w:rsidP="007C7625">
            <w:pPr>
              <w:spacing w:before="120" w:after="120"/>
              <w:rPr>
                <w:rFonts w:ascii="Arial Narrow" w:eastAsia="Cambria" w:hAnsi="Arial Narrow" w:cs="Calibri"/>
                <w:sz w:val="20"/>
                <w:szCs w:val="20"/>
              </w:rPr>
            </w:pPr>
            <w:r w:rsidRPr="004A083C">
              <w:rPr>
                <w:rFonts w:ascii="Arial Narrow" w:eastAsia="Cambria" w:hAnsi="Arial Narrow" w:cs="Calibri"/>
                <w:sz w:val="20"/>
                <w:szCs w:val="20"/>
              </w:rPr>
              <w:t>Immunogenicity</w:t>
            </w:r>
          </w:p>
          <w:p w:rsidR="00E12F6F" w:rsidRPr="004A083C" w:rsidRDefault="00E12F6F" w:rsidP="007C7625">
            <w:pPr>
              <w:pStyle w:val="ListBullet"/>
              <w:numPr>
                <w:ilvl w:val="0"/>
                <w:numId w:val="0"/>
              </w:numPr>
              <w:rPr>
                <w:rFonts w:ascii="Arial Narrow" w:hAnsi="Arial Narrow"/>
                <w:sz w:val="20"/>
                <w:szCs w:val="20"/>
              </w:rPr>
            </w:pPr>
            <w:r w:rsidRPr="004A083C">
              <w:rPr>
                <w:rFonts w:ascii="Arial Narrow" w:eastAsia="Cambria" w:hAnsi="Arial Narrow" w:cs="Calibri"/>
                <w:sz w:val="20"/>
                <w:szCs w:val="20"/>
              </w:rPr>
              <w:t>Reactogenicity and Safety</w:t>
            </w:r>
          </w:p>
        </w:tc>
        <w:tc>
          <w:tcPr>
            <w:tcW w:w="2105" w:type="pct"/>
          </w:tcPr>
          <w:p w:rsidR="000A6D53" w:rsidRPr="004A083C" w:rsidRDefault="000A6D53" w:rsidP="007C7625">
            <w:pPr>
              <w:autoSpaceDE w:val="0"/>
              <w:autoSpaceDN w:val="0"/>
              <w:adjustRightInd w:val="0"/>
              <w:rPr>
                <w:rFonts w:ascii="Arial Narrow" w:hAnsi="Arial Narrow"/>
                <w:sz w:val="20"/>
                <w:szCs w:val="20"/>
              </w:rPr>
            </w:pPr>
            <w:r w:rsidRPr="004A083C">
              <w:rPr>
                <w:rFonts w:ascii="Arial Narrow" w:hAnsi="Arial Narrow"/>
                <w:sz w:val="20"/>
                <w:szCs w:val="20"/>
              </w:rPr>
              <w:t>The two primary endpoints, VE in (assessed in QIV and placebo groups) preventing:</w:t>
            </w:r>
          </w:p>
          <w:p w:rsidR="000A6D53" w:rsidRPr="004A083C" w:rsidRDefault="000A6D53" w:rsidP="007C7625">
            <w:pPr>
              <w:pStyle w:val="ListParagraph"/>
              <w:numPr>
                <w:ilvl w:val="0"/>
                <w:numId w:val="13"/>
              </w:numPr>
              <w:autoSpaceDE w:val="0"/>
              <w:autoSpaceDN w:val="0"/>
              <w:adjustRightInd w:val="0"/>
              <w:spacing w:after="0"/>
              <w:contextualSpacing/>
              <w:jc w:val="both"/>
              <w:rPr>
                <w:rFonts w:ascii="Arial Narrow" w:hAnsi="Arial Narrow"/>
                <w:sz w:val="20"/>
                <w:szCs w:val="20"/>
              </w:rPr>
            </w:pPr>
            <w:r w:rsidRPr="004A083C">
              <w:rPr>
                <w:rFonts w:ascii="Arial Narrow" w:hAnsi="Arial Narrow"/>
                <w:sz w:val="20"/>
                <w:szCs w:val="20"/>
              </w:rPr>
              <w:t>Laboratory-confirmed influenza caused by any A or B strain</w:t>
            </w:r>
          </w:p>
          <w:p w:rsidR="000A6D53" w:rsidRPr="004A083C" w:rsidRDefault="000A6D53" w:rsidP="007C7625">
            <w:pPr>
              <w:pStyle w:val="ListParagraph"/>
              <w:numPr>
                <w:ilvl w:val="0"/>
                <w:numId w:val="13"/>
              </w:numPr>
              <w:autoSpaceDE w:val="0"/>
              <w:autoSpaceDN w:val="0"/>
              <w:adjustRightInd w:val="0"/>
              <w:spacing w:after="0"/>
              <w:contextualSpacing/>
              <w:jc w:val="both"/>
              <w:rPr>
                <w:rFonts w:ascii="Arial Narrow" w:hAnsi="Arial Narrow"/>
                <w:sz w:val="20"/>
                <w:szCs w:val="20"/>
              </w:rPr>
            </w:pPr>
            <w:r w:rsidRPr="004A083C">
              <w:rPr>
                <w:rFonts w:ascii="Arial Narrow" w:hAnsi="Arial Narrow"/>
                <w:sz w:val="20"/>
                <w:szCs w:val="20"/>
              </w:rPr>
              <w:t>Laboratory – confirmed influenza associated with any seasonal influenza strain.</w:t>
            </w:r>
          </w:p>
          <w:p w:rsidR="000A6D53" w:rsidRPr="004A083C" w:rsidRDefault="000A6D53" w:rsidP="007C7625">
            <w:pPr>
              <w:autoSpaceDE w:val="0"/>
              <w:autoSpaceDN w:val="0"/>
              <w:adjustRightInd w:val="0"/>
              <w:rPr>
                <w:rFonts w:ascii="Arial Narrow" w:hAnsi="Arial Narrow"/>
                <w:sz w:val="20"/>
                <w:szCs w:val="20"/>
              </w:rPr>
            </w:pPr>
            <w:r w:rsidRPr="004A083C">
              <w:rPr>
                <w:rFonts w:ascii="Arial Narrow" w:hAnsi="Arial Narrow"/>
                <w:sz w:val="20"/>
                <w:szCs w:val="20"/>
              </w:rPr>
              <w:t>Secondary endpoints:</w:t>
            </w:r>
          </w:p>
          <w:p w:rsidR="000A6D53" w:rsidRPr="004A083C" w:rsidRDefault="000A6D53" w:rsidP="007C7625">
            <w:pPr>
              <w:pStyle w:val="ListParagraph"/>
              <w:numPr>
                <w:ilvl w:val="0"/>
                <w:numId w:val="12"/>
              </w:numPr>
              <w:spacing w:after="0"/>
              <w:contextualSpacing/>
              <w:jc w:val="both"/>
              <w:rPr>
                <w:rFonts w:ascii="Arial Narrow" w:hAnsi="Arial Narrow"/>
                <w:sz w:val="20"/>
                <w:szCs w:val="20"/>
              </w:rPr>
            </w:pPr>
            <w:r w:rsidRPr="004A083C">
              <w:rPr>
                <w:rFonts w:ascii="Arial Narrow" w:hAnsi="Arial Narrow"/>
                <w:sz w:val="20"/>
                <w:szCs w:val="20"/>
              </w:rPr>
              <w:t>RT-PCR-confirmed influenza illness caused by any influenza A or B type</w:t>
            </w:r>
          </w:p>
          <w:p w:rsidR="00E12F6F" w:rsidRPr="004A083C" w:rsidRDefault="00E12F6F" w:rsidP="007C7625">
            <w:pPr>
              <w:pStyle w:val="ListBullet"/>
              <w:numPr>
                <w:ilvl w:val="0"/>
                <w:numId w:val="0"/>
              </w:numPr>
              <w:ind w:left="360" w:hanging="360"/>
              <w:rPr>
                <w:rFonts w:ascii="Arial Narrow" w:hAnsi="Arial Narrow"/>
                <w:sz w:val="20"/>
                <w:szCs w:val="20"/>
              </w:rPr>
            </w:pPr>
            <w:r w:rsidRPr="004A083C">
              <w:rPr>
                <w:rFonts w:ascii="Arial Narrow" w:hAnsi="Arial Narrow"/>
                <w:sz w:val="20"/>
                <w:szCs w:val="20"/>
              </w:rPr>
              <w:t>Safety</w:t>
            </w:r>
          </w:p>
        </w:tc>
      </w:tr>
      <w:tr w:rsidR="000A6D53" w:rsidRPr="00FB7C83" w:rsidTr="004A083C">
        <w:tc>
          <w:tcPr>
            <w:tcW w:w="792" w:type="pct"/>
          </w:tcPr>
          <w:p w:rsidR="000A6D53" w:rsidRPr="004A083C" w:rsidRDefault="00B77021" w:rsidP="007C7625">
            <w:pPr>
              <w:rPr>
                <w:rFonts w:ascii="Arial Narrow" w:hAnsi="Arial Narrow"/>
                <w:b/>
                <w:bCs/>
                <w:sz w:val="20"/>
                <w:szCs w:val="20"/>
                <w:lang w:val="en-GB"/>
              </w:rPr>
            </w:pPr>
            <w:r w:rsidRPr="004A083C">
              <w:rPr>
                <w:rFonts w:ascii="Arial Narrow" w:hAnsi="Arial Narrow"/>
                <w:b/>
                <w:bCs/>
                <w:sz w:val="20"/>
                <w:szCs w:val="20"/>
                <w:lang w:val="en-GB"/>
              </w:rPr>
              <w:t>D</w:t>
            </w:r>
            <w:r w:rsidR="000A6D53" w:rsidRPr="004A083C">
              <w:rPr>
                <w:rFonts w:ascii="Arial Narrow" w:hAnsi="Arial Narrow"/>
                <w:b/>
                <w:bCs/>
                <w:sz w:val="20"/>
                <w:szCs w:val="20"/>
                <w:lang w:val="en-GB"/>
              </w:rPr>
              <w:t>efinitions</w:t>
            </w:r>
          </w:p>
        </w:tc>
        <w:tc>
          <w:tcPr>
            <w:tcW w:w="2104" w:type="pct"/>
          </w:tcPr>
          <w:p w:rsidR="000A6D53" w:rsidRPr="004A083C" w:rsidRDefault="000A6D53" w:rsidP="007C7625">
            <w:pPr>
              <w:autoSpaceDE w:val="0"/>
              <w:autoSpaceDN w:val="0"/>
              <w:adjustRightInd w:val="0"/>
              <w:rPr>
                <w:rFonts w:ascii="Arial Narrow" w:hAnsi="Arial Narrow"/>
                <w:sz w:val="20"/>
                <w:szCs w:val="20"/>
              </w:rPr>
            </w:pPr>
            <w:r w:rsidRPr="004A083C">
              <w:rPr>
                <w:rFonts w:ascii="Arial Narrow" w:hAnsi="Arial Narrow"/>
                <w:sz w:val="20"/>
                <w:szCs w:val="20"/>
              </w:rPr>
              <w:t>Moderate-to-severe influenza was defined as RT-PCR confirmed influenza with any of the following: high fever (body temperature above 39°C); doctor-diagnosed acute otitis media; doctor-diagnosed lower respiratory infection; doctor-diagnosed serious extra-pulmonary complication (e.g., myositis, encephalitis, seizure, myocarditis or pericarditis, or other serious medical condition); hospital admission in the intensive care unit; or supplemental oxygen for more than 8 h. Any of the latter three criteria defined severe influenza.</w:t>
            </w:r>
          </w:p>
        </w:tc>
        <w:tc>
          <w:tcPr>
            <w:tcW w:w="2105" w:type="pct"/>
          </w:tcPr>
          <w:p w:rsidR="000A6D53" w:rsidRPr="004A083C" w:rsidRDefault="000A6D53" w:rsidP="007C7625">
            <w:pPr>
              <w:autoSpaceDE w:val="0"/>
              <w:autoSpaceDN w:val="0"/>
              <w:adjustRightInd w:val="0"/>
              <w:rPr>
                <w:rFonts w:ascii="Arial Narrow" w:hAnsi="Arial Narrow"/>
                <w:sz w:val="20"/>
                <w:szCs w:val="20"/>
              </w:rPr>
            </w:pPr>
            <w:r w:rsidRPr="004A083C">
              <w:rPr>
                <w:rFonts w:ascii="Arial Narrow" w:hAnsi="Arial Narrow"/>
                <w:sz w:val="20"/>
                <w:szCs w:val="20"/>
              </w:rPr>
              <w:t xml:space="preserve">Participants were considered to have influenza-like illness if they had a fever ≥38 </w:t>
            </w:r>
            <w:r w:rsidRPr="004A083C">
              <w:rPr>
                <w:rFonts w:ascii="Arial Narrow" w:hAnsi="Arial Narrow"/>
                <w:sz w:val="20"/>
                <w:szCs w:val="20"/>
                <w:vertAlign w:val="superscript"/>
              </w:rPr>
              <w:t>◦</w:t>
            </w:r>
            <w:r w:rsidRPr="004A083C">
              <w:rPr>
                <w:rFonts w:ascii="Arial Narrow" w:hAnsi="Arial Narrow"/>
                <w:sz w:val="20"/>
                <w:szCs w:val="20"/>
              </w:rPr>
              <w:t>C lasting ≥24 h concurrently with cough, nasal congestion, rhinorrhoea, pharyngitis, otitis, vomiting, or diarrhoea.</w:t>
            </w:r>
          </w:p>
          <w:p w:rsidR="000A6D53" w:rsidRPr="004A083C" w:rsidRDefault="000A6D53" w:rsidP="007C7625">
            <w:pPr>
              <w:autoSpaceDE w:val="0"/>
              <w:autoSpaceDN w:val="0"/>
              <w:adjustRightInd w:val="0"/>
              <w:rPr>
                <w:rFonts w:ascii="Arial Narrow" w:hAnsi="Arial Narrow"/>
                <w:sz w:val="20"/>
                <w:szCs w:val="20"/>
              </w:rPr>
            </w:pPr>
            <w:r w:rsidRPr="004A083C">
              <w:rPr>
                <w:rFonts w:ascii="Arial Narrow" w:hAnsi="Arial Narrow"/>
                <w:sz w:val="20"/>
                <w:szCs w:val="20"/>
              </w:rPr>
              <w:t>For participants diagnosed with influenza-like illness, a nasopharyngeal swab was taken for laboratory confirmation of influenza within 10 days after onset.</w:t>
            </w:r>
          </w:p>
          <w:p w:rsidR="000A6D53" w:rsidRPr="004A083C" w:rsidRDefault="000A6D53" w:rsidP="007C7625">
            <w:pPr>
              <w:rPr>
                <w:rFonts w:ascii="Arial Narrow" w:hAnsi="Arial Narrow"/>
                <w:sz w:val="20"/>
                <w:szCs w:val="20"/>
                <w:lang w:val="en-GB"/>
              </w:rPr>
            </w:pPr>
          </w:p>
        </w:tc>
      </w:tr>
    </w:tbl>
    <w:p w:rsidR="000A6D53" w:rsidRPr="005651A0" w:rsidRDefault="005651A0" w:rsidP="004A083C">
      <w:pPr>
        <w:pStyle w:val="TableFigureFooter"/>
      </w:pPr>
      <w:r w:rsidRPr="005651A0">
        <w:t>Source: Table</w:t>
      </w:r>
      <w:r w:rsidR="00B77021" w:rsidRPr="005651A0">
        <w:t xml:space="preserve"> 3</w:t>
      </w:r>
      <w:r w:rsidR="00E12F6F" w:rsidRPr="005651A0">
        <w:t>, Table 5</w:t>
      </w:r>
      <w:r w:rsidRPr="005651A0">
        <w:t>,</w:t>
      </w:r>
      <w:r w:rsidR="00E12F6F" w:rsidRPr="005651A0">
        <w:t xml:space="preserve"> Table 16, Table 18</w:t>
      </w:r>
      <w:r w:rsidRPr="005651A0">
        <w:t xml:space="preserve">, </w:t>
      </w:r>
      <w:r w:rsidR="00B77021" w:rsidRPr="005651A0">
        <w:t>p</w:t>
      </w:r>
      <w:r w:rsidRPr="005651A0">
        <w:t>p</w:t>
      </w:r>
      <w:r w:rsidR="00B77021" w:rsidRPr="005651A0">
        <w:t>13</w:t>
      </w:r>
      <w:r w:rsidR="00E12F6F" w:rsidRPr="005651A0">
        <w:t>, 15, 25, 27-28</w:t>
      </w:r>
      <w:r w:rsidRPr="005651A0">
        <w:t xml:space="preserve"> of the submission</w:t>
      </w:r>
      <w:r w:rsidR="00C00959">
        <w:t xml:space="preserve">; and compiled </w:t>
      </w:r>
      <w:r w:rsidR="00EC113A">
        <w:t xml:space="preserve">by the Secretariat </w:t>
      </w:r>
    </w:p>
    <w:p w:rsidR="00E12F6F" w:rsidRDefault="00E12F6F" w:rsidP="004A083C">
      <w:pPr>
        <w:pStyle w:val="TableFigureFooter"/>
      </w:pPr>
      <w:r w:rsidRPr="005651A0">
        <w:t xml:space="preserve">Abbreviation: RCT: Randomised controlled trial; RT-PCR: </w:t>
      </w:r>
      <w:r w:rsidRPr="005651A0">
        <w:rPr>
          <w:shd w:val="clear" w:color="auto" w:fill="FFFFFF"/>
        </w:rPr>
        <w:t>Reverse transcription polymerase chain reaction</w:t>
      </w:r>
      <w:r w:rsidRPr="005651A0">
        <w:rPr>
          <w:rStyle w:val="apple-converted-space"/>
          <w:szCs w:val="18"/>
          <w:shd w:val="clear" w:color="auto" w:fill="FFFFFF"/>
        </w:rPr>
        <w:t xml:space="preserve">; </w:t>
      </w:r>
      <w:r w:rsidR="006F0E1A">
        <w:rPr>
          <w:rStyle w:val="apple-converted-space"/>
          <w:szCs w:val="18"/>
          <w:shd w:val="clear" w:color="auto" w:fill="FFFFFF"/>
        </w:rPr>
        <w:t xml:space="preserve">VE: vaccine efficacy; </w:t>
      </w:r>
      <w:r w:rsidRPr="005651A0">
        <w:t xml:space="preserve">TIV: </w:t>
      </w:r>
      <w:r w:rsidR="005651A0">
        <w:t xml:space="preserve">Trivalent influenza </w:t>
      </w:r>
      <w:r w:rsidRPr="005651A0">
        <w:t>vaccine; QIV: Quadrivalent influenza vaccine</w:t>
      </w:r>
    </w:p>
    <w:p w:rsidR="008F6F37" w:rsidRPr="00C1471D" w:rsidRDefault="00C014D2" w:rsidP="004A083C">
      <w:pPr>
        <w:pStyle w:val="3Bodytext"/>
      </w:pPr>
      <w:r w:rsidRPr="00C1471D">
        <w:t xml:space="preserve">Overall, the pivotal </w:t>
      </w:r>
      <w:r w:rsidR="008F6F37" w:rsidRPr="00C1471D">
        <w:t xml:space="preserve">trials in children aged 6 to </w:t>
      </w:r>
      <w:r w:rsidRPr="00C1471D">
        <w:t xml:space="preserve">35 months for Fluarix Tetra and Vaxigrip Tetra were relatively similar in design and study outcomes. </w:t>
      </w:r>
      <w:r w:rsidR="008F6F37" w:rsidRPr="00C1471D">
        <w:t xml:space="preserve">The key </w:t>
      </w:r>
      <w:r w:rsidRPr="00C1471D">
        <w:t>differences</w:t>
      </w:r>
      <w:r w:rsidR="008F6F37" w:rsidRPr="00C1471D">
        <w:t xml:space="preserve"> of the two trials included: </w:t>
      </w:r>
    </w:p>
    <w:p w:rsidR="00E7041C" w:rsidRPr="00C1471D" w:rsidRDefault="00E7041C" w:rsidP="007C7625">
      <w:pPr>
        <w:numPr>
          <w:ilvl w:val="0"/>
          <w:numId w:val="12"/>
        </w:numPr>
        <w:spacing w:after="160"/>
        <w:ind w:left="993" w:hanging="284"/>
        <w:rPr>
          <w:rFonts w:asciiTheme="minorHAnsi" w:hAnsiTheme="minorHAnsi" w:cstheme="minorHAnsi"/>
          <w:snapToGrid w:val="0"/>
          <w:lang w:eastAsia="en-US"/>
        </w:rPr>
      </w:pPr>
      <w:r w:rsidRPr="00C1471D">
        <w:rPr>
          <w:rFonts w:asciiTheme="minorHAnsi" w:hAnsiTheme="minorHAnsi" w:cstheme="minorHAnsi"/>
          <w:snapToGrid w:val="0"/>
          <w:lang w:eastAsia="en-US"/>
        </w:rPr>
        <w:t xml:space="preserve">Study D-QIV-004 was undertaken over five influenza seasons between October 2011 and December 2014 using four different influenza vaccine compositions while Study GQM05 was conducted over four influenza seasons between March 2014 and July 2016. </w:t>
      </w:r>
    </w:p>
    <w:p w:rsidR="007C1EEB" w:rsidRPr="00C1471D" w:rsidRDefault="00D93B87" w:rsidP="007C7625">
      <w:pPr>
        <w:numPr>
          <w:ilvl w:val="0"/>
          <w:numId w:val="12"/>
        </w:numPr>
        <w:spacing w:after="160"/>
        <w:ind w:left="993" w:hanging="284"/>
        <w:rPr>
          <w:rFonts w:asciiTheme="minorHAnsi" w:eastAsia="Calibri" w:hAnsiTheme="minorHAnsi" w:cstheme="minorHAnsi"/>
          <w:lang w:val="en-GB"/>
        </w:rPr>
      </w:pPr>
      <w:r w:rsidRPr="00C1471D">
        <w:rPr>
          <w:rFonts w:asciiTheme="minorHAnsi" w:eastAsia="Calibri" w:hAnsiTheme="minorHAnsi" w:cstheme="minorHAnsi"/>
          <w:lang w:val="en-GB"/>
        </w:rPr>
        <w:t xml:space="preserve">Two doses of </w:t>
      </w:r>
      <w:r w:rsidRPr="00C1471D">
        <w:rPr>
          <w:rFonts w:asciiTheme="minorHAnsi" w:eastAsia="Calibri" w:hAnsiTheme="minorHAnsi" w:cstheme="minorHAnsi"/>
          <w:iCs/>
          <w:lang w:val="en-GB"/>
        </w:rPr>
        <w:t>Fluarix Tetra</w:t>
      </w:r>
      <w:r w:rsidRPr="00C1471D">
        <w:rPr>
          <w:rFonts w:asciiTheme="minorHAnsi" w:eastAsia="Calibri" w:hAnsiTheme="minorHAnsi" w:cstheme="minorHAnsi"/>
          <w:lang w:val="en-GB"/>
        </w:rPr>
        <w:t xml:space="preserve"> were administered at a 28-day interval to unprimed subjects and primed subjects received a single dose to be consistent with </w:t>
      </w:r>
      <w:r w:rsidR="007C1EEB" w:rsidRPr="00C1471D">
        <w:rPr>
          <w:rFonts w:asciiTheme="minorHAnsi" w:eastAsia="Calibri" w:hAnsiTheme="minorHAnsi" w:cstheme="minorHAnsi"/>
          <w:lang w:val="en-GB"/>
        </w:rPr>
        <w:t xml:space="preserve">the influenza vaccine </w:t>
      </w:r>
      <w:r w:rsidRPr="00C1471D">
        <w:rPr>
          <w:rFonts w:asciiTheme="minorHAnsi" w:eastAsia="Calibri" w:hAnsiTheme="minorHAnsi" w:cstheme="minorHAnsi"/>
          <w:lang w:val="en-GB"/>
        </w:rPr>
        <w:t>guidelines, however, fewer than 1% of subjects were classified as primed (i.e. age &gt; 12 months and had previously received at least t</w:t>
      </w:r>
      <w:r w:rsidR="007C1EEB" w:rsidRPr="00C1471D">
        <w:rPr>
          <w:rFonts w:asciiTheme="minorHAnsi" w:eastAsia="Calibri" w:hAnsiTheme="minorHAnsi" w:cstheme="minorHAnsi"/>
          <w:lang w:val="en-GB"/>
        </w:rPr>
        <w:t xml:space="preserve">wo doses of influenza vaccine) while </w:t>
      </w:r>
      <w:r w:rsidR="007C1EEB" w:rsidRPr="00C1471D">
        <w:rPr>
          <w:rFonts w:asciiTheme="minorHAnsi" w:hAnsiTheme="minorHAnsi" w:cstheme="minorHAnsi"/>
        </w:rPr>
        <w:t xml:space="preserve">Study GQM05 only included healthy </w:t>
      </w:r>
      <w:r w:rsidR="007C1EEB" w:rsidRPr="00C1471D">
        <w:rPr>
          <w:rFonts w:asciiTheme="minorHAnsi" w:hAnsiTheme="minorHAnsi" w:cstheme="minorHAnsi"/>
          <w:bCs/>
        </w:rPr>
        <w:t>vaccine-naïve children who received two doses of Vaxigrip Tetra</w:t>
      </w:r>
      <w:r w:rsidR="00B77254" w:rsidRPr="00C1471D">
        <w:rPr>
          <w:rFonts w:asciiTheme="minorHAnsi" w:hAnsiTheme="minorHAnsi" w:cstheme="minorHAnsi"/>
          <w:bCs/>
        </w:rPr>
        <w:t xml:space="preserve"> </w:t>
      </w:r>
      <w:r w:rsidR="00B77254" w:rsidRPr="00C1471D">
        <w:rPr>
          <w:rFonts w:asciiTheme="minorHAnsi" w:hAnsiTheme="minorHAnsi" w:cstheme="minorHAnsi"/>
          <w:lang w:val="en-GB"/>
        </w:rPr>
        <w:t xml:space="preserve">28 days apart, excluding a subset of </w:t>
      </w:r>
      <w:r w:rsidR="00B77254" w:rsidRPr="00C1471D">
        <w:rPr>
          <w:rFonts w:asciiTheme="minorHAnsi" w:eastAsia="Calibri" w:hAnsiTheme="minorHAnsi" w:cstheme="minorHAnsi"/>
          <w:lang w:val="en-GB"/>
        </w:rPr>
        <w:t xml:space="preserve">subjects who received </w:t>
      </w:r>
      <w:r w:rsidR="00B77254" w:rsidRPr="00C1471D">
        <w:rPr>
          <w:rFonts w:asciiTheme="minorHAnsi" w:hAnsiTheme="minorHAnsi" w:cstheme="minorHAnsi"/>
        </w:rPr>
        <w:t xml:space="preserve">Trivalent </w:t>
      </w:r>
      <w:r w:rsidR="00176104">
        <w:rPr>
          <w:rFonts w:asciiTheme="minorHAnsi" w:hAnsiTheme="minorHAnsi" w:cstheme="minorHAnsi"/>
        </w:rPr>
        <w:t>I</w:t>
      </w:r>
      <w:r w:rsidR="00B77254" w:rsidRPr="00C1471D">
        <w:rPr>
          <w:rFonts w:asciiTheme="minorHAnsi" w:hAnsiTheme="minorHAnsi" w:cstheme="minorHAnsi"/>
        </w:rPr>
        <w:t xml:space="preserve">nfluenza </w:t>
      </w:r>
      <w:r w:rsidR="00176104">
        <w:rPr>
          <w:rFonts w:asciiTheme="minorHAnsi" w:hAnsiTheme="minorHAnsi" w:cstheme="minorHAnsi"/>
        </w:rPr>
        <w:t>V</w:t>
      </w:r>
      <w:r w:rsidR="00B77254" w:rsidRPr="00C1471D">
        <w:rPr>
          <w:rFonts w:asciiTheme="minorHAnsi" w:hAnsiTheme="minorHAnsi" w:cstheme="minorHAnsi"/>
        </w:rPr>
        <w:t>accine</w:t>
      </w:r>
      <w:r w:rsidR="00176104">
        <w:rPr>
          <w:rFonts w:asciiTheme="minorHAnsi" w:hAnsiTheme="minorHAnsi" w:cstheme="minorHAnsi"/>
        </w:rPr>
        <w:t xml:space="preserve"> (TIV)</w:t>
      </w:r>
      <w:r w:rsidR="00B77254" w:rsidRPr="00C1471D">
        <w:rPr>
          <w:rFonts w:asciiTheme="minorHAnsi" w:hAnsiTheme="minorHAnsi" w:cstheme="minorHAnsi"/>
          <w:lang w:val="en-GB"/>
        </w:rPr>
        <w:t xml:space="preserve">. </w:t>
      </w:r>
    </w:p>
    <w:p w:rsidR="00D93B87" w:rsidRPr="00C1471D" w:rsidRDefault="00D93B87" w:rsidP="007C7625">
      <w:pPr>
        <w:numPr>
          <w:ilvl w:val="0"/>
          <w:numId w:val="12"/>
        </w:numPr>
        <w:spacing w:after="160"/>
        <w:ind w:left="993" w:hanging="284"/>
        <w:rPr>
          <w:rFonts w:asciiTheme="minorHAnsi" w:eastAsia="Calibri" w:hAnsiTheme="minorHAnsi" w:cstheme="minorHAnsi"/>
        </w:rPr>
      </w:pPr>
      <w:r w:rsidRPr="00C1471D">
        <w:rPr>
          <w:rFonts w:asciiTheme="minorHAnsi" w:eastAsia="Calibri" w:hAnsiTheme="minorHAnsi" w:cstheme="minorHAnsi"/>
          <w:lang w:val="en-GB"/>
        </w:rPr>
        <w:t>Subjects in the control group</w:t>
      </w:r>
      <w:r w:rsidR="00312D28" w:rsidRPr="00C1471D">
        <w:rPr>
          <w:rFonts w:asciiTheme="minorHAnsi" w:eastAsia="Calibri" w:hAnsiTheme="minorHAnsi" w:cstheme="minorHAnsi"/>
          <w:lang w:val="en-GB"/>
        </w:rPr>
        <w:t xml:space="preserve"> of </w:t>
      </w:r>
      <w:r w:rsidR="00312D28" w:rsidRPr="00C1471D">
        <w:rPr>
          <w:rFonts w:asciiTheme="minorHAnsi" w:hAnsiTheme="minorHAnsi" w:cstheme="minorHAnsi"/>
          <w:snapToGrid w:val="0"/>
          <w:lang w:eastAsia="en-US"/>
        </w:rPr>
        <w:t xml:space="preserve">Study D-QIV-004 </w:t>
      </w:r>
      <w:r w:rsidRPr="00C1471D">
        <w:rPr>
          <w:rFonts w:asciiTheme="minorHAnsi" w:eastAsia="Calibri" w:hAnsiTheme="minorHAnsi" w:cstheme="minorHAnsi"/>
          <w:lang w:val="en-GB"/>
        </w:rPr>
        <w:t>received one or two doses of non-influenza vaccine</w:t>
      </w:r>
      <w:r w:rsidR="00312D28" w:rsidRPr="00C1471D">
        <w:rPr>
          <w:rFonts w:asciiTheme="minorHAnsi" w:eastAsia="Calibri" w:hAnsiTheme="minorHAnsi" w:cstheme="minorHAnsi"/>
          <w:lang w:val="en-GB"/>
        </w:rPr>
        <w:t>s (Hepatitis A virus vaccine</w:t>
      </w:r>
      <w:r w:rsidR="00C1471D">
        <w:rPr>
          <w:rFonts w:asciiTheme="minorHAnsi" w:eastAsia="Calibri" w:hAnsiTheme="minorHAnsi" w:cstheme="minorHAnsi"/>
          <w:lang w:val="en-GB"/>
        </w:rPr>
        <w:t xml:space="preserve">, </w:t>
      </w:r>
      <w:r w:rsidRPr="00C1471D">
        <w:rPr>
          <w:rFonts w:asciiTheme="minorHAnsi" w:eastAsia="Calibri" w:hAnsiTheme="minorHAnsi" w:cstheme="minorHAnsi"/>
          <w:lang w:val="en-GB"/>
        </w:rPr>
        <w:t>Havrix</w:t>
      </w:r>
      <w:r w:rsidR="00C1471D">
        <w:rPr>
          <w:rFonts w:asciiTheme="minorHAnsi" w:eastAsia="Calibri" w:hAnsiTheme="minorHAnsi" w:cstheme="minorHAnsi"/>
          <w:lang w:val="en-GB"/>
        </w:rPr>
        <w:t>;</w:t>
      </w:r>
      <w:r w:rsidRPr="00C1471D">
        <w:rPr>
          <w:rFonts w:asciiTheme="minorHAnsi" w:eastAsia="Calibri" w:hAnsiTheme="minorHAnsi" w:cstheme="minorHAnsi"/>
          <w:lang w:val="en-GB"/>
        </w:rPr>
        <w:t xml:space="preserve"> </w:t>
      </w:r>
      <w:r w:rsidR="00C1471D">
        <w:rPr>
          <w:rFonts w:asciiTheme="minorHAnsi" w:eastAsia="Calibri" w:hAnsiTheme="minorHAnsi" w:cstheme="minorHAnsi"/>
          <w:lang w:val="en-GB"/>
        </w:rPr>
        <w:t xml:space="preserve">Varicella vaccines, </w:t>
      </w:r>
      <w:r w:rsidRPr="00C1471D">
        <w:rPr>
          <w:rFonts w:asciiTheme="minorHAnsi" w:eastAsia="Calibri" w:hAnsiTheme="minorHAnsi" w:cstheme="minorHAnsi"/>
          <w:lang w:val="en-GB"/>
        </w:rPr>
        <w:t>Varilrix or Varivax/ProVarivax</w:t>
      </w:r>
      <w:r w:rsidR="00C1471D">
        <w:rPr>
          <w:rFonts w:asciiTheme="minorHAnsi" w:eastAsia="Calibri" w:hAnsiTheme="minorHAnsi" w:cstheme="minorHAnsi"/>
          <w:lang w:val="en-GB"/>
        </w:rPr>
        <w:t xml:space="preserve">; </w:t>
      </w:r>
      <w:r w:rsidR="00D34952">
        <w:rPr>
          <w:rFonts w:asciiTheme="minorHAnsi" w:eastAsia="Calibri" w:hAnsiTheme="minorHAnsi" w:cstheme="minorHAnsi"/>
          <w:lang w:val="en-GB"/>
        </w:rPr>
        <w:t xml:space="preserve">13-valent pneumococcal </w:t>
      </w:r>
      <w:r w:rsidR="00C1471D">
        <w:rPr>
          <w:rFonts w:asciiTheme="minorHAnsi" w:eastAsia="Calibri" w:hAnsiTheme="minorHAnsi" w:cstheme="minorHAnsi"/>
          <w:lang w:val="en-GB"/>
        </w:rPr>
        <w:t xml:space="preserve">conjugate vaccine, </w:t>
      </w:r>
      <w:r w:rsidRPr="00C1471D">
        <w:rPr>
          <w:rFonts w:asciiTheme="minorHAnsi" w:eastAsia="Calibri" w:hAnsiTheme="minorHAnsi" w:cstheme="minorHAnsi"/>
          <w:lang w:val="en-GB"/>
        </w:rPr>
        <w:t>Prevenar13</w:t>
      </w:r>
      <w:r w:rsidR="00B77254" w:rsidRPr="00C1471D">
        <w:rPr>
          <w:rFonts w:asciiTheme="minorHAnsi" w:eastAsia="Calibri" w:hAnsiTheme="minorHAnsi" w:cstheme="minorHAnsi"/>
          <w:lang w:val="en-GB"/>
        </w:rPr>
        <w:t>) while</w:t>
      </w:r>
      <w:r w:rsidRPr="00C1471D">
        <w:rPr>
          <w:rFonts w:asciiTheme="minorHAnsi" w:eastAsia="Calibri" w:hAnsiTheme="minorHAnsi" w:cstheme="minorHAnsi"/>
          <w:lang w:val="en-GB"/>
        </w:rPr>
        <w:br/>
      </w:r>
      <w:r w:rsidR="00B77254" w:rsidRPr="00C1471D">
        <w:rPr>
          <w:rFonts w:asciiTheme="minorHAnsi" w:eastAsia="Calibri" w:hAnsiTheme="minorHAnsi" w:cstheme="minorHAnsi"/>
          <w:lang w:val="en-GB"/>
        </w:rPr>
        <w:t xml:space="preserve">the control group </w:t>
      </w:r>
      <w:r w:rsidR="00C1471D" w:rsidRPr="00C1471D">
        <w:rPr>
          <w:rFonts w:asciiTheme="minorHAnsi" w:eastAsia="Calibri" w:hAnsiTheme="minorHAnsi" w:cstheme="minorHAnsi"/>
          <w:lang w:val="en-GB"/>
        </w:rPr>
        <w:t xml:space="preserve">(placebo) </w:t>
      </w:r>
      <w:r w:rsidR="00B77254" w:rsidRPr="00C1471D">
        <w:rPr>
          <w:rFonts w:asciiTheme="minorHAnsi" w:eastAsia="Calibri" w:hAnsiTheme="minorHAnsi" w:cstheme="minorHAnsi"/>
          <w:lang w:val="en-GB"/>
        </w:rPr>
        <w:t xml:space="preserve">of </w:t>
      </w:r>
      <w:r w:rsidR="00B77254" w:rsidRPr="00C1471D">
        <w:rPr>
          <w:rFonts w:asciiTheme="minorHAnsi" w:hAnsiTheme="minorHAnsi" w:cstheme="minorHAnsi"/>
          <w:snapToGrid w:val="0"/>
          <w:lang w:eastAsia="en-US"/>
        </w:rPr>
        <w:t>Study</w:t>
      </w:r>
      <w:r w:rsidR="00C1471D" w:rsidRPr="00C1471D">
        <w:rPr>
          <w:rFonts w:asciiTheme="minorHAnsi" w:hAnsiTheme="minorHAnsi" w:cstheme="minorHAnsi"/>
          <w:snapToGrid w:val="0"/>
          <w:lang w:eastAsia="en-US"/>
        </w:rPr>
        <w:t xml:space="preserve"> </w:t>
      </w:r>
      <w:r w:rsidR="00C1471D" w:rsidRPr="00C1471D">
        <w:rPr>
          <w:rFonts w:asciiTheme="minorHAnsi" w:hAnsiTheme="minorHAnsi" w:cstheme="minorHAnsi"/>
        </w:rPr>
        <w:t>GQM05</w:t>
      </w:r>
      <w:r w:rsidR="00B77254" w:rsidRPr="00C1471D">
        <w:rPr>
          <w:rFonts w:asciiTheme="minorHAnsi" w:hAnsiTheme="minorHAnsi" w:cstheme="minorHAnsi"/>
          <w:snapToGrid w:val="0"/>
          <w:lang w:eastAsia="en-US"/>
        </w:rPr>
        <w:t xml:space="preserve"> </w:t>
      </w:r>
      <w:r w:rsidR="00B77254" w:rsidRPr="00C1471D">
        <w:rPr>
          <w:rFonts w:asciiTheme="minorHAnsi" w:eastAsia="Calibri" w:hAnsiTheme="minorHAnsi" w:cstheme="minorHAnsi"/>
          <w:lang w:val="en-GB"/>
        </w:rPr>
        <w:t xml:space="preserve">received </w:t>
      </w:r>
      <w:r w:rsidR="00C1471D" w:rsidRPr="00C1471D">
        <w:rPr>
          <w:rFonts w:asciiTheme="minorHAnsi" w:hAnsiTheme="minorHAnsi" w:cstheme="minorHAnsi"/>
          <w:lang w:val="en-GB"/>
        </w:rPr>
        <w:t xml:space="preserve">no vaccination </w:t>
      </w:r>
      <w:r w:rsidR="00B77254" w:rsidRPr="00C1471D">
        <w:rPr>
          <w:rFonts w:asciiTheme="minorHAnsi" w:hAnsiTheme="minorHAnsi" w:cstheme="minorHAnsi"/>
          <w:lang w:val="en-GB"/>
        </w:rPr>
        <w:t>(saline)</w:t>
      </w:r>
      <w:r w:rsidR="00C1471D" w:rsidRPr="00C1471D">
        <w:rPr>
          <w:rFonts w:asciiTheme="minorHAnsi" w:hAnsiTheme="minorHAnsi" w:cstheme="minorHAnsi"/>
          <w:lang w:val="en-GB"/>
        </w:rPr>
        <w:t xml:space="preserve">. </w:t>
      </w:r>
    </w:p>
    <w:p w:rsidR="00C1471D" w:rsidRPr="00C1471D" w:rsidRDefault="00C014D2" w:rsidP="007C7625">
      <w:pPr>
        <w:numPr>
          <w:ilvl w:val="0"/>
          <w:numId w:val="12"/>
        </w:numPr>
        <w:spacing w:after="120"/>
        <w:ind w:left="993" w:hanging="284"/>
        <w:rPr>
          <w:rFonts w:asciiTheme="minorHAnsi" w:hAnsiTheme="minorHAnsi" w:cstheme="minorHAnsi"/>
          <w:snapToGrid w:val="0"/>
          <w:lang w:eastAsia="en-US"/>
        </w:rPr>
      </w:pPr>
      <w:r w:rsidRPr="00C1471D">
        <w:rPr>
          <w:rFonts w:asciiTheme="minorHAnsi" w:hAnsiTheme="minorHAnsi" w:cstheme="minorHAnsi"/>
          <w:snapToGrid w:val="0"/>
          <w:lang w:eastAsia="en-US"/>
        </w:rPr>
        <w:t>The primary endpoints in the Fluarix Tetra trial were VE in preventing:</w:t>
      </w:r>
    </w:p>
    <w:p w:rsidR="00C014D2" w:rsidRPr="00203A75" w:rsidRDefault="00C1471D" w:rsidP="007C7625">
      <w:pPr>
        <w:pStyle w:val="ListParagraph"/>
        <w:numPr>
          <w:ilvl w:val="0"/>
          <w:numId w:val="14"/>
        </w:numPr>
        <w:jc w:val="both"/>
        <w:rPr>
          <w:rFonts w:eastAsia="Calibri" w:cstheme="minorHAnsi"/>
          <w:snapToGrid/>
          <w:lang w:val="en-GB"/>
        </w:rPr>
      </w:pPr>
      <w:r w:rsidRPr="00203A75">
        <w:rPr>
          <w:rFonts w:eastAsia="Calibri" w:cstheme="minorHAnsi"/>
          <w:snapToGrid/>
          <w:lang w:val="en-GB"/>
        </w:rPr>
        <w:t>Reverse transcription polymerase chain reaction (</w:t>
      </w:r>
      <w:r w:rsidR="00C014D2" w:rsidRPr="00203A75">
        <w:rPr>
          <w:rFonts w:eastAsia="Calibri" w:cstheme="minorHAnsi"/>
          <w:snapToGrid/>
          <w:lang w:val="en-GB"/>
        </w:rPr>
        <w:t>RT-PCR</w:t>
      </w:r>
      <w:r w:rsidRPr="00203A75">
        <w:rPr>
          <w:rFonts w:eastAsia="Calibri" w:cstheme="minorHAnsi"/>
          <w:snapToGrid/>
          <w:lang w:val="en-GB"/>
        </w:rPr>
        <w:t>)</w:t>
      </w:r>
      <w:r w:rsidR="00C014D2" w:rsidRPr="00203A75">
        <w:rPr>
          <w:rFonts w:eastAsia="Calibri" w:cstheme="minorHAnsi"/>
          <w:snapToGrid/>
          <w:lang w:val="en-GB"/>
        </w:rPr>
        <w:t>-confirmed, moderate-to-severe influenza</w:t>
      </w:r>
      <w:r w:rsidRPr="00203A75">
        <w:rPr>
          <w:rFonts w:eastAsia="Calibri" w:cstheme="minorHAnsi"/>
          <w:snapToGrid/>
          <w:lang w:val="en-GB"/>
        </w:rPr>
        <w:t>; or</w:t>
      </w:r>
    </w:p>
    <w:p w:rsidR="00C014D2" w:rsidRPr="00C1471D" w:rsidRDefault="00203A75" w:rsidP="007C7625">
      <w:pPr>
        <w:pStyle w:val="ListParagraph"/>
        <w:numPr>
          <w:ilvl w:val="0"/>
          <w:numId w:val="14"/>
        </w:numPr>
        <w:autoSpaceDE w:val="0"/>
        <w:autoSpaceDN w:val="0"/>
        <w:adjustRightInd w:val="0"/>
        <w:contextualSpacing/>
        <w:jc w:val="both"/>
        <w:rPr>
          <w:rFonts w:cstheme="minorHAnsi"/>
        </w:rPr>
      </w:pPr>
      <w:r>
        <w:rPr>
          <w:rFonts w:cstheme="minorHAnsi"/>
        </w:rPr>
        <w:t>A</w:t>
      </w:r>
      <w:r w:rsidR="00C014D2" w:rsidRPr="00C1471D">
        <w:rPr>
          <w:rFonts w:cstheme="minorHAnsi"/>
        </w:rPr>
        <w:t>ll influenza (irrespective of disease severity) associated with</w:t>
      </w:r>
      <w:r w:rsidR="00C1471D" w:rsidRPr="00C1471D">
        <w:rPr>
          <w:rFonts w:cstheme="minorHAnsi"/>
        </w:rPr>
        <w:t xml:space="preserve"> any seasonal influenza strain.</w:t>
      </w:r>
    </w:p>
    <w:p w:rsidR="00C014D2" w:rsidRPr="004A083C" w:rsidRDefault="00EA3094" w:rsidP="004A083C">
      <w:pPr>
        <w:numPr>
          <w:ilvl w:val="0"/>
          <w:numId w:val="12"/>
        </w:numPr>
        <w:spacing w:after="120"/>
        <w:ind w:left="993" w:hanging="284"/>
        <w:rPr>
          <w:rFonts w:asciiTheme="minorHAnsi" w:hAnsiTheme="minorHAnsi" w:cstheme="minorHAnsi"/>
          <w:snapToGrid w:val="0"/>
          <w:lang w:eastAsia="en-US"/>
        </w:rPr>
      </w:pPr>
      <w:r w:rsidRPr="004A083C">
        <w:rPr>
          <w:rFonts w:asciiTheme="minorHAnsi" w:hAnsiTheme="minorHAnsi" w:cstheme="minorHAnsi"/>
          <w:snapToGrid w:val="0"/>
          <w:lang w:eastAsia="en-US"/>
        </w:rPr>
        <w:t>T</w:t>
      </w:r>
      <w:r w:rsidR="00C014D2" w:rsidRPr="004A083C">
        <w:rPr>
          <w:rFonts w:asciiTheme="minorHAnsi" w:hAnsiTheme="minorHAnsi" w:cstheme="minorHAnsi"/>
          <w:snapToGrid w:val="0"/>
          <w:lang w:eastAsia="en-US"/>
        </w:rPr>
        <w:t xml:space="preserve">he primary </w:t>
      </w:r>
      <w:r w:rsidR="00C1471D" w:rsidRPr="00C1471D">
        <w:rPr>
          <w:rFonts w:asciiTheme="minorHAnsi" w:hAnsiTheme="minorHAnsi" w:cstheme="minorHAnsi"/>
          <w:snapToGrid w:val="0"/>
          <w:lang w:eastAsia="en-US"/>
        </w:rPr>
        <w:t>endpoints</w:t>
      </w:r>
      <w:r w:rsidR="006619CE" w:rsidRPr="004A083C">
        <w:rPr>
          <w:rFonts w:asciiTheme="minorHAnsi" w:hAnsiTheme="minorHAnsi" w:cstheme="minorHAnsi"/>
          <w:snapToGrid w:val="0"/>
          <w:lang w:eastAsia="en-US"/>
        </w:rPr>
        <w:t xml:space="preserve"> in</w:t>
      </w:r>
      <w:r w:rsidR="00C1471D" w:rsidRPr="004A083C">
        <w:rPr>
          <w:rFonts w:asciiTheme="minorHAnsi" w:hAnsiTheme="minorHAnsi" w:cstheme="minorHAnsi"/>
          <w:snapToGrid w:val="0"/>
          <w:lang w:eastAsia="en-US"/>
        </w:rPr>
        <w:t xml:space="preserve"> the Vaxigrip Tetra trial </w:t>
      </w:r>
      <w:r w:rsidR="00C014D2" w:rsidRPr="004A083C">
        <w:rPr>
          <w:rFonts w:asciiTheme="minorHAnsi" w:hAnsiTheme="minorHAnsi" w:cstheme="minorHAnsi"/>
          <w:snapToGrid w:val="0"/>
          <w:lang w:eastAsia="en-US"/>
        </w:rPr>
        <w:t>were defined as:</w:t>
      </w:r>
    </w:p>
    <w:p w:rsidR="00C014D2" w:rsidRPr="00C1471D" w:rsidRDefault="00227306" w:rsidP="007C7625">
      <w:pPr>
        <w:pStyle w:val="ListParagraph"/>
        <w:numPr>
          <w:ilvl w:val="1"/>
          <w:numId w:val="13"/>
        </w:numPr>
        <w:autoSpaceDE w:val="0"/>
        <w:autoSpaceDN w:val="0"/>
        <w:adjustRightInd w:val="0"/>
        <w:ind w:left="1701"/>
        <w:contextualSpacing/>
        <w:jc w:val="both"/>
        <w:rPr>
          <w:rFonts w:cstheme="minorHAnsi"/>
        </w:rPr>
      </w:pPr>
      <w:r>
        <w:rPr>
          <w:rFonts w:cstheme="minorHAnsi"/>
        </w:rPr>
        <w:t xml:space="preserve">Laboratory-confirmed, </w:t>
      </w:r>
      <w:r w:rsidR="00C014D2" w:rsidRPr="00C1471D">
        <w:rPr>
          <w:rFonts w:cstheme="minorHAnsi"/>
        </w:rPr>
        <w:t>influenza caused by any A or B strain</w:t>
      </w:r>
      <w:r w:rsidR="00C1471D" w:rsidRPr="00C1471D">
        <w:rPr>
          <w:rFonts w:cstheme="minorHAnsi"/>
        </w:rPr>
        <w:t>; or</w:t>
      </w:r>
    </w:p>
    <w:p w:rsidR="00907D78" w:rsidRPr="00C1471D" w:rsidRDefault="00227306" w:rsidP="007C7625">
      <w:pPr>
        <w:pStyle w:val="ListParagraph"/>
        <w:numPr>
          <w:ilvl w:val="0"/>
          <w:numId w:val="13"/>
        </w:numPr>
        <w:autoSpaceDE w:val="0"/>
        <w:autoSpaceDN w:val="0"/>
        <w:adjustRightInd w:val="0"/>
        <w:ind w:left="1701"/>
        <w:contextualSpacing/>
        <w:jc w:val="both"/>
        <w:rPr>
          <w:rFonts w:cstheme="minorHAnsi"/>
        </w:rPr>
      </w:pPr>
      <w:r>
        <w:rPr>
          <w:rFonts w:cstheme="minorHAnsi"/>
        </w:rPr>
        <w:t xml:space="preserve">Laboratory-confirmed, </w:t>
      </w:r>
      <w:r w:rsidR="00C014D2" w:rsidRPr="00C1471D">
        <w:rPr>
          <w:rFonts w:cstheme="minorHAnsi"/>
        </w:rPr>
        <w:t>influenza associa</w:t>
      </w:r>
      <w:r w:rsidR="00C1471D" w:rsidRPr="00C1471D">
        <w:rPr>
          <w:rFonts w:cstheme="minorHAnsi"/>
        </w:rPr>
        <w:t xml:space="preserve">ted with any seasonal influenza </w:t>
      </w:r>
      <w:r w:rsidR="00C014D2" w:rsidRPr="00C1471D">
        <w:rPr>
          <w:rFonts w:cstheme="minorHAnsi"/>
        </w:rPr>
        <w:t>strain.</w:t>
      </w:r>
    </w:p>
    <w:p w:rsidR="005A3173" w:rsidRDefault="007F0021" w:rsidP="007C7625">
      <w:pPr>
        <w:pStyle w:val="4-SubsectionHeading"/>
        <w:rPr>
          <w:lang w:eastAsia="en-US"/>
        </w:rPr>
      </w:pPr>
      <w:r>
        <w:rPr>
          <w:lang w:eastAsia="en-US"/>
        </w:rPr>
        <w:t xml:space="preserve">Comparative </w:t>
      </w:r>
      <w:r w:rsidR="005A3173" w:rsidRPr="000214D1">
        <w:rPr>
          <w:lang w:eastAsia="en-US"/>
        </w:rPr>
        <w:t>effectiveness</w:t>
      </w:r>
    </w:p>
    <w:p w:rsidR="00907D78" w:rsidRPr="00907D78" w:rsidRDefault="00C8096E" w:rsidP="004A083C">
      <w:pPr>
        <w:pStyle w:val="3Bodytext"/>
        <w:rPr>
          <w:lang w:val="en-GB"/>
        </w:rPr>
      </w:pPr>
      <w:r>
        <w:t>In the previous Fluarix Tetra submission</w:t>
      </w:r>
      <w:r w:rsidR="00B61797">
        <w:t xml:space="preserve"> (for </w:t>
      </w:r>
      <w:r w:rsidR="00B61797" w:rsidRPr="00B61797">
        <w:t>high risk and Aboriginal and/or Torres Strait Islander infants and children aged 6 to 35 months)</w:t>
      </w:r>
      <w:r>
        <w:t xml:space="preserve">, </w:t>
      </w:r>
      <w:r w:rsidR="00A200E2" w:rsidRPr="00A200E2">
        <w:t xml:space="preserve">ATAGI </w:t>
      </w:r>
      <w:r w:rsidR="00445005">
        <w:t>(</w:t>
      </w:r>
      <w:r w:rsidR="00445005" w:rsidRPr="00C767FB">
        <w:t>December 2018 pre-submission advice</w:t>
      </w:r>
      <w:r w:rsidR="00445005" w:rsidRPr="00A200E2">
        <w:t>)</w:t>
      </w:r>
      <w:r>
        <w:t xml:space="preserve"> noted that </w:t>
      </w:r>
      <w:r w:rsidRPr="00C767FB">
        <w:t xml:space="preserve">there were limitations in using immunogenicity data to predict protective immunity, particularly in young children and </w:t>
      </w:r>
      <w:r w:rsidR="00A200E2" w:rsidRPr="00A200E2">
        <w:t xml:space="preserve">considered </w:t>
      </w:r>
      <w:r>
        <w:t xml:space="preserve">that </w:t>
      </w:r>
      <w:r w:rsidR="00A200E2" w:rsidRPr="00A200E2">
        <w:t>VE against influenza a more appropriate endpoint for determining protection provided by influenza va</w:t>
      </w:r>
      <w:r>
        <w:t xml:space="preserve">ccine than immunogenicity data </w:t>
      </w:r>
      <w:r w:rsidR="00A200E2">
        <w:t>in children aged 6 to</w:t>
      </w:r>
      <w:r w:rsidR="00A200E2" w:rsidRPr="00A200E2">
        <w:t xml:space="preserve"> 35 months (paragraph 5.6, Fluarix Tetra PSD, March 2019</w:t>
      </w:r>
      <w:r w:rsidR="00445005">
        <w:t>).</w:t>
      </w:r>
      <w:r w:rsidR="00313316">
        <w:t xml:space="preserve"> </w:t>
      </w:r>
      <w:bookmarkStart w:id="4" w:name="_Hlk529187919"/>
    </w:p>
    <w:p w:rsidR="00962FE2" w:rsidRPr="004C1462" w:rsidRDefault="00907D78" w:rsidP="004A083C">
      <w:pPr>
        <w:pStyle w:val="3Bodytext"/>
      </w:pPr>
      <w:r w:rsidRPr="004D2075">
        <w:t xml:space="preserve">In the context of VE, </w:t>
      </w:r>
      <w:r w:rsidRPr="00445A06">
        <w:t>Fluarix Tetra demonstrated 63.2% (97.5%</w:t>
      </w:r>
      <w:r w:rsidR="004D2075" w:rsidRPr="00445A06">
        <w:t xml:space="preserve"> confidence interval (CI): 52, </w:t>
      </w:r>
      <w:r w:rsidRPr="00445A06">
        <w:t xml:space="preserve">72) efficacy in preventing </w:t>
      </w:r>
      <w:r w:rsidR="00C1471D" w:rsidRPr="00C1471D">
        <w:t>RT-PCR</w:t>
      </w:r>
      <w:r w:rsidRPr="00445A06">
        <w:t>-confirmed modera</w:t>
      </w:r>
      <w:r w:rsidR="00445A06">
        <w:t xml:space="preserve">te to severe influenza disease </w:t>
      </w:r>
      <w:r w:rsidRPr="00445A06">
        <w:t xml:space="preserve">and </w:t>
      </w:r>
      <w:r w:rsidR="00445A06" w:rsidRPr="00445A06">
        <w:t>50% (97.5% CI: 42, 57)</w:t>
      </w:r>
      <w:r w:rsidR="00445A06">
        <w:t xml:space="preserve"> </w:t>
      </w:r>
      <w:r w:rsidRPr="00445A06">
        <w:t xml:space="preserve">efficacy against </w:t>
      </w:r>
      <w:r w:rsidR="00EA3094">
        <w:t xml:space="preserve">RT </w:t>
      </w:r>
      <w:r w:rsidRPr="00445A06">
        <w:t>PCR-confirmed influenza of an</w:t>
      </w:r>
      <w:r w:rsidR="004D2075" w:rsidRPr="00445A06">
        <w:t xml:space="preserve">y severity </w:t>
      </w:r>
      <w:r w:rsidRPr="00445A06">
        <w:t>(</w:t>
      </w:r>
      <w:r w:rsidR="004D2075" w:rsidRPr="00445A06">
        <w:t xml:space="preserve">D-QIV-004; </w:t>
      </w:r>
      <w:r w:rsidRPr="00445A06">
        <w:t>Claeys, 2018)</w:t>
      </w:r>
      <w:bookmarkEnd w:id="4"/>
      <w:r w:rsidR="00313316" w:rsidRPr="00445A06">
        <w:t xml:space="preserve"> </w:t>
      </w:r>
      <w:r w:rsidR="004D2075" w:rsidRPr="00445A06">
        <w:t xml:space="preserve">whereas </w:t>
      </w:r>
      <w:r w:rsidR="009557FC" w:rsidRPr="00445A06">
        <w:t xml:space="preserve">Vaxigrip Tetra </w:t>
      </w:r>
      <w:r w:rsidR="00962FE2" w:rsidRPr="00445A06">
        <w:t xml:space="preserve">demonstrated </w:t>
      </w:r>
      <w:r w:rsidR="00445A06" w:rsidRPr="00445A06">
        <w:t xml:space="preserve">51.0% (97% Cl: 37.4, 61.9) </w:t>
      </w:r>
      <w:r w:rsidR="00962FE2" w:rsidRPr="00445A06">
        <w:t xml:space="preserve">efficacy against </w:t>
      </w:r>
      <w:r w:rsidR="00445A06">
        <w:t>l</w:t>
      </w:r>
      <w:r w:rsidR="00962FE2" w:rsidRPr="00445A06">
        <w:t>aboratory-confir</w:t>
      </w:r>
      <w:r w:rsidR="00445A06">
        <w:t xml:space="preserve">med influenza illness caused by </w:t>
      </w:r>
      <w:r w:rsidR="00962FE2" w:rsidRPr="00445A06">
        <w:t>any influenza A or B type</w:t>
      </w:r>
      <w:r w:rsidR="00445A06">
        <w:t xml:space="preserve"> and </w:t>
      </w:r>
      <w:r w:rsidR="00445A06" w:rsidRPr="00445A06">
        <w:t xml:space="preserve">68.4% (97% Cl: 47.1, 81.9) </w:t>
      </w:r>
      <w:r w:rsidR="00445A06">
        <w:t>efficacy against v</w:t>
      </w:r>
      <w:r w:rsidR="00445A06" w:rsidRPr="00445A06">
        <w:t>iral strains similar to those contained in the vaccine</w:t>
      </w:r>
      <w:r w:rsidR="00962FE2" w:rsidRPr="00445A06">
        <w:t xml:space="preserve"> </w:t>
      </w:r>
      <w:r w:rsidR="00445A06" w:rsidRPr="00445A06">
        <w:t xml:space="preserve">compared with </w:t>
      </w:r>
      <w:r w:rsidR="00445A06" w:rsidRPr="004C1462">
        <w:t>placebo</w:t>
      </w:r>
      <w:r w:rsidR="004C1462" w:rsidRPr="004C1462">
        <w:t xml:space="preserve"> (GQM05, </w:t>
      </w:r>
      <w:r w:rsidR="004C1462">
        <w:t>Pepin</w:t>
      </w:r>
      <w:r w:rsidR="004C1462" w:rsidRPr="004C1462">
        <w:t>, 2019</w:t>
      </w:r>
      <w:r w:rsidR="004C1462">
        <w:t>).</w:t>
      </w:r>
    </w:p>
    <w:p w:rsidR="00766C32" w:rsidRDefault="00EB1653" w:rsidP="004A083C">
      <w:pPr>
        <w:pStyle w:val="3Bodytext"/>
      </w:pPr>
      <w:r w:rsidRPr="00EB1653">
        <w:t>The submission presented the results of immunogenicity as a secondary outcome in a subset of subjects (according to protocol (ATP) cohort for immunogenicity, N=1,332</w:t>
      </w:r>
      <w:r>
        <w:t>), and noted that</w:t>
      </w:r>
      <w:r w:rsidRPr="00EB1653">
        <w:t xml:space="preserve"> Fluarix Tetra exhibited a highly immunogenic response against all four vaccine strains, compared with non-influenza vaccin</w:t>
      </w:r>
      <w:r>
        <w:t>e controls, in</w:t>
      </w:r>
      <w:r w:rsidRPr="00EB1653">
        <w:t xml:space="preserve"> children</w:t>
      </w:r>
      <w:r w:rsidR="00127D16">
        <w:t xml:space="preserve"> aged 6 to </w:t>
      </w:r>
      <w:r w:rsidRPr="00EB1653">
        <w:t>35 months.</w:t>
      </w:r>
      <w:r w:rsidR="002B3DE2">
        <w:t xml:space="preserve"> </w:t>
      </w:r>
    </w:p>
    <w:p w:rsidR="00137F24" w:rsidRDefault="002B3DE2" w:rsidP="004A083C">
      <w:pPr>
        <w:pStyle w:val="3Bodytext"/>
      </w:pPr>
      <w:r w:rsidRPr="00766C32">
        <w:t>Compared with control vaccines, Fluarix Tetra reduced general medical visits associated with influenza illness by 47% and emergency room visits associated with influenza illness by 79%. Antibiotic use associated with influe</w:t>
      </w:r>
      <w:r w:rsidR="00766C32" w:rsidRPr="00766C32">
        <w:t xml:space="preserve">nza illness was reduced by 50% </w:t>
      </w:r>
      <w:r w:rsidRPr="00766C32">
        <w:t>(Claeys, 2018)</w:t>
      </w:r>
      <w:r w:rsidR="00766C32" w:rsidRPr="00766C32">
        <w:t xml:space="preserve"> while there were 6 events of laboratory-confirmed influenza illness associated with hospitalisation and caused by any influenza A or B types</w:t>
      </w:r>
      <w:r w:rsidR="00766C32">
        <w:t xml:space="preserve"> with </w:t>
      </w:r>
      <w:r w:rsidR="00766C32" w:rsidRPr="00766C32">
        <w:t xml:space="preserve">3 events </w:t>
      </w:r>
      <w:r w:rsidR="00766C32">
        <w:t xml:space="preserve">for each </w:t>
      </w:r>
      <w:r w:rsidR="00766C32" w:rsidRPr="00766C32">
        <w:t>the Vaxigrip Tetra arm and placebo arm</w:t>
      </w:r>
      <w:r w:rsidR="00766C32">
        <w:t xml:space="preserve"> </w:t>
      </w:r>
      <w:r w:rsidR="00766C32" w:rsidRPr="00766C32">
        <w:t>(Pepin, 2019)</w:t>
      </w:r>
      <w:r w:rsidR="00A21A54">
        <w:t>.</w:t>
      </w:r>
    </w:p>
    <w:p w:rsidR="00CA347F" w:rsidRPr="00EA2905" w:rsidRDefault="00CA347F" w:rsidP="004A083C">
      <w:pPr>
        <w:pStyle w:val="3Bodytext"/>
      </w:pPr>
      <w:r w:rsidRPr="00EA2905">
        <w:t xml:space="preserve">The submission </w:t>
      </w:r>
      <w:r w:rsidR="004B40B8" w:rsidRPr="00EA2905">
        <w:t xml:space="preserve">considered </w:t>
      </w:r>
      <w:r w:rsidRPr="00EA2905">
        <w:t>that a</w:t>
      </w:r>
      <w:r w:rsidR="003E5F28">
        <w:t>n indirect</w:t>
      </w:r>
      <w:r w:rsidRPr="00EA2905">
        <w:t xml:space="preserve"> comparison of the VE results between the two studies</w:t>
      </w:r>
      <w:r w:rsidR="004B40B8" w:rsidRPr="00EA2905">
        <w:t xml:space="preserve"> demonstrated</w:t>
      </w:r>
      <w:r w:rsidRPr="00EA2905">
        <w:t xml:space="preserve"> similar VE</w:t>
      </w:r>
      <w:r w:rsidR="004B40B8" w:rsidRPr="00EA2905">
        <w:t xml:space="preserve"> outcomes, particularly</w:t>
      </w:r>
      <w:r w:rsidRPr="00EA2905">
        <w:t xml:space="preserve"> laboratory-confirmed influenza illness caused by any influenza A or B type (51% Fluarix Tetra vs 51% Vaxigrip Tetra)</w:t>
      </w:r>
      <w:r w:rsidR="004B40B8" w:rsidRPr="00EA2905">
        <w:t xml:space="preserve"> as shown in the table below</w:t>
      </w:r>
      <w:r w:rsidRPr="00EA2905">
        <w:t xml:space="preserve">. </w:t>
      </w:r>
    </w:p>
    <w:p w:rsidR="00A0526F" w:rsidRPr="002D72D4" w:rsidRDefault="002D72D4" w:rsidP="004A083C">
      <w:pPr>
        <w:pStyle w:val="TableFigureHeading"/>
        <w:rPr>
          <w:i/>
          <w:iCs/>
        </w:rPr>
      </w:pPr>
      <w:bookmarkStart w:id="5" w:name="_Ref37688375"/>
      <w:bookmarkStart w:id="6" w:name="_Toc37686601"/>
      <w:r w:rsidRPr="002D72D4">
        <w:t xml:space="preserve">Table </w:t>
      </w:r>
      <w:r w:rsidRPr="002D72D4">
        <w:rPr>
          <w:noProof/>
        </w:rPr>
        <w:t>4</w:t>
      </w:r>
      <w:r w:rsidRPr="002D72D4">
        <w:t>: Comparison of study outcomes: Fluarix Tetra vs Vaxigrip Tetra</w:t>
      </w:r>
      <w:bookmarkEnd w:id="5"/>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4: Comparison of study outcomes: Fluarix Tetra vs Vaxigrip Tetra "/>
      </w:tblPr>
      <w:tblGrid>
        <w:gridCol w:w="5006"/>
        <w:gridCol w:w="2164"/>
        <w:gridCol w:w="1846"/>
      </w:tblGrid>
      <w:tr w:rsidR="00A0526F" w:rsidRPr="00FA577A" w:rsidTr="004A083C">
        <w:trPr>
          <w:tblHeader/>
          <w:jc w:val="center"/>
        </w:trPr>
        <w:tc>
          <w:tcPr>
            <w:tcW w:w="2776" w:type="pct"/>
            <w:vAlign w:val="center"/>
          </w:tcPr>
          <w:p w:rsidR="00A0526F" w:rsidRPr="0004299A" w:rsidRDefault="00A0526F" w:rsidP="007C7625">
            <w:pPr>
              <w:keepNext/>
              <w:keepLines/>
              <w:rPr>
                <w:rFonts w:ascii="Arial Narrow" w:hAnsi="Arial Narrow"/>
                <w:b/>
                <w:sz w:val="20"/>
              </w:rPr>
            </w:pPr>
            <w:r w:rsidRPr="0004299A">
              <w:rPr>
                <w:rFonts w:ascii="Arial Narrow" w:hAnsi="Arial Narrow"/>
                <w:b/>
                <w:sz w:val="20"/>
              </w:rPr>
              <w:t>Outcome</w:t>
            </w:r>
          </w:p>
        </w:tc>
        <w:tc>
          <w:tcPr>
            <w:tcW w:w="1200" w:type="pct"/>
          </w:tcPr>
          <w:p w:rsidR="00A0526F" w:rsidRPr="00EA2905" w:rsidRDefault="00A0526F" w:rsidP="007C7625">
            <w:pPr>
              <w:keepNext/>
              <w:keepLines/>
              <w:rPr>
                <w:rFonts w:ascii="Arial Narrow" w:hAnsi="Arial Narrow"/>
                <w:b/>
                <w:iCs/>
                <w:sz w:val="20"/>
              </w:rPr>
            </w:pPr>
            <w:r w:rsidRPr="0004299A">
              <w:rPr>
                <w:rFonts w:ascii="Arial Narrow" w:hAnsi="Arial Narrow"/>
                <w:b/>
                <w:sz w:val="20"/>
              </w:rPr>
              <w:t xml:space="preserve">VE </w:t>
            </w:r>
            <w:r w:rsidRPr="00EA2905">
              <w:rPr>
                <w:rFonts w:ascii="Arial Narrow" w:hAnsi="Arial Narrow"/>
                <w:b/>
                <w:iCs/>
                <w:sz w:val="20"/>
              </w:rPr>
              <w:t xml:space="preserve">Fluarix tetra </w:t>
            </w:r>
          </w:p>
          <w:p w:rsidR="00A0526F" w:rsidRPr="0004299A" w:rsidRDefault="00A0526F" w:rsidP="007C7625">
            <w:pPr>
              <w:keepNext/>
              <w:keepLines/>
              <w:rPr>
                <w:rFonts w:ascii="Arial Narrow" w:hAnsi="Arial Narrow"/>
                <w:b/>
                <w:sz w:val="20"/>
              </w:rPr>
            </w:pPr>
            <w:r w:rsidRPr="0004299A">
              <w:rPr>
                <w:rFonts w:ascii="Arial Narrow" w:hAnsi="Arial Narrow"/>
                <w:b/>
                <w:sz w:val="20"/>
              </w:rPr>
              <w:t>% (2-sided 95% CI)</w:t>
            </w:r>
          </w:p>
        </w:tc>
        <w:tc>
          <w:tcPr>
            <w:tcW w:w="1024" w:type="pct"/>
            <w:vAlign w:val="center"/>
          </w:tcPr>
          <w:p w:rsidR="00A0526F" w:rsidRPr="00EA2905" w:rsidRDefault="00A0526F" w:rsidP="007C7625">
            <w:pPr>
              <w:keepNext/>
              <w:keepLines/>
              <w:rPr>
                <w:rFonts w:ascii="Arial Narrow" w:hAnsi="Arial Narrow"/>
                <w:b/>
                <w:iCs/>
                <w:sz w:val="20"/>
              </w:rPr>
            </w:pPr>
            <w:r w:rsidRPr="0004299A">
              <w:rPr>
                <w:rFonts w:ascii="Arial Narrow" w:hAnsi="Arial Narrow"/>
                <w:b/>
                <w:sz w:val="20"/>
              </w:rPr>
              <w:t xml:space="preserve">VE </w:t>
            </w:r>
            <w:r w:rsidRPr="00EA2905">
              <w:rPr>
                <w:rFonts w:ascii="Arial Narrow" w:hAnsi="Arial Narrow"/>
                <w:b/>
                <w:iCs/>
                <w:sz w:val="20"/>
              </w:rPr>
              <w:t>Vaxigrip Tetra</w:t>
            </w:r>
          </w:p>
          <w:p w:rsidR="00A0526F" w:rsidRPr="0004299A" w:rsidRDefault="00A0526F" w:rsidP="007C7625">
            <w:pPr>
              <w:keepNext/>
              <w:keepLines/>
              <w:rPr>
                <w:rFonts w:ascii="Arial Narrow" w:hAnsi="Arial Narrow"/>
                <w:b/>
                <w:sz w:val="20"/>
              </w:rPr>
            </w:pPr>
            <w:r w:rsidRPr="0004299A">
              <w:rPr>
                <w:rFonts w:ascii="Arial Narrow" w:hAnsi="Arial Narrow"/>
                <w:b/>
                <w:sz w:val="20"/>
              </w:rPr>
              <w:t>% (2-sided 97% CI)</w:t>
            </w:r>
          </w:p>
        </w:tc>
      </w:tr>
      <w:tr w:rsidR="00A0526F" w:rsidRPr="00FA577A" w:rsidTr="004A083C">
        <w:trPr>
          <w:jc w:val="center"/>
        </w:trPr>
        <w:tc>
          <w:tcPr>
            <w:tcW w:w="2776" w:type="pct"/>
          </w:tcPr>
          <w:p w:rsidR="00A0526F" w:rsidRPr="0004299A" w:rsidRDefault="00A0526F" w:rsidP="007C7625">
            <w:pPr>
              <w:keepNext/>
              <w:keepLines/>
              <w:rPr>
                <w:rFonts w:ascii="Arial Narrow" w:hAnsi="Arial Narrow"/>
                <w:sz w:val="20"/>
              </w:rPr>
            </w:pPr>
            <w:r w:rsidRPr="0004299A">
              <w:rPr>
                <w:rFonts w:ascii="Arial Narrow" w:hAnsi="Arial Narrow"/>
                <w:sz w:val="20"/>
              </w:rPr>
              <w:t>Laboratory-confirmed influenza illness caused by:</w:t>
            </w:r>
          </w:p>
          <w:p w:rsidR="00A0526F" w:rsidRPr="0004299A" w:rsidRDefault="00A0526F" w:rsidP="007C7625">
            <w:pPr>
              <w:keepNext/>
              <w:keepLines/>
              <w:rPr>
                <w:rFonts w:ascii="Arial Narrow" w:hAnsi="Arial Narrow"/>
                <w:sz w:val="20"/>
              </w:rPr>
            </w:pPr>
            <w:r w:rsidRPr="0004299A">
              <w:rPr>
                <w:rFonts w:ascii="Arial Narrow" w:hAnsi="Arial Narrow"/>
                <w:sz w:val="20"/>
              </w:rPr>
              <w:t>Any influenza A or B type</w:t>
            </w:r>
          </w:p>
        </w:tc>
        <w:tc>
          <w:tcPr>
            <w:tcW w:w="1200" w:type="pct"/>
            <w:vAlign w:val="center"/>
          </w:tcPr>
          <w:p w:rsidR="00A0526F" w:rsidRPr="0004299A" w:rsidRDefault="00B25902" w:rsidP="007C7625">
            <w:pPr>
              <w:keepNext/>
              <w:keepLines/>
              <w:rPr>
                <w:rFonts w:ascii="Arial Narrow" w:hAnsi="Arial Narrow"/>
                <w:sz w:val="20"/>
              </w:rPr>
            </w:pPr>
            <w:r>
              <w:rPr>
                <w:rFonts w:ascii="Arial Narrow" w:hAnsi="Arial Narrow"/>
                <w:sz w:val="20"/>
              </w:rPr>
              <w:t xml:space="preserve">51 (44, </w:t>
            </w:r>
            <w:r w:rsidR="00A0526F" w:rsidRPr="0004299A">
              <w:rPr>
                <w:rFonts w:ascii="Arial Narrow" w:hAnsi="Arial Narrow"/>
                <w:sz w:val="20"/>
              </w:rPr>
              <w:t>58)</w:t>
            </w:r>
            <w:r w:rsidR="00A0526F" w:rsidRPr="0004299A">
              <w:rPr>
                <w:rFonts w:ascii="Arial Narrow" w:hAnsi="Arial Narrow"/>
                <w:sz w:val="20"/>
                <w:vertAlign w:val="superscript"/>
              </w:rPr>
              <w:t xml:space="preserve"> †</w:t>
            </w:r>
          </w:p>
        </w:tc>
        <w:tc>
          <w:tcPr>
            <w:tcW w:w="1024" w:type="pct"/>
            <w:vAlign w:val="center"/>
          </w:tcPr>
          <w:p w:rsidR="00A0526F" w:rsidRPr="0004299A" w:rsidRDefault="004B40B8" w:rsidP="007C7625">
            <w:pPr>
              <w:keepNext/>
              <w:keepLines/>
              <w:rPr>
                <w:rFonts w:ascii="Arial Narrow" w:hAnsi="Arial Narrow"/>
                <w:sz w:val="20"/>
              </w:rPr>
            </w:pPr>
            <w:r>
              <w:rPr>
                <w:rFonts w:ascii="Arial Narrow" w:hAnsi="Arial Narrow"/>
                <w:sz w:val="20"/>
              </w:rPr>
              <w:t xml:space="preserve">50.98 </w:t>
            </w:r>
            <w:r w:rsidR="00B25902">
              <w:rPr>
                <w:rFonts w:ascii="Arial Narrow" w:hAnsi="Arial Narrow"/>
                <w:sz w:val="20"/>
              </w:rPr>
              <w:t xml:space="preserve">(37.36, </w:t>
            </w:r>
            <w:r w:rsidR="00A0526F" w:rsidRPr="0004299A">
              <w:rPr>
                <w:rFonts w:ascii="Arial Narrow" w:hAnsi="Arial Narrow"/>
                <w:sz w:val="20"/>
              </w:rPr>
              <w:t>61.86)</w:t>
            </w:r>
          </w:p>
        </w:tc>
      </w:tr>
      <w:tr w:rsidR="00A0526F" w:rsidRPr="00FA577A" w:rsidTr="004A083C">
        <w:trPr>
          <w:jc w:val="center"/>
        </w:trPr>
        <w:tc>
          <w:tcPr>
            <w:tcW w:w="2776" w:type="pct"/>
          </w:tcPr>
          <w:p w:rsidR="00A0526F" w:rsidRPr="0004299A" w:rsidRDefault="00A0526F" w:rsidP="007C7625">
            <w:pPr>
              <w:keepNext/>
              <w:keepLines/>
              <w:rPr>
                <w:rFonts w:ascii="Arial Narrow" w:hAnsi="Arial Narrow"/>
                <w:sz w:val="20"/>
              </w:rPr>
            </w:pPr>
            <w:r w:rsidRPr="0004299A">
              <w:rPr>
                <w:rFonts w:ascii="Arial Narrow" w:hAnsi="Arial Narrow"/>
                <w:sz w:val="20"/>
              </w:rPr>
              <w:t>Moderate-to -severe RT-PCR- confirmed influenza</w:t>
            </w:r>
            <w:r>
              <w:rPr>
                <w:rFonts w:ascii="Arial Narrow" w:hAnsi="Arial Narrow"/>
                <w:sz w:val="20"/>
              </w:rPr>
              <w:t xml:space="preserve"> of any strain</w:t>
            </w:r>
          </w:p>
        </w:tc>
        <w:tc>
          <w:tcPr>
            <w:tcW w:w="1200" w:type="pct"/>
            <w:vAlign w:val="center"/>
          </w:tcPr>
          <w:p w:rsidR="00A0526F" w:rsidRPr="0004299A" w:rsidRDefault="00B25902" w:rsidP="007C7625">
            <w:pPr>
              <w:keepNext/>
              <w:keepLines/>
              <w:rPr>
                <w:rFonts w:ascii="Arial Narrow" w:hAnsi="Arial Narrow"/>
                <w:sz w:val="20"/>
              </w:rPr>
            </w:pPr>
            <w:r>
              <w:rPr>
                <w:rFonts w:ascii="Arial Narrow" w:hAnsi="Arial Narrow"/>
                <w:sz w:val="20"/>
              </w:rPr>
              <w:t>63.2 (52,</w:t>
            </w:r>
            <w:r w:rsidR="00A0526F" w:rsidRPr="0004299A">
              <w:rPr>
                <w:rFonts w:ascii="Arial Narrow" w:hAnsi="Arial Narrow"/>
                <w:sz w:val="20"/>
              </w:rPr>
              <w:t xml:space="preserve"> 72)</w:t>
            </w:r>
          </w:p>
        </w:tc>
        <w:tc>
          <w:tcPr>
            <w:tcW w:w="1024" w:type="pct"/>
            <w:vAlign w:val="center"/>
          </w:tcPr>
          <w:p w:rsidR="00A0526F" w:rsidRPr="0004299A" w:rsidRDefault="00A0526F" w:rsidP="007C7625">
            <w:pPr>
              <w:keepNext/>
              <w:keepLines/>
              <w:rPr>
                <w:rFonts w:ascii="Arial Narrow" w:hAnsi="Arial Narrow"/>
                <w:sz w:val="20"/>
              </w:rPr>
            </w:pPr>
            <w:r w:rsidRPr="0004299A">
              <w:rPr>
                <w:rFonts w:ascii="Arial Narrow" w:hAnsi="Arial Narrow"/>
                <w:sz w:val="20"/>
              </w:rPr>
              <w:t>NR</w:t>
            </w:r>
          </w:p>
        </w:tc>
      </w:tr>
      <w:tr w:rsidR="00A0526F" w:rsidRPr="00FA577A" w:rsidTr="004A083C">
        <w:trPr>
          <w:jc w:val="center"/>
        </w:trPr>
        <w:tc>
          <w:tcPr>
            <w:tcW w:w="2776" w:type="pct"/>
          </w:tcPr>
          <w:p w:rsidR="00A0526F" w:rsidRPr="0004299A" w:rsidRDefault="00A0526F" w:rsidP="007C7625">
            <w:pPr>
              <w:keepNext/>
              <w:keepLines/>
              <w:rPr>
                <w:rFonts w:ascii="Arial Narrow" w:hAnsi="Arial Narrow"/>
                <w:sz w:val="20"/>
              </w:rPr>
            </w:pPr>
            <w:r w:rsidRPr="0004299A">
              <w:rPr>
                <w:rFonts w:ascii="Arial Narrow" w:hAnsi="Arial Narrow"/>
                <w:sz w:val="20"/>
              </w:rPr>
              <w:t>RT-PCR-confirmed influenza illness caused by:</w:t>
            </w:r>
          </w:p>
          <w:p w:rsidR="00A0526F" w:rsidRPr="0004299A" w:rsidRDefault="00A0526F" w:rsidP="007C7625">
            <w:pPr>
              <w:pStyle w:val="ListParagraph"/>
              <w:keepNext/>
              <w:keepLines/>
              <w:numPr>
                <w:ilvl w:val="0"/>
                <w:numId w:val="10"/>
              </w:numPr>
              <w:contextualSpacing/>
              <w:jc w:val="both"/>
              <w:rPr>
                <w:rFonts w:ascii="Arial Narrow" w:hAnsi="Arial Narrow"/>
                <w:sz w:val="20"/>
              </w:rPr>
            </w:pPr>
            <w:r w:rsidRPr="0004299A">
              <w:rPr>
                <w:rFonts w:ascii="Arial Narrow" w:hAnsi="Arial Narrow"/>
                <w:sz w:val="20"/>
              </w:rPr>
              <w:t>Any influenza A or B type</w:t>
            </w:r>
          </w:p>
        </w:tc>
        <w:tc>
          <w:tcPr>
            <w:tcW w:w="1200" w:type="pct"/>
            <w:vAlign w:val="center"/>
          </w:tcPr>
          <w:p w:rsidR="00A0526F" w:rsidRPr="0004299A" w:rsidRDefault="00A0526F" w:rsidP="007C7625">
            <w:pPr>
              <w:keepNext/>
              <w:keepLines/>
              <w:rPr>
                <w:rFonts w:ascii="Arial Narrow" w:hAnsi="Arial Narrow"/>
                <w:sz w:val="20"/>
              </w:rPr>
            </w:pPr>
            <w:r w:rsidRPr="0004299A">
              <w:rPr>
                <w:rFonts w:ascii="Arial Narrow" w:hAnsi="Arial Narrow"/>
                <w:sz w:val="20"/>
                <w:lang w:val="en-GB"/>
              </w:rPr>
              <w:t>50 (42, 57)</w:t>
            </w:r>
          </w:p>
        </w:tc>
        <w:tc>
          <w:tcPr>
            <w:tcW w:w="1024" w:type="pct"/>
            <w:vAlign w:val="center"/>
          </w:tcPr>
          <w:p w:rsidR="00A0526F" w:rsidRPr="0004299A" w:rsidRDefault="00B25902" w:rsidP="007C7625">
            <w:pPr>
              <w:keepNext/>
              <w:keepLines/>
              <w:rPr>
                <w:rFonts w:ascii="Arial Narrow" w:hAnsi="Arial Narrow"/>
                <w:sz w:val="20"/>
              </w:rPr>
            </w:pPr>
            <w:r>
              <w:rPr>
                <w:rFonts w:ascii="Arial Narrow" w:hAnsi="Arial Narrow"/>
                <w:sz w:val="20"/>
              </w:rPr>
              <w:t xml:space="preserve">51.40 (39.20, </w:t>
            </w:r>
            <w:r w:rsidR="00A0526F" w:rsidRPr="0004299A">
              <w:rPr>
                <w:rFonts w:ascii="Arial Narrow" w:hAnsi="Arial Narrow"/>
                <w:sz w:val="20"/>
              </w:rPr>
              <w:t>61.33)</w:t>
            </w:r>
          </w:p>
        </w:tc>
      </w:tr>
      <w:tr w:rsidR="00A0526F" w:rsidRPr="00FA577A" w:rsidTr="004A083C">
        <w:trPr>
          <w:jc w:val="center"/>
        </w:trPr>
        <w:tc>
          <w:tcPr>
            <w:tcW w:w="2776" w:type="pct"/>
          </w:tcPr>
          <w:p w:rsidR="00A0526F" w:rsidRPr="0004299A" w:rsidRDefault="00A0526F" w:rsidP="007C7625">
            <w:pPr>
              <w:pStyle w:val="ListParagraph"/>
              <w:keepNext/>
              <w:keepLines/>
              <w:numPr>
                <w:ilvl w:val="0"/>
                <w:numId w:val="10"/>
              </w:numPr>
              <w:contextualSpacing/>
              <w:jc w:val="both"/>
              <w:rPr>
                <w:rFonts w:ascii="Arial Narrow" w:hAnsi="Arial Narrow"/>
                <w:sz w:val="20"/>
              </w:rPr>
            </w:pPr>
            <w:r w:rsidRPr="0004299A">
              <w:rPr>
                <w:rFonts w:ascii="Arial Narrow" w:hAnsi="Arial Narrow"/>
                <w:sz w:val="20"/>
              </w:rPr>
              <w:t>Viral strains similar to those contained in the vaccine</w:t>
            </w:r>
          </w:p>
        </w:tc>
        <w:tc>
          <w:tcPr>
            <w:tcW w:w="1200" w:type="pct"/>
          </w:tcPr>
          <w:p w:rsidR="00A0526F" w:rsidRPr="0004299A" w:rsidRDefault="00B25902" w:rsidP="007C7625">
            <w:pPr>
              <w:keepNext/>
              <w:keepLines/>
              <w:rPr>
                <w:rFonts w:ascii="Arial Narrow" w:hAnsi="Arial Narrow"/>
                <w:sz w:val="20"/>
              </w:rPr>
            </w:pPr>
            <w:r>
              <w:rPr>
                <w:rFonts w:ascii="Arial Narrow" w:hAnsi="Arial Narrow"/>
                <w:sz w:val="20"/>
              </w:rPr>
              <w:t xml:space="preserve">60.1 (49.1, </w:t>
            </w:r>
            <w:r w:rsidR="00A0526F" w:rsidRPr="0004299A">
              <w:rPr>
                <w:rFonts w:ascii="Arial Narrow" w:hAnsi="Arial Narrow"/>
                <w:sz w:val="20"/>
              </w:rPr>
              <w:t>69.0)</w:t>
            </w:r>
          </w:p>
        </w:tc>
        <w:tc>
          <w:tcPr>
            <w:tcW w:w="1024" w:type="pct"/>
            <w:vAlign w:val="center"/>
          </w:tcPr>
          <w:p w:rsidR="00A0526F" w:rsidRPr="0004299A" w:rsidRDefault="00B25902" w:rsidP="007C7625">
            <w:pPr>
              <w:keepNext/>
              <w:keepLines/>
              <w:rPr>
                <w:rFonts w:ascii="Arial Narrow" w:hAnsi="Arial Narrow"/>
                <w:sz w:val="20"/>
              </w:rPr>
            </w:pPr>
            <w:r>
              <w:rPr>
                <w:rFonts w:ascii="Arial Narrow" w:hAnsi="Arial Narrow"/>
                <w:sz w:val="20"/>
              </w:rPr>
              <w:t xml:space="preserve">68.40 (49.42, </w:t>
            </w:r>
            <w:r w:rsidR="00A0526F" w:rsidRPr="0004299A">
              <w:rPr>
                <w:rFonts w:ascii="Arial Narrow" w:hAnsi="Arial Narrow"/>
                <w:sz w:val="20"/>
              </w:rPr>
              <w:t>80.91)</w:t>
            </w:r>
          </w:p>
        </w:tc>
      </w:tr>
      <w:tr w:rsidR="00A0526F" w:rsidRPr="00FA577A" w:rsidTr="004A083C">
        <w:trPr>
          <w:jc w:val="center"/>
        </w:trPr>
        <w:tc>
          <w:tcPr>
            <w:tcW w:w="2776" w:type="pct"/>
          </w:tcPr>
          <w:p w:rsidR="00A0526F" w:rsidRPr="0004299A" w:rsidRDefault="00A0526F" w:rsidP="007C7625">
            <w:pPr>
              <w:keepNext/>
              <w:keepLines/>
              <w:rPr>
                <w:rFonts w:ascii="Arial Narrow" w:hAnsi="Arial Narrow"/>
                <w:sz w:val="20"/>
              </w:rPr>
            </w:pPr>
            <w:r w:rsidRPr="0004299A">
              <w:rPr>
                <w:rFonts w:ascii="Arial Narrow" w:hAnsi="Arial Narrow"/>
                <w:sz w:val="20"/>
              </w:rPr>
              <w:t>Culture-confirmed influenza illness caused by:</w:t>
            </w:r>
          </w:p>
          <w:p w:rsidR="00A0526F" w:rsidRPr="0004299A" w:rsidRDefault="00A0526F" w:rsidP="007C7625">
            <w:pPr>
              <w:pStyle w:val="ListParagraph"/>
              <w:keepNext/>
              <w:keepLines/>
              <w:numPr>
                <w:ilvl w:val="0"/>
                <w:numId w:val="10"/>
              </w:numPr>
              <w:contextualSpacing/>
              <w:jc w:val="both"/>
              <w:rPr>
                <w:rFonts w:ascii="Arial Narrow" w:hAnsi="Arial Narrow"/>
                <w:sz w:val="20"/>
              </w:rPr>
            </w:pPr>
            <w:r w:rsidRPr="0004299A">
              <w:rPr>
                <w:rFonts w:ascii="Arial Narrow" w:hAnsi="Arial Narrow"/>
                <w:sz w:val="20"/>
              </w:rPr>
              <w:t>Any influenza A or B type</w:t>
            </w:r>
          </w:p>
        </w:tc>
        <w:tc>
          <w:tcPr>
            <w:tcW w:w="1200" w:type="pct"/>
            <w:vAlign w:val="center"/>
          </w:tcPr>
          <w:p w:rsidR="00A0526F" w:rsidRPr="0004299A" w:rsidRDefault="00B25902" w:rsidP="007C7625">
            <w:pPr>
              <w:keepNext/>
              <w:keepLines/>
              <w:rPr>
                <w:rFonts w:ascii="Arial Narrow" w:hAnsi="Arial Narrow"/>
                <w:sz w:val="20"/>
              </w:rPr>
            </w:pPr>
            <w:r>
              <w:rPr>
                <w:rFonts w:ascii="Arial Narrow" w:hAnsi="Arial Narrow"/>
                <w:sz w:val="20"/>
              </w:rPr>
              <w:t xml:space="preserve">51.2 (44.1, </w:t>
            </w:r>
            <w:r w:rsidR="00A0526F" w:rsidRPr="0004299A">
              <w:rPr>
                <w:rFonts w:ascii="Arial Narrow" w:hAnsi="Arial Narrow"/>
                <w:sz w:val="20"/>
              </w:rPr>
              <w:t>57.6)</w:t>
            </w:r>
          </w:p>
        </w:tc>
        <w:tc>
          <w:tcPr>
            <w:tcW w:w="1024" w:type="pct"/>
            <w:vAlign w:val="center"/>
          </w:tcPr>
          <w:p w:rsidR="00A0526F" w:rsidRPr="0004299A" w:rsidRDefault="00B25902" w:rsidP="007C7625">
            <w:pPr>
              <w:keepNext/>
              <w:keepLines/>
              <w:rPr>
                <w:rFonts w:ascii="Arial Narrow" w:hAnsi="Arial Narrow"/>
                <w:sz w:val="20"/>
              </w:rPr>
            </w:pPr>
            <w:r>
              <w:rPr>
                <w:rFonts w:ascii="Arial Narrow" w:hAnsi="Arial Narrow"/>
                <w:sz w:val="20"/>
              </w:rPr>
              <w:t xml:space="preserve">57.44 (45.36, </w:t>
            </w:r>
            <w:r w:rsidR="00A0526F" w:rsidRPr="0004299A">
              <w:rPr>
                <w:rFonts w:ascii="Arial Narrow" w:hAnsi="Arial Narrow"/>
                <w:sz w:val="20"/>
              </w:rPr>
              <w:t>67.07)</w:t>
            </w:r>
          </w:p>
        </w:tc>
      </w:tr>
    </w:tbl>
    <w:p w:rsidR="00B25902" w:rsidRPr="007000D5" w:rsidRDefault="00B25902" w:rsidP="004A083C">
      <w:pPr>
        <w:pStyle w:val="TableFigureFooter"/>
        <w:rPr>
          <w:lang w:val="en-GB"/>
        </w:rPr>
      </w:pPr>
      <w:r>
        <w:rPr>
          <w:lang w:val="en-GB"/>
        </w:rPr>
        <w:t>Source Table 19, p28 of the submission</w:t>
      </w:r>
    </w:p>
    <w:p w:rsidR="00CA347F" w:rsidRPr="00A0526F" w:rsidRDefault="008927A9" w:rsidP="004A083C">
      <w:pPr>
        <w:pStyle w:val="3Bodytext"/>
      </w:pPr>
      <w:r w:rsidRPr="001A614F">
        <w:t xml:space="preserve">Despite limitations for </w:t>
      </w:r>
      <w:r w:rsidR="005735A2" w:rsidRPr="001A614F">
        <w:t>the</w:t>
      </w:r>
      <w:r w:rsidRPr="001A614F">
        <w:t xml:space="preserve"> naïve </w:t>
      </w:r>
      <w:r w:rsidR="004505ED">
        <w:t xml:space="preserve">indirect </w:t>
      </w:r>
      <w:r w:rsidRPr="001A614F">
        <w:t xml:space="preserve">comparison and the key differences between the two studies as outlined in </w:t>
      </w:r>
      <w:r w:rsidRPr="00EC62B8">
        <w:t>paragraph 5.</w:t>
      </w:r>
      <w:r w:rsidR="00140422" w:rsidRPr="00EC62B8">
        <w:t>9</w:t>
      </w:r>
      <w:r w:rsidRPr="00EC62B8">
        <w:t xml:space="preserve">, </w:t>
      </w:r>
      <w:r w:rsidR="00CA347F" w:rsidRPr="00EC62B8">
        <w:t>ATAGI</w:t>
      </w:r>
      <w:r w:rsidR="00CA347F" w:rsidRPr="009E4361">
        <w:t xml:space="preserve"> considered </w:t>
      </w:r>
      <w:r w:rsidR="00190AE9">
        <w:t xml:space="preserve">that </w:t>
      </w:r>
      <w:r w:rsidR="00CA347F" w:rsidRPr="009E4361">
        <w:t xml:space="preserve">the </w:t>
      </w:r>
      <w:r w:rsidR="00CA347F" w:rsidRPr="00137F24">
        <w:t>Fluarix Tetra</w:t>
      </w:r>
      <w:r w:rsidR="00CA347F" w:rsidRPr="009E4361">
        <w:t xml:space="preserve"> VE of 63.2% (95% CI: 51.8–72.3%) against moderate to severe influenza </w:t>
      </w:r>
      <w:r w:rsidR="008F27B3">
        <w:t xml:space="preserve">to </w:t>
      </w:r>
      <w:r w:rsidR="00CA347F" w:rsidRPr="009E4361">
        <w:t>be comparable to VE and effectiveness estimates of other QIVs</w:t>
      </w:r>
      <w:r w:rsidR="00CA347F">
        <w:t xml:space="preserve"> such as</w:t>
      </w:r>
      <w:r w:rsidR="00CA347F" w:rsidRPr="00B624A3">
        <w:t xml:space="preserve"> </w:t>
      </w:r>
      <w:r w:rsidR="00CA347F" w:rsidRPr="00137F24">
        <w:t>Vaxigrip Tetra</w:t>
      </w:r>
      <w:r w:rsidR="004E1E08">
        <w:t xml:space="preserve"> </w:t>
      </w:r>
      <w:r w:rsidR="00CA378A">
        <w:t>and</w:t>
      </w:r>
      <w:r w:rsidR="004E1E08">
        <w:t xml:space="preserve"> FluQua</w:t>
      </w:r>
      <w:r w:rsidR="00C01C0B">
        <w:t>d</w:t>
      </w:r>
      <w:r w:rsidR="004E1E08">
        <w:t>ri</w:t>
      </w:r>
      <w:r w:rsidR="00CA347F">
        <w:t>.</w:t>
      </w:r>
      <w:r w:rsidR="00CA347F" w:rsidRPr="00B624A3">
        <w:t xml:space="preserve"> </w:t>
      </w:r>
      <w:r w:rsidR="00CA347F">
        <w:t xml:space="preserve">Recognising that influenza VE/effectiveness can vary year to year, and the absence of a direct comparison of the VE/effectiveness of </w:t>
      </w:r>
      <w:r w:rsidR="00CA347F" w:rsidRPr="00137F24">
        <w:t>Vaxigrip Tetra</w:t>
      </w:r>
      <w:r w:rsidR="00CA347F">
        <w:t xml:space="preserve"> or </w:t>
      </w:r>
      <w:r w:rsidR="00CA347F" w:rsidRPr="00137F24">
        <w:t>FluQuadri</w:t>
      </w:r>
      <w:r w:rsidR="00CA347F">
        <w:t xml:space="preserve"> to </w:t>
      </w:r>
      <w:r w:rsidR="00CA347F" w:rsidRPr="00137F24">
        <w:t>Fluarix Tetra</w:t>
      </w:r>
      <w:r w:rsidR="00CA347F">
        <w:t xml:space="preserve"> in 6 to 35 month olds, ATAGI considered </w:t>
      </w:r>
      <w:r w:rsidR="00CA347F" w:rsidRPr="009C5302">
        <w:t>the efficacy of Fluarix Tetra to be equivalent to that of Vaxigrip Tetra and FluQuadri</w:t>
      </w:r>
      <w:r w:rsidR="00CA347F">
        <w:t xml:space="preserve"> in children aged 6–35 months (</w:t>
      </w:r>
      <w:r w:rsidR="00CA347F" w:rsidRPr="009553A0">
        <w:t xml:space="preserve">ATAGI </w:t>
      </w:r>
      <w:r w:rsidR="00BA20DE">
        <w:t xml:space="preserve">March 2020 </w:t>
      </w:r>
      <w:r w:rsidR="00CA347F" w:rsidRPr="009553A0">
        <w:t>pre-submission advice).</w:t>
      </w:r>
    </w:p>
    <w:p w:rsidR="005A3173" w:rsidRDefault="007F0021" w:rsidP="007C7625">
      <w:pPr>
        <w:pStyle w:val="4-SubsectionHeading"/>
        <w:rPr>
          <w:lang w:eastAsia="en-US"/>
        </w:rPr>
      </w:pPr>
      <w:r>
        <w:rPr>
          <w:lang w:eastAsia="en-US"/>
        </w:rPr>
        <w:t xml:space="preserve">Comparative </w:t>
      </w:r>
      <w:r w:rsidR="005A3173" w:rsidRPr="000214D1">
        <w:rPr>
          <w:lang w:eastAsia="en-US"/>
        </w:rPr>
        <w:t>harms</w:t>
      </w:r>
    </w:p>
    <w:p w:rsidR="00DC2B4C" w:rsidRPr="00DC2B4C" w:rsidRDefault="00DC2B4C" w:rsidP="004A083C">
      <w:pPr>
        <w:pStyle w:val="3Bodytext"/>
        <w:rPr>
          <w:rFonts w:eastAsia="Calibri"/>
          <w:lang w:val="en-GB"/>
        </w:rPr>
      </w:pPr>
      <w:r>
        <w:t>Study D-QIV-004</w:t>
      </w:r>
      <w:r w:rsidR="004D5364" w:rsidRPr="004D5364">
        <w:t xml:space="preserve"> provided safety data</w:t>
      </w:r>
      <w:r>
        <w:t xml:space="preserve">, </w:t>
      </w:r>
      <w:r w:rsidRPr="004D5364">
        <w:t>including solicited, unsolicited, local or general</w:t>
      </w:r>
      <w:r>
        <w:t xml:space="preserve"> adverse events,</w:t>
      </w:r>
      <w:r w:rsidR="004D5364" w:rsidRPr="004D5364">
        <w:t xml:space="preserve"> on </w:t>
      </w:r>
      <w:r w:rsidR="004D5364">
        <w:t xml:space="preserve">children aged 6 to </w:t>
      </w:r>
      <w:r w:rsidR="004D5364" w:rsidRPr="004D5364">
        <w:t>35 months who received Fluarix Tetra in comparison to children in the control group who received hepatitis A, varicella or PCV13 vaccines</w:t>
      </w:r>
      <w:r w:rsidR="004D5364">
        <w:t>.</w:t>
      </w:r>
      <w:r w:rsidR="004D5364" w:rsidRPr="004D5364">
        <w:t xml:space="preserve"> </w:t>
      </w:r>
      <w:r w:rsidR="004D5364">
        <w:t>This</w:t>
      </w:r>
      <w:r w:rsidR="004D5364" w:rsidRPr="00DC0BF4">
        <w:rPr>
          <w:rFonts w:eastAsia="Calibri"/>
        </w:rPr>
        <w:t xml:space="preserve"> study found no clinically meaningful differences between Fluarix Tetra and con</w:t>
      </w:r>
      <w:r w:rsidR="004D5364">
        <w:rPr>
          <w:rFonts w:eastAsia="Calibri"/>
        </w:rPr>
        <w:t>trol vaccine in safety outcomes</w:t>
      </w:r>
      <w:r>
        <w:t xml:space="preserve">. </w:t>
      </w:r>
    </w:p>
    <w:p w:rsidR="00DC2B4C" w:rsidRPr="00DB7149" w:rsidRDefault="00DC2B4C" w:rsidP="004A083C">
      <w:pPr>
        <w:pStyle w:val="3Bodytext"/>
      </w:pPr>
      <w:r w:rsidRPr="004D5364">
        <w:t xml:space="preserve">Injection site pain was the most commonly reported solicited local AE during the 7-day post-vaccination period (22.9% of Fluarix </w:t>
      </w:r>
      <w:r w:rsidR="00B61797">
        <w:t>T</w:t>
      </w:r>
      <w:r w:rsidRPr="004D5364">
        <w:t xml:space="preserve">etra </w:t>
      </w:r>
      <w:r w:rsidR="007D7E59">
        <w:t>recipient</w:t>
      </w:r>
      <w:r w:rsidR="007D7E59" w:rsidRPr="004D5364">
        <w:t>s</w:t>
      </w:r>
      <w:r w:rsidRPr="004D5364">
        <w:t xml:space="preserve"> </w:t>
      </w:r>
      <w:r>
        <w:t xml:space="preserve">vs </w:t>
      </w:r>
      <w:r w:rsidRPr="004D5364">
        <w:t>23.3% of control vaccine recipients). There was no</w:t>
      </w:r>
      <w:r w:rsidR="00B61797">
        <w:t xml:space="preserve"> change</w:t>
      </w:r>
      <w:r w:rsidRPr="004D5364">
        <w:t xml:space="preserve"> in the incidence of solicited local AEs from dose 1 to dose</w:t>
      </w:r>
      <w:r>
        <w:t xml:space="preserve"> 2 in the Fluarix Tetra group. </w:t>
      </w:r>
      <w:r w:rsidRPr="004D5364">
        <w:t>Irritability/fussiness was the most commonly reported solicited general AE during the 7-day post</w:t>
      </w:r>
      <w:r>
        <w:t>-</w:t>
      </w:r>
      <w:r w:rsidRPr="004D5364">
        <w:t xml:space="preserve">vaccination period (23.4% </w:t>
      </w:r>
      <w:r>
        <w:t xml:space="preserve">vs </w:t>
      </w:r>
      <w:r w:rsidRPr="004D5364">
        <w:t>24.2%), with fever &gt;39°C being the most commonly reported solicited grade 3 general AE during the 7-day post</w:t>
      </w:r>
      <w:r>
        <w:t>-</w:t>
      </w:r>
      <w:r w:rsidRPr="004D5364">
        <w:t xml:space="preserve">vaccination period, occurring among 2.3% of Fluarix </w:t>
      </w:r>
      <w:r w:rsidR="00B61797">
        <w:t>T</w:t>
      </w:r>
      <w:r w:rsidRPr="004D5364">
        <w:t>etra recipients (1.2% overall/dose) and 2.4% of control vaccine recipients (1.3% overall/dose). Lower frequencies of vaccine-related grade 3 fever were reported.</w:t>
      </w:r>
    </w:p>
    <w:p w:rsidR="005735A2" w:rsidRPr="00FC3420" w:rsidRDefault="00433FD7" w:rsidP="004A083C">
      <w:pPr>
        <w:pStyle w:val="3Bodytext"/>
      </w:pPr>
      <w:r>
        <w:t>The submission noted that a</w:t>
      </w:r>
      <w:r w:rsidR="005735A2">
        <w:t xml:space="preserve"> </w:t>
      </w:r>
      <w:r w:rsidR="005735A2" w:rsidRPr="00FC3420">
        <w:t>higher proportion of participants report</w:t>
      </w:r>
      <w:r w:rsidR="005735A2">
        <w:t>ed</w:t>
      </w:r>
      <w:r w:rsidR="005735A2" w:rsidRPr="00FC3420">
        <w:t xml:space="preserve"> solicited</w:t>
      </w:r>
      <w:r w:rsidR="005735A2">
        <w:t xml:space="preserve"> </w:t>
      </w:r>
      <w:r w:rsidR="00DB7149">
        <w:t xml:space="preserve">injection </w:t>
      </w:r>
      <w:r w:rsidR="005735A2" w:rsidRPr="00FC3420">
        <w:t xml:space="preserve">site reactions in the </w:t>
      </w:r>
      <w:r w:rsidR="005735A2" w:rsidRPr="00DC0BF4">
        <w:t>Vaxigrip Tetra</w:t>
      </w:r>
      <w:r w:rsidR="005735A2">
        <w:t xml:space="preserve"> </w:t>
      </w:r>
      <w:r w:rsidR="00DB7149">
        <w:t>group (</w:t>
      </w:r>
      <w:r>
        <w:t xml:space="preserve">39.9%; </w:t>
      </w:r>
      <w:r w:rsidR="00DB7149">
        <w:t>95% CI: 37.5, 42.4</w:t>
      </w:r>
      <w:r w:rsidR="005735A2" w:rsidRPr="00FC3420">
        <w:t>) than in the placebo group (31.9%</w:t>
      </w:r>
      <w:r>
        <w:t>; 95% CI: 29.6, 34.2) while</w:t>
      </w:r>
      <w:r w:rsidR="005735A2">
        <w:t xml:space="preserve"> </w:t>
      </w:r>
      <w:r w:rsidR="005735A2" w:rsidRPr="00FC3420">
        <w:t xml:space="preserve">proportions reporting solicited reactions and </w:t>
      </w:r>
      <w:r>
        <w:t xml:space="preserve">AEs </w:t>
      </w:r>
      <w:r w:rsidR="005735A2" w:rsidRPr="00FC3420">
        <w:t>were</w:t>
      </w:r>
      <w:r w:rsidR="005735A2">
        <w:t xml:space="preserve"> </w:t>
      </w:r>
      <w:r w:rsidR="005735A2" w:rsidRPr="00FC3420">
        <w:t xml:space="preserve">similar for the </w:t>
      </w:r>
      <w:r w:rsidR="005735A2" w:rsidRPr="00DC0BF4">
        <w:t>Vaxigrip Tetra</w:t>
      </w:r>
      <w:r w:rsidR="005735A2">
        <w:t xml:space="preserve">, </w:t>
      </w:r>
      <w:r w:rsidR="004833FC">
        <w:t>trivalent influenza vaccine (</w:t>
      </w:r>
      <w:r w:rsidR="005735A2">
        <w:t>TIV</w:t>
      </w:r>
      <w:r w:rsidR="004833FC">
        <w:t>)</w:t>
      </w:r>
      <w:r w:rsidR="005735A2" w:rsidRPr="00FC3420">
        <w:t xml:space="preserve"> and placebo groups</w:t>
      </w:r>
      <w:r w:rsidR="005735A2">
        <w:t>.</w:t>
      </w:r>
      <w:r w:rsidR="005735A2" w:rsidRPr="00FC3420">
        <w:t xml:space="preserve"> A single vaccine-related serious adverse event (benign febrile</w:t>
      </w:r>
      <w:r w:rsidR="005735A2">
        <w:t xml:space="preserve"> </w:t>
      </w:r>
      <w:r w:rsidR="005735A2" w:rsidRPr="00FC3420">
        <w:t xml:space="preserve">seizure) was reported for a participant vaccinated with </w:t>
      </w:r>
      <w:r w:rsidR="005735A2" w:rsidRPr="00DC0BF4">
        <w:t>Vaxigrip Tetra</w:t>
      </w:r>
      <w:r w:rsidR="005735A2" w:rsidRPr="00FC3420">
        <w:t xml:space="preserve">. </w:t>
      </w:r>
    </w:p>
    <w:p w:rsidR="001806FF" w:rsidRPr="001F4752" w:rsidRDefault="001806FF" w:rsidP="004A083C">
      <w:pPr>
        <w:pStyle w:val="3Bodytext"/>
        <w:rPr>
          <w:i/>
          <w:iCs/>
          <w:szCs w:val="24"/>
        </w:rPr>
      </w:pPr>
      <w:r w:rsidRPr="007D7E59">
        <w:rPr>
          <w:szCs w:val="24"/>
        </w:rPr>
        <w:t>The submission did not present an indirect</w:t>
      </w:r>
      <w:r w:rsidR="00AC0117" w:rsidRPr="007D7E59">
        <w:t xml:space="preserve"> comparison of safety endpoints but </w:t>
      </w:r>
      <w:r w:rsidR="00AC0117" w:rsidRPr="007D7E59">
        <w:rPr>
          <w:lang w:val="en-GB"/>
        </w:rPr>
        <w:t>concluded</w:t>
      </w:r>
      <w:r w:rsidR="00AC0117" w:rsidRPr="007D7E59">
        <w:rPr>
          <w:rFonts w:eastAsia="Times New Roman"/>
          <w:lang w:val="en-GB"/>
        </w:rPr>
        <w:t xml:space="preserve"> that </w:t>
      </w:r>
      <w:r w:rsidR="00AC0117" w:rsidRPr="007D7E59">
        <w:rPr>
          <w:rFonts w:eastAsia="Times New Roman"/>
          <w:iCs/>
          <w:lang w:val="en-GB"/>
        </w:rPr>
        <w:t>Fluarix Tetra</w:t>
      </w:r>
      <w:r w:rsidR="00AC0117" w:rsidRPr="007D7E59">
        <w:rPr>
          <w:rFonts w:eastAsia="Times New Roman"/>
          <w:lang w:val="en-GB"/>
        </w:rPr>
        <w:t xml:space="preserve"> is non-inferior </w:t>
      </w:r>
      <w:r w:rsidR="00AC0117" w:rsidRPr="007D7E59">
        <w:rPr>
          <w:lang w:val="en-GB"/>
        </w:rPr>
        <w:t xml:space="preserve">to </w:t>
      </w:r>
      <w:r w:rsidR="00AC0117" w:rsidRPr="007D7E59">
        <w:rPr>
          <w:rFonts w:eastAsia="Times New Roman"/>
          <w:iCs/>
          <w:lang w:val="en-GB"/>
        </w:rPr>
        <w:t>Vaxigrip Tetra</w:t>
      </w:r>
      <w:r w:rsidRPr="007D7E59">
        <w:rPr>
          <w:szCs w:val="24"/>
        </w:rPr>
        <w:t xml:space="preserve"> </w:t>
      </w:r>
      <w:r w:rsidR="00AC0117" w:rsidRPr="007D7E59">
        <w:t xml:space="preserve">in terms of safety. </w:t>
      </w:r>
    </w:p>
    <w:p w:rsidR="0011168F" w:rsidRDefault="001F4752" w:rsidP="004A083C">
      <w:pPr>
        <w:pStyle w:val="3Bodytext"/>
      </w:pPr>
      <w:r w:rsidRPr="00FA1066">
        <w:t>The submission noted that ATAGI did not raise any specific concerns regarding the safety of Fluarix Tetra for use in children aged 6 months to &lt;5 years under the NIP; however, considered ongoing surveillance of adverse events following immunisation to be essential. While noting there is no direct evidence comparing the safety profile of Fluarix Tetra with that of Vaxigrip Tetra or FluQuadri, ATAGI considered that the safety profile of Fluarix Tetra is comparable with that of other widely accepted licensed vaccines, with clinical trial evidence showing that Fluarix Tetra is well tolerat</w:t>
      </w:r>
      <w:r w:rsidR="00FA1066" w:rsidRPr="00FA1066">
        <w:t>ed in children aged 6–35 months (</w:t>
      </w:r>
      <w:r w:rsidR="0061748A" w:rsidRPr="00FA1066">
        <w:t xml:space="preserve">ATAGI </w:t>
      </w:r>
      <w:r w:rsidR="00FA1066" w:rsidRPr="00FA1066">
        <w:t>March 2020 pre-submission advice).</w:t>
      </w:r>
    </w:p>
    <w:p w:rsidR="00D3224B" w:rsidRPr="007343ED" w:rsidRDefault="00D3224B" w:rsidP="004A083C">
      <w:pPr>
        <w:pStyle w:val="3Bodytext"/>
        <w:rPr>
          <w:i/>
        </w:rPr>
      </w:pPr>
      <w:r w:rsidRPr="007343ED">
        <w:t xml:space="preserve">As a minor submission, the analyses were not independently evaluated. </w:t>
      </w:r>
    </w:p>
    <w:p w:rsidR="003C2FB5" w:rsidRPr="008306F3" w:rsidRDefault="005A3173" w:rsidP="007C7625">
      <w:pPr>
        <w:pStyle w:val="4-SubsectionHeading"/>
        <w:rPr>
          <w:lang w:eastAsia="en-US"/>
        </w:rPr>
      </w:pPr>
      <w:r w:rsidRPr="003C2FB5">
        <w:rPr>
          <w:lang w:eastAsia="en-US"/>
        </w:rPr>
        <w:t>Clinical claim</w:t>
      </w:r>
    </w:p>
    <w:p w:rsidR="0034585B" w:rsidRPr="00931FB3" w:rsidRDefault="00FF2801" w:rsidP="004A083C">
      <w:pPr>
        <w:pStyle w:val="3Bodytext"/>
        <w:rPr>
          <w:i/>
        </w:rPr>
      </w:pPr>
      <w:r w:rsidRPr="0034585B">
        <w:rPr>
          <w:lang w:val="en-GB"/>
        </w:rPr>
        <w:t>The submission claimed</w:t>
      </w:r>
      <w:r w:rsidR="00BB7EC3" w:rsidRPr="0034585B">
        <w:rPr>
          <w:lang w:val="en-GB"/>
        </w:rPr>
        <w:t xml:space="preserve"> </w:t>
      </w:r>
      <w:r w:rsidR="00EF70C8" w:rsidRPr="0034585B">
        <w:rPr>
          <w:lang w:val="en-GB"/>
        </w:rPr>
        <w:t xml:space="preserve">that </w:t>
      </w:r>
      <w:r w:rsidR="00827291" w:rsidRPr="0034585B">
        <w:rPr>
          <w:lang w:val="en-GB"/>
        </w:rPr>
        <w:t>Fluarix Tetra is non-inferior to Vaxigrip Tetra in terms of effectiveness and safety in the prevention of seasonal influenza disease cau</w:t>
      </w:r>
      <w:r w:rsidR="00EF70C8" w:rsidRPr="0034585B">
        <w:rPr>
          <w:lang w:val="en-GB"/>
        </w:rPr>
        <w:t>sed by the influenza virus type</w:t>
      </w:r>
      <w:r w:rsidR="00827291" w:rsidRPr="0034585B">
        <w:rPr>
          <w:lang w:val="en-GB"/>
        </w:rPr>
        <w:t xml:space="preserve"> A and B contained in the vaccine. </w:t>
      </w:r>
    </w:p>
    <w:p w:rsidR="00F57A6D" w:rsidRPr="003F0FBC" w:rsidRDefault="003F1899" w:rsidP="004A083C">
      <w:pPr>
        <w:pStyle w:val="3Bodytext"/>
      </w:pPr>
      <w:r w:rsidRPr="007343ED">
        <w:rPr>
          <w:rFonts w:eastAsia="Times New Roman"/>
          <w:lang w:val="en-GB"/>
        </w:rPr>
        <w:t>Although based on an indirect comparison,</w:t>
      </w:r>
      <w:r>
        <w:rPr>
          <w:rFonts w:eastAsia="Times New Roman"/>
          <w:i/>
          <w:iCs/>
          <w:lang w:val="en-GB"/>
        </w:rPr>
        <w:t xml:space="preserve"> </w:t>
      </w:r>
      <w:r w:rsidR="0034585B">
        <w:rPr>
          <w:rFonts w:eastAsia="Times New Roman"/>
          <w:lang w:val="en-GB"/>
        </w:rPr>
        <w:t>t</w:t>
      </w:r>
      <w:r w:rsidR="00EF70C8" w:rsidRPr="003F0FBC">
        <w:rPr>
          <w:rFonts w:eastAsia="Times New Roman"/>
          <w:lang w:val="en-GB"/>
        </w:rPr>
        <w:t xml:space="preserve">he non-inferiority claim between </w:t>
      </w:r>
      <w:r w:rsidR="00EF70C8" w:rsidRPr="003F0FBC">
        <w:rPr>
          <w:rFonts w:eastAsia="Times New Roman"/>
          <w:iCs/>
          <w:lang w:val="en-GB"/>
        </w:rPr>
        <w:t>Fluarix Tetra</w:t>
      </w:r>
      <w:r w:rsidR="00EF70C8" w:rsidRPr="003F0FBC">
        <w:rPr>
          <w:rFonts w:eastAsia="Times New Roman"/>
          <w:lang w:val="en-GB"/>
        </w:rPr>
        <w:t xml:space="preserve"> </w:t>
      </w:r>
      <w:r w:rsidR="003F0FBC" w:rsidRPr="003F0FBC">
        <w:rPr>
          <w:rFonts w:eastAsia="Times New Roman"/>
          <w:lang w:val="en-GB"/>
        </w:rPr>
        <w:t xml:space="preserve">and </w:t>
      </w:r>
      <w:r w:rsidR="003F0FBC" w:rsidRPr="003F0FBC">
        <w:rPr>
          <w:lang w:val="en-GB"/>
        </w:rPr>
        <w:t>other QIVs (</w:t>
      </w:r>
      <w:r w:rsidR="003F0FBC" w:rsidRPr="003F0FBC">
        <w:rPr>
          <w:rFonts w:eastAsia="Times New Roman"/>
          <w:iCs/>
          <w:lang w:val="en-GB"/>
        </w:rPr>
        <w:t xml:space="preserve">Vaxigrip Tetra, </w:t>
      </w:r>
      <w:r w:rsidR="003F0FBC" w:rsidRPr="003F0FBC">
        <w:t>FluQuadri</w:t>
      </w:r>
      <w:r w:rsidR="003F0FBC" w:rsidRPr="003F0FBC">
        <w:rPr>
          <w:rFonts w:eastAsia="Times New Roman"/>
          <w:iCs/>
          <w:lang w:val="en-GB"/>
        </w:rPr>
        <w:t>)</w:t>
      </w:r>
      <w:r w:rsidR="003F0FBC" w:rsidRPr="003F0FBC">
        <w:rPr>
          <w:lang w:val="en-GB"/>
        </w:rPr>
        <w:t xml:space="preserve"> listed on the NIP in the target population </w:t>
      </w:r>
      <w:r w:rsidR="00EF70C8" w:rsidRPr="003F0FBC">
        <w:rPr>
          <w:lang w:val="en-GB"/>
        </w:rPr>
        <w:t>was supported by ATAGI</w:t>
      </w:r>
      <w:r w:rsidR="0034585B">
        <w:rPr>
          <w:lang w:val="en-GB"/>
        </w:rPr>
        <w:t xml:space="preserve"> </w:t>
      </w:r>
      <w:r w:rsidR="0034585B" w:rsidRPr="00FA1066">
        <w:rPr>
          <w:rFonts w:cs="Calibri"/>
        </w:rPr>
        <w:t>(</w:t>
      </w:r>
      <w:r w:rsidR="0061748A" w:rsidRPr="00FA1066">
        <w:rPr>
          <w:rFonts w:cs="Calibri"/>
        </w:rPr>
        <w:t xml:space="preserve">ATAGI </w:t>
      </w:r>
      <w:r w:rsidR="0034585B" w:rsidRPr="00FA1066">
        <w:rPr>
          <w:rFonts w:cs="Calibri"/>
        </w:rPr>
        <w:t>March 2020 pre-submission advice)</w:t>
      </w:r>
      <w:r w:rsidR="0034585B">
        <w:rPr>
          <w:lang w:val="en-GB"/>
        </w:rPr>
        <w:t>.</w:t>
      </w:r>
    </w:p>
    <w:p w:rsidR="005A3173" w:rsidRDefault="005A3173" w:rsidP="007C7625">
      <w:pPr>
        <w:pStyle w:val="4-SubsectionHeading"/>
        <w:rPr>
          <w:lang w:eastAsia="en-US"/>
        </w:rPr>
      </w:pPr>
      <w:r w:rsidRPr="003C2FB5">
        <w:rPr>
          <w:lang w:eastAsia="en-US"/>
        </w:rPr>
        <w:t>Economic analysis</w:t>
      </w:r>
      <w:r w:rsidR="009803E4">
        <w:rPr>
          <w:lang w:eastAsia="en-US"/>
        </w:rPr>
        <w:t xml:space="preserve"> </w:t>
      </w:r>
    </w:p>
    <w:p w:rsidR="00977BF3" w:rsidRPr="004027BA" w:rsidRDefault="002D34FB" w:rsidP="004A083C">
      <w:pPr>
        <w:pStyle w:val="3Bodytext"/>
      </w:pPr>
      <w:r w:rsidRPr="004027BA">
        <w:t xml:space="preserve">The minor </w:t>
      </w:r>
      <w:r w:rsidR="009803E4" w:rsidRPr="004027BA">
        <w:t xml:space="preserve">submission presented a cost-minimisation analysis of </w:t>
      </w:r>
      <w:r w:rsidRPr="004027BA">
        <w:t xml:space="preserve">Fluarix Tetra </w:t>
      </w:r>
      <w:r w:rsidR="008A59D9" w:rsidRPr="004027BA">
        <w:t>compared with</w:t>
      </w:r>
      <w:r w:rsidRPr="004027BA">
        <w:t xml:space="preserve"> Vaxigrip Tetra</w:t>
      </w:r>
      <w:r w:rsidR="008576EC" w:rsidRPr="004027BA">
        <w:t>.</w:t>
      </w:r>
      <w:r w:rsidR="008A59D9" w:rsidRPr="004027BA">
        <w:t xml:space="preserve"> </w:t>
      </w:r>
      <w:r w:rsidR="00CC3B97" w:rsidRPr="004027BA">
        <w:t xml:space="preserve">The equi-effective doses </w:t>
      </w:r>
      <w:r w:rsidR="008A59D9" w:rsidRPr="004027BA">
        <w:t>were</w:t>
      </w:r>
      <w:r w:rsidR="00CC3B97" w:rsidRPr="004027BA">
        <w:t xml:space="preserve"> estimated as </w:t>
      </w:r>
      <w:r w:rsidRPr="004027BA">
        <w:t xml:space="preserve">a single </w:t>
      </w:r>
      <w:r w:rsidR="00365D9C" w:rsidRPr="004027BA">
        <w:t>0.5</w:t>
      </w:r>
      <w:r w:rsidR="005D0DB7" w:rsidRPr="004027BA">
        <w:t xml:space="preserve"> </w:t>
      </w:r>
      <w:r w:rsidR="00365D9C" w:rsidRPr="004027BA">
        <w:t xml:space="preserve">mL </w:t>
      </w:r>
      <w:r w:rsidRPr="004027BA">
        <w:t xml:space="preserve">dose of Fluarix Tetra </w:t>
      </w:r>
      <w:r w:rsidR="00CC3B97" w:rsidRPr="004027BA">
        <w:t xml:space="preserve">and </w:t>
      </w:r>
      <w:r w:rsidRPr="004027BA">
        <w:t xml:space="preserve">a single </w:t>
      </w:r>
      <w:r w:rsidR="00365D9C" w:rsidRPr="004027BA">
        <w:t xml:space="preserve">0.5 mL </w:t>
      </w:r>
      <w:r w:rsidRPr="004027BA">
        <w:t>dose of Vaxigrip Tetra</w:t>
      </w:r>
      <w:r w:rsidR="00365D9C" w:rsidRPr="004027BA">
        <w:t xml:space="preserve"> for children aged 6</w:t>
      </w:r>
      <w:r w:rsidR="004027BA" w:rsidRPr="004027BA">
        <w:t xml:space="preserve"> </w:t>
      </w:r>
      <w:r w:rsidR="00AF0738">
        <w:t xml:space="preserve">months </w:t>
      </w:r>
      <w:r w:rsidR="004027BA" w:rsidRPr="004027BA">
        <w:t xml:space="preserve">to </w:t>
      </w:r>
      <w:r w:rsidR="00BB3DE8">
        <w:t>&lt; 5 years</w:t>
      </w:r>
      <w:r w:rsidR="00AF0738">
        <w:t>.</w:t>
      </w:r>
      <w:r w:rsidRPr="004027BA">
        <w:t xml:space="preserve"> </w:t>
      </w:r>
    </w:p>
    <w:p w:rsidR="003677E7" w:rsidRPr="004027BA" w:rsidRDefault="00365D9C" w:rsidP="004A083C">
      <w:pPr>
        <w:pStyle w:val="3Bodytext"/>
      </w:pPr>
      <w:r w:rsidRPr="004027BA">
        <w:t>Given that the submission assumed no difference</w:t>
      </w:r>
      <w:r w:rsidR="003677E7" w:rsidRPr="004027BA">
        <w:t xml:space="preserve"> in costs of admini</w:t>
      </w:r>
      <w:r w:rsidRPr="004027BA">
        <w:t xml:space="preserve">stration, monitoring or management of adverse events, the </w:t>
      </w:r>
      <w:r w:rsidR="003677E7" w:rsidRPr="004027BA">
        <w:t xml:space="preserve">cost-minimisation analysis </w:t>
      </w:r>
      <w:r w:rsidRPr="004027BA">
        <w:t xml:space="preserve">was </w:t>
      </w:r>
      <w:r w:rsidR="003677E7" w:rsidRPr="004027BA">
        <w:t>based on equi-effective doses</w:t>
      </w:r>
      <w:r w:rsidRPr="004027BA">
        <w:t xml:space="preserve"> at parity</w:t>
      </w:r>
      <w:r w:rsidR="00BB3DE8">
        <w:t xml:space="preserve"> to the nationally negotiated price</w:t>
      </w:r>
      <w:r w:rsidRPr="004027BA">
        <w:t xml:space="preserve"> ($</w:t>
      </w:r>
      <w:r w:rsidR="00894F41">
        <w:rPr>
          <w:noProof/>
          <w:color w:val="000000"/>
          <w:highlight w:val="black"/>
        </w:rPr>
        <w:t>''''''''</w:t>
      </w:r>
      <w:r w:rsidRPr="004027BA">
        <w:t>)</w:t>
      </w:r>
      <w:r w:rsidR="003677E7" w:rsidRPr="004027BA">
        <w:t>.</w:t>
      </w:r>
    </w:p>
    <w:p w:rsidR="005A3173" w:rsidRPr="008306F3" w:rsidRDefault="005A3173" w:rsidP="007C7625">
      <w:pPr>
        <w:pStyle w:val="4-SubsectionHeading"/>
        <w:rPr>
          <w:lang w:eastAsia="en-US"/>
        </w:rPr>
      </w:pPr>
      <w:r w:rsidRPr="003C2FB5">
        <w:rPr>
          <w:lang w:eastAsia="en-US"/>
        </w:rPr>
        <w:t>Estimated PBS usage &amp; financial implications</w:t>
      </w:r>
    </w:p>
    <w:p w:rsidR="007F221F" w:rsidRPr="007343ED" w:rsidRDefault="007F221F" w:rsidP="004A083C">
      <w:pPr>
        <w:pStyle w:val="3Bodytext"/>
      </w:pPr>
      <w:r w:rsidRPr="007343ED">
        <w:t xml:space="preserve">The submission did not present utilisation or financial estimates associated with the extension of </w:t>
      </w:r>
      <w:r w:rsidR="004027BA">
        <w:t xml:space="preserve">the </w:t>
      </w:r>
      <w:r w:rsidRPr="007343ED">
        <w:t>NIP listing of Fluarix Tetra</w:t>
      </w:r>
      <w:r w:rsidR="00120904" w:rsidRPr="007343ED">
        <w:t xml:space="preserve"> to include healthy children aged 6 months to &lt;5</w:t>
      </w:r>
      <w:r w:rsidRPr="007343ED">
        <w:t xml:space="preserve"> years who were eligible for NIP-funded influenza vaccine at the time of the submission. </w:t>
      </w:r>
    </w:p>
    <w:p w:rsidR="00F66B15" w:rsidRDefault="007F221F" w:rsidP="004A083C">
      <w:pPr>
        <w:pStyle w:val="3Bodytext"/>
      </w:pPr>
      <w:r>
        <w:t>The submission stated that a</w:t>
      </w:r>
      <w:r w:rsidR="007504F8" w:rsidRPr="007504F8">
        <w:t xml:space="preserve">s the proposed price for Fluarix Tetra is the same as the price for Vaxigrip Tetra and there is no change to the eligible population of </w:t>
      </w:r>
      <w:r w:rsidR="00F66B15" w:rsidRPr="009553A0">
        <w:t>children aged 6 months to &lt;5 years</w:t>
      </w:r>
      <w:r w:rsidR="007504F8" w:rsidRPr="007504F8">
        <w:t xml:space="preserve">, </w:t>
      </w:r>
      <w:r w:rsidR="00AE4682">
        <w:t xml:space="preserve">therefore, </w:t>
      </w:r>
      <w:r w:rsidR="00EF1615">
        <w:t xml:space="preserve">there </w:t>
      </w:r>
      <w:r w:rsidR="00F66B15">
        <w:t xml:space="preserve">is likely to be </w:t>
      </w:r>
      <w:r w:rsidR="00F66B15" w:rsidRPr="009553A0">
        <w:t xml:space="preserve">no </w:t>
      </w:r>
      <w:r w:rsidR="00F66B15">
        <w:t>financial implications</w:t>
      </w:r>
      <w:r w:rsidR="00EF1615">
        <w:t xml:space="preserve"> associated with the proposed change to the NIP listing</w:t>
      </w:r>
      <w:r w:rsidR="00F66B15" w:rsidRPr="009553A0">
        <w:t>.</w:t>
      </w:r>
      <w:r w:rsidR="00F66B15">
        <w:t xml:space="preserve"> </w:t>
      </w:r>
    </w:p>
    <w:p w:rsidR="00DC1F1F" w:rsidRPr="00DC1F1F" w:rsidRDefault="00DC1F1F" w:rsidP="004A083C">
      <w:pPr>
        <w:pStyle w:val="Bodytextitalics"/>
        <w:ind w:left="709"/>
      </w:pPr>
      <w:r w:rsidRPr="00DC1F1F">
        <w:t>For more detail on PBAC’s view, see section 6 PBAC outcome.</w:t>
      </w:r>
    </w:p>
    <w:p w:rsidR="00DC1F1F" w:rsidRPr="00C924E5" w:rsidRDefault="00DC1F1F" w:rsidP="004A083C">
      <w:pPr>
        <w:pStyle w:val="2-SectionHeading"/>
      </w:pPr>
      <w:r w:rsidRPr="00C924E5">
        <w:t>PBAC Outcome</w:t>
      </w:r>
    </w:p>
    <w:p w:rsidR="00A85675" w:rsidRPr="00A85675" w:rsidRDefault="00AF0911" w:rsidP="004A083C">
      <w:pPr>
        <w:pStyle w:val="3Bodytext"/>
        <w:rPr>
          <w:bCs/>
          <w:snapToGrid w:val="0"/>
        </w:rPr>
      </w:pPr>
      <w:r w:rsidRPr="00504B9D">
        <w:t xml:space="preserve">The </w:t>
      </w:r>
      <w:r w:rsidR="00DB20B1">
        <w:t xml:space="preserve">PBAC recommended </w:t>
      </w:r>
      <w:r w:rsidR="005369BE">
        <w:t xml:space="preserve">an extension to the listing </w:t>
      </w:r>
      <w:r>
        <w:t xml:space="preserve">of </w:t>
      </w:r>
      <w:r w:rsidR="005369BE" w:rsidRPr="00504B9D">
        <w:rPr>
          <w:lang w:bidi="en-US"/>
        </w:rPr>
        <w:t>inactivated</w:t>
      </w:r>
      <w:r w:rsidR="005369BE">
        <w:rPr>
          <w:lang w:bidi="en-US"/>
        </w:rPr>
        <w:t xml:space="preserve"> </w:t>
      </w:r>
      <w:r w:rsidRPr="00504B9D">
        <w:rPr>
          <w:lang w:bidi="en-US"/>
        </w:rPr>
        <w:t>quadrivalent influenza vaccine (QIV)</w:t>
      </w:r>
      <w:r w:rsidR="00973025">
        <w:rPr>
          <w:lang w:bidi="en-US"/>
        </w:rPr>
        <w:t>,</w:t>
      </w:r>
      <w:r w:rsidRPr="00504B9D">
        <w:rPr>
          <w:lang w:bidi="en-US"/>
        </w:rPr>
        <w:t xml:space="preserve"> </w:t>
      </w:r>
      <w:r w:rsidRPr="00504B9D">
        <w:t>Fluarix Tetra</w:t>
      </w:r>
      <w:r w:rsidR="00973025">
        <w:t>,</w:t>
      </w:r>
      <w:r w:rsidRPr="00504B9D">
        <w:t xml:space="preserve"> </w:t>
      </w:r>
      <w:r>
        <w:t xml:space="preserve">on Schedule 1 (Designated vaccines and circumstances in which vaccines may be provided) </w:t>
      </w:r>
      <w:r>
        <w:rPr>
          <w:lang w:bidi="en-US"/>
        </w:rPr>
        <w:t xml:space="preserve">of the </w:t>
      </w:r>
      <w:r w:rsidRPr="007F2BDD">
        <w:rPr>
          <w:bCs/>
          <w:i/>
        </w:rPr>
        <w:t>National Health (Immunisation Program – Designated Vaccines) Determination 2014 (No.1)</w:t>
      </w:r>
      <w:r w:rsidRPr="007F2BDD">
        <w:rPr>
          <w:bCs/>
        </w:rPr>
        <w:t xml:space="preserve"> (the Determination)</w:t>
      </w:r>
      <w:r w:rsidR="0017277D">
        <w:rPr>
          <w:bCs/>
        </w:rPr>
        <w:t>,</w:t>
      </w:r>
      <w:r w:rsidR="00DB20B1">
        <w:rPr>
          <w:bCs/>
        </w:rPr>
        <w:t xml:space="preserve"> </w:t>
      </w:r>
      <w:r w:rsidR="00DB20B1" w:rsidRPr="007F2BDD">
        <w:t xml:space="preserve">for the prevention of </w:t>
      </w:r>
      <w:r w:rsidR="00F43CB4">
        <w:t xml:space="preserve">seasonal </w:t>
      </w:r>
      <w:r w:rsidR="00DB20B1" w:rsidRPr="007F2BDD">
        <w:t xml:space="preserve">influenza, to include healthy children aged 6 months to &lt;5 years who are currently eligible for influenza vaccination </w:t>
      </w:r>
      <w:r w:rsidR="00372062">
        <w:t>under</w:t>
      </w:r>
      <w:r w:rsidR="00DB20B1">
        <w:t xml:space="preserve"> </w:t>
      </w:r>
      <w:r w:rsidR="00DB20B1" w:rsidRPr="007F2BDD">
        <w:t>the NIP</w:t>
      </w:r>
      <w:r w:rsidR="00DB20B1">
        <w:t xml:space="preserve">. </w:t>
      </w:r>
      <w:r w:rsidR="00DB20B1" w:rsidRPr="0026039D">
        <w:rPr>
          <w:bCs/>
          <w:snapToGrid w:val="0"/>
        </w:rPr>
        <w:t xml:space="preserve">The PBAC’s recommendation for listing was based on, among other matters, its assessment, that the cost-effectiveness of </w:t>
      </w:r>
      <w:r w:rsidR="00DB20B1" w:rsidRPr="00504B9D">
        <w:t xml:space="preserve">Fluarix Tetra </w:t>
      </w:r>
      <w:r w:rsidR="00DB20B1" w:rsidRPr="0026039D">
        <w:rPr>
          <w:bCs/>
          <w:snapToGrid w:val="0"/>
        </w:rPr>
        <w:t>would be acceptable if it were cost-minimised against</w:t>
      </w:r>
      <w:r w:rsidR="005369BE">
        <w:rPr>
          <w:bCs/>
          <w:snapToGrid w:val="0"/>
        </w:rPr>
        <w:t xml:space="preserve"> the nominated comparators (</w:t>
      </w:r>
      <w:r w:rsidR="005369BE">
        <w:rPr>
          <w:lang w:bidi="en-US"/>
        </w:rPr>
        <w:t>Vaxigrip Tetra and FluQuadri)</w:t>
      </w:r>
      <w:r w:rsidR="00DB20B1">
        <w:rPr>
          <w:lang w:bidi="en-US"/>
        </w:rPr>
        <w:t xml:space="preserve">. </w:t>
      </w:r>
    </w:p>
    <w:p w:rsidR="00434583" w:rsidRPr="00423639" w:rsidRDefault="00A7551F" w:rsidP="004A083C">
      <w:pPr>
        <w:pStyle w:val="3Bodytext"/>
        <w:rPr>
          <w:szCs w:val="24"/>
        </w:rPr>
      </w:pPr>
      <w:r w:rsidRPr="00083E65">
        <w:t xml:space="preserve">The PBAC </w:t>
      </w:r>
      <w:r w:rsidR="00434583">
        <w:t xml:space="preserve">considered </w:t>
      </w:r>
      <w:r w:rsidR="00E849DC">
        <w:t xml:space="preserve">that </w:t>
      </w:r>
      <w:r w:rsidR="00E849DC">
        <w:rPr>
          <w:lang w:bidi="en-US"/>
        </w:rPr>
        <w:t>Vaxigrip Tetra and FluQuadri</w:t>
      </w:r>
      <w:r w:rsidR="00E849DC" w:rsidRPr="00083E65">
        <w:t xml:space="preserve"> were appropriate comparators</w:t>
      </w:r>
      <w:r w:rsidR="00E849DC">
        <w:t xml:space="preserve"> given that these two QIVs </w:t>
      </w:r>
      <w:r w:rsidR="000829DD">
        <w:rPr>
          <w:lang w:bidi="en-US"/>
        </w:rPr>
        <w:t xml:space="preserve">are currently </w:t>
      </w:r>
      <w:r w:rsidR="005B7F18">
        <w:rPr>
          <w:lang w:bidi="en-US"/>
        </w:rPr>
        <w:t xml:space="preserve">listed on the NIP for </w:t>
      </w:r>
      <w:r w:rsidR="005B7F18" w:rsidRPr="007F2BDD">
        <w:t xml:space="preserve">all </w:t>
      </w:r>
      <w:r w:rsidR="005B7F18" w:rsidRPr="00FE39B9">
        <w:t>children</w:t>
      </w:r>
      <w:r w:rsidR="005B7F18" w:rsidRPr="007F2BDD">
        <w:t xml:space="preserve"> aged 6 months to &lt;5 years</w:t>
      </w:r>
      <w:r w:rsidR="00434583">
        <w:t xml:space="preserve"> and </w:t>
      </w:r>
      <w:r w:rsidR="00434583" w:rsidRPr="00A04714">
        <w:rPr>
          <w:szCs w:val="24"/>
        </w:rPr>
        <w:t xml:space="preserve">the PBAC has previously accepted </w:t>
      </w:r>
      <w:r w:rsidR="00434583">
        <w:rPr>
          <w:szCs w:val="24"/>
        </w:rPr>
        <w:t xml:space="preserve">that </w:t>
      </w:r>
      <w:r w:rsidR="00434583" w:rsidRPr="00A04714">
        <w:t xml:space="preserve">FluQuadri </w:t>
      </w:r>
      <w:r w:rsidR="00434583">
        <w:t xml:space="preserve">is non-inferior to </w:t>
      </w:r>
      <w:r w:rsidR="00434583" w:rsidRPr="00A04714">
        <w:t xml:space="preserve">Vaxigrip Tetra in terms of comparative effectiveness and safety </w:t>
      </w:r>
      <w:r w:rsidR="00434583">
        <w:t xml:space="preserve">at its </w:t>
      </w:r>
      <w:r w:rsidR="00434583" w:rsidRPr="00A04714">
        <w:t>November 2019</w:t>
      </w:r>
      <w:r w:rsidR="00434583">
        <w:t xml:space="preserve"> meeting</w:t>
      </w:r>
      <w:r w:rsidR="00434583" w:rsidRPr="00A04714">
        <w:t xml:space="preserve">. </w:t>
      </w:r>
    </w:p>
    <w:p w:rsidR="00A87D93" w:rsidRPr="008E568A" w:rsidRDefault="00FA6614" w:rsidP="004A083C">
      <w:pPr>
        <w:pStyle w:val="3Bodytext"/>
        <w:rPr>
          <w:rFonts w:ascii="Calibri" w:eastAsia="Times New Roman" w:hAnsi="Calibri" w:cs="Times New Roman"/>
          <w:szCs w:val="24"/>
        </w:rPr>
      </w:pPr>
      <w:r w:rsidRPr="004505ED">
        <w:t>The PBAC noted</w:t>
      </w:r>
      <w:r w:rsidR="00D75336" w:rsidRPr="004505ED">
        <w:t xml:space="preserve"> </w:t>
      </w:r>
      <w:r w:rsidRPr="004505ED">
        <w:t>the minor submission</w:t>
      </w:r>
      <w:r w:rsidR="00A01C27" w:rsidRPr="004505ED">
        <w:t xml:space="preserve"> </w:t>
      </w:r>
      <w:r w:rsidR="00D75336" w:rsidRPr="004505ED">
        <w:t xml:space="preserve">presented </w:t>
      </w:r>
      <w:r w:rsidR="00A01C27" w:rsidRPr="004505ED">
        <w:t xml:space="preserve">an indirect comparison of clinical </w:t>
      </w:r>
      <w:r w:rsidR="00A01C27" w:rsidRPr="004505ED">
        <w:rPr>
          <w:rFonts w:cstheme="minorHAnsi"/>
        </w:rPr>
        <w:t>trials</w:t>
      </w:r>
      <w:r w:rsidR="00A01C27" w:rsidRPr="004505ED">
        <w:t xml:space="preserve"> </w:t>
      </w:r>
      <w:r w:rsidR="00001A49">
        <w:t xml:space="preserve">for Fluarix Tetra (Study D-QIV-004) and Vaxigrip Tetra </w:t>
      </w:r>
      <w:r w:rsidR="00A01C27" w:rsidRPr="004505ED">
        <w:t xml:space="preserve">(GQM05) </w:t>
      </w:r>
      <w:r w:rsidR="00D75336" w:rsidRPr="004505ED">
        <w:t xml:space="preserve">in </w:t>
      </w:r>
      <w:r w:rsidR="00B002B3" w:rsidRPr="004505ED">
        <w:t xml:space="preserve">the 6 to 35 month age subgroup </w:t>
      </w:r>
      <w:r w:rsidR="00A01C27" w:rsidRPr="004505ED">
        <w:t xml:space="preserve">to support the claim that Fluarix Tetra is non-inferior to Vaxigrip Tetra in the prevention of seasonal influenza </w:t>
      </w:r>
      <w:r w:rsidR="00FC108A" w:rsidRPr="004505ED">
        <w:t>for</w:t>
      </w:r>
      <w:r w:rsidR="00A01C27" w:rsidRPr="004505ED">
        <w:t xml:space="preserve"> heal</w:t>
      </w:r>
      <w:r w:rsidR="000A01C9">
        <w:t>thy children aged 6 months to &lt;</w:t>
      </w:r>
      <w:r w:rsidR="00A01C27" w:rsidRPr="004505ED">
        <w:t>5</w:t>
      </w:r>
      <w:r w:rsidR="002A2C65">
        <w:t xml:space="preserve"> </w:t>
      </w:r>
      <w:r w:rsidR="00A01C27" w:rsidRPr="004505ED">
        <w:t>years</w:t>
      </w:r>
      <w:r w:rsidR="00702D07" w:rsidRPr="004505ED">
        <w:t xml:space="preserve">. </w:t>
      </w:r>
      <w:r w:rsidR="004505ED" w:rsidRPr="004505ED">
        <w:t xml:space="preserve">The PBAC </w:t>
      </w:r>
      <w:r w:rsidR="001A1A41">
        <w:t xml:space="preserve">noted </w:t>
      </w:r>
      <w:r w:rsidR="004505ED" w:rsidRPr="004505ED">
        <w:t>that</w:t>
      </w:r>
      <w:r w:rsidR="00432FAA">
        <w:t xml:space="preserve">, </w:t>
      </w:r>
      <w:r w:rsidR="00432FAA" w:rsidRPr="004505ED">
        <w:t>in the absence of direct clinical trial evidence</w:t>
      </w:r>
      <w:r w:rsidR="00432FAA">
        <w:t xml:space="preserve">, </w:t>
      </w:r>
      <w:r w:rsidR="004505ED" w:rsidRPr="004505ED">
        <w:t xml:space="preserve">ATAGI considered the </w:t>
      </w:r>
      <w:r w:rsidR="004A06B8">
        <w:t xml:space="preserve">vaccine </w:t>
      </w:r>
      <w:r w:rsidR="004505ED" w:rsidRPr="004505ED">
        <w:t xml:space="preserve">efficacy </w:t>
      </w:r>
      <w:r w:rsidR="003A2C2B">
        <w:t xml:space="preserve">(VE) </w:t>
      </w:r>
      <w:r w:rsidR="004505ED" w:rsidRPr="004505ED">
        <w:t xml:space="preserve">of Fluarix Tetra </w:t>
      </w:r>
      <w:r w:rsidR="00432FAA">
        <w:t>wa</w:t>
      </w:r>
      <w:r w:rsidR="00182226">
        <w:t xml:space="preserve">s comparable </w:t>
      </w:r>
      <w:r w:rsidR="004505ED" w:rsidRPr="004505ED">
        <w:t xml:space="preserve">to that of Vaxigrip Tetra </w:t>
      </w:r>
      <w:r w:rsidR="00944F72">
        <w:t xml:space="preserve">or </w:t>
      </w:r>
      <w:r w:rsidR="004505ED" w:rsidRPr="004505ED">
        <w:t>FluQuadri in children aged 6 to 35 months</w:t>
      </w:r>
      <w:r w:rsidR="00192629">
        <w:t xml:space="preserve"> (see paragraph 5.15)</w:t>
      </w:r>
      <w:r w:rsidR="00AF0738">
        <w:t>,</w:t>
      </w:r>
      <w:r w:rsidR="00A83004">
        <w:t xml:space="preserve"> and </w:t>
      </w:r>
      <w:r w:rsidR="00A83004" w:rsidRPr="008E568A">
        <w:t>ATAGI considered it was reasonable to assume the efficacy of Fluarix Tetra is similar in children aged 3 to 4 years as in children aged 6 to 35 months (</w:t>
      </w:r>
      <w:r w:rsidR="00045F42">
        <w:t xml:space="preserve">see </w:t>
      </w:r>
      <w:r w:rsidR="00A83004" w:rsidRPr="008E568A">
        <w:t xml:space="preserve">paragraph 5.3). </w:t>
      </w:r>
      <w:r w:rsidR="00C75C89">
        <w:t xml:space="preserve">Overall, the PBAC considered it was reasonable to conclude that the effectiveness of Fluarix Tetra would be similar to that of </w:t>
      </w:r>
      <w:r w:rsidR="00C75C89" w:rsidRPr="00C75C89">
        <w:t>Vaxigrip Tetra or FluQuadri</w:t>
      </w:r>
      <w:r w:rsidR="00D8608C">
        <w:t xml:space="preserve"> </w:t>
      </w:r>
      <w:r w:rsidR="006C70AC">
        <w:t xml:space="preserve">for </w:t>
      </w:r>
      <w:r w:rsidR="006C70AC" w:rsidRPr="004505ED">
        <w:t xml:space="preserve">the prevention of seasonal influenza </w:t>
      </w:r>
      <w:r w:rsidR="00D8608C">
        <w:t>in</w:t>
      </w:r>
      <w:r w:rsidR="00C75C89" w:rsidRPr="00C75C89">
        <w:t xml:space="preserve"> all children aged 6 months to &lt;5 years</w:t>
      </w:r>
      <w:r w:rsidR="00045F42">
        <w:t>.</w:t>
      </w:r>
    </w:p>
    <w:p w:rsidR="00372062" w:rsidRPr="00257E64" w:rsidRDefault="00372062" w:rsidP="004A083C">
      <w:pPr>
        <w:pStyle w:val="3Bodytext"/>
      </w:pPr>
      <w:r w:rsidRPr="00FE39B9">
        <w:t>T</w:t>
      </w:r>
      <w:r w:rsidR="0055465C" w:rsidRPr="00FE39B9">
        <w:t>he</w:t>
      </w:r>
      <w:r w:rsidR="0055465C">
        <w:t xml:space="preserve"> PBAC noted</w:t>
      </w:r>
      <w:r w:rsidR="006931F1">
        <w:t xml:space="preserve"> </w:t>
      </w:r>
      <w:r w:rsidR="008607BE">
        <w:t xml:space="preserve">that </w:t>
      </w:r>
      <w:r w:rsidR="00AC5479">
        <w:t xml:space="preserve">the safety outcomes across the clinical trials were provided in the submission without an analysis </w:t>
      </w:r>
      <w:r w:rsidR="00A23F07">
        <w:t xml:space="preserve">to demonstrate the comparative safety of </w:t>
      </w:r>
      <w:r w:rsidR="006931F1">
        <w:t>F</w:t>
      </w:r>
      <w:r w:rsidR="00A23F07">
        <w:t xml:space="preserve">luarix Tetra to Vaxigrip Tetra </w:t>
      </w:r>
      <w:r w:rsidR="006931F1">
        <w:t xml:space="preserve">or </w:t>
      </w:r>
      <w:r w:rsidR="008607BE">
        <w:t>FluQuadri</w:t>
      </w:r>
      <w:r w:rsidR="006931F1">
        <w:t xml:space="preserve"> </w:t>
      </w:r>
      <w:r w:rsidR="00A23F07">
        <w:t xml:space="preserve">in </w:t>
      </w:r>
      <w:r w:rsidR="00A23F07" w:rsidRPr="00C75C89">
        <w:t>children aged 6 months to &lt;5 years</w:t>
      </w:r>
      <w:r w:rsidR="00A23F07">
        <w:t xml:space="preserve"> </w:t>
      </w:r>
      <w:r w:rsidR="006931F1">
        <w:t xml:space="preserve">but </w:t>
      </w:r>
      <w:r w:rsidR="006931F1" w:rsidRPr="0026039D">
        <w:rPr>
          <w:bCs/>
          <w:snapToGrid w:val="0"/>
        </w:rPr>
        <w:t xml:space="preserve">the PBAC considered </w:t>
      </w:r>
      <w:r w:rsidR="006931F1">
        <w:rPr>
          <w:bCs/>
          <w:snapToGrid w:val="0"/>
        </w:rPr>
        <w:t xml:space="preserve">that </w:t>
      </w:r>
      <w:r w:rsidR="006931F1" w:rsidRPr="0026039D">
        <w:rPr>
          <w:bCs/>
          <w:snapToGrid w:val="0"/>
        </w:rPr>
        <w:t xml:space="preserve">there are likely no substantive differences in safety between </w:t>
      </w:r>
      <w:r w:rsidR="006931F1">
        <w:rPr>
          <w:bCs/>
          <w:snapToGrid w:val="0"/>
        </w:rPr>
        <w:t xml:space="preserve">Fluarix Tetra </w:t>
      </w:r>
      <w:r w:rsidR="006931F1" w:rsidRPr="0026039D">
        <w:rPr>
          <w:bCs/>
          <w:snapToGrid w:val="0"/>
        </w:rPr>
        <w:t>and</w:t>
      </w:r>
      <w:r w:rsidR="006931F1">
        <w:rPr>
          <w:bCs/>
          <w:snapToGrid w:val="0"/>
        </w:rPr>
        <w:t xml:space="preserve"> other NIP listed QIVs in this population</w:t>
      </w:r>
      <w:r w:rsidR="006931F1" w:rsidRPr="0026039D">
        <w:rPr>
          <w:bCs/>
          <w:snapToGrid w:val="0"/>
        </w:rPr>
        <w:t xml:space="preserve">. </w:t>
      </w:r>
    </w:p>
    <w:p w:rsidR="0055465C" w:rsidRPr="00FE39B9" w:rsidRDefault="00372062" w:rsidP="004A083C">
      <w:pPr>
        <w:pStyle w:val="3Bodytext"/>
      </w:pPr>
      <w:r w:rsidRPr="00FE39B9">
        <w:t xml:space="preserve">The PBAC accepted the cost-minimisation analysis </w:t>
      </w:r>
      <w:r w:rsidR="00473DF0">
        <w:t xml:space="preserve">based on </w:t>
      </w:r>
      <w:r w:rsidRPr="00FE39B9">
        <w:t>the equi-effective doses</w:t>
      </w:r>
      <w:r w:rsidR="00473DF0">
        <w:t>; being</w:t>
      </w:r>
      <w:r w:rsidR="00387311">
        <w:t xml:space="preserve"> </w:t>
      </w:r>
      <w:r w:rsidR="00257E64" w:rsidRPr="00FE39B9">
        <w:t>a sing</w:t>
      </w:r>
      <w:r w:rsidR="00387311">
        <w:t xml:space="preserve">le 0.5 mL dose </w:t>
      </w:r>
      <w:r w:rsidR="00473DF0">
        <w:t xml:space="preserve">of </w:t>
      </w:r>
      <w:r w:rsidR="00257E64" w:rsidRPr="00FE39B9">
        <w:t>Fluarix T</w:t>
      </w:r>
      <w:r w:rsidR="00473DF0">
        <w:t>etra</w:t>
      </w:r>
      <w:r w:rsidR="008C2B58">
        <w:t xml:space="preserve">, </w:t>
      </w:r>
      <w:r w:rsidR="00473DF0">
        <w:t xml:space="preserve">a single 0.5 mL dose of </w:t>
      </w:r>
      <w:r w:rsidR="00257E64" w:rsidRPr="00FE39B9">
        <w:t>Vaxigrip Tetra</w:t>
      </w:r>
      <w:r w:rsidR="00045F42">
        <w:t>,</w:t>
      </w:r>
      <w:r w:rsidR="00257E64" w:rsidRPr="00FE39B9">
        <w:t xml:space="preserve"> </w:t>
      </w:r>
      <w:r w:rsidR="008C2B58">
        <w:t>and a single 0.5</w:t>
      </w:r>
      <w:r w:rsidR="00BC10FA">
        <w:t xml:space="preserve"> </w:t>
      </w:r>
      <w:r w:rsidR="008C2B58">
        <w:t>mL dose of FluQuadri</w:t>
      </w:r>
      <w:r w:rsidR="00257E64" w:rsidRPr="00FE39B9">
        <w:t>.</w:t>
      </w:r>
    </w:p>
    <w:p w:rsidR="005C5A5E" w:rsidRPr="00B64473" w:rsidRDefault="00FE39B9" w:rsidP="004A083C">
      <w:pPr>
        <w:pStyle w:val="3Bodytext"/>
        <w:rPr>
          <w:rFonts w:cstheme="minorHAnsi"/>
        </w:rPr>
      </w:pPr>
      <w:r w:rsidRPr="00B867D7">
        <w:t xml:space="preserve">The PBAC considered </w:t>
      </w:r>
      <w:r w:rsidR="00B867D7">
        <w:t xml:space="preserve">that </w:t>
      </w:r>
      <w:r w:rsidRPr="00B867D7">
        <w:t xml:space="preserve">Fluarix </w:t>
      </w:r>
      <w:r w:rsidR="00B867D7">
        <w:t xml:space="preserve">Tetra is expected to substitute for </w:t>
      </w:r>
      <w:r w:rsidRPr="00B867D7">
        <w:t xml:space="preserve">other QIVs </w:t>
      </w:r>
      <w:r w:rsidR="00473DF0" w:rsidRPr="00B867D7">
        <w:t xml:space="preserve">listed on </w:t>
      </w:r>
      <w:r w:rsidRPr="00B867D7">
        <w:t xml:space="preserve">the </w:t>
      </w:r>
      <w:r w:rsidR="00912E70">
        <w:t>NIP for this population without altering</w:t>
      </w:r>
      <w:r w:rsidRPr="00B867D7">
        <w:t xml:space="preserve"> </w:t>
      </w:r>
      <w:r w:rsidR="00411FF7">
        <w:t xml:space="preserve">the </w:t>
      </w:r>
      <w:r w:rsidRPr="00B867D7">
        <w:t>market size</w:t>
      </w:r>
      <w:r w:rsidR="00411FF7">
        <w:t xml:space="preserve"> for influenza vaccines</w:t>
      </w:r>
      <w:r w:rsidRPr="00B867D7">
        <w:t xml:space="preserve">. </w:t>
      </w:r>
      <w:r w:rsidR="00B64473">
        <w:t>Therefore, t</w:t>
      </w:r>
      <w:r w:rsidRPr="00B867D7">
        <w:t xml:space="preserve">he PBAC considered </w:t>
      </w:r>
      <w:r w:rsidR="00B64473">
        <w:t xml:space="preserve">there would most likely be </w:t>
      </w:r>
      <w:r w:rsidRPr="00B867D7">
        <w:t xml:space="preserve">no financial impact </w:t>
      </w:r>
      <w:r w:rsidR="00B64473">
        <w:t xml:space="preserve">associated with extending the existing </w:t>
      </w:r>
      <w:r w:rsidR="00B64473" w:rsidRPr="00B867D7">
        <w:t xml:space="preserve">NIP listing of Fluarix </w:t>
      </w:r>
      <w:r w:rsidR="00B64473">
        <w:t>Tetra to include health</w:t>
      </w:r>
      <w:r w:rsidR="00432FAA">
        <w:t>y</w:t>
      </w:r>
      <w:r w:rsidR="00B64473">
        <w:t xml:space="preserve"> </w:t>
      </w:r>
      <w:r w:rsidR="00B64473" w:rsidRPr="00C75C89">
        <w:t>children aged 6 months to &lt;5 years</w:t>
      </w:r>
      <w:r w:rsidR="00B64473">
        <w:t xml:space="preserve">. </w:t>
      </w:r>
    </w:p>
    <w:p w:rsidR="00372062" w:rsidRPr="007F2BDD" w:rsidRDefault="00372062" w:rsidP="004A083C">
      <w:pPr>
        <w:pStyle w:val="3Bodytext"/>
        <w:rPr>
          <w:bCs/>
          <w:i/>
          <w:snapToGrid w:val="0"/>
        </w:rPr>
      </w:pPr>
      <w:r w:rsidRPr="00FE39B9">
        <w:rPr>
          <w:rFonts w:cstheme="minorHAnsi"/>
        </w:rPr>
        <w:t>The</w:t>
      </w:r>
      <w:r w:rsidRPr="007F2BDD">
        <w:rPr>
          <w:snapToGrid w:val="0"/>
        </w:rPr>
        <w:t xml:space="preserve"> PBAC noted that this submission is not eligible for an Independent Review because </w:t>
      </w:r>
      <w:r w:rsidRPr="007F2BDD">
        <w:rPr>
          <w:bCs/>
          <w:snapToGrid w:val="0"/>
        </w:rPr>
        <w:t>it is only relevant to submissions relating to the PBS.</w:t>
      </w:r>
      <w:r w:rsidRPr="007F2BDD">
        <w:rPr>
          <w:snapToGrid w:val="0"/>
        </w:rPr>
        <w:t xml:space="preserve"> </w:t>
      </w:r>
    </w:p>
    <w:p w:rsidR="00DC1F1F" w:rsidRPr="00525B39" w:rsidRDefault="00DC1F1F" w:rsidP="007C7625">
      <w:pPr>
        <w:spacing w:before="240"/>
        <w:rPr>
          <w:rFonts w:asciiTheme="minorHAnsi" w:hAnsiTheme="minorHAnsi"/>
          <w:b/>
          <w:bCs/>
          <w:snapToGrid w:val="0"/>
          <w:lang w:val="en-GB"/>
        </w:rPr>
      </w:pPr>
      <w:r w:rsidRPr="00525B39">
        <w:rPr>
          <w:rFonts w:asciiTheme="minorHAnsi" w:hAnsiTheme="minorHAnsi"/>
          <w:b/>
          <w:bCs/>
          <w:snapToGrid w:val="0"/>
          <w:lang w:val="en-GB"/>
        </w:rPr>
        <w:t>Outcome:</w:t>
      </w:r>
    </w:p>
    <w:p w:rsidR="00DC1F1F" w:rsidRPr="005E167A" w:rsidRDefault="00DC1F1F" w:rsidP="005E167A">
      <w:pPr>
        <w:rPr>
          <w:rFonts w:asciiTheme="minorHAnsi" w:hAnsiTheme="minorHAnsi"/>
          <w:bCs/>
          <w:snapToGrid w:val="0"/>
          <w:lang w:val="en-GB"/>
        </w:rPr>
      </w:pPr>
      <w:r w:rsidRPr="00525B39">
        <w:rPr>
          <w:rFonts w:asciiTheme="minorHAnsi" w:hAnsiTheme="minorHAnsi"/>
          <w:bCs/>
          <w:snapToGrid w:val="0"/>
          <w:lang w:val="en-GB"/>
        </w:rPr>
        <w:t>Recommended</w:t>
      </w:r>
    </w:p>
    <w:p w:rsidR="00DC1F1F" w:rsidRPr="00FE39B9" w:rsidRDefault="00DC1F1F" w:rsidP="004A083C">
      <w:pPr>
        <w:pStyle w:val="2-SectionHeading"/>
      </w:pPr>
      <w:r w:rsidRPr="00FE39B9">
        <w:t>Recommended listing</w:t>
      </w:r>
    </w:p>
    <w:p w:rsidR="00DC1F1F" w:rsidRPr="00525B39" w:rsidRDefault="00FE39B9" w:rsidP="004A083C">
      <w:pPr>
        <w:pStyle w:val="3Bodytext"/>
        <w:rPr>
          <w:snapToGrid w:val="0"/>
        </w:rPr>
      </w:pPr>
      <w:r>
        <w:rPr>
          <w:snapToGrid w:val="0"/>
        </w:rPr>
        <w:t xml:space="preserve">Amend </w:t>
      </w:r>
      <w:r w:rsidR="008607BE">
        <w:rPr>
          <w:snapToGrid w:val="0"/>
        </w:rPr>
        <w:t xml:space="preserve">the </w:t>
      </w:r>
      <w:r>
        <w:rPr>
          <w:snapToGrid w:val="0"/>
        </w:rPr>
        <w:t>existing</w:t>
      </w:r>
      <w:r w:rsidR="00DC1F1F" w:rsidRPr="00525B39">
        <w:rPr>
          <w:snapToGrid w:val="0"/>
        </w:rPr>
        <w:t xml:space="preserve"> listing </w:t>
      </w:r>
      <w:r w:rsidR="00857B2C">
        <w:rPr>
          <w:snapToGrid w:val="0"/>
        </w:rPr>
        <w:t xml:space="preserve">on the NIP </w:t>
      </w:r>
      <w:r w:rsidR="00DC1F1F" w:rsidRPr="00525B39">
        <w:rPr>
          <w:snapToGrid w:val="0"/>
        </w:rPr>
        <w:t>as follows:</w:t>
      </w:r>
    </w:p>
    <w:tbl>
      <w:tblPr>
        <w:tblW w:w="4947" w:type="pct"/>
        <w:tblCellMar>
          <w:left w:w="28" w:type="dxa"/>
          <w:right w:w="28" w:type="dxa"/>
        </w:tblCellMar>
        <w:tblLook w:val="04A0" w:firstRow="1" w:lastRow="0" w:firstColumn="1" w:lastColumn="0" w:noHBand="0" w:noVBand="1"/>
      </w:tblPr>
      <w:tblGrid>
        <w:gridCol w:w="2237"/>
        <w:gridCol w:w="29"/>
        <w:gridCol w:w="2245"/>
        <w:gridCol w:w="4419"/>
      </w:tblGrid>
      <w:tr w:rsidR="00582D26" w:rsidRPr="00FC6F1A" w:rsidTr="008607BE">
        <w:trPr>
          <w:trHeight w:val="463"/>
        </w:trPr>
        <w:tc>
          <w:tcPr>
            <w:tcW w:w="2526" w:type="pct"/>
            <w:gridSpan w:val="3"/>
            <w:tcBorders>
              <w:top w:val="single" w:sz="4" w:space="0" w:color="auto"/>
              <w:left w:val="nil"/>
              <w:bottom w:val="single" w:sz="4" w:space="0" w:color="auto"/>
              <w:right w:val="nil"/>
            </w:tcBorders>
            <w:vAlign w:val="center"/>
            <w:hideMark/>
          </w:tcPr>
          <w:p w:rsidR="00582D26" w:rsidRPr="00FC6F1A" w:rsidRDefault="00582D26" w:rsidP="00AE3D8F">
            <w:pPr>
              <w:keepNext/>
              <w:keepLines/>
              <w:snapToGrid w:val="0"/>
              <w:rPr>
                <w:rFonts w:ascii="Arial Narrow" w:hAnsi="Arial Narrow"/>
                <w:b/>
                <w:sz w:val="20"/>
                <w:szCs w:val="20"/>
              </w:rPr>
            </w:pPr>
            <w:r w:rsidRPr="00FC6F1A">
              <w:rPr>
                <w:rFonts w:ascii="Arial Narrow" w:hAnsi="Arial Narrow"/>
                <w:b/>
                <w:sz w:val="20"/>
                <w:szCs w:val="20"/>
              </w:rPr>
              <w:t>Name, Restriction,</w:t>
            </w:r>
          </w:p>
          <w:p w:rsidR="00582D26" w:rsidRPr="00FC6F1A" w:rsidRDefault="00582D26" w:rsidP="00AE3D8F">
            <w:pPr>
              <w:keepNext/>
              <w:keepLines/>
              <w:snapToGrid w:val="0"/>
              <w:rPr>
                <w:rFonts w:ascii="Arial Narrow" w:hAnsi="Arial Narrow"/>
                <w:b/>
                <w:sz w:val="20"/>
                <w:szCs w:val="20"/>
              </w:rPr>
            </w:pPr>
            <w:r w:rsidRPr="00FC6F1A">
              <w:rPr>
                <w:rFonts w:ascii="Arial Narrow" w:hAnsi="Arial Narrow"/>
                <w:b/>
                <w:sz w:val="20"/>
                <w:szCs w:val="20"/>
              </w:rPr>
              <w:t>Manner of administration and form</w:t>
            </w:r>
          </w:p>
        </w:tc>
        <w:tc>
          <w:tcPr>
            <w:tcW w:w="2474" w:type="pct"/>
            <w:tcBorders>
              <w:top w:val="single" w:sz="4" w:space="0" w:color="auto"/>
              <w:left w:val="nil"/>
              <w:bottom w:val="single" w:sz="4" w:space="0" w:color="auto"/>
              <w:right w:val="nil"/>
            </w:tcBorders>
            <w:vAlign w:val="center"/>
            <w:hideMark/>
          </w:tcPr>
          <w:p w:rsidR="00582D26" w:rsidRPr="00FC6F1A" w:rsidRDefault="00582D26" w:rsidP="00AE3D8F">
            <w:pPr>
              <w:keepNext/>
              <w:keepLines/>
              <w:snapToGrid w:val="0"/>
              <w:rPr>
                <w:rFonts w:ascii="Arial Narrow" w:hAnsi="Arial Narrow"/>
                <w:b/>
                <w:sz w:val="20"/>
                <w:szCs w:val="20"/>
              </w:rPr>
            </w:pPr>
            <w:r w:rsidRPr="00FC6F1A">
              <w:rPr>
                <w:rFonts w:ascii="Arial Narrow" w:hAnsi="Arial Narrow"/>
                <w:b/>
                <w:sz w:val="20"/>
                <w:szCs w:val="20"/>
              </w:rPr>
              <w:t>Proprietary Name and Manufacturer</w:t>
            </w:r>
          </w:p>
        </w:tc>
      </w:tr>
      <w:tr w:rsidR="00582D26" w:rsidRPr="00FC6F1A" w:rsidTr="008607BE">
        <w:trPr>
          <w:trHeight w:val="567"/>
        </w:trPr>
        <w:tc>
          <w:tcPr>
            <w:tcW w:w="2526" w:type="pct"/>
            <w:gridSpan w:val="3"/>
            <w:vAlign w:val="center"/>
            <w:hideMark/>
          </w:tcPr>
          <w:p w:rsidR="00582D26" w:rsidRPr="00FC6F1A" w:rsidRDefault="00582D26" w:rsidP="00AE3D8F">
            <w:pPr>
              <w:keepNext/>
              <w:keepLines/>
              <w:rPr>
                <w:rFonts w:ascii="Arial Narrow" w:hAnsi="Arial Narrow"/>
                <w:sz w:val="20"/>
                <w:szCs w:val="20"/>
              </w:rPr>
            </w:pPr>
            <w:r w:rsidRPr="00FC6F1A">
              <w:rPr>
                <w:rFonts w:ascii="Arial Narrow" w:hAnsi="Arial Narrow"/>
                <w:sz w:val="20"/>
                <w:szCs w:val="20"/>
              </w:rPr>
              <w:t>Inactivated Quadrivalent Influenza Vaccine (split virion)</w:t>
            </w:r>
          </w:p>
          <w:p w:rsidR="00582D26" w:rsidRPr="00FC6F1A" w:rsidRDefault="00582D26" w:rsidP="00AE3D8F">
            <w:pPr>
              <w:keepNext/>
              <w:keepLines/>
              <w:rPr>
                <w:rFonts w:ascii="Arial Narrow" w:hAnsi="Arial Narrow"/>
                <w:sz w:val="20"/>
                <w:szCs w:val="20"/>
              </w:rPr>
            </w:pPr>
            <w:r w:rsidRPr="00FC6F1A">
              <w:rPr>
                <w:rFonts w:ascii="Arial Narrow" w:hAnsi="Arial Narrow"/>
                <w:sz w:val="20"/>
                <w:szCs w:val="20"/>
              </w:rPr>
              <w:t>Injection 0.5 mL</w:t>
            </w:r>
          </w:p>
        </w:tc>
        <w:tc>
          <w:tcPr>
            <w:tcW w:w="2474" w:type="pct"/>
            <w:vAlign w:val="center"/>
          </w:tcPr>
          <w:p w:rsidR="00582D26" w:rsidRPr="00FC6F1A" w:rsidRDefault="00582D26" w:rsidP="00AE3D8F">
            <w:pPr>
              <w:keepNext/>
              <w:keepLines/>
              <w:rPr>
                <w:rFonts w:ascii="Arial Narrow" w:hAnsi="Arial Narrow"/>
                <w:sz w:val="20"/>
                <w:szCs w:val="20"/>
              </w:rPr>
            </w:pPr>
            <w:r w:rsidRPr="00FC6F1A">
              <w:rPr>
                <w:rFonts w:ascii="Arial Narrow" w:hAnsi="Arial Narrow"/>
                <w:sz w:val="20"/>
                <w:szCs w:val="20"/>
              </w:rPr>
              <w:t>Fluarix® Tetra</w:t>
            </w:r>
          </w:p>
          <w:p w:rsidR="00582D26" w:rsidRPr="00FC6F1A" w:rsidRDefault="00582D26" w:rsidP="00AE3D8F">
            <w:pPr>
              <w:keepNext/>
              <w:keepLines/>
              <w:snapToGrid w:val="0"/>
              <w:rPr>
                <w:rFonts w:ascii="Arial Narrow" w:hAnsi="Arial Narrow"/>
                <w:sz w:val="20"/>
                <w:szCs w:val="20"/>
              </w:rPr>
            </w:pPr>
            <w:r w:rsidRPr="00FC6F1A">
              <w:rPr>
                <w:rFonts w:ascii="Arial Narrow" w:hAnsi="Arial Narrow"/>
                <w:sz w:val="20"/>
                <w:szCs w:val="20"/>
              </w:rPr>
              <w:t>GlaxoSmithKline Australia Pty Ltd</w:t>
            </w:r>
          </w:p>
        </w:tc>
      </w:tr>
      <w:tr w:rsidR="00FE39B9" w:rsidRPr="00FC6F1A" w:rsidTr="008607BE">
        <w:trPr>
          <w:trHeight w:val="20"/>
        </w:trPr>
        <w:tc>
          <w:tcPr>
            <w:tcW w:w="1269" w:type="pct"/>
            <w:gridSpan w:val="2"/>
            <w:tcBorders>
              <w:top w:val="single" w:sz="4" w:space="0" w:color="auto"/>
              <w:left w:val="single" w:sz="4" w:space="0" w:color="auto"/>
              <w:bottom w:val="single" w:sz="4" w:space="0" w:color="auto"/>
              <w:right w:val="single" w:sz="4" w:space="0" w:color="auto"/>
            </w:tcBorders>
            <w:hideMark/>
          </w:tcPr>
          <w:p w:rsidR="00FE39B9" w:rsidRPr="00FC6F1A" w:rsidRDefault="00FE39B9" w:rsidP="00AE3D8F">
            <w:pPr>
              <w:keepNext/>
              <w:keepLines/>
              <w:rPr>
                <w:rFonts w:ascii="Arial Narrow" w:hAnsi="Arial Narrow"/>
                <w:b/>
                <w:bCs/>
                <w:sz w:val="20"/>
                <w:szCs w:val="20"/>
              </w:rPr>
            </w:pPr>
            <w:r w:rsidRPr="00FC6F1A">
              <w:rPr>
                <w:rFonts w:ascii="Arial Narrow" w:hAnsi="Arial Narrow"/>
                <w:b/>
                <w:bCs/>
                <w:sz w:val="20"/>
                <w:szCs w:val="20"/>
              </w:rPr>
              <w:t>Category/Program</w:t>
            </w:r>
          </w:p>
        </w:tc>
        <w:tc>
          <w:tcPr>
            <w:tcW w:w="3731" w:type="pct"/>
            <w:gridSpan w:val="2"/>
            <w:tcBorders>
              <w:top w:val="single" w:sz="4" w:space="0" w:color="auto"/>
              <w:left w:val="single" w:sz="4" w:space="0" w:color="auto"/>
              <w:bottom w:val="single" w:sz="4" w:space="0" w:color="auto"/>
              <w:right w:val="single" w:sz="4" w:space="0" w:color="auto"/>
            </w:tcBorders>
            <w:hideMark/>
          </w:tcPr>
          <w:p w:rsidR="00FE39B9" w:rsidRPr="00FC6F1A" w:rsidRDefault="00FE39B9" w:rsidP="00AE3D8F">
            <w:pPr>
              <w:keepNext/>
              <w:keepLines/>
              <w:rPr>
                <w:rFonts w:ascii="Arial Narrow" w:hAnsi="Arial Narrow"/>
                <w:b/>
                <w:bCs/>
                <w:sz w:val="20"/>
                <w:szCs w:val="20"/>
              </w:rPr>
            </w:pPr>
            <w:r w:rsidRPr="00FC6F1A">
              <w:rPr>
                <w:rFonts w:ascii="Arial Narrow" w:hAnsi="Arial Narrow"/>
                <w:b/>
                <w:bCs/>
                <w:sz w:val="20"/>
                <w:szCs w:val="20"/>
              </w:rPr>
              <w:t>NIP</w:t>
            </w:r>
          </w:p>
        </w:tc>
      </w:tr>
      <w:tr w:rsidR="00FE39B9" w:rsidRPr="00FC6F1A" w:rsidTr="008607BE">
        <w:trPr>
          <w:trHeight w:val="20"/>
        </w:trPr>
        <w:tc>
          <w:tcPr>
            <w:tcW w:w="5000" w:type="pct"/>
            <w:gridSpan w:val="4"/>
            <w:tcBorders>
              <w:top w:val="single" w:sz="4" w:space="0" w:color="auto"/>
              <w:left w:val="single" w:sz="4" w:space="0" w:color="auto"/>
              <w:bottom w:val="single" w:sz="4" w:space="0" w:color="auto"/>
              <w:right w:val="single" w:sz="4" w:space="0" w:color="auto"/>
            </w:tcBorders>
          </w:tcPr>
          <w:p w:rsidR="00FE39B9" w:rsidRPr="00FC6F1A" w:rsidRDefault="00FE39B9" w:rsidP="00AE3D8F">
            <w:pPr>
              <w:keepNext/>
              <w:keepLines/>
              <w:rPr>
                <w:rFonts w:ascii="Arial Narrow" w:hAnsi="Arial Narrow"/>
                <w:iCs/>
                <w:sz w:val="20"/>
                <w:szCs w:val="20"/>
              </w:rPr>
            </w:pPr>
            <w:r w:rsidRPr="00FC6F1A">
              <w:rPr>
                <w:rFonts w:ascii="Arial Narrow" w:hAnsi="Arial Narrow"/>
                <w:iCs/>
                <w:sz w:val="20"/>
                <w:szCs w:val="20"/>
              </w:rPr>
              <w:t>Subsection 7 (7A)  For items 207A of Schedule 1, a designated vaccine mentioned in this item may be provided to:</w:t>
            </w:r>
          </w:p>
        </w:tc>
      </w:tr>
      <w:tr w:rsidR="00FE39B9" w:rsidRPr="00FC6F1A" w:rsidTr="008607BE">
        <w:trPr>
          <w:trHeight w:val="4242"/>
        </w:trPr>
        <w:tc>
          <w:tcPr>
            <w:tcW w:w="1253" w:type="pct"/>
            <w:tcBorders>
              <w:top w:val="single" w:sz="4" w:space="0" w:color="auto"/>
              <w:left w:val="single" w:sz="4" w:space="0" w:color="auto"/>
              <w:right w:val="single" w:sz="4" w:space="0" w:color="auto"/>
            </w:tcBorders>
            <w:hideMark/>
          </w:tcPr>
          <w:p w:rsidR="00FE39B9" w:rsidRPr="00FC6F1A" w:rsidRDefault="00FE39B9" w:rsidP="00AE3D8F">
            <w:pPr>
              <w:keepNext/>
              <w:keepLines/>
              <w:rPr>
                <w:rFonts w:ascii="Arial Narrow" w:hAnsi="Arial Narrow"/>
                <w:iCs/>
                <w:sz w:val="20"/>
                <w:szCs w:val="20"/>
              </w:rPr>
            </w:pPr>
            <w:r w:rsidRPr="00FC6F1A">
              <w:rPr>
                <w:rFonts w:ascii="Arial Narrow" w:hAnsi="Arial Narrow"/>
                <w:iCs/>
                <w:sz w:val="20"/>
                <w:szCs w:val="20"/>
              </w:rPr>
              <w:t xml:space="preserve">Groups eligible for the requested NIP listing of  Fluarix® Tetra, including </w:t>
            </w:r>
          </w:p>
          <w:p w:rsidR="00FE39B9" w:rsidRPr="00FC6F1A" w:rsidRDefault="00FE39B9" w:rsidP="00AE3D8F">
            <w:pPr>
              <w:keepNext/>
              <w:keepLines/>
              <w:rPr>
                <w:rFonts w:ascii="Arial Narrow" w:hAnsi="Arial Narrow"/>
                <w:i/>
                <w:iCs/>
                <w:sz w:val="20"/>
                <w:szCs w:val="20"/>
              </w:rPr>
            </w:pPr>
          </w:p>
          <w:p w:rsidR="00FE39B9" w:rsidRPr="00FC6F1A" w:rsidRDefault="00FE39B9" w:rsidP="00AE3D8F">
            <w:pPr>
              <w:keepNext/>
              <w:keepLines/>
              <w:rPr>
                <w:rFonts w:ascii="Arial Narrow" w:hAnsi="Arial Narrow"/>
                <w:i/>
                <w:iCs/>
                <w:sz w:val="20"/>
                <w:szCs w:val="20"/>
              </w:rPr>
            </w:pPr>
          </w:p>
        </w:tc>
        <w:tc>
          <w:tcPr>
            <w:tcW w:w="3747" w:type="pct"/>
            <w:gridSpan w:val="3"/>
            <w:tcBorders>
              <w:top w:val="single" w:sz="4" w:space="0" w:color="auto"/>
              <w:left w:val="single" w:sz="4" w:space="0" w:color="auto"/>
              <w:right w:val="single" w:sz="4" w:space="0" w:color="auto"/>
            </w:tcBorders>
            <w:hideMark/>
          </w:tcPr>
          <w:p w:rsidR="00FE39B9" w:rsidRPr="00FC6F1A" w:rsidRDefault="00FE39B9" w:rsidP="00AE3D8F">
            <w:pPr>
              <w:pStyle w:val="ListParagraph"/>
              <w:keepNext/>
              <w:keepLines/>
              <w:numPr>
                <w:ilvl w:val="0"/>
                <w:numId w:val="35"/>
              </w:numPr>
              <w:contextualSpacing/>
              <w:jc w:val="both"/>
              <w:rPr>
                <w:rFonts w:ascii="Arial Narrow" w:hAnsi="Arial Narrow"/>
                <w:sz w:val="20"/>
                <w:szCs w:val="20"/>
              </w:rPr>
            </w:pPr>
            <w:r w:rsidRPr="00FC6F1A">
              <w:rPr>
                <w:rFonts w:ascii="Arial Narrow" w:hAnsi="Arial Narrow"/>
                <w:sz w:val="20"/>
                <w:szCs w:val="20"/>
              </w:rPr>
              <w:t>a person who is at least 65 years; or</w:t>
            </w:r>
          </w:p>
          <w:p w:rsidR="00FE39B9" w:rsidRPr="00FC6F1A" w:rsidRDefault="00FE39B9" w:rsidP="00AE3D8F">
            <w:pPr>
              <w:pStyle w:val="ListParagraph"/>
              <w:keepNext/>
              <w:keepLines/>
              <w:numPr>
                <w:ilvl w:val="0"/>
                <w:numId w:val="35"/>
              </w:numPr>
              <w:contextualSpacing/>
              <w:jc w:val="both"/>
              <w:rPr>
                <w:rFonts w:ascii="Arial Narrow" w:hAnsi="Arial Narrow"/>
                <w:sz w:val="20"/>
                <w:szCs w:val="20"/>
              </w:rPr>
            </w:pPr>
            <w:r w:rsidRPr="00FC6F1A">
              <w:rPr>
                <w:rFonts w:ascii="Arial Narrow" w:hAnsi="Arial Narrow"/>
                <w:sz w:val="20"/>
                <w:szCs w:val="20"/>
              </w:rPr>
              <w:t>an Aboriginal or Torres Strait Islander person who is at least 6 months; or</w:t>
            </w:r>
          </w:p>
          <w:p w:rsidR="00FE39B9" w:rsidRPr="00FC6F1A" w:rsidRDefault="00FE39B9" w:rsidP="00AE3D8F">
            <w:pPr>
              <w:pStyle w:val="ListParagraph"/>
              <w:keepNext/>
              <w:keepLines/>
              <w:numPr>
                <w:ilvl w:val="0"/>
                <w:numId w:val="35"/>
              </w:numPr>
              <w:contextualSpacing/>
              <w:jc w:val="both"/>
              <w:rPr>
                <w:rFonts w:ascii="Arial Narrow" w:hAnsi="Arial Narrow"/>
                <w:sz w:val="20"/>
                <w:szCs w:val="20"/>
              </w:rPr>
            </w:pPr>
            <w:r w:rsidRPr="00FC6F1A">
              <w:rPr>
                <w:rFonts w:ascii="Arial Narrow" w:hAnsi="Arial Narrow"/>
                <w:sz w:val="20"/>
                <w:szCs w:val="20"/>
              </w:rPr>
              <w:t>a child who is at least 6 months old but less than 5 years old;</w:t>
            </w:r>
          </w:p>
          <w:p w:rsidR="00FE39B9" w:rsidRPr="00FC6F1A" w:rsidRDefault="00FE39B9" w:rsidP="00AE3D8F">
            <w:pPr>
              <w:pStyle w:val="ListParagraph"/>
              <w:keepNext/>
              <w:keepLines/>
              <w:numPr>
                <w:ilvl w:val="0"/>
                <w:numId w:val="35"/>
              </w:numPr>
              <w:contextualSpacing/>
              <w:jc w:val="both"/>
              <w:rPr>
                <w:rFonts w:ascii="Arial Narrow" w:hAnsi="Arial Narrow"/>
                <w:sz w:val="20"/>
                <w:szCs w:val="20"/>
              </w:rPr>
            </w:pPr>
            <w:r w:rsidRPr="00FC6F1A">
              <w:rPr>
                <w:rFonts w:ascii="Arial Narrow" w:hAnsi="Arial Narrow"/>
                <w:sz w:val="20"/>
                <w:szCs w:val="20"/>
              </w:rPr>
              <w:t>a person who is at least 6 months who:</w:t>
            </w:r>
          </w:p>
          <w:p w:rsidR="00FE39B9" w:rsidRPr="00FC6F1A" w:rsidRDefault="00FE39B9" w:rsidP="00AE3D8F">
            <w:pPr>
              <w:pStyle w:val="ListParagraph"/>
              <w:keepNext/>
              <w:keepLines/>
              <w:numPr>
                <w:ilvl w:val="0"/>
                <w:numId w:val="37"/>
              </w:numPr>
              <w:spacing w:after="0"/>
              <w:contextualSpacing/>
              <w:jc w:val="both"/>
              <w:rPr>
                <w:rFonts w:ascii="Arial Narrow" w:hAnsi="Arial Narrow"/>
                <w:sz w:val="20"/>
                <w:szCs w:val="20"/>
              </w:rPr>
            </w:pPr>
            <w:r w:rsidRPr="00FC6F1A">
              <w:rPr>
                <w:rFonts w:ascii="Arial Narrow" w:hAnsi="Arial Narrow"/>
                <w:sz w:val="20"/>
                <w:szCs w:val="20"/>
              </w:rPr>
              <w:t>has cardiac disease including cyanotic congenital heart disease, coronary artery disease and congestive heart failure; or</w:t>
            </w:r>
          </w:p>
          <w:p w:rsidR="00FE39B9" w:rsidRPr="00FC6F1A" w:rsidRDefault="00FE39B9" w:rsidP="00AE3D8F">
            <w:pPr>
              <w:pStyle w:val="ListParagraph"/>
              <w:keepNext/>
              <w:keepLines/>
              <w:numPr>
                <w:ilvl w:val="0"/>
                <w:numId w:val="37"/>
              </w:numPr>
              <w:spacing w:after="0"/>
              <w:contextualSpacing/>
              <w:jc w:val="both"/>
              <w:rPr>
                <w:rFonts w:ascii="Arial Narrow" w:hAnsi="Arial Narrow"/>
                <w:sz w:val="20"/>
                <w:szCs w:val="20"/>
              </w:rPr>
            </w:pPr>
            <w:r w:rsidRPr="00FC6F1A">
              <w:rPr>
                <w:rFonts w:ascii="Arial Narrow" w:hAnsi="Arial Narrow"/>
                <w:sz w:val="20"/>
                <w:szCs w:val="20"/>
              </w:rPr>
              <w:t>has a chronic respiratory condition including suppurative lung disease, bronchiectasis, cystic fibrosis, chronic obstructive pulmonary disease, chronic emphysema and severe asthma; or</w:t>
            </w:r>
          </w:p>
          <w:p w:rsidR="00FE39B9" w:rsidRPr="00FC6F1A" w:rsidRDefault="00FE39B9" w:rsidP="00AE3D8F">
            <w:pPr>
              <w:pStyle w:val="ListParagraph"/>
              <w:keepNext/>
              <w:keepLines/>
              <w:numPr>
                <w:ilvl w:val="0"/>
                <w:numId w:val="37"/>
              </w:numPr>
              <w:spacing w:after="0"/>
              <w:contextualSpacing/>
              <w:jc w:val="both"/>
              <w:rPr>
                <w:rFonts w:ascii="Arial Narrow" w:hAnsi="Arial Narrow"/>
                <w:sz w:val="20"/>
                <w:szCs w:val="20"/>
              </w:rPr>
            </w:pPr>
            <w:r w:rsidRPr="00FC6F1A">
              <w:rPr>
                <w:rFonts w:ascii="Arial Narrow" w:hAnsi="Arial Narrow"/>
                <w:sz w:val="20"/>
                <w:szCs w:val="20"/>
              </w:rPr>
              <w:t>has another chronic illness requiring regular medical follow</w:t>
            </w:r>
            <w:r w:rsidRPr="00FC6F1A">
              <w:rPr>
                <w:rFonts w:ascii="Arial Narrow" w:hAnsi="Arial Narrow"/>
                <w:sz w:val="20"/>
                <w:szCs w:val="20"/>
              </w:rPr>
              <w:noBreakHyphen/>
              <w:t>up or hospitalisation in the preceding year, including diabetes mellitus, chronic metabolic diseases, chronic renal failure, haemoglobinopathies and impaired immunity (including drug</w:t>
            </w:r>
            <w:r w:rsidRPr="00FC6F1A">
              <w:rPr>
                <w:rFonts w:ascii="Arial Narrow" w:hAnsi="Arial Narrow"/>
                <w:sz w:val="20"/>
                <w:szCs w:val="20"/>
              </w:rPr>
              <w:noBreakHyphen/>
              <w:t>induced immune impairment); or</w:t>
            </w:r>
          </w:p>
          <w:p w:rsidR="00FE39B9" w:rsidRPr="00FC6F1A" w:rsidRDefault="00FE39B9" w:rsidP="00AE3D8F">
            <w:pPr>
              <w:pStyle w:val="ListParagraph"/>
              <w:keepNext/>
              <w:keepLines/>
              <w:numPr>
                <w:ilvl w:val="0"/>
                <w:numId w:val="37"/>
              </w:numPr>
              <w:spacing w:after="0"/>
              <w:contextualSpacing/>
              <w:jc w:val="both"/>
              <w:rPr>
                <w:rFonts w:ascii="Arial Narrow" w:hAnsi="Arial Narrow"/>
                <w:sz w:val="20"/>
                <w:szCs w:val="20"/>
              </w:rPr>
            </w:pPr>
            <w:r w:rsidRPr="00FC6F1A">
              <w:rPr>
                <w:rFonts w:ascii="Arial Narrow" w:hAnsi="Arial Narrow"/>
                <w:sz w:val="20"/>
                <w:szCs w:val="20"/>
              </w:rPr>
              <w:t>has a chronic neurological condition, including multiple sclerosis, spinal cord injuries, seizure disorders or other neuromuscular disorders; or</w:t>
            </w:r>
          </w:p>
          <w:p w:rsidR="00FE39B9" w:rsidRPr="00FC6F1A" w:rsidRDefault="00FE39B9" w:rsidP="00AE3D8F">
            <w:pPr>
              <w:pStyle w:val="ListParagraph"/>
              <w:keepNext/>
              <w:keepLines/>
              <w:numPr>
                <w:ilvl w:val="0"/>
                <w:numId w:val="37"/>
              </w:numPr>
              <w:spacing w:after="0"/>
              <w:contextualSpacing/>
              <w:jc w:val="both"/>
              <w:rPr>
                <w:rFonts w:ascii="Arial Narrow" w:hAnsi="Arial Narrow"/>
                <w:sz w:val="20"/>
                <w:szCs w:val="20"/>
              </w:rPr>
            </w:pPr>
            <w:r w:rsidRPr="00FC6F1A">
              <w:rPr>
                <w:rFonts w:ascii="Arial Narrow" w:hAnsi="Arial Narrow"/>
                <w:sz w:val="20"/>
                <w:szCs w:val="20"/>
              </w:rPr>
              <w:t>has impaired immunity, including HIV infection; or</w:t>
            </w:r>
          </w:p>
          <w:p w:rsidR="00FE39B9" w:rsidRPr="00FC6F1A" w:rsidRDefault="00FE39B9" w:rsidP="00AE3D8F">
            <w:pPr>
              <w:pStyle w:val="ListParagraph"/>
              <w:keepNext/>
              <w:keepLines/>
              <w:numPr>
                <w:ilvl w:val="0"/>
                <w:numId w:val="37"/>
              </w:numPr>
              <w:spacing w:after="0"/>
              <w:contextualSpacing/>
              <w:jc w:val="both"/>
              <w:rPr>
                <w:rFonts w:ascii="Arial Narrow" w:hAnsi="Arial Narrow"/>
                <w:sz w:val="20"/>
                <w:szCs w:val="20"/>
              </w:rPr>
            </w:pPr>
            <w:r w:rsidRPr="00FC6F1A">
              <w:rPr>
                <w:rFonts w:ascii="Arial Narrow" w:hAnsi="Arial Narrow"/>
                <w:sz w:val="20"/>
                <w:szCs w:val="20"/>
              </w:rPr>
              <w:t xml:space="preserve">is less than 11 years and is receiving long term aspirin therapy; or </w:t>
            </w:r>
          </w:p>
          <w:p w:rsidR="00FE39B9" w:rsidRPr="00FC6F1A" w:rsidRDefault="00FE39B9" w:rsidP="00AE3D8F">
            <w:pPr>
              <w:pStyle w:val="ListParagraph"/>
              <w:keepNext/>
              <w:keepLines/>
              <w:numPr>
                <w:ilvl w:val="0"/>
                <w:numId w:val="35"/>
              </w:numPr>
              <w:contextualSpacing/>
              <w:jc w:val="both"/>
              <w:rPr>
                <w:rFonts w:ascii="Arial Narrow" w:hAnsi="Arial Narrow"/>
                <w:sz w:val="20"/>
                <w:szCs w:val="20"/>
              </w:rPr>
            </w:pPr>
            <w:r w:rsidRPr="00FC6F1A">
              <w:rPr>
                <w:rFonts w:ascii="Arial Narrow" w:hAnsi="Arial Narrow"/>
                <w:sz w:val="20"/>
                <w:szCs w:val="20"/>
              </w:rPr>
              <w:t>a woman who is pregnant.</w:t>
            </w:r>
          </w:p>
        </w:tc>
      </w:tr>
      <w:tr w:rsidR="00FE39B9" w:rsidRPr="00FC6F1A" w:rsidTr="008607BE">
        <w:trPr>
          <w:trHeight w:val="20"/>
        </w:trPr>
        <w:tc>
          <w:tcPr>
            <w:tcW w:w="1269" w:type="pct"/>
            <w:gridSpan w:val="2"/>
            <w:tcBorders>
              <w:top w:val="single" w:sz="4" w:space="0" w:color="auto"/>
              <w:left w:val="single" w:sz="4" w:space="0" w:color="auto"/>
              <w:bottom w:val="single" w:sz="4" w:space="0" w:color="auto"/>
              <w:right w:val="single" w:sz="4" w:space="0" w:color="auto"/>
            </w:tcBorders>
            <w:hideMark/>
          </w:tcPr>
          <w:p w:rsidR="00FE39B9" w:rsidRPr="00FC6F1A" w:rsidRDefault="00FE39B9" w:rsidP="00AE3D8F">
            <w:pPr>
              <w:keepNext/>
              <w:keepLines/>
              <w:rPr>
                <w:rFonts w:ascii="Arial Narrow" w:hAnsi="Arial Narrow"/>
                <w:sz w:val="20"/>
                <w:szCs w:val="20"/>
              </w:rPr>
            </w:pPr>
            <w:r w:rsidRPr="00FC6F1A">
              <w:rPr>
                <w:rFonts w:ascii="Arial Narrow" w:hAnsi="Arial Narrow"/>
                <w:sz w:val="20"/>
                <w:szCs w:val="20"/>
              </w:rPr>
              <w:t>Number and timing of doses</w:t>
            </w:r>
          </w:p>
        </w:tc>
        <w:tc>
          <w:tcPr>
            <w:tcW w:w="3731" w:type="pct"/>
            <w:gridSpan w:val="2"/>
            <w:tcBorders>
              <w:top w:val="single" w:sz="4" w:space="0" w:color="auto"/>
              <w:left w:val="single" w:sz="4" w:space="0" w:color="auto"/>
              <w:bottom w:val="single" w:sz="4" w:space="0" w:color="auto"/>
              <w:right w:val="single" w:sz="4" w:space="0" w:color="auto"/>
            </w:tcBorders>
            <w:hideMark/>
          </w:tcPr>
          <w:p w:rsidR="00FE39B9" w:rsidRPr="00FC6F1A" w:rsidRDefault="00FE39B9" w:rsidP="00AE3D8F">
            <w:pPr>
              <w:keepNext/>
              <w:keepLines/>
              <w:rPr>
                <w:rFonts w:ascii="Arial Narrow" w:hAnsi="Arial Narrow"/>
                <w:sz w:val="20"/>
                <w:szCs w:val="20"/>
              </w:rPr>
            </w:pPr>
            <w:r w:rsidRPr="00FC6F1A">
              <w:rPr>
                <w:rFonts w:ascii="Arial Narrow" w:hAnsi="Arial Narrow"/>
                <w:sz w:val="20"/>
                <w:szCs w:val="20"/>
              </w:rPr>
              <w:t>Should be administered in accordance with the national recommendation as per the current Immunisation Handbook:</w:t>
            </w:r>
          </w:p>
          <w:p w:rsidR="00FE39B9" w:rsidRPr="00FC6F1A" w:rsidRDefault="00FE39B9" w:rsidP="00AE3D8F">
            <w:pPr>
              <w:keepNext/>
              <w:keepLines/>
              <w:rPr>
                <w:rFonts w:ascii="Arial Narrow" w:hAnsi="Arial Narrow"/>
                <w:sz w:val="20"/>
                <w:szCs w:val="20"/>
              </w:rPr>
            </w:pPr>
            <w:r w:rsidRPr="00FC6F1A">
              <w:rPr>
                <w:rFonts w:ascii="Arial Narrow" w:hAnsi="Arial Narrow"/>
                <w:sz w:val="20"/>
                <w:szCs w:val="20"/>
              </w:rPr>
              <w:t xml:space="preserve">Children </w:t>
            </w:r>
            <w:r w:rsidRPr="00FC6F1A">
              <w:rPr>
                <w:rFonts w:ascii="Arial Narrow" w:hAnsi="Arial Narrow"/>
                <w:i/>
                <w:iCs/>
                <w:sz w:val="20"/>
                <w:szCs w:val="20"/>
              </w:rPr>
              <w:t>≥</w:t>
            </w:r>
            <w:r w:rsidRPr="00FC6F1A">
              <w:rPr>
                <w:rFonts w:ascii="Arial Narrow" w:hAnsi="Arial Narrow"/>
                <w:sz w:val="20"/>
                <w:szCs w:val="20"/>
              </w:rPr>
              <w:t>6 months to &lt;9 years of age:</w:t>
            </w:r>
          </w:p>
          <w:p w:rsidR="00FE39B9" w:rsidRPr="00FC6F1A" w:rsidRDefault="00FE39B9" w:rsidP="00AE3D8F">
            <w:pPr>
              <w:pStyle w:val="TableText0"/>
              <w:keepLines/>
              <w:numPr>
                <w:ilvl w:val="0"/>
                <w:numId w:val="11"/>
              </w:numPr>
              <w:jc w:val="both"/>
              <w:rPr>
                <w:szCs w:val="20"/>
              </w:rPr>
            </w:pPr>
            <w:r w:rsidRPr="00FC6F1A">
              <w:rPr>
                <w:szCs w:val="20"/>
              </w:rPr>
              <w:t>If the child has not previously been vaccinated: two 0.5 ml injections at least one month apart.</w:t>
            </w:r>
          </w:p>
          <w:p w:rsidR="00FE39B9" w:rsidRPr="00FC6F1A" w:rsidRDefault="00FE39B9" w:rsidP="00AE3D8F">
            <w:pPr>
              <w:pStyle w:val="TableText0"/>
              <w:keepLines/>
              <w:numPr>
                <w:ilvl w:val="0"/>
                <w:numId w:val="11"/>
              </w:numPr>
              <w:jc w:val="both"/>
              <w:rPr>
                <w:i/>
                <w:szCs w:val="20"/>
              </w:rPr>
            </w:pPr>
            <w:r w:rsidRPr="00FC6F1A">
              <w:rPr>
                <w:szCs w:val="20"/>
              </w:rPr>
              <w:t>If the child has been previously vaccinated: a single 0.5 ml injection.</w:t>
            </w:r>
          </w:p>
        </w:tc>
      </w:tr>
    </w:tbl>
    <w:p w:rsidR="00434732" w:rsidRDefault="00434732" w:rsidP="00AE3D8F">
      <w:pPr>
        <w:pStyle w:val="Bodytextitalics"/>
        <w:keepNext/>
        <w:keepLines/>
        <w:rPr>
          <w:rFonts w:eastAsiaTheme="majorEastAsia" w:cstheme="majorBidi"/>
          <w:b/>
          <w:iCs/>
          <w:lang w:eastAsia="en-US"/>
        </w:rPr>
      </w:pPr>
    </w:p>
    <w:p w:rsidR="00DC1F1F" w:rsidRDefault="00857B2C" w:rsidP="00AE3D8F">
      <w:pPr>
        <w:pStyle w:val="Bodytextitalics"/>
        <w:keepNext/>
        <w:keepLines/>
        <w:rPr>
          <w:rFonts w:eastAsiaTheme="majorEastAsia" w:cstheme="majorBidi"/>
          <w:b/>
          <w:iCs/>
          <w:lang w:eastAsia="en-US"/>
        </w:rPr>
      </w:pPr>
      <w:r w:rsidRPr="00734027">
        <w:rPr>
          <w:rFonts w:eastAsiaTheme="majorEastAsia" w:cstheme="majorBidi"/>
          <w:b/>
          <w:iCs/>
          <w:lang w:eastAsia="en-US"/>
        </w:rPr>
        <w:t>This restriction may be subject to further review. Should there be any changes made to the restriction the Sponsor will be informed.</w:t>
      </w:r>
    </w:p>
    <w:p w:rsidR="00E241E9" w:rsidRDefault="00E241E9" w:rsidP="00E241E9">
      <w:pPr>
        <w:pStyle w:val="2-SectionHeading"/>
        <w:rPr>
          <w:bCs/>
          <w:lang w:val="en-GB"/>
        </w:rPr>
      </w:pPr>
      <w:r w:rsidRPr="00C07617">
        <w:t>Context for Decision</w:t>
      </w:r>
    </w:p>
    <w:p w:rsidR="00E241E9" w:rsidRPr="007129F2" w:rsidRDefault="00E241E9" w:rsidP="00E241E9">
      <w:pPr>
        <w:spacing w:after="120"/>
        <w:ind w:left="709"/>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E241E9" w:rsidRPr="00C07617" w:rsidRDefault="00E241E9" w:rsidP="00E241E9">
      <w:pPr>
        <w:pStyle w:val="2-SectionHeading"/>
        <w:rPr>
          <w:b w:val="0"/>
        </w:rPr>
      </w:pPr>
      <w:r>
        <w:t>Sponsor’s Comment</w:t>
      </w:r>
    </w:p>
    <w:p w:rsidR="00E241E9" w:rsidRPr="00E241E9" w:rsidRDefault="00894F41" w:rsidP="00894F41">
      <w:pPr>
        <w:spacing w:after="120"/>
        <w:ind w:left="709"/>
        <w:rPr>
          <w:rFonts w:eastAsiaTheme="majorEastAsia" w:cstheme="majorBidi"/>
          <w:b/>
          <w:i/>
          <w:iCs/>
          <w:lang w:eastAsia="en-US"/>
        </w:rPr>
      </w:pPr>
      <w:r w:rsidRPr="00894F41">
        <w:rPr>
          <w:rFonts w:asciiTheme="minorHAnsi" w:hAnsiTheme="minorHAnsi" w:cs="Arial"/>
          <w:bCs/>
          <w:lang w:val="en-GB"/>
        </w:rPr>
        <w:t>GSK welcomes the PBAC’s recommendation to list Fluarix Tetra to be included on the NIP to include all children aged 6 months to less than 5 years.</w:t>
      </w:r>
    </w:p>
    <w:sectPr w:rsidR="00E241E9" w:rsidRPr="00E241E9"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F41" w:rsidRDefault="00894F41">
      <w:r>
        <w:separator/>
      </w:r>
    </w:p>
    <w:p w:rsidR="00894F41" w:rsidRDefault="00894F41"/>
  </w:endnote>
  <w:endnote w:type="continuationSeparator" w:id="0">
    <w:p w:rsidR="00894F41" w:rsidRDefault="00894F41">
      <w:r>
        <w:continuationSeparator/>
      </w:r>
    </w:p>
    <w:p w:rsidR="00894F41" w:rsidRDefault="00894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algun Gothic Semilight"/>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5369BE" w:rsidTr="005A3173">
      <w:trPr>
        <w:trHeight w:val="151"/>
      </w:trPr>
      <w:tc>
        <w:tcPr>
          <w:tcW w:w="2250" w:type="pct"/>
          <w:tcBorders>
            <w:top w:val="nil"/>
            <w:left w:val="nil"/>
            <w:bottom w:val="single" w:sz="4" w:space="0" w:color="4F81BD"/>
            <w:right w:val="nil"/>
          </w:tcBorders>
        </w:tcPr>
        <w:p w:rsidR="005369BE" w:rsidRPr="005A3173" w:rsidRDefault="005369BE" w:rsidP="005A3173">
          <w:pPr>
            <w:pStyle w:val="Header"/>
            <w:spacing w:line="276" w:lineRule="auto"/>
            <w:rPr>
              <w:rFonts w:eastAsia="MS Gothic"/>
              <w:b/>
              <w:bCs/>
              <w:color w:val="4F81BD"/>
            </w:rPr>
          </w:pPr>
        </w:p>
      </w:tc>
      <w:tc>
        <w:tcPr>
          <w:tcW w:w="500" w:type="pct"/>
          <w:vMerge w:val="restart"/>
          <w:noWrap/>
          <w:vAlign w:val="center"/>
          <w:hideMark/>
        </w:tcPr>
        <w:p w:rsidR="005369BE" w:rsidRPr="005A3173" w:rsidRDefault="005369B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369BE" w:rsidRPr="005A3173" w:rsidRDefault="005369BE" w:rsidP="005A3173">
          <w:pPr>
            <w:pStyle w:val="Header"/>
            <w:spacing w:line="276" w:lineRule="auto"/>
            <w:rPr>
              <w:rFonts w:eastAsia="MS Gothic"/>
              <w:b/>
              <w:bCs/>
              <w:color w:val="4F81BD"/>
            </w:rPr>
          </w:pPr>
        </w:p>
      </w:tc>
    </w:tr>
    <w:tr w:rsidR="005369BE" w:rsidTr="005A3173">
      <w:trPr>
        <w:trHeight w:val="150"/>
      </w:trPr>
      <w:tc>
        <w:tcPr>
          <w:tcW w:w="2250" w:type="pct"/>
          <w:tcBorders>
            <w:top w:val="single" w:sz="4" w:space="0" w:color="4F81BD"/>
            <w:left w:val="nil"/>
            <w:bottom w:val="nil"/>
            <w:right w:val="nil"/>
          </w:tcBorders>
        </w:tcPr>
        <w:p w:rsidR="005369BE" w:rsidRPr="005A3173" w:rsidRDefault="005369BE" w:rsidP="005A3173">
          <w:pPr>
            <w:pStyle w:val="Header"/>
            <w:spacing w:line="276" w:lineRule="auto"/>
            <w:rPr>
              <w:rFonts w:eastAsia="MS Gothic"/>
              <w:b/>
              <w:bCs/>
              <w:color w:val="4F81BD"/>
            </w:rPr>
          </w:pPr>
        </w:p>
      </w:tc>
      <w:tc>
        <w:tcPr>
          <w:tcW w:w="0" w:type="auto"/>
          <w:vMerge/>
          <w:vAlign w:val="center"/>
          <w:hideMark/>
        </w:tcPr>
        <w:p w:rsidR="005369BE" w:rsidRPr="005A3173" w:rsidRDefault="005369BE" w:rsidP="005A3173">
          <w:pPr>
            <w:rPr>
              <w:color w:val="365F91"/>
              <w:sz w:val="22"/>
              <w:szCs w:val="22"/>
            </w:rPr>
          </w:pPr>
        </w:p>
      </w:tc>
      <w:tc>
        <w:tcPr>
          <w:tcW w:w="2250" w:type="pct"/>
          <w:tcBorders>
            <w:top w:val="single" w:sz="4" w:space="0" w:color="4F81BD"/>
            <w:left w:val="nil"/>
            <w:bottom w:val="nil"/>
            <w:right w:val="nil"/>
          </w:tcBorders>
        </w:tcPr>
        <w:p w:rsidR="005369BE" w:rsidRPr="005A3173" w:rsidRDefault="005369BE" w:rsidP="005A3173">
          <w:pPr>
            <w:pStyle w:val="Header"/>
            <w:spacing w:line="276" w:lineRule="auto"/>
            <w:rPr>
              <w:rFonts w:eastAsia="MS Gothic"/>
              <w:b/>
              <w:bCs/>
              <w:color w:val="4F81BD"/>
            </w:rPr>
          </w:pPr>
        </w:p>
      </w:tc>
    </w:tr>
  </w:tbl>
  <w:p w:rsidR="005369BE" w:rsidRDefault="005369B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69BE" w:rsidRDefault="005369BE">
    <w:pPr>
      <w:pStyle w:val="Footer"/>
    </w:pPr>
  </w:p>
  <w:p w:rsidR="005369BE" w:rsidRDefault="005369B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9BE" w:rsidRDefault="005369BE" w:rsidP="00744CBE">
    <w:pPr>
      <w:pStyle w:val="Footer"/>
      <w:jc w:val="center"/>
      <w:rPr>
        <w:caps/>
        <w:color w:val="4F81BD" w:themeColor="accent1"/>
      </w:rPr>
    </w:pPr>
  </w:p>
  <w:p w:rsidR="005369BE" w:rsidRPr="00744CBE" w:rsidRDefault="005369BE" w:rsidP="00744CBE">
    <w:pPr>
      <w:pStyle w:val="Footer"/>
      <w:jc w:val="center"/>
      <w:rPr>
        <w:b/>
        <w:bCs/>
        <w:caps/>
        <w:noProof/>
      </w:rPr>
    </w:pPr>
    <w:r w:rsidRPr="00744CBE">
      <w:rPr>
        <w:b/>
        <w:bCs/>
        <w:caps/>
      </w:rPr>
      <w:fldChar w:fldCharType="begin"/>
    </w:r>
    <w:r w:rsidRPr="00744CBE">
      <w:rPr>
        <w:b/>
        <w:bCs/>
        <w:caps/>
      </w:rPr>
      <w:instrText xml:space="preserve"> PAGE   \* MERGEFORMAT </w:instrText>
    </w:r>
    <w:r w:rsidRPr="00744CBE">
      <w:rPr>
        <w:b/>
        <w:bCs/>
        <w:caps/>
      </w:rPr>
      <w:fldChar w:fldCharType="separate"/>
    </w:r>
    <w:r w:rsidR="00983544">
      <w:rPr>
        <w:b/>
        <w:bCs/>
        <w:caps/>
        <w:noProof/>
      </w:rPr>
      <w:t>2</w:t>
    </w:r>
    <w:r w:rsidRPr="00744CBE">
      <w:rPr>
        <w:b/>
        <w:bCs/>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5369BE" w:rsidTr="005A3173">
      <w:trPr>
        <w:trHeight w:val="151"/>
      </w:trPr>
      <w:tc>
        <w:tcPr>
          <w:tcW w:w="2250" w:type="pct"/>
          <w:tcBorders>
            <w:top w:val="nil"/>
            <w:left w:val="nil"/>
            <w:bottom w:val="single" w:sz="4" w:space="0" w:color="4F81BD"/>
            <w:right w:val="nil"/>
          </w:tcBorders>
        </w:tcPr>
        <w:p w:rsidR="005369BE" w:rsidRPr="005A3173" w:rsidRDefault="005369BE" w:rsidP="005A3173">
          <w:pPr>
            <w:pStyle w:val="Header"/>
            <w:spacing w:line="276" w:lineRule="auto"/>
            <w:rPr>
              <w:rFonts w:eastAsia="MS Gothic"/>
              <w:b/>
              <w:bCs/>
              <w:color w:val="4F81BD"/>
            </w:rPr>
          </w:pPr>
        </w:p>
      </w:tc>
      <w:tc>
        <w:tcPr>
          <w:tcW w:w="500" w:type="pct"/>
          <w:vMerge w:val="restart"/>
          <w:noWrap/>
          <w:vAlign w:val="center"/>
          <w:hideMark/>
        </w:tcPr>
        <w:p w:rsidR="005369BE" w:rsidRPr="005A3173" w:rsidRDefault="005369B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369BE" w:rsidRPr="005A3173" w:rsidRDefault="005369BE" w:rsidP="005A3173">
          <w:pPr>
            <w:pStyle w:val="Header"/>
            <w:spacing w:line="276" w:lineRule="auto"/>
            <w:rPr>
              <w:rFonts w:eastAsia="MS Gothic"/>
              <w:b/>
              <w:bCs/>
              <w:color w:val="4F81BD"/>
            </w:rPr>
          </w:pPr>
        </w:p>
      </w:tc>
    </w:tr>
    <w:tr w:rsidR="005369BE" w:rsidTr="005A3173">
      <w:trPr>
        <w:trHeight w:val="150"/>
      </w:trPr>
      <w:tc>
        <w:tcPr>
          <w:tcW w:w="2250" w:type="pct"/>
          <w:tcBorders>
            <w:top w:val="single" w:sz="4" w:space="0" w:color="4F81BD"/>
            <w:left w:val="nil"/>
            <w:bottom w:val="nil"/>
            <w:right w:val="nil"/>
          </w:tcBorders>
        </w:tcPr>
        <w:p w:rsidR="005369BE" w:rsidRPr="005A3173" w:rsidRDefault="005369BE" w:rsidP="005A3173">
          <w:pPr>
            <w:pStyle w:val="Header"/>
            <w:spacing w:line="276" w:lineRule="auto"/>
            <w:rPr>
              <w:rFonts w:eastAsia="MS Gothic"/>
              <w:b/>
              <w:bCs/>
              <w:color w:val="4F81BD"/>
            </w:rPr>
          </w:pPr>
        </w:p>
      </w:tc>
      <w:tc>
        <w:tcPr>
          <w:tcW w:w="0" w:type="auto"/>
          <w:vMerge/>
          <w:vAlign w:val="center"/>
          <w:hideMark/>
        </w:tcPr>
        <w:p w:rsidR="005369BE" w:rsidRPr="005A3173" w:rsidRDefault="005369BE" w:rsidP="005A3173">
          <w:pPr>
            <w:rPr>
              <w:color w:val="365F91"/>
              <w:sz w:val="22"/>
              <w:szCs w:val="22"/>
            </w:rPr>
          </w:pPr>
        </w:p>
      </w:tc>
      <w:tc>
        <w:tcPr>
          <w:tcW w:w="2250" w:type="pct"/>
          <w:tcBorders>
            <w:top w:val="single" w:sz="4" w:space="0" w:color="4F81BD"/>
            <w:left w:val="nil"/>
            <w:bottom w:val="nil"/>
            <w:right w:val="nil"/>
          </w:tcBorders>
        </w:tcPr>
        <w:p w:rsidR="005369BE" w:rsidRPr="005A3173" w:rsidRDefault="005369BE"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5369BE" w:rsidTr="005A3173">
      <w:trPr>
        <w:trHeight w:val="151"/>
      </w:trPr>
      <w:tc>
        <w:tcPr>
          <w:tcW w:w="2250" w:type="pct"/>
          <w:tcBorders>
            <w:top w:val="nil"/>
            <w:left w:val="nil"/>
            <w:bottom w:val="single" w:sz="4" w:space="0" w:color="4F81BD"/>
            <w:right w:val="nil"/>
          </w:tcBorders>
        </w:tcPr>
        <w:p w:rsidR="005369BE" w:rsidRPr="005A3173" w:rsidRDefault="005369BE" w:rsidP="005A3173">
          <w:pPr>
            <w:pStyle w:val="Header"/>
            <w:spacing w:line="276" w:lineRule="auto"/>
            <w:rPr>
              <w:rFonts w:eastAsia="MS Gothic"/>
              <w:b/>
              <w:bCs/>
              <w:color w:val="4F81BD"/>
            </w:rPr>
          </w:pPr>
        </w:p>
      </w:tc>
      <w:tc>
        <w:tcPr>
          <w:tcW w:w="500" w:type="pct"/>
          <w:vMerge w:val="restart"/>
          <w:noWrap/>
          <w:vAlign w:val="center"/>
          <w:hideMark/>
        </w:tcPr>
        <w:p w:rsidR="005369BE" w:rsidRPr="005A3173" w:rsidRDefault="005369B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369BE" w:rsidRPr="005A3173" w:rsidRDefault="005369BE" w:rsidP="005A3173">
          <w:pPr>
            <w:pStyle w:val="Header"/>
            <w:spacing w:line="276" w:lineRule="auto"/>
            <w:rPr>
              <w:rFonts w:eastAsia="MS Gothic"/>
              <w:b/>
              <w:bCs/>
              <w:color w:val="4F81BD"/>
            </w:rPr>
          </w:pPr>
        </w:p>
      </w:tc>
    </w:tr>
    <w:tr w:rsidR="005369BE" w:rsidTr="005A3173">
      <w:trPr>
        <w:trHeight w:val="150"/>
      </w:trPr>
      <w:tc>
        <w:tcPr>
          <w:tcW w:w="2250" w:type="pct"/>
          <w:tcBorders>
            <w:top w:val="single" w:sz="4" w:space="0" w:color="4F81BD"/>
            <w:left w:val="nil"/>
            <w:bottom w:val="nil"/>
            <w:right w:val="nil"/>
          </w:tcBorders>
        </w:tcPr>
        <w:p w:rsidR="005369BE" w:rsidRPr="005A3173" w:rsidRDefault="005369BE" w:rsidP="005A3173">
          <w:pPr>
            <w:pStyle w:val="Header"/>
            <w:spacing w:line="276" w:lineRule="auto"/>
            <w:rPr>
              <w:rFonts w:eastAsia="MS Gothic"/>
              <w:b/>
              <w:bCs/>
              <w:color w:val="4F81BD"/>
            </w:rPr>
          </w:pPr>
        </w:p>
      </w:tc>
      <w:tc>
        <w:tcPr>
          <w:tcW w:w="0" w:type="auto"/>
          <w:vMerge/>
          <w:vAlign w:val="center"/>
          <w:hideMark/>
        </w:tcPr>
        <w:p w:rsidR="005369BE" w:rsidRPr="005A3173" w:rsidRDefault="005369BE" w:rsidP="005A3173">
          <w:pPr>
            <w:rPr>
              <w:color w:val="365F91"/>
              <w:sz w:val="22"/>
              <w:szCs w:val="22"/>
            </w:rPr>
          </w:pPr>
        </w:p>
      </w:tc>
      <w:tc>
        <w:tcPr>
          <w:tcW w:w="2250" w:type="pct"/>
          <w:tcBorders>
            <w:top w:val="single" w:sz="4" w:space="0" w:color="4F81BD"/>
            <w:left w:val="nil"/>
            <w:bottom w:val="nil"/>
            <w:right w:val="nil"/>
          </w:tcBorders>
        </w:tcPr>
        <w:p w:rsidR="005369BE" w:rsidRPr="005A3173" w:rsidRDefault="005369BE" w:rsidP="005A3173">
          <w:pPr>
            <w:pStyle w:val="Header"/>
            <w:spacing w:line="276" w:lineRule="auto"/>
            <w:rPr>
              <w:rFonts w:eastAsia="MS Gothic"/>
              <w:b/>
              <w:bCs/>
              <w:color w:val="4F81BD"/>
            </w:rPr>
          </w:pPr>
        </w:p>
      </w:tc>
    </w:tr>
  </w:tbl>
  <w:p w:rsidR="005369BE" w:rsidRPr="007C0F57" w:rsidRDefault="005369B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B172C6">
      <w:rPr>
        <w:rStyle w:val="PageNumber"/>
        <w:noProof/>
      </w:rPr>
      <w:t>1</w:t>
    </w:r>
    <w:r>
      <w:rPr>
        <w:rStyle w:val="PageNumber"/>
      </w:rPr>
      <w:fldChar w:fldCharType="end"/>
    </w:r>
    <w:r w:rsidRPr="007C0F57">
      <w:rPr>
        <w:b/>
        <w:i/>
        <w:sz w:val="20"/>
        <w:szCs w:val="20"/>
      </w:rPr>
      <w:t>BAC Meeting</w:t>
    </w:r>
  </w:p>
  <w:p w:rsidR="005369BE" w:rsidRPr="007C0F57" w:rsidRDefault="005369BE" w:rsidP="007C0F57">
    <w:pPr>
      <w:pStyle w:val="Footer"/>
      <w:jc w:val="center"/>
      <w:rPr>
        <w:b/>
        <w:i/>
        <w:sz w:val="20"/>
        <w:szCs w:val="20"/>
      </w:rPr>
    </w:pPr>
    <w:r w:rsidRPr="007C0F57">
      <w:rPr>
        <w:b/>
        <w:i/>
        <w:sz w:val="20"/>
        <w:szCs w:val="20"/>
      </w:rPr>
      <w:t>Commercial-in-Confidence</w:t>
    </w:r>
  </w:p>
  <w:p w:rsidR="005369BE" w:rsidRDefault="005369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F41" w:rsidRDefault="00894F41">
      <w:r>
        <w:separator/>
      </w:r>
    </w:p>
    <w:p w:rsidR="00894F41" w:rsidRDefault="00894F41"/>
  </w:footnote>
  <w:footnote w:type="continuationSeparator" w:id="0">
    <w:p w:rsidR="00894F41" w:rsidRDefault="00894F41">
      <w:r>
        <w:continuationSeparator/>
      </w:r>
    </w:p>
    <w:p w:rsidR="00894F41" w:rsidRDefault="00894F41"/>
  </w:footnote>
  <w:footnote w:id="1">
    <w:p w:rsidR="005369BE" w:rsidRDefault="005369BE" w:rsidP="00C065C7">
      <w:pPr>
        <w:pStyle w:val="FootnoteText"/>
      </w:pPr>
      <w:r>
        <w:rPr>
          <w:rStyle w:val="FootnoteReference"/>
        </w:rPr>
        <w:footnoteRef/>
      </w:r>
      <w:r>
        <w:t xml:space="preserve"> </w:t>
      </w:r>
      <w:r w:rsidRPr="008B0944">
        <w:rPr>
          <w:rFonts w:ascii="Arial Narrow" w:hAnsi="Arial Narrow"/>
          <w:sz w:val="18"/>
          <w:szCs w:val="18"/>
        </w:rPr>
        <w:t>https://immunisationhandbook.health.gov.au/vaccine-preventable-diseases/influenza-flu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5369BE" w:rsidRPr="008E0D90" w:rsidTr="00A06225">
      <w:trPr>
        <w:trHeight w:val="151"/>
      </w:trPr>
      <w:tc>
        <w:tcPr>
          <w:tcW w:w="2389" w:type="pct"/>
          <w:tcBorders>
            <w:top w:val="nil"/>
            <w:left w:val="nil"/>
            <w:bottom w:val="single" w:sz="4" w:space="0" w:color="4F81BD"/>
            <w:right w:val="nil"/>
          </w:tcBorders>
        </w:tcPr>
        <w:p w:rsidR="005369BE" w:rsidRPr="00A06225" w:rsidRDefault="005369BE">
          <w:pPr>
            <w:pStyle w:val="Header"/>
            <w:spacing w:line="276" w:lineRule="auto"/>
            <w:rPr>
              <w:rFonts w:ascii="Cambria" w:eastAsia="MS Gothic" w:hAnsi="Cambria"/>
              <w:b/>
              <w:bCs/>
              <w:color w:val="4F81BD"/>
            </w:rPr>
          </w:pPr>
        </w:p>
      </w:tc>
      <w:tc>
        <w:tcPr>
          <w:tcW w:w="333" w:type="pct"/>
          <w:vMerge w:val="restart"/>
          <w:noWrap/>
          <w:vAlign w:val="center"/>
          <w:hideMark/>
        </w:tcPr>
        <w:p w:rsidR="005369BE" w:rsidRPr="00A06225" w:rsidRDefault="005369B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5369BE" w:rsidRPr="00A06225" w:rsidRDefault="005369BE">
          <w:pPr>
            <w:pStyle w:val="Header"/>
            <w:spacing w:line="276" w:lineRule="auto"/>
            <w:rPr>
              <w:rFonts w:ascii="Cambria" w:eastAsia="MS Gothic" w:hAnsi="Cambria"/>
              <w:b/>
              <w:bCs/>
              <w:color w:val="4F81BD"/>
            </w:rPr>
          </w:pPr>
        </w:p>
      </w:tc>
    </w:tr>
    <w:tr w:rsidR="005369BE" w:rsidRPr="008E0D90" w:rsidTr="00A06225">
      <w:trPr>
        <w:trHeight w:val="150"/>
      </w:trPr>
      <w:tc>
        <w:tcPr>
          <w:tcW w:w="2389" w:type="pct"/>
          <w:tcBorders>
            <w:top w:val="single" w:sz="4" w:space="0" w:color="4F81BD"/>
            <w:left w:val="nil"/>
            <w:bottom w:val="nil"/>
            <w:right w:val="nil"/>
          </w:tcBorders>
        </w:tcPr>
        <w:p w:rsidR="005369BE" w:rsidRPr="00A06225" w:rsidRDefault="005369BE">
          <w:pPr>
            <w:pStyle w:val="Header"/>
            <w:spacing w:line="276" w:lineRule="auto"/>
            <w:rPr>
              <w:rFonts w:ascii="Cambria" w:eastAsia="MS Gothic" w:hAnsi="Cambria"/>
              <w:b/>
              <w:bCs/>
              <w:color w:val="4F81BD"/>
            </w:rPr>
          </w:pPr>
        </w:p>
      </w:tc>
      <w:tc>
        <w:tcPr>
          <w:tcW w:w="0" w:type="auto"/>
          <w:vMerge/>
          <w:vAlign w:val="center"/>
          <w:hideMark/>
        </w:tcPr>
        <w:p w:rsidR="005369BE" w:rsidRPr="00A06225" w:rsidRDefault="005369BE">
          <w:pPr>
            <w:rPr>
              <w:rFonts w:ascii="Cambria" w:hAnsi="Cambria"/>
              <w:color w:val="4F81BD"/>
              <w:sz w:val="22"/>
              <w:szCs w:val="22"/>
            </w:rPr>
          </w:pPr>
        </w:p>
      </w:tc>
      <w:tc>
        <w:tcPr>
          <w:tcW w:w="2278" w:type="pct"/>
          <w:tcBorders>
            <w:top w:val="single" w:sz="4" w:space="0" w:color="4F81BD"/>
            <w:left w:val="nil"/>
            <w:bottom w:val="nil"/>
            <w:right w:val="nil"/>
          </w:tcBorders>
        </w:tcPr>
        <w:p w:rsidR="005369BE" w:rsidRPr="00A06225" w:rsidRDefault="005369BE">
          <w:pPr>
            <w:pStyle w:val="Header"/>
            <w:spacing w:line="276" w:lineRule="auto"/>
            <w:rPr>
              <w:rFonts w:ascii="Cambria" w:eastAsia="MS Gothic" w:hAnsi="Cambria"/>
              <w:b/>
              <w:bCs/>
              <w:color w:val="4F81BD"/>
            </w:rPr>
          </w:pPr>
        </w:p>
      </w:tc>
    </w:tr>
  </w:tbl>
  <w:p w:rsidR="005369BE" w:rsidRDefault="005369BE">
    <w:pPr>
      <w:pStyle w:val="Header"/>
    </w:pPr>
  </w:p>
  <w:p w:rsidR="005369BE" w:rsidRDefault="005369B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9BE" w:rsidRPr="00DD0CAD" w:rsidRDefault="00147476" w:rsidP="00744CBE">
    <w:pPr>
      <w:tabs>
        <w:tab w:val="center" w:pos="4153"/>
        <w:tab w:val="right" w:pos="8306"/>
      </w:tabs>
      <w:autoSpaceDE w:val="0"/>
      <w:autoSpaceDN w:val="0"/>
      <w:adjustRightInd w:val="0"/>
      <w:ind w:left="360"/>
      <w:jc w:val="center"/>
      <w:rPr>
        <w:rFonts w:asciiTheme="minorHAnsi" w:hAnsiTheme="minorHAnsi" w:cstheme="minorHAnsi"/>
        <w:i/>
        <w:iCs/>
      </w:rPr>
    </w:pPr>
    <w:r>
      <w:rPr>
        <w:rFonts w:asciiTheme="minorHAnsi" w:hAnsiTheme="minorHAnsi" w:cstheme="minorHAnsi"/>
        <w:i/>
        <w:iCs/>
      </w:rPr>
      <w:t>Public Summary Document</w:t>
    </w:r>
    <w:r w:rsidR="005369BE">
      <w:rPr>
        <w:rFonts w:asciiTheme="minorHAnsi" w:hAnsiTheme="minorHAnsi" w:cstheme="minorHAnsi"/>
        <w:i/>
        <w:iCs/>
      </w:rPr>
      <w:t xml:space="preserve"> – July 2020</w:t>
    </w:r>
    <w:r w:rsidR="005369BE" w:rsidRPr="00DD0CAD">
      <w:rPr>
        <w:rFonts w:asciiTheme="minorHAnsi" w:hAnsiTheme="minorHAnsi" w:cstheme="minorHAnsi"/>
        <w:i/>
        <w:iCs/>
      </w:rPr>
      <w:t xml:space="preserve"> PBAC Meeting</w:t>
    </w:r>
  </w:p>
  <w:p w:rsidR="005369BE" w:rsidRPr="005E167A" w:rsidRDefault="005369BE" w:rsidP="00A128E6">
    <w:pPr>
      <w:pStyle w:val="NoSpacing"/>
      <w:rPr>
        <w:rFonts w:asciiTheme="minorHAnsi" w:hAnsiTheme="minorHAnsi" w:cstheme="minorHAns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15F" w:rsidRDefault="00980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502"/>
        </w:tabs>
        <w:ind w:left="502"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422F6B"/>
    <w:multiLevelType w:val="hybridMultilevel"/>
    <w:tmpl w:val="AEA4738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682342"/>
    <w:multiLevelType w:val="hybridMultilevel"/>
    <w:tmpl w:val="AA2CFA8C"/>
    <w:lvl w:ilvl="0" w:tplc="137E06C0">
      <w:start w:val="1"/>
      <w:numFmt w:val="lowerLetter"/>
      <w:lvlText w:val="(%1)"/>
      <w:lvlJc w:val="left"/>
      <w:pPr>
        <w:ind w:left="720" w:hanging="360"/>
      </w:pPr>
      <w:rPr>
        <w:rFonts w:hint="default"/>
      </w:rPr>
    </w:lvl>
    <w:lvl w:ilvl="1" w:tplc="971EE796">
      <w:start w:val="1"/>
      <w:numFmt w:val="lowerRoman"/>
      <w:lvlText w:val="(%2)"/>
      <w:lvlJc w:val="left"/>
      <w:pPr>
        <w:ind w:left="1800" w:hanging="720"/>
      </w:pPr>
      <w:rPr>
        <w:rFonts w:hint="default"/>
      </w:rPr>
    </w:lvl>
    <w:lvl w:ilvl="2" w:tplc="65DC0276">
      <w:start w:val="1"/>
      <w:numFmt w:val="lowerLetter"/>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44558"/>
    <w:multiLevelType w:val="hybridMultilevel"/>
    <w:tmpl w:val="225A2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7804A6"/>
    <w:multiLevelType w:val="hybridMultilevel"/>
    <w:tmpl w:val="31BA172C"/>
    <w:lvl w:ilvl="0" w:tplc="9CB44E96">
      <w:start w:val="1"/>
      <w:numFmt w:val="lowerRoman"/>
      <w:lvlText w:val="(%1)"/>
      <w:lvlJc w:val="righ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5A87B6A"/>
    <w:multiLevelType w:val="hybridMultilevel"/>
    <w:tmpl w:val="D8106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653F1D"/>
    <w:multiLevelType w:val="hybridMultilevel"/>
    <w:tmpl w:val="DFA202DA"/>
    <w:lvl w:ilvl="0" w:tplc="18946560">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1D688E"/>
    <w:multiLevelType w:val="hybridMultilevel"/>
    <w:tmpl w:val="510EE13A"/>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B173A90"/>
    <w:multiLevelType w:val="hybridMultilevel"/>
    <w:tmpl w:val="F97829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EA77B05"/>
    <w:multiLevelType w:val="hybridMultilevel"/>
    <w:tmpl w:val="79A42838"/>
    <w:lvl w:ilvl="0" w:tplc="0C090001">
      <w:start w:val="1"/>
      <w:numFmt w:val="bullet"/>
      <w:pStyle w:val="ListBullet3"/>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CE030BB"/>
    <w:multiLevelType w:val="hybridMultilevel"/>
    <w:tmpl w:val="44BC39A2"/>
    <w:lvl w:ilvl="0" w:tplc="C782405C">
      <w:start w:val="1"/>
      <w:numFmt w:val="lowerRoman"/>
      <w:lvlText w:val="(%1)"/>
      <w:lvlJc w:val="right"/>
      <w:pPr>
        <w:ind w:left="1440" w:hanging="360"/>
      </w:pPr>
      <w:rPr>
        <w:rFonts w:hint="default"/>
      </w:rPr>
    </w:lvl>
    <w:lvl w:ilvl="1" w:tplc="C782405C">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3" w15:restartNumberingAfterBreak="0">
    <w:nsid w:val="458D67A6"/>
    <w:multiLevelType w:val="hybridMultilevel"/>
    <w:tmpl w:val="E7508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D3476"/>
    <w:multiLevelType w:val="hybridMultilevel"/>
    <w:tmpl w:val="69CC231E"/>
    <w:lvl w:ilvl="0" w:tplc="18946560">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7305F8"/>
    <w:multiLevelType w:val="hybridMultilevel"/>
    <w:tmpl w:val="1CB0E1D2"/>
    <w:lvl w:ilvl="0" w:tplc="0C090003">
      <w:start w:val="1"/>
      <w:numFmt w:val="bullet"/>
      <w:lvlText w:val="o"/>
      <w:lvlJc w:val="left"/>
      <w:pPr>
        <w:ind w:left="1713" w:hanging="360"/>
      </w:pPr>
      <w:rPr>
        <w:rFonts w:ascii="Courier New" w:hAnsi="Courier New" w:cs="Courier New"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FD0699B"/>
    <w:multiLevelType w:val="hybridMultilevel"/>
    <w:tmpl w:val="90C2DB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F1718B2"/>
    <w:multiLevelType w:val="hybridMultilevel"/>
    <w:tmpl w:val="5B6CB1C8"/>
    <w:lvl w:ilvl="0" w:tplc="24BC8B4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C43B95"/>
    <w:multiLevelType w:val="hybridMultilevel"/>
    <w:tmpl w:val="1AEE6A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4D033C"/>
    <w:multiLevelType w:val="multilevel"/>
    <w:tmpl w:val="180619D6"/>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862"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DB13178"/>
    <w:multiLevelType w:val="hybridMultilevel"/>
    <w:tmpl w:val="F6129B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98460E8">
      <w:start w:val="5"/>
      <w:numFmt w:val="bullet"/>
      <w:lvlText w:val="-"/>
      <w:lvlJc w:val="left"/>
      <w:pPr>
        <w:ind w:left="1800" w:hanging="360"/>
      </w:pPr>
      <w:rPr>
        <w:rFonts w:ascii="Calibri" w:eastAsia="Times New Roman" w:hAnsi="Calibri" w:cs="Calibri"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E9F7F95"/>
    <w:multiLevelType w:val="hybridMultilevel"/>
    <w:tmpl w:val="FF808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2"/>
  </w:num>
  <w:num w:numId="4">
    <w:abstractNumId w:val="17"/>
  </w:num>
  <w:num w:numId="5">
    <w:abstractNumId w:val="12"/>
  </w:num>
  <w:num w:numId="6">
    <w:abstractNumId w:val="1"/>
  </w:num>
  <w:num w:numId="7">
    <w:abstractNumId w:val="22"/>
  </w:num>
  <w:num w:numId="8">
    <w:abstractNumId w:val="3"/>
  </w:num>
  <w:num w:numId="9">
    <w:abstractNumId w:val="11"/>
  </w:num>
  <w:num w:numId="10">
    <w:abstractNumId w:val="21"/>
  </w:num>
  <w:num w:numId="11">
    <w:abstractNumId w:val="6"/>
  </w:num>
  <w:num w:numId="12">
    <w:abstractNumId w:val="24"/>
  </w:num>
  <w:num w:numId="13">
    <w:abstractNumId w:val="2"/>
  </w:num>
  <w:num w:numId="14">
    <w:abstractNumId w:val="15"/>
  </w:num>
  <w:num w:numId="15">
    <w:abstractNumId w:val="23"/>
  </w:num>
  <w:num w:numId="16">
    <w:abstractNumId w:val="13"/>
  </w:num>
  <w:num w:numId="17">
    <w:abstractNumId w:val="19"/>
  </w:num>
  <w:num w:numId="18">
    <w:abstractNumId w:val="18"/>
  </w:num>
  <w:num w:numId="19">
    <w:abstractNumId w:val="8"/>
  </w:num>
  <w:num w:numId="20">
    <w:abstractNumId w:val="9"/>
  </w:num>
  <w:num w:numId="21">
    <w:abstractNumId w:val="16"/>
  </w:num>
  <w:num w:numId="22">
    <w:abstractNumId w:val="10"/>
  </w:num>
  <w:num w:numId="23">
    <w:abstractNumId w:val="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num>
  <w:num w:numId="31">
    <w:abstractNumId w:val="2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0"/>
  </w:num>
  <w:num w:numId="35">
    <w:abstractNumId w:val="14"/>
  </w:num>
  <w:num w:numId="36">
    <w:abstractNumId w:val="7"/>
  </w:num>
  <w:num w:numId="37">
    <w:abstractNumId w:val="5"/>
  </w:num>
  <w:num w:numId="38">
    <w:abstractNumId w:val="22"/>
  </w:num>
  <w:num w:numId="39">
    <w:abstractNumId w:val="22"/>
  </w:num>
  <w:num w:numId="40">
    <w:abstractNumId w:val="22"/>
  </w:num>
  <w:num w:numId="41">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1A49"/>
    <w:rsid w:val="000025AD"/>
    <w:rsid w:val="00002C7A"/>
    <w:rsid w:val="0000335D"/>
    <w:rsid w:val="00003DB9"/>
    <w:rsid w:val="00010BE8"/>
    <w:rsid w:val="00011A59"/>
    <w:rsid w:val="0001408E"/>
    <w:rsid w:val="00016A41"/>
    <w:rsid w:val="000214D1"/>
    <w:rsid w:val="0002464A"/>
    <w:rsid w:val="0002568C"/>
    <w:rsid w:val="0003106B"/>
    <w:rsid w:val="00032019"/>
    <w:rsid w:val="00034905"/>
    <w:rsid w:val="0003546D"/>
    <w:rsid w:val="000421A1"/>
    <w:rsid w:val="0004240E"/>
    <w:rsid w:val="00042504"/>
    <w:rsid w:val="00045E26"/>
    <w:rsid w:val="00045F42"/>
    <w:rsid w:val="000514B5"/>
    <w:rsid w:val="00060E64"/>
    <w:rsid w:val="0006101F"/>
    <w:rsid w:val="00066755"/>
    <w:rsid w:val="000713CC"/>
    <w:rsid w:val="00072A2A"/>
    <w:rsid w:val="000763D5"/>
    <w:rsid w:val="00076FB5"/>
    <w:rsid w:val="00077143"/>
    <w:rsid w:val="00077238"/>
    <w:rsid w:val="00082169"/>
    <w:rsid w:val="00082474"/>
    <w:rsid w:val="000829DD"/>
    <w:rsid w:val="00083290"/>
    <w:rsid w:val="00083E65"/>
    <w:rsid w:val="00085EF6"/>
    <w:rsid w:val="000918CB"/>
    <w:rsid w:val="00091B06"/>
    <w:rsid w:val="000951C4"/>
    <w:rsid w:val="00095759"/>
    <w:rsid w:val="00095ADA"/>
    <w:rsid w:val="000969AD"/>
    <w:rsid w:val="000A0132"/>
    <w:rsid w:val="000A01C9"/>
    <w:rsid w:val="000A2DC6"/>
    <w:rsid w:val="000A3AA2"/>
    <w:rsid w:val="000A3AA6"/>
    <w:rsid w:val="000A44B2"/>
    <w:rsid w:val="000A52F6"/>
    <w:rsid w:val="000A6D53"/>
    <w:rsid w:val="000B0172"/>
    <w:rsid w:val="000B3B3E"/>
    <w:rsid w:val="000B44C3"/>
    <w:rsid w:val="000B52B2"/>
    <w:rsid w:val="000B558D"/>
    <w:rsid w:val="000C25F1"/>
    <w:rsid w:val="000C5F95"/>
    <w:rsid w:val="000C6625"/>
    <w:rsid w:val="000C6996"/>
    <w:rsid w:val="000C699D"/>
    <w:rsid w:val="000D09E9"/>
    <w:rsid w:val="000D1131"/>
    <w:rsid w:val="000D113F"/>
    <w:rsid w:val="000D23BA"/>
    <w:rsid w:val="000D2747"/>
    <w:rsid w:val="000E1135"/>
    <w:rsid w:val="000E2F1B"/>
    <w:rsid w:val="000E5EA1"/>
    <w:rsid w:val="000E681E"/>
    <w:rsid w:val="000F0003"/>
    <w:rsid w:val="000F1792"/>
    <w:rsid w:val="000F3384"/>
    <w:rsid w:val="000F4E6A"/>
    <w:rsid w:val="000F7354"/>
    <w:rsid w:val="00101985"/>
    <w:rsid w:val="00101ABE"/>
    <w:rsid w:val="00102202"/>
    <w:rsid w:val="00104227"/>
    <w:rsid w:val="001107BF"/>
    <w:rsid w:val="0011168F"/>
    <w:rsid w:val="00113649"/>
    <w:rsid w:val="00120904"/>
    <w:rsid w:val="00120D62"/>
    <w:rsid w:val="00123098"/>
    <w:rsid w:val="00123A0A"/>
    <w:rsid w:val="0012417C"/>
    <w:rsid w:val="00125AA4"/>
    <w:rsid w:val="0012749D"/>
    <w:rsid w:val="00127D16"/>
    <w:rsid w:val="00132B2B"/>
    <w:rsid w:val="00137021"/>
    <w:rsid w:val="00137F24"/>
    <w:rsid w:val="00140422"/>
    <w:rsid w:val="00141E19"/>
    <w:rsid w:val="00142395"/>
    <w:rsid w:val="00142714"/>
    <w:rsid w:val="00142845"/>
    <w:rsid w:val="00143EF6"/>
    <w:rsid w:val="001452ED"/>
    <w:rsid w:val="00146523"/>
    <w:rsid w:val="00147476"/>
    <w:rsid w:val="00147D84"/>
    <w:rsid w:val="001549C1"/>
    <w:rsid w:val="00154A89"/>
    <w:rsid w:val="00162BDD"/>
    <w:rsid w:val="00162D4E"/>
    <w:rsid w:val="00163329"/>
    <w:rsid w:val="00164623"/>
    <w:rsid w:val="001652DE"/>
    <w:rsid w:val="00165B64"/>
    <w:rsid w:val="0017277D"/>
    <w:rsid w:val="00174900"/>
    <w:rsid w:val="00176104"/>
    <w:rsid w:val="00176F05"/>
    <w:rsid w:val="0018035D"/>
    <w:rsid w:val="001806FF"/>
    <w:rsid w:val="00180713"/>
    <w:rsid w:val="00180720"/>
    <w:rsid w:val="00182226"/>
    <w:rsid w:val="001830CE"/>
    <w:rsid w:val="0018643B"/>
    <w:rsid w:val="00186CAC"/>
    <w:rsid w:val="00190AE9"/>
    <w:rsid w:val="001914C9"/>
    <w:rsid w:val="00192629"/>
    <w:rsid w:val="00196307"/>
    <w:rsid w:val="001A1A41"/>
    <w:rsid w:val="001A33EA"/>
    <w:rsid w:val="001A4C4F"/>
    <w:rsid w:val="001A583C"/>
    <w:rsid w:val="001A614F"/>
    <w:rsid w:val="001A76FB"/>
    <w:rsid w:val="001B017F"/>
    <w:rsid w:val="001B039F"/>
    <w:rsid w:val="001B2BBC"/>
    <w:rsid w:val="001B3A40"/>
    <w:rsid w:val="001B3FFE"/>
    <w:rsid w:val="001B5129"/>
    <w:rsid w:val="001B52D4"/>
    <w:rsid w:val="001C0B4C"/>
    <w:rsid w:val="001C1195"/>
    <w:rsid w:val="001C2E42"/>
    <w:rsid w:val="001C5B29"/>
    <w:rsid w:val="001D1F5F"/>
    <w:rsid w:val="001E06D2"/>
    <w:rsid w:val="001E24F4"/>
    <w:rsid w:val="001E258A"/>
    <w:rsid w:val="001E4C55"/>
    <w:rsid w:val="001F005B"/>
    <w:rsid w:val="001F1850"/>
    <w:rsid w:val="001F2257"/>
    <w:rsid w:val="001F3189"/>
    <w:rsid w:val="001F4752"/>
    <w:rsid w:val="001F71C9"/>
    <w:rsid w:val="001F72A9"/>
    <w:rsid w:val="00203A75"/>
    <w:rsid w:val="00203FAC"/>
    <w:rsid w:val="002064C9"/>
    <w:rsid w:val="00213CFB"/>
    <w:rsid w:val="0021553C"/>
    <w:rsid w:val="0021557B"/>
    <w:rsid w:val="002174FD"/>
    <w:rsid w:val="00217950"/>
    <w:rsid w:val="00217BE1"/>
    <w:rsid w:val="002223A5"/>
    <w:rsid w:val="00227306"/>
    <w:rsid w:val="00234252"/>
    <w:rsid w:val="00234EB4"/>
    <w:rsid w:val="00237AC6"/>
    <w:rsid w:val="002411DF"/>
    <w:rsid w:val="00244490"/>
    <w:rsid w:val="00245B9C"/>
    <w:rsid w:val="0025014E"/>
    <w:rsid w:val="002517FF"/>
    <w:rsid w:val="00253499"/>
    <w:rsid w:val="002551A4"/>
    <w:rsid w:val="00255ABC"/>
    <w:rsid w:val="00257664"/>
    <w:rsid w:val="00257E64"/>
    <w:rsid w:val="00263BE7"/>
    <w:rsid w:val="002640A5"/>
    <w:rsid w:val="00265151"/>
    <w:rsid w:val="002664C3"/>
    <w:rsid w:val="00266509"/>
    <w:rsid w:val="00271BA1"/>
    <w:rsid w:val="00271BDA"/>
    <w:rsid w:val="002762FA"/>
    <w:rsid w:val="00277505"/>
    <w:rsid w:val="00280ABD"/>
    <w:rsid w:val="002823B6"/>
    <w:rsid w:val="00286F16"/>
    <w:rsid w:val="00291E1A"/>
    <w:rsid w:val="00294274"/>
    <w:rsid w:val="0029458F"/>
    <w:rsid w:val="002949EC"/>
    <w:rsid w:val="0029649C"/>
    <w:rsid w:val="002A0E04"/>
    <w:rsid w:val="002A104C"/>
    <w:rsid w:val="002A1A0E"/>
    <w:rsid w:val="002A1EF7"/>
    <w:rsid w:val="002A1F4F"/>
    <w:rsid w:val="002A2C65"/>
    <w:rsid w:val="002A400F"/>
    <w:rsid w:val="002A494D"/>
    <w:rsid w:val="002A4960"/>
    <w:rsid w:val="002A6ABF"/>
    <w:rsid w:val="002A6B37"/>
    <w:rsid w:val="002A77FB"/>
    <w:rsid w:val="002A7DD2"/>
    <w:rsid w:val="002B0AE0"/>
    <w:rsid w:val="002B193F"/>
    <w:rsid w:val="002B1AE6"/>
    <w:rsid w:val="002B1D51"/>
    <w:rsid w:val="002B2DE8"/>
    <w:rsid w:val="002B30F8"/>
    <w:rsid w:val="002B388A"/>
    <w:rsid w:val="002B3DE2"/>
    <w:rsid w:val="002B5596"/>
    <w:rsid w:val="002C212F"/>
    <w:rsid w:val="002C38EF"/>
    <w:rsid w:val="002C719A"/>
    <w:rsid w:val="002C7485"/>
    <w:rsid w:val="002C7A25"/>
    <w:rsid w:val="002D283A"/>
    <w:rsid w:val="002D34FB"/>
    <w:rsid w:val="002D4543"/>
    <w:rsid w:val="002D468B"/>
    <w:rsid w:val="002D60A7"/>
    <w:rsid w:val="002D72D4"/>
    <w:rsid w:val="002E3153"/>
    <w:rsid w:val="002E5292"/>
    <w:rsid w:val="002E72CA"/>
    <w:rsid w:val="002F2F8F"/>
    <w:rsid w:val="002F600D"/>
    <w:rsid w:val="00300AD6"/>
    <w:rsid w:val="00300B1B"/>
    <w:rsid w:val="00301418"/>
    <w:rsid w:val="003019D0"/>
    <w:rsid w:val="003064AF"/>
    <w:rsid w:val="00310B68"/>
    <w:rsid w:val="00312D28"/>
    <w:rsid w:val="00313316"/>
    <w:rsid w:val="003150FE"/>
    <w:rsid w:val="00316642"/>
    <w:rsid w:val="003178E8"/>
    <w:rsid w:val="00317C6C"/>
    <w:rsid w:val="0032092E"/>
    <w:rsid w:val="00320CD3"/>
    <w:rsid w:val="00325455"/>
    <w:rsid w:val="00326E79"/>
    <w:rsid w:val="003301B1"/>
    <w:rsid w:val="0033061E"/>
    <w:rsid w:val="00331189"/>
    <w:rsid w:val="0033263D"/>
    <w:rsid w:val="0033518A"/>
    <w:rsid w:val="003367EF"/>
    <w:rsid w:val="00341AE4"/>
    <w:rsid w:val="0034585B"/>
    <w:rsid w:val="00345FE9"/>
    <w:rsid w:val="003476EE"/>
    <w:rsid w:val="0035054E"/>
    <w:rsid w:val="00350C6E"/>
    <w:rsid w:val="003541DD"/>
    <w:rsid w:val="00355D10"/>
    <w:rsid w:val="00356E5B"/>
    <w:rsid w:val="0036195B"/>
    <w:rsid w:val="00365494"/>
    <w:rsid w:val="003658B1"/>
    <w:rsid w:val="00365D9C"/>
    <w:rsid w:val="003677E7"/>
    <w:rsid w:val="00370CE0"/>
    <w:rsid w:val="00372062"/>
    <w:rsid w:val="003736C9"/>
    <w:rsid w:val="00384988"/>
    <w:rsid w:val="003872CF"/>
    <w:rsid w:val="00387311"/>
    <w:rsid w:val="0039782C"/>
    <w:rsid w:val="003A2A56"/>
    <w:rsid w:val="003A2C2B"/>
    <w:rsid w:val="003A2D7E"/>
    <w:rsid w:val="003A41D2"/>
    <w:rsid w:val="003A4540"/>
    <w:rsid w:val="003A5B4A"/>
    <w:rsid w:val="003A5D95"/>
    <w:rsid w:val="003B0476"/>
    <w:rsid w:val="003B23C5"/>
    <w:rsid w:val="003B2A75"/>
    <w:rsid w:val="003B441C"/>
    <w:rsid w:val="003B454A"/>
    <w:rsid w:val="003B4E24"/>
    <w:rsid w:val="003B5896"/>
    <w:rsid w:val="003B6124"/>
    <w:rsid w:val="003C093A"/>
    <w:rsid w:val="003C1ECF"/>
    <w:rsid w:val="003C2FB5"/>
    <w:rsid w:val="003D1123"/>
    <w:rsid w:val="003D24C5"/>
    <w:rsid w:val="003D4AC4"/>
    <w:rsid w:val="003D63B7"/>
    <w:rsid w:val="003D74C5"/>
    <w:rsid w:val="003E468B"/>
    <w:rsid w:val="003E5F28"/>
    <w:rsid w:val="003E62BD"/>
    <w:rsid w:val="003F0C3A"/>
    <w:rsid w:val="003F0FBC"/>
    <w:rsid w:val="003F15D6"/>
    <w:rsid w:val="003F1899"/>
    <w:rsid w:val="003F3228"/>
    <w:rsid w:val="003F524F"/>
    <w:rsid w:val="003F5C8C"/>
    <w:rsid w:val="003F63CE"/>
    <w:rsid w:val="003F775A"/>
    <w:rsid w:val="00400E55"/>
    <w:rsid w:val="0040128E"/>
    <w:rsid w:val="0040216B"/>
    <w:rsid w:val="004027BA"/>
    <w:rsid w:val="004041C4"/>
    <w:rsid w:val="00405FDA"/>
    <w:rsid w:val="00411FF7"/>
    <w:rsid w:val="00423639"/>
    <w:rsid w:val="00423CC2"/>
    <w:rsid w:val="00424519"/>
    <w:rsid w:val="004252EC"/>
    <w:rsid w:val="00430D39"/>
    <w:rsid w:val="00432352"/>
    <w:rsid w:val="00432FAA"/>
    <w:rsid w:val="00433FD7"/>
    <w:rsid w:val="00434583"/>
    <w:rsid w:val="00434732"/>
    <w:rsid w:val="00445005"/>
    <w:rsid w:val="00445A06"/>
    <w:rsid w:val="004465BD"/>
    <w:rsid w:val="00446938"/>
    <w:rsid w:val="004505ED"/>
    <w:rsid w:val="0045155A"/>
    <w:rsid w:val="00461A44"/>
    <w:rsid w:val="00465ABE"/>
    <w:rsid w:val="00466ADA"/>
    <w:rsid w:val="004702BB"/>
    <w:rsid w:val="004712A4"/>
    <w:rsid w:val="0047170F"/>
    <w:rsid w:val="00473DF0"/>
    <w:rsid w:val="0047494B"/>
    <w:rsid w:val="00476245"/>
    <w:rsid w:val="00477A9B"/>
    <w:rsid w:val="00483035"/>
    <w:rsid w:val="004833FC"/>
    <w:rsid w:val="00484DA3"/>
    <w:rsid w:val="00485940"/>
    <w:rsid w:val="004904B9"/>
    <w:rsid w:val="00492D06"/>
    <w:rsid w:val="00496933"/>
    <w:rsid w:val="004A06B8"/>
    <w:rsid w:val="004A083C"/>
    <w:rsid w:val="004A2484"/>
    <w:rsid w:val="004A5A85"/>
    <w:rsid w:val="004A71D1"/>
    <w:rsid w:val="004A7C5B"/>
    <w:rsid w:val="004B1845"/>
    <w:rsid w:val="004B2E98"/>
    <w:rsid w:val="004B3784"/>
    <w:rsid w:val="004B40B8"/>
    <w:rsid w:val="004B5640"/>
    <w:rsid w:val="004B7433"/>
    <w:rsid w:val="004C03D0"/>
    <w:rsid w:val="004C1462"/>
    <w:rsid w:val="004C1BD7"/>
    <w:rsid w:val="004C31FE"/>
    <w:rsid w:val="004C524C"/>
    <w:rsid w:val="004C5FFA"/>
    <w:rsid w:val="004C6281"/>
    <w:rsid w:val="004C67A0"/>
    <w:rsid w:val="004C691D"/>
    <w:rsid w:val="004C6C07"/>
    <w:rsid w:val="004C7844"/>
    <w:rsid w:val="004D078E"/>
    <w:rsid w:val="004D2075"/>
    <w:rsid w:val="004D2B28"/>
    <w:rsid w:val="004D4FF6"/>
    <w:rsid w:val="004D5364"/>
    <w:rsid w:val="004D542D"/>
    <w:rsid w:val="004D70EB"/>
    <w:rsid w:val="004E1E08"/>
    <w:rsid w:val="004E35DA"/>
    <w:rsid w:val="004E692D"/>
    <w:rsid w:val="004E7D87"/>
    <w:rsid w:val="004F2553"/>
    <w:rsid w:val="00501554"/>
    <w:rsid w:val="00502AFE"/>
    <w:rsid w:val="00503AD7"/>
    <w:rsid w:val="00504B9D"/>
    <w:rsid w:val="00504E0C"/>
    <w:rsid w:val="005109A3"/>
    <w:rsid w:val="005109D4"/>
    <w:rsid w:val="00511471"/>
    <w:rsid w:val="00514CD7"/>
    <w:rsid w:val="00516DDF"/>
    <w:rsid w:val="00520D6A"/>
    <w:rsid w:val="00522DB6"/>
    <w:rsid w:val="005251E6"/>
    <w:rsid w:val="00525FF0"/>
    <w:rsid w:val="0052792D"/>
    <w:rsid w:val="00530B05"/>
    <w:rsid w:val="005319B2"/>
    <w:rsid w:val="00532402"/>
    <w:rsid w:val="00532C74"/>
    <w:rsid w:val="00534E2E"/>
    <w:rsid w:val="0053515C"/>
    <w:rsid w:val="005369A3"/>
    <w:rsid w:val="005369BE"/>
    <w:rsid w:val="00537899"/>
    <w:rsid w:val="00542EAC"/>
    <w:rsid w:val="00544552"/>
    <w:rsid w:val="00545130"/>
    <w:rsid w:val="00545AB8"/>
    <w:rsid w:val="00546553"/>
    <w:rsid w:val="00547D08"/>
    <w:rsid w:val="0055286A"/>
    <w:rsid w:val="0055465C"/>
    <w:rsid w:val="00555745"/>
    <w:rsid w:val="00557D4F"/>
    <w:rsid w:val="0056484E"/>
    <w:rsid w:val="005651A0"/>
    <w:rsid w:val="00573402"/>
    <w:rsid w:val="005735A2"/>
    <w:rsid w:val="005764CD"/>
    <w:rsid w:val="00577C4D"/>
    <w:rsid w:val="00580532"/>
    <w:rsid w:val="00581932"/>
    <w:rsid w:val="00582B0A"/>
    <w:rsid w:val="00582D26"/>
    <w:rsid w:val="00582F50"/>
    <w:rsid w:val="00587285"/>
    <w:rsid w:val="00594B25"/>
    <w:rsid w:val="005963BB"/>
    <w:rsid w:val="00596A4B"/>
    <w:rsid w:val="005A2169"/>
    <w:rsid w:val="005A2189"/>
    <w:rsid w:val="005A3173"/>
    <w:rsid w:val="005A3223"/>
    <w:rsid w:val="005A3DA3"/>
    <w:rsid w:val="005A52C4"/>
    <w:rsid w:val="005B5C82"/>
    <w:rsid w:val="005B603A"/>
    <w:rsid w:val="005B7F18"/>
    <w:rsid w:val="005C4F73"/>
    <w:rsid w:val="005C5A5E"/>
    <w:rsid w:val="005C6024"/>
    <w:rsid w:val="005C689B"/>
    <w:rsid w:val="005D03AB"/>
    <w:rsid w:val="005D0DB7"/>
    <w:rsid w:val="005D5017"/>
    <w:rsid w:val="005D63FA"/>
    <w:rsid w:val="005D799E"/>
    <w:rsid w:val="005E02BF"/>
    <w:rsid w:val="005E0D82"/>
    <w:rsid w:val="005E1333"/>
    <w:rsid w:val="005E167A"/>
    <w:rsid w:val="005E3136"/>
    <w:rsid w:val="005E438B"/>
    <w:rsid w:val="005E507D"/>
    <w:rsid w:val="005E5CE9"/>
    <w:rsid w:val="005F12F8"/>
    <w:rsid w:val="005F518D"/>
    <w:rsid w:val="005F7138"/>
    <w:rsid w:val="00600B03"/>
    <w:rsid w:val="00601A91"/>
    <w:rsid w:val="00602BA3"/>
    <w:rsid w:val="006048C6"/>
    <w:rsid w:val="00605B63"/>
    <w:rsid w:val="00605F9A"/>
    <w:rsid w:val="00606C96"/>
    <w:rsid w:val="00606EED"/>
    <w:rsid w:val="00610869"/>
    <w:rsid w:val="00612E34"/>
    <w:rsid w:val="00614159"/>
    <w:rsid w:val="00616C2B"/>
    <w:rsid w:val="00616C5F"/>
    <w:rsid w:val="00616DAC"/>
    <w:rsid w:val="0061748A"/>
    <w:rsid w:val="00617C00"/>
    <w:rsid w:val="0062041B"/>
    <w:rsid w:val="00620B2F"/>
    <w:rsid w:val="0062309C"/>
    <w:rsid w:val="0062512E"/>
    <w:rsid w:val="006263BF"/>
    <w:rsid w:val="0062748A"/>
    <w:rsid w:val="00630A2C"/>
    <w:rsid w:val="006316A6"/>
    <w:rsid w:val="00632BBB"/>
    <w:rsid w:val="0063682E"/>
    <w:rsid w:val="00642C08"/>
    <w:rsid w:val="00642DA8"/>
    <w:rsid w:val="006436CD"/>
    <w:rsid w:val="00644FFA"/>
    <w:rsid w:val="0064709A"/>
    <w:rsid w:val="00650D20"/>
    <w:rsid w:val="00651169"/>
    <w:rsid w:val="00651CD3"/>
    <w:rsid w:val="00653D69"/>
    <w:rsid w:val="0065465E"/>
    <w:rsid w:val="006552E6"/>
    <w:rsid w:val="00655794"/>
    <w:rsid w:val="00657C63"/>
    <w:rsid w:val="006619CE"/>
    <w:rsid w:val="006670BE"/>
    <w:rsid w:val="00670A76"/>
    <w:rsid w:val="006711AA"/>
    <w:rsid w:val="0067126A"/>
    <w:rsid w:val="00672B57"/>
    <w:rsid w:val="00673F1F"/>
    <w:rsid w:val="00674992"/>
    <w:rsid w:val="00675622"/>
    <w:rsid w:val="0067747D"/>
    <w:rsid w:val="006818D5"/>
    <w:rsid w:val="00681CA4"/>
    <w:rsid w:val="00684DFD"/>
    <w:rsid w:val="0069039D"/>
    <w:rsid w:val="006906DB"/>
    <w:rsid w:val="00691E6C"/>
    <w:rsid w:val="006931F1"/>
    <w:rsid w:val="006934C1"/>
    <w:rsid w:val="00693DFB"/>
    <w:rsid w:val="0069501D"/>
    <w:rsid w:val="00696129"/>
    <w:rsid w:val="00697CF2"/>
    <w:rsid w:val="006A12A5"/>
    <w:rsid w:val="006A3134"/>
    <w:rsid w:val="006A4150"/>
    <w:rsid w:val="006A5E20"/>
    <w:rsid w:val="006B0D94"/>
    <w:rsid w:val="006B485D"/>
    <w:rsid w:val="006B6388"/>
    <w:rsid w:val="006C2981"/>
    <w:rsid w:val="006C2EF4"/>
    <w:rsid w:val="006C334C"/>
    <w:rsid w:val="006C3D8C"/>
    <w:rsid w:val="006C708E"/>
    <w:rsid w:val="006C70AC"/>
    <w:rsid w:val="006D1023"/>
    <w:rsid w:val="006D14E7"/>
    <w:rsid w:val="006D4444"/>
    <w:rsid w:val="006D6493"/>
    <w:rsid w:val="006D6EC7"/>
    <w:rsid w:val="006E1BCD"/>
    <w:rsid w:val="006F0A71"/>
    <w:rsid w:val="006F0E1A"/>
    <w:rsid w:val="006F18A1"/>
    <w:rsid w:val="006F2849"/>
    <w:rsid w:val="006F40C2"/>
    <w:rsid w:val="006F5125"/>
    <w:rsid w:val="006F6C9A"/>
    <w:rsid w:val="006F733D"/>
    <w:rsid w:val="00702B6F"/>
    <w:rsid w:val="00702D07"/>
    <w:rsid w:val="00706A2F"/>
    <w:rsid w:val="0070718E"/>
    <w:rsid w:val="00710259"/>
    <w:rsid w:val="0071031F"/>
    <w:rsid w:val="0071340B"/>
    <w:rsid w:val="00715BBB"/>
    <w:rsid w:val="00715F4E"/>
    <w:rsid w:val="007174BB"/>
    <w:rsid w:val="0072025D"/>
    <w:rsid w:val="0072298A"/>
    <w:rsid w:val="00723B4F"/>
    <w:rsid w:val="0073137C"/>
    <w:rsid w:val="00731F4E"/>
    <w:rsid w:val="007343ED"/>
    <w:rsid w:val="007353D3"/>
    <w:rsid w:val="0074156B"/>
    <w:rsid w:val="00742E73"/>
    <w:rsid w:val="00743090"/>
    <w:rsid w:val="007436EA"/>
    <w:rsid w:val="00744CBE"/>
    <w:rsid w:val="00745F6D"/>
    <w:rsid w:val="00747092"/>
    <w:rsid w:val="007504F8"/>
    <w:rsid w:val="00751F74"/>
    <w:rsid w:val="007530C6"/>
    <w:rsid w:val="00753543"/>
    <w:rsid w:val="007555E8"/>
    <w:rsid w:val="0076420C"/>
    <w:rsid w:val="00766C32"/>
    <w:rsid w:val="00767749"/>
    <w:rsid w:val="00771D07"/>
    <w:rsid w:val="00773BE3"/>
    <w:rsid w:val="00774166"/>
    <w:rsid w:val="00774E2C"/>
    <w:rsid w:val="00774E2D"/>
    <w:rsid w:val="007753C2"/>
    <w:rsid w:val="007834D2"/>
    <w:rsid w:val="007838B8"/>
    <w:rsid w:val="007915BA"/>
    <w:rsid w:val="007A3E14"/>
    <w:rsid w:val="007A55B0"/>
    <w:rsid w:val="007B142A"/>
    <w:rsid w:val="007B278F"/>
    <w:rsid w:val="007B3DDC"/>
    <w:rsid w:val="007B72A6"/>
    <w:rsid w:val="007C0F57"/>
    <w:rsid w:val="007C14E6"/>
    <w:rsid w:val="007C1EEB"/>
    <w:rsid w:val="007C40B6"/>
    <w:rsid w:val="007C729F"/>
    <w:rsid w:val="007C7625"/>
    <w:rsid w:val="007C7BC1"/>
    <w:rsid w:val="007D217B"/>
    <w:rsid w:val="007D503D"/>
    <w:rsid w:val="007D7E59"/>
    <w:rsid w:val="007E1D28"/>
    <w:rsid w:val="007E502F"/>
    <w:rsid w:val="007F0021"/>
    <w:rsid w:val="007F221F"/>
    <w:rsid w:val="007F2641"/>
    <w:rsid w:val="007F3BF9"/>
    <w:rsid w:val="007F4F7A"/>
    <w:rsid w:val="007F7C36"/>
    <w:rsid w:val="00802C52"/>
    <w:rsid w:val="00806796"/>
    <w:rsid w:val="00811CC0"/>
    <w:rsid w:val="00812D08"/>
    <w:rsid w:val="0081458A"/>
    <w:rsid w:val="008151D6"/>
    <w:rsid w:val="00821527"/>
    <w:rsid w:val="00822D21"/>
    <w:rsid w:val="00823956"/>
    <w:rsid w:val="008268BB"/>
    <w:rsid w:val="00826F6D"/>
    <w:rsid w:val="00827291"/>
    <w:rsid w:val="00827D57"/>
    <w:rsid w:val="008306F3"/>
    <w:rsid w:val="00830E40"/>
    <w:rsid w:val="00831D08"/>
    <w:rsid w:val="00835928"/>
    <w:rsid w:val="00835C62"/>
    <w:rsid w:val="008436FD"/>
    <w:rsid w:val="008454A1"/>
    <w:rsid w:val="00847EC0"/>
    <w:rsid w:val="008516EF"/>
    <w:rsid w:val="008525AF"/>
    <w:rsid w:val="00855FD6"/>
    <w:rsid w:val="00856DDD"/>
    <w:rsid w:val="008576EC"/>
    <w:rsid w:val="00857B2C"/>
    <w:rsid w:val="008607BE"/>
    <w:rsid w:val="00863A26"/>
    <w:rsid w:val="00863E68"/>
    <w:rsid w:val="008647B5"/>
    <w:rsid w:val="00866F0E"/>
    <w:rsid w:val="008674DD"/>
    <w:rsid w:val="00875DCB"/>
    <w:rsid w:val="008770AA"/>
    <w:rsid w:val="00882085"/>
    <w:rsid w:val="00883188"/>
    <w:rsid w:val="00884529"/>
    <w:rsid w:val="00886439"/>
    <w:rsid w:val="008918DF"/>
    <w:rsid w:val="008927A9"/>
    <w:rsid w:val="00894F41"/>
    <w:rsid w:val="00897B98"/>
    <w:rsid w:val="00897D58"/>
    <w:rsid w:val="00897F22"/>
    <w:rsid w:val="008A0B39"/>
    <w:rsid w:val="008A1956"/>
    <w:rsid w:val="008A2515"/>
    <w:rsid w:val="008A4937"/>
    <w:rsid w:val="008A50F1"/>
    <w:rsid w:val="008A59D9"/>
    <w:rsid w:val="008A62F5"/>
    <w:rsid w:val="008A6819"/>
    <w:rsid w:val="008B2EC0"/>
    <w:rsid w:val="008B5567"/>
    <w:rsid w:val="008B5A9B"/>
    <w:rsid w:val="008C0231"/>
    <w:rsid w:val="008C2B58"/>
    <w:rsid w:val="008C4849"/>
    <w:rsid w:val="008D0697"/>
    <w:rsid w:val="008D113C"/>
    <w:rsid w:val="008D1B5C"/>
    <w:rsid w:val="008D2802"/>
    <w:rsid w:val="008D3C82"/>
    <w:rsid w:val="008D3DA1"/>
    <w:rsid w:val="008D447E"/>
    <w:rsid w:val="008D7A41"/>
    <w:rsid w:val="008E063E"/>
    <w:rsid w:val="008E1787"/>
    <w:rsid w:val="008E2C72"/>
    <w:rsid w:val="008E3680"/>
    <w:rsid w:val="008E568A"/>
    <w:rsid w:val="008E5870"/>
    <w:rsid w:val="008E7035"/>
    <w:rsid w:val="008F0213"/>
    <w:rsid w:val="008F1434"/>
    <w:rsid w:val="008F1767"/>
    <w:rsid w:val="008F27B3"/>
    <w:rsid w:val="008F54C3"/>
    <w:rsid w:val="008F6F37"/>
    <w:rsid w:val="008F7355"/>
    <w:rsid w:val="00900526"/>
    <w:rsid w:val="009014A5"/>
    <w:rsid w:val="009022E8"/>
    <w:rsid w:val="009023DC"/>
    <w:rsid w:val="009027C5"/>
    <w:rsid w:val="009067B7"/>
    <w:rsid w:val="00907D78"/>
    <w:rsid w:val="00912E70"/>
    <w:rsid w:val="00913BD7"/>
    <w:rsid w:val="00917D69"/>
    <w:rsid w:val="00926560"/>
    <w:rsid w:val="00930561"/>
    <w:rsid w:val="00930937"/>
    <w:rsid w:val="009324A6"/>
    <w:rsid w:val="00933E6C"/>
    <w:rsid w:val="00936E50"/>
    <w:rsid w:val="0093762A"/>
    <w:rsid w:val="0093790F"/>
    <w:rsid w:val="00937958"/>
    <w:rsid w:val="00941602"/>
    <w:rsid w:val="00941CAB"/>
    <w:rsid w:val="00942160"/>
    <w:rsid w:val="00944F72"/>
    <w:rsid w:val="0095146F"/>
    <w:rsid w:val="0095215B"/>
    <w:rsid w:val="0095393A"/>
    <w:rsid w:val="009557FC"/>
    <w:rsid w:val="00957944"/>
    <w:rsid w:val="009602C5"/>
    <w:rsid w:val="00962223"/>
    <w:rsid w:val="00962FE2"/>
    <w:rsid w:val="00966D0D"/>
    <w:rsid w:val="0096783C"/>
    <w:rsid w:val="0097069B"/>
    <w:rsid w:val="009722B3"/>
    <w:rsid w:val="009726C7"/>
    <w:rsid w:val="00973025"/>
    <w:rsid w:val="00974C21"/>
    <w:rsid w:val="00974E22"/>
    <w:rsid w:val="00975948"/>
    <w:rsid w:val="00977BF3"/>
    <w:rsid w:val="0098015F"/>
    <w:rsid w:val="009803E4"/>
    <w:rsid w:val="00980B0E"/>
    <w:rsid w:val="00983544"/>
    <w:rsid w:val="009836A3"/>
    <w:rsid w:val="0098551E"/>
    <w:rsid w:val="009855A8"/>
    <w:rsid w:val="009913F4"/>
    <w:rsid w:val="00994659"/>
    <w:rsid w:val="0099465B"/>
    <w:rsid w:val="00994F81"/>
    <w:rsid w:val="00996C4D"/>
    <w:rsid w:val="00996F4D"/>
    <w:rsid w:val="009976A1"/>
    <w:rsid w:val="009A074F"/>
    <w:rsid w:val="009A0CDD"/>
    <w:rsid w:val="009A20AC"/>
    <w:rsid w:val="009A3168"/>
    <w:rsid w:val="009A61CA"/>
    <w:rsid w:val="009B0C64"/>
    <w:rsid w:val="009B0F67"/>
    <w:rsid w:val="009B38E5"/>
    <w:rsid w:val="009B44CF"/>
    <w:rsid w:val="009B6A8B"/>
    <w:rsid w:val="009C3A8D"/>
    <w:rsid w:val="009C5302"/>
    <w:rsid w:val="009C62C9"/>
    <w:rsid w:val="009C703C"/>
    <w:rsid w:val="009D206E"/>
    <w:rsid w:val="009D2C07"/>
    <w:rsid w:val="009D3CAA"/>
    <w:rsid w:val="009D4203"/>
    <w:rsid w:val="009D52EB"/>
    <w:rsid w:val="009D6532"/>
    <w:rsid w:val="009E1DE1"/>
    <w:rsid w:val="009E26F0"/>
    <w:rsid w:val="009E2E6A"/>
    <w:rsid w:val="009E2E8E"/>
    <w:rsid w:val="009E31C9"/>
    <w:rsid w:val="009E40E1"/>
    <w:rsid w:val="009E7B68"/>
    <w:rsid w:val="009F0EFA"/>
    <w:rsid w:val="009F1F02"/>
    <w:rsid w:val="009F35B5"/>
    <w:rsid w:val="009F3636"/>
    <w:rsid w:val="009F4E46"/>
    <w:rsid w:val="009F5B65"/>
    <w:rsid w:val="009F5F2E"/>
    <w:rsid w:val="00A00AF4"/>
    <w:rsid w:val="00A01432"/>
    <w:rsid w:val="00A01C27"/>
    <w:rsid w:val="00A04714"/>
    <w:rsid w:val="00A0526F"/>
    <w:rsid w:val="00A06225"/>
    <w:rsid w:val="00A128E6"/>
    <w:rsid w:val="00A144D3"/>
    <w:rsid w:val="00A200E2"/>
    <w:rsid w:val="00A21A54"/>
    <w:rsid w:val="00A22AC3"/>
    <w:rsid w:val="00A23F07"/>
    <w:rsid w:val="00A23F3F"/>
    <w:rsid w:val="00A24067"/>
    <w:rsid w:val="00A2744D"/>
    <w:rsid w:val="00A32682"/>
    <w:rsid w:val="00A34E6C"/>
    <w:rsid w:val="00A35AD4"/>
    <w:rsid w:val="00A36398"/>
    <w:rsid w:val="00A37C8D"/>
    <w:rsid w:val="00A4020E"/>
    <w:rsid w:val="00A40FB5"/>
    <w:rsid w:val="00A42826"/>
    <w:rsid w:val="00A429B3"/>
    <w:rsid w:val="00A5273B"/>
    <w:rsid w:val="00A53A9D"/>
    <w:rsid w:val="00A55FEE"/>
    <w:rsid w:val="00A57422"/>
    <w:rsid w:val="00A6041C"/>
    <w:rsid w:val="00A62C1A"/>
    <w:rsid w:val="00A6426D"/>
    <w:rsid w:val="00A650C7"/>
    <w:rsid w:val="00A665C1"/>
    <w:rsid w:val="00A66C97"/>
    <w:rsid w:val="00A673A4"/>
    <w:rsid w:val="00A70622"/>
    <w:rsid w:val="00A70977"/>
    <w:rsid w:val="00A70D58"/>
    <w:rsid w:val="00A70FF7"/>
    <w:rsid w:val="00A744F9"/>
    <w:rsid w:val="00A7551F"/>
    <w:rsid w:val="00A77613"/>
    <w:rsid w:val="00A81851"/>
    <w:rsid w:val="00A829E0"/>
    <w:rsid w:val="00A83004"/>
    <w:rsid w:val="00A8390C"/>
    <w:rsid w:val="00A84D34"/>
    <w:rsid w:val="00A85675"/>
    <w:rsid w:val="00A8663C"/>
    <w:rsid w:val="00A86AE0"/>
    <w:rsid w:val="00A87D93"/>
    <w:rsid w:val="00A928BD"/>
    <w:rsid w:val="00A94534"/>
    <w:rsid w:val="00A946D9"/>
    <w:rsid w:val="00A97DE9"/>
    <w:rsid w:val="00AA12CD"/>
    <w:rsid w:val="00AA4D1C"/>
    <w:rsid w:val="00AA52FD"/>
    <w:rsid w:val="00AB38A2"/>
    <w:rsid w:val="00AB4E11"/>
    <w:rsid w:val="00AB5856"/>
    <w:rsid w:val="00AC0117"/>
    <w:rsid w:val="00AC193C"/>
    <w:rsid w:val="00AC4C57"/>
    <w:rsid w:val="00AC4DE5"/>
    <w:rsid w:val="00AC5206"/>
    <w:rsid w:val="00AC5479"/>
    <w:rsid w:val="00AC6989"/>
    <w:rsid w:val="00AD2D70"/>
    <w:rsid w:val="00AD4093"/>
    <w:rsid w:val="00AD4322"/>
    <w:rsid w:val="00AE0D79"/>
    <w:rsid w:val="00AE11A5"/>
    <w:rsid w:val="00AE13E2"/>
    <w:rsid w:val="00AE22D3"/>
    <w:rsid w:val="00AE3D8F"/>
    <w:rsid w:val="00AE4682"/>
    <w:rsid w:val="00AE5A49"/>
    <w:rsid w:val="00AE6C23"/>
    <w:rsid w:val="00AE7382"/>
    <w:rsid w:val="00AF0331"/>
    <w:rsid w:val="00AF0738"/>
    <w:rsid w:val="00AF0911"/>
    <w:rsid w:val="00AF62DF"/>
    <w:rsid w:val="00AF68CC"/>
    <w:rsid w:val="00AF70D7"/>
    <w:rsid w:val="00B002B3"/>
    <w:rsid w:val="00B01FB0"/>
    <w:rsid w:val="00B047BF"/>
    <w:rsid w:val="00B06478"/>
    <w:rsid w:val="00B07CFB"/>
    <w:rsid w:val="00B1003A"/>
    <w:rsid w:val="00B1059E"/>
    <w:rsid w:val="00B11E26"/>
    <w:rsid w:val="00B133A8"/>
    <w:rsid w:val="00B16273"/>
    <w:rsid w:val="00B170A5"/>
    <w:rsid w:val="00B172C6"/>
    <w:rsid w:val="00B176C8"/>
    <w:rsid w:val="00B17EE5"/>
    <w:rsid w:val="00B205AA"/>
    <w:rsid w:val="00B218AB"/>
    <w:rsid w:val="00B21BEC"/>
    <w:rsid w:val="00B22E84"/>
    <w:rsid w:val="00B233AD"/>
    <w:rsid w:val="00B23E25"/>
    <w:rsid w:val="00B25902"/>
    <w:rsid w:val="00B25F75"/>
    <w:rsid w:val="00B26B3F"/>
    <w:rsid w:val="00B2778F"/>
    <w:rsid w:val="00B33635"/>
    <w:rsid w:val="00B33B86"/>
    <w:rsid w:val="00B42AF4"/>
    <w:rsid w:val="00B43E90"/>
    <w:rsid w:val="00B44100"/>
    <w:rsid w:val="00B467DC"/>
    <w:rsid w:val="00B52581"/>
    <w:rsid w:val="00B56118"/>
    <w:rsid w:val="00B57B4D"/>
    <w:rsid w:val="00B61797"/>
    <w:rsid w:val="00B64473"/>
    <w:rsid w:val="00B6773F"/>
    <w:rsid w:val="00B70EB3"/>
    <w:rsid w:val="00B7525E"/>
    <w:rsid w:val="00B760FB"/>
    <w:rsid w:val="00B767AB"/>
    <w:rsid w:val="00B77021"/>
    <w:rsid w:val="00B77254"/>
    <w:rsid w:val="00B801BA"/>
    <w:rsid w:val="00B84D5C"/>
    <w:rsid w:val="00B85EDA"/>
    <w:rsid w:val="00B867D7"/>
    <w:rsid w:val="00B86EFF"/>
    <w:rsid w:val="00B90B4C"/>
    <w:rsid w:val="00B90CE9"/>
    <w:rsid w:val="00B9142C"/>
    <w:rsid w:val="00B94388"/>
    <w:rsid w:val="00BA0A8A"/>
    <w:rsid w:val="00BA20DE"/>
    <w:rsid w:val="00BA2DA8"/>
    <w:rsid w:val="00BA347C"/>
    <w:rsid w:val="00BB0905"/>
    <w:rsid w:val="00BB0944"/>
    <w:rsid w:val="00BB2161"/>
    <w:rsid w:val="00BB286D"/>
    <w:rsid w:val="00BB3B78"/>
    <w:rsid w:val="00BB3DE8"/>
    <w:rsid w:val="00BB5840"/>
    <w:rsid w:val="00BB5C49"/>
    <w:rsid w:val="00BB69F5"/>
    <w:rsid w:val="00BB72C7"/>
    <w:rsid w:val="00BB746E"/>
    <w:rsid w:val="00BB7EC3"/>
    <w:rsid w:val="00BC10FA"/>
    <w:rsid w:val="00BC19B1"/>
    <w:rsid w:val="00BC2E73"/>
    <w:rsid w:val="00BC43FB"/>
    <w:rsid w:val="00BC4B9A"/>
    <w:rsid w:val="00BC58C9"/>
    <w:rsid w:val="00BC66E8"/>
    <w:rsid w:val="00BD02C3"/>
    <w:rsid w:val="00BD4CB0"/>
    <w:rsid w:val="00BD58C6"/>
    <w:rsid w:val="00BD6C81"/>
    <w:rsid w:val="00BD7483"/>
    <w:rsid w:val="00BD784C"/>
    <w:rsid w:val="00BE020A"/>
    <w:rsid w:val="00BE13DF"/>
    <w:rsid w:val="00BE6164"/>
    <w:rsid w:val="00BE7393"/>
    <w:rsid w:val="00BF00FF"/>
    <w:rsid w:val="00BF092C"/>
    <w:rsid w:val="00BF27A0"/>
    <w:rsid w:val="00BF4CB6"/>
    <w:rsid w:val="00BF79BF"/>
    <w:rsid w:val="00C00959"/>
    <w:rsid w:val="00C00DA7"/>
    <w:rsid w:val="00C014D2"/>
    <w:rsid w:val="00C01C0B"/>
    <w:rsid w:val="00C027A4"/>
    <w:rsid w:val="00C04CDE"/>
    <w:rsid w:val="00C065C7"/>
    <w:rsid w:val="00C12768"/>
    <w:rsid w:val="00C12D70"/>
    <w:rsid w:val="00C12F36"/>
    <w:rsid w:val="00C1471D"/>
    <w:rsid w:val="00C21B09"/>
    <w:rsid w:val="00C2673A"/>
    <w:rsid w:val="00C27B58"/>
    <w:rsid w:val="00C35996"/>
    <w:rsid w:val="00C441A8"/>
    <w:rsid w:val="00C470CC"/>
    <w:rsid w:val="00C4747E"/>
    <w:rsid w:val="00C5151E"/>
    <w:rsid w:val="00C5342C"/>
    <w:rsid w:val="00C53B2B"/>
    <w:rsid w:val="00C5474F"/>
    <w:rsid w:val="00C60272"/>
    <w:rsid w:val="00C603D4"/>
    <w:rsid w:val="00C60E0B"/>
    <w:rsid w:val="00C6256A"/>
    <w:rsid w:val="00C658A5"/>
    <w:rsid w:val="00C663CF"/>
    <w:rsid w:val="00C7006A"/>
    <w:rsid w:val="00C710E2"/>
    <w:rsid w:val="00C71C3F"/>
    <w:rsid w:val="00C72C96"/>
    <w:rsid w:val="00C73A5E"/>
    <w:rsid w:val="00C7409E"/>
    <w:rsid w:val="00C758BA"/>
    <w:rsid w:val="00C75C89"/>
    <w:rsid w:val="00C767FB"/>
    <w:rsid w:val="00C76E76"/>
    <w:rsid w:val="00C77891"/>
    <w:rsid w:val="00C8034B"/>
    <w:rsid w:val="00C8096E"/>
    <w:rsid w:val="00C91449"/>
    <w:rsid w:val="00C92D10"/>
    <w:rsid w:val="00C96C39"/>
    <w:rsid w:val="00CA0E40"/>
    <w:rsid w:val="00CA2632"/>
    <w:rsid w:val="00CA347F"/>
    <w:rsid w:val="00CA378A"/>
    <w:rsid w:val="00CA3B88"/>
    <w:rsid w:val="00CA48D9"/>
    <w:rsid w:val="00CA5DFF"/>
    <w:rsid w:val="00CB01C8"/>
    <w:rsid w:val="00CB1193"/>
    <w:rsid w:val="00CB1818"/>
    <w:rsid w:val="00CB4767"/>
    <w:rsid w:val="00CB493D"/>
    <w:rsid w:val="00CB5AAD"/>
    <w:rsid w:val="00CC3B97"/>
    <w:rsid w:val="00CC5DD3"/>
    <w:rsid w:val="00CE10C4"/>
    <w:rsid w:val="00CE27B5"/>
    <w:rsid w:val="00CE2ACF"/>
    <w:rsid w:val="00CE4359"/>
    <w:rsid w:val="00CE5CD2"/>
    <w:rsid w:val="00CE6DAF"/>
    <w:rsid w:val="00CF1352"/>
    <w:rsid w:val="00CF410A"/>
    <w:rsid w:val="00D0321E"/>
    <w:rsid w:val="00D03D54"/>
    <w:rsid w:val="00D04974"/>
    <w:rsid w:val="00D0646D"/>
    <w:rsid w:val="00D066EE"/>
    <w:rsid w:val="00D06D6D"/>
    <w:rsid w:val="00D07A8A"/>
    <w:rsid w:val="00D10C4A"/>
    <w:rsid w:val="00D1110A"/>
    <w:rsid w:val="00D1455A"/>
    <w:rsid w:val="00D14621"/>
    <w:rsid w:val="00D14A5B"/>
    <w:rsid w:val="00D15A06"/>
    <w:rsid w:val="00D15EB7"/>
    <w:rsid w:val="00D20939"/>
    <w:rsid w:val="00D22093"/>
    <w:rsid w:val="00D31150"/>
    <w:rsid w:val="00D3138B"/>
    <w:rsid w:val="00D3224B"/>
    <w:rsid w:val="00D3280C"/>
    <w:rsid w:val="00D339AF"/>
    <w:rsid w:val="00D3406A"/>
    <w:rsid w:val="00D34952"/>
    <w:rsid w:val="00D35B8A"/>
    <w:rsid w:val="00D40B11"/>
    <w:rsid w:val="00D441F1"/>
    <w:rsid w:val="00D4572C"/>
    <w:rsid w:val="00D469B2"/>
    <w:rsid w:val="00D54B09"/>
    <w:rsid w:val="00D55FBE"/>
    <w:rsid w:val="00D56D55"/>
    <w:rsid w:val="00D64368"/>
    <w:rsid w:val="00D65658"/>
    <w:rsid w:val="00D65F5A"/>
    <w:rsid w:val="00D729E4"/>
    <w:rsid w:val="00D72B6F"/>
    <w:rsid w:val="00D741EB"/>
    <w:rsid w:val="00D7453A"/>
    <w:rsid w:val="00D75336"/>
    <w:rsid w:val="00D76550"/>
    <w:rsid w:val="00D7679C"/>
    <w:rsid w:val="00D80689"/>
    <w:rsid w:val="00D820F3"/>
    <w:rsid w:val="00D83605"/>
    <w:rsid w:val="00D84934"/>
    <w:rsid w:val="00D8608C"/>
    <w:rsid w:val="00D86854"/>
    <w:rsid w:val="00D91271"/>
    <w:rsid w:val="00D919F5"/>
    <w:rsid w:val="00D93B87"/>
    <w:rsid w:val="00D94F03"/>
    <w:rsid w:val="00DA0D14"/>
    <w:rsid w:val="00DA1FC9"/>
    <w:rsid w:val="00DA2CB5"/>
    <w:rsid w:val="00DA4BAC"/>
    <w:rsid w:val="00DA5F5F"/>
    <w:rsid w:val="00DB0151"/>
    <w:rsid w:val="00DB20B1"/>
    <w:rsid w:val="00DB580D"/>
    <w:rsid w:val="00DB6284"/>
    <w:rsid w:val="00DB70F1"/>
    <w:rsid w:val="00DB7149"/>
    <w:rsid w:val="00DC0BF4"/>
    <w:rsid w:val="00DC1F1F"/>
    <w:rsid w:val="00DC2B4C"/>
    <w:rsid w:val="00DC2C3E"/>
    <w:rsid w:val="00DC4557"/>
    <w:rsid w:val="00DC4568"/>
    <w:rsid w:val="00DC4880"/>
    <w:rsid w:val="00DC5738"/>
    <w:rsid w:val="00DE6D27"/>
    <w:rsid w:val="00DE7B7C"/>
    <w:rsid w:val="00DF01F8"/>
    <w:rsid w:val="00DF217D"/>
    <w:rsid w:val="00DF26A7"/>
    <w:rsid w:val="00DF3277"/>
    <w:rsid w:val="00DF397D"/>
    <w:rsid w:val="00DF7919"/>
    <w:rsid w:val="00E0207E"/>
    <w:rsid w:val="00E03912"/>
    <w:rsid w:val="00E06388"/>
    <w:rsid w:val="00E070AE"/>
    <w:rsid w:val="00E078D9"/>
    <w:rsid w:val="00E116D2"/>
    <w:rsid w:val="00E11A46"/>
    <w:rsid w:val="00E12F6F"/>
    <w:rsid w:val="00E14C6C"/>
    <w:rsid w:val="00E15627"/>
    <w:rsid w:val="00E164B3"/>
    <w:rsid w:val="00E16910"/>
    <w:rsid w:val="00E20D7D"/>
    <w:rsid w:val="00E241E9"/>
    <w:rsid w:val="00E24E09"/>
    <w:rsid w:val="00E27234"/>
    <w:rsid w:val="00E36570"/>
    <w:rsid w:val="00E4002C"/>
    <w:rsid w:val="00E42BDB"/>
    <w:rsid w:val="00E477FC"/>
    <w:rsid w:val="00E565BF"/>
    <w:rsid w:val="00E576B6"/>
    <w:rsid w:val="00E57EEB"/>
    <w:rsid w:val="00E62D94"/>
    <w:rsid w:val="00E64360"/>
    <w:rsid w:val="00E64F37"/>
    <w:rsid w:val="00E65E54"/>
    <w:rsid w:val="00E661C7"/>
    <w:rsid w:val="00E7041C"/>
    <w:rsid w:val="00E7067E"/>
    <w:rsid w:val="00E71175"/>
    <w:rsid w:val="00E80155"/>
    <w:rsid w:val="00E8134B"/>
    <w:rsid w:val="00E81E0D"/>
    <w:rsid w:val="00E81F28"/>
    <w:rsid w:val="00E821FC"/>
    <w:rsid w:val="00E83421"/>
    <w:rsid w:val="00E848C0"/>
    <w:rsid w:val="00E849DC"/>
    <w:rsid w:val="00E84EE3"/>
    <w:rsid w:val="00E85284"/>
    <w:rsid w:val="00E85A9C"/>
    <w:rsid w:val="00E903A7"/>
    <w:rsid w:val="00E91B96"/>
    <w:rsid w:val="00E93D1E"/>
    <w:rsid w:val="00E941A1"/>
    <w:rsid w:val="00E95CE3"/>
    <w:rsid w:val="00EA252F"/>
    <w:rsid w:val="00EA2825"/>
    <w:rsid w:val="00EA2905"/>
    <w:rsid w:val="00EA3094"/>
    <w:rsid w:val="00EA6518"/>
    <w:rsid w:val="00EA7466"/>
    <w:rsid w:val="00EA7EDE"/>
    <w:rsid w:val="00EB0B63"/>
    <w:rsid w:val="00EB1653"/>
    <w:rsid w:val="00EB1936"/>
    <w:rsid w:val="00EB37BE"/>
    <w:rsid w:val="00EB4709"/>
    <w:rsid w:val="00EB5088"/>
    <w:rsid w:val="00EB549C"/>
    <w:rsid w:val="00EC00BD"/>
    <w:rsid w:val="00EC113A"/>
    <w:rsid w:val="00EC1F7D"/>
    <w:rsid w:val="00EC3635"/>
    <w:rsid w:val="00EC3741"/>
    <w:rsid w:val="00EC5A63"/>
    <w:rsid w:val="00EC62B8"/>
    <w:rsid w:val="00ED1644"/>
    <w:rsid w:val="00ED2593"/>
    <w:rsid w:val="00ED3B93"/>
    <w:rsid w:val="00ED5DF6"/>
    <w:rsid w:val="00ED7D55"/>
    <w:rsid w:val="00ED7D9C"/>
    <w:rsid w:val="00EE31A2"/>
    <w:rsid w:val="00EF0069"/>
    <w:rsid w:val="00EF1615"/>
    <w:rsid w:val="00EF4223"/>
    <w:rsid w:val="00EF44A0"/>
    <w:rsid w:val="00EF4FED"/>
    <w:rsid w:val="00EF6FB3"/>
    <w:rsid w:val="00EF70C8"/>
    <w:rsid w:val="00EF71F0"/>
    <w:rsid w:val="00F007C6"/>
    <w:rsid w:val="00F008E1"/>
    <w:rsid w:val="00F0172E"/>
    <w:rsid w:val="00F03DA5"/>
    <w:rsid w:val="00F045FA"/>
    <w:rsid w:val="00F050BD"/>
    <w:rsid w:val="00F05657"/>
    <w:rsid w:val="00F06151"/>
    <w:rsid w:val="00F108EA"/>
    <w:rsid w:val="00F15572"/>
    <w:rsid w:val="00F171E1"/>
    <w:rsid w:val="00F17ED6"/>
    <w:rsid w:val="00F209E2"/>
    <w:rsid w:val="00F23BB4"/>
    <w:rsid w:val="00F24674"/>
    <w:rsid w:val="00F25578"/>
    <w:rsid w:val="00F258E5"/>
    <w:rsid w:val="00F25B9C"/>
    <w:rsid w:val="00F26CC6"/>
    <w:rsid w:val="00F2791F"/>
    <w:rsid w:val="00F300BC"/>
    <w:rsid w:val="00F3263C"/>
    <w:rsid w:val="00F3334E"/>
    <w:rsid w:val="00F36CCB"/>
    <w:rsid w:val="00F36D39"/>
    <w:rsid w:val="00F374E5"/>
    <w:rsid w:val="00F37B93"/>
    <w:rsid w:val="00F37BAD"/>
    <w:rsid w:val="00F37ECA"/>
    <w:rsid w:val="00F43484"/>
    <w:rsid w:val="00F43AF2"/>
    <w:rsid w:val="00F43CB4"/>
    <w:rsid w:val="00F44E59"/>
    <w:rsid w:val="00F5007E"/>
    <w:rsid w:val="00F50EC4"/>
    <w:rsid w:val="00F52232"/>
    <w:rsid w:val="00F550CF"/>
    <w:rsid w:val="00F56010"/>
    <w:rsid w:val="00F57A6D"/>
    <w:rsid w:val="00F638CC"/>
    <w:rsid w:val="00F64C9E"/>
    <w:rsid w:val="00F64CC1"/>
    <w:rsid w:val="00F66B15"/>
    <w:rsid w:val="00F72317"/>
    <w:rsid w:val="00F80475"/>
    <w:rsid w:val="00F8247A"/>
    <w:rsid w:val="00F82E5C"/>
    <w:rsid w:val="00F84514"/>
    <w:rsid w:val="00F86A60"/>
    <w:rsid w:val="00F92C04"/>
    <w:rsid w:val="00F93408"/>
    <w:rsid w:val="00F93FA1"/>
    <w:rsid w:val="00F9629A"/>
    <w:rsid w:val="00F9669E"/>
    <w:rsid w:val="00F97EFC"/>
    <w:rsid w:val="00FA1066"/>
    <w:rsid w:val="00FA1BDD"/>
    <w:rsid w:val="00FA20B4"/>
    <w:rsid w:val="00FA305C"/>
    <w:rsid w:val="00FA4DD5"/>
    <w:rsid w:val="00FA5883"/>
    <w:rsid w:val="00FA6055"/>
    <w:rsid w:val="00FA6614"/>
    <w:rsid w:val="00FB0B39"/>
    <w:rsid w:val="00FB322F"/>
    <w:rsid w:val="00FB442F"/>
    <w:rsid w:val="00FB7C83"/>
    <w:rsid w:val="00FC0568"/>
    <w:rsid w:val="00FC098D"/>
    <w:rsid w:val="00FC108A"/>
    <w:rsid w:val="00FC1929"/>
    <w:rsid w:val="00FC1C14"/>
    <w:rsid w:val="00FC1C9F"/>
    <w:rsid w:val="00FC5B46"/>
    <w:rsid w:val="00FC6F1A"/>
    <w:rsid w:val="00FD1367"/>
    <w:rsid w:val="00FD1E43"/>
    <w:rsid w:val="00FD23C5"/>
    <w:rsid w:val="00FD3BFB"/>
    <w:rsid w:val="00FD6D56"/>
    <w:rsid w:val="00FD6D8E"/>
    <w:rsid w:val="00FE0663"/>
    <w:rsid w:val="00FE0E94"/>
    <w:rsid w:val="00FE2F6E"/>
    <w:rsid w:val="00FE39B9"/>
    <w:rsid w:val="00FE3CD9"/>
    <w:rsid w:val="00FF00BD"/>
    <w:rsid w:val="00FF1ED4"/>
    <w:rsid w:val="00FF2801"/>
    <w:rsid w:val="00FF2AD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5A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aliases w:val="H1,Header 1,Heading 12"/>
    <w:basedOn w:val="ListParagraph"/>
    <w:next w:val="Normal"/>
    <w:link w:val="Heading1Char"/>
    <w:uiPriority w:val="1"/>
    <w:qFormat/>
    <w:rsid w:val="00C603D4"/>
    <w:pPr>
      <w:ind w:left="0"/>
      <w:outlineLvl w:val="0"/>
    </w:pPr>
    <w:rPr>
      <w:b/>
      <w:szCs w:val="22"/>
    </w:rPr>
  </w:style>
  <w:style w:type="paragraph" w:styleId="Heading2">
    <w:name w:val="heading 2"/>
    <w:aliases w:val="Subsection Headings,Heading h2,h2,H2"/>
    <w:basedOn w:val="Normal"/>
    <w:next w:val="Normal"/>
    <w:link w:val="Heading2Char"/>
    <w:uiPriority w:val="1"/>
    <w:qFormat/>
    <w:rsid w:val="00B1059E"/>
    <w:pPr>
      <w:keepNext/>
      <w:outlineLvl w:val="1"/>
    </w:pPr>
    <w:rPr>
      <w:rFonts w:ascii="Arial" w:hAnsi="Arial"/>
      <w:b/>
      <w:i/>
      <w:sz w:val="22"/>
    </w:rPr>
  </w:style>
  <w:style w:type="paragraph" w:styleId="Heading3">
    <w:name w:val="heading 3"/>
    <w:aliases w:val="Heading h3,h3"/>
    <w:basedOn w:val="Normal"/>
    <w:next w:val="Normal"/>
    <w:link w:val="Heading3Char"/>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13316"/>
    <w:pPr>
      <w:spacing w:after="240"/>
      <w:ind w:left="2424" w:hanging="864"/>
      <w:jc w:val="left"/>
      <w:outlineLvl w:val="3"/>
    </w:pPr>
    <w:rPr>
      <w:rFonts w:ascii="Verdana" w:eastAsiaTheme="majorEastAsia" w:hAnsi="Verdana" w:cstheme="majorBidi"/>
      <w:b/>
      <w:bCs/>
      <w:spacing w:val="5"/>
      <w:sz w:val="22"/>
      <w:lang w:eastAsia="en-US" w:bidi="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aliases w:val="Heading 7 - DO NOT USE"/>
    <w:basedOn w:val="Normal"/>
    <w:next w:val="Normal"/>
    <w:link w:val="Heading7Char"/>
    <w:qFormat/>
    <w:rsid w:val="00313316"/>
    <w:pPr>
      <w:ind w:left="1296" w:hanging="1296"/>
      <w:jc w:val="left"/>
      <w:outlineLvl w:val="6"/>
    </w:pPr>
    <w:rPr>
      <w:rFonts w:ascii="Candara" w:eastAsiaTheme="majorEastAsia" w:hAnsi="Candara" w:cstheme="majorBidi"/>
      <w:b/>
      <w:bCs/>
      <w:i/>
      <w:iCs/>
      <w:color w:val="5A5A5A" w:themeColor="text1" w:themeTint="A5"/>
      <w:sz w:val="20"/>
      <w:szCs w:val="20"/>
      <w:lang w:eastAsia="en-US" w:bidi="en-US"/>
    </w:rPr>
  </w:style>
  <w:style w:type="paragraph" w:styleId="Heading8">
    <w:name w:val="heading 8"/>
    <w:aliases w:val="Heading 8 - - DO NOT USE"/>
    <w:basedOn w:val="Normal"/>
    <w:next w:val="Normal"/>
    <w:link w:val="Heading8Char"/>
    <w:qFormat/>
    <w:rsid w:val="00313316"/>
    <w:pPr>
      <w:ind w:left="1440" w:hanging="1440"/>
      <w:jc w:val="left"/>
      <w:outlineLvl w:val="7"/>
    </w:pPr>
    <w:rPr>
      <w:rFonts w:ascii="Candara" w:eastAsiaTheme="majorEastAsia" w:hAnsi="Candara" w:cstheme="majorBidi"/>
      <w:b/>
      <w:bCs/>
      <w:color w:val="7F7F7F" w:themeColor="text1" w:themeTint="80"/>
      <w:sz w:val="20"/>
      <w:szCs w:val="20"/>
      <w:lang w:eastAsia="en-US" w:bidi="en-US"/>
    </w:rPr>
  </w:style>
  <w:style w:type="paragraph" w:styleId="Heading9">
    <w:name w:val="heading 9"/>
    <w:aliases w:val="Heading 9 - DO NOT USE"/>
    <w:basedOn w:val="Normal"/>
    <w:next w:val="Normal"/>
    <w:link w:val="Heading9Char"/>
    <w:qFormat/>
    <w:rsid w:val="00313316"/>
    <w:pPr>
      <w:spacing w:line="271" w:lineRule="auto"/>
      <w:ind w:left="1584" w:hanging="1584"/>
      <w:jc w:val="left"/>
      <w:outlineLvl w:val="8"/>
    </w:pPr>
    <w:rPr>
      <w:rFonts w:ascii="Candara" w:eastAsiaTheme="majorEastAsia" w:hAnsi="Candara" w:cstheme="majorBidi"/>
      <w:b/>
      <w:bCs/>
      <w:i/>
      <w:iCs/>
      <w:color w:val="7F7F7F" w:themeColor="text1" w:themeTint="80"/>
      <w:sz w:val="18"/>
      <w:szCs w:val="1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Level 2,L,Bullet Point,Bulletr List Paragraph,Content descriptions,FooterText,List Bullet 1,リスト段落"/>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aliases w:val="Heading h3 Char,h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evel 2 Char,L Char,Bullet Point Char,リスト段落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aliases w:val="H1 Char,Header 1 Char,Heading 12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Heading h2 Char,h2 Char,H2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4A083C"/>
    <w:pPr>
      <w:numPr>
        <w:ilvl w:val="1"/>
        <w:numId w:val="1"/>
      </w:numPr>
      <w:ind w:left="709"/>
      <w:jc w:val="both"/>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4A083C"/>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character" w:customStyle="1" w:styleId="Normalfont">
    <w:name w:val="Normal font"/>
    <w:basedOn w:val="DefaultParagraphFont"/>
    <w:uiPriority w:val="1"/>
    <w:qFormat/>
    <w:rsid w:val="00B90CE9"/>
    <w:rPr>
      <w:rFonts w:ascii="Candara" w:hAnsi="Candara"/>
      <w:sz w:val="24"/>
    </w:rPr>
  </w:style>
  <w:style w:type="paragraph" w:customStyle="1" w:styleId="Default">
    <w:name w:val="Default"/>
    <w:rsid w:val="00F44E59"/>
    <w:pPr>
      <w:autoSpaceDE w:val="0"/>
      <w:autoSpaceDN w:val="0"/>
      <w:adjustRightInd w:val="0"/>
    </w:pPr>
    <w:rPr>
      <w:rFonts w:ascii="Arial Narrow" w:eastAsiaTheme="majorEastAsia" w:hAnsi="Arial Narrow" w:cs="Arial Narrow"/>
      <w:color w:val="000000"/>
      <w:sz w:val="24"/>
      <w:szCs w:val="24"/>
      <w:lang w:eastAsia="en-US"/>
    </w:rPr>
  </w:style>
  <w:style w:type="table" w:customStyle="1" w:styleId="RTIAMCPTable12">
    <w:name w:val="RTI AMCP Table12"/>
    <w:basedOn w:val="TableNormal"/>
    <w:next w:val="TableGrid"/>
    <w:uiPriority w:val="59"/>
    <w:rsid w:val="00C027A4"/>
    <w:rPr>
      <w:rFonts w:ascii="Cambria" w:eastAsia="Cambria" w:hAnsi="Cambr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Caption"/>
    <w:link w:val="TableheadingChar"/>
    <w:qFormat/>
    <w:rsid w:val="00C027A4"/>
    <w:pPr>
      <w:spacing w:after="120"/>
      <w:contextualSpacing/>
      <w:jc w:val="left"/>
    </w:pPr>
    <w:rPr>
      <w:rFonts w:ascii="Arial" w:eastAsiaTheme="majorEastAsia" w:hAnsi="Arial" w:cstheme="majorBidi"/>
      <w:bCs/>
      <w:i w:val="0"/>
      <w:iCs w:val="0"/>
      <w:color w:val="auto"/>
      <w:spacing w:val="5"/>
      <w:sz w:val="20"/>
      <w:szCs w:val="24"/>
      <w:lang w:eastAsia="en-US" w:bidi="en-US"/>
    </w:rPr>
  </w:style>
  <w:style w:type="character" w:customStyle="1" w:styleId="TableheadingChar">
    <w:name w:val="Table heading Char"/>
    <w:basedOn w:val="DefaultParagraphFont"/>
    <w:link w:val="Tableheading0"/>
    <w:rsid w:val="00C027A4"/>
    <w:rPr>
      <w:rFonts w:ascii="Arial" w:eastAsiaTheme="majorEastAsia" w:hAnsi="Arial" w:cstheme="majorBidi"/>
      <w:bCs/>
      <w:spacing w:val="5"/>
      <w:szCs w:val="24"/>
      <w:lang w:eastAsia="en-US" w:bidi="en-US"/>
    </w:rPr>
  </w:style>
  <w:style w:type="paragraph" w:customStyle="1" w:styleId="TableNotes0">
    <w:name w:val="Table Notes"/>
    <w:basedOn w:val="Normal"/>
    <w:link w:val="TableNotesChar"/>
    <w:uiPriority w:val="6"/>
    <w:qFormat/>
    <w:rsid w:val="00A0526F"/>
    <w:pPr>
      <w:spacing w:after="40"/>
      <w:jc w:val="left"/>
    </w:pPr>
    <w:rPr>
      <w:rFonts w:ascii="Arial Narrow" w:eastAsiaTheme="majorEastAsia" w:hAnsi="Arial Narrow" w:cstheme="majorBidi"/>
      <w:sz w:val="16"/>
      <w:szCs w:val="22"/>
      <w:lang w:eastAsia="en-US" w:bidi="en-US"/>
    </w:rPr>
  </w:style>
  <w:style w:type="character" w:customStyle="1" w:styleId="TableNotesChar">
    <w:name w:val="Table Notes Char"/>
    <w:basedOn w:val="DefaultParagraphFont"/>
    <w:link w:val="TableNotes0"/>
    <w:uiPriority w:val="6"/>
    <w:rsid w:val="00A0526F"/>
    <w:rPr>
      <w:rFonts w:ascii="Arial Narrow" w:eastAsiaTheme="majorEastAsia" w:hAnsi="Arial Narrow" w:cstheme="majorBidi"/>
      <w:sz w:val="16"/>
      <w:szCs w:val="22"/>
      <w:lang w:eastAsia="en-US" w:bidi="en-US"/>
    </w:rPr>
  </w:style>
  <w:style w:type="paragraph" w:customStyle="1" w:styleId="TableParagraph">
    <w:name w:val="Table Paragraph"/>
    <w:basedOn w:val="Normal"/>
    <w:uiPriority w:val="1"/>
    <w:qFormat/>
    <w:rsid w:val="003677E7"/>
    <w:pPr>
      <w:autoSpaceDE w:val="0"/>
      <w:autoSpaceDN w:val="0"/>
      <w:adjustRightInd w:val="0"/>
      <w:jc w:val="left"/>
    </w:pPr>
    <w:rPr>
      <w:rFonts w:ascii="Times New Roman" w:eastAsiaTheme="minorHAnsi" w:hAnsi="Times New Roman"/>
      <w:lang w:eastAsia="en-US"/>
    </w:rPr>
  </w:style>
  <w:style w:type="character" w:customStyle="1" w:styleId="BalloonTextChar">
    <w:name w:val="Balloon Text Char"/>
    <w:basedOn w:val="DefaultParagraphFont"/>
    <w:link w:val="BalloonText"/>
    <w:uiPriority w:val="99"/>
    <w:semiHidden/>
    <w:rsid w:val="008E063E"/>
    <w:rPr>
      <w:rFonts w:ascii="Tahoma" w:hAnsi="Tahoma" w:cs="Tahoma"/>
      <w:sz w:val="16"/>
      <w:szCs w:val="16"/>
    </w:rPr>
  </w:style>
  <w:style w:type="character" w:customStyle="1" w:styleId="apple-converted-space">
    <w:name w:val="apple-converted-space"/>
    <w:basedOn w:val="DefaultParagraphFont"/>
    <w:rsid w:val="00E12F6F"/>
  </w:style>
  <w:style w:type="paragraph" w:styleId="FootnoteText">
    <w:name w:val="footnote text"/>
    <w:aliases w:val="Char Char Char Char,Char Char Char1 Char Char,Char Char Char1 Char Char Char,Char Char Char1 Char, Char1, Char Char Char Char, Char Char Char1 Char Char, Char Char Char1 Char Char Char, Char Char Char1 Char,Char1"/>
    <w:basedOn w:val="Normal"/>
    <w:link w:val="FootnoteTextChar"/>
    <w:unhideWhenUsed/>
    <w:rsid w:val="00C065C7"/>
    <w:pPr>
      <w:jc w:val="left"/>
    </w:pPr>
    <w:rPr>
      <w:rFonts w:ascii="Candara" w:eastAsiaTheme="majorEastAsia" w:hAnsi="Candara" w:cstheme="majorBidi"/>
      <w:sz w:val="20"/>
      <w:szCs w:val="20"/>
      <w:lang w:eastAsia="en-US" w:bidi="en-US"/>
    </w:rPr>
  </w:style>
  <w:style w:type="character" w:customStyle="1" w:styleId="FootnoteTextChar">
    <w:name w:val="Footnote Text Char"/>
    <w:aliases w:val="Char Char Char Char Char,Char Char Char1 Char Char Char1,Char Char Char1 Char Char Char Char,Char Char Char1 Char Char1, Char1 Char, Char Char Char Char Char, Char Char Char1 Char Char Char1, Char Char Char1 Char Char Char Char"/>
    <w:basedOn w:val="DefaultParagraphFont"/>
    <w:link w:val="FootnoteText"/>
    <w:rsid w:val="00C065C7"/>
    <w:rPr>
      <w:rFonts w:ascii="Candara" w:eastAsiaTheme="majorEastAsia" w:hAnsi="Candara" w:cstheme="majorBidi"/>
      <w:lang w:eastAsia="en-US" w:bidi="en-US"/>
    </w:rPr>
  </w:style>
  <w:style w:type="character" w:styleId="FootnoteReference">
    <w:name w:val="footnote reference"/>
    <w:basedOn w:val="DefaultParagraphFont"/>
    <w:unhideWhenUsed/>
    <w:rsid w:val="00C065C7"/>
    <w:rPr>
      <w:vertAlign w:val="superscript"/>
    </w:rPr>
  </w:style>
  <w:style w:type="character" w:customStyle="1" w:styleId="Heading4Char">
    <w:name w:val="Heading 4 Char"/>
    <w:basedOn w:val="DefaultParagraphFont"/>
    <w:link w:val="Heading4"/>
    <w:rsid w:val="00313316"/>
    <w:rPr>
      <w:rFonts w:ascii="Verdana" w:eastAsiaTheme="majorEastAsia" w:hAnsi="Verdana" w:cstheme="majorBidi"/>
      <w:b/>
      <w:bCs/>
      <w:spacing w:val="5"/>
      <w:sz w:val="22"/>
      <w:szCs w:val="24"/>
      <w:lang w:eastAsia="en-US" w:bidi="en-US"/>
    </w:rPr>
  </w:style>
  <w:style w:type="character" w:customStyle="1" w:styleId="Heading7Char">
    <w:name w:val="Heading 7 Char"/>
    <w:aliases w:val="Heading 7 - DO NOT USE Char"/>
    <w:basedOn w:val="DefaultParagraphFont"/>
    <w:link w:val="Heading7"/>
    <w:rsid w:val="00313316"/>
    <w:rPr>
      <w:rFonts w:ascii="Candara" w:eastAsiaTheme="majorEastAsia" w:hAnsi="Candara" w:cstheme="majorBidi"/>
      <w:b/>
      <w:bCs/>
      <w:i/>
      <w:iCs/>
      <w:color w:val="5A5A5A" w:themeColor="text1" w:themeTint="A5"/>
      <w:lang w:eastAsia="en-US" w:bidi="en-US"/>
    </w:rPr>
  </w:style>
  <w:style w:type="character" w:customStyle="1" w:styleId="Heading8Char">
    <w:name w:val="Heading 8 Char"/>
    <w:aliases w:val="Heading 8 - - DO NOT USE Char"/>
    <w:basedOn w:val="DefaultParagraphFont"/>
    <w:link w:val="Heading8"/>
    <w:rsid w:val="00313316"/>
    <w:rPr>
      <w:rFonts w:ascii="Candara" w:eastAsiaTheme="majorEastAsia" w:hAnsi="Candara" w:cstheme="majorBidi"/>
      <w:b/>
      <w:bCs/>
      <w:color w:val="7F7F7F" w:themeColor="text1" w:themeTint="80"/>
      <w:lang w:eastAsia="en-US" w:bidi="en-US"/>
    </w:rPr>
  </w:style>
  <w:style w:type="character" w:customStyle="1" w:styleId="Heading9Char">
    <w:name w:val="Heading 9 Char"/>
    <w:aliases w:val="Heading 9 - DO NOT USE Char"/>
    <w:basedOn w:val="DefaultParagraphFont"/>
    <w:link w:val="Heading9"/>
    <w:rsid w:val="00313316"/>
    <w:rPr>
      <w:rFonts w:ascii="Candara" w:eastAsiaTheme="majorEastAsia" w:hAnsi="Candara" w:cstheme="majorBidi"/>
      <w:b/>
      <w:bCs/>
      <w:i/>
      <w:iCs/>
      <w:color w:val="7F7F7F" w:themeColor="text1" w:themeTint="80"/>
      <w:sz w:val="18"/>
      <w:szCs w:val="18"/>
      <w:lang w:eastAsia="en-US" w:bidi="en-US"/>
    </w:rPr>
  </w:style>
  <w:style w:type="character" w:customStyle="1" w:styleId="Superscript">
    <w:name w:val="Superscript"/>
    <w:basedOn w:val="DefaultParagraphFont"/>
    <w:uiPriority w:val="1"/>
    <w:qFormat/>
    <w:rsid w:val="00313316"/>
    <w:rPr>
      <w:rFonts w:ascii="Candara" w:hAnsi="Candara"/>
      <w:sz w:val="24"/>
      <w:vertAlign w:val="superscript"/>
    </w:rPr>
  </w:style>
  <w:style w:type="paragraph" w:styleId="ListBullet3">
    <w:name w:val="List Bullet 3"/>
    <w:basedOn w:val="Normal"/>
    <w:semiHidden/>
    <w:unhideWhenUsed/>
    <w:rsid w:val="00372062"/>
    <w:pPr>
      <w:numPr>
        <w:numId w:val="22"/>
      </w:numPr>
      <w:contextualSpacing/>
      <w:jc w:val="left"/>
    </w:pPr>
    <w:rPr>
      <w:rFonts w:cs="Arial"/>
    </w:rPr>
  </w:style>
  <w:style w:type="paragraph" w:styleId="Revision">
    <w:name w:val="Revision"/>
    <w:hidden/>
    <w:uiPriority w:val="71"/>
    <w:semiHidden/>
    <w:rsid w:val="00142845"/>
    <w:rPr>
      <w:rFonts w:ascii="Calibri" w:hAnsi="Calibri"/>
      <w:sz w:val="24"/>
      <w:szCs w:val="24"/>
    </w:rPr>
  </w:style>
  <w:style w:type="paragraph" w:customStyle="1" w:styleId="ListBulletlvl6">
    <w:name w:val="List Bullet lvl 6"/>
    <w:basedOn w:val="ListBullet"/>
    <w:qFormat/>
    <w:rsid w:val="00E241E9"/>
    <w:pPr>
      <w:numPr>
        <w:numId w:val="0"/>
      </w:numPr>
      <w:spacing w:after="120"/>
      <w:ind w:left="4320" w:hanging="360"/>
      <w:contextualSpacing w:val="0"/>
      <w:jc w:val="left"/>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0908326">
      <w:bodyDiv w:val="1"/>
      <w:marLeft w:val="0"/>
      <w:marRight w:val="0"/>
      <w:marTop w:val="0"/>
      <w:marBottom w:val="0"/>
      <w:divBdr>
        <w:top w:val="none" w:sz="0" w:space="0" w:color="auto"/>
        <w:left w:val="none" w:sz="0" w:space="0" w:color="auto"/>
        <w:bottom w:val="none" w:sz="0" w:space="0" w:color="auto"/>
        <w:right w:val="none" w:sz="0" w:space="0" w:color="auto"/>
      </w:divBdr>
      <w:divsChild>
        <w:div w:id="2110468766">
          <w:marLeft w:val="0"/>
          <w:marRight w:val="0"/>
          <w:marTop w:val="0"/>
          <w:marBottom w:val="0"/>
          <w:divBdr>
            <w:top w:val="none" w:sz="0" w:space="0" w:color="auto"/>
            <w:left w:val="none" w:sz="0" w:space="0" w:color="auto"/>
            <w:bottom w:val="none" w:sz="0" w:space="0" w:color="auto"/>
            <w:right w:val="none" w:sz="0" w:space="0" w:color="auto"/>
          </w:divBdr>
          <w:divsChild>
            <w:div w:id="632954125">
              <w:marLeft w:val="0"/>
              <w:marRight w:val="0"/>
              <w:marTop w:val="0"/>
              <w:marBottom w:val="0"/>
              <w:divBdr>
                <w:top w:val="none" w:sz="0" w:space="0" w:color="auto"/>
                <w:left w:val="none" w:sz="0" w:space="0" w:color="auto"/>
                <w:bottom w:val="none" w:sz="0" w:space="0" w:color="auto"/>
                <w:right w:val="none" w:sz="0" w:space="0" w:color="auto"/>
              </w:divBdr>
              <w:divsChild>
                <w:div w:id="553078737">
                  <w:marLeft w:val="0"/>
                  <w:marRight w:val="0"/>
                  <w:marTop w:val="0"/>
                  <w:marBottom w:val="0"/>
                  <w:divBdr>
                    <w:top w:val="none" w:sz="0" w:space="0" w:color="auto"/>
                    <w:left w:val="none" w:sz="0" w:space="0" w:color="auto"/>
                    <w:bottom w:val="none" w:sz="0" w:space="0" w:color="auto"/>
                    <w:right w:val="none" w:sz="0" w:space="0" w:color="auto"/>
                  </w:divBdr>
                  <w:divsChild>
                    <w:div w:id="2085060157">
                      <w:marLeft w:val="0"/>
                      <w:marRight w:val="0"/>
                      <w:marTop w:val="0"/>
                      <w:marBottom w:val="0"/>
                      <w:divBdr>
                        <w:top w:val="none" w:sz="0" w:space="0" w:color="auto"/>
                        <w:left w:val="none" w:sz="0" w:space="0" w:color="auto"/>
                        <w:bottom w:val="none" w:sz="0" w:space="0" w:color="auto"/>
                        <w:right w:val="none" w:sz="0" w:space="0" w:color="auto"/>
                      </w:divBdr>
                      <w:divsChild>
                        <w:div w:id="148257699">
                          <w:marLeft w:val="0"/>
                          <w:marRight w:val="0"/>
                          <w:marTop w:val="0"/>
                          <w:marBottom w:val="0"/>
                          <w:divBdr>
                            <w:top w:val="none" w:sz="0" w:space="0" w:color="auto"/>
                            <w:left w:val="none" w:sz="0" w:space="0" w:color="auto"/>
                            <w:bottom w:val="none" w:sz="0" w:space="0" w:color="auto"/>
                            <w:right w:val="none" w:sz="0" w:space="0" w:color="auto"/>
                          </w:divBdr>
                          <w:divsChild>
                            <w:div w:id="1377049412">
                              <w:marLeft w:val="0"/>
                              <w:marRight w:val="0"/>
                              <w:marTop w:val="0"/>
                              <w:marBottom w:val="0"/>
                              <w:divBdr>
                                <w:top w:val="none" w:sz="0" w:space="0" w:color="auto"/>
                                <w:left w:val="none" w:sz="0" w:space="0" w:color="auto"/>
                                <w:bottom w:val="none" w:sz="0" w:space="0" w:color="auto"/>
                                <w:right w:val="none" w:sz="0" w:space="0" w:color="auto"/>
                              </w:divBdr>
                              <w:divsChild>
                                <w:div w:id="1804271988">
                                  <w:marLeft w:val="0"/>
                                  <w:marRight w:val="0"/>
                                  <w:marTop w:val="0"/>
                                  <w:marBottom w:val="0"/>
                                  <w:divBdr>
                                    <w:top w:val="none" w:sz="0" w:space="0" w:color="auto"/>
                                    <w:left w:val="none" w:sz="0" w:space="0" w:color="auto"/>
                                    <w:bottom w:val="none" w:sz="0" w:space="0" w:color="auto"/>
                                    <w:right w:val="none" w:sz="0" w:space="0" w:color="auto"/>
                                  </w:divBdr>
                                  <w:divsChild>
                                    <w:div w:id="2116171936">
                                      <w:marLeft w:val="0"/>
                                      <w:marRight w:val="0"/>
                                      <w:marTop w:val="0"/>
                                      <w:marBottom w:val="0"/>
                                      <w:divBdr>
                                        <w:top w:val="none" w:sz="0" w:space="0" w:color="auto"/>
                                        <w:left w:val="none" w:sz="0" w:space="0" w:color="auto"/>
                                        <w:bottom w:val="none" w:sz="0" w:space="0" w:color="auto"/>
                                        <w:right w:val="none" w:sz="0" w:space="0" w:color="auto"/>
                                      </w:divBdr>
                                      <w:divsChild>
                                        <w:div w:id="946279452">
                                          <w:marLeft w:val="0"/>
                                          <w:marRight w:val="0"/>
                                          <w:marTop w:val="0"/>
                                          <w:marBottom w:val="0"/>
                                          <w:divBdr>
                                            <w:top w:val="none" w:sz="0" w:space="0" w:color="auto"/>
                                            <w:left w:val="none" w:sz="0" w:space="0" w:color="auto"/>
                                            <w:bottom w:val="none" w:sz="0" w:space="0" w:color="auto"/>
                                            <w:right w:val="none" w:sz="0" w:space="0" w:color="auto"/>
                                          </w:divBdr>
                                          <w:divsChild>
                                            <w:div w:id="926042075">
                                              <w:marLeft w:val="0"/>
                                              <w:marRight w:val="0"/>
                                              <w:marTop w:val="0"/>
                                              <w:marBottom w:val="0"/>
                                              <w:divBdr>
                                                <w:top w:val="none" w:sz="0" w:space="0" w:color="auto"/>
                                                <w:left w:val="none" w:sz="0" w:space="0" w:color="auto"/>
                                                <w:bottom w:val="none" w:sz="0" w:space="0" w:color="auto"/>
                                                <w:right w:val="none" w:sz="0" w:space="0" w:color="auto"/>
                                              </w:divBdr>
                                              <w:divsChild>
                                                <w:div w:id="1834294142">
                                                  <w:marLeft w:val="0"/>
                                                  <w:marRight w:val="0"/>
                                                  <w:marTop w:val="0"/>
                                                  <w:marBottom w:val="0"/>
                                                  <w:divBdr>
                                                    <w:top w:val="none" w:sz="0" w:space="0" w:color="auto"/>
                                                    <w:left w:val="none" w:sz="0" w:space="0" w:color="auto"/>
                                                    <w:bottom w:val="none" w:sz="0" w:space="0" w:color="auto"/>
                                                    <w:right w:val="none" w:sz="0" w:space="0" w:color="auto"/>
                                                  </w:divBdr>
                                                  <w:divsChild>
                                                    <w:div w:id="1372338226">
                                                      <w:marLeft w:val="0"/>
                                                      <w:marRight w:val="0"/>
                                                      <w:marTop w:val="0"/>
                                                      <w:marBottom w:val="0"/>
                                                      <w:divBdr>
                                                        <w:top w:val="none" w:sz="0" w:space="0" w:color="auto"/>
                                                        <w:left w:val="none" w:sz="0" w:space="0" w:color="auto"/>
                                                        <w:bottom w:val="none" w:sz="0" w:space="0" w:color="auto"/>
                                                        <w:right w:val="none" w:sz="0" w:space="0" w:color="auto"/>
                                                      </w:divBdr>
                                                      <w:divsChild>
                                                        <w:div w:id="1181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47484-CF61-4267-BD03-7BCC981E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5062</Words>
  <Characters>27932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2020-10-27T08:13:00Z</dcterms:created>
  <dcterms:modified xsi:type="dcterms:W3CDTF">2020-10-27T08:13:00Z</dcterms:modified>
</cp:coreProperties>
</file>