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4A6040" w:rsidRDefault="007D76ED" w:rsidP="004A6040">
      <w:pPr>
        <w:pStyle w:val="1-MainHeading"/>
      </w:pPr>
      <w:bookmarkStart w:id="0" w:name="_Toc38290333"/>
      <w:bookmarkStart w:id="1" w:name="_Toc40716933"/>
      <w:bookmarkStart w:id="2" w:name="_GoBack"/>
      <w:bookmarkEnd w:id="2"/>
      <w:r>
        <w:t>6.06</w:t>
      </w:r>
      <w:r w:rsidR="00163F66">
        <w:tab/>
        <w:t>R</w:t>
      </w:r>
      <w:r w:rsidR="00E01E99">
        <w:t>IBOCICLIB</w:t>
      </w:r>
      <w:r w:rsidR="00163F66">
        <w:t>,</w:t>
      </w:r>
      <w:r w:rsidR="00163F66">
        <w:br/>
      </w:r>
      <w:r w:rsidR="00E01E99">
        <w:t>200 mg Tablets</w:t>
      </w:r>
      <w:r w:rsidR="00163F66">
        <w:t>,</w:t>
      </w:r>
      <w:r w:rsidR="00163F66">
        <w:br/>
      </w:r>
      <w:r w:rsidR="00E01E99">
        <w:t>Kisqali</w:t>
      </w:r>
      <w:r w:rsidR="00B60939" w:rsidRPr="004A6040">
        <w:rPr>
          <w:vertAlign w:val="superscript"/>
        </w:rPr>
        <w:t>®</w:t>
      </w:r>
      <w:r w:rsidR="004A6040" w:rsidRPr="004A6040">
        <w:t>,</w:t>
      </w:r>
      <w:r w:rsidR="004A6040" w:rsidRPr="004A6040">
        <w:br/>
      </w:r>
      <w:r w:rsidR="00E01E99" w:rsidRPr="00E01E99">
        <w:t>Novartis Pharmaceuticals Australia Pty Limited</w:t>
      </w:r>
      <w:bookmarkEnd w:id="0"/>
      <w:bookmarkEnd w:id="1"/>
    </w:p>
    <w:p w:rsidR="00B50DB8" w:rsidRPr="00407F2D" w:rsidRDefault="00B50DB8" w:rsidP="004A6040">
      <w:pPr>
        <w:pStyle w:val="2-SectionHeading"/>
      </w:pPr>
      <w:bookmarkStart w:id="3" w:name="_Toc38290335"/>
      <w:bookmarkStart w:id="4" w:name="_Toc40716935"/>
      <w:r w:rsidRPr="00407F2D">
        <w:t xml:space="preserve">Purpose of </w:t>
      </w:r>
      <w:r w:rsidR="00CD7193">
        <w:t>s</w:t>
      </w:r>
      <w:r w:rsidR="00BB3A45">
        <w:t>ubmission</w:t>
      </w:r>
      <w:bookmarkEnd w:id="3"/>
      <w:bookmarkEnd w:id="4"/>
    </w:p>
    <w:p w:rsidR="002C2775" w:rsidRPr="008B1757" w:rsidRDefault="007170DA" w:rsidP="009970A4">
      <w:pPr>
        <w:pStyle w:val="3-BodyText"/>
      </w:pPr>
      <w:r>
        <w:t xml:space="preserve">The </w:t>
      </w:r>
      <w:r w:rsidR="005E4F09" w:rsidRPr="005E4F09">
        <w:t>submission requested an</w:t>
      </w:r>
      <w:r w:rsidR="000F260D">
        <w:t xml:space="preserve"> extension to the current</w:t>
      </w:r>
      <w:r w:rsidR="005E4F09" w:rsidRPr="005E4F09">
        <w:t xml:space="preserve"> Authority Required listing for ribociclib</w:t>
      </w:r>
      <w:r w:rsidR="00557A30">
        <w:t xml:space="preserve"> </w:t>
      </w:r>
      <w:r w:rsidR="000F260D">
        <w:t xml:space="preserve">to include first and second–line </w:t>
      </w:r>
      <w:r w:rsidR="009970A4">
        <w:t xml:space="preserve">combination </w:t>
      </w:r>
      <w:r w:rsidR="000F260D">
        <w:t xml:space="preserve">use </w:t>
      </w:r>
      <w:r w:rsidR="009970A4">
        <w:t>with fulvestrant</w:t>
      </w:r>
      <w:r w:rsidR="008B1757" w:rsidRPr="004E18E9">
        <w:t xml:space="preserve">. </w:t>
      </w:r>
    </w:p>
    <w:p w:rsidR="00C2778B" w:rsidRPr="00EC7169" w:rsidRDefault="005E4F09" w:rsidP="004E18E9">
      <w:pPr>
        <w:pStyle w:val="3-BodyText"/>
      </w:pPr>
      <w:r>
        <w:t xml:space="preserve">The </w:t>
      </w:r>
      <w:r w:rsidRPr="005E4F09">
        <w:t>submission was based on a cost-minimisation analysis of ribociclib plus fulvestrant (RIBO+FULV) versus ribociclib plus non-steroidal aromatase inhibitors (RIBO+NSAI) for the first-line treatment of patients who have not been previously treated with an aromatase inhibitor for advanced breast cancer. A cost-effectiveness analysis versus everolimus plus exemestane (EVE+EXE) was presented for the second-line treatment of patients who have progressed on first-line aromatase inhibitor monotherapy</w:t>
      </w:r>
      <w:r>
        <w:t>.</w:t>
      </w:r>
      <w:r w:rsidR="00BC591F" w:rsidRPr="00696F51">
        <w:rPr>
          <w:color w:val="0066FF"/>
        </w:rPr>
        <w:t xml:space="preserve"> </w:t>
      </w:r>
    </w:p>
    <w:p w:rsidR="008B1757" w:rsidRPr="004A6040" w:rsidRDefault="008B1757" w:rsidP="004A6040">
      <w:pPr>
        <w:pStyle w:val="TableFigureHeading"/>
        <w:rPr>
          <w:rStyle w:val="CommentReference"/>
          <w:b/>
          <w:szCs w:val="24"/>
        </w:rPr>
      </w:pPr>
      <w:r w:rsidRPr="004A6040">
        <w:rPr>
          <w:rStyle w:val="CommentReference"/>
          <w:b/>
          <w:szCs w:val="24"/>
        </w:rPr>
        <w:t xml:space="preserve">Table </w:t>
      </w:r>
      <w:r w:rsidR="003F3245">
        <w:rPr>
          <w:rStyle w:val="CommentReference"/>
          <w:b/>
          <w:szCs w:val="24"/>
        </w:rPr>
        <w:t>1</w:t>
      </w:r>
      <w:r w:rsidRPr="004A6040">
        <w:rPr>
          <w:rStyle w:val="CommentReference"/>
          <w:b/>
          <w:szCs w:val="24"/>
        </w:rPr>
        <w:t>:</w:t>
      </w:r>
      <w:r w:rsidR="00BC591F" w:rsidRPr="004A6040">
        <w:rPr>
          <w:rStyle w:val="CommentReference"/>
          <w:b/>
          <w:szCs w:val="24"/>
        </w:rPr>
        <w:t xml:space="preserve"> </w:t>
      </w:r>
      <w:r w:rsidRPr="004A6040">
        <w:rPr>
          <w:rStyle w:val="CommentReference"/>
          <w:b/>
          <w:szCs w:val="24"/>
        </w:rPr>
        <w:t>Key components of the clinical issue addressed by the submission</w:t>
      </w:r>
      <w:r w:rsidR="007170DA" w:rsidRPr="004A6040">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691913" w:rsidTr="002A2ADE">
        <w:trPr>
          <w:cantSplit/>
          <w:tblHeader/>
        </w:trPr>
        <w:tc>
          <w:tcPr>
            <w:tcW w:w="924" w:type="pct"/>
            <w:shd w:val="clear" w:color="auto" w:fill="auto"/>
          </w:tcPr>
          <w:p w:rsidR="008B1757" w:rsidRPr="008B1757" w:rsidRDefault="008B1757" w:rsidP="004A6040">
            <w:pPr>
              <w:pStyle w:val="In-tableHeading"/>
              <w:rPr>
                <w:szCs w:val="20"/>
              </w:rPr>
            </w:pPr>
            <w:r w:rsidRPr="008B1757">
              <w:t>Component</w:t>
            </w:r>
          </w:p>
        </w:tc>
        <w:tc>
          <w:tcPr>
            <w:tcW w:w="4076" w:type="pct"/>
            <w:shd w:val="clear" w:color="auto" w:fill="auto"/>
          </w:tcPr>
          <w:p w:rsidR="008B1757" w:rsidRPr="008B1757" w:rsidRDefault="008B1757" w:rsidP="004A6040">
            <w:pPr>
              <w:pStyle w:val="In-tableHeading"/>
            </w:pPr>
            <w:r w:rsidRPr="008B1757">
              <w:t>Description</w:t>
            </w:r>
          </w:p>
        </w:tc>
      </w:tr>
      <w:tr w:rsidR="003F3245" w:rsidRPr="00691913" w:rsidTr="00BA2AC7">
        <w:trPr>
          <w:cantSplit/>
        </w:trPr>
        <w:tc>
          <w:tcPr>
            <w:tcW w:w="924" w:type="pct"/>
            <w:shd w:val="clear" w:color="auto" w:fill="auto"/>
          </w:tcPr>
          <w:p w:rsidR="003F3245" w:rsidRPr="00691913" w:rsidRDefault="003F3245" w:rsidP="003F3245">
            <w:pPr>
              <w:pStyle w:val="TableText0"/>
            </w:pPr>
            <w:r w:rsidRPr="00691913">
              <w:t>Population</w:t>
            </w:r>
          </w:p>
        </w:tc>
        <w:tc>
          <w:tcPr>
            <w:tcW w:w="4076" w:type="pct"/>
            <w:tcBorders>
              <w:top w:val="single" w:sz="4" w:space="0" w:color="auto"/>
              <w:left w:val="single" w:sz="4" w:space="0" w:color="auto"/>
              <w:bottom w:val="single" w:sz="4" w:space="0" w:color="auto"/>
              <w:right w:val="single" w:sz="4" w:space="0" w:color="auto"/>
            </w:tcBorders>
          </w:tcPr>
          <w:p w:rsidR="003F3245" w:rsidRPr="001E1E86" w:rsidRDefault="00895871" w:rsidP="00557A30">
            <w:pPr>
              <w:pStyle w:val="TableText0"/>
              <w:rPr>
                <w:szCs w:val="20"/>
              </w:rPr>
            </w:pPr>
            <w:r w:rsidRPr="00D806CA">
              <w:rPr>
                <w:iCs/>
                <w:szCs w:val="20"/>
              </w:rPr>
              <w:t>Non</w:t>
            </w:r>
            <w:r w:rsidR="003F3245" w:rsidRPr="00D806CA">
              <w:rPr>
                <w:iCs/>
                <w:szCs w:val="20"/>
              </w:rPr>
              <w:t>-pre</w:t>
            </w:r>
            <w:r w:rsidR="003F3245" w:rsidRPr="00D806CA">
              <w:rPr>
                <w:szCs w:val="20"/>
              </w:rPr>
              <w:t>menopausal</w:t>
            </w:r>
            <w:r w:rsidRPr="00895871">
              <w:rPr>
                <w:szCs w:val="20"/>
              </w:rPr>
              <w:t xml:space="preserve"> patients</w:t>
            </w:r>
            <w:r w:rsidR="003F3245">
              <w:rPr>
                <w:szCs w:val="20"/>
              </w:rPr>
              <w:t xml:space="preserve"> </w:t>
            </w:r>
            <w:r>
              <w:rPr>
                <w:szCs w:val="20"/>
              </w:rPr>
              <w:t xml:space="preserve">with </w:t>
            </w:r>
            <w:r w:rsidR="003F3245">
              <w:rPr>
                <w:szCs w:val="20"/>
              </w:rPr>
              <w:t>HR+/HER2– locally advanced or metastatic breast cancer.</w:t>
            </w:r>
          </w:p>
        </w:tc>
      </w:tr>
      <w:tr w:rsidR="003F3245" w:rsidRPr="00691913" w:rsidTr="00BA2AC7">
        <w:trPr>
          <w:cantSplit/>
        </w:trPr>
        <w:tc>
          <w:tcPr>
            <w:tcW w:w="924" w:type="pct"/>
            <w:shd w:val="clear" w:color="auto" w:fill="auto"/>
          </w:tcPr>
          <w:p w:rsidR="003F3245" w:rsidRPr="00691913" w:rsidRDefault="003F3245" w:rsidP="003F3245">
            <w:pPr>
              <w:pStyle w:val="TableText0"/>
            </w:pPr>
            <w:r w:rsidRPr="00691913">
              <w:t>Intervention</w:t>
            </w:r>
          </w:p>
        </w:tc>
        <w:tc>
          <w:tcPr>
            <w:tcW w:w="4076" w:type="pct"/>
            <w:tcBorders>
              <w:top w:val="single" w:sz="4" w:space="0" w:color="auto"/>
              <w:left w:val="single" w:sz="4" w:space="0" w:color="auto"/>
              <w:bottom w:val="single" w:sz="4" w:space="0" w:color="auto"/>
              <w:right w:val="single" w:sz="4" w:space="0" w:color="auto"/>
            </w:tcBorders>
          </w:tcPr>
          <w:p w:rsidR="003F3245" w:rsidRPr="00691913" w:rsidRDefault="003F3245" w:rsidP="003F3245">
            <w:pPr>
              <w:pStyle w:val="TableText0"/>
            </w:pPr>
            <w:r>
              <w:t>RIBO (600 mg po on days 1-21 of a 28-day cycle) + FULV (500 mg IM on day 1 and day 15 of a 28-day cycle, and day 1 every 28 days thereafter).</w:t>
            </w:r>
          </w:p>
        </w:tc>
      </w:tr>
      <w:tr w:rsidR="003F3245" w:rsidRPr="00691913" w:rsidTr="00BA2AC7">
        <w:trPr>
          <w:cantSplit/>
        </w:trPr>
        <w:tc>
          <w:tcPr>
            <w:tcW w:w="924" w:type="pct"/>
            <w:shd w:val="clear" w:color="auto" w:fill="auto"/>
          </w:tcPr>
          <w:p w:rsidR="003F3245" w:rsidRPr="00691913" w:rsidRDefault="003F3245" w:rsidP="003F3245">
            <w:pPr>
              <w:pStyle w:val="TableText0"/>
            </w:pPr>
            <w:r w:rsidRPr="00691913">
              <w:t>Comparator</w:t>
            </w:r>
            <w:r>
              <w:t>s</w:t>
            </w:r>
          </w:p>
        </w:tc>
        <w:tc>
          <w:tcPr>
            <w:tcW w:w="4076" w:type="pct"/>
            <w:tcBorders>
              <w:top w:val="single" w:sz="4" w:space="0" w:color="auto"/>
              <w:left w:val="single" w:sz="4" w:space="0" w:color="auto"/>
              <w:bottom w:val="single" w:sz="4" w:space="0" w:color="auto"/>
              <w:right w:val="single" w:sz="4" w:space="0" w:color="auto"/>
            </w:tcBorders>
          </w:tcPr>
          <w:p w:rsidR="003F3245" w:rsidRDefault="003F3245" w:rsidP="00194314">
            <w:pPr>
              <w:pStyle w:val="TableText0"/>
            </w:pPr>
            <w:r>
              <w:t>First-line (endocrine-sensitive and endocrine-resistant) setting – RIBO (600 mg po on days 1-21 of a 28-day cycle) + NSAI (LET 2.5 mg po daily or ANA 1 mg po daily).</w:t>
            </w:r>
          </w:p>
          <w:p w:rsidR="003F3245" w:rsidRPr="00691913" w:rsidRDefault="003F3245" w:rsidP="003F3245">
            <w:pPr>
              <w:pStyle w:val="TableText0"/>
            </w:pPr>
            <w:r>
              <w:t>Second-line setting – EVE (10 mg po daily) + EXE (25 mg po daily).</w:t>
            </w:r>
          </w:p>
        </w:tc>
      </w:tr>
      <w:tr w:rsidR="003F3245" w:rsidRPr="00691913" w:rsidTr="00BA2AC7">
        <w:trPr>
          <w:cantSplit/>
        </w:trPr>
        <w:tc>
          <w:tcPr>
            <w:tcW w:w="924" w:type="pct"/>
            <w:shd w:val="clear" w:color="auto" w:fill="auto"/>
          </w:tcPr>
          <w:p w:rsidR="003F3245" w:rsidRPr="00691913" w:rsidRDefault="003F3245" w:rsidP="003F3245">
            <w:pPr>
              <w:pStyle w:val="TableText0"/>
            </w:pPr>
            <w:r w:rsidRPr="00691913">
              <w:t>Outcomes</w:t>
            </w:r>
          </w:p>
        </w:tc>
        <w:tc>
          <w:tcPr>
            <w:tcW w:w="4076" w:type="pct"/>
            <w:tcBorders>
              <w:top w:val="single" w:sz="4" w:space="0" w:color="auto"/>
              <w:left w:val="single" w:sz="4" w:space="0" w:color="auto"/>
              <w:bottom w:val="single" w:sz="4" w:space="0" w:color="auto"/>
              <w:right w:val="single" w:sz="4" w:space="0" w:color="auto"/>
            </w:tcBorders>
          </w:tcPr>
          <w:p w:rsidR="003F3245" w:rsidRDefault="003F3245" w:rsidP="003F3245">
            <w:pPr>
              <w:pStyle w:val="TableText0"/>
            </w:pPr>
            <w:r>
              <w:t xml:space="preserve">Progression free survival (PFS) </w:t>
            </w:r>
          </w:p>
          <w:p w:rsidR="003F3245" w:rsidRDefault="003F3245" w:rsidP="003F3245">
            <w:pPr>
              <w:pStyle w:val="TableText0"/>
            </w:pPr>
            <w:r>
              <w:t xml:space="preserve">Overall survival (OS) </w:t>
            </w:r>
          </w:p>
          <w:p w:rsidR="003F3245" w:rsidRDefault="003F3245" w:rsidP="003F3245">
            <w:pPr>
              <w:pStyle w:val="TableText0"/>
            </w:pPr>
            <w:r>
              <w:t>Overall Response Rate (ORR)</w:t>
            </w:r>
          </w:p>
          <w:p w:rsidR="003F3245" w:rsidRDefault="003F3245" w:rsidP="003F3245">
            <w:pPr>
              <w:pStyle w:val="TableText0"/>
            </w:pPr>
            <w:r>
              <w:t xml:space="preserve">Health related quality of life (HRQoL) </w:t>
            </w:r>
          </w:p>
          <w:p w:rsidR="003F3245" w:rsidRPr="001E1E86" w:rsidRDefault="003F3245" w:rsidP="003F3245">
            <w:pPr>
              <w:pStyle w:val="TableText0"/>
              <w:rPr>
                <w:rFonts w:eastAsia="Times New Roman" w:cs="Arial"/>
                <w:bCs w:val="0"/>
                <w:snapToGrid w:val="0"/>
                <w:color w:val="0066FF"/>
                <w:szCs w:val="20"/>
              </w:rPr>
            </w:pPr>
            <w:r>
              <w:t>Adverse events (AE)</w:t>
            </w:r>
          </w:p>
        </w:tc>
      </w:tr>
      <w:tr w:rsidR="003F3245" w:rsidRPr="00691913" w:rsidTr="00BA2AC7">
        <w:trPr>
          <w:cantSplit/>
        </w:trPr>
        <w:tc>
          <w:tcPr>
            <w:tcW w:w="924" w:type="pct"/>
            <w:shd w:val="clear" w:color="auto" w:fill="auto"/>
          </w:tcPr>
          <w:p w:rsidR="003F3245" w:rsidRPr="00691913" w:rsidRDefault="003F3245" w:rsidP="003F3245">
            <w:pPr>
              <w:pStyle w:val="TableText0"/>
            </w:pPr>
            <w:r w:rsidRPr="00691913">
              <w:t>Clinical claim</w:t>
            </w:r>
          </w:p>
        </w:tc>
        <w:tc>
          <w:tcPr>
            <w:tcW w:w="4076" w:type="pct"/>
            <w:tcBorders>
              <w:top w:val="single" w:sz="4" w:space="0" w:color="auto"/>
              <w:left w:val="single" w:sz="4" w:space="0" w:color="auto"/>
              <w:bottom w:val="single" w:sz="4" w:space="0" w:color="auto"/>
              <w:right w:val="single" w:sz="4" w:space="0" w:color="auto"/>
            </w:tcBorders>
          </w:tcPr>
          <w:p w:rsidR="003F3245" w:rsidRDefault="003F3245" w:rsidP="003F3245">
            <w:pPr>
              <w:pStyle w:val="TableText0"/>
            </w:pPr>
            <w:r>
              <w:t>RIBO+FULV provides non-inferior effectiveness and safety compared to RIBO+NSAI in the first-line treatment setting.</w:t>
            </w:r>
          </w:p>
          <w:p w:rsidR="003F3245" w:rsidRPr="001E1E86" w:rsidRDefault="003F3245" w:rsidP="003F3245">
            <w:pPr>
              <w:pStyle w:val="TableText0"/>
              <w:rPr>
                <w:rFonts w:eastAsia="Times New Roman" w:cs="Arial"/>
                <w:bCs w:val="0"/>
                <w:snapToGrid w:val="0"/>
                <w:color w:val="0066FF"/>
                <w:szCs w:val="20"/>
              </w:rPr>
            </w:pPr>
            <w:r>
              <w:t>RIBO+FULV provides superior effectiveness and safety to EVE+EXE in the second-line treatment setting.</w:t>
            </w:r>
          </w:p>
        </w:tc>
      </w:tr>
    </w:tbl>
    <w:p w:rsidR="003F3245" w:rsidRDefault="003F3245" w:rsidP="003F3245">
      <w:pPr>
        <w:pStyle w:val="TableFigureFooter"/>
      </w:pPr>
      <w:r>
        <w:t>EVE= everolimus; EXE= exemestane; FULV= fulvestrant; HR+= hormone receptor positive; HER2- = human epidermal growth factor receptor 2-negative; IM= intramuscular; NSAI= non-steroidal aromatase inhibitor; po= per oral; mg=milligram; RIBO= ribociclib; ANA= anastrozole; LET= letrozole.</w:t>
      </w:r>
    </w:p>
    <w:p w:rsidR="003F3245" w:rsidRDefault="003F3245" w:rsidP="003F3245">
      <w:pPr>
        <w:pStyle w:val="TableFigureFooter"/>
      </w:pPr>
      <w:r w:rsidRPr="00A54CD0">
        <w:t xml:space="preserve">Source: Table 1-1, p40 of the submission </w:t>
      </w:r>
      <w:r w:rsidRPr="00A54CD0">
        <w:rPr>
          <w:iCs/>
        </w:rPr>
        <w:t>and added during the evaluation</w:t>
      </w:r>
      <w:r w:rsidRPr="00A54CD0">
        <w:t>.</w:t>
      </w:r>
    </w:p>
    <w:p w:rsidR="005C25FF" w:rsidRPr="00407F2D" w:rsidRDefault="005C25FF" w:rsidP="004A6040">
      <w:pPr>
        <w:pStyle w:val="2-SectionHeading"/>
      </w:pPr>
      <w:bookmarkStart w:id="5" w:name="_Toc38290336"/>
      <w:bookmarkStart w:id="6" w:name="_Toc40716936"/>
      <w:r w:rsidRPr="00407F2D">
        <w:t>Background</w:t>
      </w:r>
      <w:bookmarkEnd w:id="5"/>
      <w:bookmarkEnd w:id="6"/>
    </w:p>
    <w:p w:rsidR="000F260D" w:rsidRDefault="000F260D" w:rsidP="00557A30">
      <w:pPr>
        <w:pStyle w:val="3-BodyText"/>
      </w:pPr>
      <w:bookmarkStart w:id="7" w:name="_Toc22897638"/>
      <w:bookmarkStart w:id="8" w:name="_Toc38290337"/>
      <w:r>
        <w:t xml:space="preserve">Ribociclib is currently PBS listed for use in combination with </w:t>
      </w:r>
      <w:r w:rsidR="00557A30" w:rsidRPr="00557A30">
        <w:t>a non-steroidal aromatase inhibitor (NSAI; letrozole or anastrozole)</w:t>
      </w:r>
      <w:r>
        <w:t xml:space="preserve"> as first-line therapy for </w:t>
      </w:r>
      <w:r w:rsidR="00557A30" w:rsidRPr="009970A4">
        <w:t xml:space="preserve">hormone receptor positive (HR+), human epidermal growth factor receptor 2 negative (HER2-) </w:t>
      </w:r>
      <w:r w:rsidR="00557A30">
        <w:t xml:space="preserve">locally </w:t>
      </w:r>
      <w:r w:rsidR="00557A30" w:rsidRPr="009970A4">
        <w:t>advanced or metastatic breast cancer</w:t>
      </w:r>
      <w:r>
        <w:t>.</w:t>
      </w:r>
    </w:p>
    <w:p w:rsidR="00E30CC2" w:rsidRPr="00E30CC2" w:rsidRDefault="009F1A64" w:rsidP="000F260D">
      <w:pPr>
        <w:pStyle w:val="3-BodyText"/>
        <w:snapToGrid w:val="0"/>
      </w:pPr>
      <w:r>
        <w:t xml:space="preserve">Ribociclib in combination with fulvestrant had </w:t>
      </w:r>
      <w:r w:rsidR="00877097">
        <w:t>not been considered by the PBAC</w:t>
      </w:r>
      <w:r w:rsidR="00376361">
        <w:t xml:space="preserve"> previously</w:t>
      </w:r>
      <w:r w:rsidR="00877097">
        <w:t>.</w:t>
      </w:r>
      <w:r w:rsidR="00E30CC2" w:rsidRPr="000F260D">
        <w:rPr>
          <w:iCs/>
        </w:rPr>
        <w:t xml:space="preserve"> </w:t>
      </w:r>
    </w:p>
    <w:p w:rsidR="00877097" w:rsidRDefault="00E30CC2" w:rsidP="00E30CC2">
      <w:pPr>
        <w:pStyle w:val="3-BodyText"/>
        <w:snapToGrid w:val="0"/>
      </w:pPr>
      <w:r w:rsidRPr="00A54CD0">
        <w:rPr>
          <w:iCs/>
        </w:rPr>
        <w:lastRenderedPageBreak/>
        <w:t>Fulvestrant (as combination therapy or as monotherapy) is not currently PBS listed for any indication</w:t>
      </w:r>
      <w:r w:rsidRPr="00A54CD0">
        <w:t>. A separate submission (sponsored by AstraZeneca) requesting listing of fulvestrant for the treatment of patients with HR+, HER2- advanced breast cancer w</w:t>
      </w:r>
      <w:r>
        <w:t xml:space="preserve">as </w:t>
      </w:r>
      <w:r w:rsidRPr="00A54CD0">
        <w:t>also considered at the July 2020 PBAC meeting.</w:t>
      </w:r>
    </w:p>
    <w:p w:rsidR="005C25FF" w:rsidRPr="004151CF" w:rsidRDefault="005C25FF" w:rsidP="004A6040">
      <w:pPr>
        <w:pStyle w:val="4-SubsectionHeading"/>
      </w:pPr>
      <w:bookmarkStart w:id="9" w:name="_Toc40716937"/>
      <w:r w:rsidRPr="004151CF">
        <w:t>Registration status</w:t>
      </w:r>
      <w:bookmarkEnd w:id="7"/>
      <w:bookmarkEnd w:id="8"/>
      <w:bookmarkEnd w:id="9"/>
    </w:p>
    <w:p w:rsidR="00ED4BE8" w:rsidRDefault="00ED4BE8" w:rsidP="00ED4BE8">
      <w:pPr>
        <w:pStyle w:val="3-BodyText"/>
      </w:pPr>
      <w:r w:rsidRPr="00CC2432">
        <w:t xml:space="preserve">Ribociclib was first approved by the </w:t>
      </w:r>
      <w:r>
        <w:t xml:space="preserve">Therapeutic Goods Administration (TGA) </w:t>
      </w:r>
      <w:r w:rsidRPr="00CC2432">
        <w:t>in October 2017 and later updated in February 2020 for the following indication</w:t>
      </w:r>
      <w:r>
        <w:t>:</w:t>
      </w:r>
    </w:p>
    <w:p w:rsidR="00ED4BE8" w:rsidRDefault="00ED4BE8" w:rsidP="0045337E">
      <w:pPr>
        <w:pStyle w:val="ListParagraph"/>
        <w:numPr>
          <w:ilvl w:val="0"/>
          <w:numId w:val="0"/>
        </w:numPr>
        <w:ind w:left="720"/>
      </w:pPr>
      <w:r w:rsidRPr="00CC2432">
        <w:t>“KISQALI is indicated for the treatment of patients with hormone receptor (HR)-positive, human epidermal growth factor receptor 2 (HER2)-negative advanced or metastatic breast cancer, in combination with an aromatase inhibitor or fulvestrant, as initial endocrine-based therapy or following prior endocrine therapy”.</w:t>
      </w:r>
    </w:p>
    <w:p w:rsidR="00ED4BE8" w:rsidRDefault="00ED4BE8" w:rsidP="0045337E">
      <w:pPr>
        <w:pStyle w:val="ListParagraph"/>
        <w:numPr>
          <w:ilvl w:val="0"/>
          <w:numId w:val="0"/>
        </w:numPr>
        <w:ind w:left="720"/>
      </w:pPr>
      <w:r w:rsidRPr="00790D66">
        <w:t>The TGA indication further notes that “In pre- or perimenopausal women, the endocrine therapy should be combined with a luteinising hormone-releasing hormone (LHRH) agonist”.</w:t>
      </w:r>
    </w:p>
    <w:p w:rsidR="00A456C7" w:rsidRDefault="00A456C7" w:rsidP="00877097">
      <w:pPr>
        <w:pStyle w:val="3-BodyText"/>
      </w:pPr>
      <w:r>
        <w:t>Fulvestrant monotherapy under the brand name, Faslodex (AstraZeneca), was TGA-approved in March 2006 for the treatment of postmenopausal women with HR+ advanced/metastatic breast cancer with progressive disease following prior tamoxifen therapy.</w:t>
      </w:r>
    </w:p>
    <w:p w:rsidR="00A456C7" w:rsidRPr="00B41C44" w:rsidRDefault="00A456C7" w:rsidP="00877097">
      <w:pPr>
        <w:pStyle w:val="3-BodyText"/>
        <w:snapToGrid w:val="0"/>
      </w:pPr>
      <w:r>
        <w:t xml:space="preserve">The sponsor of this submission (Novartis/Sandoz) </w:t>
      </w:r>
      <w:r w:rsidR="004760B9">
        <w:t>lodged</w:t>
      </w:r>
      <w:r>
        <w:t xml:space="preserve"> a TGA submission </w:t>
      </w:r>
      <w:r w:rsidR="00AA0F29">
        <w:t>seeking</w:t>
      </w:r>
      <w:r>
        <w:t xml:space="preserve"> </w:t>
      </w:r>
      <w:r w:rsidR="005602A5">
        <w:t xml:space="preserve">registration of </w:t>
      </w:r>
      <w:r w:rsidR="005F1022">
        <w:t xml:space="preserve">a </w:t>
      </w:r>
      <w:r>
        <w:t>generic form of fulvestrant in Sept</w:t>
      </w:r>
      <w:r w:rsidR="005F1022">
        <w:t>ember</w:t>
      </w:r>
      <w:r>
        <w:t xml:space="preserve"> 2019</w:t>
      </w:r>
      <w:r w:rsidRPr="00B02907">
        <w:t xml:space="preserve">. </w:t>
      </w:r>
      <w:r w:rsidR="00194314" w:rsidRPr="00B02907">
        <w:t xml:space="preserve">The </w:t>
      </w:r>
      <w:r w:rsidRPr="00B02907">
        <w:t xml:space="preserve">TGA </w:t>
      </w:r>
      <w:r w:rsidR="003A081D" w:rsidRPr="00B02907">
        <w:t xml:space="preserve">approved registration of the generic form in May 2020 </w:t>
      </w:r>
      <w:r w:rsidR="00687529" w:rsidRPr="00B02907">
        <w:t xml:space="preserve">with </w:t>
      </w:r>
      <w:r w:rsidR="003A081D" w:rsidRPr="00B02907">
        <w:t xml:space="preserve">the indication: “… for the treatment of postmenopausal women with hormone-receptor positive, locally advanced or metastatic breast cancer who have progressive disease following prior tamoxifen </w:t>
      </w:r>
      <w:r w:rsidR="003A081D" w:rsidRPr="00B41C44">
        <w:t>therapy”</w:t>
      </w:r>
      <w:r w:rsidR="00687529" w:rsidRPr="00B41C44">
        <w:t xml:space="preserve"> (i.e. the same </w:t>
      </w:r>
      <w:r w:rsidR="004760B9" w:rsidRPr="00B41C44">
        <w:t xml:space="preserve">indication </w:t>
      </w:r>
      <w:r w:rsidR="00687529" w:rsidRPr="00B41C44">
        <w:t>as non-generic fulvestrant)</w:t>
      </w:r>
      <w:r w:rsidRPr="00B41C44">
        <w:t xml:space="preserve">. </w:t>
      </w:r>
    </w:p>
    <w:p w:rsidR="00687529" w:rsidRPr="00B41C44" w:rsidRDefault="00687529" w:rsidP="008718A7">
      <w:pPr>
        <w:pStyle w:val="3-BodyText"/>
        <w:snapToGrid w:val="0"/>
      </w:pPr>
      <w:r w:rsidRPr="00B41C44">
        <w:t xml:space="preserve">The TGA indication for ribociclib includes combination use with fulvestrant. Consequently, combination use (in first or second-line) is considered to be “on-label”. </w:t>
      </w:r>
    </w:p>
    <w:p w:rsidR="00C77827" w:rsidRPr="000320C4" w:rsidRDefault="00C77827" w:rsidP="000320C4">
      <w:pPr>
        <w:pStyle w:val="3-BodyText"/>
        <w:numPr>
          <w:ilvl w:val="0"/>
          <w:numId w:val="0"/>
        </w:numPr>
        <w:ind w:firstLine="720"/>
        <w:rPr>
          <w:i/>
        </w:rPr>
      </w:pPr>
      <w:r w:rsidRPr="00B41C44">
        <w:rPr>
          <w:i/>
        </w:rPr>
        <w:t>For more detail on PBAC’s view, see section 7 PBAC outcome.</w:t>
      </w:r>
    </w:p>
    <w:p w:rsidR="00B60939" w:rsidRPr="00B41C44" w:rsidRDefault="00B50DB8" w:rsidP="004E18E9">
      <w:pPr>
        <w:pStyle w:val="2-SectionHeading"/>
      </w:pPr>
      <w:bookmarkStart w:id="10" w:name="_Toc38290338"/>
      <w:bookmarkStart w:id="11" w:name="_Toc40716938"/>
      <w:r w:rsidRPr="00B41C44">
        <w:t>Requested listing</w:t>
      </w:r>
      <w:bookmarkEnd w:id="10"/>
      <w:bookmarkEnd w:id="11"/>
    </w:p>
    <w:p w:rsidR="00D05DC3" w:rsidRPr="00B41C44" w:rsidRDefault="00433062" w:rsidP="00D05DC3">
      <w:pPr>
        <w:pStyle w:val="3-BodyText"/>
        <w:snapToGrid w:val="0"/>
      </w:pPr>
      <w:r w:rsidRPr="00B41C44">
        <w:t xml:space="preserve">The </w:t>
      </w:r>
      <w:r w:rsidR="00DC0158">
        <w:t xml:space="preserve">requested </w:t>
      </w:r>
      <w:r w:rsidRPr="00B41C44">
        <w:t xml:space="preserve">listing is outlined below. The submission proposed amending the existing listings for ribociclib </w:t>
      </w:r>
      <w:r w:rsidR="00DB7ECD" w:rsidRPr="00B41C44">
        <w:t xml:space="preserve">(initial and continuing) </w:t>
      </w:r>
      <w:r w:rsidRPr="00B41C44">
        <w:t xml:space="preserve">to allow use in combination with fulvestrant </w:t>
      </w:r>
      <w:r w:rsidR="00636018" w:rsidRPr="00B41C44">
        <w:t xml:space="preserve">(changes </w:t>
      </w:r>
      <w:r w:rsidR="00DC0158">
        <w:t xml:space="preserve">to the existing first-line listings </w:t>
      </w:r>
      <w:r w:rsidR="00636018" w:rsidRPr="00B41C44">
        <w:t xml:space="preserve">are shown in italics) </w:t>
      </w:r>
      <w:r w:rsidRPr="00B41C44">
        <w:t xml:space="preserve">and adding </w:t>
      </w:r>
      <w:r w:rsidR="00DB7ECD" w:rsidRPr="00B41C44">
        <w:t>new grandfather listings and</w:t>
      </w:r>
      <w:r w:rsidR="00B41C44">
        <w:t xml:space="preserve"> new</w:t>
      </w:r>
      <w:r w:rsidR="00DB7ECD" w:rsidRPr="00B41C44">
        <w:t xml:space="preserve"> </w:t>
      </w:r>
      <w:r w:rsidRPr="00B41C44">
        <w:t>second-line treatment listin</w:t>
      </w:r>
      <w:r w:rsidR="001E0F3E" w:rsidRPr="00B41C44">
        <w:t>g</w:t>
      </w:r>
      <w:r w:rsidR="00636018" w:rsidRPr="00B41C44">
        <w:t>s</w:t>
      </w:r>
      <w:r w:rsidR="001E0F3E" w:rsidRPr="00B41C44">
        <w:t xml:space="preserve"> for ribociclib. </w:t>
      </w:r>
    </w:p>
    <w:tbl>
      <w:tblPr>
        <w:tblW w:w="4960" w:type="pct"/>
        <w:tblInd w:w="28" w:type="dxa"/>
        <w:tblCellMar>
          <w:left w:w="28" w:type="dxa"/>
          <w:right w:w="28" w:type="dxa"/>
        </w:tblCellMar>
        <w:tblLook w:val="04A0" w:firstRow="1" w:lastRow="0" w:firstColumn="1" w:lastColumn="0" w:noHBand="0" w:noVBand="1"/>
      </w:tblPr>
      <w:tblGrid>
        <w:gridCol w:w="1665"/>
        <w:gridCol w:w="2115"/>
        <w:gridCol w:w="989"/>
        <w:gridCol w:w="706"/>
        <w:gridCol w:w="1408"/>
        <w:gridCol w:w="2072"/>
      </w:tblGrid>
      <w:tr w:rsidR="00A456C7" w:rsidRPr="00B41C44" w:rsidTr="00DB7ECD">
        <w:trPr>
          <w:cantSplit/>
          <w:trHeight w:val="244"/>
        </w:trPr>
        <w:tc>
          <w:tcPr>
            <w:tcW w:w="5000" w:type="pct"/>
            <w:gridSpan w:val="6"/>
            <w:tcBorders>
              <w:top w:val="nil"/>
              <w:left w:val="nil"/>
              <w:bottom w:val="single" w:sz="4" w:space="0" w:color="auto"/>
              <w:right w:val="nil"/>
            </w:tcBorders>
            <w:hideMark/>
          </w:tcPr>
          <w:p w:rsidR="00A456C7" w:rsidRPr="00B41C44" w:rsidRDefault="00A456C7" w:rsidP="001D6900">
            <w:pPr>
              <w:pStyle w:val="TableText0"/>
              <w:spacing w:before="240"/>
              <w:rPr>
                <w:rStyle w:val="CommentReference"/>
              </w:rPr>
            </w:pPr>
            <w:r w:rsidRPr="00B41C44">
              <w:rPr>
                <w:rStyle w:val="CommentReference"/>
              </w:rPr>
              <w:t>Essential elements of the requested listing for ribociclib</w:t>
            </w:r>
          </w:p>
        </w:tc>
      </w:tr>
      <w:tr w:rsidR="00A456C7" w:rsidTr="00146A88">
        <w:trPr>
          <w:cantSplit/>
          <w:trHeight w:val="463"/>
        </w:trPr>
        <w:tc>
          <w:tcPr>
            <w:tcW w:w="930" w:type="pct"/>
            <w:tcBorders>
              <w:top w:val="single" w:sz="4" w:space="0" w:color="auto"/>
              <w:left w:val="nil"/>
              <w:bottom w:val="single" w:sz="4" w:space="0" w:color="auto"/>
            </w:tcBorders>
            <w:vAlign w:val="center"/>
            <w:hideMark/>
          </w:tcPr>
          <w:p w:rsidR="00A456C7" w:rsidRPr="00B41C44" w:rsidRDefault="00A456C7">
            <w:pPr>
              <w:pStyle w:val="TableText0"/>
            </w:pPr>
            <w:r w:rsidRPr="00B41C44">
              <w:t>Name, Restriction,</w:t>
            </w:r>
          </w:p>
          <w:p w:rsidR="00A456C7" w:rsidRPr="00B41C44" w:rsidRDefault="00A456C7">
            <w:pPr>
              <w:pStyle w:val="TableText0"/>
            </w:pPr>
            <w:r w:rsidRPr="00B41C44">
              <w:t>Manner of administration and form</w:t>
            </w:r>
          </w:p>
        </w:tc>
        <w:tc>
          <w:tcPr>
            <w:tcW w:w="1181" w:type="pct"/>
            <w:tcBorders>
              <w:top w:val="single" w:sz="4" w:space="0" w:color="auto"/>
              <w:bottom w:val="single" w:sz="4" w:space="0" w:color="auto"/>
            </w:tcBorders>
            <w:hideMark/>
          </w:tcPr>
          <w:p w:rsidR="00A456C7" w:rsidRPr="00B41C44" w:rsidRDefault="00A456C7">
            <w:pPr>
              <w:pStyle w:val="TableText0"/>
            </w:pPr>
            <w:r w:rsidRPr="00B41C44">
              <w:t>Max.</w:t>
            </w:r>
          </w:p>
          <w:p w:rsidR="00A456C7" w:rsidRPr="00B41C44" w:rsidRDefault="00A456C7">
            <w:pPr>
              <w:pStyle w:val="TableText0"/>
            </w:pPr>
            <w:r w:rsidRPr="00B41C44">
              <w:t>Qty (packs)</w:t>
            </w:r>
          </w:p>
        </w:tc>
        <w:tc>
          <w:tcPr>
            <w:tcW w:w="552" w:type="pct"/>
            <w:tcBorders>
              <w:top w:val="single" w:sz="4" w:space="0" w:color="auto"/>
              <w:bottom w:val="single" w:sz="4" w:space="0" w:color="auto"/>
            </w:tcBorders>
            <w:vAlign w:val="center"/>
            <w:hideMark/>
          </w:tcPr>
          <w:p w:rsidR="00A456C7" w:rsidRPr="00B41C44" w:rsidRDefault="00A456C7">
            <w:pPr>
              <w:pStyle w:val="TableText0"/>
            </w:pPr>
            <w:r w:rsidRPr="00B41C44">
              <w:t>Max.</w:t>
            </w:r>
          </w:p>
          <w:p w:rsidR="00A456C7" w:rsidRPr="00B41C44" w:rsidRDefault="00A456C7">
            <w:pPr>
              <w:pStyle w:val="TableText0"/>
            </w:pPr>
            <w:r w:rsidRPr="00B41C44">
              <w:t>Qty (units)</w:t>
            </w:r>
          </w:p>
        </w:tc>
        <w:tc>
          <w:tcPr>
            <w:tcW w:w="394" w:type="pct"/>
            <w:tcBorders>
              <w:top w:val="single" w:sz="4" w:space="0" w:color="auto"/>
              <w:bottom w:val="single" w:sz="4" w:space="0" w:color="auto"/>
            </w:tcBorders>
            <w:vAlign w:val="center"/>
            <w:hideMark/>
          </w:tcPr>
          <w:p w:rsidR="00A456C7" w:rsidRPr="00B41C44" w:rsidRDefault="00A456C7">
            <w:pPr>
              <w:pStyle w:val="TableText0"/>
            </w:pPr>
            <w:r w:rsidRPr="00B41C44">
              <w:rPr>
                <w:rFonts w:cs="Times New Roman"/>
              </w:rPr>
              <w:t>№</w:t>
            </w:r>
            <w:r w:rsidRPr="00B41C44">
              <w:t>.of</w:t>
            </w:r>
          </w:p>
          <w:p w:rsidR="00A456C7" w:rsidRPr="00B41C44" w:rsidRDefault="00A456C7">
            <w:pPr>
              <w:pStyle w:val="TableText0"/>
            </w:pPr>
            <w:r w:rsidRPr="00B41C44">
              <w:t>Rpts</w:t>
            </w:r>
          </w:p>
        </w:tc>
        <w:tc>
          <w:tcPr>
            <w:tcW w:w="786" w:type="pct"/>
            <w:tcBorders>
              <w:top w:val="single" w:sz="4" w:space="0" w:color="auto"/>
              <w:bottom w:val="single" w:sz="4" w:space="0" w:color="auto"/>
            </w:tcBorders>
            <w:vAlign w:val="center"/>
            <w:hideMark/>
          </w:tcPr>
          <w:p w:rsidR="00A456C7" w:rsidRPr="00B41C44" w:rsidRDefault="00A456C7">
            <w:pPr>
              <w:pStyle w:val="TableText0"/>
            </w:pPr>
            <w:r w:rsidRPr="00B41C44">
              <w:t xml:space="preserve">Dispensed Price for Max. Qty </w:t>
            </w:r>
          </w:p>
        </w:tc>
        <w:tc>
          <w:tcPr>
            <w:tcW w:w="1157" w:type="pct"/>
            <w:tcBorders>
              <w:top w:val="single" w:sz="4" w:space="0" w:color="auto"/>
              <w:bottom w:val="single" w:sz="4" w:space="0" w:color="auto"/>
              <w:right w:val="nil"/>
            </w:tcBorders>
            <w:vAlign w:val="center"/>
            <w:hideMark/>
          </w:tcPr>
          <w:p w:rsidR="00A456C7" w:rsidRDefault="00A456C7">
            <w:pPr>
              <w:pStyle w:val="TableText0"/>
              <w:rPr>
                <w:lang w:val="fr-FR"/>
              </w:rPr>
            </w:pPr>
            <w:r w:rsidRPr="00B41C44">
              <w:t>Proprietary Name and Manufacturer</w:t>
            </w:r>
          </w:p>
        </w:tc>
      </w:tr>
      <w:tr w:rsidR="00A456C7" w:rsidTr="00146A88">
        <w:trPr>
          <w:cantSplit/>
          <w:trHeight w:val="567"/>
        </w:trPr>
        <w:tc>
          <w:tcPr>
            <w:tcW w:w="930" w:type="pct"/>
            <w:tcBorders>
              <w:top w:val="single" w:sz="4" w:space="0" w:color="auto"/>
            </w:tcBorders>
            <w:hideMark/>
          </w:tcPr>
          <w:p w:rsidR="00A456C7" w:rsidRDefault="00A456C7" w:rsidP="007F4AB2">
            <w:pPr>
              <w:pStyle w:val="TableText0"/>
              <w:rPr>
                <w:smallCaps/>
              </w:rPr>
            </w:pPr>
            <w:r>
              <w:rPr>
                <w:smallCaps/>
              </w:rPr>
              <w:t>Ribociclib,</w:t>
            </w:r>
          </w:p>
          <w:p w:rsidR="00A456C7" w:rsidRDefault="00A456C7" w:rsidP="00824A62">
            <w:pPr>
              <w:pStyle w:val="TableText0"/>
            </w:pPr>
            <w:r>
              <w:rPr>
                <w:smallCaps/>
              </w:rPr>
              <w:t>200 mg tablets</w:t>
            </w:r>
          </w:p>
        </w:tc>
        <w:tc>
          <w:tcPr>
            <w:tcW w:w="1181" w:type="pct"/>
            <w:tcBorders>
              <w:top w:val="single" w:sz="4" w:space="0" w:color="auto"/>
            </w:tcBorders>
          </w:tcPr>
          <w:p w:rsidR="00A456C7" w:rsidRDefault="00A456C7">
            <w:pPr>
              <w:pStyle w:val="TableText0"/>
            </w:pPr>
          </w:p>
          <w:p w:rsidR="00A456C7" w:rsidRDefault="00A456C7">
            <w:pPr>
              <w:pStyle w:val="TableText0"/>
            </w:pPr>
            <w:r>
              <w:t>1</w:t>
            </w:r>
          </w:p>
        </w:tc>
        <w:tc>
          <w:tcPr>
            <w:tcW w:w="552" w:type="pct"/>
            <w:tcBorders>
              <w:top w:val="single" w:sz="4" w:space="0" w:color="auto"/>
            </w:tcBorders>
            <w:vAlign w:val="center"/>
            <w:hideMark/>
          </w:tcPr>
          <w:p w:rsidR="00A456C7" w:rsidRDefault="00A456C7">
            <w:pPr>
              <w:pStyle w:val="TableText0"/>
            </w:pPr>
            <w:r>
              <w:t>63</w:t>
            </w:r>
            <w:r>
              <w:rPr>
                <w:vertAlign w:val="superscript"/>
              </w:rPr>
              <w:t>a</w:t>
            </w:r>
          </w:p>
          <w:p w:rsidR="007F4AB2" w:rsidRDefault="007F4AB2">
            <w:pPr>
              <w:pStyle w:val="TableText0"/>
            </w:pPr>
          </w:p>
          <w:p w:rsidR="007F4AB2" w:rsidRPr="007F4AB2" w:rsidRDefault="007F4AB2">
            <w:pPr>
              <w:pStyle w:val="TableText0"/>
            </w:pPr>
          </w:p>
          <w:p w:rsidR="00A456C7" w:rsidRDefault="00A456C7">
            <w:pPr>
              <w:pStyle w:val="TableText0"/>
            </w:pPr>
            <w:r>
              <w:t>42</w:t>
            </w:r>
            <w:r>
              <w:rPr>
                <w:vertAlign w:val="superscript"/>
              </w:rPr>
              <w:t>a</w:t>
            </w:r>
          </w:p>
          <w:p w:rsidR="007F4AB2" w:rsidRDefault="007F4AB2">
            <w:pPr>
              <w:pStyle w:val="TableText0"/>
            </w:pPr>
          </w:p>
          <w:p w:rsidR="007F4AB2" w:rsidRPr="007F4AB2" w:rsidRDefault="007F4AB2">
            <w:pPr>
              <w:pStyle w:val="TableText0"/>
            </w:pPr>
          </w:p>
          <w:p w:rsidR="00A456C7" w:rsidRDefault="00A456C7">
            <w:pPr>
              <w:pStyle w:val="TableText0"/>
            </w:pPr>
            <w:r>
              <w:t>21</w:t>
            </w:r>
            <w:r>
              <w:rPr>
                <w:vertAlign w:val="superscript"/>
              </w:rPr>
              <w:t>a</w:t>
            </w:r>
          </w:p>
          <w:p w:rsidR="007F4AB2" w:rsidRDefault="007F4AB2">
            <w:pPr>
              <w:pStyle w:val="TableText0"/>
            </w:pPr>
          </w:p>
          <w:p w:rsidR="007F4AB2" w:rsidRPr="007F4AB2" w:rsidRDefault="007F4AB2">
            <w:pPr>
              <w:pStyle w:val="TableText0"/>
            </w:pPr>
          </w:p>
        </w:tc>
        <w:tc>
          <w:tcPr>
            <w:tcW w:w="394" w:type="pct"/>
            <w:tcBorders>
              <w:top w:val="single" w:sz="4" w:space="0" w:color="auto"/>
            </w:tcBorders>
          </w:tcPr>
          <w:p w:rsidR="00A456C7" w:rsidRDefault="00A456C7" w:rsidP="007F4AB2">
            <w:pPr>
              <w:pStyle w:val="TableText0"/>
            </w:pPr>
          </w:p>
          <w:p w:rsidR="00A456C7" w:rsidRDefault="00A456C7" w:rsidP="007F4AB2">
            <w:pPr>
              <w:pStyle w:val="TableText0"/>
            </w:pPr>
            <w:r>
              <w:t>5</w:t>
            </w:r>
          </w:p>
          <w:p w:rsidR="00A456C7" w:rsidRDefault="00A456C7" w:rsidP="007F4AB2">
            <w:pPr>
              <w:pStyle w:val="TableText0"/>
            </w:pPr>
          </w:p>
        </w:tc>
        <w:tc>
          <w:tcPr>
            <w:tcW w:w="786" w:type="pct"/>
            <w:tcBorders>
              <w:top w:val="single" w:sz="4" w:space="0" w:color="auto"/>
            </w:tcBorders>
            <w:vAlign w:val="center"/>
            <w:hideMark/>
          </w:tcPr>
          <w:p w:rsidR="00A456C7" w:rsidRDefault="007F4AB2">
            <w:pPr>
              <w:pStyle w:val="TableText0"/>
            </w:pPr>
            <w:r>
              <w:t xml:space="preserve">PP: </w:t>
            </w:r>
            <w:r w:rsidR="00A456C7">
              <w:t>$5512.13</w:t>
            </w:r>
            <w:r w:rsidR="00A456C7">
              <w:rPr>
                <w:vertAlign w:val="superscript"/>
              </w:rPr>
              <w:t>b</w:t>
            </w:r>
          </w:p>
          <w:p w:rsidR="007F4AB2" w:rsidRDefault="007F4AB2" w:rsidP="007F4AB2">
            <w:pPr>
              <w:pStyle w:val="TableText0"/>
              <w:rPr>
                <w:iCs/>
              </w:rPr>
            </w:pPr>
            <w:r>
              <w:t xml:space="preserve">EP-1L: </w:t>
            </w:r>
            <w:r w:rsidRPr="00333446">
              <w:rPr>
                <w:iCs/>
              </w:rPr>
              <w:t>$</w:t>
            </w:r>
            <w:r w:rsidR="005E31C0">
              <w:rPr>
                <w:iCs/>
                <w:noProof/>
                <w:color w:val="000000"/>
                <w:highlight w:val="black"/>
              </w:rPr>
              <w:t>'''''''''''''''''''''</w:t>
            </w:r>
          </w:p>
          <w:p w:rsidR="007F4AB2" w:rsidRPr="007F4AB2" w:rsidRDefault="007F4AB2">
            <w:pPr>
              <w:pStyle w:val="TableText0"/>
            </w:pPr>
            <w:r>
              <w:rPr>
                <w:iCs/>
              </w:rPr>
              <w:t xml:space="preserve">EP-2L: </w:t>
            </w:r>
            <w:r w:rsidRPr="004D74C2">
              <w:rPr>
                <w:iCs/>
              </w:rPr>
              <w:t>$</w:t>
            </w:r>
            <w:r w:rsidR="005E31C0">
              <w:rPr>
                <w:iCs/>
                <w:noProof/>
                <w:color w:val="000000"/>
                <w:highlight w:val="black"/>
              </w:rPr>
              <w:t>''''''''''''''''''''''</w:t>
            </w:r>
          </w:p>
          <w:p w:rsidR="00A456C7" w:rsidRDefault="007F4AB2">
            <w:pPr>
              <w:pStyle w:val="TableText0"/>
            </w:pPr>
            <w:r>
              <w:t xml:space="preserve">PP: </w:t>
            </w:r>
            <w:r w:rsidR="00A456C7">
              <w:t>$3725.46</w:t>
            </w:r>
            <w:r w:rsidR="00A456C7">
              <w:rPr>
                <w:vertAlign w:val="superscript"/>
              </w:rPr>
              <w:t>b</w:t>
            </w:r>
          </w:p>
          <w:p w:rsidR="007F4AB2" w:rsidRDefault="007F4AB2" w:rsidP="007F4AB2">
            <w:pPr>
              <w:pStyle w:val="TableText0"/>
              <w:rPr>
                <w:iCs/>
              </w:rPr>
            </w:pPr>
            <w:r>
              <w:t xml:space="preserve">EP-1L: </w:t>
            </w:r>
            <w:r w:rsidRPr="00333446">
              <w:rPr>
                <w:iCs/>
              </w:rPr>
              <w:t>$</w:t>
            </w:r>
            <w:r w:rsidR="005E31C0">
              <w:rPr>
                <w:iCs/>
                <w:noProof/>
                <w:color w:val="000000"/>
                <w:highlight w:val="black"/>
              </w:rPr>
              <w:t>'''''''''''''''''</w:t>
            </w:r>
          </w:p>
          <w:p w:rsidR="007F4AB2" w:rsidRPr="007F4AB2" w:rsidRDefault="007F4AB2">
            <w:pPr>
              <w:pStyle w:val="TableText0"/>
            </w:pPr>
            <w:r>
              <w:rPr>
                <w:iCs/>
              </w:rPr>
              <w:t xml:space="preserve">EP-2L: </w:t>
            </w:r>
            <w:r w:rsidRPr="004D74C2">
              <w:rPr>
                <w:iCs/>
              </w:rPr>
              <w:t>$</w:t>
            </w:r>
            <w:r w:rsidR="005E31C0">
              <w:rPr>
                <w:iCs/>
                <w:noProof/>
                <w:color w:val="000000"/>
                <w:highlight w:val="black"/>
              </w:rPr>
              <w:t>'''''''''''''''''''''</w:t>
            </w:r>
          </w:p>
          <w:p w:rsidR="007F4AB2" w:rsidRDefault="007F4AB2">
            <w:pPr>
              <w:pStyle w:val="TableText0"/>
            </w:pPr>
            <w:r>
              <w:t xml:space="preserve">PP: </w:t>
            </w:r>
            <w:r w:rsidR="00A456C7">
              <w:t>$1926.77</w:t>
            </w:r>
            <w:r w:rsidR="00A456C7">
              <w:rPr>
                <w:vertAlign w:val="superscript"/>
              </w:rPr>
              <w:t>b</w:t>
            </w:r>
          </w:p>
          <w:p w:rsidR="007F4AB2" w:rsidRDefault="007F4AB2" w:rsidP="007F4AB2">
            <w:pPr>
              <w:pStyle w:val="TableText0"/>
              <w:rPr>
                <w:iCs/>
              </w:rPr>
            </w:pPr>
            <w:r>
              <w:t xml:space="preserve">EP-1L: </w:t>
            </w:r>
            <w:r w:rsidRPr="00333446">
              <w:rPr>
                <w:iCs/>
              </w:rPr>
              <w:t>$</w:t>
            </w:r>
            <w:r w:rsidR="005E31C0">
              <w:rPr>
                <w:iCs/>
                <w:noProof/>
                <w:color w:val="000000"/>
                <w:highlight w:val="black"/>
              </w:rPr>
              <w:t>''''''''''''''''</w:t>
            </w:r>
          </w:p>
          <w:p w:rsidR="00A456C7" w:rsidRDefault="007F4AB2" w:rsidP="007F4AB2">
            <w:pPr>
              <w:pStyle w:val="TableText0"/>
            </w:pPr>
            <w:r>
              <w:rPr>
                <w:iCs/>
              </w:rPr>
              <w:t xml:space="preserve">EP-2L: </w:t>
            </w:r>
            <w:r w:rsidRPr="004D74C2">
              <w:rPr>
                <w:iCs/>
              </w:rPr>
              <w:t>$</w:t>
            </w:r>
            <w:r w:rsidR="005E31C0">
              <w:rPr>
                <w:iCs/>
                <w:noProof/>
                <w:color w:val="000000"/>
                <w:highlight w:val="black"/>
              </w:rPr>
              <w:t>''''''''''''''''''''''</w:t>
            </w:r>
          </w:p>
        </w:tc>
        <w:tc>
          <w:tcPr>
            <w:tcW w:w="1157" w:type="pct"/>
            <w:tcBorders>
              <w:top w:val="single" w:sz="4" w:space="0" w:color="auto"/>
            </w:tcBorders>
            <w:hideMark/>
          </w:tcPr>
          <w:p w:rsidR="00A456C7" w:rsidRDefault="00A456C7" w:rsidP="00826A40">
            <w:pPr>
              <w:pStyle w:val="TableText0"/>
            </w:pPr>
            <w:r>
              <w:t>Kisqali, Novartis Pharmaceuticals Australia Pty Limited</w:t>
            </w:r>
          </w:p>
        </w:tc>
      </w:tr>
      <w:tr w:rsidR="00A456C7" w:rsidTr="00DB7ECD">
        <w:trPr>
          <w:trHeight w:val="20"/>
        </w:trPr>
        <w:tc>
          <w:tcPr>
            <w:tcW w:w="930" w:type="pct"/>
            <w:tcBorders>
              <w:top w:val="single" w:sz="4" w:space="0" w:color="auto"/>
              <w:left w:val="single" w:sz="4" w:space="0" w:color="auto"/>
              <w:bottom w:val="single" w:sz="4" w:space="0" w:color="auto"/>
              <w:right w:val="single" w:sz="4" w:space="0" w:color="auto"/>
            </w:tcBorders>
            <w:hideMark/>
          </w:tcPr>
          <w:p w:rsidR="00A456C7" w:rsidRDefault="00A456C7">
            <w:pPr>
              <w:pStyle w:val="TableText0"/>
            </w:pPr>
            <w:r>
              <w:t>Category/Program:</w:t>
            </w:r>
          </w:p>
        </w:tc>
        <w:tc>
          <w:tcPr>
            <w:tcW w:w="4070" w:type="pct"/>
            <w:gridSpan w:val="5"/>
            <w:tcBorders>
              <w:top w:val="single" w:sz="4" w:space="0" w:color="auto"/>
              <w:left w:val="single" w:sz="4" w:space="0" w:color="auto"/>
              <w:bottom w:val="single" w:sz="4" w:space="0" w:color="auto"/>
              <w:right w:val="single" w:sz="4" w:space="0" w:color="auto"/>
            </w:tcBorders>
            <w:hideMark/>
          </w:tcPr>
          <w:p w:rsidR="00A456C7" w:rsidRDefault="00A456C7">
            <w:pPr>
              <w:pStyle w:val="TableText0"/>
            </w:pPr>
            <w:r>
              <w:t>GENERAL – General Schedule</w:t>
            </w:r>
          </w:p>
        </w:tc>
      </w:tr>
      <w:tr w:rsidR="00A456C7" w:rsidTr="00DB7ECD">
        <w:trPr>
          <w:trHeight w:val="20"/>
        </w:trPr>
        <w:tc>
          <w:tcPr>
            <w:tcW w:w="930" w:type="pct"/>
            <w:tcBorders>
              <w:top w:val="single" w:sz="4" w:space="0" w:color="auto"/>
              <w:left w:val="single" w:sz="4" w:space="0" w:color="auto"/>
              <w:bottom w:val="single" w:sz="4" w:space="0" w:color="auto"/>
              <w:right w:val="single" w:sz="4" w:space="0" w:color="auto"/>
            </w:tcBorders>
            <w:hideMark/>
          </w:tcPr>
          <w:p w:rsidR="00A456C7" w:rsidRDefault="00A456C7">
            <w:pPr>
              <w:pStyle w:val="TableText0"/>
            </w:pPr>
            <w:r>
              <w:t>PBS indication:</w:t>
            </w:r>
          </w:p>
        </w:tc>
        <w:tc>
          <w:tcPr>
            <w:tcW w:w="4070" w:type="pct"/>
            <w:gridSpan w:val="5"/>
            <w:tcBorders>
              <w:top w:val="single" w:sz="4" w:space="0" w:color="auto"/>
              <w:left w:val="single" w:sz="4" w:space="0" w:color="auto"/>
              <w:bottom w:val="single" w:sz="4" w:space="0" w:color="auto"/>
              <w:right w:val="single" w:sz="4" w:space="0" w:color="auto"/>
            </w:tcBorders>
            <w:hideMark/>
          </w:tcPr>
          <w:p w:rsidR="00A456C7" w:rsidRDefault="00A456C7">
            <w:pPr>
              <w:pStyle w:val="TableText0"/>
            </w:pPr>
            <w:r>
              <w:t>Locally advanced or metastatic breast cancer</w:t>
            </w:r>
          </w:p>
        </w:tc>
      </w:tr>
      <w:tr w:rsidR="00A456C7" w:rsidTr="00DB7ECD">
        <w:trPr>
          <w:trHeight w:val="20"/>
        </w:trPr>
        <w:tc>
          <w:tcPr>
            <w:tcW w:w="930" w:type="pct"/>
            <w:tcBorders>
              <w:top w:val="single" w:sz="4" w:space="0" w:color="auto"/>
              <w:left w:val="single" w:sz="4" w:space="0" w:color="auto"/>
              <w:bottom w:val="single" w:sz="4" w:space="0" w:color="auto"/>
              <w:right w:val="single" w:sz="4" w:space="0" w:color="auto"/>
            </w:tcBorders>
            <w:hideMark/>
          </w:tcPr>
          <w:p w:rsidR="00A456C7" w:rsidRDefault="00A456C7" w:rsidP="001D6900">
            <w:pPr>
              <w:pStyle w:val="TableText0"/>
              <w:keepNext w:val="0"/>
            </w:pPr>
            <w:r>
              <w:t>Treatment phase:</w:t>
            </w:r>
          </w:p>
        </w:tc>
        <w:tc>
          <w:tcPr>
            <w:tcW w:w="4070" w:type="pct"/>
            <w:gridSpan w:val="5"/>
            <w:tcBorders>
              <w:top w:val="single" w:sz="4" w:space="0" w:color="auto"/>
              <w:left w:val="single" w:sz="4" w:space="0" w:color="auto"/>
              <w:bottom w:val="single" w:sz="4" w:space="0" w:color="auto"/>
              <w:right w:val="single" w:sz="4" w:space="0" w:color="auto"/>
            </w:tcBorders>
            <w:hideMark/>
          </w:tcPr>
          <w:p w:rsidR="00A456C7" w:rsidRDefault="00A456C7" w:rsidP="001D6900">
            <w:pPr>
              <w:pStyle w:val="TableText0"/>
              <w:keepNext w:val="0"/>
              <w:rPr>
                <w:b/>
                <w:bCs w:val="0"/>
              </w:rPr>
            </w:pPr>
            <w:r>
              <w:rPr>
                <w:b/>
                <w:bCs w:val="0"/>
              </w:rPr>
              <w:t>Initial treatment- FIRST LINE</w:t>
            </w:r>
          </w:p>
        </w:tc>
      </w:tr>
      <w:tr w:rsidR="00A456C7" w:rsidTr="00DB7ECD">
        <w:trPr>
          <w:trHeight w:val="20"/>
        </w:trPr>
        <w:tc>
          <w:tcPr>
            <w:tcW w:w="930" w:type="pct"/>
            <w:tcBorders>
              <w:top w:val="single" w:sz="4" w:space="0" w:color="auto"/>
              <w:left w:val="single" w:sz="4" w:space="0" w:color="auto"/>
              <w:bottom w:val="single" w:sz="4" w:space="0" w:color="auto"/>
              <w:right w:val="single" w:sz="4" w:space="0" w:color="auto"/>
            </w:tcBorders>
            <w:hideMark/>
          </w:tcPr>
          <w:p w:rsidR="00A456C7" w:rsidRDefault="00A456C7" w:rsidP="001D6900">
            <w:pPr>
              <w:pStyle w:val="TableText0"/>
              <w:keepNext w:val="0"/>
            </w:pPr>
            <w:r>
              <w:t>Restriction:</w:t>
            </w:r>
          </w:p>
        </w:tc>
        <w:tc>
          <w:tcPr>
            <w:tcW w:w="4070" w:type="pct"/>
            <w:gridSpan w:val="5"/>
            <w:tcBorders>
              <w:top w:val="single" w:sz="4" w:space="0" w:color="auto"/>
              <w:left w:val="single" w:sz="4" w:space="0" w:color="auto"/>
              <w:bottom w:val="single" w:sz="4" w:space="0" w:color="auto"/>
              <w:right w:val="single" w:sz="4" w:space="0" w:color="auto"/>
            </w:tcBorders>
            <w:hideMark/>
          </w:tcPr>
          <w:p w:rsidR="00A456C7" w:rsidRDefault="00A456C7" w:rsidP="00CB672F">
            <w:pPr>
              <w:pStyle w:val="TableText0"/>
              <w:keepNext w:val="0"/>
            </w:pPr>
            <w:r>
              <w:fldChar w:fldCharType="begin">
                <w:ffData>
                  <w:name w:val=""/>
                  <w:enabled/>
                  <w:calcOnExit w:val="0"/>
                  <w:checkBox>
                    <w:sizeAuto/>
                    <w:default w:val="1"/>
                  </w:checkBox>
                </w:ffData>
              </w:fldChar>
            </w:r>
            <w:r>
              <w:instrText xml:space="preserve"> FORMCHECKBOX </w:instrText>
            </w:r>
            <w:r w:rsidR="00476ACD">
              <w:fldChar w:fldCharType="separate"/>
            </w:r>
            <w:r>
              <w:fldChar w:fldCharType="end"/>
            </w:r>
            <w:r>
              <w:t xml:space="preserve">Authority Required </w:t>
            </w:r>
            <w:r w:rsidR="00CB672F">
              <w:t xml:space="preserve">– </w:t>
            </w:r>
            <w:r w:rsidR="00CB672F" w:rsidRPr="00B02907">
              <w:t>telephone/electronic</w:t>
            </w:r>
          </w:p>
        </w:tc>
      </w:tr>
      <w:tr w:rsidR="00A456C7" w:rsidTr="00DB7ECD">
        <w:trPr>
          <w:trHeight w:val="20"/>
        </w:trPr>
        <w:tc>
          <w:tcPr>
            <w:tcW w:w="930" w:type="pct"/>
            <w:tcBorders>
              <w:top w:val="single" w:sz="4" w:space="0" w:color="auto"/>
              <w:left w:val="single" w:sz="4" w:space="0" w:color="auto"/>
              <w:bottom w:val="single" w:sz="4" w:space="0" w:color="auto"/>
              <w:right w:val="single" w:sz="4" w:space="0" w:color="auto"/>
            </w:tcBorders>
            <w:hideMark/>
          </w:tcPr>
          <w:p w:rsidR="00A456C7" w:rsidRDefault="00A456C7" w:rsidP="001D6900">
            <w:pPr>
              <w:pStyle w:val="TableText0"/>
              <w:keepNext w:val="0"/>
            </w:pPr>
            <w:r>
              <w:t>Clinical criteria:</w:t>
            </w:r>
          </w:p>
        </w:tc>
        <w:tc>
          <w:tcPr>
            <w:tcW w:w="4070" w:type="pct"/>
            <w:gridSpan w:val="5"/>
            <w:tcBorders>
              <w:top w:val="single" w:sz="4" w:space="0" w:color="auto"/>
              <w:left w:val="single" w:sz="4" w:space="0" w:color="auto"/>
              <w:bottom w:val="single" w:sz="4" w:space="0" w:color="auto"/>
              <w:right w:val="single" w:sz="4" w:space="0" w:color="auto"/>
            </w:tcBorders>
            <w:hideMark/>
          </w:tcPr>
          <w:p w:rsidR="00A456C7" w:rsidRDefault="00A456C7" w:rsidP="001D6900">
            <w:pPr>
              <w:pStyle w:val="TableText0"/>
              <w:keepNext w:val="0"/>
            </w:pPr>
            <w:r>
              <w:t xml:space="preserve">Patient must not have previously been treated with </w:t>
            </w:r>
            <w:r w:rsidR="00BF6D84">
              <w:rPr>
                <w:i/>
              </w:rPr>
              <w:t xml:space="preserve">endocrine therapy </w:t>
            </w:r>
            <w:r>
              <w:t xml:space="preserve">for advanced or metastatic breast cancer, </w:t>
            </w:r>
          </w:p>
          <w:p w:rsidR="00A456C7" w:rsidRDefault="00A456C7" w:rsidP="001D6900">
            <w:pPr>
              <w:pStyle w:val="TableText0"/>
              <w:keepNext w:val="0"/>
            </w:pPr>
            <w:r>
              <w:t>AND</w:t>
            </w:r>
          </w:p>
          <w:p w:rsidR="00A456C7" w:rsidRDefault="00A456C7" w:rsidP="001D6900">
            <w:pPr>
              <w:pStyle w:val="TableText0"/>
              <w:keepNext w:val="0"/>
            </w:pPr>
            <w:r>
              <w:t>Patient must not have previously been treated with abemaciclib OR palbociclib OR patient must have developed an intolerance to abemaciclib or palbociclib of a severity necessitating permanent treatment withdrawal, AND</w:t>
            </w:r>
          </w:p>
          <w:p w:rsidR="00A456C7" w:rsidRDefault="00A456C7" w:rsidP="001D6900">
            <w:pPr>
              <w:pStyle w:val="TableText0"/>
              <w:keepNext w:val="0"/>
            </w:pPr>
            <w:r>
              <w:t>The condition must be hormone receptor positive, AND</w:t>
            </w:r>
          </w:p>
          <w:p w:rsidR="00A456C7" w:rsidRDefault="00A456C7" w:rsidP="001D6900">
            <w:pPr>
              <w:pStyle w:val="TableText0"/>
              <w:keepNext w:val="0"/>
            </w:pPr>
            <w:r>
              <w:t>The condition must be human epidermal growth factor receptor 2 (HER2) negative, AND</w:t>
            </w:r>
          </w:p>
          <w:p w:rsidR="00A456C7" w:rsidRDefault="00A456C7" w:rsidP="001D6900">
            <w:pPr>
              <w:pStyle w:val="TableText0"/>
              <w:keepNext w:val="0"/>
            </w:pPr>
            <w:r>
              <w:t>The condition must be inoperable, AND</w:t>
            </w:r>
          </w:p>
          <w:p w:rsidR="00A456C7" w:rsidRDefault="00A456C7" w:rsidP="001D6900">
            <w:pPr>
              <w:pStyle w:val="TableText0"/>
              <w:keepNext w:val="0"/>
            </w:pPr>
            <w:r>
              <w:t>Patient must have a World Health Organisation (WHO) Eastern Cooperative Oncology Group (ECOG) performance status score of 2 or less, AND</w:t>
            </w:r>
          </w:p>
          <w:p w:rsidR="00A456C7" w:rsidRDefault="00A456C7" w:rsidP="001D6900">
            <w:pPr>
              <w:pStyle w:val="TableText0"/>
              <w:keepNext w:val="0"/>
            </w:pPr>
            <w:r>
              <w:t xml:space="preserve">The treatment must be </w:t>
            </w:r>
            <w:r w:rsidR="001E0F3E">
              <w:t>in combination with anastrozole or</w:t>
            </w:r>
            <w:r>
              <w:t xml:space="preserve"> letrozole </w:t>
            </w:r>
            <w:r w:rsidRPr="001E0F3E">
              <w:rPr>
                <w:i/>
              </w:rPr>
              <w:t>or fulvestrant</w:t>
            </w:r>
            <w:r>
              <w:t xml:space="preserve"> AND</w:t>
            </w:r>
          </w:p>
          <w:p w:rsidR="00A456C7" w:rsidRDefault="00A456C7" w:rsidP="001D6900">
            <w:pPr>
              <w:pStyle w:val="TableText0"/>
              <w:keepNext w:val="0"/>
            </w:pPr>
            <w:r>
              <w:t>The treatment must not be in combination with abemaciclib or palbociclib</w:t>
            </w:r>
          </w:p>
        </w:tc>
      </w:tr>
      <w:tr w:rsidR="00A456C7" w:rsidTr="00DB7ECD">
        <w:trPr>
          <w:trHeight w:val="20"/>
        </w:trPr>
        <w:tc>
          <w:tcPr>
            <w:tcW w:w="930" w:type="pct"/>
            <w:tcBorders>
              <w:top w:val="single" w:sz="4" w:space="0" w:color="auto"/>
              <w:left w:val="single" w:sz="4" w:space="0" w:color="auto"/>
              <w:bottom w:val="single" w:sz="4" w:space="0" w:color="auto"/>
              <w:right w:val="single" w:sz="4" w:space="0" w:color="auto"/>
            </w:tcBorders>
            <w:hideMark/>
          </w:tcPr>
          <w:p w:rsidR="00A456C7" w:rsidRDefault="00A456C7" w:rsidP="001D6900">
            <w:pPr>
              <w:pStyle w:val="TableText0"/>
              <w:keepNext w:val="0"/>
              <w:rPr>
                <w:color w:val="000000"/>
              </w:rPr>
            </w:pPr>
            <w:r>
              <w:t>Population criteria:</w:t>
            </w:r>
          </w:p>
        </w:tc>
        <w:tc>
          <w:tcPr>
            <w:tcW w:w="4070" w:type="pct"/>
            <w:gridSpan w:val="5"/>
            <w:tcBorders>
              <w:top w:val="single" w:sz="4" w:space="0" w:color="auto"/>
              <w:left w:val="single" w:sz="4" w:space="0" w:color="auto"/>
              <w:bottom w:val="single" w:sz="4" w:space="0" w:color="auto"/>
              <w:right w:val="single" w:sz="4" w:space="0" w:color="auto"/>
            </w:tcBorders>
            <w:hideMark/>
          </w:tcPr>
          <w:p w:rsidR="00A456C7" w:rsidRDefault="00A456C7" w:rsidP="001D6900">
            <w:pPr>
              <w:pStyle w:val="TableText0"/>
              <w:keepNext w:val="0"/>
              <w:rPr>
                <w:color w:val="000000"/>
              </w:rPr>
            </w:pPr>
            <w:r>
              <w:rPr>
                <w:color w:val="000000"/>
              </w:rPr>
              <w:t>Pat</w:t>
            </w:r>
            <w:r w:rsidR="001E0F3E">
              <w:rPr>
                <w:color w:val="000000"/>
              </w:rPr>
              <w:t>ient must not be premenopausal,</w:t>
            </w:r>
          </w:p>
        </w:tc>
      </w:tr>
      <w:tr w:rsidR="001E0F3E" w:rsidTr="00DB7ECD">
        <w:trPr>
          <w:trHeight w:val="20"/>
        </w:trPr>
        <w:tc>
          <w:tcPr>
            <w:tcW w:w="930" w:type="pct"/>
            <w:tcBorders>
              <w:top w:val="single" w:sz="4" w:space="0" w:color="auto"/>
              <w:left w:val="single" w:sz="4" w:space="0" w:color="auto"/>
              <w:bottom w:val="single" w:sz="4" w:space="0" w:color="auto"/>
              <w:right w:val="single" w:sz="4" w:space="0" w:color="auto"/>
            </w:tcBorders>
          </w:tcPr>
          <w:p w:rsidR="001E0F3E" w:rsidRDefault="001E0F3E" w:rsidP="001D6900">
            <w:pPr>
              <w:pStyle w:val="TableText0"/>
              <w:keepNext w:val="0"/>
            </w:pPr>
            <w:r>
              <w:t>Prescribing instructions:</w:t>
            </w:r>
          </w:p>
        </w:tc>
        <w:tc>
          <w:tcPr>
            <w:tcW w:w="4070" w:type="pct"/>
            <w:gridSpan w:val="5"/>
            <w:tcBorders>
              <w:top w:val="single" w:sz="4" w:space="0" w:color="auto"/>
              <w:left w:val="single" w:sz="4" w:space="0" w:color="auto"/>
              <w:bottom w:val="single" w:sz="4" w:space="0" w:color="auto"/>
              <w:right w:val="single" w:sz="4" w:space="0" w:color="auto"/>
            </w:tcBorders>
          </w:tcPr>
          <w:p w:rsidR="001E0F3E" w:rsidRDefault="001E0F3E" w:rsidP="001D6900">
            <w:pPr>
              <w:pStyle w:val="TableText0"/>
              <w:keepNext w:val="0"/>
              <w:rPr>
                <w:color w:val="000000"/>
              </w:rPr>
            </w:pPr>
            <w:r>
              <w:rPr>
                <w:color w:val="000000"/>
              </w:rPr>
              <w:t>A patient who has progressive disease when treated with this drug is no longer eligible for PBS-subsidised treatment with this drug</w:t>
            </w:r>
          </w:p>
        </w:tc>
      </w:tr>
      <w:tr w:rsidR="00A456C7" w:rsidTr="00DB7ECD">
        <w:trPr>
          <w:trHeight w:val="20"/>
        </w:trPr>
        <w:tc>
          <w:tcPr>
            <w:tcW w:w="930" w:type="pct"/>
            <w:tcBorders>
              <w:top w:val="single" w:sz="4" w:space="0" w:color="auto"/>
              <w:left w:val="single" w:sz="4" w:space="0" w:color="auto"/>
              <w:bottom w:val="single" w:sz="4" w:space="0" w:color="auto"/>
              <w:right w:val="single" w:sz="4" w:space="0" w:color="auto"/>
            </w:tcBorders>
            <w:hideMark/>
          </w:tcPr>
          <w:p w:rsidR="00A456C7" w:rsidRDefault="00A456C7" w:rsidP="001D6900">
            <w:pPr>
              <w:pStyle w:val="TableText0"/>
              <w:keepNext w:val="0"/>
              <w:rPr>
                <w:color w:val="000000"/>
              </w:rPr>
            </w:pPr>
            <w:r>
              <w:t>Administrative Advice:</w:t>
            </w:r>
          </w:p>
        </w:tc>
        <w:tc>
          <w:tcPr>
            <w:tcW w:w="4070" w:type="pct"/>
            <w:gridSpan w:val="5"/>
            <w:tcBorders>
              <w:top w:val="single" w:sz="4" w:space="0" w:color="auto"/>
              <w:left w:val="single" w:sz="4" w:space="0" w:color="auto"/>
              <w:bottom w:val="single" w:sz="4" w:space="0" w:color="auto"/>
              <w:right w:val="single" w:sz="4" w:space="0" w:color="auto"/>
            </w:tcBorders>
            <w:hideMark/>
          </w:tcPr>
          <w:p w:rsidR="00A456C7" w:rsidRDefault="00A456C7" w:rsidP="001D6900">
            <w:pPr>
              <w:pStyle w:val="TableText0"/>
              <w:keepNext w:val="0"/>
              <w:rPr>
                <w:color w:val="000000"/>
              </w:rPr>
            </w:pPr>
            <w:r>
              <w:rPr>
                <w:color w:val="000000"/>
              </w:rPr>
              <w:t>No increase in the maximum quantity or number of units may be authorised</w:t>
            </w:r>
          </w:p>
          <w:p w:rsidR="00A456C7" w:rsidRDefault="00A456C7" w:rsidP="001D6900">
            <w:pPr>
              <w:pStyle w:val="TableText0"/>
              <w:keepNext w:val="0"/>
              <w:rPr>
                <w:color w:val="000000"/>
              </w:rPr>
            </w:pPr>
            <w:r>
              <w:rPr>
                <w:color w:val="000000"/>
              </w:rPr>
              <w:t>No increase in the maximum number of repeats may be authorised</w:t>
            </w:r>
          </w:p>
          <w:p w:rsidR="00A456C7" w:rsidRDefault="00A456C7" w:rsidP="001D6900">
            <w:pPr>
              <w:pStyle w:val="TableText0"/>
              <w:keepNext w:val="0"/>
              <w:rPr>
                <w:color w:val="000000"/>
              </w:rPr>
            </w:pPr>
            <w:r>
              <w:rPr>
                <w:color w:val="000000"/>
              </w:rPr>
              <w:t>Special Pricing Arrangements apply</w:t>
            </w:r>
          </w:p>
        </w:tc>
      </w:tr>
      <w:tr w:rsidR="00A456C7" w:rsidTr="00DB7ECD">
        <w:trPr>
          <w:trHeight w:val="20"/>
        </w:trPr>
        <w:tc>
          <w:tcPr>
            <w:tcW w:w="930" w:type="pct"/>
            <w:tcBorders>
              <w:top w:val="single" w:sz="4" w:space="0" w:color="auto"/>
              <w:left w:val="single" w:sz="4" w:space="0" w:color="auto"/>
              <w:bottom w:val="single" w:sz="4" w:space="0" w:color="auto"/>
              <w:right w:val="single" w:sz="4" w:space="0" w:color="auto"/>
            </w:tcBorders>
            <w:hideMark/>
          </w:tcPr>
          <w:p w:rsidR="00A456C7" w:rsidRDefault="00A456C7" w:rsidP="001D6900">
            <w:pPr>
              <w:pStyle w:val="TableText0"/>
              <w:keepNext w:val="0"/>
            </w:pPr>
            <w:r>
              <w:t>Cautions:</w:t>
            </w:r>
          </w:p>
        </w:tc>
        <w:tc>
          <w:tcPr>
            <w:tcW w:w="4070" w:type="pct"/>
            <w:gridSpan w:val="5"/>
            <w:tcBorders>
              <w:top w:val="single" w:sz="4" w:space="0" w:color="auto"/>
              <w:left w:val="single" w:sz="4" w:space="0" w:color="auto"/>
              <w:bottom w:val="single" w:sz="4" w:space="0" w:color="auto"/>
              <w:right w:val="single" w:sz="4" w:space="0" w:color="auto"/>
            </w:tcBorders>
            <w:hideMark/>
          </w:tcPr>
          <w:p w:rsidR="00A456C7" w:rsidRDefault="00A456C7" w:rsidP="001D6900">
            <w:pPr>
              <w:pStyle w:val="TableText0"/>
              <w:keepNext w:val="0"/>
              <w:rPr>
                <w:color w:val="000000"/>
              </w:rPr>
            </w:pPr>
            <w:r>
              <w:rPr>
                <w:color w:val="000000"/>
              </w:rPr>
              <w:t>QT interval monitoring is required for patients treated with this drug</w:t>
            </w:r>
          </w:p>
        </w:tc>
      </w:tr>
      <w:tr w:rsidR="00A456C7" w:rsidTr="00DB7ECD">
        <w:trPr>
          <w:trHeight w:val="20"/>
        </w:trPr>
        <w:tc>
          <w:tcPr>
            <w:tcW w:w="930" w:type="pct"/>
            <w:tcBorders>
              <w:top w:val="single" w:sz="4" w:space="0" w:color="auto"/>
              <w:left w:val="single" w:sz="4" w:space="0" w:color="auto"/>
              <w:bottom w:val="single" w:sz="4" w:space="0" w:color="auto"/>
              <w:right w:val="single" w:sz="4" w:space="0" w:color="auto"/>
            </w:tcBorders>
            <w:hideMark/>
          </w:tcPr>
          <w:p w:rsidR="00A456C7" w:rsidRDefault="00A456C7" w:rsidP="001D6900">
            <w:pPr>
              <w:pStyle w:val="TableText0"/>
              <w:keepNext w:val="0"/>
            </w:pPr>
            <w:r>
              <w:t>Treatment Phase:</w:t>
            </w:r>
          </w:p>
        </w:tc>
        <w:tc>
          <w:tcPr>
            <w:tcW w:w="4070" w:type="pct"/>
            <w:gridSpan w:val="5"/>
            <w:tcBorders>
              <w:top w:val="single" w:sz="4" w:space="0" w:color="auto"/>
              <w:left w:val="single" w:sz="4" w:space="0" w:color="auto"/>
              <w:bottom w:val="single" w:sz="4" w:space="0" w:color="auto"/>
              <w:right w:val="single" w:sz="4" w:space="0" w:color="auto"/>
            </w:tcBorders>
            <w:hideMark/>
          </w:tcPr>
          <w:p w:rsidR="00A456C7" w:rsidRDefault="00A456C7" w:rsidP="001D6900">
            <w:pPr>
              <w:pStyle w:val="TableText0"/>
              <w:keepNext w:val="0"/>
              <w:rPr>
                <w:b/>
                <w:bCs w:val="0"/>
                <w:color w:val="000000"/>
              </w:rPr>
            </w:pPr>
            <w:r>
              <w:rPr>
                <w:b/>
                <w:bCs w:val="0"/>
                <w:color w:val="000000"/>
              </w:rPr>
              <w:t>Continuing- FIRST LINE</w:t>
            </w:r>
          </w:p>
        </w:tc>
      </w:tr>
      <w:tr w:rsidR="00A456C7" w:rsidTr="00DB7ECD">
        <w:trPr>
          <w:trHeight w:val="20"/>
        </w:trPr>
        <w:tc>
          <w:tcPr>
            <w:tcW w:w="930" w:type="pct"/>
            <w:tcBorders>
              <w:top w:val="single" w:sz="4" w:space="0" w:color="auto"/>
              <w:left w:val="single" w:sz="4" w:space="0" w:color="auto"/>
              <w:bottom w:val="single" w:sz="4" w:space="0" w:color="auto"/>
              <w:right w:val="single" w:sz="4" w:space="0" w:color="auto"/>
            </w:tcBorders>
            <w:hideMark/>
          </w:tcPr>
          <w:p w:rsidR="00A456C7" w:rsidRDefault="00A456C7" w:rsidP="001D6900">
            <w:pPr>
              <w:pStyle w:val="TableText0"/>
              <w:keepNext w:val="0"/>
            </w:pPr>
            <w:r>
              <w:t>Clinical criteria:</w:t>
            </w:r>
          </w:p>
        </w:tc>
        <w:tc>
          <w:tcPr>
            <w:tcW w:w="4070" w:type="pct"/>
            <w:gridSpan w:val="5"/>
            <w:tcBorders>
              <w:top w:val="single" w:sz="4" w:space="0" w:color="auto"/>
              <w:left w:val="single" w:sz="4" w:space="0" w:color="auto"/>
              <w:bottom w:val="single" w:sz="4" w:space="0" w:color="auto"/>
              <w:right w:val="single" w:sz="4" w:space="0" w:color="auto"/>
            </w:tcBorders>
            <w:hideMark/>
          </w:tcPr>
          <w:p w:rsidR="00A456C7" w:rsidRDefault="00A456C7" w:rsidP="001D6900">
            <w:pPr>
              <w:pStyle w:val="TableText0"/>
              <w:keepNext w:val="0"/>
              <w:rPr>
                <w:color w:val="000000"/>
              </w:rPr>
            </w:pPr>
            <w:r>
              <w:rPr>
                <w:color w:val="000000"/>
              </w:rPr>
              <w:t>Patient must have previously received PBS-subsidised treatment with this drug for this condition, AND</w:t>
            </w:r>
          </w:p>
          <w:p w:rsidR="00A456C7" w:rsidRDefault="00A456C7" w:rsidP="001D6900">
            <w:pPr>
              <w:pStyle w:val="TableText0"/>
              <w:keepNext w:val="0"/>
              <w:rPr>
                <w:color w:val="000000"/>
              </w:rPr>
            </w:pPr>
            <w:r>
              <w:rPr>
                <w:color w:val="000000"/>
              </w:rPr>
              <w:t>Patient must not have developed disease progression while receiving treatment with this drug for this condition, AND</w:t>
            </w:r>
          </w:p>
          <w:p w:rsidR="00A456C7" w:rsidRDefault="00A456C7" w:rsidP="001D6900">
            <w:pPr>
              <w:pStyle w:val="TableText0"/>
              <w:keepNext w:val="0"/>
              <w:rPr>
                <w:color w:val="000000"/>
              </w:rPr>
            </w:pPr>
            <w:r>
              <w:rPr>
                <w:color w:val="000000"/>
              </w:rPr>
              <w:t>Patient must have stable or responding disease, AND</w:t>
            </w:r>
          </w:p>
          <w:p w:rsidR="00A456C7" w:rsidRDefault="00A456C7" w:rsidP="001D6900">
            <w:pPr>
              <w:pStyle w:val="TableText0"/>
              <w:keepNext w:val="0"/>
              <w:rPr>
                <w:color w:val="000000"/>
              </w:rPr>
            </w:pPr>
            <w:r>
              <w:rPr>
                <w:color w:val="000000"/>
              </w:rPr>
              <w:t xml:space="preserve">The treatment must be in combination with anastrozole or letrozole </w:t>
            </w:r>
            <w:r w:rsidRPr="00636018">
              <w:rPr>
                <w:i/>
                <w:color w:val="000000"/>
              </w:rPr>
              <w:t>or fulvestrant,</w:t>
            </w:r>
            <w:r>
              <w:rPr>
                <w:color w:val="000000"/>
              </w:rPr>
              <w:t xml:space="preserve"> AND</w:t>
            </w:r>
          </w:p>
          <w:p w:rsidR="00A456C7" w:rsidRDefault="00A456C7" w:rsidP="001D6900">
            <w:pPr>
              <w:pStyle w:val="TableText0"/>
              <w:keepNext w:val="0"/>
              <w:rPr>
                <w:color w:val="000000"/>
              </w:rPr>
            </w:pPr>
            <w:r>
              <w:rPr>
                <w:color w:val="000000"/>
              </w:rPr>
              <w:t>The treatment must not be in combination with abemaciclib or palbociclib</w:t>
            </w:r>
          </w:p>
        </w:tc>
      </w:tr>
      <w:tr w:rsidR="00A456C7" w:rsidTr="00DB7ECD">
        <w:trPr>
          <w:trHeight w:val="20"/>
        </w:trPr>
        <w:tc>
          <w:tcPr>
            <w:tcW w:w="930" w:type="pct"/>
            <w:tcBorders>
              <w:top w:val="single" w:sz="4" w:space="0" w:color="auto"/>
              <w:left w:val="single" w:sz="4" w:space="0" w:color="auto"/>
              <w:bottom w:val="single" w:sz="4" w:space="0" w:color="auto"/>
              <w:right w:val="single" w:sz="4" w:space="0" w:color="auto"/>
            </w:tcBorders>
          </w:tcPr>
          <w:p w:rsidR="00A456C7" w:rsidRDefault="00A456C7" w:rsidP="001D6900">
            <w:pPr>
              <w:pStyle w:val="TableText0"/>
              <w:keepNext w:val="0"/>
            </w:pPr>
            <w:r>
              <w:t>Populatio</w:t>
            </w:r>
            <w:r w:rsidR="00146A88">
              <w:t>n criteria:</w:t>
            </w:r>
          </w:p>
        </w:tc>
        <w:tc>
          <w:tcPr>
            <w:tcW w:w="4070" w:type="pct"/>
            <w:gridSpan w:val="5"/>
            <w:tcBorders>
              <w:top w:val="single" w:sz="4" w:space="0" w:color="auto"/>
              <w:left w:val="single" w:sz="4" w:space="0" w:color="auto"/>
              <w:bottom w:val="single" w:sz="4" w:space="0" w:color="auto"/>
              <w:right w:val="single" w:sz="4" w:space="0" w:color="auto"/>
            </w:tcBorders>
            <w:hideMark/>
          </w:tcPr>
          <w:p w:rsidR="00A456C7" w:rsidRPr="00146A88" w:rsidRDefault="00A456C7" w:rsidP="001D6900">
            <w:pPr>
              <w:pStyle w:val="TableText0"/>
              <w:keepNext w:val="0"/>
            </w:pPr>
            <w:r>
              <w:t>Patient must not be premenopausal</w:t>
            </w:r>
          </w:p>
        </w:tc>
      </w:tr>
      <w:tr w:rsidR="00636018" w:rsidTr="00DB7ECD">
        <w:trPr>
          <w:trHeight w:val="20"/>
        </w:trPr>
        <w:tc>
          <w:tcPr>
            <w:tcW w:w="930" w:type="pct"/>
            <w:tcBorders>
              <w:top w:val="single" w:sz="4" w:space="0" w:color="auto"/>
              <w:left w:val="single" w:sz="4" w:space="0" w:color="auto"/>
              <w:bottom w:val="single" w:sz="4" w:space="0" w:color="auto"/>
              <w:right w:val="single" w:sz="4" w:space="0" w:color="auto"/>
            </w:tcBorders>
          </w:tcPr>
          <w:p w:rsidR="00636018" w:rsidRDefault="00636018" w:rsidP="001D6900">
            <w:pPr>
              <w:pStyle w:val="TableText0"/>
              <w:keepNext w:val="0"/>
            </w:pPr>
            <w:r>
              <w:t>Prescribing instructions:</w:t>
            </w:r>
          </w:p>
        </w:tc>
        <w:tc>
          <w:tcPr>
            <w:tcW w:w="4070" w:type="pct"/>
            <w:gridSpan w:val="5"/>
            <w:tcBorders>
              <w:top w:val="single" w:sz="4" w:space="0" w:color="auto"/>
              <w:left w:val="single" w:sz="4" w:space="0" w:color="auto"/>
              <w:bottom w:val="single" w:sz="4" w:space="0" w:color="auto"/>
              <w:right w:val="single" w:sz="4" w:space="0" w:color="auto"/>
            </w:tcBorders>
          </w:tcPr>
          <w:p w:rsidR="00636018" w:rsidRDefault="00636018" w:rsidP="001D6900">
            <w:pPr>
              <w:pStyle w:val="TableText0"/>
              <w:keepNext w:val="0"/>
            </w:pPr>
            <w:r>
              <w:t>A patient who has progressive disease when treated with this drug is no longer eligible for PBS-subsidised treatment with this drug</w:t>
            </w:r>
          </w:p>
        </w:tc>
      </w:tr>
      <w:tr w:rsidR="00A456C7" w:rsidTr="00DB7ECD">
        <w:trPr>
          <w:trHeight w:val="20"/>
        </w:trPr>
        <w:tc>
          <w:tcPr>
            <w:tcW w:w="930" w:type="pct"/>
            <w:tcBorders>
              <w:top w:val="single" w:sz="4" w:space="0" w:color="auto"/>
              <w:left w:val="single" w:sz="4" w:space="0" w:color="auto"/>
              <w:bottom w:val="single" w:sz="4" w:space="0" w:color="auto"/>
              <w:right w:val="single" w:sz="4" w:space="0" w:color="auto"/>
            </w:tcBorders>
            <w:hideMark/>
          </w:tcPr>
          <w:p w:rsidR="00A456C7" w:rsidRDefault="00A456C7" w:rsidP="001D6900">
            <w:pPr>
              <w:pStyle w:val="TableText0"/>
              <w:keepNext w:val="0"/>
            </w:pPr>
            <w:r>
              <w:t>Administrative Advice:</w:t>
            </w:r>
          </w:p>
        </w:tc>
        <w:tc>
          <w:tcPr>
            <w:tcW w:w="4070" w:type="pct"/>
            <w:gridSpan w:val="5"/>
            <w:tcBorders>
              <w:top w:val="single" w:sz="4" w:space="0" w:color="auto"/>
              <w:left w:val="single" w:sz="4" w:space="0" w:color="auto"/>
              <w:bottom w:val="single" w:sz="4" w:space="0" w:color="auto"/>
              <w:right w:val="single" w:sz="4" w:space="0" w:color="auto"/>
            </w:tcBorders>
            <w:hideMark/>
          </w:tcPr>
          <w:p w:rsidR="00A456C7" w:rsidRDefault="00A456C7" w:rsidP="001D6900">
            <w:pPr>
              <w:pStyle w:val="TableText0"/>
              <w:keepNext w:val="0"/>
            </w:pPr>
            <w:r>
              <w:t>No increase in the maximum quantity or number of units may be authorised</w:t>
            </w:r>
          </w:p>
          <w:p w:rsidR="00A456C7" w:rsidRDefault="00A456C7" w:rsidP="001D6900">
            <w:pPr>
              <w:pStyle w:val="TableText0"/>
              <w:keepNext w:val="0"/>
            </w:pPr>
            <w:r>
              <w:t>No increase in the maximum number of repeats may be authorised</w:t>
            </w:r>
          </w:p>
          <w:p w:rsidR="00A456C7" w:rsidRDefault="00A456C7" w:rsidP="001D6900">
            <w:pPr>
              <w:pStyle w:val="TableText0"/>
              <w:keepNext w:val="0"/>
              <w:rPr>
                <w:color w:val="000000"/>
              </w:rPr>
            </w:pPr>
            <w:r>
              <w:t>Special Pricing Arrangements apply</w:t>
            </w:r>
          </w:p>
        </w:tc>
      </w:tr>
      <w:tr w:rsidR="00A456C7" w:rsidTr="00DB7ECD">
        <w:trPr>
          <w:trHeight w:val="20"/>
        </w:trPr>
        <w:tc>
          <w:tcPr>
            <w:tcW w:w="930" w:type="pct"/>
            <w:tcBorders>
              <w:top w:val="single" w:sz="4" w:space="0" w:color="auto"/>
              <w:left w:val="single" w:sz="4" w:space="0" w:color="auto"/>
              <w:bottom w:val="single" w:sz="4" w:space="0" w:color="auto"/>
              <w:right w:val="single" w:sz="4" w:space="0" w:color="auto"/>
            </w:tcBorders>
            <w:hideMark/>
          </w:tcPr>
          <w:p w:rsidR="00A456C7" w:rsidRDefault="00A456C7" w:rsidP="001D6900">
            <w:pPr>
              <w:pStyle w:val="TableText0"/>
              <w:keepNext w:val="0"/>
            </w:pPr>
            <w:r>
              <w:t>Cautions:</w:t>
            </w:r>
          </w:p>
        </w:tc>
        <w:tc>
          <w:tcPr>
            <w:tcW w:w="4070" w:type="pct"/>
            <w:gridSpan w:val="5"/>
            <w:tcBorders>
              <w:top w:val="single" w:sz="4" w:space="0" w:color="auto"/>
              <w:left w:val="single" w:sz="4" w:space="0" w:color="auto"/>
              <w:bottom w:val="single" w:sz="4" w:space="0" w:color="auto"/>
              <w:right w:val="single" w:sz="4" w:space="0" w:color="auto"/>
            </w:tcBorders>
            <w:hideMark/>
          </w:tcPr>
          <w:p w:rsidR="00A456C7" w:rsidRDefault="00A456C7" w:rsidP="001D6900">
            <w:pPr>
              <w:pStyle w:val="TableText0"/>
              <w:keepNext w:val="0"/>
              <w:rPr>
                <w:color w:val="000000"/>
              </w:rPr>
            </w:pPr>
            <w:r>
              <w:t>QT interval monitoring is required for patients treated with this drug</w:t>
            </w:r>
          </w:p>
        </w:tc>
      </w:tr>
      <w:tr w:rsidR="00A456C7" w:rsidTr="00DB7ECD">
        <w:trPr>
          <w:trHeight w:val="20"/>
        </w:trPr>
        <w:tc>
          <w:tcPr>
            <w:tcW w:w="930" w:type="pct"/>
            <w:tcBorders>
              <w:top w:val="single" w:sz="4" w:space="0" w:color="auto"/>
              <w:left w:val="single" w:sz="4" w:space="0" w:color="auto"/>
              <w:bottom w:val="single" w:sz="4" w:space="0" w:color="auto"/>
              <w:right w:val="single" w:sz="4" w:space="0" w:color="auto"/>
            </w:tcBorders>
            <w:hideMark/>
          </w:tcPr>
          <w:p w:rsidR="00A456C7" w:rsidRDefault="00A456C7" w:rsidP="001D6900">
            <w:pPr>
              <w:pStyle w:val="TableText0"/>
              <w:keepNext w:val="0"/>
            </w:pPr>
            <w:r>
              <w:t xml:space="preserve">Treatment Phase: </w:t>
            </w:r>
          </w:p>
        </w:tc>
        <w:tc>
          <w:tcPr>
            <w:tcW w:w="4070" w:type="pct"/>
            <w:gridSpan w:val="5"/>
            <w:tcBorders>
              <w:top w:val="single" w:sz="4" w:space="0" w:color="auto"/>
              <w:left w:val="single" w:sz="4" w:space="0" w:color="auto"/>
              <w:bottom w:val="single" w:sz="4" w:space="0" w:color="auto"/>
              <w:right w:val="single" w:sz="4" w:space="0" w:color="auto"/>
            </w:tcBorders>
            <w:hideMark/>
          </w:tcPr>
          <w:p w:rsidR="00A456C7" w:rsidRDefault="00A456C7" w:rsidP="001D6900">
            <w:pPr>
              <w:pStyle w:val="TableText0"/>
              <w:keepNext w:val="0"/>
              <w:rPr>
                <w:b/>
                <w:bCs w:val="0"/>
                <w:color w:val="000000"/>
              </w:rPr>
            </w:pPr>
            <w:r>
              <w:rPr>
                <w:b/>
                <w:bCs w:val="0"/>
                <w:color w:val="000000"/>
              </w:rPr>
              <w:t>Initial treatment – Grandfather patients – FIRST LINE</w:t>
            </w:r>
          </w:p>
        </w:tc>
      </w:tr>
      <w:tr w:rsidR="00A456C7" w:rsidTr="00DB7ECD">
        <w:trPr>
          <w:trHeight w:val="20"/>
        </w:trPr>
        <w:tc>
          <w:tcPr>
            <w:tcW w:w="930" w:type="pct"/>
            <w:tcBorders>
              <w:top w:val="single" w:sz="4" w:space="0" w:color="auto"/>
              <w:left w:val="single" w:sz="4" w:space="0" w:color="auto"/>
              <w:bottom w:val="single" w:sz="4" w:space="0" w:color="auto"/>
              <w:right w:val="single" w:sz="4" w:space="0" w:color="auto"/>
            </w:tcBorders>
            <w:hideMark/>
          </w:tcPr>
          <w:p w:rsidR="00A456C7" w:rsidRDefault="00A456C7" w:rsidP="001D6900">
            <w:pPr>
              <w:pStyle w:val="TableText0"/>
              <w:keepNext w:val="0"/>
            </w:pPr>
            <w:r>
              <w:t>Clinical criteria:</w:t>
            </w:r>
          </w:p>
        </w:tc>
        <w:tc>
          <w:tcPr>
            <w:tcW w:w="4070" w:type="pct"/>
            <w:gridSpan w:val="5"/>
            <w:tcBorders>
              <w:top w:val="single" w:sz="4" w:space="0" w:color="auto"/>
              <w:left w:val="single" w:sz="4" w:space="0" w:color="auto"/>
              <w:bottom w:val="single" w:sz="4" w:space="0" w:color="auto"/>
              <w:right w:val="single" w:sz="4" w:space="0" w:color="auto"/>
            </w:tcBorders>
            <w:hideMark/>
          </w:tcPr>
          <w:p w:rsidR="00A456C7" w:rsidRDefault="00A456C7" w:rsidP="001D6900">
            <w:pPr>
              <w:pStyle w:val="TableText0"/>
              <w:keepNext w:val="0"/>
              <w:rPr>
                <w:color w:val="000000"/>
              </w:rPr>
            </w:pPr>
            <w:r>
              <w:rPr>
                <w:color w:val="000000"/>
              </w:rPr>
              <w:t>Patient must have previously received non-PBS-subsidised treatment with this drug for this condition prior to [insert date of PBS listing], AND</w:t>
            </w:r>
          </w:p>
          <w:p w:rsidR="00A456C7" w:rsidRDefault="00A456C7" w:rsidP="001D6900">
            <w:pPr>
              <w:pStyle w:val="TableText0"/>
              <w:keepNext w:val="0"/>
              <w:rPr>
                <w:color w:val="000000"/>
              </w:rPr>
            </w:pPr>
            <w:r>
              <w:rPr>
                <w:color w:val="000000"/>
              </w:rPr>
              <w:t xml:space="preserve">Patient must not have previously been treated with </w:t>
            </w:r>
            <w:r w:rsidR="00BF6D84" w:rsidRPr="00DB7ECD">
              <w:t>endocrine therapy</w:t>
            </w:r>
            <w:r w:rsidR="00BF6D84">
              <w:rPr>
                <w:i/>
              </w:rPr>
              <w:t xml:space="preserve"> </w:t>
            </w:r>
            <w:r>
              <w:rPr>
                <w:color w:val="000000"/>
              </w:rPr>
              <w:t>for advanced or metastatic breast cancer prior to initiating treatment with this drug for this condition, AND</w:t>
            </w:r>
          </w:p>
          <w:p w:rsidR="00A456C7" w:rsidRDefault="00A456C7" w:rsidP="001D6900">
            <w:pPr>
              <w:pStyle w:val="TableText0"/>
              <w:keepNext w:val="0"/>
              <w:rPr>
                <w:color w:val="000000"/>
              </w:rPr>
            </w:pPr>
            <w:r>
              <w:rPr>
                <w:color w:val="000000"/>
              </w:rPr>
              <w:t>Patient must not have previously been treated with abemaciclib or palbociclib OR patient must have developed an intolerance to abemaciclib or palbociclib of a severity necessitating permanent treatment withdrawal, AND</w:t>
            </w:r>
          </w:p>
          <w:p w:rsidR="00A456C7" w:rsidRDefault="00A456C7" w:rsidP="001D6900">
            <w:pPr>
              <w:pStyle w:val="TableText0"/>
              <w:keepNext w:val="0"/>
              <w:rPr>
                <w:color w:val="000000"/>
              </w:rPr>
            </w:pPr>
            <w:r>
              <w:rPr>
                <w:color w:val="000000"/>
              </w:rPr>
              <w:t>The condition must be hormone receptor positive, AND</w:t>
            </w:r>
          </w:p>
          <w:p w:rsidR="00A456C7" w:rsidRDefault="00A456C7" w:rsidP="001D6900">
            <w:pPr>
              <w:pStyle w:val="TableText0"/>
              <w:keepNext w:val="0"/>
              <w:rPr>
                <w:color w:val="000000"/>
              </w:rPr>
            </w:pPr>
            <w:r>
              <w:rPr>
                <w:color w:val="000000"/>
              </w:rPr>
              <w:t>The condition must be human epidermal growth factor receptor 2 (HER2) negative, AND</w:t>
            </w:r>
          </w:p>
          <w:p w:rsidR="00A456C7" w:rsidRDefault="00A456C7" w:rsidP="001D6900">
            <w:pPr>
              <w:pStyle w:val="TableText0"/>
              <w:keepNext w:val="0"/>
              <w:rPr>
                <w:color w:val="000000"/>
              </w:rPr>
            </w:pPr>
            <w:r>
              <w:rPr>
                <w:color w:val="000000"/>
              </w:rPr>
              <w:t>The condition must be inoperable, AND</w:t>
            </w:r>
          </w:p>
          <w:p w:rsidR="00A456C7" w:rsidRDefault="00A456C7" w:rsidP="001D6900">
            <w:pPr>
              <w:pStyle w:val="TableText0"/>
              <w:keepNext w:val="0"/>
              <w:rPr>
                <w:color w:val="000000"/>
              </w:rPr>
            </w:pPr>
            <w:r>
              <w:rPr>
                <w:color w:val="000000"/>
              </w:rPr>
              <w:t>Patient must have had a World Health Organisation (WHO) Eastern Cooperative Oncology Group (ECOG) performance status score of 2 or less prior to initiating treatment with this drug for this condition, AND</w:t>
            </w:r>
          </w:p>
          <w:p w:rsidR="00A456C7" w:rsidRDefault="00A456C7" w:rsidP="001D6900">
            <w:pPr>
              <w:pStyle w:val="TableText0"/>
              <w:keepNext w:val="0"/>
              <w:rPr>
                <w:color w:val="000000"/>
              </w:rPr>
            </w:pPr>
            <w:r>
              <w:rPr>
                <w:color w:val="000000"/>
              </w:rPr>
              <w:t>Patient must not have developed disease progression while receiving treatment with this drug for this condition, AND</w:t>
            </w:r>
          </w:p>
          <w:p w:rsidR="00A456C7" w:rsidRDefault="00A456C7" w:rsidP="001D6900">
            <w:pPr>
              <w:pStyle w:val="TableText0"/>
              <w:keepNext w:val="0"/>
              <w:rPr>
                <w:color w:val="000000"/>
              </w:rPr>
            </w:pPr>
            <w:r>
              <w:rPr>
                <w:color w:val="000000"/>
              </w:rPr>
              <w:t>Patient must have stable or responding disease, AND</w:t>
            </w:r>
          </w:p>
          <w:p w:rsidR="00A456C7" w:rsidRDefault="00A456C7" w:rsidP="001D6900">
            <w:pPr>
              <w:pStyle w:val="TableText0"/>
              <w:keepNext w:val="0"/>
              <w:rPr>
                <w:color w:val="000000"/>
              </w:rPr>
            </w:pPr>
            <w:r>
              <w:rPr>
                <w:color w:val="000000"/>
              </w:rPr>
              <w:t>The treatment must be in combination with anastrozole</w:t>
            </w:r>
            <w:r w:rsidR="00DB7ECD">
              <w:rPr>
                <w:color w:val="000000"/>
              </w:rPr>
              <w:t xml:space="preserve"> or</w:t>
            </w:r>
            <w:r>
              <w:rPr>
                <w:color w:val="000000"/>
              </w:rPr>
              <w:t xml:space="preserve"> letrozole or fulvestrant AND</w:t>
            </w:r>
          </w:p>
          <w:p w:rsidR="00A456C7" w:rsidRDefault="00A456C7" w:rsidP="001D6900">
            <w:pPr>
              <w:pStyle w:val="TableText0"/>
              <w:keepNext w:val="0"/>
              <w:rPr>
                <w:color w:val="000000"/>
              </w:rPr>
            </w:pPr>
            <w:r>
              <w:rPr>
                <w:color w:val="000000"/>
              </w:rPr>
              <w:t>The treatment must not be in combination with abemaciclib or palbociclib</w:t>
            </w:r>
          </w:p>
        </w:tc>
      </w:tr>
      <w:tr w:rsidR="00A456C7" w:rsidTr="00DB7ECD">
        <w:trPr>
          <w:trHeight w:val="20"/>
        </w:trPr>
        <w:tc>
          <w:tcPr>
            <w:tcW w:w="930" w:type="pct"/>
            <w:tcBorders>
              <w:top w:val="single" w:sz="4" w:space="0" w:color="auto"/>
              <w:left w:val="single" w:sz="4" w:space="0" w:color="auto"/>
              <w:bottom w:val="single" w:sz="4" w:space="0" w:color="auto"/>
              <w:right w:val="single" w:sz="4" w:space="0" w:color="auto"/>
            </w:tcBorders>
          </w:tcPr>
          <w:p w:rsidR="00A456C7" w:rsidRDefault="00A456C7" w:rsidP="00315A97">
            <w:pPr>
              <w:pStyle w:val="TableText0"/>
              <w:keepNext w:val="0"/>
            </w:pPr>
            <w:r>
              <w:t>Population criteria:</w:t>
            </w:r>
          </w:p>
          <w:p w:rsidR="00A456C7" w:rsidRDefault="00146A88" w:rsidP="00315A97">
            <w:pPr>
              <w:pStyle w:val="TableText0"/>
              <w:keepNext w:val="0"/>
            </w:pPr>
            <w:r>
              <w:t>Administrative advice:</w:t>
            </w:r>
          </w:p>
        </w:tc>
        <w:tc>
          <w:tcPr>
            <w:tcW w:w="4070" w:type="pct"/>
            <w:gridSpan w:val="5"/>
            <w:tcBorders>
              <w:top w:val="single" w:sz="4" w:space="0" w:color="auto"/>
              <w:left w:val="single" w:sz="4" w:space="0" w:color="auto"/>
              <w:bottom w:val="single" w:sz="4" w:space="0" w:color="auto"/>
              <w:right w:val="single" w:sz="4" w:space="0" w:color="auto"/>
            </w:tcBorders>
          </w:tcPr>
          <w:p w:rsidR="00A456C7" w:rsidRDefault="00A456C7" w:rsidP="00315A97">
            <w:pPr>
              <w:pStyle w:val="TableText0"/>
              <w:keepNext w:val="0"/>
            </w:pPr>
            <w:r>
              <w:t>Patient must not be premenopausal.</w:t>
            </w:r>
          </w:p>
          <w:p w:rsidR="00A456C7" w:rsidRDefault="00A456C7" w:rsidP="00315A97">
            <w:pPr>
              <w:pStyle w:val="TableText0"/>
              <w:keepNext w:val="0"/>
              <w:rPr>
                <w:color w:val="000000"/>
              </w:rPr>
            </w:pPr>
            <w:r>
              <w:rPr>
                <w:color w:val="000000"/>
              </w:rPr>
              <w:t>A patient may qualify for PBS-subsidised treatment under this restriction once only.</w:t>
            </w:r>
          </w:p>
          <w:p w:rsidR="00A456C7" w:rsidRDefault="00A456C7" w:rsidP="00315A97">
            <w:pPr>
              <w:pStyle w:val="TableText0"/>
              <w:keepNext w:val="0"/>
              <w:rPr>
                <w:color w:val="000000"/>
              </w:rPr>
            </w:pPr>
            <w:r>
              <w:rPr>
                <w:color w:val="000000"/>
              </w:rPr>
              <w:t>For continuing PBS-subsidised treatment, a Grandfathered patient must qualify under the Continuing treatment criteria.</w:t>
            </w:r>
          </w:p>
          <w:p w:rsidR="00146A88" w:rsidRDefault="00146A88" w:rsidP="00315A97">
            <w:pPr>
              <w:pStyle w:val="TableText0"/>
              <w:keepNext w:val="0"/>
              <w:rPr>
                <w:color w:val="000000"/>
              </w:rPr>
            </w:pPr>
          </w:p>
          <w:p w:rsidR="00146A88" w:rsidRPr="00146A88" w:rsidRDefault="00146A88" w:rsidP="00315A97">
            <w:pPr>
              <w:pStyle w:val="TableText0"/>
              <w:keepNext w:val="0"/>
              <w:rPr>
                <w:color w:val="000000"/>
              </w:rPr>
            </w:pPr>
            <w:r w:rsidRPr="00146A88">
              <w:rPr>
                <w:bCs w:val="0"/>
                <w:szCs w:val="20"/>
              </w:rPr>
              <w:t>This Grandfather restriction will cease to operate 12 months after the date specified in the clinical criteria</w:t>
            </w:r>
          </w:p>
        </w:tc>
      </w:tr>
      <w:tr w:rsidR="00146A88" w:rsidTr="00DB7ECD">
        <w:trPr>
          <w:trHeight w:val="20"/>
        </w:trPr>
        <w:tc>
          <w:tcPr>
            <w:tcW w:w="930" w:type="pct"/>
            <w:tcBorders>
              <w:top w:val="single" w:sz="4" w:space="0" w:color="auto"/>
              <w:left w:val="single" w:sz="4" w:space="0" w:color="auto"/>
              <w:bottom w:val="single" w:sz="4" w:space="0" w:color="auto"/>
              <w:right w:val="single" w:sz="4" w:space="0" w:color="auto"/>
            </w:tcBorders>
          </w:tcPr>
          <w:p w:rsidR="00146A88" w:rsidRPr="00146A88" w:rsidRDefault="00146A88" w:rsidP="00146A88">
            <w:pPr>
              <w:pStyle w:val="TableText0"/>
              <w:keepNext w:val="0"/>
            </w:pPr>
            <w:r w:rsidRPr="00146A88">
              <w:rPr>
                <w:rFonts w:eastAsia="MS Gothic"/>
                <w:bCs w:val="0"/>
              </w:rPr>
              <w:t>Cautions:</w:t>
            </w:r>
          </w:p>
        </w:tc>
        <w:tc>
          <w:tcPr>
            <w:tcW w:w="4070" w:type="pct"/>
            <w:gridSpan w:val="5"/>
            <w:tcBorders>
              <w:top w:val="single" w:sz="4" w:space="0" w:color="auto"/>
              <w:left w:val="single" w:sz="4" w:space="0" w:color="auto"/>
              <w:bottom w:val="single" w:sz="4" w:space="0" w:color="auto"/>
              <w:right w:val="single" w:sz="4" w:space="0" w:color="auto"/>
            </w:tcBorders>
          </w:tcPr>
          <w:p w:rsidR="00146A88" w:rsidRPr="00146A88" w:rsidRDefault="00146A88" w:rsidP="00146A88">
            <w:pPr>
              <w:pStyle w:val="TableText0"/>
              <w:keepNext w:val="0"/>
            </w:pPr>
            <w:r w:rsidRPr="00146A88">
              <w:rPr>
                <w:rFonts w:eastAsia="MS Gothic"/>
                <w:bCs w:val="0"/>
                <w:color w:val="000000"/>
              </w:rPr>
              <w:t>QT interval monitoring is required for patients treated with this drug</w:t>
            </w:r>
          </w:p>
        </w:tc>
      </w:tr>
      <w:tr w:rsidR="00A456C7" w:rsidTr="00DB7ECD">
        <w:trPr>
          <w:trHeight w:val="20"/>
        </w:trPr>
        <w:tc>
          <w:tcPr>
            <w:tcW w:w="930" w:type="pct"/>
            <w:tcBorders>
              <w:top w:val="single" w:sz="4" w:space="0" w:color="auto"/>
              <w:left w:val="single" w:sz="4" w:space="0" w:color="auto"/>
              <w:bottom w:val="single" w:sz="4" w:space="0" w:color="auto"/>
              <w:right w:val="single" w:sz="4" w:space="0" w:color="auto"/>
            </w:tcBorders>
            <w:hideMark/>
          </w:tcPr>
          <w:p w:rsidR="00A456C7" w:rsidRDefault="00A456C7" w:rsidP="00315A97">
            <w:pPr>
              <w:pStyle w:val="TableText0"/>
              <w:keepNext w:val="0"/>
            </w:pPr>
            <w:r>
              <w:t xml:space="preserve">Treatment Phase: </w:t>
            </w:r>
          </w:p>
        </w:tc>
        <w:tc>
          <w:tcPr>
            <w:tcW w:w="4070" w:type="pct"/>
            <w:gridSpan w:val="5"/>
            <w:tcBorders>
              <w:top w:val="single" w:sz="4" w:space="0" w:color="auto"/>
              <w:left w:val="single" w:sz="4" w:space="0" w:color="auto"/>
              <w:bottom w:val="single" w:sz="4" w:space="0" w:color="auto"/>
              <w:right w:val="single" w:sz="4" w:space="0" w:color="auto"/>
            </w:tcBorders>
            <w:hideMark/>
          </w:tcPr>
          <w:p w:rsidR="00A456C7" w:rsidRPr="009D0C0E" w:rsidRDefault="00A456C7" w:rsidP="009D0C0E">
            <w:pPr>
              <w:pStyle w:val="TableText0"/>
              <w:keepNext w:val="0"/>
              <w:rPr>
                <w:b/>
                <w:bCs w:val="0"/>
                <w:i/>
                <w:color w:val="000000"/>
              </w:rPr>
            </w:pPr>
            <w:r>
              <w:rPr>
                <w:b/>
                <w:bCs w:val="0"/>
              </w:rPr>
              <w:t xml:space="preserve">Initial treatment – </w:t>
            </w:r>
            <w:r w:rsidR="009D0C0E">
              <w:rPr>
                <w:b/>
                <w:bCs w:val="0"/>
              </w:rPr>
              <w:t xml:space="preserve">Second line </w:t>
            </w:r>
            <w:r w:rsidR="009D0C0E">
              <w:rPr>
                <w:b/>
                <w:bCs w:val="0"/>
                <w:i/>
              </w:rPr>
              <w:t>and subsequent line</w:t>
            </w:r>
          </w:p>
        </w:tc>
      </w:tr>
      <w:tr w:rsidR="00A456C7" w:rsidTr="00DB7ECD">
        <w:trPr>
          <w:trHeight w:val="20"/>
        </w:trPr>
        <w:tc>
          <w:tcPr>
            <w:tcW w:w="930" w:type="pct"/>
            <w:tcBorders>
              <w:top w:val="single" w:sz="4" w:space="0" w:color="auto"/>
              <w:left w:val="single" w:sz="4" w:space="0" w:color="auto"/>
              <w:bottom w:val="single" w:sz="4" w:space="0" w:color="auto"/>
              <w:right w:val="single" w:sz="4" w:space="0" w:color="auto"/>
            </w:tcBorders>
            <w:hideMark/>
          </w:tcPr>
          <w:p w:rsidR="00A456C7" w:rsidRDefault="00A456C7" w:rsidP="00315A97">
            <w:pPr>
              <w:pStyle w:val="TableText0"/>
              <w:keepNext w:val="0"/>
            </w:pPr>
            <w:r>
              <w:t xml:space="preserve">Clinical criteria: </w:t>
            </w:r>
          </w:p>
        </w:tc>
        <w:tc>
          <w:tcPr>
            <w:tcW w:w="4070" w:type="pct"/>
            <w:gridSpan w:val="5"/>
            <w:tcBorders>
              <w:top w:val="single" w:sz="4" w:space="0" w:color="auto"/>
              <w:left w:val="single" w:sz="4" w:space="0" w:color="auto"/>
              <w:bottom w:val="single" w:sz="4" w:space="0" w:color="auto"/>
              <w:right w:val="single" w:sz="4" w:space="0" w:color="auto"/>
            </w:tcBorders>
            <w:hideMark/>
          </w:tcPr>
          <w:p w:rsidR="00A456C7" w:rsidRDefault="00A456C7" w:rsidP="00315A97">
            <w:pPr>
              <w:pStyle w:val="TableText0"/>
              <w:keepNext w:val="0"/>
            </w:pPr>
            <w:r>
              <w:t xml:space="preserve">Patient must have developed progressive disease following treatment with </w:t>
            </w:r>
            <w:r w:rsidR="00BF6D84" w:rsidRPr="00146A88">
              <w:t>endocrine therapy</w:t>
            </w:r>
            <w:r w:rsidR="00BF6D84">
              <w:rPr>
                <w:i/>
              </w:rPr>
              <w:t xml:space="preserve"> </w:t>
            </w:r>
            <w:r>
              <w:t xml:space="preserve">for advanced or metastatic breast cancer, AND </w:t>
            </w:r>
          </w:p>
          <w:p w:rsidR="00A456C7" w:rsidRDefault="00A456C7" w:rsidP="00315A97">
            <w:pPr>
              <w:pStyle w:val="TableText0"/>
              <w:keepNext w:val="0"/>
            </w:pPr>
            <w:r>
              <w:t>The condition must be hormone receptor positive, AND</w:t>
            </w:r>
          </w:p>
          <w:p w:rsidR="00A456C7" w:rsidRDefault="00A456C7" w:rsidP="00315A97">
            <w:pPr>
              <w:pStyle w:val="TableText0"/>
              <w:keepNext w:val="0"/>
            </w:pPr>
            <w:r>
              <w:t>The condition must be human epidermal growth factor receptor 2 (HER2) negative, AND</w:t>
            </w:r>
          </w:p>
          <w:p w:rsidR="00A456C7" w:rsidRDefault="00A456C7" w:rsidP="00315A97">
            <w:pPr>
              <w:pStyle w:val="TableText0"/>
              <w:keepNext w:val="0"/>
            </w:pPr>
            <w:r>
              <w:t>The condition must be inoperable, AND</w:t>
            </w:r>
          </w:p>
          <w:p w:rsidR="00A456C7" w:rsidRDefault="00A456C7" w:rsidP="00315A97">
            <w:pPr>
              <w:pStyle w:val="TableText0"/>
              <w:keepNext w:val="0"/>
            </w:pPr>
            <w:r>
              <w:t>Patient must have a World Health Organisation (WHO) Eastern Cooperative Oncology Group (ECOG) performance status score of 2 or less, AND</w:t>
            </w:r>
          </w:p>
          <w:p w:rsidR="00A456C7" w:rsidRDefault="00A456C7" w:rsidP="00315A97">
            <w:pPr>
              <w:pStyle w:val="TableText0"/>
              <w:keepNext w:val="0"/>
            </w:pPr>
            <w:r>
              <w:t>The treatment must be in combination with fulvestrant, AND</w:t>
            </w:r>
          </w:p>
          <w:p w:rsidR="00A456C7" w:rsidRDefault="00A456C7" w:rsidP="00315A97">
            <w:pPr>
              <w:pStyle w:val="TableText0"/>
              <w:keepNext w:val="0"/>
            </w:pPr>
            <w:r>
              <w:t>Patients must not have previously received treatment with a CDK inhibitor in the first-line setting, AND</w:t>
            </w:r>
          </w:p>
          <w:p w:rsidR="00A456C7" w:rsidRDefault="00A456C7" w:rsidP="00315A97">
            <w:pPr>
              <w:pStyle w:val="TableText0"/>
              <w:keepNext w:val="0"/>
              <w:rPr>
                <w:color w:val="000000"/>
              </w:rPr>
            </w:pPr>
            <w:r>
              <w:t>The treatment must not be in combination with abemaciclib or palbociclib</w:t>
            </w:r>
          </w:p>
        </w:tc>
      </w:tr>
      <w:tr w:rsidR="00A456C7" w:rsidTr="00DB7ECD">
        <w:trPr>
          <w:trHeight w:val="20"/>
        </w:trPr>
        <w:tc>
          <w:tcPr>
            <w:tcW w:w="930" w:type="pct"/>
            <w:tcBorders>
              <w:top w:val="single" w:sz="4" w:space="0" w:color="auto"/>
              <w:left w:val="single" w:sz="4" w:space="0" w:color="auto"/>
              <w:bottom w:val="single" w:sz="4" w:space="0" w:color="auto"/>
              <w:right w:val="single" w:sz="4" w:space="0" w:color="auto"/>
            </w:tcBorders>
            <w:hideMark/>
          </w:tcPr>
          <w:p w:rsidR="00A456C7" w:rsidRDefault="00A456C7" w:rsidP="00315A97">
            <w:pPr>
              <w:pStyle w:val="TableText0"/>
              <w:keepNext w:val="0"/>
            </w:pPr>
            <w:r>
              <w:t>Population criteria:</w:t>
            </w:r>
          </w:p>
        </w:tc>
        <w:tc>
          <w:tcPr>
            <w:tcW w:w="4070" w:type="pct"/>
            <w:gridSpan w:val="5"/>
            <w:tcBorders>
              <w:top w:val="single" w:sz="4" w:space="0" w:color="auto"/>
              <w:left w:val="single" w:sz="4" w:space="0" w:color="auto"/>
              <w:bottom w:val="single" w:sz="4" w:space="0" w:color="auto"/>
              <w:right w:val="single" w:sz="4" w:space="0" w:color="auto"/>
            </w:tcBorders>
            <w:hideMark/>
          </w:tcPr>
          <w:p w:rsidR="00A456C7" w:rsidRDefault="00A456C7" w:rsidP="00315A97">
            <w:pPr>
              <w:pStyle w:val="TableText0"/>
              <w:keepNext w:val="0"/>
              <w:rPr>
                <w:color w:val="000000"/>
              </w:rPr>
            </w:pPr>
            <w:r>
              <w:t>Patient must not be premenopausal.</w:t>
            </w:r>
          </w:p>
        </w:tc>
      </w:tr>
      <w:tr w:rsidR="00A456C7" w:rsidTr="00DB7ECD">
        <w:trPr>
          <w:trHeight w:val="20"/>
        </w:trPr>
        <w:tc>
          <w:tcPr>
            <w:tcW w:w="930" w:type="pct"/>
            <w:tcBorders>
              <w:top w:val="single" w:sz="4" w:space="0" w:color="auto"/>
              <w:left w:val="single" w:sz="4" w:space="0" w:color="auto"/>
              <w:bottom w:val="single" w:sz="4" w:space="0" w:color="auto"/>
              <w:right w:val="single" w:sz="4" w:space="0" w:color="auto"/>
            </w:tcBorders>
            <w:hideMark/>
          </w:tcPr>
          <w:p w:rsidR="00A456C7" w:rsidRDefault="00A456C7" w:rsidP="00315A97">
            <w:pPr>
              <w:pStyle w:val="TableText0"/>
              <w:keepNext w:val="0"/>
            </w:pPr>
            <w:r>
              <w:t xml:space="preserve">Treatment Phase: </w:t>
            </w:r>
          </w:p>
        </w:tc>
        <w:tc>
          <w:tcPr>
            <w:tcW w:w="4070" w:type="pct"/>
            <w:gridSpan w:val="5"/>
            <w:tcBorders>
              <w:top w:val="single" w:sz="4" w:space="0" w:color="auto"/>
              <w:left w:val="single" w:sz="4" w:space="0" w:color="auto"/>
              <w:bottom w:val="single" w:sz="4" w:space="0" w:color="auto"/>
              <w:right w:val="single" w:sz="4" w:space="0" w:color="auto"/>
            </w:tcBorders>
            <w:hideMark/>
          </w:tcPr>
          <w:p w:rsidR="00A456C7" w:rsidRDefault="00A456C7" w:rsidP="00315A97">
            <w:pPr>
              <w:pStyle w:val="TableText0"/>
              <w:keepNext w:val="0"/>
              <w:rPr>
                <w:b/>
                <w:bCs w:val="0"/>
                <w:color w:val="000000"/>
              </w:rPr>
            </w:pPr>
            <w:r>
              <w:rPr>
                <w:b/>
                <w:bCs w:val="0"/>
              </w:rPr>
              <w:t xml:space="preserve">Continuing treatment – </w:t>
            </w:r>
            <w:r w:rsidR="009D0C0E">
              <w:rPr>
                <w:b/>
                <w:bCs w:val="0"/>
              </w:rPr>
              <w:t xml:space="preserve">Second line </w:t>
            </w:r>
            <w:r w:rsidR="009D0C0E">
              <w:rPr>
                <w:b/>
                <w:bCs w:val="0"/>
                <w:i/>
              </w:rPr>
              <w:t>and subsequent line</w:t>
            </w:r>
          </w:p>
        </w:tc>
      </w:tr>
      <w:tr w:rsidR="00A456C7" w:rsidTr="00DB7ECD">
        <w:trPr>
          <w:trHeight w:val="20"/>
        </w:trPr>
        <w:tc>
          <w:tcPr>
            <w:tcW w:w="930" w:type="pct"/>
            <w:tcBorders>
              <w:top w:val="single" w:sz="4" w:space="0" w:color="auto"/>
              <w:left w:val="single" w:sz="4" w:space="0" w:color="auto"/>
              <w:bottom w:val="single" w:sz="4" w:space="0" w:color="auto"/>
              <w:right w:val="single" w:sz="4" w:space="0" w:color="auto"/>
            </w:tcBorders>
            <w:hideMark/>
          </w:tcPr>
          <w:p w:rsidR="00A456C7" w:rsidRDefault="00A456C7" w:rsidP="00315A97">
            <w:pPr>
              <w:pStyle w:val="TableText0"/>
              <w:keepNext w:val="0"/>
            </w:pPr>
            <w:r>
              <w:t>Clinical criteria:</w:t>
            </w:r>
          </w:p>
        </w:tc>
        <w:tc>
          <w:tcPr>
            <w:tcW w:w="4070" w:type="pct"/>
            <w:gridSpan w:val="5"/>
            <w:tcBorders>
              <w:top w:val="single" w:sz="4" w:space="0" w:color="auto"/>
              <w:left w:val="single" w:sz="4" w:space="0" w:color="auto"/>
              <w:bottom w:val="single" w:sz="4" w:space="0" w:color="auto"/>
              <w:right w:val="single" w:sz="4" w:space="0" w:color="auto"/>
            </w:tcBorders>
            <w:hideMark/>
          </w:tcPr>
          <w:p w:rsidR="00A456C7" w:rsidRDefault="00A456C7" w:rsidP="00315A97">
            <w:pPr>
              <w:pStyle w:val="TableText0"/>
              <w:keepNext w:val="0"/>
            </w:pPr>
            <w:r>
              <w:t>Patient must have previously received PBS-subsidised treatment with this drug for this condition, AND</w:t>
            </w:r>
          </w:p>
          <w:p w:rsidR="00A456C7" w:rsidRDefault="00A456C7" w:rsidP="00315A97">
            <w:pPr>
              <w:pStyle w:val="TableText0"/>
              <w:keepNext w:val="0"/>
            </w:pPr>
            <w:r>
              <w:t>Patient must not have developed disease progression while receiving treatment with this drug for this condition, AND</w:t>
            </w:r>
          </w:p>
          <w:p w:rsidR="00A456C7" w:rsidRDefault="00A456C7" w:rsidP="00315A97">
            <w:pPr>
              <w:pStyle w:val="TableText0"/>
              <w:keepNext w:val="0"/>
            </w:pPr>
            <w:r>
              <w:t>Patient must have stable or responding disease, AND</w:t>
            </w:r>
          </w:p>
          <w:p w:rsidR="00A456C7" w:rsidRDefault="00A456C7" w:rsidP="00315A97">
            <w:pPr>
              <w:pStyle w:val="TableText0"/>
              <w:keepNext w:val="0"/>
            </w:pPr>
            <w:r>
              <w:t xml:space="preserve">The treatment must be in combination with fulvestrant AND </w:t>
            </w:r>
          </w:p>
          <w:p w:rsidR="00A456C7" w:rsidRDefault="00A456C7" w:rsidP="00315A97">
            <w:pPr>
              <w:pStyle w:val="TableText0"/>
              <w:keepNext w:val="0"/>
              <w:rPr>
                <w:color w:val="000000"/>
              </w:rPr>
            </w:pPr>
            <w:r>
              <w:t>The treatment must not be in combination with abemaciclib or palbociclib</w:t>
            </w:r>
          </w:p>
        </w:tc>
      </w:tr>
      <w:tr w:rsidR="00A456C7" w:rsidTr="00DB7ECD">
        <w:trPr>
          <w:trHeight w:val="20"/>
        </w:trPr>
        <w:tc>
          <w:tcPr>
            <w:tcW w:w="930" w:type="pct"/>
            <w:tcBorders>
              <w:top w:val="single" w:sz="4" w:space="0" w:color="auto"/>
              <w:left w:val="single" w:sz="4" w:space="0" w:color="auto"/>
              <w:bottom w:val="single" w:sz="4" w:space="0" w:color="auto"/>
              <w:right w:val="single" w:sz="4" w:space="0" w:color="auto"/>
            </w:tcBorders>
            <w:hideMark/>
          </w:tcPr>
          <w:p w:rsidR="00A456C7" w:rsidRDefault="00A456C7" w:rsidP="00315A97">
            <w:pPr>
              <w:pStyle w:val="TableText0"/>
              <w:keepNext w:val="0"/>
            </w:pPr>
            <w:r>
              <w:t>Population criteria:</w:t>
            </w:r>
          </w:p>
        </w:tc>
        <w:tc>
          <w:tcPr>
            <w:tcW w:w="4070" w:type="pct"/>
            <w:gridSpan w:val="5"/>
            <w:tcBorders>
              <w:top w:val="single" w:sz="4" w:space="0" w:color="auto"/>
              <w:left w:val="single" w:sz="4" w:space="0" w:color="auto"/>
              <w:bottom w:val="single" w:sz="4" w:space="0" w:color="auto"/>
              <w:right w:val="single" w:sz="4" w:space="0" w:color="auto"/>
            </w:tcBorders>
            <w:hideMark/>
          </w:tcPr>
          <w:p w:rsidR="00A456C7" w:rsidRDefault="00A456C7" w:rsidP="00315A97">
            <w:pPr>
              <w:pStyle w:val="TableText0"/>
              <w:keepNext w:val="0"/>
              <w:rPr>
                <w:color w:val="000000"/>
              </w:rPr>
            </w:pPr>
            <w:r>
              <w:t>Patient must not be premenopausal.</w:t>
            </w:r>
          </w:p>
        </w:tc>
      </w:tr>
      <w:tr w:rsidR="00146A88" w:rsidTr="00F87E45">
        <w:trPr>
          <w:trHeight w:val="20"/>
        </w:trPr>
        <w:tc>
          <w:tcPr>
            <w:tcW w:w="930" w:type="pct"/>
            <w:tcBorders>
              <w:top w:val="single" w:sz="4" w:space="0" w:color="auto"/>
              <w:left w:val="single" w:sz="4" w:space="0" w:color="auto"/>
              <w:bottom w:val="single" w:sz="4" w:space="0" w:color="auto"/>
              <w:right w:val="single" w:sz="4" w:space="0" w:color="auto"/>
            </w:tcBorders>
          </w:tcPr>
          <w:p w:rsidR="00146A88" w:rsidRPr="00146A88" w:rsidRDefault="00146A88" w:rsidP="00F87E45">
            <w:pPr>
              <w:pStyle w:val="TableText0"/>
              <w:keepNext w:val="0"/>
            </w:pPr>
            <w:r w:rsidRPr="00146A88">
              <w:rPr>
                <w:rFonts w:eastAsia="MS Gothic"/>
                <w:bCs w:val="0"/>
              </w:rPr>
              <w:t>Cautions:</w:t>
            </w:r>
          </w:p>
        </w:tc>
        <w:tc>
          <w:tcPr>
            <w:tcW w:w="4070" w:type="pct"/>
            <w:gridSpan w:val="5"/>
            <w:tcBorders>
              <w:top w:val="single" w:sz="4" w:space="0" w:color="auto"/>
              <w:left w:val="single" w:sz="4" w:space="0" w:color="auto"/>
              <w:bottom w:val="single" w:sz="4" w:space="0" w:color="auto"/>
              <w:right w:val="single" w:sz="4" w:space="0" w:color="auto"/>
            </w:tcBorders>
          </w:tcPr>
          <w:p w:rsidR="00146A88" w:rsidRPr="00146A88" w:rsidRDefault="00146A88" w:rsidP="00F87E45">
            <w:pPr>
              <w:pStyle w:val="TableText0"/>
              <w:keepNext w:val="0"/>
            </w:pPr>
            <w:r w:rsidRPr="00146A88">
              <w:rPr>
                <w:rFonts w:eastAsia="MS Gothic"/>
                <w:bCs w:val="0"/>
                <w:color w:val="000000"/>
              </w:rPr>
              <w:t>QT interval monitoring is required for patients treated with this drug</w:t>
            </w:r>
          </w:p>
        </w:tc>
      </w:tr>
      <w:tr w:rsidR="00A456C7" w:rsidTr="00DB7ECD">
        <w:trPr>
          <w:trHeight w:val="20"/>
        </w:trPr>
        <w:tc>
          <w:tcPr>
            <w:tcW w:w="930" w:type="pct"/>
            <w:tcBorders>
              <w:top w:val="single" w:sz="4" w:space="0" w:color="auto"/>
              <w:left w:val="single" w:sz="4" w:space="0" w:color="auto"/>
              <w:bottom w:val="single" w:sz="4" w:space="0" w:color="auto"/>
              <w:right w:val="single" w:sz="4" w:space="0" w:color="auto"/>
            </w:tcBorders>
            <w:hideMark/>
          </w:tcPr>
          <w:p w:rsidR="00A456C7" w:rsidRDefault="00A456C7" w:rsidP="00315A97">
            <w:pPr>
              <w:pStyle w:val="TableText0"/>
              <w:keepNext w:val="0"/>
            </w:pPr>
            <w:r>
              <w:t xml:space="preserve">Treatment Phase: </w:t>
            </w:r>
          </w:p>
        </w:tc>
        <w:tc>
          <w:tcPr>
            <w:tcW w:w="4070" w:type="pct"/>
            <w:gridSpan w:val="5"/>
            <w:tcBorders>
              <w:top w:val="single" w:sz="4" w:space="0" w:color="auto"/>
              <w:left w:val="single" w:sz="4" w:space="0" w:color="auto"/>
              <w:bottom w:val="single" w:sz="4" w:space="0" w:color="auto"/>
              <w:right w:val="single" w:sz="4" w:space="0" w:color="auto"/>
            </w:tcBorders>
            <w:hideMark/>
          </w:tcPr>
          <w:p w:rsidR="00A456C7" w:rsidRDefault="00A456C7" w:rsidP="00315A97">
            <w:pPr>
              <w:pStyle w:val="TableText0"/>
              <w:keepNext w:val="0"/>
              <w:rPr>
                <w:b/>
                <w:bCs w:val="0"/>
                <w:color w:val="000000"/>
              </w:rPr>
            </w:pPr>
            <w:r>
              <w:rPr>
                <w:b/>
                <w:bCs w:val="0"/>
              </w:rPr>
              <w:t xml:space="preserve">Initial treatment – Grandfather patients – </w:t>
            </w:r>
            <w:r w:rsidR="009D0C0E">
              <w:rPr>
                <w:b/>
                <w:bCs w:val="0"/>
              </w:rPr>
              <w:t xml:space="preserve">Second line </w:t>
            </w:r>
            <w:r w:rsidR="009D0C0E">
              <w:rPr>
                <w:b/>
                <w:bCs w:val="0"/>
                <w:i/>
              </w:rPr>
              <w:t>and subsequent line</w:t>
            </w:r>
          </w:p>
        </w:tc>
      </w:tr>
      <w:tr w:rsidR="00A456C7" w:rsidTr="00DB7ECD">
        <w:trPr>
          <w:trHeight w:val="20"/>
        </w:trPr>
        <w:tc>
          <w:tcPr>
            <w:tcW w:w="930" w:type="pct"/>
            <w:tcBorders>
              <w:top w:val="single" w:sz="4" w:space="0" w:color="auto"/>
              <w:left w:val="single" w:sz="4" w:space="0" w:color="auto"/>
              <w:bottom w:val="single" w:sz="4" w:space="0" w:color="auto"/>
              <w:right w:val="single" w:sz="4" w:space="0" w:color="auto"/>
            </w:tcBorders>
            <w:hideMark/>
          </w:tcPr>
          <w:p w:rsidR="00A456C7" w:rsidRDefault="00A456C7" w:rsidP="00315A97">
            <w:pPr>
              <w:pStyle w:val="TableText0"/>
              <w:keepNext w:val="0"/>
            </w:pPr>
            <w:r>
              <w:t>Clinical criteria:</w:t>
            </w:r>
          </w:p>
        </w:tc>
        <w:tc>
          <w:tcPr>
            <w:tcW w:w="4070" w:type="pct"/>
            <w:gridSpan w:val="5"/>
            <w:tcBorders>
              <w:top w:val="single" w:sz="4" w:space="0" w:color="auto"/>
              <w:left w:val="single" w:sz="4" w:space="0" w:color="auto"/>
              <w:bottom w:val="single" w:sz="4" w:space="0" w:color="auto"/>
              <w:right w:val="single" w:sz="4" w:space="0" w:color="auto"/>
            </w:tcBorders>
            <w:hideMark/>
          </w:tcPr>
          <w:p w:rsidR="00A456C7" w:rsidRDefault="00A456C7" w:rsidP="00315A97">
            <w:pPr>
              <w:pStyle w:val="TableText0"/>
              <w:keepNext w:val="0"/>
            </w:pPr>
            <w:r>
              <w:t>Patient must have previously received non-PBS-subsidised treatment with this drug for this condition prior to [insert date of PBS listing], AND</w:t>
            </w:r>
          </w:p>
          <w:p w:rsidR="00A456C7" w:rsidRDefault="00A456C7" w:rsidP="00315A97">
            <w:pPr>
              <w:pStyle w:val="TableText0"/>
              <w:keepNext w:val="0"/>
            </w:pPr>
            <w:r>
              <w:t xml:space="preserve">Patient must have developed progressive disease following treatment with </w:t>
            </w:r>
            <w:r w:rsidR="00BF6D84" w:rsidRPr="00146A88">
              <w:t>endocrine therapy</w:t>
            </w:r>
            <w:r w:rsidR="00BF6D84">
              <w:rPr>
                <w:i/>
              </w:rPr>
              <w:t xml:space="preserve"> </w:t>
            </w:r>
            <w:r>
              <w:t>for advanced or metastatic breast cancer prior to initiating treatment with this drug for this condition, AND</w:t>
            </w:r>
          </w:p>
          <w:p w:rsidR="00A456C7" w:rsidRDefault="00A456C7" w:rsidP="00315A97">
            <w:pPr>
              <w:pStyle w:val="TableText0"/>
              <w:keepNext w:val="0"/>
            </w:pPr>
            <w:r>
              <w:t>Patients must not have previously received treatment with a CDK inhibitor in the first-line setting, AND</w:t>
            </w:r>
          </w:p>
          <w:p w:rsidR="00A456C7" w:rsidRDefault="00A456C7" w:rsidP="00315A97">
            <w:pPr>
              <w:pStyle w:val="TableText0"/>
              <w:keepNext w:val="0"/>
            </w:pPr>
            <w:r>
              <w:t>The condition must be hormone receptor positive, AND</w:t>
            </w:r>
          </w:p>
          <w:p w:rsidR="00A456C7" w:rsidRDefault="00A456C7" w:rsidP="00315A97">
            <w:pPr>
              <w:pStyle w:val="TableText0"/>
              <w:keepNext w:val="0"/>
            </w:pPr>
            <w:r>
              <w:t>The condition must be human epidermal growth factor receptor 2 (HER2) negative, AND</w:t>
            </w:r>
          </w:p>
          <w:p w:rsidR="00A456C7" w:rsidRDefault="00A456C7" w:rsidP="00315A97">
            <w:pPr>
              <w:pStyle w:val="TableText0"/>
              <w:keepNext w:val="0"/>
            </w:pPr>
            <w:r>
              <w:t>The condition must be inoperable, AND</w:t>
            </w:r>
          </w:p>
          <w:p w:rsidR="00A456C7" w:rsidRDefault="00A456C7" w:rsidP="00315A97">
            <w:pPr>
              <w:pStyle w:val="TableText0"/>
              <w:keepNext w:val="0"/>
            </w:pPr>
            <w:r>
              <w:t>Patient must have had a World Health Organisation (WHO) Eastern Cooperative Oncology Group (ECOG) performance status score of 2 or less prior to initiating treatment with this drug for this condition, AND</w:t>
            </w:r>
          </w:p>
          <w:p w:rsidR="00A456C7" w:rsidRDefault="00A456C7" w:rsidP="00315A97">
            <w:pPr>
              <w:pStyle w:val="TableText0"/>
              <w:keepNext w:val="0"/>
            </w:pPr>
            <w:r>
              <w:t>Patient must not have developed disease progression while receiving treatment with this drug for this condition, AND</w:t>
            </w:r>
          </w:p>
          <w:p w:rsidR="00A456C7" w:rsidRDefault="00A456C7" w:rsidP="00315A97">
            <w:pPr>
              <w:pStyle w:val="TableText0"/>
              <w:keepNext w:val="0"/>
            </w:pPr>
            <w:r>
              <w:t>Patient must have stable or responding disease, AND</w:t>
            </w:r>
          </w:p>
          <w:p w:rsidR="00A456C7" w:rsidRDefault="00A456C7" w:rsidP="00315A97">
            <w:pPr>
              <w:pStyle w:val="TableText0"/>
              <w:keepNext w:val="0"/>
            </w:pPr>
            <w:r>
              <w:t xml:space="preserve">The treatment must in combination with fulvestrant, AND </w:t>
            </w:r>
          </w:p>
          <w:p w:rsidR="00A456C7" w:rsidRDefault="00A456C7" w:rsidP="00315A97">
            <w:pPr>
              <w:pStyle w:val="TableText0"/>
              <w:keepNext w:val="0"/>
              <w:rPr>
                <w:color w:val="000000"/>
              </w:rPr>
            </w:pPr>
            <w:r>
              <w:t>The treatment must not be in combination with abemaciclib or palbociclib</w:t>
            </w:r>
          </w:p>
        </w:tc>
      </w:tr>
      <w:tr w:rsidR="00A456C7" w:rsidTr="00DB7ECD">
        <w:trPr>
          <w:trHeight w:val="20"/>
        </w:trPr>
        <w:tc>
          <w:tcPr>
            <w:tcW w:w="930" w:type="pct"/>
            <w:tcBorders>
              <w:top w:val="single" w:sz="4" w:space="0" w:color="auto"/>
              <w:left w:val="single" w:sz="4" w:space="0" w:color="auto"/>
              <w:bottom w:val="single" w:sz="4" w:space="0" w:color="auto"/>
              <w:right w:val="single" w:sz="4" w:space="0" w:color="auto"/>
            </w:tcBorders>
            <w:hideMark/>
          </w:tcPr>
          <w:p w:rsidR="00A456C7" w:rsidRDefault="00A456C7">
            <w:pPr>
              <w:pStyle w:val="TableText0"/>
            </w:pPr>
            <w:r>
              <w:t>Population criteria:</w:t>
            </w:r>
          </w:p>
        </w:tc>
        <w:tc>
          <w:tcPr>
            <w:tcW w:w="4070" w:type="pct"/>
            <w:gridSpan w:val="5"/>
            <w:tcBorders>
              <w:top w:val="single" w:sz="4" w:space="0" w:color="auto"/>
              <w:left w:val="single" w:sz="4" w:space="0" w:color="auto"/>
              <w:bottom w:val="single" w:sz="4" w:space="0" w:color="auto"/>
              <w:right w:val="single" w:sz="4" w:space="0" w:color="auto"/>
            </w:tcBorders>
            <w:hideMark/>
          </w:tcPr>
          <w:p w:rsidR="00A456C7" w:rsidRPr="00146A88" w:rsidRDefault="00A456C7">
            <w:pPr>
              <w:pStyle w:val="TableText0"/>
            </w:pPr>
            <w:r>
              <w:t>Pat</w:t>
            </w:r>
            <w:r w:rsidR="00146A88">
              <w:t>ient must not be premenopausal.</w:t>
            </w:r>
          </w:p>
        </w:tc>
      </w:tr>
      <w:tr w:rsidR="00DB7ECD" w:rsidTr="00DB7ECD">
        <w:trPr>
          <w:trHeight w:val="20"/>
        </w:trPr>
        <w:tc>
          <w:tcPr>
            <w:tcW w:w="930" w:type="pct"/>
            <w:tcBorders>
              <w:top w:val="single" w:sz="4" w:space="0" w:color="auto"/>
              <w:left w:val="single" w:sz="4" w:space="0" w:color="auto"/>
              <w:bottom w:val="single" w:sz="4" w:space="0" w:color="auto"/>
              <w:right w:val="single" w:sz="4" w:space="0" w:color="auto"/>
            </w:tcBorders>
          </w:tcPr>
          <w:p w:rsidR="00DB7ECD" w:rsidRDefault="00DB7ECD">
            <w:pPr>
              <w:pStyle w:val="TableText0"/>
            </w:pPr>
            <w:r>
              <w:t>Administrative advice:</w:t>
            </w:r>
          </w:p>
        </w:tc>
        <w:tc>
          <w:tcPr>
            <w:tcW w:w="4070" w:type="pct"/>
            <w:gridSpan w:val="5"/>
            <w:tcBorders>
              <w:top w:val="single" w:sz="4" w:space="0" w:color="auto"/>
              <w:left w:val="single" w:sz="4" w:space="0" w:color="auto"/>
              <w:bottom w:val="single" w:sz="4" w:space="0" w:color="auto"/>
              <w:right w:val="single" w:sz="4" w:space="0" w:color="auto"/>
            </w:tcBorders>
          </w:tcPr>
          <w:p w:rsidR="00DB7ECD" w:rsidRDefault="00DB7ECD" w:rsidP="00DB7ECD">
            <w:pPr>
              <w:pStyle w:val="TableText0"/>
            </w:pPr>
            <w:r>
              <w:t>A patient may qualify for PBS-subsidised treatment under this restriction once only. For continuing PBS-subsidised treatment, a Grandfathered patient must qualify under the Continuing treatment criteria.</w:t>
            </w:r>
          </w:p>
          <w:p w:rsidR="00DB7ECD" w:rsidRPr="00DB7ECD" w:rsidRDefault="00DB7ECD" w:rsidP="00DB7ECD">
            <w:pPr>
              <w:pStyle w:val="TableText0"/>
            </w:pPr>
            <w:r w:rsidRPr="00DB7ECD">
              <w:rPr>
                <w:bCs w:val="0"/>
                <w:szCs w:val="20"/>
              </w:rPr>
              <w:t>This Grandfather restriction will cease to operate 12 months after the date specified in the clinical criteria</w:t>
            </w:r>
          </w:p>
        </w:tc>
      </w:tr>
      <w:tr w:rsidR="00DB7ECD" w:rsidRPr="00DB7ECD" w:rsidTr="00DB7ECD">
        <w:trPr>
          <w:trHeight w:val="20"/>
        </w:trPr>
        <w:tc>
          <w:tcPr>
            <w:tcW w:w="930" w:type="pct"/>
            <w:tcBorders>
              <w:top w:val="single" w:sz="4" w:space="0" w:color="auto"/>
              <w:left w:val="single" w:sz="4" w:space="0" w:color="auto"/>
              <w:bottom w:val="single" w:sz="4" w:space="0" w:color="auto"/>
              <w:right w:val="single" w:sz="4" w:space="0" w:color="auto"/>
            </w:tcBorders>
          </w:tcPr>
          <w:p w:rsidR="00DB7ECD" w:rsidRPr="00DB7ECD" w:rsidRDefault="00DB7ECD" w:rsidP="00DB7ECD">
            <w:pPr>
              <w:pStyle w:val="TableText0"/>
            </w:pPr>
            <w:r w:rsidRPr="00DB7ECD">
              <w:rPr>
                <w:rFonts w:eastAsia="MS Gothic"/>
                <w:bCs w:val="0"/>
              </w:rPr>
              <w:t>Cautions:</w:t>
            </w:r>
          </w:p>
        </w:tc>
        <w:tc>
          <w:tcPr>
            <w:tcW w:w="4070" w:type="pct"/>
            <w:gridSpan w:val="5"/>
            <w:tcBorders>
              <w:top w:val="single" w:sz="4" w:space="0" w:color="auto"/>
              <w:left w:val="single" w:sz="4" w:space="0" w:color="auto"/>
              <w:bottom w:val="single" w:sz="4" w:space="0" w:color="auto"/>
              <w:right w:val="single" w:sz="4" w:space="0" w:color="auto"/>
            </w:tcBorders>
          </w:tcPr>
          <w:p w:rsidR="00DB7ECD" w:rsidRPr="00DB7ECD" w:rsidRDefault="00DB7ECD" w:rsidP="00DB7ECD">
            <w:pPr>
              <w:pStyle w:val="TableText0"/>
            </w:pPr>
            <w:r w:rsidRPr="00DB7ECD">
              <w:rPr>
                <w:rFonts w:eastAsia="MS Gothic"/>
                <w:bCs w:val="0"/>
                <w:color w:val="000000"/>
              </w:rPr>
              <w:t>QT interval monitoring is required for patients treated with this drug</w:t>
            </w:r>
          </w:p>
        </w:tc>
      </w:tr>
    </w:tbl>
    <w:p w:rsidR="004E1867" w:rsidRDefault="004E1867" w:rsidP="00A456C7">
      <w:pPr>
        <w:pStyle w:val="TableFigureFooter"/>
      </w:pPr>
      <w:r w:rsidRPr="004E1867">
        <w:t>PP= published price; EP-1L= proposed effective price first-line; EP-2L= proposed effective price second-line</w:t>
      </w:r>
      <w:r>
        <w:t>.</w:t>
      </w:r>
    </w:p>
    <w:p w:rsidR="00A456C7" w:rsidRDefault="00A456C7" w:rsidP="00A456C7">
      <w:pPr>
        <w:pStyle w:val="TableFigureFooter"/>
      </w:pPr>
      <w:r>
        <w:rPr>
          <w:vertAlign w:val="superscript"/>
        </w:rPr>
        <w:t>a</w:t>
      </w:r>
      <w:r>
        <w:t xml:space="preserve"> 63 tablets per cycle</w:t>
      </w:r>
      <w:r w:rsidR="006F2FE3">
        <w:t xml:space="preserve"> (600mg</w:t>
      </w:r>
      <w:r w:rsidR="003E1B2A">
        <w:t>/day</w:t>
      </w:r>
      <w:r w:rsidR="006F2FE3">
        <w:t>)</w:t>
      </w:r>
      <w:r w:rsidR="003E1B2A">
        <w:t xml:space="preserve"> </w:t>
      </w:r>
      <w:r>
        <w:t>= 3 x 21 days; 42 tablets/cycle</w:t>
      </w:r>
      <w:r w:rsidR="006F2FE3">
        <w:t xml:space="preserve"> (400mg</w:t>
      </w:r>
      <w:r w:rsidR="003E1B2A">
        <w:t>/day</w:t>
      </w:r>
      <w:r w:rsidR="006F2FE3">
        <w:t>)</w:t>
      </w:r>
      <w:r w:rsidR="003E1B2A">
        <w:t xml:space="preserve"> </w:t>
      </w:r>
      <w:r>
        <w:t>= 2 x 21 days; 21 tablets/cycle</w:t>
      </w:r>
      <w:r w:rsidR="006F2FE3">
        <w:t xml:space="preserve"> (200mg</w:t>
      </w:r>
      <w:r w:rsidR="003E1B2A">
        <w:t>/day</w:t>
      </w:r>
      <w:r w:rsidR="006F2FE3">
        <w:t>)</w:t>
      </w:r>
      <w:r w:rsidR="003E1B2A">
        <w:t xml:space="preserve"> </w:t>
      </w:r>
      <w:r>
        <w:t xml:space="preserve">= 1x 21 days. </w:t>
      </w:r>
    </w:p>
    <w:p w:rsidR="00A456C7" w:rsidRPr="00A54CD0" w:rsidRDefault="00A456C7" w:rsidP="00A456C7">
      <w:pPr>
        <w:pStyle w:val="TableFigureFooter"/>
      </w:pPr>
      <w:r>
        <w:rPr>
          <w:vertAlign w:val="superscript"/>
        </w:rPr>
        <w:t>b</w:t>
      </w:r>
      <w:r>
        <w:t xml:space="preserve"> </w:t>
      </w:r>
      <w:bookmarkStart w:id="12" w:name="_Hlk38212880"/>
      <w:r>
        <w:t>Published price. Special pricing arrangements apply for the effective prices. Approved ex-manufacturer price for ribociclib 600mg is $</w:t>
      </w:r>
      <w:bookmarkEnd w:id="12"/>
      <w:r w:rsidR="005E31C0">
        <w:rPr>
          <w:noProof/>
          <w:color w:val="000000"/>
          <w:highlight w:val="black"/>
        </w:rPr>
        <w:t>'''''''''''''''''''''</w:t>
      </w:r>
      <w:r>
        <w:t xml:space="preserve">. </w:t>
      </w:r>
      <w:r w:rsidRPr="00A54CD0">
        <w:t>The submission proposed indication-specific prices for first- and second-line treatment. In first-line, these are $</w:t>
      </w:r>
      <w:r w:rsidR="005E31C0">
        <w:rPr>
          <w:noProof/>
          <w:color w:val="000000"/>
          <w:highlight w:val="black"/>
        </w:rPr>
        <w:t>''''''''''''''''''''''</w:t>
      </w:r>
      <w:r w:rsidRPr="00A54CD0">
        <w:t>, $</w:t>
      </w:r>
      <w:r w:rsidR="005E31C0">
        <w:rPr>
          <w:noProof/>
          <w:color w:val="000000"/>
          <w:highlight w:val="black"/>
        </w:rPr>
        <w:t>''''''''''''''''</w:t>
      </w:r>
      <w:r w:rsidRPr="00A54CD0">
        <w:t>, and $</w:t>
      </w:r>
      <w:r w:rsidR="005E31C0">
        <w:rPr>
          <w:noProof/>
          <w:color w:val="000000"/>
          <w:highlight w:val="black"/>
        </w:rPr>
        <w:t>''''''''''''''''</w:t>
      </w:r>
      <w:r w:rsidRPr="00A54CD0">
        <w:t xml:space="preserve"> for 63, 42, and 21 tablets, respectively. In second-line, these are $</w:t>
      </w:r>
      <w:r w:rsidR="005E31C0">
        <w:rPr>
          <w:noProof/>
          <w:color w:val="000000"/>
          <w:highlight w:val="black"/>
        </w:rPr>
        <w:t>'''''''''''''''''''''''</w:t>
      </w:r>
      <w:r w:rsidRPr="00A54CD0">
        <w:t>, $</w:t>
      </w:r>
      <w:r w:rsidR="005E31C0">
        <w:rPr>
          <w:noProof/>
          <w:color w:val="000000"/>
          <w:highlight w:val="black"/>
        </w:rPr>
        <w:t>'''''''''''''''''''''</w:t>
      </w:r>
      <w:r w:rsidRPr="00A54CD0">
        <w:t>, and $</w:t>
      </w:r>
      <w:r w:rsidR="005E31C0">
        <w:rPr>
          <w:noProof/>
          <w:color w:val="000000"/>
          <w:highlight w:val="black"/>
        </w:rPr>
        <w:t>''''''''''''''''''''</w:t>
      </w:r>
      <w:r w:rsidRPr="00A54CD0">
        <w:t>, respectively.</w:t>
      </w:r>
    </w:p>
    <w:p w:rsidR="00A456C7" w:rsidRPr="00A54CD0" w:rsidRDefault="00A456C7" w:rsidP="00A456C7">
      <w:pPr>
        <w:pStyle w:val="TableFigureFooter"/>
      </w:pPr>
      <w:r w:rsidRPr="00A54CD0">
        <w:t xml:space="preserve">Source: </w:t>
      </w:r>
      <w:r w:rsidRPr="00A54CD0">
        <w:rPr>
          <w:iCs/>
        </w:rPr>
        <w:t>Compiled during the evaluation based on Tables 1-16 to 1-19, pp61-64 of the submission</w:t>
      </w:r>
      <w:r w:rsidRPr="00A54CD0">
        <w:t>.</w:t>
      </w:r>
    </w:p>
    <w:p w:rsidR="00A456C7" w:rsidRDefault="00A456C7" w:rsidP="00A456C7">
      <w:pPr>
        <w:pStyle w:val="TableFigureFooter"/>
      </w:pPr>
    </w:p>
    <w:p w:rsidR="00D50CDD" w:rsidRDefault="00D50CDD" w:rsidP="00D50CDD">
      <w:pPr>
        <w:pStyle w:val="3-BodyText"/>
      </w:pPr>
      <w:r>
        <w:t>The effective DPMQ of ribociclib for its current listing is $</w:t>
      </w:r>
      <w:r w:rsidR="005E31C0">
        <w:rPr>
          <w:noProof/>
          <w:color w:val="000000"/>
          <w:highlight w:val="black"/>
        </w:rPr>
        <w:t>''''''''''''''''</w:t>
      </w:r>
      <w:r>
        <w:t xml:space="preserve"> (600 mg, 63 tablets pack). The requested effective DPMQs for the proposed new listings (based on 600 mg, 63 tablets pack) are: $</w:t>
      </w:r>
      <w:r w:rsidR="005E31C0">
        <w:rPr>
          <w:noProof/>
          <w:color w:val="000000"/>
          <w:highlight w:val="black"/>
        </w:rPr>
        <w:t>''''''''''''''''''</w:t>
      </w:r>
      <w:r>
        <w:t xml:space="preserve"> for first-line treatment (</w:t>
      </w:r>
      <w:r w:rsidR="005E31C0">
        <w:rPr>
          <w:noProof/>
          <w:color w:val="000000"/>
          <w:highlight w:val="black"/>
        </w:rPr>
        <w:t>'''''</w:t>
      </w:r>
      <w:r>
        <w:t xml:space="preserve">% </w:t>
      </w:r>
      <w:r w:rsidR="005E31C0">
        <w:rPr>
          <w:noProof/>
          <w:color w:val="000000"/>
          <w:highlight w:val="black"/>
        </w:rPr>
        <w:t>''''''''''''</w:t>
      </w:r>
      <w:r>
        <w:t xml:space="preserve"> than the current listing); and $</w:t>
      </w:r>
      <w:r w:rsidR="005E31C0">
        <w:rPr>
          <w:noProof/>
          <w:color w:val="000000"/>
          <w:highlight w:val="black"/>
        </w:rPr>
        <w:t>''''''''''''''''</w:t>
      </w:r>
      <w:r>
        <w:t xml:space="preserve"> for second-line treatment (</w:t>
      </w:r>
      <w:r w:rsidR="005E31C0">
        <w:rPr>
          <w:noProof/>
          <w:color w:val="000000"/>
          <w:highlight w:val="black"/>
        </w:rPr>
        <w:t>''''''''''''''</w:t>
      </w:r>
      <w:r>
        <w:t xml:space="preserve"> the price of the current listing).</w:t>
      </w:r>
    </w:p>
    <w:p w:rsidR="00D50CDD" w:rsidRDefault="00D50CDD" w:rsidP="00D50CDD">
      <w:pPr>
        <w:pStyle w:val="3-BodyText"/>
      </w:pPr>
      <w:r>
        <w:t xml:space="preserve">The proposed </w:t>
      </w:r>
      <w:r w:rsidR="004760B9">
        <w:t>DPMQ</w:t>
      </w:r>
      <w:r>
        <w:t xml:space="preserve"> of the fulvestrant component is </w:t>
      </w:r>
      <w:r w:rsidR="004760B9">
        <w:t>$</w:t>
      </w:r>
      <w:r w:rsidR="005E31C0">
        <w:rPr>
          <w:noProof/>
          <w:color w:val="000000"/>
          <w:highlight w:val="black"/>
        </w:rPr>
        <w:t>''''''''''''''</w:t>
      </w:r>
      <w:r w:rsidR="004760B9">
        <w:t xml:space="preserve"> (AEMP of $</w:t>
      </w:r>
      <w:r w:rsidR="005E31C0">
        <w:rPr>
          <w:noProof/>
          <w:color w:val="000000"/>
          <w:highlight w:val="black"/>
        </w:rPr>
        <w:t>''''''''</w:t>
      </w:r>
      <w:r w:rsidR="004760B9">
        <w:t>)</w:t>
      </w:r>
      <w:r w:rsidR="00DB7ECD">
        <w:t xml:space="preserve"> 500 mg IM injection</w:t>
      </w:r>
      <w:r>
        <w:t>. The submission stated that the sponsor of generic fulvestrant, Sandoz Australia, has committed to supplying at this price.</w:t>
      </w:r>
      <w:r w:rsidR="00E30CC2">
        <w:t xml:space="preserve"> The submission also proposed a listing for fulvestrant specific to use in combination with ribociclib (</w:t>
      </w:r>
      <w:r w:rsidR="008B3B87">
        <w:t xml:space="preserve">requested restriction </w:t>
      </w:r>
      <w:r w:rsidR="00E30CC2">
        <w:t>not included herein).</w:t>
      </w:r>
      <w:r w:rsidR="003B5EF6">
        <w:t xml:space="preserve"> The </w:t>
      </w:r>
      <w:r w:rsidR="008B3B87">
        <w:t xml:space="preserve">PBAC considered that the listing for fulvestrant </w:t>
      </w:r>
      <w:r w:rsidR="0081383F">
        <w:t>(</w:t>
      </w:r>
      <w:r w:rsidR="008B3B87">
        <w:t>for use in combination with ribociclib</w:t>
      </w:r>
      <w:r w:rsidR="0081383F">
        <w:t>)</w:t>
      </w:r>
      <w:r w:rsidR="008B3B87">
        <w:t xml:space="preserve"> should be a line-agnostic listing</w:t>
      </w:r>
      <w:r w:rsidR="003B5EF6">
        <w:t xml:space="preserve"> </w:t>
      </w:r>
      <w:r w:rsidR="008B3B87">
        <w:t xml:space="preserve">combining initial and continuing treatment. </w:t>
      </w:r>
    </w:p>
    <w:p w:rsidR="009D0C0E" w:rsidRPr="009D0C0E" w:rsidRDefault="00A369BF" w:rsidP="009D0C0E">
      <w:pPr>
        <w:pStyle w:val="3-BodyText"/>
        <w:rPr>
          <w:snapToGrid/>
        </w:rPr>
      </w:pPr>
      <w:r w:rsidRPr="004931A6">
        <w:t>In</w:t>
      </w:r>
      <w:r w:rsidRPr="00460507">
        <w:rPr>
          <w:snapToGrid/>
        </w:rPr>
        <w:t xml:space="preserve"> the </w:t>
      </w:r>
      <w:r w:rsidR="00684915">
        <w:rPr>
          <w:snapToGrid/>
        </w:rPr>
        <w:t>Pre-Sub-Committee Response (PSCR)</w:t>
      </w:r>
      <w:r w:rsidRPr="00460507">
        <w:rPr>
          <w:snapToGrid/>
        </w:rPr>
        <w:t xml:space="preserve"> the sponsor proposed</w:t>
      </w:r>
      <w:r w:rsidR="00D50CDD" w:rsidRPr="00460507">
        <w:rPr>
          <w:snapToGrid/>
        </w:rPr>
        <w:t xml:space="preserve"> </w:t>
      </w:r>
      <w:r w:rsidR="009D0C0E" w:rsidRPr="009D0C0E">
        <w:rPr>
          <w:snapToGrid/>
        </w:rPr>
        <w:t xml:space="preserve">the following amendments to </w:t>
      </w:r>
      <w:r w:rsidR="009D0C0E">
        <w:rPr>
          <w:snapToGrid/>
        </w:rPr>
        <w:t>the</w:t>
      </w:r>
      <w:r w:rsidR="009D0C0E" w:rsidRPr="009D0C0E">
        <w:rPr>
          <w:snapToGrid/>
        </w:rPr>
        <w:t xml:space="preserve"> proposed restriction (deletions in strikethrough, additions underlined):</w:t>
      </w:r>
    </w:p>
    <w:p w:rsidR="009D0C0E" w:rsidRPr="009D0C0E" w:rsidRDefault="009D0C0E" w:rsidP="009D0C0E">
      <w:pPr>
        <w:pStyle w:val="3-BodyText"/>
        <w:numPr>
          <w:ilvl w:val="0"/>
          <w:numId w:val="34"/>
        </w:numPr>
        <w:spacing w:after="0"/>
        <w:ind w:left="1434" w:hanging="357"/>
        <w:rPr>
          <w:snapToGrid/>
        </w:rPr>
      </w:pPr>
      <w:r w:rsidRPr="009D0C0E">
        <w:rPr>
          <w:snapToGrid/>
        </w:rPr>
        <w:t xml:space="preserve">1L: “Patient must not have previously been treated with </w:t>
      </w:r>
      <w:r w:rsidRPr="009D0C0E">
        <w:rPr>
          <w:strike/>
          <w:snapToGrid/>
        </w:rPr>
        <w:t>aromatase inhibitor</w:t>
      </w:r>
      <w:r w:rsidRPr="009D0C0E">
        <w:rPr>
          <w:snapToGrid/>
        </w:rPr>
        <w:t xml:space="preserve"> </w:t>
      </w:r>
      <w:r w:rsidRPr="009D0C0E">
        <w:rPr>
          <w:snapToGrid/>
          <w:u w:val="single"/>
        </w:rPr>
        <w:t>endocrine therapy</w:t>
      </w:r>
      <w:r w:rsidRPr="009D0C0E">
        <w:rPr>
          <w:snapToGrid/>
        </w:rPr>
        <w:t xml:space="preserve"> for advanced or metastatic breast cancer...”. </w:t>
      </w:r>
    </w:p>
    <w:p w:rsidR="009D0C0E" w:rsidRPr="009D0C0E" w:rsidRDefault="009D0C0E" w:rsidP="009D0C0E">
      <w:pPr>
        <w:pStyle w:val="3-BodyText"/>
        <w:numPr>
          <w:ilvl w:val="0"/>
          <w:numId w:val="34"/>
        </w:numPr>
        <w:rPr>
          <w:snapToGrid/>
        </w:rPr>
      </w:pPr>
      <w:r w:rsidRPr="009D0C0E">
        <w:rPr>
          <w:snapToGrid/>
        </w:rPr>
        <w:t xml:space="preserve">2L: “Patient must have developed progressive disease following treatment with </w:t>
      </w:r>
      <w:r w:rsidRPr="009D0C0E">
        <w:rPr>
          <w:strike/>
          <w:snapToGrid/>
        </w:rPr>
        <w:t>aromatase inhibitor</w:t>
      </w:r>
      <w:r w:rsidRPr="009D0C0E">
        <w:rPr>
          <w:snapToGrid/>
        </w:rPr>
        <w:t xml:space="preserve"> </w:t>
      </w:r>
      <w:r w:rsidRPr="009D0C0E">
        <w:rPr>
          <w:snapToGrid/>
          <w:u w:val="single"/>
        </w:rPr>
        <w:t>endocrine therapy</w:t>
      </w:r>
      <w:r w:rsidRPr="009D0C0E">
        <w:rPr>
          <w:snapToGrid/>
        </w:rPr>
        <w:t xml:space="preserve"> for advanced or metastatic breast cancer...”. </w:t>
      </w:r>
    </w:p>
    <w:p w:rsidR="004674B0" w:rsidRPr="004674B0" w:rsidRDefault="00220768" w:rsidP="004674B0">
      <w:pPr>
        <w:pStyle w:val="3-BodyText"/>
        <w:numPr>
          <w:ilvl w:val="0"/>
          <w:numId w:val="0"/>
        </w:numPr>
        <w:ind w:left="720" w:hanging="11"/>
      </w:pPr>
      <w:r>
        <w:t>I</w:t>
      </w:r>
      <w:r w:rsidR="002E6A2C">
        <w:t xml:space="preserve">f </w:t>
      </w:r>
      <w:r w:rsidR="001C2178">
        <w:t xml:space="preserve">fulvestrant monotherapy </w:t>
      </w:r>
      <w:r w:rsidR="002E6A2C">
        <w:t>was to become</w:t>
      </w:r>
      <w:r w:rsidR="001C2178">
        <w:t xml:space="preserve"> available on the PBS (see </w:t>
      </w:r>
      <w:r w:rsidR="002E6A2C">
        <w:t xml:space="preserve">agenda </w:t>
      </w:r>
      <w:r w:rsidR="001C2178">
        <w:t>item</w:t>
      </w:r>
      <w:r w:rsidR="002E6A2C">
        <w:t xml:space="preserve"> 5.06 of this meeting), t</w:t>
      </w:r>
      <w:r w:rsidR="00376361">
        <w:t>he PBAC considered th</w:t>
      </w:r>
      <w:r w:rsidR="001627FF">
        <w:t>e intent of this amendment wa</w:t>
      </w:r>
      <w:r w:rsidR="00376361">
        <w:t xml:space="preserve">s reasonable </w:t>
      </w:r>
      <w:r>
        <w:t>because</w:t>
      </w:r>
      <w:r w:rsidR="001627FF">
        <w:t xml:space="preserve"> in the first-line setting it would </w:t>
      </w:r>
      <w:r w:rsidR="001C2178">
        <w:t xml:space="preserve">restrict </w:t>
      </w:r>
      <w:r w:rsidR="00376361">
        <w:t xml:space="preserve">use of RIBO+FULV </w:t>
      </w:r>
      <w:r w:rsidR="001C2178">
        <w:t xml:space="preserve">to </w:t>
      </w:r>
      <w:r w:rsidR="00376361">
        <w:t xml:space="preserve">the first </w:t>
      </w:r>
      <w:r w:rsidR="00B82CFE">
        <w:t>CDK</w:t>
      </w:r>
      <w:r w:rsidR="001C2178">
        <w:t>I+</w:t>
      </w:r>
      <w:r w:rsidR="00376361">
        <w:t>endocrine therapy</w:t>
      </w:r>
      <w:r w:rsidR="002E6A2C">
        <w:t xml:space="preserve"> (NSAI/fulvestrant)</w:t>
      </w:r>
      <w:r w:rsidR="00376361">
        <w:t xml:space="preserve"> for locally advanced/metastatic disease (</w:t>
      </w:r>
      <w:r w:rsidR="001627FF">
        <w:t>except in the circumstance where the patient has had</w:t>
      </w:r>
      <w:r w:rsidR="00376361">
        <w:t xml:space="preserve"> severe intolerance to </w:t>
      </w:r>
      <w:r w:rsidR="001627FF">
        <w:t>other CDKIs</w:t>
      </w:r>
      <w:r w:rsidR="00376361">
        <w:t>)</w:t>
      </w:r>
      <w:r w:rsidR="001627FF">
        <w:t>. The PBAC noted that, consistent with the existing restrictions for CDKI</w:t>
      </w:r>
      <w:r w:rsidR="00B82CFE">
        <w:t>s</w:t>
      </w:r>
      <w:r w:rsidR="001627FF">
        <w:t>+NSAI</w:t>
      </w:r>
      <w:r w:rsidR="00B82CFE">
        <w:t>s</w:t>
      </w:r>
      <w:r w:rsidR="001627FF">
        <w:t xml:space="preserve">, </w:t>
      </w:r>
      <w:r w:rsidR="00C82C6C">
        <w:t xml:space="preserve">the proposed criterion excluding prior endocrine therapy in the </w:t>
      </w:r>
      <w:r w:rsidR="001627FF">
        <w:t xml:space="preserve">‘first-line’ setting would </w:t>
      </w:r>
      <w:r w:rsidR="00C82C6C">
        <w:t>still permit</w:t>
      </w:r>
      <w:r w:rsidR="00376361">
        <w:t xml:space="preserve"> patients with </w:t>
      </w:r>
      <w:r w:rsidR="00376361" w:rsidRPr="00376361">
        <w:t xml:space="preserve">visceral disease </w:t>
      </w:r>
      <w:r w:rsidR="001627FF">
        <w:t>who are</w:t>
      </w:r>
      <w:r w:rsidR="00376361" w:rsidRPr="00376361">
        <w:t xml:space="preserve"> treated with chemo</w:t>
      </w:r>
      <w:r w:rsidR="00376361">
        <w:t>therapy</w:t>
      </w:r>
      <w:r w:rsidR="00376361" w:rsidRPr="00376361">
        <w:t xml:space="preserve"> </w:t>
      </w:r>
      <w:r w:rsidR="004C6FFB">
        <w:t>before endocrine therapy</w:t>
      </w:r>
      <w:r w:rsidR="00C82C6C">
        <w:t xml:space="preserve"> to access RIBO+FULV</w:t>
      </w:r>
      <w:r w:rsidR="00376361" w:rsidRPr="00376361">
        <w:t>.</w:t>
      </w:r>
      <w:r w:rsidR="00C82C6C">
        <w:t xml:space="preserve"> </w:t>
      </w:r>
      <w:r>
        <w:t xml:space="preserve">As such, </w:t>
      </w:r>
      <w:r w:rsidR="007A1988">
        <w:t>‘</w:t>
      </w:r>
      <w:r>
        <w:t>f</w:t>
      </w:r>
      <w:r w:rsidR="007A1988">
        <w:t xml:space="preserve">irst-line endocrine therapy-containing treatment’ </w:t>
      </w:r>
      <w:r>
        <w:t>may</w:t>
      </w:r>
      <w:r w:rsidR="007A1988">
        <w:t xml:space="preserve"> be a more accurate treatment phase description.</w:t>
      </w:r>
      <w:r w:rsidR="00C82C6C">
        <w:t xml:space="preserve"> A consolidated restriction covering first and subsequent line use would </w:t>
      </w:r>
      <w:r w:rsidR="007A1988">
        <w:t xml:space="preserve">also </w:t>
      </w:r>
      <w:r w:rsidR="00C82C6C">
        <w:t>resolve this.</w:t>
      </w:r>
    </w:p>
    <w:p w:rsidR="00C77827" w:rsidRPr="00C77827" w:rsidRDefault="00B52E6A" w:rsidP="00C77827">
      <w:pPr>
        <w:pStyle w:val="3-BodyText"/>
      </w:pPr>
      <w:r w:rsidRPr="00C77827">
        <w:t>Inclusion of grandfather patients who have previously received non-subsidised treatment with RIBO+FULV in the first- and second-line settings was also requested.</w:t>
      </w:r>
      <w:r w:rsidR="00C77827" w:rsidRPr="00C77827">
        <w:t xml:space="preserve"> </w:t>
      </w:r>
    </w:p>
    <w:p w:rsidR="00C77827" w:rsidRPr="00C77827" w:rsidRDefault="00C77827" w:rsidP="000320C4">
      <w:pPr>
        <w:pStyle w:val="3-BodyText"/>
        <w:numPr>
          <w:ilvl w:val="0"/>
          <w:numId w:val="0"/>
        </w:numPr>
        <w:ind w:firstLine="720"/>
        <w:rPr>
          <w:i/>
        </w:rPr>
      </w:pPr>
      <w:r w:rsidRPr="00C77827">
        <w:rPr>
          <w:i/>
        </w:rPr>
        <w:t>For more detail on PBAC’s view, see section 7 PBAC outcome.</w:t>
      </w:r>
    </w:p>
    <w:p w:rsidR="00B50DB8" w:rsidRPr="00407F2D" w:rsidRDefault="00203181" w:rsidP="004E18E9">
      <w:pPr>
        <w:pStyle w:val="2-SectionHeading"/>
      </w:pPr>
      <w:bookmarkStart w:id="13" w:name="_Toc38290339"/>
      <w:bookmarkStart w:id="14" w:name="_Toc40716939"/>
      <w:r>
        <w:t xml:space="preserve">Population and </w:t>
      </w:r>
      <w:r w:rsidR="008E0D3C">
        <w:t>d</w:t>
      </w:r>
      <w:r>
        <w:t>isease</w:t>
      </w:r>
      <w:bookmarkEnd w:id="13"/>
      <w:bookmarkEnd w:id="14"/>
    </w:p>
    <w:p w:rsidR="00EA6208" w:rsidRDefault="00EA6208" w:rsidP="00877097">
      <w:pPr>
        <w:pStyle w:val="3-BodyText"/>
        <w:snapToGrid w:val="0"/>
      </w:pPr>
      <w:r>
        <w:t>Breast cancer is the most common cancer in women and the second most common cancer globally.</w:t>
      </w:r>
      <w:r>
        <w:rPr>
          <w:rStyle w:val="FootnoteReference"/>
          <w:rFonts w:eastAsiaTheme="majorEastAsia"/>
        </w:rPr>
        <w:footnoteReference w:id="1"/>
      </w:r>
      <w:r>
        <w:t xml:space="preserve"> The subtype addressed in this submission, Luminal A (HR+/HER2-, low Ki67 expression), is the predominant form of advanced breast cancer. Luminal A cancers are low-grade, tend to grow slowly and have the best prognosis due to their responsiveness to hormonal/endocrine therapy. However, endocrine therapy resistance leading to disease progression eventually occurs in many patients, representing a significant issue for optimal clinical management.</w:t>
      </w:r>
    </w:p>
    <w:p w:rsidR="001431DD" w:rsidRPr="001431DD" w:rsidRDefault="00EA6208" w:rsidP="00F87E45">
      <w:pPr>
        <w:pStyle w:val="3-BodyText"/>
        <w:rPr>
          <w:i/>
        </w:rPr>
      </w:pPr>
      <w:r>
        <w:t xml:space="preserve">The target population in the submission was non-premenopausal patients with HR+/HER2- locally </w:t>
      </w:r>
      <w:r w:rsidRPr="00B02907">
        <w:t>advanced (</w:t>
      </w:r>
      <w:r w:rsidR="00A46BE9" w:rsidRPr="00B02907">
        <w:t xml:space="preserve">stage </w:t>
      </w:r>
      <w:r w:rsidR="00A46BE9" w:rsidRPr="001431DD">
        <w:t xml:space="preserve">III locally advanced disease that is </w:t>
      </w:r>
      <w:r w:rsidR="00041335" w:rsidRPr="001431DD">
        <w:t xml:space="preserve">not amenable to </w:t>
      </w:r>
      <w:r w:rsidR="002F45D3" w:rsidRPr="001431DD">
        <w:t xml:space="preserve">potentially </w:t>
      </w:r>
      <w:r w:rsidR="00041335" w:rsidRPr="001431DD">
        <w:t xml:space="preserve">curative </w:t>
      </w:r>
      <w:r w:rsidR="002F45D3" w:rsidRPr="001431DD">
        <w:t>surgical resection</w:t>
      </w:r>
      <w:r w:rsidRPr="001431DD">
        <w:t>)</w:t>
      </w:r>
      <w:r w:rsidRPr="00B02907">
        <w:t xml:space="preserve"> </w:t>
      </w:r>
      <w:r>
        <w:t>or metastatic (stage IV) breast cancer.</w:t>
      </w:r>
      <w:r w:rsidR="00AE3DCF">
        <w:t xml:space="preserve"> </w:t>
      </w:r>
    </w:p>
    <w:p w:rsidR="00894D63" w:rsidRPr="005E597E" w:rsidRDefault="00CC0C6A" w:rsidP="00F87E45">
      <w:pPr>
        <w:pStyle w:val="3-BodyText"/>
        <w:rPr>
          <w:i/>
        </w:rPr>
      </w:pPr>
      <w:r w:rsidRPr="002175BE">
        <w:t xml:space="preserve">The PBAC had previously amended the PBS restrictions for five endocrine therapies for breast cancer to allow males to access subsidised treatment when the criteria ‘The patient must be postmenopausal’ was replaced with ‘Patient must not be pre-menopausal’ (para. 3.1, Five endocrine therapies, </w:t>
      </w:r>
      <w:r w:rsidR="0040231F">
        <w:t>Public Summary Document (</w:t>
      </w:r>
      <w:r w:rsidRPr="002175BE">
        <w:t>PSD</w:t>
      </w:r>
      <w:r w:rsidR="0040231F">
        <w:t>)</w:t>
      </w:r>
      <w:r w:rsidRPr="002175BE">
        <w:t>, November 2014</w:t>
      </w:r>
      <w:r w:rsidR="0040231F">
        <w:t xml:space="preserve"> PBAC meeting</w:t>
      </w:r>
      <w:r w:rsidRPr="002175BE">
        <w:t>)</w:t>
      </w:r>
      <w:r>
        <w:t>.</w:t>
      </w:r>
      <w:r w:rsidRPr="007B56CF">
        <w:rPr>
          <w:rStyle w:val="FootnoteReference"/>
          <w:rFonts w:eastAsiaTheme="majorEastAsia"/>
        </w:rPr>
        <w:footnoteReference w:id="2"/>
      </w:r>
      <w:r>
        <w:t xml:space="preserve"> </w:t>
      </w:r>
    </w:p>
    <w:p w:rsidR="00B25EBF" w:rsidRDefault="00CA611E" w:rsidP="008718A7">
      <w:pPr>
        <w:pStyle w:val="3-BodyText"/>
        <w:snapToGrid w:val="0"/>
      </w:pPr>
      <w:r>
        <w:t xml:space="preserve">The submission stated that </w:t>
      </w:r>
      <w:r w:rsidR="00FF2EF2">
        <w:t>o</w:t>
      </w:r>
      <w:r>
        <w:t>e</w:t>
      </w:r>
      <w:r w:rsidRPr="00CA611E">
        <w:t xml:space="preserve">strogen deprivation, using hormonal therapy, is the standard first line treatment for patients with HR+/HER2– advanced breast cancer, except those with immediately life-threatening disease (Cardoso et al. 2016). Specific hormonal therapies used in this treatment setting include aromatase inhibitors, selective </w:t>
      </w:r>
      <w:r w:rsidR="00FF2EF2">
        <w:t>o</w:t>
      </w:r>
      <w:r w:rsidRPr="00CA611E">
        <w:t>estrogen receptor modulators (tamoxifen) and oestrogen receptor antagonists (fulvestrant).</w:t>
      </w:r>
      <w:r w:rsidR="00B25EBF">
        <w:t xml:space="preserve"> </w:t>
      </w:r>
    </w:p>
    <w:p w:rsidR="00084876" w:rsidRDefault="00B25EBF" w:rsidP="00B25EBF">
      <w:pPr>
        <w:pStyle w:val="3-BodyText"/>
      </w:pPr>
      <w:r>
        <w:t>Aromatase inhibitors (AIs) inhibit the aromatase enzyme and prevent oestrogen synthesis. There are two general categories of AIs: (1) the nonsteroidal inhibitors (NSAIs), letrozole and anastrozole, which bind competitively with aromatase, and (2) the steroidal inhibitor, exemestane, which irreversibly inactivates aromatase. For combination therapy with CDK4/6 inhibitors</w:t>
      </w:r>
      <w:r w:rsidR="00EF255A">
        <w:t xml:space="preserve"> (CDK</w:t>
      </w:r>
      <w:r w:rsidR="00156D2E">
        <w:t>I</w:t>
      </w:r>
      <w:r w:rsidR="00EF255A">
        <w:t>s)</w:t>
      </w:r>
      <w:r>
        <w:t xml:space="preserve"> such as ribociclib, NSAIs are generally preferred over exemestane, and the current PBS restriction allows ribociclib</w:t>
      </w:r>
      <w:r w:rsidR="00EF255A">
        <w:t xml:space="preserve"> in</w:t>
      </w:r>
      <w:r>
        <w:t xml:space="preserve"> combination with NSAIs only.</w:t>
      </w:r>
    </w:p>
    <w:p w:rsidR="00EA6208" w:rsidRDefault="00EA6208" w:rsidP="00877097">
      <w:pPr>
        <w:pStyle w:val="3-BodyText"/>
        <w:snapToGrid w:val="0"/>
      </w:pPr>
      <w:r>
        <w:t>The proposed clinical treatment algorithm is shown in Figure 1.</w:t>
      </w:r>
    </w:p>
    <w:p w:rsidR="00EA6208" w:rsidRDefault="00EA6208" w:rsidP="00EA6208">
      <w:pPr>
        <w:pStyle w:val="3-BodyText"/>
        <w:keepNext/>
        <w:numPr>
          <w:ilvl w:val="0"/>
          <w:numId w:val="0"/>
        </w:numPr>
        <w:spacing w:after="0"/>
        <w:ind w:left="720"/>
        <w:rPr>
          <w:rStyle w:val="CommentReference"/>
        </w:rPr>
      </w:pPr>
      <w:r>
        <w:rPr>
          <w:rStyle w:val="CommentReference"/>
        </w:rPr>
        <w:t>Figure 1: Proposed treatment algorithm in the HR+/HER- ABC setting</w:t>
      </w:r>
    </w:p>
    <w:p w:rsidR="00EA6208" w:rsidRDefault="00EA6208" w:rsidP="00EA6208">
      <w:pPr>
        <w:pStyle w:val="3-BodyText"/>
        <w:keepNext/>
        <w:numPr>
          <w:ilvl w:val="0"/>
          <w:numId w:val="0"/>
        </w:numPr>
        <w:spacing w:after="0"/>
        <w:ind w:left="720"/>
        <w:rPr>
          <w:rStyle w:val="CommentReference"/>
        </w:rPr>
      </w:pPr>
      <w:r>
        <w:rPr>
          <w:noProof/>
        </w:rPr>
        <mc:AlternateContent>
          <mc:Choice Requires="wpg">
            <w:drawing>
              <wp:anchor distT="0" distB="0" distL="114300" distR="114300" simplePos="0" relativeHeight="251659264" behindDoc="0" locked="0" layoutInCell="1" allowOverlap="1" wp14:anchorId="72975DAF" wp14:editId="36187932">
                <wp:simplePos x="0" y="0"/>
                <wp:positionH relativeFrom="column">
                  <wp:posOffset>1719580</wp:posOffset>
                </wp:positionH>
                <wp:positionV relativeFrom="paragraph">
                  <wp:posOffset>2429510</wp:posOffset>
                </wp:positionV>
                <wp:extent cx="3433445" cy="557530"/>
                <wp:effectExtent l="0" t="0" r="14605" b="13970"/>
                <wp:wrapNone/>
                <wp:docPr id="16" name="Group 16"/>
                <wp:cNvGraphicFramePr/>
                <a:graphic xmlns:a="http://schemas.openxmlformats.org/drawingml/2006/main">
                  <a:graphicData uri="http://schemas.microsoft.com/office/word/2010/wordprocessingGroup">
                    <wpg:wgp>
                      <wpg:cNvGrpSpPr/>
                      <wpg:grpSpPr>
                        <a:xfrm>
                          <a:off x="0" y="0"/>
                          <a:ext cx="3433445" cy="556895"/>
                          <a:chOff x="0" y="0"/>
                          <a:chExt cx="3433762" cy="557213"/>
                        </a:xfrm>
                      </wpg:grpSpPr>
                      <wps:wsp>
                        <wps:cNvPr id="18" name="Rectangle 18"/>
                        <wps:cNvSpPr/>
                        <wps:spPr>
                          <a:xfrm>
                            <a:off x="2476500" y="352425"/>
                            <a:ext cx="957262" cy="20478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352425"/>
                            <a:ext cx="957262" cy="20478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Rounded Corners 22"/>
                        <wps:cNvSpPr/>
                        <wps:spPr>
                          <a:xfrm>
                            <a:off x="1185862" y="0"/>
                            <a:ext cx="923925" cy="5238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96BBD" w:rsidRDefault="00196BBD" w:rsidP="00EA6208">
                              <w:pPr>
                                <w:jc w:val="center"/>
                                <w:rPr>
                                  <w:rFonts w:ascii="Arial Narrow" w:hAnsi="Arial Narrow"/>
                                  <w:color w:val="000000" w:themeColor="text1"/>
                                  <w:sz w:val="16"/>
                                  <w:szCs w:val="16"/>
                                </w:rPr>
                              </w:pPr>
                              <w:r>
                                <w:rPr>
                                  <w:rFonts w:ascii="Arial Narrow" w:hAnsi="Arial Narrow"/>
                                  <w:color w:val="000000" w:themeColor="text1"/>
                                  <w:sz w:val="16"/>
                                  <w:szCs w:val="16"/>
                                </w:rPr>
                                <w:t>Fulvestrant monotherapy is not PBS listed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flipV="1">
                            <a:off x="962025" y="342900"/>
                            <a:ext cx="22860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flipH="1" flipV="1">
                            <a:off x="2109787" y="319088"/>
                            <a:ext cx="366713"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975DAF" id="Group 16" o:spid="_x0000_s1026" style="position:absolute;left:0;text-align:left;margin-left:135.4pt;margin-top:191.3pt;width:270.35pt;height:43.9pt;z-index:251659264;mso-width-relative:margin;mso-height-relative:margin" coordsize="34337,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">
                <v:rect id="Rectangle 18" o:spid="_x0000_s1027" style="position:absolute;left:24765;top:3524;width:9572;height:2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" filled="f" strokecolor="#243f60 [1604]" strokeweight="2pt"/>
                <v:rect id="Rectangle 19" o:spid="_x0000_s1028" style="position:absolute;top:3524;width:9572;height:2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" filled="f" strokecolor="#243f60 [1604]" strokeweight="2pt"/>
                <v:roundrect id="Rectangle: Rounded Corners 22" o:spid="_x0000_s1029" style="position:absolute;left:11858;width:9239;height:5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" filled="f" strokecolor="#243f60 [1604]" strokeweight="2pt">
                  <v:textbox>
                    <w:txbxContent>
                      <w:p w:rsidR="00196BBD" w:rsidRDefault="00196BBD" w:rsidP="00EA6208">
                        <w:pPr>
                          <w:jc w:val="center"/>
                          <w:rPr>
                            <w:rFonts w:ascii="Arial Narrow" w:hAnsi="Arial Narrow"/>
                            <w:color w:val="000000" w:themeColor="text1"/>
                            <w:sz w:val="16"/>
                            <w:szCs w:val="16"/>
                          </w:rPr>
                        </w:pPr>
                        <w:r>
                          <w:rPr>
                            <w:rFonts w:ascii="Arial Narrow" w:hAnsi="Arial Narrow"/>
                            <w:color w:val="000000" w:themeColor="text1"/>
                            <w:sz w:val="16"/>
                            <w:szCs w:val="16"/>
                          </w:rPr>
                          <w:t>Fulvestrant monotherapy is not PBS listed</w:t>
                        </w:r>
                      </w:p>
                    </w:txbxContent>
                  </v:textbox>
                </v:roundrect>
                <v:shapetype id="_x0000_t32" coordsize="21600,21600" o:spt="32" o:oned="t" path="m,l21600,21600e" filled="f">
                  <v:path arrowok="t" fillok="f" o:connecttype="none"/>
                  <o:lock v:ext="edit" shapetype="t"/>
                </v:shapetype>
                <v:shape id="Straight Arrow Connector 23" o:spid="_x0000_s1030" type="#_x0000_t32" style="position:absolute;left:9620;top:3429;width:2286;height:1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" strokecolor="#4579b8 [3044]">
                  <v:stroke endarrow="block"/>
                </v:shape>
                <v:shape id="Straight Arrow Connector 24" o:spid="_x0000_s1031" type="#_x0000_t32" style="position:absolute;left:21097;top:3190;width:3668;height:181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" strokecolor="#4579b8 [3044]">
                  <v:stroke endarrow="block"/>
                </v:shape>
              </v:group>
            </w:pict>
          </mc:Fallback>
        </mc:AlternateContent>
      </w:r>
      <w:r>
        <w:rPr>
          <w:rFonts w:ascii="Arial Narrow" w:hAnsi="Arial Narrow"/>
          <w:b/>
          <w:noProof/>
          <w:sz w:val="20"/>
          <w:szCs w:val="16"/>
        </w:rPr>
        <w:drawing>
          <wp:inline distT="0" distB="0" distL="0" distR="0" wp14:anchorId="33F1EA93" wp14:editId="25B8074D">
            <wp:extent cx="5088890" cy="342709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8890" cy="3427095"/>
                    </a:xfrm>
                    <a:prstGeom prst="rect">
                      <a:avLst/>
                    </a:prstGeom>
                    <a:noFill/>
                    <a:ln>
                      <a:noFill/>
                    </a:ln>
                  </pic:spPr>
                </pic:pic>
              </a:graphicData>
            </a:graphic>
          </wp:inline>
        </w:drawing>
      </w:r>
    </w:p>
    <w:p w:rsidR="00EA6208" w:rsidRPr="00EA6208" w:rsidRDefault="00EA6208" w:rsidP="002427C0">
      <w:pPr>
        <w:pStyle w:val="TableFigureFooter"/>
        <w:ind w:left="720"/>
        <w:rPr>
          <w:rStyle w:val="CommentReference"/>
          <w:b w:val="0"/>
          <w:sz w:val="18"/>
          <w:szCs w:val="22"/>
        </w:rPr>
      </w:pPr>
      <w:r w:rsidRPr="00EA6208">
        <w:rPr>
          <w:rStyle w:val="CommentReference"/>
          <w:b w:val="0"/>
          <w:sz w:val="18"/>
          <w:szCs w:val="22"/>
        </w:rPr>
        <w:t>ABC= advanced breast cancer; AI= aromatase inhibitor; BSC= best supportive care; CDKI= cyclin-dependent kinase inhibitor; CT= chemotherapy; ER+= oestrogen receptor-positive; EVE= everolimus; EXE= exemestane; HER2-= human epidermal growth factor receptor 2-negative; MONO= monotherapy; NSAI= non-steroidal aromatase inhibitor; FULV500/FULV= fulvestrant 500mg.</w:t>
      </w:r>
    </w:p>
    <w:p w:rsidR="00EA6208" w:rsidRPr="00EA6208" w:rsidRDefault="00EA6208" w:rsidP="002427C0">
      <w:pPr>
        <w:pStyle w:val="TableFigureFooter"/>
        <w:ind w:left="720"/>
        <w:rPr>
          <w:rStyle w:val="CommentReference"/>
          <w:b w:val="0"/>
          <w:sz w:val="18"/>
          <w:szCs w:val="22"/>
        </w:rPr>
      </w:pPr>
      <w:r w:rsidRPr="00EA6208">
        <w:rPr>
          <w:rStyle w:val="CommentReference"/>
          <w:b w:val="0"/>
          <w:sz w:val="18"/>
          <w:szCs w:val="22"/>
        </w:rPr>
        <w:t>* The submission stated that chemotherapy is generally reserved for patients with visceral crisis or who are not considered suitable candidates for the highlighted treatments.</w:t>
      </w:r>
    </w:p>
    <w:p w:rsidR="00EA6208" w:rsidRPr="00EA6208" w:rsidRDefault="00EA6208" w:rsidP="002427C0">
      <w:pPr>
        <w:pStyle w:val="TableFigureFooter"/>
        <w:ind w:left="720"/>
        <w:rPr>
          <w:rStyle w:val="CommentReference"/>
          <w:b w:val="0"/>
          <w:sz w:val="18"/>
          <w:szCs w:val="22"/>
        </w:rPr>
      </w:pPr>
      <w:r w:rsidRPr="00EA6208">
        <w:rPr>
          <w:rStyle w:val="CommentReference"/>
          <w:b w:val="0"/>
          <w:sz w:val="18"/>
          <w:szCs w:val="22"/>
        </w:rPr>
        <w:t>Note: The clinical management algorithm proposed by this submission includes treatment with RIBO+FULV500 in the first- and second-line advanced breast cancer treatment settings (shown in red, bold outline).</w:t>
      </w:r>
    </w:p>
    <w:p w:rsidR="00EA6208" w:rsidRPr="00EA6208" w:rsidRDefault="00EA6208" w:rsidP="00612DE2">
      <w:pPr>
        <w:pStyle w:val="TableFigureFooter"/>
        <w:spacing w:after="240"/>
        <w:ind w:left="720"/>
        <w:rPr>
          <w:rStyle w:val="CommentReference"/>
          <w:b w:val="0"/>
          <w:sz w:val="18"/>
          <w:szCs w:val="22"/>
        </w:rPr>
      </w:pPr>
      <w:r w:rsidRPr="00EA6208">
        <w:rPr>
          <w:rStyle w:val="CommentReference"/>
          <w:b w:val="0"/>
          <w:sz w:val="18"/>
          <w:szCs w:val="22"/>
        </w:rPr>
        <w:t>Source: Figure 1-2, p51 of the submission, with additional blue coloured boxes overlaid during the evaluation.</w:t>
      </w:r>
    </w:p>
    <w:p w:rsidR="00EA6208" w:rsidRDefault="00EA6208" w:rsidP="00BB5520">
      <w:pPr>
        <w:pStyle w:val="3-BodyText"/>
      </w:pPr>
      <w:r>
        <w:t xml:space="preserve">Fulvestrant monotherapy was included as a second-line treatment option in both the current and proposed treatment algorithms. </w:t>
      </w:r>
      <w:r w:rsidRPr="0026454C">
        <w:t>However, it is not PBS listed for any indication.</w:t>
      </w:r>
      <w:r w:rsidR="002F64F0" w:rsidRPr="0026454C">
        <w:t xml:space="preserve"> </w:t>
      </w:r>
      <w:r w:rsidR="002C4CB6" w:rsidRPr="0026454C">
        <w:t>A</w:t>
      </w:r>
      <w:r w:rsidR="00CA611E">
        <w:t>s noted earlier, a</w:t>
      </w:r>
      <w:r w:rsidR="002C4CB6" w:rsidRPr="0026454C">
        <w:t xml:space="preserve"> </w:t>
      </w:r>
      <w:r w:rsidR="00BB5520" w:rsidRPr="0026454C">
        <w:t xml:space="preserve">separate submission </w:t>
      </w:r>
      <w:r w:rsidR="002C4CB6" w:rsidRPr="0026454C">
        <w:t>request</w:t>
      </w:r>
      <w:r w:rsidR="00BB5520" w:rsidRPr="0026454C">
        <w:t>ing</w:t>
      </w:r>
      <w:r w:rsidR="002C4CB6" w:rsidRPr="0026454C">
        <w:t xml:space="preserve"> listing of fulvestrant </w:t>
      </w:r>
      <w:r w:rsidR="002F64F0" w:rsidRPr="0026454C">
        <w:t>w</w:t>
      </w:r>
      <w:r w:rsidR="005F68D2">
        <w:t xml:space="preserve">as </w:t>
      </w:r>
      <w:r w:rsidR="002F64F0" w:rsidRPr="0026454C">
        <w:t xml:space="preserve">considered at the July 2020 </w:t>
      </w:r>
      <w:r w:rsidR="002C4CB6" w:rsidRPr="0026454C">
        <w:t xml:space="preserve">PBAC </w:t>
      </w:r>
      <w:r w:rsidR="002F64F0" w:rsidRPr="0026454C">
        <w:t>meeting</w:t>
      </w:r>
      <w:r w:rsidR="002C4CB6" w:rsidRPr="0026454C">
        <w:t>.</w:t>
      </w:r>
    </w:p>
    <w:p w:rsidR="000734A6" w:rsidRPr="00B02907" w:rsidRDefault="000734A6" w:rsidP="000734A6">
      <w:pPr>
        <w:pStyle w:val="3-BodyText"/>
      </w:pPr>
      <w:r w:rsidRPr="00B02907">
        <w:t xml:space="preserve">The ESC </w:t>
      </w:r>
      <w:r w:rsidR="00156D2E" w:rsidRPr="00B02907">
        <w:t>consider</w:t>
      </w:r>
      <w:r w:rsidRPr="00B02907">
        <w:t>ed that most</w:t>
      </w:r>
      <w:r w:rsidR="005958FF" w:rsidRPr="00B02907">
        <w:t xml:space="preserve"> patients </w:t>
      </w:r>
      <w:r w:rsidR="00B05E12" w:rsidRPr="00B02907">
        <w:t xml:space="preserve">with </w:t>
      </w:r>
      <w:r w:rsidRPr="00B02907">
        <w:t>HR+ HER2- advanced or metastatic breast cancer would currently receive first-line treatment with CDK</w:t>
      </w:r>
      <w:r w:rsidR="00156D2E" w:rsidRPr="00B02907">
        <w:t>I</w:t>
      </w:r>
      <w:r w:rsidRPr="00B02907">
        <w:t>+NSAI. The submission proposes RIBO+FULV as an alternative to CDK</w:t>
      </w:r>
      <w:r w:rsidR="00156D2E" w:rsidRPr="00B02907">
        <w:t>I</w:t>
      </w:r>
      <w:r w:rsidRPr="00B02907">
        <w:t>+NSAI in this group of patients. This first-line group includes patients who</w:t>
      </w:r>
      <w:r w:rsidR="00192FA6" w:rsidRPr="00B02907">
        <w:t>:</w:t>
      </w:r>
      <w:r w:rsidRPr="00B02907">
        <w:t xml:space="preserve"> present with de-novo advanced/metastatic disease (treatment naive)</w:t>
      </w:r>
      <w:r w:rsidR="0072530F" w:rsidRPr="00B02907">
        <w:t>,</w:t>
      </w:r>
      <w:r w:rsidRPr="00B02907">
        <w:t xml:space="preserve"> develop advanced/metastatic disease more than 12 months after completing adjuvant treatment with an </w:t>
      </w:r>
      <w:r w:rsidR="00156D2E" w:rsidRPr="00B02907">
        <w:t>NS</w:t>
      </w:r>
      <w:r w:rsidRPr="00B02907">
        <w:t>AI for early breast cancer (endocrine sensitive)</w:t>
      </w:r>
      <w:r w:rsidR="00192FA6" w:rsidRPr="00B02907">
        <w:t xml:space="preserve"> and those who relapsed within 12 months of prior (neo)adjuvant excluding those treated with NSAI</w:t>
      </w:r>
      <w:r w:rsidRPr="00B02907">
        <w:t>.</w:t>
      </w:r>
    </w:p>
    <w:p w:rsidR="000734A6" w:rsidRPr="00B02907" w:rsidRDefault="000734A6" w:rsidP="000734A6">
      <w:pPr>
        <w:pStyle w:val="3-BodyText"/>
        <w:rPr>
          <w:lang w:val="en-US"/>
        </w:rPr>
      </w:pPr>
      <w:r w:rsidRPr="00B02907">
        <w:rPr>
          <w:lang w:val="en-US"/>
        </w:rPr>
        <w:t>RIBO+FULV might also be an option for patients who develop advanced/metastatic disease less than 12 months after completing (or while on) adjuvant treatment with an AI for early breast cancer (</w:t>
      </w:r>
      <w:r w:rsidR="00851594" w:rsidRPr="00B02907">
        <w:rPr>
          <w:lang w:val="en-US"/>
        </w:rPr>
        <w:t>NS</w:t>
      </w:r>
      <w:r w:rsidRPr="00B02907">
        <w:rPr>
          <w:lang w:val="en-US"/>
        </w:rPr>
        <w:t>AI-resistant). These patients are typically excluded from first-line Phase 3 studies (e.g., they were excluded from MONALEESA-2). Similarly</w:t>
      </w:r>
      <w:r w:rsidRPr="000734A6">
        <w:rPr>
          <w:i/>
          <w:lang w:val="en-US"/>
        </w:rPr>
        <w:t xml:space="preserve"> </w:t>
      </w:r>
      <w:r w:rsidRPr="00B02907">
        <w:rPr>
          <w:lang w:val="en-US"/>
        </w:rPr>
        <w:t xml:space="preserve">in MONALEESA-3, women who are </w:t>
      </w:r>
      <w:r w:rsidR="00851594" w:rsidRPr="00B02907">
        <w:rPr>
          <w:lang w:val="en-US"/>
        </w:rPr>
        <w:t>NS</w:t>
      </w:r>
      <w:r w:rsidRPr="00B02907">
        <w:rPr>
          <w:lang w:val="en-US"/>
        </w:rPr>
        <w:t>AI-resistant were included in the second-line subgroup. These women, who would be considered second-line</w:t>
      </w:r>
      <w:r w:rsidR="00153ECC" w:rsidRPr="00B02907">
        <w:rPr>
          <w:lang w:val="en-US"/>
        </w:rPr>
        <w:t xml:space="preserve"> in clinical trials</w:t>
      </w:r>
      <w:r w:rsidRPr="00B02907">
        <w:rPr>
          <w:lang w:val="en-US"/>
        </w:rPr>
        <w:t xml:space="preserve"> would be included in the proposed first-line restriction</w:t>
      </w:r>
      <w:r w:rsidR="00130DA9" w:rsidRPr="00B02907">
        <w:rPr>
          <w:lang w:val="en-US"/>
        </w:rPr>
        <w:t xml:space="preserve">, which is for patients with no prior </w:t>
      </w:r>
      <w:r w:rsidR="00BF6D84" w:rsidRPr="00B02907">
        <w:rPr>
          <w:lang w:val="en-US"/>
        </w:rPr>
        <w:t xml:space="preserve">endocrine </w:t>
      </w:r>
      <w:r w:rsidR="00130DA9" w:rsidRPr="00B02907">
        <w:rPr>
          <w:lang w:val="en-US"/>
        </w:rPr>
        <w:t>therapies in the advanced or metastatic setting</w:t>
      </w:r>
      <w:r w:rsidRPr="00B02907">
        <w:rPr>
          <w:lang w:val="en-US"/>
        </w:rPr>
        <w:t>.</w:t>
      </w:r>
    </w:p>
    <w:p w:rsidR="000734A6" w:rsidRPr="00B02907" w:rsidRDefault="000734A6" w:rsidP="000734A6">
      <w:pPr>
        <w:pStyle w:val="3-BodyText"/>
        <w:rPr>
          <w:lang w:val="en-US"/>
        </w:rPr>
      </w:pPr>
      <w:r w:rsidRPr="00B02907">
        <w:rPr>
          <w:lang w:val="en-US"/>
        </w:rPr>
        <w:t xml:space="preserve">In the second line setting, RIBO+FULV would be an option for </w:t>
      </w:r>
      <w:r w:rsidR="007D3C51" w:rsidRPr="00B02907">
        <w:rPr>
          <w:lang w:val="en-US"/>
        </w:rPr>
        <w:t>patients</w:t>
      </w:r>
      <w:r w:rsidRPr="00B02907">
        <w:rPr>
          <w:lang w:val="en-US"/>
        </w:rPr>
        <w:t xml:space="preserve"> who </w:t>
      </w:r>
      <w:r w:rsidR="00EF255A" w:rsidRPr="00B02907">
        <w:rPr>
          <w:lang w:val="en-US"/>
        </w:rPr>
        <w:t xml:space="preserve">received single-agent </w:t>
      </w:r>
      <w:r w:rsidR="00DB3BDD" w:rsidRPr="00B02907">
        <w:rPr>
          <w:lang w:val="en-US"/>
        </w:rPr>
        <w:t>NS</w:t>
      </w:r>
      <w:r w:rsidR="00EF255A" w:rsidRPr="00B02907">
        <w:rPr>
          <w:lang w:val="en-US"/>
        </w:rPr>
        <w:t xml:space="preserve">AI first-line </w:t>
      </w:r>
      <w:r w:rsidRPr="00B02907">
        <w:rPr>
          <w:lang w:val="en-US"/>
        </w:rPr>
        <w:t>before the CDK</w:t>
      </w:r>
      <w:r w:rsidR="00DB3BDD" w:rsidRPr="00B02907">
        <w:rPr>
          <w:lang w:val="en-US"/>
        </w:rPr>
        <w:t>I</w:t>
      </w:r>
      <w:r w:rsidRPr="00B02907">
        <w:rPr>
          <w:lang w:val="en-US"/>
        </w:rPr>
        <w:t>s were available</w:t>
      </w:r>
      <w:r w:rsidR="00EF255A" w:rsidRPr="00B02907">
        <w:rPr>
          <w:lang w:val="en-US"/>
        </w:rPr>
        <w:t>.</w:t>
      </w:r>
      <w:r w:rsidR="00EF255A" w:rsidRPr="00B02907">
        <w:t xml:space="preserve"> </w:t>
      </w:r>
      <w:r w:rsidRPr="00B02907">
        <w:rPr>
          <w:lang w:val="en-US"/>
        </w:rPr>
        <w:t xml:space="preserve">This prevalent group of </w:t>
      </w:r>
      <w:r w:rsidR="007D3C51" w:rsidRPr="00B02907">
        <w:rPr>
          <w:lang w:val="en-US"/>
        </w:rPr>
        <w:t>patients</w:t>
      </w:r>
      <w:r w:rsidRPr="00B02907">
        <w:rPr>
          <w:lang w:val="en-US"/>
        </w:rPr>
        <w:t xml:space="preserve"> is likely to decrease over time as the incidence of </w:t>
      </w:r>
      <w:r w:rsidR="007D3C51" w:rsidRPr="00B02907">
        <w:rPr>
          <w:lang w:val="en-US"/>
        </w:rPr>
        <w:t>patients</w:t>
      </w:r>
      <w:r w:rsidRPr="00B02907">
        <w:rPr>
          <w:lang w:val="en-US"/>
        </w:rPr>
        <w:t xml:space="preserve"> starting treatment in the advanced/metastatic setting on single-agent </w:t>
      </w:r>
      <w:r w:rsidR="00DB3BDD" w:rsidRPr="00B02907">
        <w:rPr>
          <w:lang w:val="en-US"/>
        </w:rPr>
        <w:t>NS</w:t>
      </w:r>
      <w:r w:rsidRPr="00B02907">
        <w:rPr>
          <w:lang w:val="en-US"/>
        </w:rPr>
        <w:t xml:space="preserve">AI decreases. </w:t>
      </w:r>
      <w:r w:rsidR="00EF255A" w:rsidRPr="00B02907">
        <w:rPr>
          <w:lang w:val="en-US"/>
        </w:rPr>
        <w:t xml:space="preserve">In addition, single-agent </w:t>
      </w:r>
      <w:r w:rsidR="00DB3BDD" w:rsidRPr="00B02907">
        <w:rPr>
          <w:lang w:val="en-US"/>
        </w:rPr>
        <w:t>NS</w:t>
      </w:r>
      <w:r w:rsidR="00EF255A" w:rsidRPr="00B02907">
        <w:rPr>
          <w:lang w:val="en-US"/>
        </w:rPr>
        <w:t>AIs may be used first-line in</w:t>
      </w:r>
      <w:r w:rsidR="00EF255A" w:rsidRPr="00B02907">
        <w:t xml:space="preserve"> patients with low burden disease or for patients with an indolent disease course</w:t>
      </w:r>
      <w:r w:rsidR="007E16E9" w:rsidRPr="00B02907">
        <w:t>.</w:t>
      </w:r>
      <w:r w:rsidR="00EF255A" w:rsidRPr="00B02907">
        <w:rPr>
          <w:rStyle w:val="FootnoteReference"/>
          <w:iCs/>
        </w:rPr>
        <w:t>4</w:t>
      </w:r>
    </w:p>
    <w:p w:rsidR="00A863C0" w:rsidRPr="00B02907" w:rsidRDefault="00A863C0" w:rsidP="00442251">
      <w:pPr>
        <w:pStyle w:val="3-BodyText"/>
        <w:rPr>
          <w:lang w:val="en-US"/>
        </w:rPr>
      </w:pPr>
      <w:r w:rsidRPr="00B02907">
        <w:rPr>
          <w:lang w:val="en-US"/>
        </w:rPr>
        <w:t>The ESC also noted that describing lines of treatment in the submission as first-line and second-line does not adequately capture the expected clinical use. Patients who receive “second-line” treatment may have had prior hormonal therapies and chemotherapies. As such, describing the lines of treatment as first-line (treatment naïve</w:t>
      </w:r>
      <w:r w:rsidR="00442251" w:rsidRPr="00B02907">
        <w:rPr>
          <w:lang w:val="en-US"/>
        </w:rPr>
        <w:t xml:space="preserve"> in the metastatic setting</w:t>
      </w:r>
      <w:r w:rsidRPr="00B02907">
        <w:rPr>
          <w:lang w:val="en-US"/>
        </w:rPr>
        <w:t>) and subsequent-line may be a more accurate description of clinical use of RIBO+FULV.</w:t>
      </w:r>
      <w:r w:rsidR="00442251" w:rsidRPr="00B02907">
        <w:rPr>
          <w:lang w:val="en-US"/>
        </w:rPr>
        <w:t xml:space="preserve"> “First-line”, for PBS purposes, would include patients who develop advanced/metastatic disease after completing adjuvant treatment for early breast cancer (endocrine sensitive</w:t>
      </w:r>
      <w:r w:rsidR="007E16E9" w:rsidRPr="00B02907">
        <w:rPr>
          <w:lang w:val="en-US"/>
        </w:rPr>
        <w:t xml:space="preserve"> or </w:t>
      </w:r>
      <w:r w:rsidR="007D3C51" w:rsidRPr="00B02907">
        <w:rPr>
          <w:lang w:val="en-US"/>
        </w:rPr>
        <w:t xml:space="preserve">first-line </w:t>
      </w:r>
      <w:r w:rsidR="007E16E9" w:rsidRPr="00B02907">
        <w:rPr>
          <w:lang w:val="en-US"/>
        </w:rPr>
        <w:t>endocrine resistant</w:t>
      </w:r>
      <w:r w:rsidR="00442251" w:rsidRPr="00B02907">
        <w:rPr>
          <w:lang w:val="en-US"/>
        </w:rPr>
        <w:t>), consistent with the wording in the restriction around not receiving prior treatment for advanced or metastatic breast cancer.</w:t>
      </w:r>
      <w:r w:rsidR="007E16E9" w:rsidRPr="00B02907">
        <w:rPr>
          <w:lang w:val="en-US"/>
        </w:rPr>
        <w:t xml:space="preserve"> In the second-line setting, </w:t>
      </w:r>
      <w:r w:rsidR="007403EF" w:rsidRPr="00B02907">
        <w:rPr>
          <w:lang w:val="en-US"/>
        </w:rPr>
        <w:t xml:space="preserve">the </w:t>
      </w:r>
      <w:r w:rsidR="007E16E9" w:rsidRPr="00B02907">
        <w:rPr>
          <w:lang w:val="en-US"/>
        </w:rPr>
        <w:t xml:space="preserve">data available to support use of RIBO+FULV were limited to the second-line setting and did not include later lines, </w:t>
      </w:r>
      <w:r w:rsidR="007403EF" w:rsidRPr="00B02907">
        <w:rPr>
          <w:lang w:val="en-US"/>
        </w:rPr>
        <w:t xml:space="preserve">however </w:t>
      </w:r>
      <w:r w:rsidR="007E16E9" w:rsidRPr="00B02907">
        <w:rPr>
          <w:lang w:val="en-US"/>
        </w:rPr>
        <w:t xml:space="preserve">the PBS restriction would allow use in subsequent lines. </w:t>
      </w:r>
    </w:p>
    <w:p w:rsidR="00F62907" w:rsidRPr="00B02907" w:rsidRDefault="00F62907" w:rsidP="005958FF">
      <w:pPr>
        <w:pStyle w:val="3-BodyText"/>
        <w:rPr>
          <w:lang w:val="en-US"/>
        </w:rPr>
      </w:pPr>
      <w:r w:rsidRPr="00B02907">
        <w:t xml:space="preserve">The ESC noted that clinicians generally try to continue </w:t>
      </w:r>
      <w:r w:rsidR="00D90EBA" w:rsidRPr="00B02907">
        <w:t>endocrine therapies</w:t>
      </w:r>
      <w:r w:rsidRPr="00B02907">
        <w:t xml:space="preserve"> (alone or in combination with CDK</w:t>
      </w:r>
      <w:r w:rsidR="00156D2E" w:rsidRPr="00B02907">
        <w:t>I</w:t>
      </w:r>
      <w:r w:rsidRPr="00B02907">
        <w:t xml:space="preserve">) as long as possible because </w:t>
      </w:r>
      <w:r w:rsidR="000F4A78" w:rsidRPr="00B02907">
        <w:t>they are</w:t>
      </w:r>
      <w:r w:rsidRPr="00B02907">
        <w:t xml:space="preserve"> less toxic than </w:t>
      </w:r>
      <w:r w:rsidR="000734A6" w:rsidRPr="00B02907">
        <w:t xml:space="preserve">combined use with </w:t>
      </w:r>
      <w:r w:rsidRPr="00B02907">
        <w:t>targeted therapies (</w:t>
      </w:r>
      <w:r w:rsidR="00417045" w:rsidRPr="00B02907">
        <w:t xml:space="preserve">eg. </w:t>
      </w:r>
      <w:r w:rsidRPr="00B02907">
        <w:t>everolimus) and less</w:t>
      </w:r>
      <w:r w:rsidR="00041335" w:rsidRPr="00B02907">
        <w:t xml:space="preserve"> toxic than</w:t>
      </w:r>
      <w:r w:rsidRPr="00B02907">
        <w:t xml:space="preserve"> chemotherapy. </w:t>
      </w:r>
      <w:r w:rsidR="00130DA9" w:rsidRPr="00B02907">
        <w:t xml:space="preserve">Toxicities </w:t>
      </w:r>
      <w:r w:rsidR="007D3C51" w:rsidRPr="00B02907">
        <w:t xml:space="preserve">of therapies </w:t>
      </w:r>
      <w:r w:rsidR="00130DA9" w:rsidRPr="00B02907">
        <w:t>can vary between patients, for example</w:t>
      </w:r>
      <w:r w:rsidRPr="00B02907">
        <w:t xml:space="preserve"> </w:t>
      </w:r>
      <w:r w:rsidR="000F4A78" w:rsidRPr="00B02907">
        <w:t>many patients will tolerate capecitabine better than EVE+EXE</w:t>
      </w:r>
      <w:r w:rsidRPr="00B02907">
        <w:t xml:space="preserve">. </w:t>
      </w:r>
    </w:p>
    <w:p w:rsidR="00EA6208" w:rsidRDefault="00EA6208" w:rsidP="00877097">
      <w:pPr>
        <w:pStyle w:val="3-BodyText"/>
        <w:snapToGrid w:val="0"/>
      </w:pPr>
      <w:r>
        <w:t xml:space="preserve">Ribociclib is a small molecule inhibitor of CDK4/6 that can be used in combination with AI to treat patients with HR+ locally advanced or metastatic breast cancer. By targeting CDK4 and CDK6, ribociclib interferes with the cell cycle progression and cell proliferation pathways to slow down the growth of cancer cells. Fulvestrant works by down-regulating and degrading the oestrogen receptor. It binds to the oestrogen receptors, making them change shape so that </w:t>
      </w:r>
      <w:r w:rsidR="004106AF">
        <w:t>cancer cells</w:t>
      </w:r>
      <w:r w:rsidR="004106AF" w:rsidRPr="007C78A7">
        <w:t xml:space="preserve"> </w:t>
      </w:r>
      <w:r>
        <w:t xml:space="preserve">are unable to bind to oestrogen, thereby preventing the growth stimulatory effects of oestrogen. </w:t>
      </w:r>
    </w:p>
    <w:p w:rsidR="00C77827" w:rsidRPr="00486CF6" w:rsidRDefault="00C77827" w:rsidP="00486CF6">
      <w:pPr>
        <w:pStyle w:val="3-BodyText"/>
        <w:numPr>
          <w:ilvl w:val="0"/>
          <w:numId w:val="0"/>
        </w:numPr>
        <w:ind w:firstLine="720"/>
        <w:rPr>
          <w:i/>
        </w:rPr>
      </w:pPr>
      <w:r w:rsidRPr="00C77827">
        <w:rPr>
          <w:i/>
        </w:rPr>
        <w:t>For more detail on PBAC’s vi</w:t>
      </w:r>
      <w:r w:rsidR="00486CF6">
        <w:rPr>
          <w:i/>
        </w:rPr>
        <w:t>ew, see section 7 PBAC outcome.</w:t>
      </w:r>
    </w:p>
    <w:p w:rsidR="00B50DB8" w:rsidRPr="00407F2D" w:rsidRDefault="00B50DB8" w:rsidP="004E18E9">
      <w:pPr>
        <w:pStyle w:val="2-SectionHeading"/>
      </w:pPr>
      <w:bookmarkStart w:id="15" w:name="_Toc38290340"/>
      <w:bookmarkStart w:id="16" w:name="_Toc40716940"/>
      <w:r w:rsidRPr="00407F2D">
        <w:t>Comparator</w:t>
      </w:r>
      <w:bookmarkEnd w:id="15"/>
      <w:bookmarkEnd w:id="16"/>
    </w:p>
    <w:p w:rsidR="00347020" w:rsidRPr="007E0B5F" w:rsidRDefault="00347020" w:rsidP="00877097">
      <w:pPr>
        <w:pStyle w:val="3-BodyText"/>
        <w:snapToGrid w:val="0"/>
        <w:rPr>
          <w:lang w:val="en-US"/>
        </w:rPr>
      </w:pPr>
      <w:r>
        <w:rPr>
          <w:lang w:val="en-US"/>
        </w:rPr>
        <w:t>The submission nominated RIBO+NSAI as the main comparator for the first-line, and EVE+EXE for the second-line treatment of HR+/HER2- locally advanced or metastatic breast cancer</w:t>
      </w:r>
      <w:r w:rsidRPr="007E0B5F">
        <w:rPr>
          <w:lang w:val="en-US"/>
        </w:rPr>
        <w:t xml:space="preserve">. </w:t>
      </w:r>
      <w:r w:rsidRPr="007E0B5F">
        <w:rPr>
          <w:iCs/>
          <w:lang w:val="en-US"/>
        </w:rPr>
        <w:t xml:space="preserve">Although the international clinical guidelines differ on the preferred sequence of first-line and </w:t>
      </w:r>
      <w:r w:rsidR="008B0BF4">
        <w:rPr>
          <w:iCs/>
          <w:lang w:val="en-US"/>
        </w:rPr>
        <w:t>subsequent</w:t>
      </w:r>
      <w:r w:rsidRPr="007E0B5F">
        <w:rPr>
          <w:iCs/>
          <w:lang w:val="en-US"/>
        </w:rPr>
        <w:t>-line therapies</w:t>
      </w:r>
      <w:r w:rsidRPr="00B02907">
        <w:rPr>
          <w:iCs/>
          <w:lang w:val="en-US"/>
        </w:rPr>
        <w:t xml:space="preserve">, the </w:t>
      </w:r>
      <w:r w:rsidR="008B0BF4" w:rsidRPr="00B02907">
        <w:rPr>
          <w:iCs/>
          <w:lang w:val="en-US"/>
        </w:rPr>
        <w:t>commentary considered the</w:t>
      </w:r>
      <w:r w:rsidR="008B0BF4" w:rsidRPr="008B0BF4">
        <w:rPr>
          <w:i/>
          <w:iCs/>
          <w:lang w:val="en-US"/>
        </w:rPr>
        <w:t xml:space="preserve"> </w:t>
      </w:r>
      <w:r w:rsidRPr="007E0B5F">
        <w:rPr>
          <w:iCs/>
          <w:lang w:val="en-US"/>
        </w:rPr>
        <w:t>choice of the comparators seems reasonable given that</w:t>
      </w:r>
      <w:r w:rsidRPr="007E0B5F">
        <w:rPr>
          <w:lang w:val="en-US"/>
        </w:rPr>
        <w:t xml:space="preserve">: </w:t>
      </w:r>
    </w:p>
    <w:p w:rsidR="00347020" w:rsidRPr="00B02907" w:rsidRDefault="00347020" w:rsidP="00843CD7">
      <w:pPr>
        <w:pStyle w:val="3-BodyText"/>
        <w:numPr>
          <w:ilvl w:val="0"/>
          <w:numId w:val="5"/>
        </w:numPr>
        <w:snapToGrid w:val="0"/>
        <w:ind w:left="1134"/>
        <w:rPr>
          <w:iCs/>
          <w:lang w:val="en-US"/>
        </w:rPr>
      </w:pPr>
      <w:r w:rsidRPr="00F42BDF">
        <w:rPr>
          <w:iCs/>
          <w:u w:val="single"/>
          <w:lang w:val="en-US"/>
        </w:rPr>
        <w:t>First-line:</w:t>
      </w:r>
      <w:r w:rsidRPr="007E0B5F">
        <w:rPr>
          <w:iCs/>
          <w:lang w:val="en-US"/>
        </w:rPr>
        <w:t xml:space="preserve"> RIBO+NSAI is PBS listed for the first-line treatment of HR+/HER2- locally advanced or metastatic breast cancer patients who have not received prior aromatase inhibitor therapy for advanced or metastatic breast cancer, and may be preferred for patients who are more likely to benefit from and can tolerate the combination therapy compared to aromatase inhibitor monotherapy. Chemotherapy is generally reserved for patients with life-threatening visceral crisis, and exemestane monotherapy is often used in the second-line setting. Given that RIBO+FULV will be offered as one of the alternatives to RIBO+NSAI in the first-line, the choice of the comparator seems appropriate.</w:t>
      </w:r>
      <w:r w:rsidR="008B0BF4">
        <w:rPr>
          <w:iCs/>
          <w:lang w:val="en-US"/>
        </w:rPr>
        <w:t xml:space="preserve"> </w:t>
      </w:r>
      <w:r w:rsidR="008B0BF4" w:rsidRPr="00B02907">
        <w:rPr>
          <w:iCs/>
          <w:lang w:val="en-US"/>
        </w:rPr>
        <w:t>The ESC agree</w:t>
      </w:r>
      <w:r w:rsidR="002D3084" w:rsidRPr="00B02907">
        <w:rPr>
          <w:iCs/>
          <w:lang w:val="en-US"/>
        </w:rPr>
        <w:t>d</w:t>
      </w:r>
      <w:r w:rsidR="008B0BF4" w:rsidRPr="00B02907">
        <w:rPr>
          <w:iCs/>
          <w:lang w:val="en-US"/>
        </w:rPr>
        <w:t xml:space="preserve"> with the commentary that the nominated comparator in the first-line setting was appropriate.</w:t>
      </w:r>
    </w:p>
    <w:p w:rsidR="00347020" w:rsidRPr="008F00B4" w:rsidRDefault="00347020" w:rsidP="00843CD7">
      <w:pPr>
        <w:pStyle w:val="3-BodyText"/>
        <w:numPr>
          <w:ilvl w:val="0"/>
          <w:numId w:val="5"/>
        </w:numPr>
        <w:snapToGrid w:val="0"/>
        <w:ind w:left="1134"/>
        <w:rPr>
          <w:lang w:val="en-US"/>
        </w:rPr>
      </w:pPr>
      <w:r w:rsidRPr="008F00B4">
        <w:rPr>
          <w:iCs/>
          <w:u w:val="single"/>
          <w:lang w:val="en-US"/>
        </w:rPr>
        <w:t>Second-line</w:t>
      </w:r>
      <w:r w:rsidR="00D3019B" w:rsidRPr="008F00B4">
        <w:rPr>
          <w:iCs/>
          <w:u w:val="single"/>
          <w:lang w:val="en-US"/>
        </w:rPr>
        <w:t xml:space="preserve"> </w:t>
      </w:r>
      <w:r w:rsidR="00D547DC" w:rsidRPr="008F00B4">
        <w:rPr>
          <w:iCs/>
          <w:u w:val="single"/>
          <w:lang w:val="en-US"/>
        </w:rPr>
        <w:t>/</w:t>
      </w:r>
      <w:r w:rsidR="00D3019B" w:rsidRPr="008F00B4">
        <w:rPr>
          <w:iCs/>
          <w:u w:val="single"/>
          <w:lang w:val="en-US"/>
        </w:rPr>
        <w:t xml:space="preserve"> subsequent-line</w:t>
      </w:r>
      <w:r w:rsidRPr="008F00B4">
        <w:rPr>
          <w:iCs/>
          <w:u w:val="single"/>
          <w:lang w:val="en-US"/>
        </w:rPr>
        <w:t>:</w:t>
      </w:r>
      <w:r w:rsidRPr="008F00B4">
        <w:rPr>
          <w:iCs/>
          <w:lang w:val="en-US"/>
        </w:rPr>
        <w:t xml:space="preserve"> For metastatic (</w:t>
      </w:r>
      <w:r w:rsidR="00C26725" w:rsidRPr="008F00B4">
        <w:rPr>
          <w:iCs/>
          <w:lang w:val="en-US"/>
        </w:rPr>
        <w:t xml:space="preserve">Stage </w:t>
      </w:r>
      <w:r w:rsidRPr="008F00B4">
        <w:rPr>
          <w:iCs/>
          <w:lang w:val="en-US"/>
        </w:rPr>
        <w:t>IV) patients who have progressed on first-line endocrine-therapy, EXE+EVE is PBS listed and</w:t>
      </w:r>
      <w:r w:rsidRPr="008F00B4">
        <w:rPr>
          <w:iCs/>
        </w:rPr>
        <w:t xml:space="preserve"> is often the preferred treatment option</w:t>
      </w:r>
      <w:r w:rsidRPr="008F00B4">
        <w:rPr>
          <w:iCs/>
          <w:lang w:val="en-US"/>
        </w:rPr>
        <w:t xml:space="preserve">. Although exemestane monotherapy, chemotherapy and best supportive care are other feasible options, they are generally reserved for patients for whom the alternative treatments are not considered suitable. Therefore, </w:t>
      </w:r>
      <w:r w:rsidR="00F42BDF" w:rsidRPr="008F00B4">
        <w:rPr>
          <w:iCs/>
          <w:lang w:val="en-US"/>
        </w:rPr>
        <w:t xml:space="preserve">the commentary considered </w:t>
      </w:r>
      <w:r w:rsidRPr="008F00B4">
        <w:rPr>
          <w:iCs/>
          <w:lang w:val="en-US"/>
        </w:rPr>
        <w:t xml:space="preserve">EXE+EVE </w:t>
      </w:r>
      <w:r w:rsidR="00F42BDF" w:rsidRPr="008F00B4">
        <w:rPr>
          <w:iCs/>
          <w:lang w:val="en-US"/>
        </w:rPr>
        <w:t>was</w:t>
      </w:r>
      <w:r w:rsidRPr="008F00B4">
        <w:rPr>
          <w:iCs/>
          <w:lang w:val="en-US"/>
        </w:rPr>
        <w:t xml:space="preserve"> a suitable comparator choice</w:t>
      </w:r>
      <w:r w:rsidRPr="008F00B4">
        <w:rPr>
          <w:lang w:val="en-US"/>
        </w:rPr>
        <w:t>.</w:t>
      </w:r>
      <w:r w:rsidRPr="008F00B4">
        <w:rPr>
          <w:iCs/>
          <w:lang w:val="en-US"/>
        </w:rPr>
        <w:t xml:space="preserve"> </w:t>
      </w:r>
      <w:r w:rsidR="00F42BDF" w:rsidRPr="008F00B4">
        <w:rPr>
          <w:iCs/>
          <w:lang w:val="en-US"/>
        </w:rPr>
        <w:t xml:space="preserve">The ESC noted that use of EXE+EVE appears to be decreasing, based on PBS utilisation data. The ESC considered that a mix of other treatments such as chemotherapy (e.g. capecitabine) and endocrine therapies (e.g. tamoxifen) could also be considered comparators </w:t>
      </w:r>
      <w:r w:rsidR="00D36ED2" w:rsidRPr="008F00B4">
        <w:rPr>
          <w:iCs/>
          <w:lang w:val="en-US"/>
        </w:rPr>
        <w:t>for some patients</w:t>
      </w:r>
      <w:r w:rsidR="00F42BDF" w:rsidRPr="008F00B4">
        <w:rPr>
          <w:iCs/>
          <w:lang w:val="en-US"/>
        </w:rPr>
        <w:t xml:space="preserve">. </w:t>
      </w:r>
    </w:p>
    <w:p w:rsidR="00347020" w:rsidRPr="007E0B5F" w:rsidRDefault="00865EE8" w:rsidP="00877097">
      <w:pPr>
        <w:pStyle w:val="3-BodyText"/>
        <w:snapToGrid w:val="0"/>
        <w:rPr>
          <w:lang w:val="en-US"/>
        </w:rPr>
      </w:pPr>
      <w:r w:rsidRPr="00BD4B4F">
        <w:t>The submission also nominate</w:t>
      </w:r>
      <w:r>
        <w:t>d</w:t>
      </w:r>
      <w:r w:rsidRPr="00BD4B4F">
        <w:t xml:space="preserve"> palbociclib</w:t>
      </w:r>
      <w:r>
        <w:t xml:space="preserve"> plus fulvestrant</w:t>
      </w:r>
      <w:r w:rsidRPr="00BD4B4F">
        <w:t xml:space="preserve"> as a near market comparator </w:t>
      </w:r>
      <w:r>
        <w:t>as it</w:t>
      </w:r>
      <w:r w:rsidRPr="00BD4B4F">
        <w:t xml:space="preserve"> is of the same </w:t>
      </w:r>
      <w:r>
        <w:t>therapeutic class</w:t>
      </w:r>
      <w:r w:rsidRPr="00BD4B4F">
        <w:t xml:space="preserve"> with </w:t>
      </w:r>
      <w:r w:rsidR="008B3B87">
        <w:t xml:space="preserve">a </w:t>
      </w:r>
      <w:r w:rsidRPr="00BD4B4F">
        <w:t xml:space="preserve">similar </w:t>
      </w:r>
      <w:r w:rsidR="00AC28A6">
        <w:t xml:space="preserve">TGA </w:t>
      </w:r>
      <w:r w:rsidRPr="00BD4B4F">
        <w:t>indication.</w:t>
      </w:r>
      <w:r>
        <w:t xml:space="preserve"> </w:t>
      </w:r>
      <w:r w:rsidR="008B3B87">
        <w:t>This approach wa</w:t>
      </w:r>
      <w:r w:rsidRPr="007E0B5F">
        <w:t>s reasonable,</w:t>
      </w:r>
      <w:r w:rsidRPr="007E0B5F">
        <w:rPr>
          <w:iCs/>
        </w:rPr>
        <w:t xml:space="preserve"> however, palbociclib plus fulvestrant</w:t>
      </w:r>
      <w:r w:rsidRPr="007E0B5F">
        <w:t xml:space="preserve"> </w:t>
      </w:r>
      <w:r w:rsidRPr="007E0B5F">
        <w:rPr>
          <w:iCs/>
        </w:rPr>
        <w:t>was not considered in either the effectiveness or cost-effectiveness analyses.</w:t>
      </w:r>
      <w:r w:rsidRPr="007E0B5F">
        <w:t xml:space="preserve"> Abemaciclib plus fulvestrant is also a potential near market comparator that was not considered</w:t>
      </w:r>
      <w:r w:rsidR="00347020" w:rsidRPr="007E0B5F">
        <w:rPr>
          <w:iCs/>
        </w:rPr>
        <w:t>.</w:t>
      </w:r>
    </w:p>
    <w:p w:rsidR="00C77827" w:rsidRPr="00C77827" w:rsidRDefault="00C77827" w:rsidP="000320C4">
      <w:pPr>
        <w:pStyle w:val="3-BodyText"/>
        <w:numPr>
          <w:ilvl w:val="0"/>
          <w:numId w:val="0"/>
        </w:numPr>
        <w:ind w:firstLine="720"/>
        <w:rPr>
          <w:i/>
        </w:rPr>
      </w:pPr>
      <w:bookmarkStart w:id="17" w:name="_Toc38290341"/>
      <w:bookmarkStart w:id="18" w:name="_Toc40716941"/>
      <w:bookmarkStart w:id="19" w:name="_Toc22897640"/>
      <w:r w:rsidRPr="00C77827">
        <w:rPr>
          <w:i/>
        </w:rPr>
        <w:t>For more detail on PBAC’s view, see section 7 PBAC outcome.</w:t>
      </w:r>
    </w:p>
    <w:p w:rsidR="00223D5A" w:rsidRPr="00407F2D" w:rsidRDefault="00223D5A" w:rsidP="00223D5A">
      <w:pPr>
        <w:pStyle w:val="2-SectionHeading"/>
      </w:pPr>
      <w:r>
        <w:t>C</w:t>
      </w:r>
      <w:r w:rsidRPr="00407F2D">
        <w:t>onsideration of the evidence</w:t>
      </w:r>
      <w:bookmarkEnd w:id="17"/>
      <w:bookmarkEnd w:id="18"/>
    </w:p>
    <w:p w:rsidR="00C77827" w:rsidRPr="002C28ED" w:rsidRDefault="00C77827" w:rsidP="002C28ED">
      <w:pPr>
        <w:pStyle w:val="4-SubsectionHeading"/>
      </w:pPr>
      <w:bookmarkStart w:id="20" w:name="_Toc38290342"/>
      <w:bookmarkStart w:id="21" w:name="_Toc40716942"/>
      <w:r w:rsidRPr="002C28ED">
        <w:t>Sponsor hearing</w:t>
      </w:r>
    </w:p>
    <w:p w:rsidR="00C77827" w:rsidRPr="00836F75" w:rsidRDefault="00C77827" w:rsidP="00C77827">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The</w:t>
      </w:r>
      <w:r w:rsidR="007E599B">
        <w:rPr>
          <w:rFonts w:asciiTheme="minorHAnsi" w:hAnsiTheme="minorHAnsi"/>
          <w:bCs/>
          <w:snapToGrid w:val="0"/>
        </w:rPr>
        <w:t>re was no hearing for this item</w:t>
      </w:r>
      <w:r w:rsidRPr="00836F75">
        <w:rPr>
          <w:rFonts w:asciiTheme="minorHAnsi" w:hAnsiTheme="minorHAnsi"/>
          <w:bCs/>
          <w:snapToGrid w:val="0"/>
        </w:rPr>
        <w:t>.</w:t>
      </w:r>
    </w:p>
    <w:p w:rsidR="00C77827" w:rsidRPr="002C28ED" w:rsidRDefault="00C77827" w:rsidP="002C28ED">
      <w:pPr>
        <w:pStyle w:val="4-SubsectionHeading"/>
      </w:pPr>
      <w:r w:rsidRPr="002C28ED">
        <w:t>Consumer comments</w:t>
      </w:r>
    </w:p>
    <w:p w:rsidR="00C77827" w:rsidRPr="00836F75" w:rsidRDefault="00C77827" w:rsidP="00C77827">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The PBAC noted and welcom</w:t>
      </w:r>
      <w:r w:rsidR="00214481">
        <w:rPr>
          <w:rFonts w:asciiTheme="minorHAnsi" w:hAnsiTheme="minorHAnsi"/>
          <w:bCs/>
          <w:snapToGrid w:val="0"/>
        </w:rPr>
        <w:t xml:space="preserve">ed the input from 6 individuals </w:t>
      </w:r>
      <w:r w:rsidRPr="00836F75">
        <w:rPr>
          <w:rFonts w:asciiTheme="minorHAnsi" w:hAnsiTheme="minorHAnsi"/>
          <w:bCs/>
          <w:snapToGrid w:val="0"/>
        </w:rPr>
        <w:t xml:space="preserve">via the Consumer Comments facility on the PBS website. The comments </w:t>
      </w:r>
      <w:r w:rsidR="00214481">
        <w:rPr>
          <w:rFonts w:asciiTheme="minorHAnsi" w:hAnsiTheme="minorHAnsi"/>
          <w:bCs/>
          <w:snapToGrid w:val="0"/>
        </w:rPr>
        <w:t xml:space="preserve">from patients currently accessing ribociclib </w:t>
      </w:r>
      <w:r w:rsidRPr="00836F75">
        <w:rPr>
          <w:rFonts w:asciiTheme="minorHAnsi" w:hAnsiTheme="minorHAnsi"/>
          <w:bCs/>
          <w:snapToGrid w:val="0"/>
        </w:rPr>
        <w:t xml:space="preserve">described </w:t>
      </w:r>
      <w:r w:rsidR="00214481">
        <w:rPr>
          <w:rFonts w:asciiTheme="minorHAnsi" w:hAnsiTheme="minorHAnsi"/>
          <w:bCs/>
          <w:snapToGrid w:val="0"/>
        </w:rPr>
        <w:t>the</w:t>
      </w:r>
      <w:r w:rsidRPr="00836F75">
        <w:rPr>
          <w:rFonts w:asciiTheme="minorHAnsi" w:hAnsiTheme="minorHAnsi"/>
          <w:bCs/>
          <w:snapToGrid w:val="0"/>
        </w:rPr>
        <w:t xml:space="preserve"> benefits of treatment </w:t>
      </w:r>
      <w:r w:rsidR="00214481">
        <w:rPr>
          <w:rFonts w:asciiTheme="minorHAnsi" w:hAnsiTheme="minorHAnsi"/>
          <w:bCs/>
          <w:snapToGrid w:val="0"/>
        </w:rPr>
        <w:t>in combination with NSAIs. There were also comments from patients who were treated with aromatase inhibitors prior to PBS listing of ribociclib, or who have received other treatments for metastatic breast cancer, meaning they are unable to access ribociclib under the current restrictions</w:t>
      </w:r>
      <w:r w:rsidR="00FC78FB">
        <w:rPr>
          <w:rFonts w:asciiTheme="minorHAnsi" w:hAnsiTheme="minorHAnsi"/>
          <w:bCs/>
          <w:snapToGrid w:val="0"/>
        </w:rPr>
        <w:t>. These patients commented that ribociclib may be of benefit to them but was not accessible due to the high cost of treatment.</w:t>
      </w:r>
      <w:r w:rsidRPr="00836F75">
        <w:rPr>
          <w:rFonts w:asciiTheme="minorHAnsi" w:hAnsiTheme="minorHAnsi"/>
          <w:bCs/>
          <w:snapToGrid w:val="0"/>
        </w:rPr>
        <w:t xml:space="preserve">  </w:t>
      </w:r>
    </w:p>
    <w:p w:rsidR="00214481" w:rsidRDefault="00214481" w:rsidP="00C77827">
      <w:pPr>
        <w:widowControl w:val="0"/>
        <w:numPr>
          <w:ilvl w:val="1"/>
          <w:numId w:val="1"/>
        </w:numPr>
        <w:spacing w:after="120"/>
        <w:rPr>
          <w:rFonts w:asciiTheme="minorHAnsi" w:hAnsiTheme="minorHAnsi"/>
          <w:bCs/>
          <w:snapToGrid w:val="0"/>
        </w:rPr>
      </w:pPr>
      <w:r w:rsidRPr="007F2EC2">
        <w:rPr>
          <w:rFonts w:asciiTheme="minorHAnsi" w:hAnsiTheme="minorHAnsi"/>
          <w:bCs/>
          <w:snapToGrid w:val="0"/>
        </w:rPr>
        <w:t xml:space="preserve">The PBAC noted the advice received from Breast Cancer Network Australia (BCNA) </w:t>
      </w:r>
      <w:r w:rsidR="008F72C9">
        <w:rPr>
          <w:rFonts w:asciiTheme="minorHAnsi" w:hAnsiTheme="minorHAnsi"/>
          <w:bCs/>
          <w:snapToGrid w:val="0"/>
        </w:rPr>
        <w:t xml:space="preserve">and the MOGA breast cancer expert group </w:t>
      </w:r>
      <w:r w:rsidRPr="007F2EC2">
        <w:rPr>
          <w:rFonts w:asciiTheme="minorHAnsi" w:hAnsiTheme="minorHAnsi"/>
          <w:bCs/>
          <w:snapToGrid w:val="0"/>
        </w:rPr>
        <w:t xml:space="preserve">in support of PBS listing of </w:t>
      </w:r>
      <w:r w:rsidR="0081383F">
        <w:rPr>
          <w:rFonts w:asciiTheme="minorHAnsi" w:hAnsiTheme="minorHAnsi"/>
          <w:bCs/>
          <w:snapToGrid w:val="0"/>
        </w:rPr>
        <w:t>RIBO+FULV</w:t>
      </w:r>
      <w:r w:rsidRPr="007F2EC2">
        <w:rPr>
          <w:rFonts w:asciiTheme="minorHAnsi" w:hAnsiTheme="minorHAnsi"/>
          <w:bCs/>
          <w:snapToGrid w:val="0"/>
        </w:rPr>
        <w:t xml:space="preserve">. </w:t>
      </w:r>
      <w:r w:rsidR="008F72C9">
        <w:rPr>
          <w:rFonts w:asciiTheme="minorHAnsi" w:hAnsiTheme="minorHAnsi"/>
          <w:bCs/>
          <w:snapToGrid w:val="0"/>
        </w:rPr>
        <w:t>Both groups</w:t>
      </w:r>
      <w:r w:rsidRPr="007F2EC2">
        <w:rPr>
          <w:rFonts w:asciiTheme="minorHAnsi" w:hAnsiTheme="minorHAnsi"/>
          <w:bCs/>
          <w:snapToGrid w:val="0"/>
        </w:rPr>
        <w:t xml:space="preserve"> </w:t>
      </w:r>
      <w:r w:rsidR="007F2EC2" w:rsidRPr="007F2EC2">
        <w:rPr>
          <w:rFonts w:asciiTheme="minorHAnsi" w:hAnsiTheme="minorHAnsi"/>
          <w:bCs/>
          <w:snapToGrid w:val="0"/>
        </w:rPr>
        <w:t>commented that listing of this combination is especially important for 1) second-line treatment for patients who were on an aromatase inhibitors alone as first line treatment before CDK4/6 inhibitors were PBA</w:t>
      </w:r>
      <w:r w:rsidR="00BB052D">
        <w:rPr>
          <w:rFonts w:asciiTheme="minorHAnsi" w:hAnsiTheme="minorHAnsi"/>
          <w:bCs/>
          <w:snapToGrid w:val="0"/>
        </w:rPr>
        <w:t>C</w:t>
      </w:r>
      <w:r w:rsidR="007F2EC2" w:rsidRPr="007F2EC2">
        <w:rPr>
          <w:rFonts w:asciiTheme="minorHAnsi" w:hAnsiTheme="minorHAnsi"/>
          <w:bCs/>
          <w:snapToGrid w:val="0"/>
        </w:rPr>
        <w:t xml:space="preserve"> listed; and 2) first-line treatment for patients who relapse with metastatic disease during or shortly after completing treatment with an aromatase inhibitor for early stage breast cancer. </w:t>
      </w:r>
      <w:r w:rsidR="008F72C9">
        <w:rPr>
          <w:rFonts w:asciiTheme="minorHAnsi" w:hAnsiTheme="minorHAnsi"/>
          <w:bCs/>
          <w:snapToGrid w:val="0"/>
        </w:rPr>
        <w:t xml:space="preserve">Both groups also </w:t>
      </w:r>
      <w:r w:rsidR="007F2EC2">
        <w:rPr>
          <w:rFonts w:asciiTheme="minorHAnsi" w:hAnsiTheme="minorHAnsi"/>
          <w:bCs/>
          <w:snapToGrid w:val="0"/>
        </w:rPr>
        <w:t>noted that ribociclib in combi</w:t>
      </w:r>
      <w:r w:rsidR="008F72C9">
        <w:rPr>
          <w:rFonts w:asciiTheme="minorHAnsi" w:hAnsiTheme="minorHAnsi"/>
          <w:bCs/>
          <w:snapToGrid w:val="0"/>
        </w:rPr>
        <w:t xml:space="preserve">nation with fulvestrant is </w:t>
      </w:r>
      <w:r w:rsidR="0081383F">
        <w:rPr>
          <w:rFonts w:asciiTheme="minorHAnsi" w:hAnsiTheme="minorHAnsi"/>
          <w:bCs/>
          <w:snapToGrid w:val="0"/>
        </w:rPr>
        <w:t>effective at</w:t>
      </w:r>
      <w:r w:rsidR="008F72C9" w:rsidRPr="008F72C9">
        <w:rPr>
          <w:rFonts w:asciiTheme="minorHAnsi" w:hAnsiTheme="minorHAnsi"/>
          <w:bCs/>
          <w:snapToGrid w:val="0"/>
        </w:rPr>
        <w:t xml:space="preserve"> prolonging both progression free survival and overall survival</w:t>
      </w:r>
      <w:r w:rsidR="008F72C9">
        <w:rPr>
          <w:rFonts w:asciiTheme="minorHAnsi" w:hAnsiTheme="minorHAnsi"/>
          <w:bCs/>
          <w:snapToGrid w:val="0"/>
        </w:rPr>
        <w:t xml:space="preserve">, is well-tolerated, and </w:t>
      </w:r>
      <w:r w:rsidR="007F2EC2">
        <w:rPr>
          <w:rFonts w:asciiTheme="minorHAnsi" w:hAnsiTheme="minorHAnsi"/>
          <w:bCs/>
          <w:snapToGrid w:val="0"/>
        </w:rPr>
        <w:t>enables quality of life to be maintained for longer by delaying the need for</w:t>
      </w:r>
      <w:r w:rsidR="008F72C9">
        <w:rPr>
          <w:rFonts w:asciiTheme="minorHAnsi" w:hAnsiTheme="minorHAnsi"/>
          <w:bCs/>
          <w:snapToGrid w:val="0"/>
        </w:rPr>
        <w:t xml:space="preserve"> </w:t>
      </w:r>
      <w:r w:rsidR="007F2EC2">
        <w:rPr>
          <w:rFonts w:asciiTheme="minorHAnsi" w:hAnsiTheme="minorHAnsi"/>
          <w:bCs/>
          <w:snapToGrid w:val="0"/>
        </w:rPr>
        <w:t>chemotherapy.</w:t>
      </w:r>
      <w:r w:rsidRPr="007F2EC2">
        <w:rPr>
          <w:rFonts w:asciiTheme="minorHAnsi" w:hAnsiTheme="minorHAnsi"/>
          <w:bCs/>
          <w:snapToGrid w:val="0"/>
        </w:rPr>
        <w:t xml:space="preserve"> </w:t>
      </w:r>
    </w:p>
    <w:p w:rsidR="00C77827" w:rsidRPr="009741EC" w:rsidRDefault="00C77827" w:rsidP="00F87E45">
      <w:pPr>
        <w:pStyle w:val="3-BodyText"/>
        <w:widowControl w:val="0"/>
        <w:rPr>
          <w:bCs/>
        </w:rPr>
      </w:pPr>
      <w:r w:rsidRPr="009741EC">
        <w:rPr>
          <w:bCs/>
        </w:rPr>
        <w:t xml:space="preserve">The Medical Oncology Group of Australia (MOGA) also expressed its strong support for </w:t>
      </w:r>
      <w:r w:rsidR="0081383F">
        <w:rPr>
          <w:bCs/>
        </w:rPr>
        <w:t>RIBO+FULV</w:t>
      </w:r>
      <w:r w:rsidRPr="009741EC">
        <w:rPr>
          <w:bCs/>
        </w:rPr>
        <w:t xml:space="preserve">, categorising it as one of the therapies of “high priority for PBS listing” on the basis of the </w:t>
      </w:r>
      <w:r w:rsidR="008F72C9" w:rsidRPr="009741EC">
        <w:rPr>
          <w:bCs/>
        </w:rPr>
        <w:t>MONALEESA</w:t>
      </w:r>
      <w:r w:rsidR="009741EC" w:rsidRPr="009741EC">
        <w:rPr>
          <w:bCs/>
        </w:rPr>
        <w:t>-3</w:t>
      </w:r>
      <w:r w:rsidRPr="009741EC">
        <w:rPr>
          <w:bCs/>
        </w:rPr>
        <w:t xml:space="preserve"> trial. The PBAC noted that the MOGA presented a European Society for Medical Oncology Magnitude of Clinical Benefit Scale (ESMO-MCBS) for </w:t>
      </w:r>
      <w:r w:rsidR="009741EC" w:rsidRPr="009741EC">
        <w:rPr>
          <w:bCs/>
        </w:rPr>
        <w:t>ribociclib + fulvestrant, which was limited to 3</w:t>
      </w:r>
      <w:r w:rsidRPr="009741EC">
        <w:rPr>
          <w:bCs/>
        </w:rPr>
        <w:t xml:space="preserve"> (out of a maximum of 5, where 5 and 4 represent the grades with substantial improvement)</w:t>
      </w:r>
      <w:r w:rsidR="009741EC">
        <w:rPr>
          <w:rStyle w:val="FootnoteReference"/>
          <w:bCs/>
        </w:rPr>
        <w:footnoteReference w:id="3"/>
      </w:r>
      <w:r w:rsidRPr="009741EC">
        <w:rPr>
          <w:bCs/>
        </w:rPr>
        <w:t xml:space="preserve">, based on a comparison with </w:t>
      </w:r>
      <w:r w:rsidR="009741EC" w:rsidRPr="009741EC">
        <w:rPr>
          <w:bCs/>
        </w:rPr>
        <w:t>placebo + fulvestrant</w:t>
      </w:r>
      <w:r w:rsidRPr="009741EC">
        <w:rPr>
          <w:bCs/>
        </w:rPr>
        <w:t xml:space="preserve">.  </w:t>
      </w:r>
    </w:p>
    <w:p w:rsidR="00B60939" w:rsidRPr="00C9624D" w:rsidRDefault="00B60939" w:rsidP="002E4F02">
      <w:pPr>
        <w:pStyle w:val="4-SubsectionHeading"/>
      </w:pPr>
      <w:r w:rsidRPr="00C9624D">
        <w:t>Clinical trials</w:t>
      </w:r>
      <w:bookmarkEnd w:id="19"/>
      <w:bookmarkEnd w:id="20"/>
      <w:bookmarkEnd w:id="21"/>
    </w:p>
    <w:p w:rsidR="00890E89" w:rsidRPr="00B02907" w:rsidRDefault="00A73134" w:rsidP="00890E89">
      <w:pPr>
        <w:pStyle w:val="3-BodyText"/>
        <w:rPr>
          <w:snapToGrid/>
        </w:rPr>
      </w:pPr>
      <w:r>
        <w:rPr>
          <w:snapToGrid/>
          <w:lang w:val="en-US"/>
        </w:rPr>
        <w:t xml:space="preserve">The </w:t>
      </w:r>
      <w:r w:rsidR="00890E89" w:rsidRPr="00890E89">
        <w:rPr>
          <w:snapToGrid/>
          <w:lang w:val="en-US"/>
        </w:rPr>
        <w:t>submission was based on three main trials</w:t>
      </w:r>
      <w:r w:rsidR="00914D8E" w:rsidRPr="00B02907">
        <w:rPr>
          <w:snapToGrid/>
          <w:lang w:val="en-US"/>
        </w:rPr>
        <w:t xml:space="preserve">, which were the basis of the </w:t>
      </w:r>
      <w:r w:rsidR="00041335" w:rsidRPr="00B02907">
        <w:rPr>
          <w:snapToGrid/>
          <w:lang w:val="en-US"/>
        </w:rPr>
        <w:t xml:space="preserve">unanchored </w:t>
      </w:r>
      <w:r w:rsidR="00914D8E" w:rsidRPr="00B02907">
        <w:rPr>
          <w:snapToGrid/>
          <w:lang w:val="en-US"/>
        </w:rPr>
        <w:t xml:space="preserve">matched adjusted indirect comparisons </w:t>
      </w:r>
      <w:r w:rsidR="00DC05DB" w:rsidRPr="00B02907">
        <w:rPr>
          <w:snapToGrid/>
          <w:lang w:val="en-US"/>
        </w:rPr>
        <w:t xml:space="preserve">(MAIC) </w:t>
      </w:r>
      <w:r w:rsidR="00914D8E" w:rsidRPr="00B02907">
        <w:rPr>
          <w:snapToGrid/>
          <w:lang w:val="en-US"/>
        </w:rPr>
        <w:t>presented</w:t>
      </w:r>
      <w:r w:rsidR="00890E89" w:rsidRPr="00B02907">
        <w:rPr>
          <w:snapToGrid/>
          <w:lang w:val="en-US"/>
        </w:rPr>
        <w:t>:</w:t>
      </w:r>
    </w:p>
    <w:p w:rsidR="00890E89" w:rsidRPr="00890E89" w:rsidRDefault="00890E89" w:rsidP="00843CD7">
      <w:pPr>
        <w:pStyle w:val="3-BodyText"/>
        <w:numPr>
          <w:ilvl w:val="0"/>
          <w:numId w:val="6"/>
        </w:numPr>
        <w:ind w:left="1134"/>
      </w:pPr>
      <w:r w:rsidRPr="00890E89">
        <w:rPr>
          <w:lang w:val="en-US"/>
        </w:rPr>
        <w:t xml:space="preserve">MONALEESA-3 was a randomised, double-blind study of RIBO+FULV </w:t>
      </w:r>
      <w:r w:rsidR="00FB7419">
        <w:rPr>
          <w:lang w:val="en-US"/>
        </w:rPr>
        <w:t xml:space="preserve">versus </w:t>
      </w:r>
      <w:r w:rsidR="00AF7C3D">
        <w:rPr>
          <w:lang w:val="en-US"/>
        </w:rPr>
        <w:t>p</w:t>
      </w:r>
      <w:r w:rsidR="00732E1F">
        <w:rPr>
          <w:lang w:val="en-US"/>
        </w:rPr>
        <w:t>lacebo+FULV (</w:t>
      </w:r>
      <w:r w:rsidR="00FB7419">
        <w:rPr>
          <w:lang w:val="en-US"/>
        </w:rPr>
        <w:t>PBO+FULV</w:t>
      </w:r>
      <w:r w:rsidR="00732E1F">
        <w:rPr>
          <w:lang w:val="en-US"/>
        </w:rPr>
        <w:t>)</w:t>
      </w:r>
      <w:r w:rsidR="00FB7419">
        <w:rPr>
          <w:lang w:val="en-US"/>
        </w:rPr>
        <w:t xml:space="preserve"> </w:t>
      </w:r>
      <w:r w:rsidRPr="00890E89">
        <w:rPr>
          <w:lang w:val="en-US"/>
        </w:rPr>
        <w:t>for the treatment of men and postmenopausal women with HR+/HER2- ABC who have received no or only one line of prior endocrine treatment. Although male patients were eligible for enrollment after a protocol amendment, no male patients were enrolled. Out of the 484 patients in the RIBO+</w:t>
      </w:r>
      <w:r w:rsidRPr="00EB534D">
        <w:rPr>
          <w:lang w:val="en-US"/>
        </w:rPr>
        <w:t>FULV arm, 23</w:t>
      </w:r>
      <w:r w:rsidR="00EB534D" w:rsidRPr="00EB534D">
        <w:rPr>
          <w:lang w:val="en-US"/>
        </w:rPr>
        <w:t>7</w:t>
      </w:r>
      <w:r w:rsidRPr="00EB534D">
        <w:rPr>
          <w:lang w:val="en-US"/>
        </w:rPr>
        <w:t xml:space="preserve"> patients were either treatment naïve</w:t>
      </w:r>
      <w:r w:rsidRPr="00EB534D">
        <w:rPr>
          <w:vertAlign w:val="superscript"/>
          <w:lang w:val="en-US"/>
        </w:rPr>
        <w:footnoteReference w:id="4"/>
      </w:r>
      <w:r w:rsidRPr="00EB534D">
        <w:rPr>
          <w:lang w:val="en-US"/>
        </w:rPr>
        <w:t xml:space="preserve"> or endocrine-sensitive</w:t>
      </w:r>
      <w:r w:rsidRPr="00EB534D">
        <w:rPr>
          <w:vertAlign w:val="superscript"/>
          <w:lang w:val="en-US"/>
        </w:rPr>
        <w:footnoteReference w:id="5"/>
      </w:r>
      <w:r w:rsidR="00826574" w:rsidRPr="00EB534D">
        <w:rPr>
          <w:lang w:val="en-US"/>
        </w:rPr>
        <w:t>, 137 patients were resistant to endocrine therapy in the (neo)adjuvant setting</w:t>
      </w:r>
      <w:r w:rsidR="00826574" w:rsidRPr="00EB534D">
        <w:rPr>
          <w:rStyle w:val="FootnoteReference"/>
          <w:lang w:val="en-US"/>
        </w:rPr>
        <w:footnoteReference w:id="6"/>
      </w:r>
      <w:r w:rsidR="00826574" w:rsidRPr="00EB534D">
        <w:rPr>
          <w:lang w:val="en-US"/>
        </w:rPr>
        <w:t xml:space="preserve"> and 100</w:t>
      </w:r>
      <w:r w:rsidRPr="00EB534D">
        <w:rPr>
          <w:lang w:val="en-US"/>
        </w:rPr>
        <w:t xml:space="preserve"> patients</w:t>
      </w:r>
      <w:r w:rsidRPr="00890E89">
        <w:rPr>
          <w:lang w:val="en-US"/>
        </w:rPr>
        <w:t xml:space="preserve"> had </w:t>
      </w:r>
      <w:r w:rsidR="00826574">
        <w:rPr>
          <w:lang w:val="en-US"/>
        </w:rPr>
        <w:t>received</w:t>
      </w:r>
      <w:r w:rsidRPr="00890E89">
        <w:rPr>
          <w:lang w:val="en-US"/>
        </w:rPr>
        <w:t xml:space="preserve"> one line of endocrine therapy</w:t>
      </w:r>
      <w:r w:rsidR="00826574">
        <w:rPr>
          <w:lang w:val="en-US"/>
        </w:rPr>
        <w:t xml:space="preserve"> in the advanced/metastatic setting</w:t>
      </w:r>
      <w:r w:rsidRPr="00890E89">
        <w:rPr>
          <w:lang w:val="en-US"/>
        </w:rPr>
        <w:t>.</w:t>
      </w:r>
      <w:r w:rsidRPr="00890E89">
        <w:rPr>
          <w:vertAlign w:val="superscript"/>
          <w:lang w:val="en-US"/>
        </w:rPr>
        <w:footnoteReference w:id="7"/>
      </w:r>
      <w:r w:rsidRPr="00890E89">
        <w:rPr>
          <w:lang w:val="en-US"/>
        </w:rPr>
        <w:t xml:space="preserve"> Data from MONALEESA-3 were used in both first-line and second-line treatment analyses. </w:t>
      </w:r>
    </w:p>
    <w:p w:rsidR="00890E89" w:rsidRPr="00890E89" w:rsidRDefault="00890E89" w:rsidP="00843CD7">
      <w:pPr>
        <w:pStyle w:val="3-BodyText"/>
        <w:numPr>
          <w:ilvl w:val="0"/>
          <w:numId w:val="7"/>
        </w:numPr>
        <w:ind w:left="1134"/>
      </w:pPr>
      <w:r w:rsidRPr="00890E89">
        <w:rPr>
          <w:lang w:val="en-US"/>
        </w:rPr>
        <w:t>MONALEESA-2 was a randomised, double-blind, placebo-controlled study comparing RIBO+NSAI (n=334) with placebo+NSAI (PBO+NSAI, N=334) for the treatment of postmenopausal women with HR+/HER2- advanced breast cancer who had not received previous systemic therapy for advanced disease. Data from MONALEESA-2 were used only for the first-line analyses.</w:t>
      </w:r>
    </w:p>
    <w:p w:rsidR="00890E89" w:rsidRPr="00890E89" w:rsidRDefault="00890E89" w:rsidP="00843CD7">
      <w:pPr>
        <w:pStyle w:val="3-BodyText"/>
        <w:numPr>
          <w:ilvl w:val="0"/>
          <w:numId w:val="7"/>
        </w:numPr>
        <w:ind w:left="1134"/>
        <w:rPr>
          <w:color w:val="000000" w:themeColor="text1"/>
        </w:rPr>
      </w:pPr>
      <w:r w:rsidRPr="00890E89">
        <w:rPr>
          <w:lang w:val="en-US"/>
        </w:rPr>
        <w:t xml:space="preserve">BOLERO-2 was a randomised, double-blind, placebo-controlled study comparing EVE+EXE (N=485) with placebo+exemestane (PBO+EXE, N=239) in the treatment of postmenopausal women with </w:t>
      </w:r>
      <w:r w:rsidR="00417045">
        <w:rPr>
          <w:lang w:val="en-US"/>
        </w:rPr>
        <w:t>o</w:t>
      </w:r>
      <w:r w:rsidRPr="00890E89">
        <w:rPr>
          <w:lang w:val="en-US"/>
        </w:rPr>
        <w:t xml:space="preserve">estrogen receptor-positive ABC who are refractory to NSAI (letrozole or anastrozole). </w:t>
      </w:r>
      <w:r w:rsidR="009507B3" w:rsidRPr="00B02907">
        <w:rPr>
          <w:lang w:val="en-US"/>
        </w:rPr>
        <w:t xml:space="preserve">BOLERO-2 enrolled patients who had failed prior hormonal therapy; 40% of enrolled patients had received only one prior line of therapy in the metastatic setting (40% had received two or more prior lines in the metastatic setting; the remaining 20% received prior hormonal therapy in the (neo)adjuvant setting). </w:t>
      </w:r>
      <w:r w:rsidRPr="00890E89">
        <w:rPr>
          <w:lang w:val="en-US"/>
        </w:rPr>
        <w:t>Data from BOLERO-2 were used only for the second-line analyses.</w:t>
      </w:r>
    </w:p>
    <w:p w:rsidR="00606E1E" w:rsidRPr="00243D67" w:rsidRDefault="00606E1E" w:rsidP="00606E1E">
      <w:pPr>
        <w:pStyle w:val="3-BodyText"/>
        <w:rPr>
          <w:color w:val="000000" w:themeColor="text1"/>
        </w:rPr>
      </w:pPr>
      <w:r w:rsidRPr="00606E1E">
        <w:rPr>
          <w:color w:val="000000" w:themeColor="text1"/>
          <w:lang w:val="en-US"/>
        </w:rPr>
        <w:t xml:space="preserve">Details of the trials are provided in Table </w:t>
      </w:r>
      <w:r w:rsidR="007B56CF">
        <w:rPr>
          <w:color w:val="000000" w:themeColor="text1"/>
          <w:lang w:val="en-US"/>
        </w:rPr>
        <w:t>2</w:t>
      </w:r>
      <w:r w:rsidRPr="00606E1E">
        <w:rPr>
          <w:color w:val="000000" w:themeColor="text1"/>
          <w:lang w:val="en-US"/>
        </w:rPr>
        <w:t>.</w:t>
      </w:r>
    </w:p>
    <w:p w:rsidR="00243D67" w:rsidRPr="00606E1E" w:rsidRDefault="00243D67" w:rsidP="004E500B">
      <w:pPr>
        <w:pStyle w:val="3-BodyText"/>
        <w:keepNext/>
        <w:keepLines/>
        <w:numPr>
          <w:ilvl w:val="0"/>
          <w:numId w:val="0"/>
        </w:numPr>
        <w:spacing w:after="0"/>
        <w:rPr>
          <w:color w:val="000000" w:themeColor="text1"/>
        </w:rPr>
      </w:pPr>
      <w:r>
        <w:rPr>
          <w:rStyle w:val="CommentReference"/>
        </w:rPr>
        <w:t xml:space="preserve">Table </w:t>
      </w:r>
      <w:r w:rsidR="007B56CF">
        <w:rPr>
          <w:rStyle w:val="CommentReference"/>
        </w:rPr>
        <w:t>2</w:t>
      </w:r>
      <w:r>
        <w:rPr>
          <w:rStyle w:val="CommentReference"/>
        </w:rPr>
        <w:t>: Trials and associated reports presented in the submission</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7"/>
        <w:gridCol w:w="5466"/>
        <w:gridCol w:w="2125"/>
      </w:tblGrid>
      <w:tr w:rsidR="00606E1E" w:rsidRPr="00606E1E" w:rsidTr="008939F5">
        <w:trPr>
          <w:tblHeader/>
        </w:trPr>
        <w:tc>
          <w:tcPr>
            <w:tcW w:w="796" w:type="pct"/>
            <w:tcBorders>
              <w:top w:val="single" w:sz="4" w:space="0" w:color="auto"/>
            </w:tcBorders>
            <w:vAlign w:val="center"/>
          </w:tcPr>
          <w:p w:rsidR="00606E1E" w:rsidRPr="00606E1E" w:rsidRDefault="00606E1E" w:rsidP="004E500B">
            <w:pPr>
              <w:pStyle w:val="In-tableHeading"/>
              <w:keepLines/>
              <w:widowControl w:val="0"/>
            </w:pPr>
            <w:bookmarkStart w:id="22" w:name="_Hlk37839893"/>
            <w:r w:rsidRPr="00606E1E">
              <w:t>Trial ID</w:t>
            </w:r>
          </w:p>
        </w:tc>
        <w:tc>
          <w:tcPr>
            <w:tcW w:w="3027" w:type="pct"/>
            <w:tcBorders>
              <w:top w:val="single" w:sz="4" w:space="0" w:color="auto"/>
            </w:tcBorders>
            <w:vAlign w:val="center"/>
          </w:tcPr>
          <w:p w:rsidR="00606E1E" w:rsidRPr="00606E1E" w:rsidRDefault="00606E1E" w:rsidP="004E500B">
            <w:pPr>
              <w:pStyle w:val="In-tableHeading"/>
              <w:keepLines/>
              <w:widowControl w:val="0"/>
            </w:pPr>
            <w:r w:rsidRPr="00606E1E">
              <w:t>Protocol title/ Publication title</w:t>
            </w:r>
          </w:p>
        </w:tc>
        <w:tc>
          <w:tcPr>
            <w:tcW w:w="1177" w:type="pct"/>
            <w:tcBorders>
              <w:top w:val="single" w:sz="4" w:space="0" w:color="auto"/>
            </w:tcBorders>
            <w:vAlign w:val="center"/>
          </w:tcPr>
          <w:p w:rsidR="00606E1E" w:rsidRPr="00606E1E" w:rsidRDefault="00606E1E" w:rsidP="004E500B">
            <w:pPr>
              <w:pStyle w:val="In-tableHeading"/>
              <w:keepLines/>
              <w:widowControl w:val="0"/>
            </w:pPr>
            <w:r w:rsidRPr="00606E1E">
              <w:t>Publication citation</w:t>
            </w:r>
          </w:p>
        </w:tc>
      </w:tr>
      <w:tr w:rsidR="00606E1E" w:rsidRPr="00606E1E" w:rsidTr="00606E1E">
        <w:trPr>
          <w:trHeight w:val="223"/>
        </w:trPr>
        <w:tc>
          <w:tcPr>
            <w:tcW w:w="5000" w:type="pct"/>
            <w:gridSpan w:val="3"/>
            <w:shd w:val="clear" w:color="auto" w:fill="auto"/>
            <w:vAlign w:val="center"/>
          </w:tcPr>
          <w:p w:rsidR="00606E1E" w:rsidRPr="00606E1E" w:rsidRDefault="00606E1E" w:rsidP="004E500B">
            <w:pPr>
              <w:pStyle w:val="TableText0"/>
              <w:keepLines/>
              <w:widowControl w:val="0"/>
              <w:rPr>
                <w:b/>
                <w:bCs w:val="0"/>
              </w:rPr>
            </w:pPr>
            <w:r w:rsidRPr="00606E1E">
              <w:rPr>
                <w:b/>
                <w:bCs w:val="0"/>
              </w:rPr>
              <w:t>Main intervention/comparator studies</w:t>
            </w:r>
          </w:p>
        </w:tc>
      </w:tr>
      <w:tr w:rsidR="00606E1E" w:rsidRPr="00606E1E" w:rsidTr="00D422F9">
        <w:trPr>
          <w:cantSplit/>
        </w:trPr>
        <w:tc>
          <w:tcPr>
            <w:tcW w:w="796" w:type="pct"/>
            <w:vMerge w:val="restart"/>
            <w:vAlign w:val="center"/>
          </w:tcPr>
          <w:p w:rsidR="00606E1E" w:rsidRPr="00606E1E" w:rsidRDefault="00606E1E" w:rsidP="004E500B">
            <w:pPr>
              <w:pStyle w:val="TableText0"/>
              <w:keepLines/>
              <w:widowControl w:val="0"/>
            </w:pPr>
            <w:r w:rsidRPr="00606E1E">
              <w:t>MONALEESA-3</w:t>
            </w:r>
          </w:p>
        </w:tc>
        <w:tc>
          <w:tcPr>
            <w:tcW w:w="3027" w:type="pct"/>
            <w:tcBorders>
              <w:bottom w:val="nil"/>
            </w:tcBorders>
            <w:vAlign w:val="center"/>
          </w:tcPr>
          <w:p w:rsidR="00606E1E" w:rsidRPr="00606E1E" w:rsidRDefault="00606E1E" w:rsidP="004E500B">
            <w:pPr>
              <w:pStyle w:val="TableText0"/>
              <w:keepLines/>
              <w:widowControl w:val="0"/>
            </w:pPr>
            <w:r w:rsidRPr="00606E1E">
              <w:t xml:space="preserve">MONALEESA-3: A randomized double-blind, placebo-controlled study of ribociclib in combination with fulvestrant for the treatment of men and postmenopausal women with hormone receptor positive, HER2-negative, advanced breast cancer who have received no or only one line of prior endocrine treatment. </w:t>
            </w:r>
          </w:p>
        </w:tc>
        <w:tc>
          <w:tcPr>
            <w:tcW w:w="1177" w:type="pct"/>
            <w:tcBorders>
              <w:bottom w:val="nil"/>
            </w:tcBorders>
            <w:vAlign w:val="center"/>
          </w:tcPr>
          <w:p w:rsidR="00606E1E" w:rsidRPr="00606E1E" w:rsidRDefault="00606E1E" w:rsidP="004E500B">
            <w:pPr>
              <w:pStyle w:val="TableText0"/>
              <w:keepLines/>
              <w:widowControl w:val="0"/>
            </w:pPr>
            <w:r w:rsidRPr="00606E1E">
              <w:t>25 April 2018</w:t>
            </w:r>
          </w:p>
        </w:tc>
      </w:tr>
      <w:tr w:rsidR="00606E1E" w:rsidRPr="00606E1E" w:rsidTr="00D422F9">
        <w:trPr>
          <w:cantSplit/>
        </w:trPr>
        <w:tc>
          <w:tcPr>
            <w:tcW w:w="796" w:type="pct"/>
            <w:vMerge/>
            <w:tcBorders>
              <w:bottom w:val="single" w:sz="4" w:space="0" w:color="auto"/>
            </w:tcBorders>
            <w:vAlign w:val="center"/>
          </w:tcPr>
          <w:p w:rsidR="00606E1E" w:rsidRPr="00606E1E" w:rsidRDefault="00606E1E" w:rsidP="004E500B">
            <w:pPr>
              <w:pStyle w:val="TableText0"/>
              <w:keepLines/>
              <w:widowControl w:val="0"/>
            </w:pPr>
          </w:p>
        </w:tc>
        <w:tc>
          <w:tcPr>
            <w:tcW w:w="3027" w:type="pct"/>
            <w:tcBorders>
              <w:top w:val="nil"/>
              <w:bottom w:val="nil"/>
            </w:tcBorders>
            <w:vAlign w:val="center"/>
          </w:tcPr>
          <w:p w:rsidR="00606E1E" w:rsidRPr="00606E1E" w:rsidRDefault="00606E1E" w:rsidP="004E500B">
            <w:pPr>
              <w:pStyle w:val="TableText0"/>
              <w:keepLines/>
              <w:widowControl w:val="0"/>
            </w:pPr>
            <w:r w:rsidRPr="00606E1E">
              <w:t>Slamon, DJ et al. Phase III randomized study of ribociclib and fulvestrant in hormone receptor-positive, human epidermal growth factor receptor 2-negative advanced breast cancer: MONALEESA-3.</w:t>
            </w:r>
          </w:p>
        </w:tc>
        <w:tc>
          <w:tcPr>
            <w:tcW w:w="1177" w:type="pct"/>
            <w:tcBorders>
              <w:top w:val="nil"/>
              <w:bottom w:val="nil"/>
            </w:tcBorders>
            <w:vAlign w:val="center"/>
          </w:tcPr>
          <w:p w:rsidR="00606E1E" w:rsidRPr="00606E1E" w:rsidRDefault="00606E1E" w:rsidP="004E500B">
            <w:pPr>
              <w:pStyle w:val="TableText0"/>
              <w:keepLines/>
              <w:widowControl w:val="0"/>
            </w:pPr>
            <w:r w:rsidRPr="00606E1E">
              <w:t>J Clin Oncol. 2018 Aug 20;36(24):2465-72.</w:t>
            </w:r>
          </w:p>
        </w:tc>
      </w:tr>
      <w:tr w:rsidR="00606E1E" w:rsidRPr="00606E1E" w:rsidTr="00D422F9">
        <w:trPr>
          <w:cantSplit/>
        </w:trPr>
        <w:tc>
          <w:tcPr>
            <w:tcW w:w="796" w:type="pct"/>
            <w:vMerge/>
            <w:vAlign w:val="center"/>
          </w:tcPr>
          <w:p w:rsidR="00606E1E" w:rsidRPr="00606E1E" w:rsidRDefault="00606E1E" w:rsidP="004E500B">
            <w:pPr>
              <w:pStyle w:val="TableText0"/>
              <w:keepLines/>
              <w:widowControl w:val="0"/>
            </w:pPr>
          </w:p>
        </w:tc>
        <w:tc>
          <w:tcPr>
            <w:tcW w:w="3027" w:type="pct"/>
            <w:tcBorders>
              <w:top w:val="nil"/>
              <w:bottom w:val="nil"/>
            </w:tcBorders>
            <w:vAlign w:val="center"/>
          </w:tcPr>
          <w:p w:rsidR="00606E1E" w:rsidRPr="00606E1E" w:rsidRDefault="00606E1E" w:rsidP="004E500B">
            <w:pPr>
              <w:pStyle w:val="TableText0"/>
              <w:keepLines/>
              <w:widowControl w:val="0"/>
            </w:pPr>
            <w:r w:rsidRPr="00606E1E">
              <w:t>Slamon, DJ et al. Overall Survival with Ribociclib plus Fulvestrant in Advanced Breast Cancer.</w:t>
            </w:r>
          </w:p>
        </w:tc>
        <w:tc>
          <w:tcPr>
            <w:tcW w:w="1177" w:type="pct"/>
            <w:tcBorders>
              <w:top w:val="nil"/>
            </w:tcBorders>
            <w:vAlign w:val="center"/>
          </w:tcPr>
          <w:p w:rsidR="00606E1E" w:rsidRPr="00606E1E" w:rsidRDefault="00606E1E" w:rsidP="004E500B">
            <w:pPr>
              <w:pStyle w:val="TableText0"/>
              <w:keepLines/>
              <w:widowControl w:val="0"/>
            </w:pPr>
            <w:r w:rsidRPr="00606E1E">
              <w:t>New England Journal of Medicine. 2020 Feb 6;382(6):514-24.</w:t>
            </w:r>
          </w:p>
        </w:tc>
      </w:tr>
      <w:tr w:rsidR="00606E1E" w:rsidRPr="00606E1E" w:rsidTr="00D422F9">
        <w:trPr>
          <w:cantSplit/>
        </w:trPr>
        <w:tc>
          <w:tcPr>
            <w:tcW w:w="796" w:type="pct"/>
            <w:vMerge w:val="restart"/>
            <w:vAlign w:val="center"/>
          </w:tcPr>
          <w:p w:rsidR="00606E1E" w:rsidRPr="00606E1E" w:rsidRDefault="00606E1E" w:rsidP="00243D67">
            <w:pPr>
              <w:pStyle w:val="TableText0"/>
              <w:keepNext w:val="0"/>
              <w:widowControl w:val="0"/>
            </w:pPr>
            <w:r w:rsidRPr="00606E1E">
              <w:t>MONALEESA-2</w:t>
            </w:r>
          </w:p>
        </w:tc>
        <w:tc>
          <w:tcPr>
            <w:tcW w:w="3027" w:type="pct"/>
            <w:tcBorders>
              <w:bottom w:val="nil"/>
            </w:tcBorders>
            <w:vAlign w:val="center"/>
          </w:tcPr>
          <w:p w:rsidR="00606E1E" w:rsidRPr="00606E1E" w:rsidRDefault="00606E1E" w:rsidP="00243D67">
            <w:pPr>
              <w:pStyle w:val="TableText0"/>
              <w:keepNext w:val="0"/>
              <w:widowControl w:val="0"/>
            </w:pPr>
            <w:r w:rsidRPr="00606E1E">
              <w:t>A randomized double-blind, placebo-controlled study of LEE011 in combination with letrozole for the treatment of postmenopausal women with hormone receptor positive, HER2-negative, advanced breast cancer who received no prior therapy for advanced disease.</w:t>
            </w:r>
          </w:p>
        </w:tc>
        <w:tc>
          <w:tcPr>
            <w:tcW w:w="1177" w:type="pct"/>
            <w:tcBorders>
              <w:bottom w:val="nil"/>
            </w:tcBorders>
            <w:vAlign w:val="center"/>
          </w:tcPr>
          <w:p w:rsidR="00606E1E" w:rsidRPr="00606E1E" w:rsidRDefault="00606E1E" w:rsidP="00243D67">
            <w:pPr>
              <w:pStyle w:val="TableText0"/>
              <w:keepNext w:val="0"/>
              <w:widowControl w:val="0"/>
            </w:pPr>
            <w:r w:rsidRPr="00606E1E">
              <w:t>27 July 2016</w:t>
            </w:r>
          </w:p>
          <w:p w:rsidR="00606E1E" w:rsidRPr="00606E1E" w:rsidRDefault="00606E1E" w:rsidP="00243D67">
            <w:pPr>
              <w:pStyle w:val="TableText0"/>
              <w:keepNext w:val="0"/>
              <w:widowControl w:val="0"/>
            </w:pPr>
          </w:p>
        </w:tc>
      </w:tr>
      <w:tr w:rsidR="00606E1E" w:rsidRPr="00606E1E" w:rsidTr="00D422F9">
        <w:trPr>
          <w:cantSplit/>
        </w:trPr>
        <w:tc>
          <w:tcPr>
            <w:tcW w:w="796" w:type="pct"/>
            <w:vMerge/>
            <w:vAlign w:val="center"/>
          </w:tcPr>
          <w:p w:rsidR="00606E1E" w:rsidRPr="00606E1E" w:rsidRDefault="00606E1E" w:rsidP="00243D67">
            <w:pPr>
              <w:pStyle w:val="TableText0"/>
              <w:keepNext w:val="0"/>
              <w:widowControl w:val="0"/>
            </w:pPr>
          </w:p>
        </w:tc>
        <w:tc>
          <w:tcPr>
            <w:tcW w:w="3027" w:type="pct"/>
            <w:tcBorders>
              <w:top w:val="nil"/>
              <w:bottom w:val="nil"/>
            </w:tcBorders>
            <w:vAlign w:val="center"/>
          </w:tcPr>
          <w:p w:rsidR="00606E1E" w:rsidRPr="00606E1E" w:rsidRDefault="00606E1E" w:rsidP="00243D67">
            <w:pPr>
              <w:pStyle w:val="TableText0"/>
              <w:keepNext w:val="0"/>
              <w:widowControl w:val="0"/>
            </w:pPr>
            <w:r w:rsidRPr="00606E1E">
              <w:t>Hortobagyi et al. Ribociclib as First line Therapy for HR-Positive, Advanced Breast Cancer.</w:t>
            </w:r>
          </w:p>
        </w:tc>
        <w:tc>
          <w:tcPr>
            <w:tcW w:w="1177" w:type="pct"/>
            <w:tcBorders>
              <w:top w:val="nil"/>
              <w:bottom w:val="nil"/>
            </w:tcBorders>
          </w:tcPr>
          <w:p w:rsidR="00606E1E" w:rsidRPr="00606E1E" w:rsidRDefault="00606E1E" w:rsidP="00243D67">
            <w:pPr>
              <w:pStyle w:val="TableText0"/>
              <w:keepNext w:val="0"/>
              <w:widowControl w:val="0"/>
            </w:pPr>
            <w:r w:rsidRPr="00606E1E">
              <w:t>NEJM. 2016 Nov 3;375(18):1738-48.</w:t>
            </w:r>
          </w:p>
        </w:tc>
      </w:tr>
      <w:tr w:rsidR="00606E1E" w:rsidRPr="00606E1E" w:rsidTr="00D422F9">
        <w:trPr>
          <w:cantSplit/>
        </w:trPr>
        <w:tc>
          <w:tcPr>
            <w:tcW w:w="796" w:type="pct"/>
            <w:vMerge/>
            <w:vAlign w:val="center"/>
          </w:tcPr>
          <w:p w:rsidR="00606E1E" w:rsidRPr="00606E1E" w:rsidRDefault="00606E1E" w:rsidP="00243D67">
            <w:pPr>
              <w:pStyle w:val="TableText0"/>
              <w:keepNext w:val="0"/>
              <w:widowControl w:val="0"/>
            </w:pPr>
          </w:p>
        </w:tc>
        <w:tc>
          <w:tcPr>
            <w:tcW w:w="3027" w:type="pct"/>
            <w:tcBorders>
              <w:top w:val="nil"/>
              <w:bottom w:val="nil"/>
            </w:tcBorders>
            <w:vAlign w:val="center"/>
          </w:tcPr>
          <w:p w:rsidR="00606E1E" w:rsidRPr="00606E1E" w:rsidRDefault="00606E1E" w:rsidP="00243D67">
            <w:pPr>
              <w:pStyle w:val="TableText0"/>
              <w:keepNext w:val="0"/>
              <w:widowControl w:val="0"/>
            </w:pPr>
            <w:r w:rsidRPr="00606E1E">
              <w:t>Hortobagyi et al. Updated results from MONALEESA-2, a phase III trial of first-line ribociclib plus letrozole versus placebo plus letrozole in hormone receptor-positive, HER2-negative advanced breast cancer.</w:t>
            </w:r>
          </w:p>
        </w:tc>
        <w:tc>
          <w:tcPr>
            <w:tcW w:w="1177" w:type="pct"/>
            <w:tcBorders>
              <w:top w:val="nil"/>
              <w:bottom w:val="nil"/>
            </w:tcBorders>
          </w:tcPr>
          <w:p w:rsidR="00606E1E" w:rsidRPr="00606E1E" w:rsidRDefault="00606E1E" w:rsidP="00243D67">
            <w:pPr>
              <w:pStyle w:val="TableText0"/>
              <w:keepNext w:val="0"/>
              <w:widowControl w:val="0"/>
            </w:pPr>
            <w:r w:rsidRPr="00606E1E">
              <w:t>Annals of Oncology. 2018 Jul 1;29(7):1541-7.</w:t>
            </w:r>
          </w:p>
        </w:tc>
      </w:tr>
      <w:tr w:rsidR="00606E1E" w:rsidRPr="00606E1E" w:rsidTr="00D422F9">
        <w:trPr>
          <w:cantSplit/>
        </w:trPr>
        <w:tc>
          <w:tcPr>
            <w:tcW w:w="796" w:type="pct"/>
            <w:vMerge/>
            <w:vAlign w:val="center"/>
          </w:tcPr>
          <w:p w:rsidR="00606E1E" w:rsidRPr="00606E1E" w:rsidRDefault="00606E1E" w:rsidP="00243D67">
            <w:pPr>
              <w:pStyle w:val="TableText0"/>
              <w:keepNext w:val="0"/>
              <w:widowControl w:val="0"/>
            </w:pPr>
          </w:p>
        </w:tc>
        <w:tc>
          <w:tcPr>
            <w:tcW w:w="3027" w:type="pct"/>
            <w:tcBorders>
              <w:top w:val="nil"/>
              <w:bottom w:val="nil"/>
            </w:tcBorders>
            <w:vAlign w:val="center"/>
          </w:tcPr>
          <w:p w:rsidR="00606E1E" w:rsidRPr="00606E1E" w:rsidRDefault="00606E1E" w:rsidP="00243D67">
            <w:pPr>
              <w:pStyle w:val="TableText0"/>
              <w:keepNext w:val="0"/>
              <w:widowControl w:val="0"/>
            </w:pPr>
            <w:r w:rsidRPr="00606E1E">
              <w:t>O'Shaughnessy et al. Ribociclib plus letrozole versus letrozole alone in patients with de novo HR+, HER2- advanced breast cancer in the randomized MONALEESA-2 trial.</w:t>
            </w:r>
          </w:p>
        </w:tc>
        <w:tc>
          <w:tcPr>
            <w:tcW w:w="1177" w:type="pct"/>
            <w:tcBorders>
              <w:top w:val="nil"/>
              <w:bottom w:val="nil"/>
            </w:tcBorders>
          </w:tcPr>
          <w:p w:rsidR="00606E1E" w:rsidRPr="00606E1E" w:rsidRDefault="00606E1E" w:rsidP="00243D67">
            <w:pPr>
              <w:pStyle w:val="TableText0"/>
              <w:keepNext w:val="0"/>
              <w:widowControl w:val="0"/>
            </w:pPr>
            <w:r w:rsidRPr="00606E1E">
              <w:t>Breast cancer research and treatment. 2018 Feb 1;168(1):127-34.</w:t>
            </w:r>
          </w:p>
        </w:tc>
      </w:tr>
      <w:tr w:rsidR="00606E1E" w:rsidRPr="00606E1E" w:rsidTr="00D422F9">
        <w:trPr>
          <w:cantSplit/>
        </w:trPr>
        <w:tc>
          <w:tcPr>
            <w:tcW w:w="796" w:type="pct"/>
            <w:vMerge/>
            <w:tcBorders>
              <w:bottom w:val="nil"/>
            </w:tcBorders>
            <w:vAlign w:val="center"/>
          </w:tcPr>
          <w:p w:rsidR="00606E1E" w:rsidRPr="00606E1E" w:rsidRDefault="00606E1E" w:rsidP="00243D67">
            <w:pPr>
              <w:pStyle w:val="TableText0"/>
              <w:keepNext w:val="0"/>
              <w:widowControl w:val="0"/>
            </w:pPr>
          </w:p>
        </w:tc>
        <w:tc>
          <w:tcPr>
            <w:tcW w:w="3027" w:type="pct"/>
            <w:tcBorders>
              <w:top w:val="nil"/>
              <w:bottom w:val="nil"/>
            </w:tcBorders>
            <w:vAlign w:val="center"/>
          </w:tcPr>
          <w:p w:rsidR="00606E1E" w:rsidRPr="00606E1E" w:rsidRDefault="00606E1E" w:rsidP="00243D67">
            <w:pPr>
              <w:pStyle w:val="TableText0"/>
              <w:keepNext w:val="0"/>
              <w:widowControl w:val="0"/>
            </w:pPr>
            <w:r w:rsidRPr="00606E1E">
              <w:t>Verma et al. Health-related quality of life of postmenopausal women with hormone receptor-positive, human epidermal growth factor receptor 2-negative advanced breast cancer treated with ribociclib + letrozole: results from MONALEESA-2.</w:t>
            </w:r>
          </w:p>
        </w:tc>
        <w:tc>
          <w:tcPr>
            <w:tcW w:w="1177" w:type="pct"/>
            <w:tcBorders>
              <w:top w:val="nil"/>
              <w:bottom w:val="nil"/>
            </w:tcBorders>
          </w:tcPr>
          <w:p w:rsidR="00606E1E" w:rsidRPr="00606E1E" w:rsidRDefault="00606E1E" w:rsidP="00243D67">
            <w:pPr>
              <w:pStyle w:val="TableText0"/>
              <w:keepNext w:val="0"/>
              <w:widowControl w:val="0"/>
            </w:pPr>
            <w:r w:rsidRPr="00606E1E">
              <w:t>Breast cancer research and treatment. 2018 Aug 1;170(3):535-45.</w:t>
            </w:r>
          </w:p>
        </w:tc>
      </w:tr>
      <w:tr w:rsidR="00606E1E" w:rsidRPr="00606E1E" w:rsidTr="00D422F9">
        <w:trPr>
          <w:cantSplit/>
        </w:trPr>
        <w:tc>
          <w:tcPr>
            <w:tcW w:w="796" w:type="pct"/>
            <w:vMerge w:val="restart"/>
            <w:vAlign w:val="center"/>
          </w:tcPr>
          <w:p w:rsidR="00606E1E" w:rsidRPr="00606E1E" w:rsidRDefault="00606E1E" w:rsidP="00243D67">
            <w:pPr>
              <w:pStyle w:val="TableText0"/>
              <w:keepNext w:val="0"/>
              <w:widowControl w:val="0"/>
            </w:pPr>
            <w:r w:rsidRPr="00606E1E">
              <w:t>BOLERO 2</w:t>
            </w:r>
          </w:p>
          <w:p w:rsidR="00606E1E" w:rsidRPr="00606E1E" w:rsidRDefault="00606E1E" w:rsidP="00243D67">
            <w:pPr>
              <w:pStyle w:val="TableText0"/>
              <w:keepNext w:val="0"/>
              <w:widowControl w:val="0"/>
            </w:pPr>
          </w:p>
        </w:tc>
        <w:tc>
          <w:tcPr>
            <w:tcW w:w="3027" w:type="pct"/>
            <w:tcBorders>
              <w:bottom w:val="nil"/>
            </w:tcBorders>
            <w:vAlign w:val="center"/>
          </w:tcPr>
          <w:p w:rsidR="00606E1E" w:rsidRPr="00606E1E" w:rsidRDefault="00606E1E" w:rsidP="00243D67">
            <w:pPr>
              <w:pStyle w:val="TableText0"/>
              <w:keepNext w:val="0"/>
              <w:widowControl w:val="0"/>
            </w:pPr>
            <w:r w:rsidRPr="00606E1E">
              <w:t>A randomized double-blind, placebo-controlled study of everolimus in combination with exemestane in the treatment of postmenopausal women with estrogen receptor positive locally advanced or metastatic breast cancer who are refractory to letrozole or anastrozole.</w:t>
            </w:r>
          </w:p>
        </w:tc>
        <w:tc>
          <w:tcPr>
            <w:tcW w:w="1177" w:type="pct"/>
            <w:tcBorders>
              <w:bottom w:val="nil"/>
            </w:tcBorders>
          </w:tcPr>
          <w:p w:rsidR="00606E1E" w:rsidRPr="00606E1E" w:rsidRDefault="00606E1E" w:rsidP="00243D67">
            <w:pPr>
              <w:pStyle w:val="TableText0"/>
              <w:keepNext w:val="0"/>
              <w:widowControl w:val="0"/>
            </w:pPr>
            <w:r w:rsidRPr="00606E1E">
              <w:t>Sep 2011</w:t>
            </w:r>
          </w:p>
          <w:p w:rsidR="00606E1E" w:rsidRPr="00606E1E" w:rsidRDefault="00606E1E" w:rsidP="00243D67">
            <w:pPr>
              <w:pStyle w:val="TableText0"/>
              <w:keepNext w:val="0"/>
              <w:widowControl w:val="0"/>
            </w:pPr>
          </w:p>
        </w:tc>
      </w:tr>
      <w:tr w:rsidR="00606E1E" w:rsidRPr="00606E1E" w:rsidTr="00D422F9">
        <w:trPr>
          <w:cantSplit/>
        </w:trPr>
        <w:tc>
          <w:tcPr>
            <w:tcW w:w="796" w:type="pct"/>
            <w:vMerge/>
            <w:vAlign w:val="center"/>
          </w:tcPr>
          <w:p w:rsidR="00606E1E" w:rsidRPr="00606E1E" w:rsidRDefault="00606E1E" w:rsidP="00243D67">
            <w:pPr>
              <w:pStyle w:val="TableText0"/>
              <w:keepNext w:val="0"/>
              <w:widowControl w:val="0"/>
            </w:pPr>
          </w:p>
        </w:tc>
        <w:tc>
          <w:tcPr>
            <w:tcW w:w="3027" w:type="pct"/>
            <w:tcBorders>
              <w:top w:val="nil"/>
              <w:bottom w:val="nil"/>
            </w:tcBorders>
            <w:vAlign w:val="center"/>
          </w:tcPr>
          <w:p w:rsidR="00606E1E" w:rsidRPr="00606E1E" w:rsidRDefault="00606E1E" w:rsidP="00243D67">
            <w:pPr>
              <w:pStyle w:val="TableText0"/>
              <w:keepNext w:val="0"/>
              <w:widowControl w:val="0"/>
            </w:pPr>
            <w:r w:rsidRPr="00606E1E">
              <w:t>Baselga et al. "Everolimus in postmenopausal hormone-receptor-positive advanced breast cancer." New England Journal of Medicine 366(6): 520-529.</w:t>
            </w:r>
          </w:p>
        </w:tc>
        <w:tc>
          <w:tcPr>
            <w:tcW w:w="1177" w:type="pct"/>
            <w:tcBorders>
              <w:top w:val="nil"/>
              <w:bottom w:val="nil"/>
            </w:tcBorders>
          </w:tcPr>
          <w:p w:rsidR="00606E1E" w:rsidRPr="00606E1E" w:rsidRDefault="00606E1E" w:rsidP="00243D67">
            <w:pPr>
              <w:pStyle w:val="TableText0"/>
              <w:keepNext w:val="0"/>
              <w:widowControl w:val="0"/>
            </w:pPr>
            <w:r w:rsidRPr="00606E1E">
              <w:t>NEJM. 2012 Feb 9;366(6):520-9.</w:t>
            </w:r>
          </w:p>
        </w:tc>
      </w:tr>
      <w:tr w:rsidR="00606E1E" w:rsidRPr="00606E1E" w:rsidTr="00D422F9">
        <w:trPr>
          <w:cantSplit/>
        </w:trPr>
        <w:tc>
          <w:tcPr>
            <w:tcW w:w="796" w:type="pct"/>
            <w:vMerge/>
            <w:vAlign w:val="center"/>
          </w:tcPr>
          <w:p w:rsidR="00606E1E" w:rsidRPr="00606E1E" w:rsidRDefault="00606E1E" w:rsidP="00243D67">
            <w:pPr>
              <w:pStyle w:val="TableText0"/>
              <w:keepNext w:val="0"/>
              <w:widowControl w:val="0"/>
            </w:pPr>
          </w:p>
        </w:tc>
        <w:tc>
          <w:tcPr>
            <w:tcW w:w="3027" w:type="pct"/>
            <w:tcBorders>
              <w:top w:val="nil"/>
              <w:bottom w:val="nil"/>
            </w:tcBorders>
            <w:vAlign w:val="center"/>
          </w:tcPr>
          <w:p w:rsidR="00606E1E" w:rsidRPr="00606E1E" w:rsidRDefault="00606E1E" w:rsidP="00243D67">
            <w:pPr>
              <w:pStyle w:val="TableText0"/>
              <w:keepNext w:val="0"/>
              <w:widowControl w:val="0"/>
            </w:pPr>
            <w:r w:rsidRPr="00606E1E">
              <w:t>Beck et al. Everolimus plus exemestane as first-line therapy in HR+, HER2- advanced breast cancer in BOLERO-2.</w:t>
            </w:r>
          </w:p>
        </w:tc>
        <w:tc>
          <w:tcPr>
            <w:tcW w:w="1177" w:type="pct"/>
            <w:tcBorders>
              <w:top w:val="nil"/>
              <w:bottom w:val="nil"/>
            </w:tcBorders>
          </w:tcPr>
          <w:p w:rsidR="00606E1E" w:rsidRPr="00606E1E" w:rsidRDefault="00606E1E" w:rsidP="00243D67">
            <w:pPr>
              <w:pStyle w:val="TableText0"/>
              <w:keepNext w:val="0"/>
              <w:widowControl w:val="0"/>
            </w:pPr>
            <w:r w:rsidRPr="00606E1E">
              <w:t>Breast cancer research and treatment. 2014 Feb 1;143(3):459-67.</w:t>
            </w:r>
          </w:p>
        </w:tc>
      </w:tr>
      <w:tr w:rsidR="00606E1E" w:rsidRPr="00606E1E" w:rsidTr="00D422F9">
        <w:trPr>
          <w:cantSplit/>
        </w:trPr>
        <w:tc>
          <w:tcPr>
            <w:tcW w:w="796" w:type="pct"/>
            <w:vMerge/>
            <w:vAlign w:val="center"/>
          </w:tcPr>
          <w:p w:rsidR="00606E1E" w:rsidRPr="00606E1E" w:rsidRDefault="00606E1E" w:rsidP="00243D67">
            <w:pPr>
              <w:pStyle w:val="TableText0"/>
              <w:keepNext w:val="0"/>
              <w:widowControl w:val="0"/>
            </w:pPr>
          </w:p>
        </w:tc>
        <w:tc>
          <w:tcPr>
            <w:tcW w:w="3027" w:type="pct"/>
            <w:tcBorders>
              <w:top w:val="nil"/>
              <w:bottom w:val="nil"/>
            </w:tcBorders>
            <w:vAlign w:val="center"/>
          </w:tcPr>
          <w:p w:rsidR="00606E1E" w:rsidRPr="00606E1E" w:rsidRDefault="00606E1E" w:rsidP="00243D67">
            <w:pPr>
              <w:pStyle w:val="TableText0"/>
              <w:keepNext w:val="0"/>
              <w:widowControl w:val="0"/>
            </w:pPr>
            <w:r w:rsidRPr="00606E1E">
              <w:t>Campone et al. Health-related quality of life and disease symptoms in postmenopausal women with hr+, her2- advanced breast cancer treated with everolimus plus exemestane versus exemestane monotherapy.</w:t>
            </w:r>
          </w:p>
        </w:tc>
        <w:tc>
          <w:tcPr>
            <w:tcW w:w="1177" w:type="pct"/>
            <w:tcBorders>
              <w:top w:val="nil"/>
              <w:bottom w:val="nil"/>
            </w:tcBorders>
          </w:tcPr>
          <w:p w:rsidR="00606E1E" w:rsidRPr="00606E1E" w:rsidRDefault="00606E1E" w:rsidP="00243D67">
            <w:pPr>
              <w:pStyle w:val="TableText0"/>
              <w:keepNext w:val="0"/>
              <w:widowControl w:val="0"/>
            </w:pPr>
            <w:r w:rsidRPr="00606E1E">
              <w:t>Current medical research and opinion. 2013 Nov 1;29(11):1463-73.</w:t>
            </w:r>
          </w:p>
        </w:tc>
      </w:tr>
      <w:tr w:rsidR="00606E1E" w:rsidRPr="00606E1E" w:rsidTr="00D422F9">
        <w:trPr>
          <w:cantSplit/>
        </w:trPr>
        <w:tc>
          <w:tcPr>
            <w:tcW w:w="796" w:type="pct"/>
            <w:vMerge/>
            <w:vAlign w:val="center"/>
          </w:tcPr>
          <w:p w:rsidR="00606E1E" w:rsidRPr="00606E1E" w:rsidRDefault="00606E1E" w:rsidP="00243D67">
            <w:pPr>
              <w:pStyle w:val="TableText0"/>
              <w:keepNext w:val="0"/>
              <w:widowControl w:val="0"/>
            </w:pPr>
          </w:p>
        </w:tc>
        <w:tc>
          <w:tcPr>
            <w:tcW w:w="3027" w:type="pct"/>
            <w:tcBorders>
              <w:top w:val="nil"/>
              <w:bottom w:val="nil"/>
            </w:tcBorders>
            <w:vAlign w:val="center"/>
          </w:tcPr>
          <w:p w:rsidR="00606E1E" w:rsidRPr="00606E1E" w:rsidRDefault="00606E1E" w:rsidP="00243D67">
            <w:pPr>
              <w:pStyle w:val="TableText0"/>
              <w:keepNext w:val="0"/>
              <w:widowControl w:val="0"/>
            </w:pPr>
            <w:r w:rsidRPr="00606E1E">
              <w:t>Piccart et al. Everolimus plus exemestane for hormone receptor- positive, human epidermal growth factor receptor-2-negative advanced breast cancer: Overall survival results from BOLERO-2.</w:t>
            </w:r>
          </w:p>
        </w:tc>
        <w:tc>
          <w:tcPr>
            <w:tcW w:w="1177" w:type="pct"/>
            <w:tcBorders>
              <w:top w:val="nil"/>
              <w:bottom w:val="nil"/>
            </w:tcBorders>
          </w:tcPr>
          <w:p w:rsidR="00606E1E" w:rsidRPr="00606E1E" w:rsidRDefault="00606E1E" w:rsidP="00243D67">
            <w:pPr>
              <w:pStyle w:val="TableText0"/>
              <w:keepNext w:val="0"/>
              <w:widowControl w:val="0"/>
            </w:pPr>
            <w:r w:rsidRPr="00606E1E">
              <w:t>Annals of oncology. 2014 Dec 1;25(12):2357-62.</w:t>
            </w:r>
          </w:p>
        </w:tc>
      </w:tr>
      <w:tr w:rsidR="00606E1E" w:rsidRPr="00606E1E" w:rsidTr="00D422F9">
        <w:trPr>
          <w:cantSplit/>
          <w:trHeight w:val="863"/>
        </w:trPr>
        <w:tc>
          <w:tcPr>
            <w:tcW w:w="796" w:type="pct"/>
            <w:vMerge/>
            <w:vAlign w:val="center"/>
          </w:tcPr>
          <w:p w:rsidR="00606E1E" w:rsidRPr="00606E1E" w:rsidRDefault="00606E1E" w:rsidP="00243D67">
            <w:pPr>
              <w:pStyle w:val="TableText0"/>
              <w:keepNext w:val="0"/>
              <w:widowControl w:val="0"/>
            </w:pPr>
          </w:p>
        </w:tc>
        <w:tc>
          <w:tcPr>
            <w:tcW w:w="3027" w:type="pct"/>
            <w:tcBorders>
              <w:top w:val="nil"/>
            </w:tcBorders>
            <w:vAlign w:val="center"/>
          </w:tcPr>
          <w:p w:rsidR="00606E1E" w:rsidRPr="00606E1E" w:rsidRDefault="00606E1E" w:rsidP="00243D67">
            <w:pPr>
              <w:pStyle w:val="TableText0"/>
              <w:keepNext w:val="0"/>
              <w:widowControl w:val="0"/>
            </w:pPr>
            <w:r w:rsidRPr="00606E1E">
              <w:t>Yardley et al. (2013). Everolimus plus exemestane in postmenopausal patients with HR+ breast cancer: BOLERO-2 final progression-free survival analysis.</w:t>
            </w:r>
          </w:p>
        </w:tc>
        <w:tc>
          <w:tcPr>
            <w:tcW w:w="1177" w:type="pct"/>
            <w:tcBorders>
              <w:top w:val="nil"/>
            </w:tcBorders>
          </w:tcPr>
          <w:p w:rsidR="00606E1E" w:rsidRPr="00606E1E" w:rsidRDefault="00606E1E" w:rsidP="00243D67">
            <w:pPr>
              <w:pStyle w:val="TableText0"/>
              <w:keepNext w:val="0"/>
              <w:widowControl w:val="0"/>
            </w:pPr>
            <w:r w:rsidRPr="00606E1E">
              <w:t>Advances in therapy. 2013 Oct 1;30(10):870-84.</w:t>
            </w:r>
          </w:p>
        </w:tc>
      </w:tr>
    </w:tbl>
    <w:bookmarkEnd w:id="22"/>
    <w:p w:rsidR="00606E1E" w:rsidRPr="00606E1E" w:rsidRDefault="00606E1E" w:rsidP="00243D67">
      <w:pPr>
        <w:pStyle w:val="TableFigureFooter"/>
        <w:widowControl w:val="0"/>
      </w:pPr>
      <w:r w:rsidRPr="00606E1E">
        <w:t>CSR= clinical study report; HER2-= human epidermal growth factor receptor-2 negative; HR+= hormone receptor-positive; mg= milligrams.</w:t>
      </w:r>
    </w:p>
    <w:p w:rsidR="00606E1E" w:rsidRPr="00606E1E" w:rsidRDefault="00606E1E" w:rsidP="00243D67">
      <w:pPr>
        <w:pStyle w:val="TableFigureFooter"/>
        <w:widowControl w:val="0"/>
      </w:pPr>
      <w:r w:rsidRPr="00606E1E">
        <w:t>Source: Table 2-3, pp73-75 of the submission.</w:t>
      </w:r>
    </w:p>
    <w:p w:rsidR="004E500B" w:rsidRPr="004E500B" w:rsidRDefault="00DC05DB" w:rsidP="002E4F02">
      <w:pPr>
        <w:pStyle w:val="3-BodyText"/>
        <w:rPr>
          <w:color w:val="000000" w:themeColor="text1"/>
        </w:rPr>
      </w:pPr>
      <w:r w:rsidRPr="00B02907">
        <w:t>For each treatment setting (</w:t>
      </w:r>
      <w:r w:rsidR="00442251" w:rsidRPr="00B02907">
        <w:t>first</w:t>
      </w:r>
      <w:r w:rsidR="00B16647" w:rsidRPr="00B02907">
        <w:t>-</w:t>
      </w:r>
      <w:r w:rsidR="00442251" w:rsidRPr="00B02907">
        <w:t xml:space="preserve">line </w:t>
      </w:r>
      <w:r w:rsidRPr="00B02907">
        <w:t xml:space="preserve">and </w:t>
      </w:r>
      <w:r w:rsidR="00B16647" w:rsidRPr="00B02907">
        <w:t>second/</w:t>
      </w:r>
      <w:r w:rsidRPr="00B02907">
        <w:t>subsequent</w:t>
      </w:r>
      <w:r w:rsidR="00B16647" w:rsidRPr="00B02907">
        <w:t>-line</w:t>
      </w:r>
      <w:r w:rsidRPr="00B02907">
        <w:t>)</w:t>
      </w:r>
      <w:r>
        <w:t xml:space="preserve"> t</w:t>
      </w:r>
      <w:r w:rsidR="004470A0">
        <w:t>wo types of indirect treatment comparisons were presented in the submission</w:t>
      </w:r>
      <w:r w:rsidR="004E500B">
        <w:t>:</w:t>
      </w:r>
      <w:r w:rsidR="004470A0">
        <w:t xml:space="preserve"> </w:t>
      </w:r>
    </w:p>
    <w:p w:rsidR="00DC05DB" w:rsidRPr="00DC05DB" w:rsidRDefault="004470A0" w:rsidP="002D3084">
      <w:pPr>
        <w:pStyle w:val="ListParagraph"/>
        <w:ind w:left="1134"/>
        <w:rPr>
          <w:color w:val="000000" w:themeColor="text1"/>
        </w:rPr>
      </w:pPr>
      <w:r>
        <w:t>Effectiveness Analysis 2</w:t>
      </w:r>
      <w:r w:rsidR="004E500B">
        <w:t>, a</w:t>
      </w:r>
      <w:r w:rsidR="00A322B9">
        <w:t>n unanchored</w:t>
      </w:r>
      <w:r w:rsidR="004E500B">
        <w:t xml:space="preserve"> </w:t>
      </w:r>
      <w:r w:rsidR="004E500B" w:rsidRPr="004E500B">
        <w:t>MAIC</w:t>
      </w:r>
      <w:r w:rsidR="004E500B">
        <w:t>, which was</w:t>
      </w:r>
      <w:r>
        <w:t xml:space="preserve"> used as the </w:t>
      </w:r>
      <w:r w:rsidR="008C3822">
        <w:t>basis for the clinical claims</w:t>
      </w:r>
      <w:r w:rsidR="004E500B">
        <w:t xml:space="preserve"> (and was used in the economic model for the second-line setting</w:t>
      </w:r>
      <w:r>
        <w:t>)</w:t>
      </w:r>
      <w:r w:rsidR="00DC05DB">
        <w:rPr>
          <w:snapToGrid/>
          <w:color w:val="000000" w:themeColor="text1"/>
        </w:rPr>
        <w:t>; and</w:t>
      </w:r>
      <w:r w:rsidR="00F06F63" w:rsidRPr="00F06F63">
        <w:rPr>
          <w:snapToGrid/>
          <w:color w:val="000000" w:themeColor="text1"/>
        </w:rPr>
        <w:t xml:space="preserve"> </w:t>
      </w:r>
    </w:p>
    <w:p w:rsidR="009D197B" w:rsidRDefault="00DC05DB" w:rsidP="002D3084">
      <w:pPr>
        <w:pStyle w:val="ListParagraph"/>
        <w:ind w:left="1134"/>
      </w:pPr>
      <w:r>
        <w:t xml:space="preserve">Effectiveness Analysis 1, a </w:t>
      </w:r>
      <w:r w:rsidR="00924E40">
        <w:t xml:space="preserve">multiple-stepwise </w:t>
      </w:r>
      <w:r>
        <w:t>indirect treatment comparison, which was used as a supportive analysis</w:t>
      </w:r>
      <w:r w:rsidRPr="001142ED">
        <w:t xml:space="preserve">. </w:t>
      </w:r>
    </w:p>
    <w:p w:rsidR="004E500B" w:rsidRPr="00B02907" w:rsidRDefault="00BE2CB8" w:rsidP="0094161B">
      <w:pPr>
        <w:pStyle w:val="3-BodyText"/>
        <w:rPr>
          <w:color w:val="000000" w:themeColor="text1"/>
        </w:rPr>
      </w:pPr>
      <w:r w:rsidRPr="00B02907">
        <w:rPr>
          <w:snapToGrid/>
          <w:color w:val="000000" w:themeColor="text1"/>
        </w:rPr>
        <w:t xml:space="preserve">The multiple-stepwise indirect treatment analyses presented required multiple linking studies and there were significant differences between the populations in these studies that would violate the assumptions required for such a comparison. There was heterogeneity across the trials in terms of HER2 status, the definition of HR positivity, World Health Organisation Eastern Cooperative Oncology Group (ECOG) performance status and prior treatments, and as such the ESC considered that </w:t>
      </w:r>
      <w:r w:rsidR="00E73373">
        <w:rPr>
          <w:snapToGrid/>
          <w:color w:val="000000" w:themeColor="text1"/>
        </w:rPr>
        <w:t>Effectiveness A</w:t>
      </w:r>
      <w:r w:rsidRPr="00B02907">
        <w:rPr>
          <w:snapToGrid/>
          <w:color w:val="000000" w:themeColor="text1"/>
        </w:rPr>
        <w:t xml:space="preserve">nalysis 1 was less informative. The submission did not use </w:t>
      </w:r>
      <w:r w:rsidR="00E73373">
        <w:t xml:space="preserve">Effectiveness Analysis 1 </w:t>
      </w:r>
      <w:r w:rsidRPr="00B02907">
        <w:rPr>
          <w:snapToGrid/>
          <w:color w:val="000000" w:themeColor="text1"/>
        </w:rPr>
        <w:t xml:space="preserve">as the basis for the clinical claims or economic </w:t>
      </w:r>
      <w:r w:rsidR="00B16647" w:rsidRPr="00B02907">
        <w:rPr>
          <w:snapToGrid/>
          <w:color w:val="000000" w:themeColor="text1"/>
        </w:rPr>
        <w:t>analyses</w:t>
      </w:r>
      <w:r w:rsidR="008528AD">
        <w:rPr>
          <w:snapToGrid/>
          <w:color w:val="000000" w:themeColor="text1"/>
        </w:rPr>
        <w:t xml:space="preserve"> and </w:t>
      </w:r>
      <w:r w:rsidR="00E81292">
        <w:rPr>
          <w:snapToGrid/>
          <w:color w:val="000000" w:themeColor="text1"/>
        </w:rPr>
        <w:t>results of th</w:t>
      </w:r>
      <w:r w:rsidR="00E73373">
        <w:rPr>
          <w:snapToGrid/>
          <w:color w:val="000000" w:themeColor="text1"/>
        </w:rPr>
        <w:t>is</w:t>
      </w:r>
      <w:r w:rsidR="00E81292">
        <w:rPr>
          <w:snapToGrid/>
          <w:color w:val="000000" w:themeColor="text1"/>
        </w:rPr>
        <w:t xml:space="preserve"> analys</w:t>
      </w:r>
      <w:r w:rsidR="00E73373">
        <w:rPr>
          <w:snapToGrid/>
          <w:color w:val="000000" w:themeColor="text1"/>
        </w:rPr>
        <w:t>i</w:t>
      </w:r>
      <w:r w:rsidR="00E81292">
        <w:rPr>
          <w:snapToGrid/>
          <w:color w:val="000000" w:themeColor="text1"/>
        </w:rPr>
        <w:t xml:space="preserve">s </w:t>
      </w:r>
      <w:r w:rsidRPr="00B02907">
        <w:rPr>
          <w:snapToGrid/>
          <w:color w:val="000000" w:themeColor="text1"/>
        </w:rPr>
        <w:t xml:space="preserve">are not presented </w:t>
      </w:r>
      <w:r w:rsidR="008528AD">
        <w:rPr>
          <w:snapToGrid/>
          <w:color w:val="000000" w:themeColor="text1"/>
        </w:rPr>
        <w:t>herein</w:t>
      </w:r>
      <w:r w:rsidRPr="00B02907">
        <w:rPr>
          <w:snapToGrid/>
          <w:color w:val="000000" w:themeColor="text1"/>
        </w:rPr>
        <w:t>.</w:t>
      </w:r>
    </w:p>
    <w:p w:rsidR="00862502" w:rsidRPr="00606E1E" w:rsidRDefault="003E64C6" w:rsidP="00651387">
      <w:pPr>
        <w:pStyle w:val="3-BodyText"/>
      </w:pPr>
      <w:r>
        <w:rPr>
          <w:snapToGrid/>
        </w:rPr>
        <w:t xml:space="preserve">In the </w:t>
      </w:r>
      <w:r w:rsidRPr="00196BBD">
        <w:rPr>
          <w:snapToGrid/>
        </w:rPr>
        <w:t>first-line treatment setting, the submission presented a</w:t>
      </w:r>
      <w:r w:rsidR="00041335" w:rsidRPr="00196BBD">
        <w:rPr>
          <w:snapToGrid/>
        </w:rPr>
        <w:t>n</w:t>
      </w:r>
      <w:r w:rsidRPr="00196BBD">
        <w:rPr>
          <w:snapToGrid/>
        </w:rPr>
        <w:t xml:space="preserve"> </w:t>
      </w:r>
      <w:r w:rsidR="00041335" w:rsidRPr="00196BBD">
        <w:rPr>
          <w:snapToGrid/>
        </w:rPr>
        <w:t xml:space="preserve">unanchored </w:t>
      </w:r>
      <w:r w:rsidR="000478C8" w:rsidRPr="00196BBD">
        <w:rPr>
          <w:snapToGrid/>
        </w:rPr>
        <w:t xml:space="preserve">MAIC </w:t>
      </w:r>
      <w:r w:rsidR="00F06F63" w:rsidRPr="00196BBD">
        <w:rPr>
          <w:snapToGrid/>
        </w:rPr>
        <w:t xml:space="preserve">between the RIBO+FULV arm of MONALEESA-3 </w:t>
      </w:r>
      <w:r w:rsidR="00E16D65" w:rsidRPr="00196BBD">
        <w:rPr>
          <w:snapToGrid/>
        </w:rPr>
        <w:t>(</w:t>
      </w:r>
      <w:r w:rsidR="00651387" w:rsidRPr="00196BBD">
        <w:rPr>
          <w:snapToGrid/>
        </w:rPr>
        <w:t>subgroup of patients with no prior treatment in the advanced/metastatic setting excluding those who were resistant to (neo)adjuvant NSAI</w:t>
      </w:r>
      <w:r w:rsidR="00E16D65" w:rsidRPr="00196BBD">
        <w:rPr>
          <w:snapToGrid/>
        </w:rPr>
        <w:t xml:space="preserve">) </w:t>
      </w:r>
      <w:r w:rsidR="00F06F63" w:rsidRPr="00196BBD">
        <w:rPr>
          <w:snapToGrid/>
        </w:rPr>
        <w:t>and the RIBO+NSAI arm of MONALEESA-2. For the second</w:t>
      </w:r>
      <w:r w:rsidRPr="00196BBD">
        <w:rPr>
          <w:snapToGrid/>
        </w:rPr>
        <w:t>-</w:t>
      </w:r>
      <w:r w:rsidR="00F06F63" w:rsidRPr="00196BBD">
        <w:rPr>
          <w:snapToGrid/>
        </w:rPr>
        <w:t xml:space="preserve">line treatment setting, </w:t>
      </w:r>
      <w:r w:rsidR="00344E94" w:rsidRPr="00196BBD">
        <w:rPr>
          <w:snapToGrid/>
        </w:rPr>
        <w:t>the submission presented a</w:t>
      </w:r>
      <w:r w:rsidR="00442251" w:rsidRPr="00196BBD">
        <w:rPr>
          <w:snapToGrid/>
        </w:rPr>
        <w:t>n unanchored</w:t>
      </w:r>
      <w:r w:rsidR="00344E94" w:rsidRPr="00A17746">
        <w:rPr>
          <w:snapToGrid/>
        </w:rPr>
        <w:t xml:space="preserve"> MAIC </w:t>
      </w:r>
      <w:r w:rsidR="00C84665" w:rsidRPr="00A17746">
        <w:rPr>
          <w:snapToGrid/>
        </w:rPr>
        <w:t xml:space="preserve">between a subgroup of </w:t>
      </w:r>
      <w:r w:rsidR="00F06F63" w:rsidRPr="00A17746">
        <w:rPr>
          <w:snapToGrid/>
        </w:rPr>
        <w:t xml:space="preserve">the RIBO+FULV arm of MONALEESA-3 and </w:t>
      </w:r>
      <w:r w:rsidR="00C84665" w:rsidRPr="00A17746">
        <w:rPr>
          <w:snapToGrid/>
        </w:rPr>
        <w:t xml:space="preserve">a subgroup of </w:t>
      </w:r>
      <w:r w:rsidR="00F06F63" w:rsidRPr="00A17746">
        <w:rPr>
          <w:snapToGrid/>
        </w:rPr>
        <w:t>the EVE+EXE arm of BOLERO</w:t>
      </w:r>
      <w:r w:rsidR="00F06F63" w:rsidRPr="00F06F63">
        <w:rPr>
          <w:snapToGrid/>
        </w:rPr>
        <w:t>-2</w:t>
      </w:r>
      <w:r w:rsidR="00A17746">
        <w:rPr>
          <w:snapToGrid/>
        </w:rPr>
        <w:t xml:space="preserve"> </w:t>
      </w:r>
      <w:r w:rsidR="00A17746" w:rsidRPr="00A17746">
        <w:rPr>
          <w:snapToGrid/>
        </w:rPr>
        <w:t>(both were subgroup</w:t>
      </w:r>
      <w:r w:rsidR="00A17746">
        <w:rPr>
          <w:snapToGrid/>
        </w:rPr>
        <w:t>s</w:t>
      </w:r>
      <w:r w:rsidR="00A17746" w:rsidRPr="00A17746">
        <w:rPr>
          <w:snapToGrid/>
        </w:rPr>
        <w:t xml:space="preserve"> of </w:t>
      </w:r>
      <w:r w:rsidR="00A17746">
        <w:rPr>
          <w:snapToGrid/>
        </w:rPr>
        <w:t xml:space="preserve">second-line </w:t>
      </w:r>
      <w:r w:rsidR="00A17746" w:rsidRPr="00A17746">
        <w:rPr>
          <w:snapToGrid/>
        </w:rPr>
        <w:t>patients</w:t>
      </w:r>
      <w:r w:rsidR="00A17746" w:rsidRPr="00A17746">
        <w:rPr>
          <w:snapToGrid/>
          <w:color w:val="000000" w:themeColor="text1"/>
        </w:rPr>
        <w:t>)</w:t>
      </w:r>
      <w:r w:rsidR="00344E94">
        <w:rPr>
          <w:snapToGrid/>
        </w:rPr>
        <w:t>.</w:t>
      </w:r>
      <w:r w:rsidR="0072530F">
        <w:rPr>
          <w:snapToGrid/>
        </w:rPr>
        <w:t xml:space="preserve"> </w:t>
      </w:r>
    </w:p>
    <w:p w:rsidR="0079596C" w:rsidRDefault="00442251" w:rsidP="00442251">
      <w:pPr>
        <w:pStyle w:val="3-BodyText"/>
      </w:pPr>
      <w:r w:rsidRPr="00442251">
        <w:t>The key features of the trials used in the MAICs are summarised in Table 3.</w:t>
      </w:r>
    </w:p>
    <w:p w:rsidR="008224BC" w:rsidRDefault="008224BC">
      <w:pPr>
        <w:jc w:val="left"/>
        <w:rPr>
          <w:rStyle w:val="CommentReference"/>
        </w:rPr>
      </w:pPr>
      <w:r>
        <w:rPr>
          <w:rStyle w:val="CommentReference"/>
        </w:rPr>
        <w:br w:type="page"/>
      </w:r>
    </w:p>
    <w:p w:rsidR="005A7D71" w:rsidRPr="005A7D71" w:rsidRDefault="005A7D71" w:rsidP="00326854">
      <w:pPr>
        <w:keepNext/>
        <w:keepLines/>
        <w:rPr>
          <w:rStyle w:val="CommentReference"/>
        </w:rPr>
      </w:pPr>
      <w:r w:rsidRPr="005A7D71">
        <w:rPr>
          <w:rStyle w:val="CommentReference"/>
        </w:rPr>
        <w:t xml:space="preserve">Table </w:t>
      </w:r>
      <w:r w:rsidR="007B56CF">
        <w:rPr>
          <w:rStyle w:val="CommentReference"/>
        </w:rPr>
        <w:t>3</w:t>
      </w:r>
      <w:r w:rsidRPr="005A7D71">
        <w:rPr>
          <w:rStyle w:val="CommentReference"/>
        </w:rPr>
        <w:t xml:space="preserve">: Key features of the included evidence- </w:t>
      </w:r>
      <w:r w:rsidR="00344E94">
        <w:rPr>
          <w:rStyle w:val="CommentReference"/>
        </w:rPr>
        <w:t>MAICs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9"/>
        <w:gridCol w:w="1378"/>
        <w:gridCol w:w="1558"/>
        <w:gridCol w:w="711"/>
        <w:gridCol w:w="3118"/>
        <w:gridCol w:w="943"/>
      </w:tblGrid>
      <w:tr w:rsidR="00344E94" w:rsidRPr="005A7D71" w:rsidTr="0094161B">
        <w:trPr>
          <w:tblHeader/>
        </w:trPr>
        <w:tc>
          <w:tcPr>
            <w:tcW w:w="726" w:type="pct"/>
            <w:shd w:val="clear" w:color="auto" w:fill="auto"/>
            <w:vAlign w:val="center"/>
          </w:tcPr>
          <w:p w:rsidR="00344E94" w:rsidRPr="005A7D71" w:rsidRDefault="00344E94" w:rsidP="00326854">
            <w:pPr>
              <w:keepNext/>
              <w:keepLines/>
              <w:jc w:val="left"/>
              <w:rPr>
                <w:rFonts w:ascii="Arial Narrow" w:hAnsi="Arial Narrow"/>
                <w:b/>
                <w:sz w:val="20"/>
                <w:szCs w:val="20"/>
                <w:lang w:val="en-US"/>
              </w:rPr>
            </w:pPr>
            <w:r w:rsidRPr="005A7D71">
              <w:rPr>
                <w:rFonts w:ascii="Arial Narrow" w:hAnsi="Arial Narrow"/>
                <w:b/>
                <w:sz w:val="20"/>
                <w:szCs w:val="20"/>
                <w:lang w:val="en-US"/>
              </w:rPr>
              <w:t>Trial</w:t>
            </w:r>
          </w:p>
        </w:tc>
        <w:tc>
          <w:tcPr>
            <w:tcW w:w="764" w:type="pct"/>
            <w:shd w:val="clear" w:color="auto" w:fill="auto"/>
            <w:vAlign w:val="center"/>
          </w:tcPr>
          <w:p w:rsidR="00344E94" w:rsidRPr="005A7D71" w:rsidRDefault="00344E94" w:rsidP="00326854">
            <w:pPr>
              <w:keepNext/>
              <w:keepLines/>
              <w:jc w:val="center"/>
              <w:rPr>
                <w:rFonts w:ascii="Arial Narrow" w:hAnsi="Arial Narrow"/>
                <w:b/>
                <w:sz w:val="20"/>
                <w:szCs w:val="20"/>
                <w:lang w:val="en-US"/>
              </w:rPr>
            </w:pPr>
            <w:r w:rsidRPr="005A7D71">
              <w:rPr>
                <w:rFonts w:ascii="Arial Narrow" w:hAnsi="Arial Narrow"/>
                <w:b/>
                <w:sz w:val="20"/>
                <w:szCs w:val="20"/>
                <w:lang w:val="en-US"/>
              </w:rPr>
              <w:t>N</w:t>
            </w:r>
          </w:p>
        </w:tc>
        <w:tc>
          <w:tcPr>
            <w:tcW w:w="864" w:type="pct"/>
            <w:shd w:val="clear" w:color="auto" w:fill="auto"/>
            <w:vAlign w:val="center"/>
          </w:tcPr>
          <w:p w:rsidR="00344E94" w:rsidRPr="005A7D71" w:rsidRDefault="00344E94" w:rsidP="00326854">
            <w:pPr>
              <w:keepNext/>
              <w:keepLines/>
              <w:jc w:val="center"/>
              <w:rPr>
                <w:rFonts w:ascii="Arial Narrow" w:hAnsi="Arial Narrow"/>
                <w:b/>
                <w:sz w:val="20"/>
                <w:szCs w:val="20"/>
                <w:lang w:val="en-US"/>
              </w:rPr>
            </w:pPr>
            <w:r w:rsidRPr="005A7D71">
              <w:rPr>
                <w:rFonts w:ascii="Arial Narrow" w:hAnsi="Arial Narrow"/>
                <w:b/>
                <w:sz w:val="20"/>
                <w:szCs w:val="20"/>
                <w:lang w:val="en-US"/>
              </w:rPr>
              <w:t>Design/ duration of follow-up (median)</w:t>
            </w:r>
          </w:p>
        </w:tc>
        <w:tc>
          <w:tcPr>
            <w:tcW w:w="394" w:type="pct"/>
            <w:shd w:val="clear" w:color="auto" w:fill="auto"/>
            <w:vAlign w:val="center"/>
          </w:tcPr>
          <w:p w:rsidR="00344E94" w:rsidRPr="007E0B5F" w:rsidRDefault="00344E94" w:rsidP="00326854">
            <w:pPr>
              <w:keepNext/>
              <w:keepLines/>
              <w:jc w:val="center"/>
              <w:rPr>
                <w:rFonts w:ascii="Arial Narrow" w:hAnsi="Arial Narrow"/>
                <w:b/>
                <w:sz w:val="20"/>
                <w:szCs w:val="20"/>
                <w:lang w:val="en-US"/>
              </w:rPr>
            </w:pPr>
            <w:r w:rsidRPr="007E0B5F">
              <w:rPr>
                <w:rFonts w:ascii="Arial Narrow" w:hAnsi="Arial Narrow"/>
                <w:b/>
                <w:sz w:val="20"/>
                <w:szCs w:val="20"/>
                <w:lang w:val="en-US"/>
              </w:rPr>
              <w:t>Risk of bias</w:t>
            </w:r>
          </w:p>
        </w:tc>
        <w:tc>
          <w:tcPr>
            <w:tcW w:w="1729" w:type="pct"/>
            <w:shd w:val="clear" w:color="auto" w:fill="auto"/>
            <w:vAlign w:val="center"/>
          </w:tcPr>
          <w:p w:rsidR="00344E94" w:rsidRPr="005A7D71" w:rsidRDefault="00344E94" w:rsidP="00326854">
            <w:pPr>
              <w:keepNext/>
              <w:keepLines/>
              <w:jc w:val="center"/>
              <w:rPr>
                <w:rFonts w:ascii="Arial Narrow" w:hAnsi="Arial Narrow"/>
                <w:b/>
                <w:sz w:val="20"/>
                <w:szCs w:val="20"/>
                <w:lang w:val="en-US"/>
              </w:rPr>
            </w:pPr>
            <w:r w:rsidRPr="005A7D71">
              <w:rPr>
                <w:rFonts w:ascii="Arial Narrow" w:hAnsi="Arial Narrow"/>
                <w:b/>
                <w:sz w:val="20"/>
                <w:szCs w:val="20"/>
                <w:lang w:val="en-US"/>
              </w:rPr>
              <w:t>Patient population</w:t>
            </w:r>
            <w:r w:rsidR="00E96752">
              <w:rPr>
                <w:rFonts w:ascii="Arial Narrow" w:hAnsi="Arial Narrow"/>
                <w:b/>
                <w:sz w:val="20"/>
                <w:szCs w:val="20"/>
                <w:lang w:val="en-US"/>
              </w:rPr>
              <w:t xml:space="preserve"> used in MAIC</w:t>
            </w:r>
          </w:p>
        </w:tc>
        <w:tc>
          <w:tcPr>
            <w:tcW w:w="522" w:type="pct"/>
            <w:shd w:val="clear" w:color="auto" w:fill="auto"/>
            <w:vAlign w:val="center"/>
          </w:tcPr>
          <w:p w:rsidR="00344E94" w:rsidRPr="005A7D71" w:rsidRDefault="00344E94" w:rsidP="00326854">
            <w:pPr>
              <w:keepNext/>
              <w:keepLines/>
              <w:jc w:val="center"/>
              <w:rPr>
                <w:rFonts w:ascii="Arial Narrow" w:hAnsi="Arial Narrow"/>
                <w:b/>
                <w:sz w:val="20"/>
                <w:szCs w:val="20"/>
                <w:lang w:val="en-US"/>
              </w:rPr>
            </w:pPr>
            <w:r w:rsidRPr="005A7D71">
              <w:rPr>
                <w:rFonts w:ascii="Arial Narrow" w:hAnsi="Arial Narrow"/>
                <w:b/>
                <w:sz w:val="20"/>
                <w:szCs w:val="20"/>
                <w:lang w:val="en-US"/>
              </w:rPr>
              <w:t>Outcomes</w:t>
            </w:r>
          </w:p>
        </w:tc>
      </w:tr>
      <w:tr w:rsidR="00344E94" w:rsidRPr="005A7D71" w:rsidTr="0094161B">
        <w:tc>
          <w:tcPr>
            <w:tcW w:w="5000" w:type="pct"/>
            <w:gridSpan w:val="6"/>
            <w:shd w:val="clear" w:color="auto" w:fill="auto"/>
            <w:vAlign w:val="center"/>
          </w:tcPr>
          <w:p w:rsidR="00344E94" w:rsidRPr="005A7D71" w:rsidRDefault="00344E94" w:rsidP="00326854">
            <w:pPr>
              <w:keepNext/>
              <w:keepLines/>
              <w:jc w:val="left"/>
              <w:rPr>
                <w:rFonts w:ascii="Arial Narrow" w:hAnsi="Arial Narrow"/>
                <w:bCs/>
                <w:sz w:val="20"/>
                <w:szCs w:val="20"/>
                <w:lang w:val="en-US"/>
              </w:rPr>
            </w:pPr>
            <w:r w:rsidRPr="007E0B5F">
              <w:rPr>
                <w:rFonts w:ascii="Arial Narrow" w:hAnsi="Arial Narrow"/>
                <w:b/>
                <w:sz w:val="20"/>
                <w:szCs w:val="20"/>
                <w:lang w:val="en-US"/>
              </w:rPr>
              <w:t>RIBO+FULV vs RIBO+NSAI- FIRST LINE</w:t>
            </w:r>
          </w:p>
        </w:tc>
      </w:tr>
      <w:tr w:rsidR="00344E94" w:rsidRPr="005A7D71" w:rsidTr="0094161B">
        <w:tc>
          <w:tcPr>
            <w:tcW w:w="726" w:type="pct"/>
            <w:shd w:val="clear" w:color="auto" w:fill="auto"/>
            <w:vAlign w:val="center"/>
          </w:tcPr>
          <w:p w:rsidR="00344E94" w:rsidRPr="005A7D71" w:rsidRDefault="00344E94" w:rsidP="00326854">
            <w:pPr>
              <w:keepNext/>
              <w:keepLines/>
              <w:jc w:val="left"/>
              <w:rPr>
                <w:rFonts w:ascii="Arial Narrow" w:hAnsi="Arial Narrow"/>
                <w:bCs/>
                <w:sz w:val="20"/>
                <w:szCs w:val="20"/>
                <w:lang w:val="en-US"/>
              </w:rPr>
            </w:pPr>
            <w:r w:rsidRPr="005A7D71">
              <w:rPr>
                <w:rFonts w:ascii="Arial Narrow" w:hAnsi="Arial Narrow"/>
                <w:bCs/>
                <w:sz w:val="20"/>
                <w:szCs w:val="20"/>
                <w:lang w:val="en-US"/>
              </w:rPr>
              <w:t>MONALEESA-3</w:t>
            </w:r>
          </w:p>
        </w:tc>
        <w:tc>
          <w:tcPr>
            <w:tcW w:w="764" w:type="pct"/>
            <w:shd w:val="clear" w:color="auto" w:fill="auto"/>
            <w:vAlign w:val="center"/>
          </w:tcPr>
          <w:p w:rsidR="00E96752" w:rsidRDefault="00E96752" w:rsidP="00326854">
            <w:pPr>
              <w:keepNext/>
              <w:keepLines/>
              <w:jc w:val="left"/>
              <w:rPr>
                <w:rFonts w:ascii="Arial Narrow" w:hAnsi="Arial Narrow"/>
                <w:bCs/>
                <w:sz w:val="20"/>
                <w:szCs w:val="20"/>
                <w:lang w:val="en-US"/>
              </w:rPr>
            </w:pPr>
            <w:r>
              <w:rPr>
                <w:rFonts w:ascii="Arial Narrow" w:hAnsi="Arial Narrow"/>
                <w:bCs/>
                <w:sz w:val="20"/>
                <w:szCs w:val="20"/>
                <w:lang w:val="en-US"/>
              </w:rPr>
              <w:t>ITT:</w:t>
            </w:r>
          </w:p>
          <w:p w:rsidR="00344E94" w:rsidRPr="005A7D71" w:rsidRDefault="00344E94" w:rsidP="00326854">
            <w:pPr>
              <w:keepNext/>
              <w:keepLines/>
              <w:jc w:val="left"/>
              <w:rPr>
                <w:rFonts w:ascii="Arial Narrow" w:hAnsi="Arial Narrow"/>
                <w:bCs/>
                <w:sz w:val="20"/>
                <w:szCs w:val="20"/>
                <w:lang w:val="en-US"/>
              </w:rPr>
            </w:pPr>
            <w:r w:rsidRPr="005A7D71">
              <w:rPr>
                <w:rFonts w:ascii="Arial Narrow" w:hAnsi="Arial Narrow"/>
                <w:bCs/>
                <w:sz w:val="20"/>
                <w:szCs w:val="20"/>
                <w:lang w:val="en-US"/>
              </w:rPr>
              <w:t>RIBO+FULV: 484</w:t>
            </w:r>
          </w:p>
          <w:p w:rsidR="00344E94" w:rsidRPr="005A7D71" w:rsidRDefault="00344E94" w:rsidP="00326854">
            <w:pPr>
              <w:keepNext/>
              <w:keepLines/>
              <w:jc w:val="left"/>
              <w:rPr>
                <w:rFonts w:ascii="Arial Narrow" w:hAnsi="Arial Narrow"/>
                <w:bCs/>
                <w:sz w:val="20"/>
                <w:szCs w:val="20"/>
                <w:lang w:val="en-US"/>
              </w:rPr>
            </w:pPr>
            <w:r w:rsidRPr="005A7D71">
              <w:rPr>
                <w:rFonts w:ascii="Arial Narrow" w:hAnsi="Arial Narrow"/>
                <w:bCs/>
                <w:sz w:val="20"/>
                <w:szCs w:val="20"/>
                <w:lang w:val="en-US"/>
              </w:rPr>
              <w:t>PBO+FULV: 334</w:t>
            </w:r>
          </w:p>
        </w:tc>
        <w:tc>
          <w:tcPr>
            <w:tcW w:w="864" w:type="pct"/>
            <w:shd w:val="clear" w:color="auto" w:fill="auto"/>
            <w:vAlign w:val="center"/>
          </w:tcPr>
          <w:p w:rsidR="00344E94" w:rsidRPr="005A7D71" w:rsidRDefault="00344E94" w:rsidP="00326854">
            <w:pPr>
              <w:keepNext/>
              <w:keepLines/>
              <w:jc w:val="center"/>
              <w:rPr>
                <w:rFonts w:ascii="Arial Narrow" w:hAnsi="Arial Narrow"/>
                <w:bCs/>
                <w:sz w:val="20"/>
                <w:szCs w:val="20"/>
                <w:lang w:val="en-US"/>
              </w:rPr>
            </w:pPr>
            <w:r w:rsidRPr="005A7D71">
              <w:rPr>
                <w:rFonts w:ascii="Arial Narrow" w:hAnsi="Arial Narrow"/>
                <w:bCs/>
                <w:sz w:val="20"/>
                <w:szCs w:val="20"/>
                <w:lang w:val="en-US"/>
              </w:rPr>
              <w:t>R, DB</w:t>
            </w:r>
          </w:p>
          <w:p w:rsidR="00344E94" w:rsidRPr="005A7D71" w:rsidRDefault="00344E94" w:rsidP="00326854">
            <w:pPr>
              <w:keepNext/>
              <w:keepLines/>
              <w:jc w:val="center"/>
              <w:rPr>
                <w:rFonts w:ascii="Arial Narrow" w:hAnsi="Arial Narrow"/>
                <w:bCs/>
                <w:sz w:val="20"/>
                <w:szCs w:val="20"/>
                <w:lang w:val="en-US"/>
              </w:rPr>
            </w:pPr>
            <w:r w:rsidRPr="005A7D71">
              <w:rPr>
                <w:rFonts w:ascii="Arial Narrow" w:hAnsi="Arial Narrow"/>
                <w:bCs/>
                <w:sz w:val="20"/>
                <w:szCs w:val="20"/>
                <w:lang w:val="en-US"/>
              </w:rPr>
              <w:t>39.4m (Jun 2019 cut-off, trial ongoing)</w:t>
            </w:r>
          </w:p>
        </w:tc>
        <w:tc>
          <w:tcPr>
            <w:tcW w:w="394" w:type="pct"/>
            <w:shd w:val="clear" w:color="auto" w:fill="auto"/>
            <w:vAlign w:val="center"/>
          </w:tcPr>
          <w:p w:rsidR="00344E94" w:rsidRPr="007E0B5F" w:rsidRDefault="00344E94" w:rsidP="00326854">
            <w:pPr>
              <w:keepNext/>
              <w:keepLines/>
              <w:jc w:val="center"/>
              <w:rPr>
                <w:rFonts w:ascii="Arial Narrow" w:hAnsi="Arial Narrow"/>
                <w:bCs/>
                <w:sz w:val="20"/>
                <w:szCs w:val="20"/>
                <w:lang w:val="en-US"/>
              </w:rPr>
            </w:pPr>
            <w:r w:rsidRPr="007E0B5F">
              <w:rPr>
                <w:rFonts w:ascii="Arial Narrow" w:hAnsi="Arial Narrow"/>
                <w:bCs/>
                <w:sz w:val="20"/>
                <w:szCs w:val="20"/>
                <w:lang w:val="en-US"/>
              </w:rPr>
              <w:t>Low</w:t>
            </w:r>
          </w:p>
        </w:tc>
        <w:tc>
          <w:tcPr>
            <w:tcW w:w="1729" w:type="pct"/>
            <w:shd w:val="clear" w:color="auto" w:fill="auto"/>
            <w:vAlign w:val="center"/>
          </w:tcPr>
          <w:p w:rsidR="00344E94" w:rsidRPr="00B02907" w:rsidRDefault="00A17746" w:rsidP="00326854">
            <w:pPr>
              <w:keepNext/>
              <w:keepLines/>
              <w:jc w:val="left"/>
              <w:rPr>
                <w:rFonts w:ascii="Arial Narrow" w:hAnsi="Arial Narrow"/>
                <w:bCs/>
                <w:sz w:val="20"/>
                <w:szCs w:val="20"/>
                <w:lang w:val="en-US"/>
              </w:rPr>
            </w:pPr>
            <w:r w:rsidRPr="00B02907">
              <w:rPr>
                <w:rFonts w:ascii="Arial Narrow" w:hAnsi="Arial Narrow"/>
                <w:bCs/>
                <w:sz w:val="20"/>
                <w:szCs w:val="20"/>
                <w:lang w:val="en-US"/>
              </w:rPr>
              <w:t>T</w:t>
            </w:r>
            <w:r w:rsidR="00344E94" w:rsidRPr="00B02907">
              <w:rPr>
                <w:rFonts w:ascii="Arial Narrow" w:hAnsi="Arial Narrow"/>
                <w:bCs/>
                <w:sz w:val="20"/>
                <w:szCs w:val="20"/>
                <w:lang w:val="en-US"/>
              </w:rPr>
              <w:t>reatment-naïve</w:t>
            </w:r>
            <w:r w:rsidR="0094161B" w:rsidRPr="00B02907">
              <w:rPr>
                <w:rFonts w:ascii="Arial Narrow" w:hAnsi="Arial Narrow"/>
                <w:bCs/>
                <w:sz w:val="20"/>
                <w:szCs w:val="20"/>
                <w:lang w:val="en-US"/>
              </w:rPr>
              <w:t xml:space="preserve"> for advanced breast cancer </w:t>
            </w:r>
            <w:r w:rsidRPr="00B02907">
              <w:rPr>
                <w:rFonts w:ascii="Arial Narrow" w:hAnsi="Arial Narrow"/>
                <w:bCs/>
                <w:sz w:val="20"/>
                <w:szCs w:val="20"/>
                <w:lang w:val="en-US"/>
              </w:rPr>
              <w:t xml:space="preserve">subgroup </w:t>
            </w:r>
            <w:r w:rsidR="0094161B" w:rsidRPr="00B02907">
              <w:rPr>
                <w:rFonts w:ascii="Arial Narrow" w:hAnsi="Arial Narrow"/>
                <w:bCs/>
                <w:sz w:val="20"/>
                <w:szCs w:val="20"/>
                <w:lang w:val="en-US"/>
              </w:rPr>
              <w:t>(includes</w:t>
            </w:r>
            <w:r w:rsidR="00192FA6" w:rsidRPr="00B02907">
              <w:rPr>
                <w:rFonts w:ascii="Arial Narrow" w:hAnsi="Arial Narrow"/>
                <w:bCs/>
                <w:sz w:val="20"/>
                <w:szCs w:val="20"/>
                <w:lang w:val="en-US"/>
              </w:rPr>
              <w:t xml:space="preserve"> de novo, relapsed &gt;12 months f</w:t>
            </w:r>
            <w:r w:rsidR="0094161B" w:rsidRPr="00B02907">
              <w:rPr>
                <w:rFonts w:ascii="Arial Narrow" w:hAnsi="Arial Narrow"/>
                <w:bCs/>
                <w:sz w:val="20"/>
                <w:szCs w:val="20"/>
                <w:lang w:val="en-US"/>
              </w:rPr>
              <w:t>r</w:t>
            </w:r>
            <w:r w:rsidR="00192FA6" w:rsidRPr="00B02907">
              <w:rPr>
                <w:rFonts w:ascii="Arial Narrow" w:hAnsi="Arial Narrow"/>
                <w:bCs/>
                <w:sz w:val="20"/>
                <w:szCs w:val="20"/>
                <w:lang w:val="en-US"/>
              </w:rPr>
              <w:t>o</w:t>
            </w:r>
            <w:r w:rsidR="0094161B" w:rsidRPr="00B02907">
              <w:rPr>
                <w:rFonts w:ascii="Arial Narrow" w:hAnsi="Arial Narrow"/>
                <w:bCs/>
                <w:sz w:val="20"/>
                <w:szCs w:val="20"/>
                <w:lang w:val="en-US"/>
              </w:rPr>
              <w:t>m completion of prior (neo)adj</w:t>
            </w:r>
            <w:r w:rsidR="00192FA6" w:rsidRPr="00B02907">
              <w:rPr>
                <w:rFonts w:ascii="Arial Narrow" w:hAnsi="Arial Narrow"/>
                <w:bCs/>
                <w:sz w:val="20"/>
                <w:szCs w:val="20"/>
                <w:lang w:val="en-US"/>
              </w:rPr>
              <w:t>uvant</w:t>
            </w:r>
            <w:r w:rsidR="0094161B" w:rsidRPr="00B02907">
              <w:rPr>
                <w:rFonts w:ascii="Arial Narrow" w:hAnsi="Arial Narrow"/>
                <w:bCs/>
                <w:sz w:val="20"/>
                <w:szCs w:val="20"/>
                <w:lang w:val="en-US"/>
              </w:rPr>
              <w:t xml:space="preserve"> ET, or relapsed &lt;12 months of prior (neo)adj</w:t>
            </w:r>
            <w:r w:rsidR="00192FA6" w:rsidRPr="00B02907">
              <w:rPr>
                <w:rFonts w:ascii="Arial Narrow" w:hAnsi="Arial Narrow"/>
                <w:bCs/>
                <w:sz w:val="20"/>
                <w:szCs w:val="20"/>
                <w:lang w:val="en-US"/>
              </w:rPr>
              <w:t>uvant</w:t>
            </w:r>
            <w:r w:rsidR="0094161B" w:rsidRPr="00B02907">
              <w:rPr>
                <w:rFonts w:ascii="Arial Narrow" w:hAnsi="Arial Narrow"/>
                <w:bCs/>
                <w:sz w:val="20"/>
                <w:szCs w:val="20"/>
                <w:lang w:val="en-US"/>
              </w:rPr>
              <w:t xml:space="preserve"> excluding those treated with NSAI  </w:t>
            </w:r>
            <w:r w:rsidR="00E96752" w:rsidRPr="00B02907">
              <w:rPr>
                <w:rFonts w:ascii="Arial Narrow" w:hAnsi="Arial Narrow"/>
                <w:bCs/>
                <w:sz w:val="20"/>
                <w:szCs w:val="20"/>
                <w:lang w:val="en-US"/>
              </w:rPr>
              <w:t xml:space="preserve">(n = 302) </w:t>
            </w:r>
            <w:r w:rsidR="00E96752" w:rsidRPr="00B02907">
              <w:rPr>
                <w:rFonts w:ascii="Arial Narrow" w:hAnsi="Arial Narrow"/>
                <w:bCs/>
                <w:sz w:val="20"/>
                <w:szCs w:val="20"/>
                <w:vertAlign w:val="superscript"/>
                <w:lang w:val="en-US"/>
              </w:rPr>
              <w:t>a</w:t>
            </w:r>
          </w:p>
        </w:tc>
        <w:tc>
          <w:tcPr>
            <w:tcW w:w="522" w:type="pct"/>
            <w:shd w:val="clear" w:color="auto" w:fill="auto"/>
            <w:vAlign w:val="center"/>
          </w:tcPr>
          <w:p w:rsidR="00344E94" w:rsidRPr="005A7D71" w:rsidRDefault="00344E94" w:rsidP="00326854">
            <w:pPr>
              <w:keepNext/>
              <w:keepLines/>
              <w:jc w:val="center"/>
              <w:rPr>
                <w:rFonts w:ascii="Arial Narrow" w:hAnsi="Arial Narrow"/>
                <w:bCs/>
                <w:sz w:val="20"/>
                <w:szCs w:val="20"/>
                <w:lang w:val="en-US"/>
              </w:rPr>
            </w:pPr>
            <w:r w:rsidRPr="005A7D71">
              <w:rPr>
                <w:rFonts w:ascii="Arial Narrow" w:hAnsi="Arial Narrow"/>
                <w:bCs/>
                <w:sz w:val="20"/>
                <w:szCs w:val="20"/>
                <w:lang w:val="en-US"/>
              </w:rPr>
              <w:t>PFS, OS</w:t>
            </w:r>
          </w:p>
        </w:tc>
      </w:tr>
      <w:tr w:rsidR="00344E94" w:rsidRPr="005A7D71" w:rsidTr="0094161B">
        <w:tc>
          <w:tcPr>
            <w:tcW w:w="726" w:type="pct"/>
            <w:shd w:val="clear" w:color="auto" w:fill="auto"/>
            <w:vAlign w:val="center"/>
          </w:tcPr>
          <w:p w:rsidR="00344E94" w:rsidRPr="005A7D71" w:rsidRDefault="00344E94" w:rsidP="00326854">
            <w:pPr>
              <w:keepNext/>
              <w:keepLines/>
              <w:jc w:val="left"/>
              <w:rPr>
                <w:rFonts w:ascii="Arial Narrow" w:hAnsi="Arial Narrow"/>
                <w:bCs/>
                <w:sz w:val="20"/>
                <w:szCs w:val="20"/>
                <w:lang w:val="en-US"/>
              </w:rPr>
            </w:pPr>
            <w:r w:rsidRPr="005A7D71">
              <w:rPr>
                <w:rFonts w:ascii="Arial Narrow" w:hAnsi="Arial Narrow"/>
                <w:bCs/>
                <w:sz w:val="20"/>
                <w:szCs w:val="20"/>
                <w:lang w:val="en-US"/>
              </w:rPr>
              <w:t>MONALEESA-2</w:t>
            </w:r>
          </w:p>
        </w:tc>
        <w:tc>
          <w:tcPr>
            <w:tcW w:w="764" w:type="pct"/>
            <w:shd w:val="clear" w:color="auto" w:fill="auto"/>
            <w:vAlign w:val="center"/>
          </w:tcPr>
          <w:p w:rsidR="00344E94" w:rsidRPr="005A7D71" w:rsidRDefault="00344E94" w:rsidP="00326854">
            <w:pPr>
              <w:keepNext/>
              <w:keepLines/>
              <w:jc w:val="left"/>
              <w:rPr>
                <w:rFonts w:ascii="Arial Narrow" w:hAnsi="Arial Narrow"/>
                <w:bCs/>
                <w:sz w:val="20"/>
                <w:szCs w:val="20"/>
                <w:lang w:val="en-US"/>
              </w:rPr>
            </w:pPr>
            <w:r w:rsidRPr="005A7D71">
              <w:rPr>
                <w:rFonts w:ascii="Arial Narrow" w:hAnsi="Arial Narrow"/>
                <w:bCs/>
                <w:sz w:val="20"/>
                <w:szCs w:val="20"/>
                <w:lang w:val="en-US"/>
              </w:rPr>
              <w:t>RIBO+NSAI (LET): 334</w:t>
            </w:r>
          </w:p>
          <w:p w:rsidR="00344E94" w:rsidRPr="005A7D71" w:rsidRDefault="00344E94" w:rsidP="00326854">
            <w:pPr>
              <w:keepNext/>
              <w:keepLines/>
              <w:jc w:val="left"/>
              <w:rPr>
                <w:rFonts w:ascii="Arial Narrow" w:hAnsi="Arial Narrow"/>
                <w:bCs/>
                <w:sz w:val="20"/>
                <w:szCs w:val="20"/>
                <w:lang w:val="en-US"/>
              </w:rPr>
            </w:pPr>
            <w:r w:rsidRPr="005A7D71">
              <w:rPr>
                <w:rFonts w:ascii="Arial Narrow" w:hAnsi="Arial Narrow"/>
                <w:bCs/>
                <w:sz w:val="20"/>
                <w:szCs w:val="20"/>
                <w:lang w:val="en-US"/>
              </w:rPr>
              <w:t>PBO+FULV: 334</w:t>
            </w:r>
          </w:p>
        </w:tc>
        <w:tc>
          <w:tcPr>
            <w:tcW w:w="864" w:type="pct"/>
            <w:shd w:val="clear" w:color="auto" w:fill="auto"/>
            <w:vAlign w:val="center"/>
          </w:tcPr>
          <w:p w:rsidR="00344E94" w:rsidRPr="005A7D71" w:rsidRDefault="00344E94" w:rsidP="00326854">
            <w:pPr>
              <w:keepNext/>
              <w:keepLines/>
              <w:jc w:val="center"/>
              <w:rPr>
                <w:rFonts w:ascii="Arial Narrow" w:hAnsi="Arial Narrow"/>
                <w:bCs/>
                <w:sz w:val="20"/>
                <w:szCs w:val="20"/>
                <w:lang w:val="en-US"/>
              </w:rPr>
            </w:pPr>
            <w:r w:rsidRPr="005A7D71">
              <w:rPr>
                <w:rFonts w:ascii="Arial Narrow" w:hAnsi="Arial Narrow"/>
                <w:bCs/>
                <w:sz w:val="20"/>
                <w:szCs w:val="20"/>
                <w:lang w:val="en-US"/>
              </w:rPr>
              <w:t>R, DB</w:t>
            </w:r>
          </w:p>
          <w:p w:rsidR="00344E94" w:rsidRPr="005A7D71" w:rsidRDefault="00344E94" w:rsidP="00326854">
            <w:pPr>
              <w:keepNext/>
              <w:keepLines/>
              <w:jc w:val="center"/>
              <w:rPr>
                <w:rFonts w:ascii="Arial Narrow" w:hAnsi="Arial Narrow"/>
                <w:bCs/>
                <w:sz w:val="20"/>
                <w:szCs w:val="20"/>
                <w:lang w:val="en-US"/>
              </w:rPr>
            </w:pPr>
            <w:r w:rsidRPr="005A7D71">
              <w:rPr>
                <w:rFonts w:ascii="Arial Narrow" w:hAnsi="Arial Narrow"/>
                <w:bCs/>
                <w:sz w:val="20"/>
                <w:szCs w:val="20"/>
                <w:lang w:val="en-US"/>
              </w:rPr>
              <w:t>26.3 m (Jun 2017 cut-off, trial ongoing)</w:t>
            </w:r>
          </w:p>
        </w:tc>
        <w:tc>
          <w:tcPr>
            <w:tcW w:w="394" w:type="pct"/>
            <w:shd w:val="clear" w:color="auto" w:fill="auto"/>
            <w:vAlign w:val="center"/>
          </w:tcPr>
          <w:p w:rsidR="00344E94" w:rsidRPr="007E0B5F" w:rsidRDefault="00344E94" w:rsidP="00326854">
            <w:pPr>
              <w:keepNext/>
              <w:keepLines/>
              <w:jc w:val="center"/>
              <w:rPr>
                <w:rFonts w:ascii="Arial Narrow" w:hAnsi="Arial Narrow"/>
                <w:bCs/>
                <w:sz w:val="20"/>
                <w:szCs w:val="20"/>
                <w:lang w:val="en-US"/>
              </w:rPr>
            </w:pPr>
            <w:r w:rsidRPr="007E0B5F">
              <w:rPr>
                <w:rFonts w:ascii="Arial Narrow" w:hAnsi="Arial Narrow"/>
                <w:bCs/>
                <w:sz w:val="20"/>
                <w:szCs w:val="20"/>
                <w:lang w:val="en-US"/>
              </w:rPr>
              <w:t>Low</w:t>
            </w:r>
          </w:p>
        </w:tc>
        <w:tc>
          <w:tcPr>
            <w:tcW w:w="1729" w:type="pct"/>
            <w:shd w:val="clear" w:color="auto" w:fill="auto"/>
            <w:vAlign w:val="center"/>
          </w:tcPr>
          <w:p w:rsidR="00344E94" w:rsidRPr="00B02907" w:rsidRDefault="00344E94" w:rsidP="00326854">
            <w:pPr>
              <w:keepNext/>
              <w:keepLines/>
              <w:jc w:val="left"/>
              <w:rPr>
                <w:rFonts w:ascii="Arial Narrow" w:hAnsi="Arial Narrow"/>
                <w:bCs/>
                <w:sz w:val="20"/>
                <w:szCs w:val="20"/>
                <w:lang w:val="en-US"/>
              </w:rPr>
            </w:pPr>
            <w:r w:rsidRPr="00B02907">
              <w:rPr>
                <w:rFonts w:ascii="Arial Narrow" w:hAnsi="Arial Narrow"/>
                <w:bCs/>
                <w:sz w:val="20"/>
                <w:szCs w:val="20"/>
                <w:lang w:val="en-US"/>
              </w:rPr>
              <w:t>Treatment naïve</w:t>
            </w:r>
            <w:r w:rsidR="0094161B" w:rsidRPr="00B02907">
              <w:rPr>
                <w:rFonts w:ascii="Arial Narrow" w:hAnsi="Arial Narrow"/>
                <w:bCs/>
                <w:sz w:val="20"/>
                <w:szCs w:val="20"/>
                <w:lang w:val="en-US"/>
              </w:rPr>
              <w:t xml:space="preserve"> (no prior therapy for advanced breast cancer</w:t>
            </w:r>
            <w:r w:rsidR="001C3B56" w:rsidRPr="00B02907">
              <w:rPr>
                <w:rFonts w:ascii="Arial Narrow" w:hAnsi="Arial Narrow"/>
                <w:bCs/>
                <w:sz w:val="20"/>
                <w:szCs w:val="20"/>
                <w:lang w:val="en-US"/>
              </w:rPr>
              <w:t>)</w:t>
            </w:r>
          </w:p>
        </w:tc>
        <w:tc>
          <w:tcPr>
            <w:tcW w:w="522" w:type="pct"/>
            <w:shd w:val="clear" w:color="auto" w:fill="auto"/>
            <w:vAlign w:val="center"/>
          </w:tcPr>
          <w:p w:rsidR="00344E94" w:rsidRPr="005A7D71" w:rsidRDefault="00344E94" w:rsidP="00326854">
            <w:pPr>
              <w:keepNext/>
              <w:keepLines/>
              <w:jc w:val="center"/>
              <w:rPr>
                <w:rFonts w:ascii="Arial Narrow" w:hAnsi="Arial Narrow"/>
                <w:bCs/>
                <w:sz w:val="20"/>
                <w:szCs w:val="20"/>
                <w:lang w:val="en-US"/>
              </w:rPr>
            </w:pPr>
            <w:r w:rsidRPr="005A7D71">
              <w:rPr>
                <w:rFonts w:ascii="Arial Narrow" w:hAnsi="Arial Narrow"/>
                <w:bCs/>
                <w:sz w:val="20"/>
                <w:szCs w:val="20"/>
                <w:lang w:val="en-US"/>
              </w:rPr>
              <w:t>PFS, OS</w:t>
            </w:r>
          </w:p>
        </w:tc>
      </w:tr>
      <w:tr w:rsidR="00344E94" w:rsidRPr="005A7D71" w:rsidTr="0094161B">
        <w:tc>
          <w:tcPr>
            <w:tcW w:w="5000" w:type="pct"/>
            <w:gridSpan w:val="6"/>
            <w:shd w:val="clear" w:color="auto" w:fill="auto"/>
            <w:vAlign w:val="center"/>
          </w:tcPr>
          <w:p w:rsidR="00344E94" w:rsidRPr="005A7D71" w:rsidRDefault="00344E94" w:rsidP="00326854">
            <w:pPr>
              <w:keepNext/>
              <w:keepLines/>
              <w:jc w:val="left"/>
              <w:rPr>
                <w:rFonts w:ascii="Arial Narrow" w:hAnsi="Arial Narrow"/>
                <w:bCs/>
                <w:sz w:val="20"/>
                <w:szCs w:val="20"/>
                <w:lang w:val="en-US"/>
              </w:rPr>
            </w:pPr>
            <w:r w:rsidRPr="007E0B5F">
              <w:rPr>
                <w:rFonts w:ascii="Arial Narrow" w:hAnsi="Arial Narrow"/>
                <w:b/>
                <w:sz w:val="20"/>
                <w:szCs w:val="20"/>
              </w:rPr>
              <w:t>RIBO+FULV vs EVE+EXE- SECOND LINE</w:t>
            </w:r>
          </w:p>
        </w:tc>
      </w:tr>
      <w:tr w:rsidR="00344E94" w:rsidRPr="005A7D71" w:rsidTr="0094161B">
        <w:tc>
          <w:tcPr>
            <w:tcW w:w="726" w:type="pct"/>
            <w:shd w:val="clear" w:color="auto" w:fill="auto"/>
            <w:vAlign w:val="center"/>
          </w:tcPr>
          <w:p w:rsidR="00344E94" w:rsidRPr="005A7D71" w:rsidRDefault="00344E94" w:rsidP="00326854">
            <w:pPr>
              <w:keepNext/>
              <w:keepLines/>
              <w:jc w:val="left"/>
              <w:rPr>
                <w:rFonts w:ascii="Arial Narrow" w:hAnsi="Arial Narrow"/>
                <w:bCs/>
                <w:sz w:val="20"/>
                <w:szCs w:val="20"/>
                <w:lang w:val="en-US"/>
              </w:rPr>
            </w:pPr>
            <w:r w:rsidRPr="005A7D71">
              <w:rPr>
                <w:rFonts w:ascii="Arial Narrow" w:hAnsi="Arial Narrow"/>
                <w:bCs/>
                <w:sz w:val="20"/>
                <w:szCs w:val="20"/>
                <w:lang w:val="en-US"/>
              </w:rPr>
              <w:t>MONALEESA-3</w:t>
            </w:r>
          </w:p>
        </w:tc>
        <w:tc>
          <w:tcPr>
            <w:tcW w:w="764" w:type="pct"/>
            <w:shd w:val="clear" w:color="auto" w:fill="auto"/>
            <w:vAlign w:val="center"/>
          </w:tcPr>
          <w:p w:rsidR="00E96752" w:rsidRDefault="00E96752" w:rsidP="00326854">
            <w:pPr>
              <w:keepNext/>
              <w:keepLines/>
              <w:jc w:val="left"/>
              <w:rPr>
                <w:rFonts w:ascii="Arial Narrow" w:hAnsi="Arial Narrow"/>
                <w:bCs/>
                <w:sz w:val="20"/>
                <w:szCs w:val="20"/>
                <w:lang w:val="en-US"/>
              </w:rPr>
            </w:pPr>
            <w:r>
              <w:rPr>
                <w:rFonts w:ascii="Arial Narrow" w:hAnsi="Arial Narrow"/>
                <w:bCs/>
                <w:sz w:val="20"/>
                <w:szCs w:val="20"/>
                <w:lang w:val="en-US"/>
              </w:rPr>
              <w:t>ITT:</w:t>
            </w:r>
          </w:p>
          <w:p w:rsidR="00344E94" w:rsidRPr="005A7D71" w:rsidRDefault="00344E94" w:rsidP="00326854">
            <w:pPr>
              <w:keepNext/>
              <w:keepLines/>
              <w:jc w:val="left"/>
              <w:rPr>
                <w:rFonts w:ascii="Arial Narrow" w:hAnsi="Arial Narrow"/>
                <w:bCs/>
                <w:sz w:val="20"/>
                <w:szCs w:val="20"/>
                <w:lang w:val="en-US"/>
              </w:rPr>
            </w:pPr>
            <w:r w:rsidRPr="005A7D71">
              <w:rPr>
                <w:rFonts w:ascii="Arial Narrow" w:hAnsi="Arial Narrow"/>
                <w:bCs/>
                <w:sz w:val="20"/>
                <w:szCs w:val="20"/>
                <w:lang w:val="en-US"/>
              </w:rPr>
              <w:t>RIBO+FULV: 484</w:t>
            </w:r>
          </w:p>
          <w:p w:rsidR="00344E94" w:rsidRPr="005A7D71" w:rsidRDefault="00344E94" w:rsidP="00326854">
            <w:pPr>
              <w:keepNext/>
              <w:keepLines/>
              <w:jc w:val="left"/>
              <w:rPr>
                <w:rFonts w:ascii="Arial Narrow" w:hAnsi="Arial Narrow"/>
                <w:bCs/>
                <w:sz w:val="20"/>
                <w:szCs w:val="20"/>
                <w:lang w:val="en-US"/>
              </w:rPr>
            </w:pPr>
            <w:r w:rsidRPr="005A7D71">
              <w:rPr>
                <w:rFonts w:ascii="Arial Narrow" w:hAnsi="Arial Narrow"/>
                <w:bCs/>
                <w:sz w:val="20"/>
                <w:szCs w:val="20"/>
                <w:lang w:val="en-US"/>
              </w:rPr>
              <w:t>PBO+FULV: 334</w:t>
            </w:r>
          </w:p>
        </w:tc>
        <w:tc>
          <w:tcPr>
            <w:tcW w:w="864" w:type="pct"/>
            <w:shd w:val="clear" w:color="auto" w:fill="auto"/>
            <w:vAlign w:val="center"/>
          </w:tcPr>
          <w:p w:rsidR="00344E94" w:rsidRPr="005A7D71" w:rsidRDefault="00344E94" w:rsidP="00326854">
            <w:pPr>
              <w:keepNext/>
              <w:keepLines/>
              <w:jc w:val="center"/>
              <w:rPr>
                <w:rFonts w:ascii="Arial Narrow" w:hAnsi="Arial Narrow"/>
                <w:bCs/>
                <w:sz w:val="20"/>
                <w:szCs w:val="20"/>
                <w:lang w:val="en-US"/>
              </w:rPr>
            </w:pPr>
            <w:r w:rsidRPr="005A7D71">
              <w:rPr>
                <w:rFonts w:ascii="Arial Narrow" w:hAnsi="Arial Narrow"/>
                <w:bCs/>
                <w:sz w:val="20"/>
                <w:szCs w:val="20"/>
                <w:lang w:val="en-US"/>
              </w:rPr>
              <w:t>R, DB</w:t>
            </w:r>
          </w:p>
          <w:p w:rsidR="00344E94" w:rsidRPr="005A7D71" w:rsidRDefault="00344E94" w:rsidP="00326854">
            <w:pPr>
              <w:keepNext/>
              <w:keepLines/>
              <w:jc w:val="center"/>
              <w:rPr>
                <w:rFonts w:ascii="Arial Narrow" w:hAnsi="Arial Narrow"/>
                <w:bCs/>
                <w:sz w:val="20"/>
                <w:szCs w:val="20"/>
                <w:lang w:val="en-US"/>
              </w:rPr>
            </w:pPr>
            <w:r w:rsidRPr="005A7D71">
              <w:rPr>
                <w:rFonts w:ascii="Arial Narrow" w:hAnsi="Arial Narrow"/>
                <w:bCs/>
                <w:sz w:val="20"/>
                <w:szCs w:val="20"/>
                <w:lang w:val="en-US"/>
              </w:rPr>
              <w:t>39.4 m</w:t>
            </w:r>
          </w:p>
        </w:tc>
        <w:tc>
          <w:tcPr>
            <w:tcW w:w="394" w:type="pct"/>
            <w:shd w:val="clear" w:color="auto" w:fill="auto"/>
            <w:vAlign w:val="center"/>
          </w:tcPr>
          <w:p w:rsidR="00344E94" w:rsidRPr="007E0B5F" w:rsidRDefault="00344E94" w:rsidP="00326854">
            <w:pPr>
              <w:keepNext/>
              <w:keepLines/>
              <w:jc w:val="center"/>
              <w:rPr>
                <w:rFonts w:ascii="Arial Narrow" w:hAnsi="Arial Narrow"/>
                <w:bCs/>
                <w:iCs/>
                <w:sz w:val="20"/>
                <w:szCs w:val="20"/>
                <w:lang w:val="en-US"/>
              </w:rPr>
            </w:pPr>
            <w:r w:rsidRPr="007E0B5F">
              <w:rPr>
                <w:rFonts w:ascii="Arial Narrow" w:hAnsi="Arial Narrow"/>
                <w:bCs/>
                <w:iCs/>
                <w:sz w:val="20"/>
                <w:szCs w:val="20"/>
                <w:lang w:val="en-US"/>
              </w:rPr>
              <w:t>Low</w:t>
            </w:r>
          </w:p>
        </w:tc>
        <w:tc>
          <w:tcPr>
            <w:tcW w:w="1729" w:type="pct"/>
            <w:shd w:val="clear" w:color="auto" w:fill="auto"/>
            <w:vAlign w:val="center"/>
          </w:tcPr>
          <w:p w:rsidR="00344E94" w:rsidRPr="00651387" w:rsidRDefault="00344E94" w:rsidP="00326854">
            <w:pPr>
              <w:keepNext/>
              <w:keepLines/>
              <w:jc w:val="left"/>
              <w:rPr>
                <w:rFonts w:ascii="Arial Narrow" w:hAnsi="Arial Narrow"/>
                <w:bCs/>
                <w:i/>
                <w:sz w:val="20"/>
                <w:szCs w:val="20"/>
                <w:lang w:val="en-US"/>
              </w:rPr>
            </w:pPr>
            <w:r>
              <w:rPr>
                <w:rFonts w:ascii="Arial Narrow" w:hAnsi="Arial Narrow"/>
                <w:bCs/>
                <w:sz w:val="20"/>
                <w:szCs w:val="20"/>
                <w:lang w:val="en-US"/>
              </w:rPr>
              <w:t>Subgroup r</w:t>
            </w:r>
            <w:r w:rsidRPr="005A7D71">
              <w:rPr>
                <w:rFonts w:ascii="Arial Narrow" w:hAnsi="Arial Narrow"/>
                <w:bCs/>
                <w:sz w:val="20"/>
                <w:szCs w:val="20"/>
                <w:lang w:val="en-US"/>
              </w:rPr>
              <w:t xml:space="preserve">esistant to first-line AI </w:t>
            </w:r>
            <w:r w:rsidRPr="008528AD">
              <w:rPr>
                <w:rFonts w:ascii="Arial Narrow" w:hAnsi="Arial Narrow"/>
                <w:bCs/>
                <w:sz w:val="20"/>
                <w:szCs w:val="20"/>
                <w:lang w:val="en-US"/>
              </w:rPr>
              <w:t>monotherapy</w:t>
            </w:r>
            <w:r w:rsidR="00651387" w:rsidRPr="008528AD">
              <w:rPr>
                <w:rFonts w:ascii="Arial Narrow" w:hAnsi="Arial Narrow"/>
                <w:bCs/>
                <w:sz w:val="20"/>
                <w:szCs w:val="20"/>
                <w:lang w:val="en-US"/>
              </w:rPr>
              <w:t xml:space="preserve"> (n=100)</w:t>
            </w:r>
          </w:p>
        </w:tc>
        <w:tc>
          <w:tcPr>
            <w:tcW w:w="522" w:type="pct"/>
            <w:shd w:val="clear" w:color="auto" w:fill="auto"/>
            <w:vAlign w:val="center"/>
          </w:tcPr>
          <w:p w:rsidR="00344E94" w:rsidRPr="005A7D71" w:rsidRDefault="00344E94" w:rsidP="00326854">
            <w:pPr>
              <w:keepNext/>
              <w:keepLines/>
              <w:jc w:val="center"/>
              <w:rPr>
                <w:rFonts w:ascii="Arial Narrow" w:hAnsi="Arial Narrow"/>
                <w:bCs/>
                <w:sz w:val="20"/>
                <w:szCs w:val="20"/>
                <w:lang w:val="en-US"/>
              </w:rPr>
            </w:pPr>
            <w:r w:rsidRPr="005A7D71">
              <w:rPr>
                <w:rFonts w:ascii="Arial Narrow" w:hAnsi="Arial Narrow"/>
                <w:bCs/>
                <w:sz w:val="20"/>
                <w:szCs w:val="20"/>
                <w:lang w:val="en-US"/>
              </w:rPr>
              <w:t>PFS, OS</w:t>
            </w:r>
          </w:p>
        </w:tc>
      </w:tr>
      <w:tr w:rsidR="00344E94" w:rsidRPr="005A7D71" w:rsidTr="0094161B">
        <w:tc>
          <w:tcPr>
            <w:tcW w:w="726" w:type="pct"/>
            <w:shd w:val="clear" w:color="auto" w:fill="auto"/>
            <w:vAlign w:val="center"/>
          </w:tcPr>
          <w:p w:rsidR="00344E94" w:rsidRPr="005A7D71" w:rsidRDefault="00344E94" w:rsidP="00326854">
            <w:pPr>
              <w:keepNext/>
              <w:keepLines/>
              <w:jc w:val="left"/>
              <w:rPr>
                <w:rFonts w:ascii="Arial Narrow" w:hAnsi="Arial Narrow"/>
                <w:bCs/>
                <w:sz w:val="20"/>
                <w:szCs w:val="20"/>
                <w:lang w:val="en-US"/>
              </w:rPr>
            </w:pPr>
            <w:r w:rsidRPr="005A7D71">
              <w:rPr>
                <w:rFonts w:ascii="Arial Narrow" w:hAnsi="Arial Narrow"/>
                <w:bCs/>
                <w:sz w:val="20"/>
                <w:szCs w:val="20"/>
                <w:lang w:val="en-US"/>
              </w:rPr>
              <w:t>BOLERO-2</w:t>
            </w:r>
          </w:p>
        </w:tc>
        <w:tc>
          <w:tcPr>
            <w:tcW w:w="764" w:type="pct"/>
            <w:shd w:val="clear" w:color="auto" w:fill="auto"/>
            <w:vAlign w:val="center"/>
          </w:tcPr>
          <w:p w:rsidR="00E96752" w:rsidRDefault="00E96752" w:rsidP="00326854">
            <w:pPr>
              <w:keepNext/>
              <w:keepLines/>
              <w:jc w:val="left"/>
              <w:rPr>
                <w:rFonts w:ascii="Arial Narrow" w:hAnsi="Arial Narrow"/>
                <w:bCs/>
                <w:sz w:val="20"/>
                <w:szCs w:val="20"/>
                <w:lang w:val="en-US"/>
              </w:rPr>
            </w:pPr>
            <w:r>
              <w:rPr>
                <w:rFonts w:ascii="Arial Narrow" w:hAnsi="Arial Narrow"/>
                <w:bCs/>
                <w:sz w:val="20"/>
                <w:szCs w:val="20"/>
                <w:lang w:val="en-US"/>
              </w:rPr>
              <w:t>ITT</w:t>
            </w:r>
          </w:p>
          <w:p w:rsidR="00344E94" w:rsidRPr="005A7D71" w:rsidRDefault="00344E94" w:rsidP="00326854">
            <w:pPr>
              <w:keepNext/>
              <w:keepLines/>
              <w:jc w:val="left"/>
              <w:rPr>
                <w:rFonts w:ascii="Arial Narrow" w:hAnsi="Arial Narrow"/>
                <w:bCs/>
                <w:sz w:val="20"/>
                <w:szCs w:val="20"/>
                <w:lang w:val="en-US"/>
              </w:rPr>
            </w:pPr>
            <w:r w:rsidRPr="005A7D71">
              <w:rPr>
                <w:rFonts w:ascii="Arial Narrow" w:hAnsi="Arial Narrow"/>
                <w:bCs/>
                <w:sz w:val="20"/>
                <w:szCs w:val="20"/>
                <w:lang w:val="en-US"/>
              </w:rPr>
              <w:t>EVE+EXE: 485</w:t>
            </w:r>
          </w:p>
          <w:p w:rsidR="00344E94" w:rsidRPr="005A7D71" w:rsidRDefault="00344E94" w:rsidP="00326854">
            <w:pPr>
              <w:keepNext/>
              <w:keepLines/>
              <w:jc w:val="left"/>
              <w:rPr>
                <w:rFonts w:ascii="Arial Narrow" w:hAnsi="Arial Narrow"/>
                <w:bCs/>
                <w:sz w:val="20"/>
                <w:szCs w:val="20"/>
                <w:lang w:val="en-US"/>
              </w:rPr>
            </w:pPr>
            <w:r w:rsidRPr="005A7D71">
              <w:rPr>
                <w:rFonts w:ascii="Arial Narrow" w:hAnsi="Arial Narrow"/>
                <w:bCs/>
                <w:sz w:val="20"/>
                <w:szCs w:val="20"/>
                <w:lang w:val="en-US"/>
              </w:rPr>
              <w:t>PBO+EXE: 239</w:t>
            </w:r>
          </w:p>
        </w:tc>
        <w:tc>
          <w:tcPr>
            <w:tcW w:w="864" w:type="pct"/>
            <w:shd w:val="clear" w:color="auto" w:fill="auto"/>
            <w:vAlign w:val="center"/>
          </w:tcPr>
          <w:p w:rsidR="00344E94" w:rsidRPr="005A7D71" w:rsidRDefault="00344E94" w:rsidP="00326854">
            <w:pPr>
              <w:keepNext/>
              <w:keepLines/>
              <w:jc w:val="center"/>
              <w:rPr>
                <w:rFonts w:ascii="Arial Narrow" w:hAnsi="Arial Narrow"/>
                <w:bCs/>
                <w:sz w:val="20"/>
                <w:szCs w:val="20"/>
                <w:lang w:val="en-US"/>
              </w:rPr>
            </w:pPr>
            <w:r w:rsidRPr="005A7D71">
              <w:rPr>
                <w:rFonts w:ascii="Arial Narrow" w:hAnsi="Arial Narrow"/>
                <w:bCs/>
                <w:sz w:val="20"/>
                <w:szCs w:val="20"/>
                <w:lang w:val="en-US"/>
              </w:rPr>
              <w:t>R, DB</w:t>
            </w:r>
          </w:p>
          <w:p w:rsidR="00344E94" w:rsidRPr="005A7D71" w:rsidRDefault="00344E94" w:rsidP="00326854">
            <w:pPr>
              <w:keepNext/>
              <w:keepLines/>
              <w:jc w:val="center"/>
              <w:rPr>
                <w:rFonts w:ascii="Arial Narrow" w:hAnsi="Arial Narrow"/>
                <w:bCs/>
                <w:sz w:val="20"/>
                <w:szCs w:val="20"/>
                <w:lang w:val="en-US"/>
              </w:rPr>
            </w:pPr>
            <w:r w:rsidRPr="005A7D71">
              <w:rPr>
                <w:rFonts w:ascii="Arial Narrow" w:hAnsi="Arial Narrow"/>
                <w:bCs/>
                <w:sz w:val="20"/>
                <w:szCs w:val="20"/>
                <w:lang w:val="en-US"/>
              </w:rPr>
              <w:t>39.3 m (Oct 2013 cut-off, trial completed)</w:t>
            </w:r>
          </w:p>
        </w:tc>
        <w:tc>
          <w:tcPr>
            <w:tcW w:w="394" w:type="pct"/>
            <w:shd w:val="clear" w:color="auto" w:fill="auto"/>
            <w:vAlign w:val="center"/>
          </w:tcPr>
          <w:p w:rsidR="00344E94" w:rsidRPr="007E0B5F" w:rsidRDefault="00344E94" w:rsidP="00326854">
            <w:pPr>
              <w:keepNext/>
              <w:keepLines/>
              <w:jc w:val="center"/>
              <w:rPr>
                <w:rFonts w:ascii="Arial Narrow" w:hAnsi="Arial Narrow"/>
                <w:bCs/>
                <w:sz w:val="20"/>
                <w:szCs w:val="20"/>
                <w:lang w:val="en-US"/>
              </w:rPr>
            </w:pPr>
            <w:r w:rsidRPr="007E0B5F">
              <w:rPr>
                <w:rFonts w:ascii="Arial Narrow" w:hAnsi="Arial Narrow"/>
                <w:bCs/>
                <w:iCs/>
                <w:sz w:val="20"/>
                <w:szCs w:val="20"/>
                <w:lang w:val="en-US"/>
              </w:rPr>
              <w:t>Low</w:t>
            </w:r>
          </w:p>
        </w:tc>
        <w:tc>
          <w:tcPr>
            <w:tcW w:w="1729" w:type="pct"/>
            <w:shd w:val="clear" w:color="auto" w:fill="auto"/>
            <w:vAlign w:val="center"/>
          </w:tcPr>
          <w:p w:rsidR="00344E94" w:rsidRPr="005A7D71" w:rsidRDefault="00344E94" w:rsidP="00326854">
            <w:pPr>
              <w:keepNext/>
              <w:keepLines/>
              <w:jc w:val="left"/>
              <w:rPr>
                <w:rFonts w:ascii="Arial Narrow" w:hAnsi="Arial Narrow"/>
                <w:bCs/>
                <w:sz w:val="20"/>
                <w:szCs w:val="20"/>
                <w:lang w:val="en-US"/>
              </w:rPr>
            </w:pPr>
            <w:r>
              <w:rPr>
                <w:rFonts w:ascii="Arial Narrow" w:hAnsi="Arial Narrow"/>
                <w:bCs/>
                <w:sz w:val="20"/>
                <w:szCs w:val="20"/>
                <w:lang w:val="en-US"/>
              </w:rPr>
              <w:t>Subgroup r</w:t>
            </w:r>
            <w:r w:rsidRPr="005A7D71">
              <w:rPr>
                <w:rFonts w:ascii="Arial Narrow" w:hAnsi="Arial Narrow"/>
                <w:bCs/>
                <w:sz w:val="20"/>
                <w:szCs w:val="20"/>
                <w:lang w:val="en-US"/>
              </w:rPr>
              <w:t>esistant to first-line AI monotherapy</w:t>
            </w:r>
            <w:r w:rsidR="00651387">
              <w:rPr>
                <w:rFonts w:ascii="Arial Narrow" w:hAnsi="Arial Narrow"/>
                <w:bCs/>
                <w:sz w:val="20"/>
                <w:szCs w:val="20"/>
                <w:lang w:val="en-US"/>
              </w:rPr>
              <w:t xml:space="preserve"> </w:t>
            </w:r>
            <w:r w:rsidR="00651387" w:rsidRPr="008528AD">
              <w:rPr>
                <w:rFonts w:ascii="Arial Narrow" w:hAnsi="Arial Narrow"/>
                <w:bCs/>
                <w:sz w:val="20"/>
                <w:szCs w:val="20"/>
                <w:lang w:val="en-US"/>
              </w:rPr>
              <w:t>(n=192, reduced to 101 after weighting)</w:t>
            </w:r>
          </w:p>
        </w:tc>
        <w:tc>
          <w:tcPr>
            <w:tcW w:w="522" w:type="pct"/>
            <w:shd w:val="clear" w:color="auto" w:fill="auto"/>
            <w:vAlign w:val="center"/>
          </w:tcPr>
          <w:p w:rsidR="00344E94" w:rsidRPr="005A7D71" w:rsidRDefault="00344E94" w:rsidP="00326854">
            <w:pPr>
              <w:keepNext/>
              <w:keepLines/>
              <w:jc w:val="center"/>
              <w:rPr>
                <w:rFonts w:ascii="Arial Narrow" w:hAnsi="Arial Narrow"/>
                <w:bCs/>
                <w:sz w:val="20"/>
                <w:szCs w:val="20"/>
                <w:lang w:val="en-US"/>
              </w:rPr>
            </w:pPr>
            <w:r w:rsidRPr="005A7D71">
              <w:rPr>
                <w:rFonts w:ascii="Arial Narrow" w:hAnsi="Arial Narrow"/>
                <w:bCs/>
                <w:sz w:val="20"/>
                <w:szCs w:val="20"/>
                <w:lang w:val="en-US"/>
              </w:rPr>
              <w:t>PFS, OS</w:t>
            </w:r>
          </w:p>
        </w:tc>
      </w:tr>
    </w:tbl>
    <w:p w:rsidR="005A7D71" w:rsidRPr="005A7D71" w:rsidRDefault="005A7D71" w:rsidP="005A7D71">
      <w:pPr>
        <w:pStyle w:val="TableFigureFooter"/>
      </w:pPr>
      <w:r w:rsidRPr="005A7D71">
        <w:t>DB = double blind; ABC= advanced breast cancer; OS = overall survival; PFS = progression-free survival; R = randomised; OL=open label; AD= approved dose; LD, loading dose; RIBO= ribociclib; EXE= exemestane; AI= aromatase inhibitor; FULV= fulvestrant (full dose , 500mg); FULV250= fulvestrant 250mg; LET= letrozole; FULV500= fulvestrant 250mg; NSAI= non-steroidal aromatase inhibitor; LD, loading dose; NR, not reported; m= months; TTP= time to progression; ObRR= ;ANA= anastrozole; CBR= clinical benefit rate; ObRR= objective response rate.</w:t>
      </w:r>
    </w:p>
    <w:p w:rsidR="0094161B" w:rsidRPr="00B02907" w:rsidRDefault="00E96752" w:rsidP="005A7D71">
      <w:pPr>
        <w:pStyle w:val="TableFigureFooter"/>
        <w:rPr>
          <w:iCs/>
        </w:rPr>
      </w:pPr>
      <w:r w:rsidRPr="00B02907">
        <w:rPr>
          <w:iCs/>
          <w:vertAlign w:val="superscript"/>
        </w:rPr>
        <w:t xml:space="preserve">a </w:t>
      </w:r>
      <w:r w:rsidRPr="00B02907">
        <w:rPr>
          <w:iCs/>
        </w:rPr>
        <w:t xml:space="preserve">Includes 237 patients who were </w:t>
      </w:r>
      <w:r w:rsidR="00BE2CB8" w:rsidRPr="00B02907">
        <w:rPr>
          <w:iCs/>
        </w:rPr>
        <w:t xml:space="preserve">first-line </w:t>
      </w:r>
      <w:r w:rsidRPr="00B02907">
        <w:rPr>
          <w:iCs/>
        </w:rPr>
        <w:t xml:space="preserve">endocrine sensitive (de novo or </w:t>
      </w:r>
      <w:r w:rsidR="00E95A17" w:rsidRPr="00B02907">
        <w:rPr>
          <w:iCs/>
        </w:rPr>
        <w:t xml:space="preserve">patients who had </w:t>
      </w:r>
      <w:r w:rsidR="00A17746" w:rsidRPr="00B02907">
        <w:rPr>
          <w:iCs/>
        </w:rPr>
        <w:t xml:space="preserve">relapsed ≥ 12 months after </w:t>
      </w:r>
      <w:r w:rsidR="00E95A17" w:rsidRPr="00B02907">
        <w:rPr>
          <w:iCs/>
        </w:rPr>
        <w:t>receiv</w:t>
      </w:r>
      <w:r w:rsidR="00A17746" w:rsidRPr="00B02907">
        <w:rPr>
          <w:iCs/>
        </w:rPr>
        <w:t>ing</w:t>
      </w:r>
      <w:r w:rsidR="00E95A17" w:rsidRPr="00B02907">
        <w:rPr>
          <w:iCs/>
        </w:rPr>
        <w:t xml:space="preserve"> endocrine therapy in the (neo)adjuvant setting</w:t>
      </w:r>
      <w:r w:rsidRPr="00B02907">
        <w:rPr>
          <w:iCs/>
        </w:rPr>
        <w:t xml:space="preserve">) and 65 patients whose disease relapsed within 12 months </w:t>
      </w:r>
      <w:r w:rsidR="00BE2CB8" w:rsidRPr="00B02907">
        <w:rPr>
          <w:iCs/>
        </w:rPr>
        <w:t xml:space="preserve">of </w:t>
      </w:r>
      <w:r w:rsidRPr="00B02907">
        <w:rPr>
          <w:iCs/>
        </w:rPr>
        <w:t xml:space="preserve">neoadjuvant therapy, excluding those with last (neo) adjuvant </w:t>
      </w:r>
      <w:r w:rsidR="00A17746" w:rsidRPr="00B02907">
        <w:rPr>
          <w:iCs/>
        </w:rPr>
        <w:t>endocrine therapy</w:t>
      </w:r>
      <w:r w:rsidRPr="00B02907">
        <w:rPr>
          <w:iCs/>
        </w:rPr>
        <w:t xml:space="preserve"> with anastrozole or letrozole</w:t>
      </w:r>
      <w:r w:rsidR="001C3B56" w:rsidRPr="00B02907">
        <w:rPr>
          <w:iCs/>
        </w:rPr>
        <w:t>.</w:t>
      </w:r>
      <w:r w:rsidRPr="00B02907" w:rsidDel="00344E94">
        <w:rPr>
          <w:iCs/>
        </w:rPr>
        <w:t xml:space="preserve"> </w:t>
      </w:r>
    </w:p>
    <w:p w:rsidR="005A7D71" w:rsidRPr="007E0B5F" w:rsidRDefault="005A7D71" w:rsidP="00612DE2">
      <w:pPr>
        <w:pStyle w:val="TableFigureFooter"/>
        <w:tabs>
          <w:tab w:val="left" w:pos="0"/>
        </w:tabs>
        <w:spacing w:after="240"/>
      </w:pPr>
      <w:r w:rsidRPr="007E0B5F">
        <w:t xml:space="preserve">Source: </w:t>
      </w:r>
      <w:r w:rsidRPr="007E0B5F">
        <w:rPr>
          <w:iCs/>
        </w:rPr>
        <w:t>Complied during the evaluation based on Tables 2-14 to 2-18, pp88-95 of the submission; Table 2-60, 2-65</w:t>
      </w:r>
      <w:r w:rsidRPr="007E0B5F">
        <w:t xml:space="preserve">, </w:t>
      </w:r>
      <w:r w:rsidRPr="007E0B5F">
        <w:rPr>
          <w:iCs/>
        </w:rPr>
        <w:t>pp148, 157 of the submission</w:t>
      </w:r>
      <w:r w:rsidR="00344E94">
        <w:rPr>
          <w:iCs/>
        </w:rPr>
        <w:t>.</w:t>
      </w:r>
      <w:r w:rsidRPr="007E0B5F">
        <w:t xml:space="preserve"> </w:t>
      </w:r>
    </w:p>
    <w:p w:rsidR="00B72AEF" w:rsidRPr="007E0B5F" w:rsidRDefault="00B72AEF" w:rsidP="00EA4C32">
      <w:pPr>
        <w:pStyle w:val="3-BodyText"/>
        <w:rPr>
          <w:iCs/>
        </w:rPr>
      </w:pPr>
      <w:r w:rsidRPr="007E0B5F">
        <w:rPr>
          <w:iCs/>
        </w:rPr>
        <w:t>The risk of bias in the three main trials included in the Effectiveness Analysis 2 is considered low. However, the risk of bias due to the indirect nature of the comparisons may be considered high.</w:t>
      </w:r>
      <w:r w:rsidR="00416EA6" w:rsidRPr="00416EA6">
        <w:rPr>
          <w:snapToGrid/>
        </w:rPr>
        <w:t xml:space="preserve"> </w:t>
      </w:r>
      <w:r w:rsidR="00416EA6" w:rsidRPr="00B02907">
        <w:rPr>
          <w:snapToGrid/>
        </w:rPr>
        <w:t>Unanchored MAICs can be more prone to uncertainty than anchored MAICs in that they do not use within-study randomised data, and are prone to confounding due to unaccounted for differences in prognostic factors across single arms of different studies.</w:t>
      </w:r>
      <w:r w:rsidR="00416EA6" w:rsidRPr="0072530F">
        <w:rPr>
          <w:snapToGrid/>
        </w:rPr>
        <w:t xml:space="preserve">  </w:t>
      </w:r>
    </w:p>
    <w:p w:rsidR="00B60939" w:rsidRDefault="00B60939" w:rsidP="00EC5836">
      <w:pPr>
        <w:pStyle w:val="4-SubsectionHeading"/>
      </w:pPr>
      <w:bookmarkStart w:id="23" w:name="_Toc22897641"/>
      <w:bookmarkStart w:id="24" w:name="_Toc38290343"/>
      <w:bookmarkStart w:id="25" w:name="_Toc40716943"/>
      <w:r w:rsidRPr="00C9624D">
        <w:t>Comparative effectiveness</w:t>
      </w:r>
      <w:bookmarkEnd w:id="23"/>
      <w:bookmarkEnd w:id="24"/>
      <w:bookmarkEnd w:id="25"/>
    </w:p>
    <w:p w:rsidR="00360D0A" w:rsidRPr="00B02907" w:rsidRDefault="00360D0A" w:rsidP="00360D0A">
      <w:pPr>
        <w:pStyle w:val="3-BodyText"/>
      </w:pPr>
      <w:r>
        <w:t xml:space="preserve">PFS and OS outcomes from the key trials are shown </w:t>
      </w:r>
      <w:r w:rsidRPr="00BA35A3">
        <w:t xml:space="preserve">in </w:t>
      </w:r>
      <w:r w:rsidR="00BA35A3" w:rsidRPr="00BA35A3">
        <w:t xml:space="preserve">Table </w:t>
      </w:r>
      <w:r w:rsidR="00BA35A3" w:rsidRPr="00D90EBA">
        <w:t>4</w:t>
      </w:r>
      <w:r w:rsidRPr="00D90EBA">
        <w:t>.</w:t>
      </w:r>
      <w:r w:rsidR="00896E7D" w:rsidRPr="00D90EBA">
        <w:t xml:space="preserve"> </w:t>
      </w:r>
      <w:r w:rsidR="00896E7D" w:rsidRPr="00B02907">
        <w:t xml:space="preserve">Note the results are only presented for the whole trial population, whereas the data used in the </w:t>
      </w:r>
      <w:r w:rsidR="00D90EBA" w:rsidRPr="00B02907">
        <w:t>unanchored</w:t>
      </w:r>
      <w:r w:rsidR="00896E7D" w:rsidRPr="00B02907">
        <w:t xml:space="preserve"> MAICS were based on subgroups for MONALESSA-3 and BOLERO-2.</w:t>
      </w:r>
    </w:p>
    <w:p w:rsidR="00FE4C17" w:rsidRPr="00FE4C17" w:rsidRDefault="00FE4C17" w:rsidP="00FE4C17">
      <w:pPr>
        <w:pStyle w:val="TableFigureHeading"/>
        <w:rPr>
          <w:rStyle w:val="CommentReference"/>
          <w:b/>
          <w:szCs w:val="24"/>
        </w:rPr>
      </w:pPr>
      <w:r w:rsidRPr="00FE4C17">
        <w:rPr>
          <w:rStyle w:val="CommentReference"/>
          <w:b/>
          <w:szCs w:val="24"/>
        </w:rPr>
        <w:t xml:space="preserve">Table </w:t>
      </w:r>
      <w:r w:rsidR="00BA35A3">
        <w:rPr>
          <w:rStyle w:val="CommentReference"/>
          <w:b/>
          <w:szCs w:val="24"/>
        </w:rPr>
        <w:t>4</w:t>
      </w:r>
      <w:r w:rsidRPr="00FE4C17">
        <w:rPr>
          <w:rStyle w:val="CommentReference"/>
          <w:b/>
          <w:szCs w:val="24"/>
        </w:rPr>
        <w:t xml:space="preserve">: Summary of survival outcomes in the </w:t>
      </w:r>
      <w:r>
        <w:rPr>
          <w:rStyle w:val="CommentReference"/>
          <w:b/>
          <w:szCs w:val="24"/>
        </w:rPr>
        <w:t xml:space="preserve">key </w:t>
      </w:r>
      <w:r w:rsidRPr="00FE4C17">
        <w:rPr>
          <w:rStyle w:val="CommentReference"/>
          <w:b/>
          <w:szCs w:val="24"/>
        </w:rPr>
        <w:t xml:space="preserve">trials </w:t>
      </w:r>
      <w:r w:rsidR="00F47BAD">
        <w:rPr>
          <w:rStyle w:val="CommentReference"/>
          <w:b/>
          <w:szCs w:val="24"/>
        </w:rPr>
        <w:t>(whole trial population)</w:t>
      </w:r>
    </w:p>
    <w:tbl>
      <w:tblPr>
        <w:tblW w:w="500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2269"/>
        <w:gridCol w:w="1841"/>
        <w:gridCol w:w="1652"/>
      </w:tblGrid>
      <w:tr w:rsidR="00FE4C17" w:rsidRPr="00BA2AC7" w:rsidTr="00BA35A3">
        <w:trPr>
          <w:tblHeader/>
        </w:trPr>
        <w:tc>
          <w:tcPr>
            <w:tcW w:w="1805" w:type="pct"/>
            <w:tcMar>
              <w:left w:w="57" w:type="dxa"/>
              <w:right w:w="57" w:type="dxa"/>
            </w:tcMar>
            <w:vAlign w:val="center"/>
          </w:tcPr>
          <w:p w:rsidR="00FE4C17" w:rsidRPr="00D0157D" w:rsidRDefault="00FE4C17" w:rsidP="0038470F">
            <w:pPr>
              <w:keepNext/>
              <w:keepLines/>
              <w:jc w:val="left"/>
              <w:rPr>
                <w:rFonts w:ascii="Arial Narrow" w:hAnsi="Arial Narrow"/>
                <w:b/>
                <w:sz w:val="20"/>
                <w:szCs w:val="20"/>
                <w:lang w:val="en-US"/>
              </w:rPr>
            </w:pPr>
            <w:r w:rsidRPr="00D0157D">
              <w:rPr>
                <w:rFonts w:ascii="Arial Narrow" w:hAnsi="Arial Narrow"/>
                <w:b/>
                <w:sz w:val="20"/>
                <w:szCs w:val="20"/>
                <w:lang w:val="en-US"/>
              </w:rPr>
              <w:t>Outcomes</w:t>
            </w:r>
          </w:p>
        </w:tc>
        <w:tc>
          <w:tcPr>
            <w:tcW w:w="1258" w:type="pct"/>
            <w:tcMar>
              <w:left w:w="57" w:type="dxa"/>
              <w:right w:w="57" w:type="dxa"/>
            </w:tcMar>
            <w:vAlign w:val="center"/>
          </w:tcPr>
          <w:p w:rsidR="00FE4C17" w:rsidRPr="00D0157D" w:rsidRDefault="00FE4C17" w:rsidP="0038470F">
            <w:pPr>
              <w:keepNext/>
              <w:keepLines/>
              <w:jc w:val="center"/>
              <w:rPr>
                <w:rFonts w:ascii="Arial Narrow" w:hAnsi="Arial Narrow"/>
                <w:b/>
                <w:sz w:val="20"/>
                <w:szCs w:val="20"/>
                <w:lang w:val="en-US"/>
              </w:rPr>
            </w:pPr>
            <w:r w:rsidRPr="00D0157D">
              <w:rPr>
                <w:rFonts w:ascii="Arial Narrow" w:hAnsi="Arial Narrow"/>
                <w:b/>
                <w:sz w:val="20"/>
                <w:szCs w:val="20"/>
                <w:lang w:val="en-US"/>
              </w:rPr>
              <w:t>Proposed medicine n/N (%)</w:t>
            </w:r>
          </w:p>
        </w:tc>
        <w:tc>
          <w:tcPr>
            <w:tcW w:w="1021" w:type="pct"/>
            <w:tcMar>
              <w:left w:w="57" w:type="dxa"/>
              <w:right w:w="57" w:type="dxa"/>
            </w:tcMar>
            <w:vAlign w:val="center"/>
          </w:tcPr>
          <w:p w:rsidR="00FE4C17" w:rsidRPr="00D0157D" w:rsidRDefault="00FE4C17" w:rsidP="0038470F">
            <w:pPr>
              <w:keepNext/>
              <w:keepLines/>
              <w:jc w:val="center"/>
              <w:rPr>
                <w:rFonts w:ascii="Arial Narrow" w:hAnsi="Arial Narrow"/>
                <w:b/>
                <w:sz w:val="20"/>
                <w:szCs w:val="20"/>
                <w:lang w:val="en-US"/>
              </w:rPr>
            </w:pPr>
            <w:r w:rsidRPr="00D0157D">
              <w:rPr>
                <w:rFonts w:ascii="Arial Narrow" w:hAnsi="Arial Narrow"/>
                <w:b/>
                <w:sz w:val="20"/>
                <w:szCs w:val="20"/>
                <w:lang w:val="en-US"/>
              </w:rPr>
              <w:t>Comparator n/N (%)</w:t>
            </w:r>
          </w:p>
        </w:tc>
        <w:tc>
          <w:tcPr>
            <w:tcW w:w="916" w:type="pct"/>
            <w:tcMar>
              <w:left w:w="57" w:type="dxa"/>
              <w:right w:w="57" w:type="dxa"/>
            </w:tcMar>
            <w:vAlign w:val="center"/>
          </w:tcPr>
          <w:p w:rsidR="00FE4C17" w:rsidRPr="00D0157D" w:rsidRDefault="00FE4C17" w:rsidP="0038470F">
            <w:pPr>
              <w:keepNext/>
              <w:keepLines/>
              <w:jc w:val="center"/>
              <w:rPr>
                <w:rFonts w:ascii="Arial Narrow" w:hAnsi="Arial Narrow"/>
                <w:b/>
                <w:sz w:val="20"/>
                <w:szCs w:val="20"/>
                <w:lang w:val="en-US"/>
              </w:rPr>
            </w:pPr>
            <w:r w:rsidRPr="00D0157D">
              <w:rPr>
                <w:rFonts w:ascii="Arial Narrow" w:hAnsi="Arial Narrow"/>
                <w:b/>
                <w:sz w:val="20"/>
                <w:szCs w:val="20"/>
                <w:lang w:val="en-US"/>
              </w:rPr>
              <w:t>HR (95% CI)</w:t>
            </w:r>
          </w:p>
        </w:tc>
      </w:tr>
      <w:tr w:rsidR="00BA35A3" w:rsidRPr="00BA2AC7" w:rsidTr="00BA35A3">
        <w:tc>
          <w:tcPr>
            <w:tcW w:w="1805" w:type="pct"/>
            <w:vAlign w:val="center"/>
          </w:tcPr>
          <w:p w:rsidR="00BA35A3" w:rsidRPr="00D0157D" w:rsidRDefault="00BA35A3" w:rsidP="00BA35A3">
            <w:pPr>
              <w:keepNext/>
              <w:keepLines/>
              <w:jc w:val="left"/>
              <w:rPr>
                <w:rFonts w:ascii="Arial Narrow" w:hAnsi="Arial Narrow"/>
                <w:b/>
                <w:sz w:val="20"/>
                <w:szCs w:val="20"/>
                <w:lang w:val="en-US"/>
              </w:rPr>
            </w:pPr>
            <w:r w:rsidRPr="00D0157D">
              <w:rPr>
                <w:rFonts w:ascii="Arial Narrow" w:hAnsi="Arial Narrow"/>
                <w:b/>
                <w:sz w:val="20"/>
                <w:szCs w:val="20"/>
                <w:lang w:val="en-US"/>
              </w:rPr>
              <w:t>MONALEESA-3 (whole trial population)</w:t>
            </w:r>
          </w:p>
        </w:tc>
        <w:tc>
          <w:tcPr>
            <w:tcW w:w="1258" w:type="pct"/>
            <w:vAlign w:val="center"/>
          </w:tcPr>
          <w:p w:rsidR="00BA35A3" w:rsidRPr="00D0157D" w:rsidRDefault="00BA35A3" w:rsidP="00BA35A3">
            <w:pPr>
              <w:keepNext/>
              <w:keepLines/>
              <w:jc w:val="center"/>
              <w:rPr>
                <w:rFonts w:ascii="Arial Narrow" w:hAnsi="Arial Narrow"/>
                <w:b/>
                <w:sz w:val="20"/>
                <w:szCs w:val="20"/>
                <w:lang w:val="en-US"/>
              </w:rPr>
            </w:pPr>
            <w:r w:rsidRPr="00D0157D">
              <w:rPr>
                <w:rFonts w:ascii="Arial Narrow" w:hAnsi="Arial Narrow"/>
                <w:b/>
                <w:sz w:val="20"/>
                <w:szCs w:val="20"/>
                <w:lang w:val="en-US"/>
              </w:rPr>
              <w:t>RIBO+FULV500</w:t>
            </w:r>
          </w:p>
        </w:tc>
        <w:tc>
          <w:tcPr>
            <w:tcW w:w="1021" w:type="pct"/>
            <w:vAlign w:val="center"/>
          </w:tcPr>
          <w:p w:rsidR="00BA35A3" w:rsidRPr="00D0157D" w:rsidRDefault="00BA35A3" w:rsidP="00BA35A3">
            <w:pPr>
              <w:keepNext/>
              <w:keepLines/>
              <w:jc w:val="center"/>
              <w:rPr>
                <w:rFonts w:ascii="Arial Narrow" w:hAnsi="Arial Narrow"/>
                <w:b/>
                <w:sz w:val="20"/>
                <w:szCs w:val="20"/>
                <w:lang w:val="en-US"/>
              </w:rPr>
            </w:pPr>
            <w:r w:rsidRPr="00D0157D">
              <w:rPr>
                <w:rFonts w:ascii="Arial Narrow" w:hAnsi="Arial Narrow"/>
                <w:b/>
                <w:sz w:val="20"/>
                <w:szCs w:val="20"/>
                <w:lang w:val="en-US"/>
              </w:rPr>
              <w:t>PBO+FULV500</w:t>
            </w:r>
          </w:p>
        </w:tc>
        <w:tc>
          <w:tcPr>
            <w:tcW w:w="916" w:type="pct"/>
            <w:vAlign w:val="center"/>
          </w:tcPr>
          <w:p w:rsidR="00BA35A3" w:rsidRPr="00D0157D" w:rsidRDefault="00BA35A3" w:rsidP="00BA35A3">
            <w:pPr>
              <w:keepNext/>
              <w:keepLines/>
              <w:jc w:val="center"/>
              <w:rPr>
                <w:rFonts w:ascii="Arial Narrow" w:hAnsi="Arial Narrow"/>
                <w:b/>
                <w:sz w:val="20"/>
                <w:szCs w:val="20"/>
                <w:lang w:val="en-US"/>
              </w:rPr>
            </w:pPr>
          </w:p>
        </w:tc>
      </w:tr>
      <w:tr w:rsidR="00BA35A3" w:rsidRPr="00BA2AC7" w:rsidTr="00BA35A3">
        <w:tc>
          <w:tcPr>
            <w:tcW w:w="5000" w:type="pct"/>
            <w:gridSpan w:val="4"/>
            <w:vAlign w:val="center"/>
          </w:tcPr>
          <w:p w:rsidR="00BA35A3" w:rsidRPr="00D0157D" w:rsidRDefault="00BA35A3" w:rsidP="00F741FA">
            <w:pPr>
              <w:keepNext/>
              <w:keepLines/>
              <w:jc w:val="left"/>
              <w:rPr>
                <w:rFonts w:ascii="Arial Narrow" w:hAnsi="Arial Narrow"/>
                <w:b/>
                <w:sz w:val="20"/>
                <w:szCs w:val="20"/>
                <w:lang w:val="en-US"/>
              </w:rPr>
            </w:pPr>
            <w:r w:rsidRPr="00D0157D">
              <w:rPr>
                <w:rFonts w:ascii="Arial Narrow" w:hAnsi="Arial Narrow"/>
                <w:b/>
                <w:sz w:val="20"/>
                <w:szCs w:val="20"/>
                <w:lang w:val="en-US"/>
              </w:rPr>
              <w:t>Progression-free survival</w:t>
            </w:r>
            <w:r w:rsidR="00DF387D">
              <w:rPr>
                <w:rFonts w:ascii="Arial Narrow" w:hAnsi="Arial Narrow"/>
                <w:b/>
                <w:sz w:val="20"/>
                <w:szCs w:val="20"/>
                <w:lang w:val="en-US"/>
              </w:rPr>
              <w:t xml:space="preserve"> (Nov 2017 cut-off)</w:t>
            </w:r>
          </w:p>
        </w:tc>
      </w:tr>
      <w:tr w:rsidR="00BA35A3" w:rsidRPr="00BA2AC7" w:rsidTr="00BA35A3">
        <w:tc>
          <w:tcPr>
            <w:tcW w:w="1805" w:type="pct"/>
            <w:vAlign w:val="center"/>
          </w:tcPr>
          <w:p w:rsidR="00BA35A3" w:rsidRPr="00D0157D" w:rsidRDefault="00BA35A3" w:rsidP="00BA35A3">
            <w:pPr>
              <w:keepNext/>
              <w:keepLines/>
              <w:jc w:val="left"/>
              <w:rPr>
                <w:rFonts w:ascii="Arial Narrow" w:hAnsi="Arial Narrow"/>
                <w:bCs/>
                <w:sz w:val="20"/>
                <w:szCs w:val="20"/>
              </w:rPr>
            </w:pPr>
            <w:r w:rsidRPr="00D0157D">
              <w:rPr>
                <w:rFonts w:ascii="Arial Narrow" w:hAnsi="Arial Narrow"/>
                <w:bCs/>
                <w:sz w:val="20"/>
                <w:szCs w:val="20"/>
              </w:rPr>
              <w:t>Patients with event</w:t>
            </w:r>
          </w:p>
        </w:tc>
        <w:tc>
          <w:tcPr>
            <w:tcW w:w="1258" w:type="pct"/>
            <w:vAlign w:val="center"/>
          </w:tcPr>
          <w:p w:rsidR="00BA35A3" w:rsidRPr="00D0157D" w:rsidRDefault="00BA35A3" w:rsidP="00BA35A3">
            <w:pPr>
              <w:keepNext/>
              <w:keepLines/>
              <w:jc w:val="center"/>
              <w:rPr>
                <w:rFonts w:ascii="Arial Narrow" w:hAnsi="Arial Narrow"/>
                <w:bCs/>
                <w:sz w:val="20"/>
                <w:szCs w:val="20"/>
              </w:rPr>
            </w:pPr>
            <w:r w:rsidRPr="00D0157D">
              <w:rPr>
                <w:rFonts w:ascii="Arial Narrow" w:hAnsi="Arial Narrow"/>
                <w:bCs/>
                <w:sz w:val="20"/>
                <w:szCs w:val="20"/>
              </w:rPr>
              <w:t>210/484 (43.4%)</w:t>
            </w:r>
          </w:p>
        </w:tc>
        <w:tc>
          <w:tcPr>
            <w:tcW w:w="1021" w:type="pct"/>
            <w:vAlign w:val="center"/>
          </w:tcPr>
          <w:p w:rsidR="00BA35A3" w:rsidRPr="00D0157D" w:rsidRDefault="00BA35A3" w:rsidP="00BA35A3">
            <w:pPr>
              <w:keepNext/>
              <w:keepLines/>
              <w:jc w:val="center"/>
              <w:rPr>
                <w:rFonts w:ascii="Arial Narrow" w:hAnsi="Arial Narrow"/>
                <w:bCs/>
                <w:sz w:val="20"/>
                <w:szCs w:val="20"/>
              </w:rPr>
            </w:pPr>
            <w:r w:rsidRPr="00D0157D">
              <w:rPr>
                <w:rFonts w:ascii="Arial Narrow" w:hAnsi="Arial Narrow"/>
                <w:bCs/>
                <w:sz w:val="20"/>
                <w:szCs w:val="20"/>
              </w:rPr>
              <w:t>151/242 (62.4%)</w:t>
            </w:r>
          </w:p>
        </w:tc>
        <w:tc>
          <w:tcPr>
            <w:tcW w:w="916" w:type="pct"/>
            <w:vMerge w:val="restart"/>
            <w:vAlign w:val="center"/>
          </w:tcPr>
          <w:p w:rsidR="00BA35A3" w:rsidRPr="00D0157D" w:rsidRDefault="00BA35A3" w:rsidP="00BA35A3">
            <w:pPr>
              <w:keepNext/>
              <w:keepLines/>
              <w:jc w:val="center"/>
              <w:rPr>
                <w:rFonts w:ascii="Arial Narrow" w:hAnsi="Arial Narrow"/>
                <w:bCs/>
                <w:sz w:val="20"/>
                <w:szCs w:val="20"/>
              </w:rPr>
            </w:pPr>
            <w:r w:rsidRPr="00D0157D">
              <w:rPr>
                <w:rFonts w:ascii="Arial Narrow" w:hAnsi="Arial Narrow"/>
                <w:bCs/>
                <w:sz w:val="20"/>
                <w:szCs w:val="20"/>
              </w:rPr>
              <w:t>0.593 (0.48, 0.73)</w:t>
            </w:r>
          </w:p>
        </w:tc>
      </w:tr>
      <w:tr w:rsidR="00BA35A3" w:rsidRPr="00BA2AC7" w:rsidTr="00BA35A3">
        <w:tc>
          <w:tcPr>
            <w:tcW w:w="1805" w:type="pct"/>
            <w:vAlign w:val="center"/>
          </w:tcPr>
          <w:p w:rsidR="00BA35A3" w:rsidRPr="00D0157D" w:rsidRDefault="00BA35A3" w:rsidP="00BA35A3">
            <w:pPr>
              <w:keepNext/>
              <w:keepLines/>
              <w:jc w:val="left"/>
              <w:rPr>
                <w:rFonts w:ascii="Arial Narrow" w:hAnsi="Arial Narrow"/>
                <w:bCs/>
                <w:sz w:val="20"/>
                <w:szCs w:val="20"/>
              </w:rPr>
            </w:pPr>
            <w:r w:rsidRPr="00D0157D">
              <w:rPr>
                <w:rFonts w:ascii="Arial Narrow" w:hAnsi="Arial Narrow"/>
                <w:bCs/>
                <w:sz w:val="20"/>
                <w:szCs w:val="20"/>
              </w:rPr>
              <w:t>Median PFS months</w:t>
            </w:r>
          </w:p>
        </w:tc>
        <w:tc>
          <w:tcPr>
            <w:tcW w:w="1258" w:type="pct"/>
            <w:vAlign w:val="center"/>
          </w:tcPr>
          <w:p w:rsidR="00BA35A3" w:rsidRPr="00D0157D" w:rsidRDefault="00BA35A3" w:rsidP="00BA35A3">
            <w:pPr>
              <w:keepNext/>
              <w:keepLines/>
              <w:jc w:val="center"/>
              <w:rPr>
                <w:rFonts w:ascii="Arial Narrow" w:hAnsi="Arial Narrow"/>
                <w:bCs/>
                <w:sz w:val="20"/>
                <w:szCs w:val="20"/>
              </w:rPr>
            </w:pPr>
            <w:r w:rsidRPr="00D0157D">
              <w:rPr>
                <w:rFonts w:ascii="Arial Narrow" w:hAnsi="Arial Narrow"/>
                <w:bCs/>
                <w:sz w:val="20"/>
                <w:szCs w:val="20"/>
              </w:rPr>
              <w:t>20.5 m</w:t>
            </w:r>
          </w:p>
        </w:tc>
        <w:tc>
          <w:tcPr>
            <w:tcW w:w="1021" w:type="pct"/>
            <w:vAlign w:val="center"/>
          </w:tcPr>
          <w:p w:rsidR="00BA35A3" w:rsidRPr="00D0157D" w:rsidRDefault="00BA35A3" w:rsidP="00BA35A3">
            <w:pPr>
              <w:keepNext/>
              <w:keepLines/>
              <w:jc w:val="center"/>
              <w:rPr>
                <w:rFonts w:ascii="Arial Narrow" w:hAnsi="Arial Narrow"/>
                <w:bCs/>
                <w:sz w:val="20"/>
                <w:szCs w:val="20"/>
              </w:rPr>
            </w:pPr>
            <w:r w:rsidRPr="00D0157D">
              <w:rPr>
                <w:rFonts w:ascii="Arial Narrow" w:hAnsi="Arial Narrow"/>
                <w:bCs/>
                <w:sz w:val="20"/>
                <w:szCs w:val="20"/>
              </w:rPr>
              <w:t>12.8 m</w:t>
            </w:r>
          </w:p>
        </w:tc>
        <w:tc>
          <w:tcPr>
            <w:tcW w:w="916" w:type="pct"/>
            <w:vMerge/>
            <w:vAlign w:val="center"/>
          </w:tcPr>
          <w:p w:rsidR="00BA35A3" w:rsidRPr="00D0157D" w:rsidRDefault="00BA35A3" w:rsidP="00BA35A3">
            <w:pPr>
              <w:keepNext/>
              <w:keepLines/>
              <w:jc w:val="center"/>
              <w:rPr>
                <w:rFonts w:ascii="Arial Narrow" w:hAnsi="Arial Narrow"/>
                <w:bCs/>
                <w:sz w:val="20"/>
                <w:szCs w:val="20"/>
              </w:rPr>
            </w:pPr>
          </w:p>
        </w:tc>
      </w:tr>
      <w:tr w:rsidR="00BA35A3" w:rsidRPr="00BA2AC7" w:rsidTr="00BA35A3">
        <w:tc>
          <w:tcPr>
            <w:tcW w:w="5000" w:type="pct"/>
            <w:gridSpan w:val="4"/>
            <w:vAlign w:val="center"/>
          </w:tcPr>
          <w:p w:rsidR="00BA35A3" w:rsidRPr="00D0157D" w:rsidRDefault="00BA35A3" w:rsidP="00F741FA">
            <w:pPr>
              <w:keepNext/>
              <w:keepLines/>
              <w:jc w:val="left"/>
              <w:rPr>
                <w:rFonts w:ascii="Arial Narrow" w:hAnsi="Arial Narrow"/>
                <w:b/>
                <w:sz w:val="20"/>
                <w:szCs w:val="20"/>
                <w:lang w:val="en-US"/>
              </w:rPr>
            </w:pPr>
            <w:r w:rsidRPr="00D0157D">
              <w:rPr>
                <w:rFonts w:ascii="Arial Narrow" w:hAnsi="Arial Narrow"/>
                <w:b/>
                <w:sz w:val="20"/>
                <w:szCs w:val="20"/>
                <w:lang w:val="en-US"/>
              </w:rPr>
              <w:t>Overall survival</w:t>
            </w:r>
            <w:r w:rsidR="00DF387D">
              <w:rPr>
                <w:rFonts w:ascii="Arial Narrow" w:hAnsi="Arial Narrow"/>
                <w:b/>
                <w:sz w:val="20"/>
                <w:szCs w:val="20"/>
                <w:lang w:val="en-US"/>
              </w:rPr>
              <w:t xml:space="preserve"> (</w:t>
            </w:r>
            <w:r w:rsidR="00F741FA">
              <w:rPr>
                <w:rFonts w:ascii="Arial Narrow" w:hAnsi="Arial Narrow"/>
                <w:b/>
                <w:sz w:val="20"/>
                <w:szCs w:val="20"/>
                <w:lang w:val="en-US"/>
              </w:rPr>
              <w:t>Nov 2017</w:t>
            </w:r>
            <w:r w:rsidR="00DF387D">
              <w:rPr>
                <w:rFonts w:ascii="Arial Narrow" w:hAnsi="Arial Narrow"/>
                <w:b/>
                <w:sz w:val="20"/>
                <w:szCs w:val="20"/>
                <w:lang w:val="en-US"/>
              </w:rPr>
              <w:t xml:space="preserve"> cut-off</w:t>
            </w:r>
            <w:r w:rsidR="00F741FA">
              <w:rPr>
                <w:rFonts w:ascii="Arial Narrow" w:hAnsi="Arial Narrow"/>
                <w:b/>
                <w:sz w:val="20"/>
                <w:szCs w:val="20"/>
                <w:lang w:val="en-US"/>
              </w:rPr>
              <w:t>, median follow-up 20.4 months</w:t>
            </w:r>
            <w:r w:rsidR="00DF387D">
              <w:rPr>
                <w:rFonts w:ascii="Arial Narrow" w:hAnsi="Arial Narrow"/>
                <w:b/>
                <w:sz w:val="20"/>
                <w:szCs w:val="20"/>
                <w:lang w:val="en-US"/>
              </w:rPr>
              <w:t>)</w:t>
            </w:r>
          </w:p>
        </w:tc>
      </w:tr>
      <w:tr w:rsidR="00BA35A3" w:rsidRPr="00BA2AC7" w:rsidTr="00BA35A3">
        <w:tc>
          <w:tcPr>
            <w:tcW w:w="1805" w:type="pct"/>
            <w:vAlign w:val="center"/>
          </w:tcPr>
          <w:p w:rsidR="00BA35A3" w:rsidRPr="00D0157D" w:rsidRDefault="00BA35A3" w:rsidP="00BA35A3">
            <w:pPr>
              <w:keepNext/>
              <w:keepLines/>
              <w:jc w:val="left"/>
              <w:rPr>
                <w:rFonts w:ascii="Arial Narrow" w:hAnsi="Arial Narrow"/>
                <w:bCs/>
                <w:sz w:val="20"/>
                <w:szCs w:val="20"/>
              </w:rPr>
            </w:pPr>
            <w:r w:rsidRPr="00D0157D">
              <w:rPr>
                <w:rFonts w:ascii="Arial Narrow" w:hAnsi="Arial Narrow"/>
                <w:bCs/>
                <w:sz w:val="20"/>
                <w:szCs w:val="20"/>
              </w:rPr>
              <w:t>Patients with event</w:t>
            </w:r>
          </w:p>
        </w:tc>
        <w:tc>
          <w:tcPr>
            <w:tcW w:w="1258" w:type="pct"/>
            <w:vAlign w:val="center"/>
          </w:tcPr>
          <w:p w:rsidR="00BA35A3" w:rsidRPr="00D0157D" w:rsidRDefault="00BA35A3" w:rsidP="00BA35A3">
            <w:pPr>
              <w:keepNext/>
              <w:keepLines/>
              <w:jc w:val="center"/>
              <w:rPr>
                <w:rFonts w:ascii="Arial Narrow" w:hAnsi="Arial Narrow"/>
                <w:bCs/>
                <w:sz w:val="20"/>
                <w:szCs w:val="20"/>
              </w:rPr>
            </w:pPr>
            <w:r w:rsidRPr="00D0157D">
              <w:rPr>
                <w:rFonts w:ascii="Arial Narrow" w:hAnsi="Arial Narrow"/>
                <w:bCs/>
                <w:sz w:val="20"/>
                <w:szCs w:val="20"/>
              </w:rPr>
              <w:t>70/484 (14.5%)</w:t>
            </w:r>
          </w:p>
        </w:tc>
        <w:tc>
          <w:tcPr>
            <w:tcW w:w="1021" w:type="pct"/>
            <w:vAlign w:val="center"/>
          </w:tcPr>
          <w:p w:rsidR="00BA35A3" w:rsidRPr="00D0157D" w:rsidRDefault="00BA35A3" w:rsidP="00BA35A3">
            <w:pPr>
              <w:keepNext/>
              <w:keepLines/>
              <w:jc w:val="center"/>
              <w:rPr>
                <w:rFonts w:ascii="Arial Narrow" w:hAnsi="Arial Narrow"/>
                <w:bCs/>
                <w:sz w:val="20"/>
                <w:szCs w:val="20"/>
              </w:rPr>
            </w:pPr>
            <w:r w:rsidRPr="00D0157D">
              <w:rPr>
                <w:rFonts w:ascii="Arial Narrow" w:hAnsi="Arial Narrow"/>
                <w:bCs/>
                <w:sz w:val="20"/>
                <w:szCs w:val="20"/>
              </w:rPr>
              <w:t>50/242 (20.7%)</w:t>
            </w:r>
          </w:p>
        </w:tc>
        <w:tc>
          <w:tcPr>
            <w:tcW w:w="916" w:type="pct"/>
            <w:vMerge w:val="restart"/>
            <w:vAlign w:val="center"/>
          </w:tcPr>
          <w:p w:rsidR="00BA35A3" w:rsidRPr="00D0157D" w:rsidRDefault="00BA35A3" w:rsidP="00BA35A3">
            <w:pPr>
              <w:keepNext/>
              <w:keepLines/>
              <w:jc w:val="center"/>
              <w:rPr>
                <w:rFonts w:ascii="Arial Narrow" w:hAnsi="Arial Narrow"/>
                <w:bCs/>
                <w:sz w:val="20"/>
                <w:szCs w:val="20"/>
              </w:rPr>
            </w:pPr>
            <w:r w:rsidRPr="00D0157D">
              <w:rPr>
                <w:rFonts w:ascii="Arial Narrow" w:hAnsi="Arial Narrow"/>
                <w:bCs/>
                <w:sz w:val="20"/>
                <w:szCs w:val="20"/>
              </w:rPr>
              <w:t>0.670 (0.46, 0.96)</w:t>
            </w:r>
          </w:p>
        </w:tc>
      </w:tr>
      <w:tr w:rsidR="00BA35A3" w:rsidRPr="00BA2AC7" w:rsidTr="00BA35A3">
        <w:tc>
          <w:tcPr>
            <w:tcW w:w="1805" w:type="pct"/>
            <w:vAlign w:val="center"/>
          </w:tcPr>
          <w:p w:rsidR="00BA35A3" w:rsidRPr="00D0157D" w:rsidRDefault="00BA35A3" w:rsidP="00BA35A3">
            <w:pPr>
              <w:keepNext/>
              <w:keepLines/>
              <w:jc w:val="left"/>
              <w:rPr>
                <w:rFonts w:ascii="Arial Narrow" w:hAnsi="Arial Narrow"/>
                <w:bCs/>
                <w:sz w:val="20"/>
                <w:szCs w:val="20"/>
              </w:rPr>
            </w:pPr>
            <w:r w:rsidRPr="00D0157D">
              <w:rPr>
                <w:rFonts w:ascii="Arial Narrow" w:hAnsi="Arial Narrow"/>
                <w:bCs/>
                <w:sz w:val="20"/>
                <w:szCs w:val="20"/>
              </w:rPr>
              <w:t>Median OS months</w:t>
            </w:r>
          </w:p>
        </w:tc>
        <w:tc>
          <w:tcPr>
            <w:tcW w:w="1258" w:type="pct"/>
            <w:vAlign w:val="center"/>
          </w:tcPr>
          <w:p w:rsidR="00BA35A3" w:rsidRPr="00D0157D" w:rsidRDefault="00BA35A3" w:rsidP="00BA35A3">
            <w:pPr>
              <w:keepNext/>
              <w:keepLines/>
              <w:jc w:val="center"/>
              <w:rPr>
                <w:rFonts w:ascii="Arial Narrow" w:hAnsi="Arial Narrow"/>
                <w:bCs/>
                <w:sz w:val="20"/>
                <w:szCs w:val="20"/>
              </w:rPr>
            </w:pPr>
            <w:r w:rsidRPr="00D0157D">
              <w:rPr>
                <w:rFonts w:ascii="Arial Narrow" w:hAnsi="Arial Narrow"/>
                <w:bCs/>
                <w:sz w:val="20"/>
                <w:szCs w:val="20"/>
              </w:rPr>
              <w:t>NE</w:t>
            </w:r>
          </w:p>
        </w:tc>
        <w:tc>
          <w:tcPr>
            <w:tcW w:w="1021" w:type="pct"/>
            <w:vAlign w:val="center"/>
          </w:tcPr>
          <w:p w:rsidR="00BA35A3" w:rsidRPr="00D0157D" w:rsidRDefault="00BA35A3" w:rsidP="00BA35A3">
            <w:pPr>
              <w:keepNext/>
              <w:keepLines/>
              <w:jc w:val="center"/>
              <w:rPr>
                <w:rFonts w:ascii="Arial Narrow" w:hAnsi="Arial Narrow"/>
                <w:bCs/>
                <w:sz w:val="20"/>
                <w:szCs w:val="20"/>
              </w:rPr>
            </w:pPr>
            <w:r w:rsidRPr="00D0157D">
              <w:rPr>
                <w:rFonts w:ascii="Arial Narrow" w:hAnsi="Arial Narrow"/>
                <w:bCs/>
                <w:sz w:val="20"/>
                <w:szCs w:val="20"/>
              </w:rPr>
              <w:t>NE</w:t>
            </w:r>
          </w:p>
        </w:tc>
        <w:tc>
          <w:tcPr>
            <w:tcW w:w="916" w:type="pct"/>
            <w:vMerge/>
            <w:vAlign w:val="center"/>
          </w:tcPr>
          <w:p w:rsidR="00BA35A3" w:rsidRPr="00D0157D" w:rsidRDefault="00BA35A3" w:rsidP="00BA35A3">
            <w:pPr>
              <w:keepNext/>
              <w:keepLines/>
              <w:jc w:val="center"/>
              <w:rPr>
                <w:rFonts w:ascii="Arial Narrow" w:hAnsi="Arial Narrow"/>
                <w:bCs/>
                <w:sz w:val="20"/>
                <w:szCs w:val="20"/>
              </w:rPr>
            </w:pPr>
          </w:p>
        </w:tc>
      </w:tr>
      <w:tr w:rsidR="00F741FA" w:rsidRPr="00BA2AC7" w:rsidTr="00F87E45">
        <w:tc>
          <w:tcPr>
            <w:tcW w:w="5000" w:type="pct"/>
            <w:gridSpan w:val="4"/>
            <w:vAlign w:val="center"/>
          </w:tcPr>
          <w:p w:rsidR="00F741FA" w:rsidRPr="00D0157D" w:rsidRDefault="00F741FA" w:rsidP="00F741FA">
            <w:pPr>
              <w:keepNext/>
              <w:keepLines/>
              <w:jc w:val="left"/>
              <w:rPr>
                <w:rFonts w:ascii="Arial Narrow" w:hAnsi="Arial Narrow"/>
                <w:b/>
                <w:sz w:val="20"/>
                <w:szCs w:val="20"/>
                <w:lang w:val="en-US"/>
              </w:rPr>
            </w:pPr>
            <w:r w:rsidRPr="00D0157D">
              <w:rPr>
                <w:rFonts w:ascii="Arial Narrow" w:hAnsi="Arial Narrow"/>
                <w:b/>
                <w:sz w:val="20"/>
                <w:szCs w:val="20"/>
                <w:lang w:val="en-US"/>
              </w:rPr>
              <w:t>Overall survival</w:t>
            </w:r>
            <w:r>
              <w:rPr>
                <w:rFonts w:ascii="Arial Narrow" w:hAnsi="Arial Narrow"/>
                <w:b/>
                <w:sz w:val="20"/>
                <w:szCs w:val="20"/>
                <w:lang w:val="en-US"/>
              </w:rPr>
              <w:t xml:space="preserve"> (Jun 2019 cut-off, median follow-up 39.4 months)</w:t>
            </w:r>
          </w:p>
        </w:tc>
      </w:tr>
      <w:tr w:rsidR="00F741FA" w:rsidRPr="00BA2AC7" w:rsidTr="00F87E45">
        <w:tc>
          <w:tcPr>
            <w:tcW w:w="1805" w:type="pct"/>
            <w:vAlign w:val="center"/>
          </w:tcPr>
          <w:p w:rsidR="00F741FA" w:rsidRPr="00D0157D" w:rsidRDefault="00F741FA" w:rsidP="00F87E45">
            <w:pPr>
              <w:keepNext/>
              <w:keepLines/>
              <w:jc w:val="left"/>
              <w:rPr>
                <w:rFonts w:ascii="Arial Narrow" w:hAnsi="Arial Narrow"/>
                <w:bCs/>
                <w:sz w:val="20"/>
                <w:szCs w:val="20"/>
              </w:rPr>
            </w:pPr>
            <w:r w:rsidRPr="00D0157D">
              <w:rPr>
                <w:rFonts w:ascii="Arial Narrow" w:hAnsi="Arial Narrow"/>
                <w:bCs/>
                <w:sz w:val="20"/>
                <w:szCs w:val="20"/>
              </w:rPr>
              <w:t>Patients with event</w:t>
            </w:r>
          </w:p>
        </w:tc>
        <w:tc>
          <w:tcPr>
            <w:tcW w:w="1258" w:type="pct"/>
            <w:vAlign w:val="center"/>
          </w:tcPr>
          <w:p w:rsidR="00F741FA" w:rsidRPr="00D0157D" w:rsidRDefault="00F741FA" w:rsidP="00F87E45">
            <w:pPr>
              <w:keepNext/>
              <w:keepLines/>
              <w:jc w:val="center"/>
              <w:rPr>
                <w:rFonts w:ascii="Arial Narrow" w:hAnsi="Arial Narrow"/>
                <w:bCs/>
                <w:sz w:val="20"/>
                <w:szCs w:val="20"/>
              </w:rPr>
            </w:pPr>
            <w:r>
              <w:rPr>
                <w:rFonts w:ascii="Arial Narrow" w:hAnsi="Arial Narrow"/>
                <w:bCs/>
                <w:sz w:val="20"/>
                <w:szCs w:val="20"/>
              </w:rPr>
              <w:t>167</w:t>
            </w:r>
            <w:r w:rsidR="00972748">
              <w:rPr>
                <w:rFonts w:ascii="Arial Narrow" w:hAnsi="Arial Narrow"/>
                <w:bCs/>
                <w:sz w:val="20"/>
                <w:szCs w:val="20"/>
              </w:rPr>
              <w:t>/484 (34.5</w:t>
            </w:r>
            <w:r w:rsidRPr="00D0157D">
              <w:rPr>
                <w:rFonts w:ascii="Arial Narrow" w:hAnsi="Arial Narrow"/>
                <w:bCs/>
                <w:sz w:val="20"/>
                <w:szCs w:val="20"/>
              </w:rPr>
              <w:t>%)</w:t>
            </w:r>
          </w:p>
        </w:tc>
        <w:tc>
          <w:tcPr>
            <w:tcW w:w="1021" w:type="pct"/>
            <w:vAlign w:val="center"/>
          </w:tcPr>
          <w:p w:rsidR="00F741FA" w:rsidRPr="00D0157D" w:rsidRDefault="00F741FA" w:rsidP="00F87E45">
            <w:pPr>
              <w:keepNext/>
              <w:keepLines/>
              <w:jc w:val="center"/>
              <w:rPr>
                <w:rFonts w:ascii="Arial Narrow" w:hAnsi="Arial Narrow"/>
                <w:bCs/>
                <w:sz w:val="20"/>
                <w:szCs w:val="20"/>
              </w:rPr>
            </w:pPr>
            <w:r>
              <w:rPr>
                <w:rFonts w:ascii="Arial Narrow" w:hAnsi="Arial Narrow"/>
                <w:bCs/>
                <w:sz w:val="20"/>
                <w:szCs w:val="20"/>
              </w:rPr>
              <w:t>108</w:t>
            </w:r>
            <w:r w:rsidR="00972748">
              <w:rPr>
                <w:rFonts w:ascii="Arial Narrow" w:hAnsi="Arial Narrow"/>
                <w:bCs/>
                <w:sz w:val="20"/>
                <w:szCs w:val="20"/>
              </w:rPr>
              <w:t>/242 (44.6</w:t>
            </w:r>
            <w:r w:rsidRPr="00D0157D">
              <w:rPr>
                <w:rFonts w:ascii="Arial Narrow" w:hAnsi="Arial Narrow"/>
                <w:bCs/>
                <w:sz w:val="20"/>
                <w:szCs w:val="20"/>
              </w:rPr>
              <w:t>%)</w:t>
            </w:r>
          </w:p>
        </w:tc>
        <w:tc>
          <w:tcPr>
            <w:tcW w:w="916" w:type="pct"/>
            <w:vMerge w:val="restart"/>
            <w:vAlign w:val="center"/>
          </w:tcPr>
          <w:p w:rsidR="00F741FA" w:rsidRPr="00D0157D" w:rsidRDefault="00F741FA" w:rsidP="00F741FA">
            <w:pPr>
              <w:keepNext/>
              <w:keepLines/>
              <w:jc w:val="center"/>
              <w:rPr>
                <w:rFonts w:ascii="Arial Narrow" w:hAnsi="Arial Narrow"/>
                <w:bCs/>
                <w:sz w:val="20"/>
                <w:szCs w:val="20"/>
              </w:rPr>
            </w:pPr>
            <w:r w:rsidRPr="00D0157D">
              <w:rPr>
                <w:rFonts w:ascii="Arial Narrow" w:hAnsi="Arial Narrow"/>
                <w:bCs/>
                <w:sz w:val="20"/>
                <w:szCs w:val="20"/>
              </w:rPr>
              <w:t>0.</w:t>
            </w:r>
            <w:r>
              <w:rPr>
                <w:rFonts w:ascii="Arial Narrow" w:hAnsi="Arial Narrow"/>
                <w:bCs/>
                <w:sz w:val="20"/>
                <w:szCs w:val="20"/>
              </w:rPr>
              <w:t>724 (0.57, 0.92</w:t>
            </w:r>
            <w:r w:rsidRPr="00D0157D">
              <w:rPr>
                <w:rFonts w:ascii="Arial Narrow" w:hAnsi="Arial Narrow"/>
                <w:bCs/>
                <w:sz w:val="20"/>
                <w:szCs w:val="20"/>
              </w:rPr>
              <w:t>)</w:t>
            </w:r>
          </w:p>
        </w:tc>
      </w:tr>
      <w:tr w:rsidR="00F741FA" w:rsidRPr="00BA2AC7" w:rsidTr="00F87E45">
        <w:tc>
          <w:tcPr>
            <w:tcW w:w="1805" w:type="pct"/>
            <w:vAlign w:val="center"/>
          </w:tcPr>
          <w:p w:rsidR="00F741FA" w:rsidRPr="00D0157D" w:rsidRDefault="00F741FA" w:rsidP="00F87E45">
            <w:pPr>
              <w:keepNext/>
              <w:keepLines/>
              <w:jc w:val="left"/>
              <w:rPr>
                <w:rFonts w:ascii="Arial Narrow" w:hAnsi="Arial Narrow"/>
                <w:bCs/>
                <w:sz w:val="20"/>
                <w:szCs w:val="20"/>
              </w:rPr>
            </w:pPr>
            <w:r w:rsidRPr="00D0157D">
              <w:rPr>
                <w:rFonts w:ascii="Arial Narrow" w:hAnsi="Arial Narrow"/>
                <w:bCs/>
                <w:sz w:val="20"/>
                <w:szCs w:val="20"/>
              </w:rPr>
              <w:t>Median OS months</w:t>
            </w:r>
          </w:p>
        </w:tc>
        <w:tc>
          <w:tcPr>
            <w:tcW w:w="1258" w:type="pct"/>
            <w:vAlign w:val="center"/>
          </w:tcPr>
          <w:p w:rsidR="00F741FA" w:rsidRPr="00D0157D" w:rsidRDefault="00F741FA" w:rsidP="00F87E45">
            <w:pPr>
              <w:keepNext/>
              <w:keepLines/>
              <w:jc w:val="center"/>
              <w:rPr>
                <w:rFonts w:ascii="Arial Narrow" w:hAnsi="Arial Narrow"/>
                <w:bCs/>
                <w:sz w:val="20"/>
                <w:szCs w:val="20"/>
              </w:rPr>
            </w:pPr>
            <w:r w:rsidRPr="00D0157D">
              <w:rPr>
                <w:rFonts w:ascii="Arial Narrow" w:hAnsi="Arial Narrow"/>
                <w:bCs/>
                <w:sz w:val="20"/>
                <w:szCs w:val="20"/>
              </w:rPr>
              <w:t>NE</w:t>
            </w:r>
          </w:p>
        </w:tc>
        <w:tc>
          <w:tcPr>
            <w:tcW w:w="1021" w:type="pct"/>
            <w:vAlign w:val="center"/>
          </w:tcPr>
          <w:p w:rsidR="00F741FA" w:rsidRPr="00D0157D" w:rsidRDefault="00972748" w:rsidP="00F87E45">
            <w:pPr>
              <w:keepNext/>
              <w:keepLines/>
              <w:jc w:val="center"/>
              <w:rPr>
                <w:rFonts w:ascii="Arial Narrow" w:hAnsi="Arial Narrow"/>
                <w:bCs/>
                <w:sz w:val="20"/>
                <w:szCs w:val="20"/>
              </w:rPr>
            </w:pPr>
            <w:r>
              <w:rPr>
                <w:rFonts w:ascii="Arial Narrow" w:hAnsi="Arial Narrow"/>
                <w:bCs/>
                <w:sz w:val="20"/>
                <w:szCs w:val="20"/>
              </w:rPr>
              <w:t>40.0</w:t>
            </w:r>
            <w:r w:rsidR="00F741FA">
              <w:rPr>
                <w:rFonts w:ascii="Arial Narrow" w:hAnsi="Arial Narrow"/>
                <w:bCs/>
                <w:sz w:val="20"/>
                <w:szCs w:val="20"/>
              </w:rPr>
              <w:t xml:space="preserve"> m</w:t>
            </w:r>
          </w:p>
        </w:tc>
        <w:tc>
          <w:tcPr>
            <w:tcW w:w="916" w:type="pct"/>
            <w:vMerge/>
            <w:vAlign w:val="center"/>
          </w:tcPr>
          <w:p w:rsidR="00F741FA" w:rsidRPr="00D0157D" w:rsidRDefault="00F741FA" w:rsidP="00F87E45">
            <w:pPr>
              <w:keepNext/>
              <w:keepLines/>
              <w:jc w:val="center"/>
              <w:rPr>
                <w:rFonts w:ascii="Arial Narrow" w:hAnsi="Arial Narrow"/>
                <w:bCs/>
                <w:sz w:val="20"/>
                <w:szCs w:val="20"/>
              </w:rPr>
            </w:pPr>
          </w:p>
        </w:tc>
      </w:tr>
      <w:tr w:rsidR="00F741FA" w:rsidRPr="00BA2AC7" w:rsidTr="00F87E45">
        <w:tc>
          <w:tcPr>
            <w:tcW w:w="1805" w:type="pct"/>
            <w:vAlign w:val="center"/>
          </w:tcPr>
          <w:p w:rsidR="00F741FA" w:rsidRPr="00D0157D" w:rsidRDefault="00F741FA" w:rsidP="00F87E45">
            <w:pPr>
              <w:keepNext/>
              <w:keepLines/>
              <w:jc w:val="left"/>
              <w:rPr>
                <w:rFonts w:ascii="Arial Narrow" w:hAnsi="Arial Narrow"/>
                <w:bCs/>
                <w:sz w:val="20"/>
                <w:szCs w:val="20"/>
              </w:rPr>
            </w:pPr>
            <w:r w:rsidRPr="00D0157D">
              <w:rPr>
                <w:rFonts w:ascii="Arial Narrow" w:hAnsi="Arial Narrow"/>
                <w:b/>
                <w:sz w:val="20"/>
                <w:szCs w:val="20"/>
                <w:lang w:val="en-US"/>
              </w:rPr>
              <w:t>MONALEESA-2 (whole trial population)</w:t>
            </w:r>
          </w:p>
        </w:tc>
        <w:tc>
          <w:tcPr>
            <w:tcW w:w="1258" w:type="pct"/>
            <w:vAlign w:val="center"/>
          </w:tcPr>
          <w:p w:rsidR="00F741FA" w:rsidRPr="00D0157D" w:rsidRDefault="00F741FA" w:rsidP="00F87E45">
            <w:pPr>
              <w:keepNext/>
              <w:keepLines/>
              <w:jc w:val="center"/>
              <w:rPr>
                <w:rFonts w:ascii="Arial Narrow" w:hAnsi="Arial Narrow"/>
                <w:bCs/>
                <w:sz w:val="20"/>
                <w:szCs w:val="20"/>
              </w:rPr>
            </w:pPr>
            <w:r w:rsidRPr="00D0157D">
              <w:rPr>
                <w:rFonts w:ascii="Arial Narrow" w:hAnsi="Arial Narrow"/>
                <w:b/>
                <w:sz w:val="20"/>
                <w:szCs w:val="20"/>
              </w:rPr>
              <w:t>RIBO+NSAI (LET)</w:t>
            </w:r>
          </w:p>
        </w:tc>
        <w:tc>
          <w:tcPr>
            <w:tcW w:w="1021" w:type="pct"/>
            <w:vAlign w:val="center"/>
          </w:tcPr>
          <w:p w:rsidR="00F741FA" w:rsidRPr="00D0157D" w:rsidRDefault="00F741FA" w:rsidP="00F87E45">
            <w:pPr>
              <w:keepNext/>
              <w:keepLines/>
              <w:jc w:val="center"/>
              <w:rPr>
                <w:rFonts w:ascii="Arial Narrow" w:hAnsi="Arial Narrow"/>
                <w:bCs/>
                <w:sz w:val="20"/>
                <w:szCs w:val="20"/>
              </w:rPr>
            </w:pPr>
            <w:r w:rsidRPr="00D0157D">
              <w:rPr>
                <w:rFonts w:ascii="Arial Narrow" w:hAnsi="Arial Narrow"/>
                <w:b/>
                <w:sz w:val="20"/>
                <w:szCs w:val="20"/>
              </w:rPr>
              <w:t>PBO+NSAI (LET)</w:t>
            </w:r>
          </w:p>
        </w:tc>
        <w:tc>
          <w:tcPr>
            <w:tcW w:w="916" w:type="pct"/>
            <w:vAlign w:val="center"/>
          </w:tcPr>
          <w:p w:rsidR="00F741FA" w:rsidRPr="00D0157D" w:rsidRDefault="00F741FA" w:rsidP="00F87E45">
            <w:pPr>
              <w:keepNext/>
              <w:keepLines/>
              <w:jc w:val="center"/>
              <w:rPr>
                <w:rFonts w:ascii="Arial Narrow" w:hAnsi="Arial Narrow"/>
                <w:bCs/>
                <w:sz w:val="20"/>
                <w:szCs w:val="20"/>
              </w:rPr>
            </w:pPr>
          </w:p>
        </w:tc>
      </w:tr>
      <w:tr w:rsidR="00BA35A3" w:rsidRPr="00BA2AC7" w:rsidTr="00BA35A3">
        <w:tc>
          <w:tcPr>
            <w:tcW w:w="5000" w:type="pct"/>
            <w:gridSpan w:val="4"/>
            <w:vAlign w:val="center"/>
          </w:tcPr>
          <w:p w:rsidR="00BA35A3" w:rsidRPr="00D0157D" w:rsidRDefault="00BA35A3" w:rsidP="00BA35A3">
            <w:pPr>
              <w:keepNext/>
              <w:keepLines/>
              <w:jc w:val="left"/>
              <w:rPr>
                <w:rFonts w:ascii="Arial Narrow" w:hAnsi="Arial Narrow"/>
                <w:b/>
                <w:sz w:val="20"/>
                <w:szCs w:val="20"/>
                <w:lang w:val="en-US"/>
              </w:rPr>
            </w:pPr>
            <w:r w:rsidRPr="00D0157D">
              <w:rPr>
                <w:rFonts w:ascii="Arial Narrow" w:hAnsi="Arial Narrow"/>
                <w:b/>
                <w:sz w:val="20"/>
                <w:szCs w:val="20"/>
                <w:lang w:val="en-US"/>
              </w:rPr>
              <w:t>Progression-free survival</w:t>
            </w:r>
          </w:p>
        </w:tc>
      </w:tr>
      <w:tr w:rsidR="00BA35A3" w:rsidRPr="00BA2AC7" w:rsidTr="00BA35A3">
        <w:tc>
          <w:tcPr>
            <w:tcW w:w="1805" w:type="pct"/>
            <w:vAlign w:val="center"/>
          </w:tcPr>
          <w:p w:rsidR="00BA35A3" w:rsidRPr="00D0157D" w:rsidRDefault="00BA35A3" w:rsidP="00BA35A3">
            <w:pPr>
              <w:keepNext/>
              <w:keepLines/>
              <w:jc w:val="left"/>
              <w:rPr>
                <w:rFonts w:ascii="Arial Narrow" w:hAnsi="Arial Narrow"/>
                <w:bCs/>
                <w:sz w:val="20"/>
                <w:szCs w:val="20"/>
              </w:rPr>
            </w:pPr>
            <w:r w:rsidRPr="00D0157D">
              <w:rPr>
                <w:rFonts w:ascii="Arial Narrow" w:hAnsi="Arial Narrow"/>
                <w:bCs/>
                <w:sz w:val="20"/>
                <w:szCs w:val="20"/>
              </w:rPr>
              <w:t xml:space="preserve">Patients with event </w:t>
            </w:r>
          </w:p>
        </w:tc>
        <w:tc>
          <w:tcPr>
            <w:tcW w:w="1258" w:type="pct"/>
            <w:vAlign w:val="center"/>
          </w:tcPr>
          <w:p w:rsidR="00BA35A3" w:rsidRPr="00D0157D" w:rsidRDefault="00BA35A3" w:rsidP="00BA35A3">
            <w:pPr>
              <w:keepNext/>
              <w:keepLines/>
              <w:jc w:val="center"/>
              <w:rPr>
                <w:rFonts w:ascii="Arial Narrow" w:hAnsi="Arial Narrow"/>
                <w:bCs/>
                <w:sz w:val="20"/>
                <w:szCs w:val="20"/>
              </w:rPr>
            </w:pPr>
            <w:r w:rsidRPr="00D0157D">
              <w:rPr>
                <w:rFonts w:ascii="Arial Narrow" w:hAnsi="Arial Narrow"/>
                <w:bCs/>
                <w:sz w:val="20"/>
                <w:szCs w:val="20"/>
              </w:rPr>
              <w:t>140/334 (41.9%)</w:t>
            </w:r>
          </w:p>
        </w:tc>
        <w:tc>
          <w:tcPr>
            <w:tcW w:w="1021" w:type="pct"/>
            <w:vAlign w:val="center"/>
          </w:tcPr>
          <w:p w:rsidR="00BA35A3" w:rsidRPr="00D0157D" w:rsidRDefault="00BA35A3" w:rsidP="00BA35A3">
            <w:pPr>
              <w:keepNext/>
              <w:keepLines/>
              <w:jc w:val="center"/>
              <w:rPr>
                <w:rFonts w:ascii="Arial Narrow" w:hAnsi="Arial Narrow"/>
                <w:bCs/>
                <w:sz w:val="20"/>
                <w:szCs w:val="20"/>
              </w:rPr>
            </w:pPr>
            <w:r w:rsidRPr="00D0157D">
              <w:rPr>
                <w:rFonts w:ascii="Arial Narrow" w:hAnsi="Arial Narrow"/>
                <w:bCs/>
                <w:sz w:val="20"/>
                <w:szCs w:val="20"/>
              </w:rPr>
              <w:t>205 / 334 (61.4%)</w:t>
            </w:r>
          </w:p>
        </w:tc>
        <w:tc>
          <w:tcPr>
            <w:tcW w:w="916" w:type="pct"/>
            <w:vMerge w:val="restart"/>
            <w:vAlign w:val="center"/>
          </w:tcPr>
          <w:p w:rsidR="00BA35A3" w:rsidRPr="00D0157D" w:rsidRDefault="00BA35A3" w:rsidP="00BA35A3">
            <w:pPr>
              <w:keepNext/>
              <w:keepLines/>
              <w:jc w:val="center"/>
              <w:rPr>
                <w:rFonts w:ascii="Arial Narrow" w:hAnsi="Arial Narrow"/>
                <w:bCs/>
                <w:sz w:val="20"/>
                <w:szCs w:val="20"/>
              </w:rPr>
            </w:pPr>
            <w:r w:rsidRPr="00D0157D">
              <w:rPr>
                <w:rFonts w:ascii="Arial Narrow" w:hAnsi="Arial Narrow"/>
                <w:bCs/>
                <w:sz w:val="20"/>
                <w:szCs w:val="20"/>
              </w:rPr>
              <w:t>0.568 (0.46, 0.70)</w:t>
            </w:r>
          </w:p>
        </w:tc>
      </w:tr>
      <w:tr w:rsidR="00BA35A3" w:rsidRPr="00BA2AC7" w:rsidTr="00BA35A3">
        <w:tc>
          <w:tcPr>
            <w:tcW w:w="1805" w:type="pct"/>
            <w:vAlign w:val="center"/>
          </w:tcPr>
          <w:p w:rsidR="00BA35A3" w:rsidRPr="00D0157D" w:rsidRDefault="00BA35A3" w:rsidP="00BA35A3">
            <w:pPr>
              <w:keepNext/>
              <w:keepLines/>
              <w:jc w:val="left"/>
              <w:rPr>
                <w:rFonts w:ascii="Arial Narrow" w:hAnsi="Arial Narrow"/>
                <w:bCs/>
                <w:sz w:val="20"/>
                <w:szCs w:val="20"/>
              </w:rPr>
            </w:pPr>
            <w:r w:rsidRPr="00D0157D">
              <w:rPr>
                <w:rFonts w:ascii="Arial Narrow" w:hAnsi="Arial Narrow"/>
                <w:bCs/>
                <w:sz w:val="20"/>
                <w:szCs w:val="20"/>
              </w:rPr>
              <w:t>Median PFS months</w:t>
            </w:r>
          </w:p>
        </w:tc>
        <w:tc>
          <w:tcPr>
            <w:tcW w:w="1258" w:type="pct"/>
            <w:vAlign w:val="center"/>
          </w:tcPr>
          <w:p w:rsidR="00BA35A3" w:rsidRPr="00D0157D" w:rsidRDefault="00BA35A3" w:rsidP="00BA35A3">
            <w:pPr>
              <w:keepNext/>
              <w:keepLines/>
              <w:jc w:val="center"/>
              <w:rPr>
                <w:rFonts w:ascii="Arial Narrow" w:hAnsi="Arial Narrow"/>
                <w:bCs/>
                <w:sz w:val="20"/>
                <w:szCs w:val="20"/>
              </w:rPr>
            </w:pPr>
            <w:r w:rsidRPr="00D0157D">
              <w:rPr>
                <w:rFonts w:ascii="Arial Narrow" w:hAnsi="Arial Narrow"/>
                <w:bCs/>
                <w:sz w:val="20"/>
                <w:szCs w:val="20"/>
              </w:rPr>
              <w:t>25.3 m</w:t>
            </w:r>
          </w:p>
        </w:tc>
        <w:tc>
          <w:tcPr>
            <w:tcW w:w="1021" w:type="pct"/>
            <w:vAlign w:val="center"/>
          </w:tcPr>
          <w:p w:rsidR="00BA35A3" w:rsidRPr="00D0157D" w:rsidRDefault="00BA35A3" w:rsidP="00BA35A3">
            <w:pPr>
              <w:keepNext/>
              <w:keepLines/>
              <w:jc w:val="center"/>
              <w:rPr>
                <w:rFonts w:ascii="Arial Narrow" w:hAnsi="Arial Narrow"/>
                <w:bCs/>
                <w:sz w:val="20"/>
                <w:szCs w:val="20"/>
              </w:rPr>
            </w:pPr>
            <w:r w:rsidRPr="00D0157D">
              <w:rPr>
                <w:rFonts w:ascii="Arial Narrow" w:hAnsi="Arial Narrow"/>
                <w:bCs/>
                <w:sz w:val="20"/>
                <w:szCs w:val="20"/>
              </w:rPr>
              <w:t>16.0 m</w:t>
            </w:r>
          </w:p>
        </w:tc>
        <w:tc>
          <w:tcPr>
            <w:tcW w:w="916" w:type="pct"/>
            <w:vMerge/>
            <w:vAlign w:val="center"/>
          </w:tcPr>
          <w:p w:rsidR="00BA35A3" w:rsidRPr="00D0157D" w:rsidRDefault="00BA35A3" w:rsidP="00BA35A3">
            <w:pPr>
              <w:keepNext/>
              <w:keepLines/>
              <w:jc w:val="center"/>
              <w:rPr>
                <w:rFonts w:ascii="Arial Narrow" w:hAnsi="Arial Narrow"/>
                <w:bCs/>
                <w:sz w:val="20"/>
                <w:szCs w:val="20"/>
              </w:rPr>
            </w:pPr>
          </w:p>
        </w:tc>
      </w:tr>
      <w:tr w:rsidR="00BA35A3" w:rsidRPr="00BA2AC7" w:rsidTr="00BA35A3">
        <w:tc>
          <w:tcPr>
            <w:tcW w:w="5000" w:type="pct"/>
            <w:gridSpan w:val="4"/>
            <w:vAlign w:val="center"/>
          </w:tcPr>
          <w:p w:rsidR="00BA35A3" w:rsidRPr="00D0157D" w:rsidRDefault="00BA35A3" w:rsidP="00BA35A3">
            <w:pPr>
              <w:keepNext/>
              <w:keepLines/>
              <w:jc w:val="left"/>
              <w:rPr>
                <w:rFonts w:ascii="Arial Narrow" w:hAnsi="Arial Narrow"/>
                <w:b/>
                <w:sz w:val="20"/>
                <w:szCs w:val="20"/>
                <w:lang w:val="en-US"/>
              </w:rPr>
            </w:pPr>
            <w:r w:rsidRPr="00D0157D">
              <w:rPr>
                <w:rFonts w:ascii="Arial Narrow" w:hAnsi="Arial Narrow"/>
                <w:b/>
                <w:sz w:val="20"/>
                <w:szCs w:val="20"/>
                <w:lang w:val="en-US"/>
              </w:rPr>
              <w:t>Overall survival</w:t>
            </w:r>
          </w:p>
        </w:tc>
      </w:tr>
      <w:tr w:rsidR="00BA35A3" w:rsidRPr="00BA2AC7" w:rsidTr="00BA35A3">
        <w:tc>
          <w:tcPr>
            <w:tcW w:w="1805" w:type="pct"/>
            <w:vAlign w:val="center"/>
          </w:tcPr>
          <w:p w:rsidR="00BA35A3" w:rsidRPr="00D0157D" w:rsidRDefault="00BA35A3" w:rsidP="00BA35A3">
            <w:pPr>
              <w:keepNext/>
              <w:keepLines/>
              <w:jc w:val="left"/>
              <w:rPr>
                <w:rFonts w:ascii="Arial Narrow" w:hAnsi="Arial Narrow"/>
                <w:bCs/>
                <w:sz w:val="20"/>
                <w:szCs w:val="20"/>
              </w:rPr>
            </w:pPr>
            <w:r w:rsidRPr="00D0157D">
              <w:rPr>
                <w:rFonts w:ascii="Arial Narrow" w:hAnsi="Arial Narrow"/>
                <w:bCs/>
                <w:sz w:val="20"/>
                <w:szCs w:val="20"/>
              </w:rPr>
              <w:t>Patients with event</w:t>
            </w:r>
          </w:p>
        </w:tc>
        <w:tc>
          <w:tcPr>
            <w:tcW w:w="1258" w:type="pct"/>
            <w:vAlign w:val="center"/>
          </w:tcPr>
          <w:p w:rsidR="00BA35A3" w:rsidRPr="00D0157D" w:rsidRDefault="00BA35A3" w:rsidP="00BA35A3">
            <w:pPr>
              <w:keepNext/>
              <w:keepLines/>
              <w:jc w:val="center"/>
              <w:rPr>
                <w:rFonts w:ascii="Arial Narrow" w:hAnsi="Arial Narrow"/>
                <w:bCs/>
                <w:sz w:val="20"/>
                <w:szCs w:val="20"/>
              </w:rPr>
            </w:pPr>
            <w:r w:rsidRPr="00D0157D">
              <w:rPr>
                <w:rFonts w:ascii="Arial Narrow" w:hAnsi="Arial Narrow"/>
                <w:bCs/>
                <w:sz w:val="20"/>
                <w:szCs w:val="20"/>
              </w:rPr>
              <w:t>50/334 (15.0%)</w:t>
            </w:r>
          </w:p>
        </w:tc>
        <w:tc>
          <w:tcPr>
            <w:tcW w:w="1021" w:type="pct"/>
            <w:vAlign w:val="center"/>
          </w:tcPr>
          <w:p w:rsidR="00BA35A3" w:rsidRPr="00D0157D" w:rsidRDefault="00BA35A3" w:rsidP="00BA35A3">
            <w:pPr>
              <w:keepNext/>
              <w:keepLines/>
              <w:jc w:val="center"/>
              <w:rPr>
                <w:rFonts w:ascii="Arial Narrow" w:hAnsi="Arial Narrow"/>
                <w:bCs/>
                <w:sz w:val="20"/>
                <w:szCs w:val="20"/>
              </w:rPr>
            </w:pPr>
            <w:r w:rsidRPr="00D0157D">
              <w:rPr>
                <w:rFonts w:ascii="Arial Narrow" w:hAnsi="Arial Narrow"/>
                <w:bCs/>
                <w:sz w:val="20"/>
                <w:szCs w:val="20"/>
              </w:rPr>
              <w:t>66/334 (19.8%)</w:t>
            </w:r>
          </w:p>
        </w:tc>
        <w:tc>
          <w:tcPr>
            <w:tcW w:w="916" w:type="pct"/>
            <w:vMerge w:val="restart"/>
            <w:vAlign w:val="center"/>
          </w:tcPr>
          <w:p w:rsidR="00BA35A3" w:rsidRPr="00D0157D" w:rsidRDefault="00BA35A3" w:rsidP="00BA35A3">
            <w:pPr>
              <w:keepNext/>
              <w:keepLines/>
              <w:jc w:val="center"/>
              <w:rPr>
                <w:rFonts w:ascii="Arial Narrow" w:hAnsi="Arial Narrow"/>
                <w:bCs/>
                <w:sz w:val="20"/>
                <w:szCs w:val="20"/>
              </w:rPr>
            </w:pPr>
            <w:r w:rsidRPr="00D0157D">
              <w:rPr>
                <w:rFonts w:ascii="Arial Narrow" w:hAnsi="Arial Narrow"/>
                <w:bCs/>
                <w:sz w:val="20"/>
                <w:szCs w:val="20"/>
              </w:rPr>
              <w:t>0.75 (0.52, 1.08)</w:t>
            </w:r>
          </w:p>
        </w:tc>
      </w:tr>
      <w:tr w:rsidR="00BA35A3" w:rsidRPr="00BA2AC7" w:rsidTr="00BA35A3">
        <w:tc>
          <w:tcPr>
            <w:tcW w:w="1805" w:type="pct"/>
            <w:vAlign w:val="center"/>
          </w:tcPr>
          <w:p w:rsidR="00BA35A3" w:rsidRPr="00D0157D" w:rsidRDefault="00BA35A3" w:rsidP="00BA35A3">
            <w:pPr>
              <w:keepNext/>
              <w:keepLines/>
              <w:jc w:val="left"/>
              <w:rPr>
                <w:rFonts w:ascii="Arial Narrow" w:hAnsi="Arial Narrow"/>
                <w:bCs/>
                <w:sz w:val="20"/>
                <w:szCs w:val="20"/>
              </w:rPr>
            </w:pPr>
            <w:r w:rsidRPr="00D0157D">
              <w:rPr>
                <w:rFonts w:ascii="Arial Narrow" w:hAnsi="Arial Narrow"/>
                <w:bCs/>
                <w:sz w:val="20"/>
                <w:szCs w:val="20"/>
              </w:rPr>
              <w:t>Median OS months</w:t>
            </w:r>
          </w:p>
        </w:tc>
        <w:tc>
          <w:tcPr>
            <w:tcW w:w="1258" w:type="pct"/>
            <w:vAlign w:val="center"/>
          </w:tcPr>
          <w:p w:rsidR="00BA35A3" w:rsidRPr="00D0157D" w:rsidRDefault="00BA35A3" w:rsidP="00BA35A3">
            <w:pPr>
              <w:keepNext/>
              <w:keepLines/>
              <w:jc w:val="center"/>
              <w:rPr>
                <w:rFonts w:ascii="Arial Narrow" w:hAnsi="Arial Narrow"/>
                <w:bCs/>
                <w:sz w:val="20"/>
                <w:szCs w:val="20"/>
              </w:rPr>
            </w:pPr>
            <w:r w:rsidRPr="00D0157D">
              <w:rPr>
                <w:rFonts w:ascii="Arial Narrow" w:hAnsi="Arial Narrow"/>
                <w:bCs/>
                <w:sz w:val="20"/>
                <w:szCs w:val="20"/>
              </w:rPr>
              <w:t>NE</w:t>
            </w:r>
          </w:p>
        </w:tc>
        <w:tc>
          <w:tcPr>
            <w:tcW w:w="1021" w:type="pct"/>
            <w:vAlign w:val="center"/>
          </w:tcPr>
          <w:p w:rsidR="00BA35A3" w:rsidRPr="00D0157D" w:rsidRDefault="00BA35A3" w:rsidP="00BA35A3">
            <w:pPr>
              <w:keepNext/>
              <w:keepLines/>
              <w:jc w:val="center"/>
              <w:rPr>
                <w:rFonts w:ascii="Arial Narrow" w:hAnsi="Arial Narrow"/>
                <w:bCs/>
                <w:sz w:val="20"/>
                <w:szCs w:val="20"/>
              </w:rPr>
            </w:pPr>
            <w:r w:rsidRPr="00D0157D">
              <w:rPr>
                <w:rFonts w:ascii="Arial Narrow" w:hAnsi="Arial Narrow"/>
                <w:bCs/>
                <w:sz w:val="20"/>
                <w:szCs w:val="20"/>
              </w:rPr>
              <w:t>33 m</w:t>
            </w:r>
          </w:p>
        </w:tc>
        <w:tc>
          <w:tcPr>
            <w:tcW w:w="916" w:type="pct"/>
            <w:vMerge/>
            <w:vAlign w:val="center"/>
          </w:tcPr>
          <w:p w:rsidR="00BA35A3" w:rsidRPr="00D0157D" w:rsidRDefault="00BA35A3" w:rsidP="00BA35A3">
            <w:pPr>
              <w:keepNext/>
              <w:keepLines/>
              <w:jc w:val="center"/>
              <w:rPr>
                <w:rFonts w:ascii="Arial Narrow" w:hAnsi="Arial Narrow"/>
                <w:bCs/>
                <w:sz w:val="20"/>
                <w:szCs w:val="20"/>
              </w:rPr>
            </w:pPr>
          </w:p>
        </w:tc>
      </w:tr>
      <w:tr w:rsidR="00BA35A3" w:rsidRPr="00BA2AC7" w:rsidTr="00BA35A3">
        <w:tc>
          <w:tcPr>
            <w:tcW w:w="1805" w:type="pct"/>
            <w:vAlign w:val="center"/>
          </w:tcPr>
          <w:p w:rsidR="00BA35A3" w:rsidRPr="00D0157D" w:rsidRDefault="00BA35A3" w:rsidP="00BA35A3">
            <w:pPr>
              <w:jc w:val="left"/>
              <w:rPr>
                <w:rFonts w:ascii="Arial Narrow" w:hAnsi="Arial Narrow"/>
                <w:bCs/>
                <w:sz w:val="20"/>
                <w:szCs w:val="20"/>
              </w:rPr>
            </w:pPr>
            <w:r w:rsidRPr="00D0157D">
              <w:rPr>
                <w:rFonts w:ascii="Arial Narrow" w:hAnsi="Arial Narrow"/>
                <w:b/>
                <w:sz w:val="20"/>
                <w:szCs w:val="20"/>
                <w:lang w:val="en-US"/>
              </w:rPr>
              <w:t>BOLERO-2 (whole trial population)</w:t>
            </w:r>
          </w:p>
        </w:tc>
        <w:tc>
          <w:tcPr>
            <w:tcW w:w="1258" w:type="pct"/>
            <w:vAlign w:val="center"/>
          </w:tcPr>
          <w:p w:rsidR="00BA35A3" w:rsidRPr="00D0157D" w:rsidRDefault="00BA35A3" w:rsidP="00BA35A3">
            <w:pPr>
              <w:jc w:val="center"/>
              <w:rPr>
                <w:rFonts w:ascii="Arial Narrow" w:hAnsi="Arial Narrow"/>
                <w:b/>
                <w:sz w:val="20"/>
                <w:szCs w:val="20"/>
              </w:rPr>
            </w:pPr>
            <w:r w:rsidRPr="00D0157D">
              <w:rPr>
                <w:rFonts w:ascii="Arial Narrow" w:hAnsi="Arial Narrow"/>
                <w:b/>
                <w:sz w:val="20"/>
                <w:szCs w:val="20"/>
              </w:rPr>
              <w:t>EVE+EXE</w:t>
            </w:r>
          </w:p>
        </w:tc>
        <w:tc>
          <w:tcPr>
            <w:tcW w:w="1021" w:type="pct"/>
            <w:vAlign w:val="center"/>
          </w:tcPr>
          <w:p w:rsidR="00BA35A3" w:rsidRPr="00D0157D" w:rsidRDefault="00BA35A3" w:rsidP="00BA35A3">
            <w:pPr>
              <w:jc w:val="center"/>
              <w:rPr>
                <w:rFonts w:ascii="Arial Narrow" w:hAnsi="Arial Narrow"/>
                <w:b/>
                <w:sz w:val="20"/>
                <w:szCs w:val="20"/>
              </w:rPr>
            </w:pPr>
            <w:r w:rsidRPr="00D0157D">
              <w:rPr>
                <w:rFonts w:ascii="Arial Narrow" w:hAnsi="Arial Narrow"/>
                <w:b/>
                <w:sz w:val="20"/>
                <w:szCs w:val="20"/>
              </w:rPr>
              <w:t>PBO+EXE</w:t>
            </w:r>
          </w:p>
        </w:tc>
        <w:tc>
          <w:tcPr>
            <w:tcW w:w="916" w:type="pct"/>
            <w:vAlign w:val="center"/>
          </w:tcPr>
          <w:p w:rsidR="00BA35A3" w:rsidRPr="00D0157D" w:rsidRDefault="00BA35A3" w:rsidP="00BA35A3">
            <w:pPr>
              <w:jc w:val="center"/>
              <w:rPr>
                <w:rFonts w:ascii="Arial Narrow" w:hAnsi="Arial Narrow"/>
                <w:bCs/>
                <w:sz w:val="20"/>
                <w:szCs w:val="20"/>
              </w:rPr>
            </w:pPr>
          </w:p>
        </w:tc>
      </w:tr>
      <w:tr w:rsidR="00BA35A3" w:rsidRPr="00BA2AC7" w:rsidTr="00BA35A3">
        <w:tc>
          <w:tcPr>
            <w:tcW w:w="5000" w:type="pct"/>
            <w:gridSpan w:val="4"/>
            <w:vAlign w:val="center"/>
          </w:tcPr>
          <w:p w:rsidR="00BA35A3" w:rsidRPr="00D0157D" w:rsidRDefault="00BA35A3" w:rsidP="00BA35A3">
            <w:pPr>
              <w:jc w:val="left"/>
              <w:rPr>
                <w:rFonts w:ascii="Arial Narrow" w:hAnsi="Arial Narrow"/>
                <w:b/>
                <w:sz w:val="20"/>
                <w:szCs w:val="20"/>
                <w:lang w:val="en-US"/>
              </w:rPr>
            </w:pPr>
            <w:r w:rsidRPr="00D0157D">
              <w:rPr>
                <w:rFonts w:ascii="Arial Narrow" w:hAnsi="Arial Narrow"/>
                <w:b/>
                <w:sz w:val="20"/>
                <w:szCs w:val="20"/>
                <w:lang w:val="en-US"/>
              </w:rPr>
              <w:t>Progression-free survival</w:t>
            </w:r>
          </w:p>
        </w:tc>
      </w:tr>
      <w:tr w:rsidR="00BA35A3" w:rsidRPr="00BA2AC7" w:rsidTr="00BA35A3">
        <w:tc>
          <w:tcPr>
            <w:tcW w:w="1805" w:type="pct"/>
            <w:vAlign w:val="center"/>
          </w:tcPr>
          <w:p w:rsidR="00BA35A3" w:rsidRPr="00D0157D" w:rsidRDefault="00BA35A3" w:rsidP="00BA35A3">
            <w:pPr>
              <w:jc w:val="left"/>
              <w:rPr>
                <w:rFonts w:ascii="Arial Narrow" w:hAnsi="Arial Narrow"/>
                <w:bCs/>
                <w:sz w:val="20"/>
                <w:szCs w:val="20"/>
              </w:rPr>
            </w:pPr>
            <w:r w:rsidRPr="00D0157D">
              <w:rPr>
                <w:rFonts w:ascii="Arial Narrow" w:hAnsi="Arial Narrow"/>
                <w:bCs/>
                <w:sz w:val="20"/>
                <w:szCs w:val="20"/>
              </w:rPr>
              <w:t>Patients with event</w:t>
            </w:r>
          </w:p>
        </w:tc>
        <w:tc>
          <w:tcPr>
            <w:tcW w:w="1258" w:type="pct"/>
            <w:vAlign w:val="center"/>
          </w:tcPr>
          <w:p w:rsidR="00BA35A3" w:rsidRPr="00D0157D" w:rsidRDefault="00BA35A3" w:rsidP="00BA35A3">
            <w:pPr>
              <w:jc w:val="center"/>
              <w:rPr>
                <w:rFonts w:ascii="Arial Narrow" w:hAnsi="Arial Narrow"/>
                <w:bCs/>
                <w:sz w:val="20"/>
                <w:szCs w:val="20"/>
              </w:rPr>
            </w:pPr>
            <w:r w:rsidRPr="00D0157D">
              <w:rPr>
                <w:rFonts w:ascii="Arial Narrow" w:hAnsi="Arial Narrow"/>
                <w:bCs/>
                <w:sz w:val="20"/>
                <w:szCs w:val="20"/>
              </w:rPr>
              <w:t>310/485 (63.9%)</w:t>
            </w:r>
          </w:p>
        </w:tc>
        <w:tc>
          <w:tcPr>
            <w:tcW w:w="1021" w:type="pct"/>
            <w:vAlign w:val="center"/>
          </w:tcPr>
          <w:p w:rsidR="00BA35A3" w:rsidRPr="00D0157D" w:rsidRDefault="00BA35A3" w:rsidP="00BA35A3">
            <w:pPr>
              <w:jc w:val="center"/>
              <w:rPr>
                <w:rFonts w:ascii="Arial Narrow" w:hAnsi="Arial Narrow"/>
                <w:bCs/>
                <w:sz w:val="20"/>
                <w:szCs w:val="20"/>
              </w:rPr>
            </w:pPr>
            <w:r w:rsidRPr="00D0157D">
              <w:rPr>
                <w:rFonts w:ascii="Arial Narrow" w:hAnsi="Arial Narrow"/>
                <w:bCs/>
                <w:sz w:val="20"/>
                <w:szCs w:val="20"/>
              </w:rPr>
              <w:t>200/239 (83.7%)</w:t>
            </w:r>
          </w:p>
        </w:tc>
        <w:tc>
          <w:tcPr>
            <w:tcW w:w="916" w:type="pct"/>
            <w:vMerge w:val="restart"/>
            <w:vAlign w:val="center"/>
          </w:tcPr>
          <w:p w:rsidR="00BA35A3" w:rsidRPr="00D0157D" w:rsidRDefault="00BA35A3" w:rsidP="00BA35A3">
            <w:pPr>
              <w:jc w:val="center"/>
              <w:rPr>
                <w:rFonts w:ascii="Arial Narrow" w:hAnsi="Arial Narrow"/>
                <w:bCs/>
                <w:sz w:val="20"/>
                <w:szCs w:val="20"/>
              </w:rPr>
            </w:pPr>
            <w:r w:rsidRPr="00D0157D">
              <w:rPr>
                <w:rFonts w:ascii="Arial Narrow" w:hAnsi="Arial Narrow"/>
                <w:bCs/>
                <w:sz w:val="20"/>
                <w:szCs w:val="20"/>
              </w:rPr>
              <w:t>0.45 (0.38, 0.54)</w:t>
            </w:r>
          </w:p>
        </w:tc>
      </w:tr>
      <w:tr w:rsidR="00BA35A3" w:rsidRPr="00BA2AC7" w:rsidTr="00BA35A3">
        <w:tc>
          <w:tcPr>
            <w:tcW w:w="1805" w:type="pct"/>
            <w:vAlign w:val="center"/>
          </w:tcPr>
          <w:p w:rsidR="00BA35A3" w:rsidRPr="00D0157D" w:rsidRDefault="00BA35A3" w:rsidP="00BA35A3">
            <w:pPr>
              <w:jc w:val="left"/>
              <w:rPr>
                <w:rFonts w:ascii="Arial Narrow" w:hAnsi="Arial Narrow"/>
                <w:bCs/>
                <w:sz w:val="20"/>
                <w:szCs w:val="20"/>
              </w:rPr>
            </w:pPr>
            <w:r w:rsidRPr="00D0157D">
              <w:rPr>
                <w:rFonts w:ascii="Arial Narrow" w:hAnsi="Arial Narrow"/>
                <w:bCs/>
                <w:sz w:val="20"/>
                <w:szCs w:val="20"/>
              </w:rPr>
              <w:t>Median PFS months</w:t>
            </w:r>
          </w:p>
        </w:tc>
        <w:tc>
          <w:tcPr>
            <w:tcW w:w="1258" w:type="pct"/>
            <w:vAlign w:val="center"/>
          </w:tcPr>
          <w:p w:rsidR="00BA35A3" w:rsidRPr="00D0157D" w:rsidRDefault="00BA35A3" w:rsidP="00BA35A3">
            <w:pPr>
              <w:jc w:val="center"/>
              <w:rPr>
                <w:rFonts w:ascii="Arial Narrow" w:hAnsi="Arial Narrow"/>
                <w:bCs/>
                <w:sz w:val="20"/>
                <w:szCs w:val="20"/>
              </w:rPr>
            </w:pPr>
            <w:r w:rsidRPr="00D0157D">
              <w:rPr>
                <w:rFonts w:ascii="Arial Narrow" w:hAnsi="Arial Narrow"/>
                <w:bCs/>
                <w:sz w:val="20"/>
                <w:szCs w:val="20"/>
              </w:rPr>
              <w:t>7.82 m</w:t>
            </w:r>
          </w:p>
        </w:tc>
        <w:tc>
          <w:tcPr>
            <w:tcW w:w="1021" w:type="pct"/>
            <w:vAlign w:val="center"/>
          </w:tcPr>
          <w:p w:rsidR="00BA35A3" w:rsidRPr="00D0157D" w:rsidRDefault="00BA35A3" w:rsidP="00BA35A3">
            <w:pPr>
              <w:jc w:val="center"/>
              <w:rPr>
                <w:rFonts w:ascii="Arial Narrow" w:hAnsi="Arial Narrow"/>
                <w:bCs/>
                <w:sz w:val="20"/>
                <w:szCs w:val="20"/>
              </w:rPr>
            </w:pPr>
            <w:r w:rsidRPr="00D0157D">
              <w:rPr>
                <w:rFonts w:ascii="Arial Narrow" w:hAnsi="Arial Narrow"/>
                <w:bCs/>
                <w:sz w:val="20"/>
                <w:szCs w:val="20"/>
              </w:rPr>
              <w:t>3.19 m</w:t>
            </w:r>
          </w:p>
        </w:tc>
        <w:tc>
          <w:tcPr>
            <w:tcW w:w="916" w:type="pct"/>
            <w:vMerge/>
            <w:vAlign w:val="center"/>
          </w:tcPr>
          <w:p w:rsidR="00BA35A3" w:rsidRPr="00D0157D" w:rsidRDefault="00BA35A3" w:rsidP="00BA35A3">
            <w:pPr>
              <w:jc w:val="center"/>
              <w:rPr>
                <w:rFonts w:ascii="Arial Narrow" w:hAnsi="Arial Narrow"/>
                <w:bCs/>
                <w:sz w:val="20"/>
                <w:szCs w:val="20"/>
              </w:rPr>
            </w:pPr>
          </w:p>
        </w:tc>
      </w:tr>
      <w:tr w:rsidR="00BA35A3" w:rsidRPr="00BA2AC7" w:rsidTr="00BA35A3">
        <w:tc>
          <w:tcPr>
            <w:tcW w:w="5000" w:type="pct"/>
            <w:gridSpan w:val="4"/>
            <w:vAlign w:val="center"/>
          </w:tcPr>
          <w:p w:rsidR="00BA35A3" w:rsidRPr="00D0157D" w:rsidRDefault="00BA35A3" w:rsidP="00BA35A3">
            <w:pPr>
              <w:jc w:val="left"/>
              <w:rPr>
                <w:rFonts w:ascii="Arial Narrow" w:hAnsi="Arial Narrow"/>
                <w:b/>
                <w:sz w:val="20"/>
                <w:szCs w:val="20"/>
                <w:lang w:val="en-US"/>
              </w:rPr>
            </w:pPr>
            <w:r w:rsidRPr="00D0157D">
              <w:rPr>
                <w:rFonts w:ascii="Arial Narrow" w:hAnsi="Arial Narrow"/>
                <w:b/>
                <w:sz w:val="20"/>
                <w:szCs w:val="20"/>
                <w:lang w:val="en-US"/>
              </w:rPr>
              <w:t>Overall survival</w:t>
            </w:r>
          </w:p>
        </w:tc>
      </w:tr>
      <w:tr w:rsidR="00BA35A3" w:rsidRPr="00BA2AC7" w:rsidTr="00BA35A3">
        <w:tc>
          <w:tcPr>
            <w:tcW w:w="1805" w:type="pct"/>
            <w:vAlign w:val="center"/>
          </w:tcPr>
          <w:p w:rsidR="00BA35A3" w:rsidRPr="00D0157D" w:rsidRDefault="00BA35A3" w:rsidP="00BA35A3">
            <w:pPr>
              <w:jc w:val="left"/>
              <w:rPr>
                <w:rFonts w:ascii="Arial Narrow" w:hAnsi="Arial Narrow"/>
                <w:bCs/>
                <w:sz w:val="20"/>
                <w:szCs w:val="20"/>
              </w:rPr>
            </w:pPr>
            <w:r w:rsidRPr="00D0157D">
              <w:rPr>
                <w:rFonts w:ascii="Arial Narrow" w:hAnsi="Arial Narrow"/>
                <w:bCs/>
                <w:sz w:val="20"/>
                <w:szCs w:val="20"/>
              </w:rPr>
              <w:t>Patients with event</w:t>
            </w:r>
          </w:p>
        </w:tc>
        <w:tc>
          <w:tcPr>
            <w:tcW w:w="1258" w:type="pct"/>
            <w:vAlign w:val="center"/>
          </w:tcPr>
          <w:p w:rsidR="00BA35A3" w:rsidRPr="00D0157D" w:rsidRDefault="00BA35A3" w:rsidP="00BA35A3">
            <w:pPr>
              <w:jc w:val="center"/>
              <w:rPr>
                <w:rFonts w:ascii="Arial Narrow" w:hAnsi="Arial Narrow"/>
                <w:bCs/>
                <w:sz w:val="20"/>
                <w:szCs w:val="20"/>
              </w:rPr>
            </w:pPr>
            <w:r w:rsidRPr="00D0157D">
              <w:rPr>
                <w:rFonts w:ascii="Arial Narrow" w:hAnsi="Arial Narrow"/>
                <w:bCs/>
                <w:sz w:val="20"/>
                <w:szCs w:val="20"/>
              </w:rPr>
              <w:t>267/485 (55.1%)</w:t>
            </w:r>
          </w:p>
        </w:tc>
        <w:tc>
          <w:tcPr>
            <w:tcW w:w="1021" w:type="pct"/>
            <w:vAlign w:val="center"/>
          </w:tcPr>
          <w:p w:rsidR="00BA35A3" w:rsidRPr="00D0157D" w:rsidRDefault="00BA35A3" w:rsidP="00BA35A3">
            <w:pPr>
              <w:jc w:val="center"/>
              <w:rPr>
                <w:rFonts w:ascii="Arial Narrow" w:hAnsi="Arial Narrow"/>
                <w:bCs/>
                <w:sz w:val="20"/>
                <w:szCs w:val="20"/>
              </w:rPr>
            </w:pPr>
            <w:r w:rsidRPr="00D0157D">
              <w:rPr>
                <w:rFonts w:ascii="Arial Narrow" w:hAnsi="Arial Narrow"/>
                <w:bCs/>
                <w:sz w:val="20"/>
                <w:szCs w:val="20"/>
              </w:rPr>
              <w:t>143/239 (59.8%)</w:t>
            </w:r>
          </w:p>
        </w:tc>
        <w:tc>
          <w:tcPr>
            <w:tcW w:w="916" w:type="pct"/>
            <w:vMerge w:val="restart"/>
            <w:vAlign w:val="center"/>
          </w:tcPr>
          <w:p w:rsidR="00BA35A3" w:rsidRPr="00D0157D" w:rsidRDefault="00BA35A3" w:rsidP="00BA35A3">
            <w:pPr>
              <w:jc w:val="center"/>
              <w:rPr>
                <w:rFonts w:ascii="Arial Narrow" w:hAnsi="Arial Narrow"/>
                <w:bCs/>
                <w:sz w:val="20"/>
                <w:szCs w:val="20"/>
              </w:rPr>
            </w:pPr>
            <w:r w:rsidRPr="00D0157D">
              <w:rPr>
                <w:rFonts w:ascii="Arial Narrow" w:hAnsi="Arial Narrow"/>
                <w:bCs/>
                <w:sz w:val="20"/>
                <w:szCs w:val="20"/>
              </w:rPr>
              <w:t>0.89 (0.73, 1.10)</w:t>
            </w:r>
          </w:p>
        </w:tc>
      </w:tr>
      <w:tr w:rsidR="00BA35A3" w:rsidRPr="00BA2AC7" w:rsidTr="00BA35A3">
        <w:tc>
          <w:tcPr>
            <w:tcW w:w="1805" w:type="pct"/>
            <w:vAlign w:val="center"/>
          </w:tcPr>
          <w:p w:rsidR="00BA35A3" w:rsidRPr="00D0157D" w:rsidRDefault="00BA35A3" w:rsidP="00BA35A3">
            <w:pPr>
              <w:jc w:val="left"/>
              <w:rPr>
                <w:rFonts w:ascii="Arial Narrow" w:hAnsi="Arial Narrow"/>
                <w:bCs/>
                <w:sz w:val="20"/>
                <w:szCs w:val="20"/>
              </w:rPr>
            </w:pPr>
            <w:r w:rsidRPr="00D0157D">
              <w:rPr>
                <w:rFonts w:ascii="Arial Narrow" w:hAnsi="Arial Narrow"/>
                <w:bCs/>
                <w:sz w:val="20"/>
                <w:szCs w:val="20"/>
              </w:rPr>
              <w:t>Median OS months</w:t>
            </w:r>
          </w:p>
        </w:tc>
        <w:tc>
          <w:tcPr>
            <w:tcW w:w="1258" w:type="pct"/>
            <w:vAlign w:val="center"/>
          </w:tcPr>
          <w:p w:rsidR="00BA35A3" w:rsidRPr="00D0157D" w:rsidRDefault="00BA35A3" w:rsidP="00BA35A3">
            <w:pPr>
              <w:jc w:val="center"/>
              <w:rPr>
                <w:rFonts w:ascii="Arial Narrow" w:hAnsi="Arial Narrow"/>
                <w:bCs/>
                <w:sz w:val="20"/>
                <w:szCs w:val="20"/>
              </w:rPr>
            </w:pPr>
            <w:r w:rsidRPr="00D0157D">
              <w:rPr>
                <w:rFonts w:ascii="Arial Narrow" w:hAnsi="Arial Narrow"/>
                <w:bCs/>
                <w:sz w:val="20"/>
                <w:szCs w:val="20"/>
              </w:rPr>
              <w:t>31.0 m</w:t>
            </w:r>
          </w:p>
        </w:tc>
        <w:tc>
          <w:tcPr>
            <w:tcW w:w="1021" w:type="pct"/>
            <w:vAlign w:val="center"/>
          </w:tcPr>
          <w:p w:rsidR="00BA35A3" w:rsidRPr="00D0157D" w:rsidRDefault="00BA35A3" w:rsidP="00BA35A3">
            <w:pPr>
              <w:jc w:val="center"/>
              <w:rPr>
                <w:rFonts w:ascii="Arial Narrow" w:hAnsi="Arial Narrow"/>
                <w:bCs/>
                <w:sz w:val="20"/>
                <w:szCs w:val="20"/>
              </w:rPr>
            </w:pPr>
            <w:r w:rsidRPr="00D0157D">
              <w:rPr>
                <w:rFonts w:ascii="Arial Narrow" w:hAnsi="Arial Narrow"/>
                <w:bCs/>
                <w:sz w:val="20"/>
                <w:szCs w:val="20"/>
              </w:rPr>
              <w:t>26.6 m</w:t>
            </w:r>
          </w:p>
        </w:tc>
        <w:tc>
          <w:tcPr>
            <w:tcW w:w="916" w:type="pct"/>
            <w:vMerge/>
            <w:vAlign w:val="center"/>
          </w:tcPr>
          <w:p w:rsidR="00BA35A3" w:rsidRPr="00D0157D" w:rsidRDefault="00BA35A3" w:rsidP="00BA35A3">
            <w:pPr>
              <w:jc w:val="center"/>
              <w:rPr>
                <w:rFonts w:ascii="Arial Narrow" w:hAnsi="Arial Narrow"/>
                <w:bCs/>
                <w:sz w:val="20"/>
                <w:szCs w:val="20"/>
              </w:rPr>
            </w:pPr>
          </w:p>
        </w:tc>
      </w:tr>
    </w:tbl>
    <w:p w:rsidR="00FE4C17" w:rsidRPr="00BA2AC7" w:rsidRDefault="00FE4C17" w:rsidP="00FE4C17">
      <w:pPr>
        <w:pStyle w:val="TableFigureFooter"/>
        <w:keepNext/>
        <w:keepLines/>
      </w:pPr>
      <w:r w:rsidRPr="00BA2AC7">
        <w:t>CI= confidence interval; FULV= fulvestrant; FULV500= fulvestrant 500mg; FULV250= fulvestrant 250mg; PBO= placebo; RIBO= ribociclib; ANA= anastrozole; LET= letrozole; HR= hazard ratio; m= months; NSAI= non-steroidal aromatase inhibitor; PFS= progression-free survival; NR= not reported; TTP= time to progression; DA= approved dose regimen; LD= loading dose regimen; EXE= exemestane; EVE=everolimus.</w:t>
      </w:r>
    </w:p>
    <w:p w:rsidR="00FE4C17" w:rsidRPr="007E0B5F" w:rsidRDefault="00FE4C17" w:rsidP="00896E7D">
      <w:pPr>
        <w:pStyle w:val="TableFigureFooter"/>
        <w:keepNext/>
        <w:keepLines/>
        <w:spacing w:after="240"/>
      </w:pPr>
      <w:r w:rsidRPr="007E0B5F">
        <w:t xml:space="preserve">Source: </w:t>
      </w:r>
      <w:r w:rsidRPr="007E0B5F">
        <w:rPr>
          <w:iCs/>
        </w:rPr>
        <w:t>Complied during the evaluation from Tables 2-26, 2-27, 2-29, 2-30, 2-32, 2-33; pp104-117 of the submission</w:t>
      </w:r>
      <w:r w:rsidR="006F5CF5">
        <w:rPr>
          <w:iCs/>
        </w:rPr>
        <w:t>.</w:t>
      </w:r>
    </w:p>
    <w:p w:rsidR="00014BDE" w:rsidRPr="00014BDE" w:rsidRDefault="00014BDE" w:rsidP="00D62003">
      <w:pPr>
        <w:pStyle w:val="3-BodyText"/>
        <w:keepNext/>
        <w:keepLines/>
        <w:numPr>
          <w:ilvl w:val="0"/>
          <w:numId w:val="0"/>
        </w:numPr>
        <w:spacing w:before="120"/>
        <w:ind w:left="720" w:hanging="720"/>
        <w:outlineLvl w:val="2"/>
        <w:rPr>
          <w:u w:val="single"/>
        </w:rPr>
      </w:pPr>
      <w:r w:rsidRPr="00014BDE">
        <w:rPr>
          <w:u w:val="single"/>
        </w:rPr>
        <w:t>First-line setting</w:t>
      </w:r>
    </w:p>
    <w:p w:rsidR="00651387" w:rsidRPr="00B02907" w:rsidRDefault="00651387" w:rsidP="00651387">
      <w:pPr>
        <w:pStyle w:val="3-BodyText"/>
        <w:rPr>
          <w:color w:val="000000" w:themeColor="text1"/>
        </w:rPr>
      </w:pPr>
      <w:r w:rsidRPr="00B02907">
        <w:rPr>
          <w:color w:val="000000" w:themeColor="text1"/>
        </w:rPr>
        <w:t>In the first-line setting, the primary analysis population was non-premenopausal patients with HR+/HER2- advanced breast cancer who had received no prior treatment in the advanced/metastatic setting and who are not refractory to (neo)adjuvant NSAI.</w:t>
      </w:r>
    </w:p>
    <w:p w:rsidR="001A4802" w:rsidRPr="00B02907" w:rsidRDefault="00014BDE" w:rsidP="00F27211">
      <w:pPr>
        <w:pStyle w:val="3-BodyText"/>
        <w:rPr>
          <w:color w:val="000000" w:themeColor="text1"/>
        </w:rPr>
      </w:pPr>
      <w:r w:rsidRPr="00B02907">
        <w:rPr>
          <w:snapToGrid/>
        </w:rPr>
        <w:t>The submission presented a</w:t>
      </w:r>
      <w:r w:rsidR="00A72FB6" w:rsidRPr="00B02907">
        <w:rPr>
          <w:snapToGrid/>
        </w:rPr>
        <w:t>n unanchored</w:t>
      </w:r>
      <w:r w:rsidRPr="00B02907">
        <w:rPr>
          <w:snapToGrid/>
        </w:rPr>
        <w:t xml:space="preserve"> MAIC</w:t>
      </w:r>
      <w:r w:rsidR="00681911">
        <w:rPr>
          <w:rStyle w:val="FootnoteReference"/>
          <w:snapToGrid/>
        </w:rPr>
        <w:footnoteReference w:id="8"/>
      </w:r>
      <w:r w:rsidRPr="00B02907">
        <w:rPr>
          <w:snapToGrid/>
        </w:rPr>
        <w:t xml:space="preserve"> between the RIBO+FULV arm of MONALEESA-3 (</w:t>
      </w:r>
      <w:r w:rsidR="0086443A" w:rsidRPr="00B02907">
        <w:rPr>
          <w:snapToGrid/>
        </w:rPr>
        <w:t xml:space="preserve">only including </w:t>
      </w:r>
      <w:r w:rsidRPr="00B02907">
        <w:rPr>
          <w:snapToGrid/>
        </w:rPr>
        <w:t>the subgroup</w:t>
      </w:r>
      <w:r w:rsidR="00651387" w:rsidRPr="00B02907">
        <w:rPr>
          <w:snapToGrid/>
        </w:rPr>
        <w:t>s</w:t>
      </w:r>
      <w:r w:rsidRPr="00B02907">
        <w:rPr>
          <w:snapToGrid/>
        </w:rPr>
        <w:t xml:space="preserve"> of patients who were </w:t>
      </w:r>
      <w:r w:rsidR="00651387" w:rsidRPr="00B02907">
        <w:rPr>
          <w:snapToGrid/>
        </w:rPr>
        <w:t xml:space="preserve">(i) </w:t>
      </w:r>
      <w:r w:rsidRPr="00B02907">
        <w:rPr>
          <w:snapToGrid/>
        </w:rPr>
        <w:t>treatment naïve</w:t>
      </w:r>
      <w:r w:rsidR="00BF6D84" w:rsidRPr="00B02907">
        <w:rPr>
          <w:snapToGrid/>
        </w:rPr>
        <w:t>,</w:t>
      </w:r>
      <w:r w:rsidRPr="00B02907">
        <w:rPr>
          <w:snapToGrid/>
        </w:rPr>
        <w:t xml:space="preserve"> </w:t>
      </w:r>
      <w:r w:rsidR="00651387" w:rsidRPr="00B02907">
        <w:rPr>
          <w:snapToGrid/>
        </w:rPr>
        <w:t xml:space="preserve">(ii) </w:t>
      </w:r>
      <w:r w:rsidRPr="00B02907">
        <w:rPr>
          <w:snapToGrid/>
        </w:rPr>
        <w:t>endocrine sensitive</w:t>
      </w:r>
      <w:r w:rsidR="00651387" w:rsidRPr="00B02907">
        <w:rPr>
          <w:snapToGrid/>
        </w:rPr>
        <w:t xml:space="preserve">, or (iii) </w:t>
      </w:r>
      <w:r w:rsidR="00851594" w:rsidRPr="00B02907">
        <w:rPr>
          <w:snapToGrid/>
        </w:rPr>
        <w:t>resistant to endocrine therapy in the (neo)adjuvant setting</w:t>
      </w:r>
      <w:r w:rsidR="00651387" w:rsidRPr="00B02907">
        <w:rPr>
          <w:snapToGrid/>
        </w:rPr>
        <w:t xml:space="preserve"> excluding those who were resistant to an NSAI</w:t>
      </w:r>
      <w:r w:rsidR="00851594" w:rsidRPr="00B02907">
        <w:rPr>
          <w:snapToGrid/>
        </w:rPr>
        <w:t xml:space="preserve"> </w:t>
      </w:r>
      <w:r w:rsidR="00DF45B9" w:rsidRPr="00B02907">
        <w:rPr>
          <w:rStyle w:val="FootnoteReference"/>
          <w:snapToGrid/>
        </w:rPr>
        <w:footnoteReference w:id="9"/>
      </w:r>
      <w:r w:rsidR="00896E7D" w:rsidRPr="00B02907">
        <w:rPr>
          <w:snapToGrid/>
        </w:rPr>
        <w:t>)</w:t>
      </w:r>
      <w:r w:rsidRPr="00B02907">
        <w:rPr>
          <w:snapToGrid/>
        </w:rPr>
        <w:t xml:space="preserve"> and the RIBO+NSAI arm of MONALEESA-2</w:t>
      </w:r>
      <w:r w:rsidRPr="00B02907">
        <w:rPr>
          <w:color w:val="000000" w:themeColor="text1"/>
        </w:rPr>
        <w:t xml:space="preserve"> using inverse probability of treatment weighting (IPTW) methods, </w:t>
      </w:r>
      <w:r w:rsidRPr="00196BBD">
        <w:rPr>
          <w:color w:val="000000" w:themeColor="text1"/>
        </w:rPr>
        <w:t xml:space="preserve">described by Austin and Stuart </w:t>
      </w:r>
      <w:r w:rsidRPr="00196BBD">
        <w:t>(2015)</w:t>
      </w:r>
      <w:r w:rsidRPr="00196BBD">
        <w:rPr>
          <w:color w:val="000000" w:themeColor="text1"/>
        </w:rPr>
        <w:t>.</w:t>
      </w:r>
      <w:r w:rsidRPr="00196BBD">
        <w:rPr>
          <w:color w:val="000000" w:themeColor="text1"/>
          <w:vertAlign w:val="superscript"/>
        </w:rPr>
        <w:footnoteReference w:id="10"/>
      </w:r>
      <w:r w:rsidRPr="00196BBD">
        <w:rPr>
          <w:color w:val="000000" w:themeColor="text1"/>
        </w:rPr>
        <w:t xml:space="preserve"> </w:t>
      </w:r>
      <w:r w:rsidR="002F4A7E" w:rsidRPr="00196BBD">
        <w:rPr>
          <w:color w:val="000000" w:themeColor="text1"/>
        </w:rPr>
        <w:t>The submission stated that b</w:t>
      </w:r>
      <w:r w:rsidR="00DB78ED" w:rsidRPr="00196BBD">
        <w:rPr>
          <w:color w:val="000000" w:themeColor="text1"/>
        </w:rPr>
        <w:t xml:space="preserve">ecause patients in MONALEESA-2 represent a subset of patients in MONALEESA-3, patients in MONALEESA-3 were selected to match the inclusion criteria of the MONALEESA-2 trial. </w:t>
      </w:r>
      <w:r w:rsidR="00B846DD" w:rsidRPr="00196BBD">
        <w:rPr>
          <w:color w:val="000000" w:themeColor="text1"/>
        </w:rPr>
        <w:t xml:space="preserve">The covariates that </w:t>
      </w:r>
      <w:r w:rsidR="00802BCF" w:rsidRPr="00196BBD">
        <w:rPr>
          <w:color w:val="000000" w:themeColor="text1"/>
        </w:rPr>
        <w:t>were</w:t>
      </w:r>
      <w:r w:rsidR="00F27211" w:rsidRPr="00196BBD">
        <w:rPr>
          <w:color w:val="000000" w:themeColor="text1"/>
        </w:rPr>
        <w:t xml:space="preserve"> </w:t>
      </w:r>
      <w:r w:rsidR="00B846DD" w:rsidRPr="00196BBD">
        <w:rPr>
          <w:color w:val="000000" w:themeColor="text1"/>
        </w:rPr>
        <w:t>included</w:t>
      </w:r>
      <w:r w:rsidR="00B846DD" w:rsidRPr="00B02907">
        <w:rPr>
          <w:color w:val="000000" w:themeColor="text1"/>
        </w:rPr>
        <w:t xml:space="preserve"> are outlined in the table below (along with baseline characteristics before and after </w:t>
      </w:r>
      <w:r w:rsidR="00976E28" w:rsidRPr="00B02907">
        <w:rPr>
          <w:color w:val="000000" w:themeColor="text1"/>
        </w:rPr>
        <w:t>weight</w:t>
      </w:r>
      <w:r w:rsidR="00B846DD" w:rsidRPr="00B02907">
        <w:rPr>
          <w:color w:val="000000" w:themeColor="text1"/>
        </w:rPr>
        <w:t>ing)</w:t>
      </w:r>
      <w:r w:rsidR="00EB061D" w:rsidRPr="00B02907">
        <w:rPr>
          <w:color w:val="000000" w:themeColor="text1"/>
        </w:rPr>
        <w:t xml:space="preserve"> and </w:t>
      </w:r>
      <w:r w:rsidR="001A4802" w:rsidRPr="00B02907">
        <w:rPr>
          <w:iCs/>
        </w:rPr>
        <w:t>were: age, race, ECOG</w:t>
      </w:r>
      <w:r w:rsidR="00EB061D" w:rsidRPr="00B02907">
        <w:rPr>
          <w:iCs/>
        </w:rPr>
        <w:t xml:space="preserve"> status</w:t>
      </w:r>
      <w:r w:rsidR="001A4802" w:rsidRPr="00B02907">
        <w:rPr>
          <w:iCs/>
        </w:rPr>
        <w:t>, grade, visceral</w:t>
      </w:r>
      <w:r w:rsidR="00EB061D" w:rsidRPr="00B02907">
        <w:rPr>
          <w:iCs/>
        </w:rPr>
        <w:t xml:space="preserve"> disease, </w:t>
      </w:r>
      <w:r w:rsidR="001A4802" w:rsidRPr="00B02907">
        <w:rPr>
          <w:iCs/>
        </w:rPr>
        <w:t>number of metastatic sites, and time since initial treatment.</w:t>
      </w:r>
      <w:r w:rsidR="00E214B1">
        <w:rPr>
          <w:iCs/>
        </w:rPr>
        <w:t xml:space="preserve"> </w:t>
      </w:r>
    </w:p>
    <w:p w:rsidR="00360D0A" w:rsidRPr="00B02907" w:rsidRDefault="00E214B1" w:rsidP="00DB78ED">
      <w:pPr>
        <w:pStyle w:val="3-BodyText"/>
        <w:rPr>
          <w:color w:val="000000" w:themeColor="text1"/>
        </w:rPr>
      </w:pPr>
      <w:r>
        <w:rPr>
          <w:iCs/>
        </w:rPr>
        <w:t>The pre-PBAC response clarified that receipt of prior chemotherapy in the neo(adjuvant) setting was inadvertently left out of this analysis and provided updated results that included this factor as a covariate.</w:t>
      </w:r>
      <w:r w:rsidRPr="00B02907">
        <w:rPr>
          <w:iCs/>
        </w:rPr>
        <w:t xml:space="preserve"> </w:t>
      </w:r>
      <w:r>
        <w:rPr>
          <w:color w:val="000000" w:themeColor="text1"/>
        </w:rPr>
        <w:t xml:space="preserve">This factor </w:t>
      </w:r>
      <w:r w:rsidR="0040429D" w:rsidRPr="00B02907">
        <w:rPr>
          <w:color w:val="000000" w:themeColor="text1"/>
        </w:rPr>
        <w:t>had only a small effect on the estimates, reducing the PFS HR from 0.92</w:t>
      </w:r>
      <w:r w:rsidR="003B7997">
        <w:rPr>
          <w:color w:val="000000" w:themeColor="text1"/>
        </w:rPr>
        <w:t xml:space="preserve"> (95% CI: 0.72, 1.18)</w:t>
      </w:r>
      <w:r w:rsidR="0040429D" w:rsidRPr="00B02907">
        <w:rPr>
          <w:color w:val="000000" w:themeColor="text1"/>
        </w:rPr>
        <w:t xml:space="preserve"> to 0.</w:t>
      </w:r>
      <w:r w:rsidR="003B7997">
        <w:rPr>
          <w:color w:val="000000" w:themeColor="text1"/>
        </w:rPr>
        <w:t>89 (95% CI: 0.70, 1.14)</w:t>
      </w:r>
      <w:r w:rsidR="0040429D" w:rsidRPr="00B02907">
        <w:rPr>
          <w:color w:val="000000" w:themeColor="text1"/>
        </w:rPr>
        <w:t xml:space="preserve">. </w:t>
      </w:r>
      <w:r w:rsidR="001A4802" w:rsidRPr="00B02907">
        <w:rPr>
          <w:iCs/>
        </w:rPr>
        <w:t>Post-progression therapy was not adjusted for</w:t>
      </w:r>
      <w:r w:rsidR="0086443A" w:rsidRPr="00B02907">
        <w:rPr>
          <w:iCs/>
        </w:rPr>
        <w:t>, which</w:t>
      </w:r>
      <w:r w:rsidR="001A4802" w:rsidRPr="00B02907">
        <w:rPr>
          <w:iCs/>
        </w:rPr>
        <w:t xml:space="preserve"> would not affect PFS, but could affect OS.</w:t>
      </w:r>
    </w:p>
    <w:p w:rsidR="00B846DD" w:rsidRPr="008D1AF1" w:rsidRDefault="00B846DD" w:rsidP="00DB78ED">
      <w:pPr>
        <w:pStyle w:val="3-BodyText"/>
        <w:keepNext/>
        <w:keepLines/>
        <w:numPr>
          <w:ilvl w:val="0"/>
          <w:numId w:val="0"/>
        </w:numPr>
        <w:spacing w:after="0"/>
        <w:rPr>
          <w:rFonts w:ascii="Arial Narrow" w:hAnsi="Arial Narrow"/>
          <w:b/>
          <w:color w:val="000000" w:themeColor="text1"/>
          <w:sz w:val="20"/>
          <w:szCs w:val="20"/>
        </w:rPr>
      </w:pPr>
      <w:r w:rsidRPr="008D1AF1">
        <w:rPr>
          <w:rFonts w:ascii="Arial Narrow" w:hAnsi="Arial Narrow"/>
          <w:b/>
          <w:snapToGrid/>
          <w:sz w:val="20"/>
          <w:szCs w:val="20"/>
        </w:rPr>
        <w:t xml:space="preserve">Table </w:t>
      </w:r>
      <w:r w:rsidR="00EE094F" w:rsidRPr="008D1AF1">
        <w:rPr>
          <w:rFonts w:ascii="Arial Narrow" w:hAnsi="Arial Narrow"/>
          <w:b/>
          <w:snapToGrid/>
          <w:sz w:val="20"/>
          <w:szCs w:val="20"/>
        </w:rPr>
        <w:t>5</w:t>
      </w:r>
      <w:r w:rsidRPr="008D1AF1">
        <w:rPr>
          <w:rFonts w:ascii="Arial Narrow" w:hAnsi="Arial Narrow"/>
          <w:b/>
          <w:snapToGrid/>
          <w:sz w:val="20"/>
          <w:szCs w:val="20"/>
        </w:rPr>
        <w:t xml:space="preserve">: </w:t>
      </w:r>
      <w:r w:rsidR="00976E28" w:rsidRPr="008D1AF1">
        <w:rPr>
          <w:rFonts w:ascii="Arial Narrow" w:hAnsi="Arial Narrow"/>
          <w:b/>
          <w:snapToGrid/>
          <w:sz w:val="20"/>
          <w:szCs w:val="20"/>
        </w:rPr>
        <w:t>Covariates</w:t>
      </w:r>
      <w:r w:rsidRPr="008D1AF1">
        <w:rPr>
          <w:rFonts w:ascii="Arial Narrow" w:hAnsi="Arial Narrow"/>
          <w:b/>
          <w:snapToGrid/>
          <w:sz w:val="20"/>
          <w:szCs w:val="20"/>
        </w:rPr>
        <w:t xml:space="preserve"> </w:t>
      </w:r>
      <w:r w:rsidR="00976E28" w:rsidRPr="008D1AF1">
        <w:rPr>
          <w:rFonts w:ascii="Arial Narrow" w:hAnsi="Arial Narrow"/>
          <w:b/>
          <w:snapToGrid/>
          <w:sz w:val="20"/>
          <w:szCs w:val="20"/>
        </w:rPr>
        <w:t xml:space="preserve">in the </w:t>
      </w:r>
      <w:r w:rsidRPr="008D1AF1">
        <w:rPr>
          <w:rFonts w:ascii="Arial Narrow" w:hAnsi="Arial Narrow"/>
          <w:b/>
          <w:snapToGrid/>
          <w:sz w:val="20"/>
          <w:szCs w:val="20"/>
        </w:rPr>
        <w:t xml:space="preserve">first-line </w:t>
      </w:r>
      <w:r w:rsidR="003F4D02" w:rsidRPr="008D1AF1">
        <w:rPr>
          <w:rFonts w:ascii="Arial Narrow" w:hAnsi="Arial Narrow"/>
          <w:b/>
          <w:snapToGrid/>
          <w:sz w:val="20"/>
          <w:szCs w:val="20"/>
        </w:rPr>
        <w:t>unanchore</w:t>
      </w:r>
      <w:r w:rsidR="00976E28" w:rsidRPr="008D1AF1">
        <w:rPr>
          <w:rFonts w:ascii="Arial Narrow" w:hAnsi="Arial Narrow"/>
          <w:b/>
          <w:snapToGrid/>
          <w:sz w:val="20"/>
          <w:szCs w:val="20"/>
        </w:rPr>
        <w:t xml:space="preserve">d MAIC: patient characteristics before and after </w:t>
      </w:r>
      <w:r w:rsidR="00DB78ED" w:rsidRPr="008D1AF1">
        <w:rPr>
          <w:rFonts w:ascii="Arial Narrow" w:hAnsi="Arial Narrow"/>
          <w:b/>
          <w:snapToGrid/>
          <w:sz w:val="20"/>
          <w:szCs w:val="20"/>
        </w:rPr>
        <w:t>weight</w:t>
      </w:r>
      <w:r w:rsidR="00976E28" w:rsidRPr="008D1AF1">
        <w:rPr>
          <w:rFonts w:ascii="Arial Narrow" w:hAnsi="Arial Narrow"/>
          <w:b/>
          <w:snapToGrid/>
          <w:sz w:val="20"/>
          <w:szCs w:val="20"/>
        </w:rPr>
        <w:t>ing</w:t>
      </w:r>
    </w:p>
    <w:tbl>
      <w:tblPr>
        <w:tblW w:w="5000" w:type="pct"/>
        <w:tblLayout w:type="fixed"/>
        <w:tblLook w:val="04A0" w:firstRow="1" w:lastRow="0" w:firstColumn="1" w:lastColumn="0" w:noHBand="0" w:noVBand="1"/>
      </w:tblPr>
      <w:tblGrid>
        <w:gridCol w:w="3821"/>
        <w:gridCol w:w="866"/>
        <w:gridCol w:w="866"/>
        <w:gridCol w:w="866"/>
        <w:gridCol w:w="866"/>
        <w:gridCol w:w="866"/>
        <w:gridCol w:w="866"/>
      </w:tblGrid>
      <w:tr w:rsidR="008718A7" w:rsidRPr="008D1AF1" w:rsidTr="00B00754">
        <w:trPr>
          <w:trHeight w:val="299"/>
        </w:trPr>
        <w:tc>
          <w:tcPr>
            <w:tcW w:w="211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jc w:val="left"/>
              <w:rPr>
                <w:rFonts w:ascii="Arial Narrow" w:hAnsi="Arial Narrow" w:cs="Calibri"/>
                <w:b/>
                <w:bCs/>
                <w:color w:val="000000"/>
                <w:sz w:val="20"/>
                <w:szCs w:val="20"/>
                <w:lang w:val="en-US" w:eastAsia="en-US"/>
              </w:rPr>
            </w:pPr>
            <w:bookmarkStart w:id="26" w:name="RANGE!A1:K48"/>
            <w:r w:rsidRPr="008D1AF1">
              <w:rPr>
                <w:rFonts w:ascii="Arial Narrow" w:hAnsi="Arial Narrow" w:cs="Calibri"/>
                <w:b/>
                <w:bCs/>
                <w:color w:val="000000"/>
                <w:sz w:val="20"/>
                <w:szCs w:val="20"/>
                <w:lang w:val="en-US" w:eastAsia="en-US"/>
              </w:rPr>
              <w:t>Patient Characteristics</w:t>
            </w:r>
            <w:bookmarkEnd w:id="26"/>
            <w:r w:rsidR="00B846DD" w:rsidRPr="008D1AF1">
              <w:rPr>
                <w:rFonts w:ascii="Arial Narrow" w:hAnsi="Arial Narrow" w:cs="Calibri"/>
                <w:b/>
                <w:bCs/>
                <w:color w:val="000000"/>
                <w:sz w:val="20"/>
                <w:szCs w:val="20"/>
                <w:lang w:val="en-US" w:eastAsia="en-US"/>
              </w:rPr>
              <w:t xml:space="preserve"> – covariates that were matched for</w:t>
            </w:r>
          </w:p>
        </w:tc>
        <w:tc>
          <w:tcPr>
            <w:tcW w:w="960" w:type="pct"/>
            <w:gridSpan w:val="2"/>
            <w:tcBorders>
              <w:top w:val="single" w:sz="4" w:space="0" w:color="auto"/>
              <w:left w:val="nil"/>
              <w:bottom w:val="single" w:sz="4" w:space="0" w:color="auto"/>
              <w:right w:val="single" w:sz="4" w:space="0" w:color="auto"/>
            </w:tcBorders>
            <w:shd w:val="clear" w:color="auto" w:fill="auto"/>
            <w:noWrap/>
            <w:vAlign w:val="bottom"/>
            <w:hideMark/>
          </w:tcPr>
          <w:p w:rsidR="008718A7" w:rsidRPr="008D1AF1" w:rsidRDefault="008718A7" w:rsidP="00DB78ED">
            <w:pPr>
              <w:keepNext/>
              <w:keepLines/>
              <w:jc w:val="center"/>
              <w:rPr>
                <w:rFonts w:ascii="Arial Narrow" w:hAnsi="Arial Narrow" w:cs="Calibri"/>
                <w:b/>
                <w:bCs/>
                <w:color w:val="000000"/>
                <w:sz w:val="20"/>
                <w:szCs w:val="20"/>
                <w:vertAlign w:val="superscript"/>
                <w:lang w:val="en-US" w:eastAsia="en-US"/>
              </w:rPr>
            </w:pPr>
            <w:r w:rsidRPr="008D1AF1">
              <w:rPr>
                <w:rFonts w:ascii="Arial Narrow" w:hAnsi="Arial Narrow" w:cs="Calibri"/>
                <w:b/>
                <w:bCs/>
                <w:color w:val="000000"/>
                <w:sz w:val="20"/>
                <w:szCs w:val="20"/>
                <w:lang w:val="en-US" w:eastAsia="en-US"/>
              </w:rPr>
              <w:t>MONALEESA-3</w:t>
            </w:r>
            <w:r w:rsidR="007032BE" w:rsidRPr="008D1AF1">
              <w:rPr>
                <w:rFonts w:ascii="Arial Narrow" w:hAnsi="Arial Narrow" w:cs="Calibri"/>
                <w:b/>
                <w:bCs/>
                <w:color w:val="000000"/>
                <w:sz w:val="20"/>
                <w:szCs w:val="20"/>
                <w:lang w:val="en-US" w:eastAsia="en-US"/>
              </w:rPr>
              <w:t xml:space="preserve"> </w:t>
            </w:r>
            <w:r w:rsidR="00DB78ED" w:rsidRPr="008D1AF1">
              <w:rPr>
                <w:rFonts w:ascii="Arial Narrow" w:hAnsi="Arial Narrow" w:cs="Calibri"/>
                <w:b/>
                <w:bCs/>
                <w:color w:val="000000"/>
                <w:sz w:val="20"/>
                <w:szCs w:val="20"/>
                <w:lang w:val="en-US" w:eastAsia="en-US"/>
              </w:rPr>
              <w:t xml:space="preserve"> subgroup</w:t>
            </w:r>
            <w:r w:rsidR="007032BE" w:rsidRPr="008D1AF1">
              <w:rPr>
                <w:rFonts w:ascii="Arial Narrow" w:hAnsi="Arial Narrow" w:cs="Calibri"/>
                <w:b/>
                <w:bCs/>
                <w:color w:val="000000"/>
                <w:sz w:val="20"/>
                <w:szCs w:val="20"/>
                <w:vertAlign w:val="superscript"/>
                <w:lang w:val="en-US" w:eastAsia="en-US"/>
              </w:rPr>
              <w:t>a</w:t>
            </w:r>
          </w:p>
        </w:tc>
        <w:tc>
          <w:tcPr>
            <w:tcW w:w="960" w:type="pct"/>
            <w:gridSpan w:val="2"/>
            <w:tcBorders>
              <w:top w:val="single" w:sz="4" w:space="0" w:color="auto"/>
              <w:left w:val="nil"/>
              <w:bottom w:val="single" w:sz="4" w:space="0" w:color="auto"/>
              <w:right w:val="single" w:sz="4" w:space="0" w:color="auto"/>
            </w:tcBorders>
            <w:shd w:val="clear" w:color="auto" w:fill="auto"/>
            <w:noWrap/>
            <w:vAlign w:val="bottom"/>
            <w:hideMark/>
          </w:tcPr>
          <w:p w:rsidR="008718A7" w:rsidRPr="008D1AF1" w:rsidRDefault="008718A7" w:rsidP="00DB78ED">
            <w:pPr>
              <w:keepNext/>
              <w:keepLines/>
              <w:jc w:val="center"/>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MONALEESA-2</w:t>
            </w:r>
          </w:p>
        </w:tc>
        <w:tc>
          <w:tcPr>
            <w:tcW w:w="960" w:type="pct"/>
            <w:gridSpan w:val="2"/>
            <w:tcBorders>
              <w:top w:val="single" w:sz="4" w:space="0" w:color="auto"/>
              <w:left w:val="nil"/>
              <w:bottom w:val="single" w:sz="4" w:space="0" w:color="auto"/>
              <w:right w:val="single" w:sz="4" w:space="0" w:color="auto"/>
            </w:tcBorders>
            <w:shd w:val="clear" w:color="auto" w:fill="auto"/>
            <w:noWrap/>
            <w:vAlign w:val="bottom"/>
            <w:hideMark/>
          </w:tcPr>
          <w:p w:rsidR="008718A7" w:rsidRPr="008D1AF1" w:rsidRDefault="008718A7" w:rsidP="00DB78ED">
            <w:pPr>
              <w:keepNext/>
              <w:keepLines/>
              <w:jc w:val="center"/>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MONALEESA-2 weighted</w:t>
            </w:r>
          </w:p>
        </w:tc>
      </w:tr>
      <w:tr w:rsidR="008718A7" w:rsidRPr="008D1AF1" w:rsidTr="00B00754">
        <w:trPr>
          <w:trHeight w:val="224"/>
        </w:trPr>
        <w:tc>
          <w:tcPr>
            <w:tcW w:w="21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18A7" w:rsidRPr="008D1AF1" w:rsidRDefault="008718A7" w:rsidP="00DB78ED">
            <w:pPr>
              <w:keepNext/>
              <w:keepLines/>
              <w:jc w:val="left"/>
              <w:rPr>
                <w:rFonts w:ascii="Arial Narrow" w:hAnsi="Arial Narrow" w:cs="Calibri"/>
                <w:b/>
                <w:bCs/>
                <w:color w:val="000000"/>
                <w:sz w:val="20"/>
                <w:szCs w:val="20"/>
                <w:lang w:val="en-US" w:eastAsia="en-US"/>
              </w:rPr>
            </w:pPr>
          </w:p>
        </w:tc>
        <w:tc>
          <w:tcPr>
            <w:tcW w:w="960" w:type="pct"/>
            <w:gridSpan w:val="2"/>
            <w:tcBorders>
              <w:top w:val="single" w:sz="4" w:space="0" w:color="auto"/>
              <w:left w:val="nil"/>
              <w:bottom w:val="single" w:sz="4" w:space="0" w:color="auto"/>
              <w:right w:val="single" w:sz="4" w:space="0" w:color="auto"/>
            </w:tcBorders>
            <w:shd w:val="clear" w:color="auto" w:fill="auto"/>
            <w:noWrap/>
            <w:vAlign w:val="bottom"/>
            <w:hideMark/>
          </w:tcPr>
          <w:p w:rsidR="008718A7" w:rsidRPr="008D1AF1" w:rsidRDefault="008718A7" w:rsidP="00DB78ED">
            <w:pPr>
              <w:keepNext/>
              <w:keepLines/>
              <w:jc w:val="center"/>
              <w:rPr>
                <w:rFonts w:ascii="Arial Narrow" w:hAnsi="Arial Narrow" w:cs="Calibri"/>
                <w:b/>
                <w:bCs/>
                <w:color w:val="000000"/>
                <w:sz w:val="20"/>
                <w:szCs w:val="20"/>
                <w:lang w:val="en-US" w:eastAsia="en-US"/>
              </w:rPr>
            </w:pPr>
            <w:bookmarkStart w:id="27" w:name="RANGE!B2:G44"/>
            <w:r w:rsidRPr="008D1AF1">
              <w:rPr>
                <w:rFonts w:ascii="Arial Narrow" w:hAnsi="Arial Narrow" w:cs="Calibri"/>
                <w:b/>
                <w:bCs/>
                <w:color w:val="000000"/>
                <w:sz w:val="20"/>
                <w:szCs w:val="20"/>
                <w:lang w:val="en-US" w:eastAsia="en-US"/>
              </w:rPr>
              <w:t>RIB+FUL</w:t>
            </w:r>
            <w:bookmarkEnd w:id="27"/>
          </w:p>
        </w:tc>
        <w:tc>
          <w:tcPr>
            <w:tcW w:w="960" w:type="pct"/>
            <w:gridSpan w:val="2"/>
            <w:tcBorders>
              <w:top w:val="single" w:sz="4" w:space="0" w:color="auto"/>
              <w:left w:val="nil"/>
              <w:bottom w:val="single" w:sz="4" w:space="0" w:color="auto"/>
              <w:right w:val="single" w:sz="4" w:space="0" w:color="auto"/>
            </w:tcBorders>
            <w:shd w:val="clear" w:color="auto" w:fill="auto"/>
            <w:noWrap/>
            <w:vAlign w:val="bottom"/>
            <w:hideMark/>
          </w:tcPr>
          <w:p w:rsidR="008718A7" w:rsidRPr="008D1AF1" w:rsidRDefault="008718A7" w:rsidP="00DB78ED">
            <w:pPr>
              <w:keepNext/>
              <w:keepLines/>
              <w:jc w:val="center"/>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RIB+LET</w:t>
            </w:r>
          </w:p>
        </w:tc>
        <w:tc>
          <w:tcPr>
            <w:tcW w:w="960" w:type="pct"/>
            <w:gridSpan w:val="2"/>
            <w:tcBorders>
              <w:top w:val="single" w:sz="4" w:space="0" w:color="auto"/>
              <w:left w:val="nil"/>
              <w:bottom w:val="single" w:sz="4" w:space="0" w:color="auto"/>
              <w:right w:val="single" w:sz="4" w:space="0" w:color="auto"/>
            </w:tcBorders>
            <w:shd w:val="clear" w:color="auto" w:fill="auto"/>
            <w:noWrap/>
            <w:vAlign w:val="bottom"/>
            <w:hideMark/>
          </w:tcPr>
          <w:p w:rsidR="008718A7" w:rsidRPr="008D1AF1" w:rsidRDefault="008718A7" w:rsidP="00DB78ED">
            <w:pPr>
              <w:keepNext/>
              <w:keepLines/>
              <w:jc w:val="center"/>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RIB+LET</w:t>
            </w:r>
          </w:p>
        </w:tc>
      </w:tr>
      <w:tr w:rsidR="008718A7"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 </w:t>
            </w:r>
          </w:p>
        </w:tc>
        <w:tc>
          <w:tcPr>
            <w:tcW w:w="960" w:type="pct"/>
            <w:gridSpan w:val="2"/>
            <w:tcBorders>
              <w:top w:val="single" w:sz="4" w:space="0" w:color="auto"/>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N=302</w:t>
            </w:r>
          </w:p>
        </w:tc>
        <w:tc>
          <w:tcPr>
            <w:tcW w:w="960" w:type="pct"/>
            <w:gridSpan w:val="2"/>
            <w:tcBorders>
              <w:top w:val="single" w:sz="4" w:space="0" w:color="auto"/>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N=334</w:t>
            </w:r>
          </w:p>
        </w:tc>
        <w:tc>
          <w:tcPr>
            <w:tcW w:w="960" w:type="pct"/>
            <w:gridSpan w:val="2"/>
            <w:tcBorders>
              <w:top w:val="single" w:sz="4" w:space="0" w:color="auto"/>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N=301.6</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jc w:val="left"/>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Age category (years) - n (%)</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976E28"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n</w:t>
            </w:r>
            <w:r w:rsidR="008718A7" w:rsidRPr="00196BBD">
              <w:rPr>
                <w:rFonts w:ascii="Arial Narrow" w:hAnsi="Arial Narrow" w:cs="Calibri"/>
                <w:color w:val="000000"/>
                <w:sz w:val="20"/>
                <w:szCs w:val="20"/>
                <w:lang w:val="en-US" w:eastAsia="en-US"/>
              </w:rPr>
              <w:t> </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976E28"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976E28"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n</w:t>
            </w:r>
            <w:r w:rsidR="008718A7" w:rsidRPr="00196BBD">
              <w:rPr>
                <w:rFonts w:ascii="Arial Narrow" w:hAnsi="Arial Narrow" w:cs="Calibri"/>
                <w:color w:val="000000"/>
                <w:sz w:val="20"/>
                <w:szCs w:val="20"/>
                <w:lang w:val="en-US" w:eastAsia="en-US"/>
              </w:rPr>
              <w:t> </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976E28"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976E28"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n</w:t>
            </w:r>
            <w:r w:rsidR="008718A7" w:rsidRPr="00196BBD">
              <w:rPr>
                <w:rFonts w:ascii="Arial Narrow" w:hAnsi="Arial Narrow" w:cs="Calibri"/>
                <w:color w:val="000000"/>
                <w:sz w:val="20"/>
                <w:szCs w:val="20"/>
                <w:lang w:val="en-US" w:eastAsia="en-US"/>
              </w:rPr>
              <w:t> </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976E28"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18 to &lt; 65</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173</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57.3</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184</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55.1</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173</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57.2</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 65</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129</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42.7</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150</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44.9</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129</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42.8</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jc w:val="left"/>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Race - n (%)</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 </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 </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 </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 </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 </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 </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White</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250</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82.8</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269</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80.5</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248</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82.3</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Asian</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33</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10.9</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28</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8.4</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34</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11.2</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Black or African American</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0.7</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10</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3.0</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4</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1.2</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Other</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17</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5.6</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26</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7.8</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15</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5.1</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jc w:val="left"/>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 xml:space="preserve">ECOG performance status –n (%) </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0</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191</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63.2</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204</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61.1</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189</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62.8</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1</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111</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36.8</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130</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38.9</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112</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37.2</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Missing</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0</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0.0</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0</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0.0</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0</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0.0</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jc w:val="left"/>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 xml:space="preserve">Histologic grade –n (%) </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 </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 </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 </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 </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 </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 </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Well differentiated</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28</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9.3</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30</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9.0</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28</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9.3</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Moderately differentiated</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161</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53.3</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143</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42.8</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160</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53.1</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Poorly differentiated</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61</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20.2</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59</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17.7</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61</w:t>
            </w:r>
          </w:p>
        </w:tc>
        <w:tc>
          <w:tcPr>
            <w:tcW w:w="480" w:type="pct"/>
            <w:tcBorders>
              <w:top w:val="nil"/>
              <w:left w:val="nil"/>
              <w:bottom w:val="single" w:sz="4" w:space="0" w:color="auto"/>
              <w:right w:val="single" w:sz="4" w:space="0" w:color="auto"/>
            </w:tcBorders>
            <w:shd w:val="clear" w:color="auto" w:fill="auto"/>
            <w:noWrap/>
            <w:vAlign w:val="bottom"/>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20.2</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Undifferentiated</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6</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2.0</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3</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0.9</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0.5</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Unknown</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46</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15.2</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99</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29.6</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51</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16.8</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jc w:val="left"/>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 xml:space="preserve">Visceral disease –n (%) </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Yes</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174</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57.6</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197</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59.0</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174</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57.7</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 xml:space="preserve"> No</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128</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42.4</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137</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41.0</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128</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42.3</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jc w:val="left"/>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 xml:space="preserve">Number of metastatic sites involved-n (%) </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 </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 </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 </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 </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 </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 </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1</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103</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34.1</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102</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30.5</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102</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33.8</w:t>
            </w:r>
          </w:p>
        </w:tc>
      </w:tr>
      <w:tr w:rsidR="00B846DD" w:rsidRPr="008D1AF1" w:rsidTr="00976E28">
        <w:trPr>
          <w:trHeight w:val="28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2</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90</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29.8</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118</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35.3</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92</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30.5</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 3</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109</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36.1</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114</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34.1</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107</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35.6</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jc w:val="left"/>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Time since initial diagnosis quartiles -n (%) *</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Q1</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73</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24.2</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86</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25.7</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76</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25.1</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Q2</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77</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25.5</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82</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24.6</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75</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25.0</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Q3</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75</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24.8</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84</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25.1</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73</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24.3</w:t>
            </w:r>
          </w:p>
        </w:tc>
      </w:tr>
      <w:tr w:rsidR="00B846DD" w:rsidRPr="008D1AF1" w:rsidTr="00976E28">
        <w:trPr>
          <w:trHeight w:val="224"/>
        </w:trPr>
        <w:tc>
          <w:tcPr>
            <w:tcW w:w="2119" w:type="pct"/>
            <w:tcBorders>
              <w:top w:val="nil"/>
              <w:left w:val="single" w:sz="4" w:space="0" w:color="auto"/>
              <w:bottom w:val="single" w:sz="4" w:space="0" w:color="auto"/>
              <w:right w:val="single" w:sz="4" w:space="0" w:color="auto"/>
            </w:tcBorders>
            <w:shd w:val="clear" w:color="auto" w:fill="auto"/>
            <w:noWrap/>
            <w:vAlign w:val="bottom"/>
            <w:hideMark/>
          </w:tcPr>
          <w:p w:rsidR="008718A7" w:rsidRPr="008D1AF1" w:rsidRDefault="008718A7" w:rsidP="00DB78ED">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Q4</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77</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25.5</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82</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24.6</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77</w:t>
            </w:r>
          </w:p>
        </w:tc>
        <w:tc>
          <w:tcPr>
            <w:tcW w:w="480" w:type="pct"/>
            <w:tcBorders>
              <w:top w:val="nil"/>
              <w:left w:val="nil"/>
              <w:bottom w:val="single" w:sz="4" w:space="0" w:color="auto"/>
              <w:right w:val="single" w:sz="4" w:space="0" w:color="auto"/>
            </w:tcBorders>
            <w:shd w:val="clear" w:color="auto" w:fill="auto"/>
            <w:noWrap/>
            <w:vAlign w:val="bottom"/>
            <w:hideMark/>
          </w:tcPr>
          <w:p w:rsidR="008718A7" w:rsidRPr="00196BBD" w:rsidRDefault="008718A7" w:rsidP="00DB78ED">
            <w:pPr>
              <w:keepNext/>
              <w:keepLines/>
              <w:jc w:val="center"/>
              <w:rPr>
                <w:rFonts w:ascii="Arial Narrow" w:hAnsi="Arial Narrow" w:cstheme="minorHAnsi"/>
                <w:color w:val="000000"/>
                <w:sz w:val="20"/>
                <w:szCs w:val="20"/>
                <w:lang w:val="en-US" w:eastAsia="en-US"/>
              </w:rPr>
            </w:pPr>
            <w:r w:rsidRPr="00196BBD">
              <w:rPr>
                <w:rFonts w:ascii="Arial Narrow" w:hAnsi="Arial Narrow" w:cs="Calibri"/>
                <w:color w:val="000000"/>
                <w:sz w:val="20"/>
                <w:szCs w:val="20"/>
                <w:lang w:val="en-US" w:eastAsia="en-US"/>
              </w:rPr>
              <w:t>25.6</w:t>
            </w:r>
          </w:p>
        </w:tc>
      </w:tr>
    </w:tbl>
    <w:p w:rsidR="008718A7" w:rsidRPr="008D1AF1" w:rsidRDefault="00B846DD" w:rsidP="00896E7D">
      <w:pPr>
        <w:pStyle w:val="3-BodyText"/>
        <w:keepNext/>
        <w:keepLines/>
        <w:numPr>
          <w:ilvl w:val="0"/>
          <w:numId w:val="0"/>
        </w:numPr>
        <w:spacing w:after="0"/>
        <w:rPr>
          <w:rFonts w:ascii="Arial Narrow" w:hAnsi="Arial Narrow"/>
          <w:color w:val="000000" w:themeColor="text1"/>
          <w:sz w:val="18"/>
          <w:szCs w:val="18"/>
        </w:rPr>
      </w:pPr>
      <w:r w:rsidRPr="008D1AF1">
        <w:rPr>
          <w:rFonts w:ascii="Arial Narrow" w:hAnsi="Arial Narrow"/>
          <w:color w:val="000000" w:themeColor="text1"/>
          <w:sz w:val="18"/>
          <w:szCs w:val="18"/>
        </w:rPr>
        <w:t>Source: Table 2. Demographic and clinical characteristics, p14 of ‘C1 Analysis report’</w:t>
      </w:r>
      <w:r w:rsidR="00CB4A13" w:rsidRPr="008D1AF1">
        <w:rPr>
          <w:rFonts w:ascii="Arial Narrow" w:hAnsi="Arial Narrow"/>
          <w:color w:val="000000" w:themeColor="text1"/>
          <w:sz w:val="18"/>
          <w:szCs w:val="18"/>
        </w:rPr>
        <w:t xml:space="preserve">, excluding variables </w:t>
      </w:r>
      <w:r w:rsidR="00510F79" w:rsidRPr="008D1AF1">
        <w:rPr>
          <w:rFonts w:ascii="Arial Narrow" w:hAnsi="Arial Narrow"/>
          <w:color w:val="000000" w:themeColor="text1"/>
          <w:sz w:val="18"/>
          <w:szCs w:val="18"/>
        </w:rPr>
        <w:t xml:space="preserve">that did </w:t>
      </w:r>
      <w:r w:rsidR="00CB4A13" w:rsidRPr="008D1AF1">
        <w:rPr>
          <w:rFonts w:ascii="Arial Narrow" w:hAnsi="Arial Narrow"/>
          <w:color w:val="000000" w:themeColor="text1"/>
          <w:sz w:val="18"/>
          <w:szCs w:val="18"/>
        </w:rPr>
        <w:t xml:space="preserve">not </w:t>
      </w:r>
      <w:r w:rsidR="00510F79" w:rsidRPr="008D1AF1">
        <w:rPr>
          <w:rFonts w:ascii="Arial Narrow" w:hAnsi="Arial Narrow"/>
          <w:color w:val="000000" w:themeColor="text1"/>
          <w:sz w:val="18"/>
          <w:szCs w:val="18"/>
        </w:rPr>
        <w:t xml:space="preserve">appear to be </w:t>
      </w:r>
      <w:r w:rsidR="00CB4A13" w:rsidRPr="008D1AF1">
        <w:rPr>
          <w:rFonts w:ascii="Arial Narrow" w:hAnsi="Arial Narrow"/>
          <w:color w:val="000000" w:themeColor="text1"/>
          <w:sz w:val="18"/>
          <w:szCs w:val="18"/>
        </w:rPr>
        <w:t xml:space="preserve">adjusted for in the main analysis </w:t>
      </w:r>
      <w:r w:rsidR="00510F79" w:rsidRPr="008D1AF1">
        <w:rPr>
          <w:rFonts w:ascii="Arial Narrow" w:hAnsi="Arial Narrow"/>
          <w:color w:val="000000" w:themeColor="text1"/>
          <w:sz w:val="18"/>
          <w:szCs w:val="18"/>
        </w:rPr>
        <w:t xml:space="preserve">based on the ‘Parameters’ tab of the spreadsheet titled ‘Ribociclib March 2020 PBAC Submission_Attachment C1 Main Spreadsheet_FINAL_10Mar20.xlsm’ </w:t>
      </w:r>
      <w:r w:rsidR="00CB4A13" w:rsidRPr="008D1AF1">
        <w:rPr>
          <w:rFonts w:ascii="Arial Narrow" w:hAnsi="Arial Narrow"/>
          <w:color w:val="000000" w:themeColor="text1"/>
          <w:sz w:val="18"/>
          <w:szCs w:val="18"/>
        </w:rPr>
        <w:t>(which were: stag</w:t>
      </w:r>
      <w:r w:rsidR="00896E7D" w:rsidRPr="008D1AF1">
        <w:rPr>
          <w:rFonts w:ascii="Arial Narrow" w:hAnsi="Arial Narrow"/>
          <w:color w:val="000000" w:themeColor="text1"/>
          <w:sz w:val="18"/>
          <w:szCs w:val="18"/>
        </w:rPr>
        <w:t>e a</w:t>
      </w:r>
      <w:r w:rsidR="00CB4A13" w:rsidRPr="008D1AF1">
        <w:rPr>
          <w:rFonts w:ascii="Arial Narrow" w:hAnsi="Arial Narrow"/>
          <w:color w:val="000000" w:themeColor="text1"/>
          <w:sz w:val="18"/>
          <w:szCs w:val="18"/>
        </w:rPr>
        <w:t>n</w:t>
      </w:r>
      <w:r w:rsidR="00896E7D" w:rsidRPr="008D1AF1">
        <w:rPr>
          <w:rFonts w:ascii="Arial Narrow" w:hAnsi="Arial Narrow"/>
          <w:color w:val="000000" w:themeColor="text1"/>
          <w:sz w:val="18"/>
          <w:szCs w:val="18"/>
        </w:rPr>
        <w:t>d</w:t>
      </w:r>
      <w:r w:rsidR="00CB4A13" w:rsidRPr="008D1AF1">
        <w:rPr>
          <w:rFonts w:ascii="Arial Narrow" w:hAnsi="Arial Narrow"/>
          <w:color w:val="000000" w:themeColor="text1"/>
          <w:sz w:val="18"/>
          <w:szCs w:val="18"/>
        </w:rPr>
        <w:t xml:space="preserve"> </w:t>
      </w:r>
      <w:r w:rsidR="00896E7D" w:rsidRPr="008D1AF1">
        <w:rPr>
          <w:rFonts w:ascii="Arial Narrow" w:hAnsi="Arial Narrow"/>
          <w:color w:val="000000" w:themeColor="text1"/>
          <w:sz w:val="18"/>
          <w:szCs w:val="18"/>
        </w:rPr>
        <w:t>receipt of prior chemotherapy in the adjuvant setting).</w:t>
      </w:r>
    </w:p>
    <w:p w:rsidR="009B503F" w:rsidRPr="008D1AF1" w:rsidRDefault="009B503F" w:rsidP="00681911">
      <w:pPr>
        <w:pStyle w:val="3-BodyText"/>
        <w:keepNext/>
        <w:keepLines/>
        <w:numPr>
          <w:ilvl w:val="0"/>
          <w:numId w:val="0"/>
        </w:numPr>
        <w:spacing w:after="0"/>
        <w:rPr>
          <w:rFonts w:ascii="Arial Narrow" w:hAnsi="Arial Narrow"/>
          <w:color w:val="000000" w:themeColor="text1"/>
          <w:sz w:val="18"/>
          <w:szCs w:val="18"/>
        </w:rPr>
      </w:pPr>
      <w:r w:rsidRPr="008D1AF1">
        <w:rPr>
          <w:rFonts w:ascii="Arial Narrow" w:hAnsi="Arial Narrow"/>
          <w:color w:val="000000" w:themeColor="text1"/>
          <w:sz w:val="18"/>
          <w:szCs w:val="18"/>
        </w:rPr>
        <w:t>Abbreviations: ECOG, Eastern Cooperative Oncology Group; FULV, fulvestrant; LET, letrozole; PBO, placebo; Q, quintile; RIBO, ribociclib; SD, standard deviation</w:t>
      </w:r>
    </w:p>
    <w:p w:rsidR="00681911" w:rsidRDefault="007032BE" w:rsidP="00681911">
      <w:pPr>
        <w:pStyle w:val="3-BodyText"/>
        <w:keepNext/>
        <w:keepLines/>
        <w:numPr>
          <w:ilvl w:val="0"/>
          <w:numId w:val="0"/>
        </w:numPr>
        <w:spacing w:after="0"/>
        <w:ind w:left="720" w:hanging="720"/>
      </w:pPr>
      <w:r w:rsidRPr="008D1AF1">
        <w:rPr>
          <w:rFonts w:ascii="Arial Narrow" w:hAnsi="Arial Narrow"/>
          <w:color w:val="000000" w:themeColor="text1"/>
          <w:sz w:val="18"/>
          <w:szCs w:val="18"/>
          <w:vertAlign w:val="superscript"/>
        </w:rPr>
        <w:t>a</w:t>
      </w:r>
      <w:r w:rsidRPr="008D1AF1">
        <w:rPr>
          <w:rFonts w:ascii="Arial Narrow" w:hAnsi="Arial Narrow"/>
          <w:color w:val="000000" w:themeColor="text1"/>
          <w:sz w:val="18"/>
          <w:szCs w:val="18"/>
        </w:rPr>
        <w:t xml:space="preserve"> Subgroup of patients who are treatment naïve and endocrine sensitive</w:t>
      </w:r>
      <w:r w:rsidR="002F4A7E" w:rsidRPr="008D1AF1">
        <w:rPr>
          <w:rFonts w:ascii="Arial Narrow" w:hAnsi="Arial Narrow"/>
          <w:color w:val="000000" w:themeColor="text1"/>
          <w:sz w:val="18"/>
          <w:szCs w:val="18"/>
        </w:rPr>
        <w:t xml:space="preserve"> and a subset of the endocrine resistant subgroup</w:t>
      </w:r>
      <w:r w:rsidR="00681911" w:rsidRPr="00681911">
        <w:t xml:space="preserve"> </w:t>
      </w:r>
    </w:p>
    <w:p w:rsidR="00681911" w:rsidRPr="00681911" w:rsidRDefault="00681911" w:rsidP="00681911">
      <w:pPr>
        <w:pStyle w:val="3-BodyText"/>
        <w:keepNext/>
        <w:keepLines/>
        <w:numPr>
          <w:ilvl w:val="0"/>
          <w:numId w:val="0"/>
        </w:numPr>
        <w:spacing w:after="0"/>
        <w:rPr>
          <w:rFonts w:ascii="Arial Narrow" w:hAnsi="Arial Narrow"/>
          <w:i/>
          <w:color w:val="000000" w:themeColor="text1"/>
          <w:sz w:val="18"/>
          <w:szCs w:val="18"/>
        </w:rPr>
      </w:pPr>
      <w:r w:rsidRPr="00681911">
        <w:rPr>
          <w:rFonts w:ascii="Arial Narrow" w:hAnsi="Arial Narrow"/>
          <w:i/>
          <w:color w:val="000000" w:themeColor="text1"/>
          <w:sz w:val="18"/>
          <w:szCs w:val="18"/>
        </w:rPr>
        <w:t>Note that the results presented in MAIC are derived from post-hoc analyses conducted by the applicant specifically for the purposes of informing the PBAC consideration. These analyses were not part of the pre-specified statistical plan for MONALEESA-2 or MONALEESA-</w:t>
      </w:r>
      <w:r w:rsidR="00F50980">
        <w:rPr>
          <w:rFonts w:ascii="Arial Narrow" w:hAnsi="Arial Narrow"/>
          <w:i/>
          <w:color w:val="000000" w:themeColor="text1"/>
          <w:sz w:val="18"/>
          <w:szCs w:val="18"/>
        </w:rPr>
        <w:t> </w:t>
      </w:r>
      <w:r w:rsidRPr="00681911">
        <w:rPr>
          <w:rFonts w:ascii="Arial Narrow" w:hAnsi="Arial Narrow"/>
          <w:i/>
          <w:color w:val="000000" w:themeColor="text1"/>
          <w:sz w:val="18"/>
          <w:szCs w:val="18"/>
        </w:rPr>
        <w:t>3.  Interpretation of the results and their application should therefore be limited to seeking to understand the basis for the PBAC outcome and should not be used for any other purpose.</w:t>
      </w:r>
    </w:p>
    <w:p w:rsidR="00681911" w:rsidRPr="008D1AF1" w:rsidRDefault="00681911" w:rsidP="00DB78ED">
      <w:pPr>
        <w:pStyle w:val="3-BodyText"/>
        <w:keepNext/>
        <w:keepLines/>
        <w:numPr>
          <w:ilvl w:val="0"/>
          <w:numId w:val="0"/>
        </w:numPr>
        <w:spacing w:after="240"/>
        <w:ind w:left="720" w:hanging="720"/>
        <w:rPr>
          <w:rFonts w:ascii="Arial Narrow" w:hAnsi="Arial Narrow"/>
          <w:color w:val="000000" w:themeColor="text1"/>
          <w:sz w:val="18"/>
          <w:szCs w:val="18"/>
        </w:rPr>
      </w:pPr>
    </w:p>
    <w:p w:rsidR="006231BC" w:rsidRPr="000E472B" w:rsidRDefault="00360D0A" w:rsidP="000E472B">
      <w:pPr>
        <w:pStyle w:val="3-BodyText"/>
        <w:rPr>
          <w:color w:val="000000" w:themeColor="text1"/>
        </w:rPr>
      </w:pPr>
      <w:r w:rsidRPr="00356600">
        <w:rPr>
          <w:color w:val="000000" w:themeColor="text1"/>
        </w:rPr>
        <w:t xml:space="preserve">Kaplan-Meier plots showing weighted and unweighted PFS and OS for the first-line patients on RIBO+FULV in MONALEESA-3 and on RIBO+NSAI in MONALEESA-2 are shown in Figure </w:t>
      </w:r>
      <w:r w:rsidR="00A63765">
        <w:rPr>
          <w:color w:val="000000" w:themeColor="text1"/>
        </w:rPr>
        <w:t>2</w:t>
      </w:r>
      <w:r w:rsidRPr="00356600">
        <w:rPr>
          <w:color w:val="000000" w:themeColor="text1"/>
        </w:rPr>
        <w:t>.</w:t>
      </w:r>
    </w:p>
    <w:p w:rsidR="006231BC" w:rsidRPr="00196BBD" w:rsidRDefault="006231BC" w:rsidP="006231BC">
      <w:pPr>
        <w:pStyle w:val="3-BodyText"/>
        <w:rPr>
          <w:color w:val="000000" w:themeColor="text1"/>
        </w:rPr>
      </w:pPr>
      <w:r w:rsidRPr="00196BBD">
        <w:rPr>
          <w:color w:val="000000" w:themeColor="text1"/>
        </w:rPr>
        <w:t>The absolute difference in Kaplan-Meier estimated median PFS for RIBO+FULV (27.8 months) vs. RIBO+NSAI</w:t>
      </w:r>
      <w:r w:rsidR="00D422F9" w:rsidRPr="00196BBD">
        <w:rPr>
          <w:color w:val="000000" w:themeColor="text1"/>
        </w:rPr>
        <w:t xml:space="preserve"> </w:t>
      </w:r>
      <w:r w:rsidRPr="00196BBD">
        <w:rPr>
          <w:color w:val="000000" w:themeColor="text1"/>
        </w:rPr>
        <w:t>(</w:t>
      </w:r>
      <w:r w:rsidR="0048433E" w:rsidRPr="00196BBD">
        <w:rPr>
          <w:color w:val="000000" w:themeColor="text1"/>
        </w:rPr>
        <w:t>letrozol</w:t>
      </w:r>
      <w:r w:rsidR="003F3628" w:rsidRPr="00196BBD">
        <w:rPr>
          <w:color w:val="000000" w:themeColor="text1"/>
        </w:rPr>
        <w:t>e</w:t>
      </w:r>
      <w:r w:rsidRPr="00196BBD">
        <w:rPr>
          <w:color w:val="000000" w:themeColor="text1"/>
        </w:rPr>
        <w:t>) (25.3 months) was 2.5 (95%CI: -3.9, 10.9) months. After propensity score weighting, this difference increased slightly, by 0.5 months, to 3.0 months (95% CI: -3.5, 11.1).</w:t>
      </w:r>
    </w:p>
    <w:p w:rsidR="00802BCF" w:rsidRDefault="006231BC" w:rsidP="006231BC">
      <w:pPr>
        <w:pStyle w:val="3-BodyText"/>
        <w:rPr>
          <w:color w:val="000000" w:themeColor="text1"/>
        </w:rPr>
      </w:pPr>
      <w:r w:rsidRPr="00356600">
        <w:rPr>
          <w:color w:val="000000" w:themeColor="text1"/>
        </w:rPr>
        <w:t>The submission stated that in both MONALEESA-3 and MONALEESA-2, the median OS (95% CI) for the RIBO+FULV and RIBO+NSAI arms has not yet been reached</w:t>
      </w:r>
      <w:r>
        <w:rPr>
          <w:color w:val="000000" w:themeColor="text1"/>
        </w:rPr>
        <w:t>,</w:t>
      </w:r>
      <w:r w:rsidR="00451D57" w:rsidRPr="00451D57">
        <w:rPr>
          <w:color w:val="000000" w:themeColor="text1"/>
        </w:rPr>
        <w:t xml:space="preserve"> </w:t>
      </w:r>
      <w:r w:rsidR="00451D57">
        <w:rPr>
          <w:color w:val="000000" w:themeColor="text1"/>
        </w:rPr>
        <w:t xml:space="preserve">and that the </w:t>
      </w:r>
      <w:r w:rsidR="00451D57" w:rsidRPr="00EB5ED8">
        <w:rPr>
          <w:color w:val="000000" w:themeColor="text1"/>
        </w:rPr>
        <w:t>next update for both trials is likely to be available in the second half of 2020, which would facilitate more mature analysis of the OS data</w:t>
      </w:r>
      <w:r w:rsidRPr="00356600">
        <w:rPr>
          <w:color w:val="000000" w:themeColor="text1"/>
        </w:rPr>
        <w:t xml:space="preserve">. </w:t>
      </w:r>
    </w:p>
    <w:p w:rsidR="006231BC" w:rsidRPr="00356600" w:rsidRDefault="006231BC" w:rsidP="006231BC">
      <w:pPr>
        <w:pStyle w:val="3-BodyText"/>
        <w:keepNext/>
        <w:numPr>
          <w:ilvl w:val="0"/>
          <w:numId w:val="0"/>
        </w:numPr>
        <w:spacing w:after="0"/>
        <w:rPr>
          <w:rStyle w:val="CommentReference"/>
        </w:rPr>
      </w:pPr>
      <w:r w:rsidRPr="00356600">
        <w:rPr>
          <w:rStyle w:val="CommentReference"/>
        </w:rPr>
        <w:t xml:space="preserve">Figure </w:t>
      </w:r>
      <w:r w:rsidR="00A63765">
        <w:rPr>
          <w:rStyle w:val="CommentReference"/>
        </w:rPr>
        <w:t>2</w:t>
      </w:r>
      <w:r w:rsidRPr="00356600">
        <w:rPr>
          <w:rStyle w:val="CommentReference"/>
        </w:rPr>
        <w:t>: Kaplan-Meier estimates of PFS and OS for first-line patients in MONALEESA-3 and MONALEESA-2 (A) PFS Unweighted and (B) OS-Unweighted (C) PFS-Weighted (D) OS-Weighted</w:t>
      </w:r>
    </w:p>
    <w:p w:rsidR="006231BC" w:rsidRPr="00356600" w:rsidRDefault="006231BC" w:rsidP="006231BC">
      <w:pPr>
        <w:pStyle w:val="3-BodyText"/>
        <w:numPr>
          <w:ilvl w:val="0"/>
          <w:numId w:val="0"/>
        </w:numPr>
        <w:rPr>
          <w:color w:val="000000" w:themeColor="text1"/>
        </w:rPr>
      </w:pPr>
      <w:r w:rsidRPr="00356600">
        <w:rPr>
          <w:noProof/>
          <w:color w:val="000000" w:themeColor="text1"/>
        </w:rPr>
        <w:drawing>
          <wp:inline distT="0" distB="0" distL="0" distR="0" wp14:anchorId="3E2636C2" wp14:editId="5B0F799B">
            <wp:extent cx="5730875" cy="4316095"/>
            <wp:effectExtent l="19050" t="19050" r="22225" b="273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4316095"/>
                    </a:xfrm>
                    <a:prstGeom prst="rect">
                      <a:avLst/>
                    </a:prstGeom>
                    <a:noFill/>
                    <a:ln w="3175">
                      <a:solidFill>
                        <a:schemeClr val="tx1"/>
                      </a:solidFill>
                    </a:ln>
                  </pic:spPr>
                </pic:pic>
              </a:graphicData>
            </a:graphic>
          </wp:inline>
        </w:drawing>
      </w:r>
    </w:p>
    <w:p w:rsidR="006231BC" w:rsidRPr="00356600" w:rsidRDefault="006231BC" w:rsidP="006231BC">
      <w:pPr>
        <w:pStyle w:val="TableFigureFooter"/>
      </w:pPr>
      <w:r w:rsidRPr="00356600">
        <w:t>FULV= fulvestrant; LET= letrozole; OS= overall survival; PBO= placebo; PFS= progression-free survival; RIBO= ribociclib; M3= MONALEESA-3, M2= MONALEESA-2.</w:t>
      </w:r>
    </w:p>
    <w:p w:rsidR="006231BC" w:rsidRDefault="006231BC" w:rsidP="006231BC">
      <w:pPr>
        <w:pStyle w:val="TableFigureFooter"/>
      </w:pPr>
      <w:r w:rsidRPr="00356600">
        <w:t>Source: Figure 2-20, p152 of the submission.</w:t>
      </w:r>
    </w:p>
    <w:p w:rsidR="006C19D3" w:rsidRPr="00681911" w:rsidRDefault="00681911" w:rsidP="006231BC">
      <w:pPr>
        <w:pStyle w:val="TableFigureFooter"/>
      </w:pPr>
      <w:r w:rsidRPr="00681911">
        <w:rPr>
          <w:i/>
          <w:szCs w:val="20"/>
        </w:rPr>
        <w:t>Note that the results prese</w:t>
      </w:r>
      <w:r w:rsidRPr="00681911">
        <w:rPr>
          <w:i/>
        </w:rPr>
        <w:t xml:space="preserve">nted in MAIC are derived from </w:t>
      </w:r>
      <w:r w:rsidRPr="00681911">
        <w:rPr>
          <w:i/>
          <w:szCs w:val="20"/>
        </w:rPr>
        <w:t>post-hoc analyses conducted by the applicant specifically for the purposes of informing the PBAC consideration. These analyses were not part of the pre-specified statistical plan for MONALEESA-2 or MONALEESA-</w:t>
      </w:r>
      <w:r w:rsidR="00F50980">
        <w:rPr>
          <w:i/>
          <w:szCs w:val="20"/>
        </w:rPr>
        <w:t> </w:t>
      </w:r>
      <w:r w:rsidRPr="00681911">
        <w:rPr>
          <w:i/>
          <w:szCs w:val="20"/>
        </w:rPr>
        <w:t>3.  Interpretation of the results and their application should therefore be limited to seeking to understand the basis for the PBAC outcome and should not be used for any other purpose.</w:t>
      </w:r>
    </w:p>
    <w:p w:rsidR="0058711F" w:rsidRDefault="0058711F" w:rsidP="0058711F">
      <w:pPr>
        <w:pStyle w:val="3-BodyText"/>
        <w:rPr>
          <w:color w:val="000000" w:themeColor="text1"/>
        </w:rPr>
      </w:pPr>
      <w:r w:rsidRPr="00356600">
        <w:rPr>
          <w:color w:val="000000" w:themeColor="text1"/>
        </w:rPr>
        <w:t xml:space="preserve">Results representing Cox proportional hazards regressions for both PFS and OS in the first-line </w:t>
      </w:r>
      <w:r>
        <w:rPr>
          <w:color w:val="000000" w:themeColor="text1"/>
        </w:rPr>
        <w:t>setting</w:t>
      </w:r>
      <w:r w:rsidRPr="00356600">
        <w:rPr>
          <w:color w:val="000000" w:themeColor="text1"/>
        </w:rPr>
        <w:t xml:space="preserve"> in MONALEESA-3 vs </w:t>
      </w:r>
      <w:r w:rsidR="00E45CA1">
        <w:rPr>
          <w:color w:val="000000" w:themeColor="text1"/>
        </w:rPr>
        <w:t>MONALEESA-2</w:t>
      </w:r>
      <w:r w:rsidRPr="00356600">
        <w:rPr>
          <w:color w:val="000000" w:themeColor="text1"/>
        </w:rPr>
        <w:t xml:space="preserve"> are presented in Table </w:t>
      </w:r>
      <w:r w:rsidR="00EE094F">
        <w:rPr>
          <w:color w:val="000000" w:themeColor="text1"/>
        </w:rPr>
        <w:t>6</w:t>
      </w:r>
      <w:r w:rsidRPr="00356600">
        <w:rPr>
          <w:color w:val="000000" w:themeColor="text1"/>
        </w:rPr>
        <w:t xml:space="preserve">. The hazard ratios </w:t>
      </w:r>
      <w:r>
        <w:rPr>
          <w:color w:val="000000" w:themeColor="text1"/>
        </w:rPr>
        <w:t>shaded in blue in</w:t>
      </w:r>
      <w:r w:rsidRPr="00E35A21">
        <w:rPr>
          <w:color w:val="000000" w:themeColor="text1"/>
        </w:rPr>
        <w:t xml:space="preserve"> </w:t>
      </w:r>
      <w:r w:rsidRPr="00356600">
        <w:rPr>
          <w:color w:val="000000" w:themeColor="text1"/>
        </w:rPr>
        <w:t xml:space="preserve">Table </w:t>
      </w:r>
      <w:r w:rsidR="00EE094F">
        <w:rPr>
          <w:color w:val="000000" w:themeColor="text1"/>
        </w:rPr>
        <w:t>6</w:t>
      </w:r>
      <w:r w:rsidRPr="00356600">
        <w:rPr>
          <w:color w:val="000000" w:themeColor="text1"/>
        </w:rPr>
        <w:t xml:space="preserve"> </w:t>
      </w:r>
      <w:r>
        <w:rPr>
          <w:color w:val="000000" w:themeColor="text1"/>
        </w:rPr>
        <w:t>formed the basis of the clinical claim.</w:t>
      </w:r>
    </w:p>
    <w:p w:rsidR="006C19D3" w:rsidRPr="00356600" w:rsidRDefault="006C19D3" w:rsidP="00315A97">
      <w:pPr>
        <w:pStyle w:val="3-BodyText"/>
        <w:keepNext/>
        <w:keepLines/>
        <w:numPr>
          <w:ilvl w:val="0"/>
          <w:numId w:val="0"/>
        </w:numPr>
        <w:spacing w:after="0"/>
        <w:rPr>
          <w:rStyle w:val="CommentReference"/>
        </w:rPr>
      </w:pPr>
      <w:r w:rsidRPr="00356600">
        <w:rPr>
          <w:rStyle w:val="CommentReference"/>
        </w:rPr>
        <w:t xml:space="preserve">Table </w:t>
      </w:r>
      <w:r w:rsidR="00EE094F">
        <w:rPr>
          <w:rStyle w:val="CommentReference"/>
        </w:rPr>
        <w:t>6</w:t>
      </w:r>
      <w:r w:rsidRPr="00356600">
        <w:rPr>
          <w:rStyle w:val="CommentReference"/>
        </w:rPr>
        <w:t xml:space="preserve">: Results of Cox proportional hazards regressions for PFS and OS for </w:t>
      </w:r>
      <w:r w:rsidR="00901578">
        <w:rPr>
          <w:rStyle w:val="CommentReference"/>
        </w:rPr>
        <w:t>una</w:t>
      </w:r>
      <w:r w:rsidR="003F4D02">
        <w:rPr>
          <w:rStyle w:val="CommentReference"/>
        </w:rPr>
        <w:t>nchor</w:t>
      </w:r>
      <w:r w:rsidR="00901578">
        <w:rPr>
          <w:rStyle w:val="CommentReference"/>
        </w:rPr>
        <w:t xml:space="preserve">ed MAIC in the </w:t>
      </w:r>
      <w:r w:rsidRPr="00356600">
        <w:rPr>
          <w:rStyle w:val="CommentReference"/>
        </w:rPr>
        <w:t xml:space="preserve">first-line </w:t>
      </w:r>
      <w:r w:rsidR="00901578">
        <w:rPr>
          <w:rStyle w:val="CommentReference"/>
        </w:rPr>
        <w:t>setting</w:t>
      </w:r>
    </w:p>
    <w:tbl>
      <w:tblPr>
        <w:tblW w:w="8926" w:type="dxa"/>
        <w:tblLayout w:type="fixed"/>
        <w:tblLook w:val="04A0" w:firstRow="1" w:lastRow="0" w:firstColumn="1" w:lastColumn="0" w:noHBand="0" w:noVBand="1"/>
      </w:tblPr>
      <w:tblGrid>
        <w:gridCol w:w="1018"/>
        <w:gridCol w:w="1128"/>
        <w:gridCol w:w="1535"/>
        <w:gridCol w:w="1559"/>
        <w:gridCol w:w="709"/>
        <w:gridCol w:w="850"/>
        <w:gridCol w:w="993"/>
        <w:gridCol w:w="1134"/>
      </w:tblGrid>
      <w:tr w:rsidR="006C19D3" w:rsidRPr="00356600" w:rsidTr="00614628">
        <w:trPr>
          <w:trHeight w:val="20"/>
          <w:tblHeader/>
        </w:trPr>
        <w:tc>
          <w:tcPr>
            <w:tcW w:w="10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9D3" w:rsidRPr="00356600" w:rsidRDefault="006C19D3" w:rsidP="00315A97">
            <w:pPr>
              <w:pStyle w:val="3-BodyText"/>
              <w:keepNext/>
              <w:keepLines/>
              <w:numPr>
                <w:ilvl w:val="0"/>
                <w:numId w:val="0"/>
              </w:numPr>
              <w:jc w:val="left"/>
              <w:rPr>
                <w:rFonts w:ascii="Arial Narrow" w:hAnsi="Arial Narrow"/>
                <w:b/>
                <w:color w:val="000000" w:themeColor="text1"/>
                <w:sz w:val="20"/>
                <w:szCs w:val="20"/>
                <w:lang w:bidi="en-US"/>
              </w:rPr>
            </w:pPr>
            <w:r w:rsidRPr="00356600">
              <w:rPr>
                <w:rFonts w:ascii="Arial Narrow" w:hAnsi="Arial Narrow"/>
                <w:b/>
                <w:color w:val="000000" w:themeColor="text1"/>
                <w:sz w:val="20"/>
                <w:szCs w:val="20"/>
                <w:lang w:bidi="en-US"/>
              </w:rPr>
              <w:t>Endpoint</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9D3" w:rsidRPr="00356600" w:rsidRDefault="006C19D3" w:rsidP="00315A97">
            <w:pPr>
              <w:pStyle w:val="3-BodyText"/>
              <w:keepNext/>
              <w:keepLines/>
              <w:numPr>
                <w:ilvl w:val="0"/>
                <w:numId w:val="0"/>
              </w:numPr>
              <w:spacing w:after="0"/>
              <w:jc w:val="center"/>
              <w:rPr>
                <w:rFonts w:ascii="Arial Narrow" w:hAnsi="Arial Narrow"/>
                <w:b/>
                <w:color w:val="000000" w:themeColor="text1"/>
                <w:sz w:val="20"/>
                <w:szCs w:val="20"/>
                <w:lang w:bidi="en-US"/>
              </w:rPr>
            </w:pPr>
            <w:r w:rsidRPr="00356600">
              <w:rPr>
                <w:rFonts w:ascii="Arial Narrow" w:hAnsi="Arial Narrow"/>
                <w:b/>
                <w:color w:val="000000" w:themeColor="text1"/>
                <w:sz w:val="20"/>
                <w:szCs w:val="20"/>
                <w:lang w:bidi="en-US"/>
              </w:rPr>
              <w:t>Weighted?</w:t>
            </w:r>
          </w:p>
        </w:tc>
        <w:tc>
          <w:tcPr>
            <w:tcW w:w="30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9D3" w:rsidRPr="00356600" w:rsidRDefault="006C19D3" w:rsidP="00315A97">
            <w:pPr>
              <w:pStyle w:val="3-BodyText"/>
              <w:keepNext/>
              <w:keepLines/>
              <w:numPr>
                <w:ilvl w:val="0"/>
                <w:numId w:val="0"/>
              </w:numPr>
              <w:spacing w:after="0"/>
              <w:jc w:val="center"/>
              <w:rPr>
                <w:rFonts w:ascii="Arial Narrow" w:hAnsi="Arial Narrow"/>
                <w:b/>
                <w:color w:val="000000" w:themeColor="text1"/>
                <w:sz w:val="20"/>
                <w:szCs w:val="20"/>
                <w:lang w:bidi="en-US"/>
              </w:rPr>
            </w:pPr>
            <w:r w:rsidRPr="00356600">
              <w:rPr>
                <w:rFonts w:ascii="Arial Narrow" w:hAnsi="Arial Narrow"/>
                <w:b/>
                <w:color w:val="000000" w:themeColor="text1"/>
                <w:sz w:val="20"/>
                <w:szCs w:val="20"/>
                <w:lang w:bidi="en-US"/>
              </w:rPr>
              <w:t>Arms</w:t>
            </w: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6C19D3" w:rsidRPr="00356600" w:rsidRDefault="006C19D3" w:rsidP="00315A97">
            <w:pPr>
              <w:pStyle w:val="3-BodyText"/>
              <w:keepNext/>
              <w:keepLines/>
              <w:numPr>
                <w:ilvl w:val="0"/>
                <w:numId w:val="0"/>
              </w:numPr>
              <w:spacing w:after="0"/>
              <w:jc w:val="center"/>
              <w:rPr>
                <w:rFonts w:ascii="Arial Narrow" w:hAnsi="Arial Narrow"/>
                <w:b/>
                <w:color w:val="000000" w:themeColor="text1"/>
                <w:sz w:val="20"/>
                <w:szCs w:val="20"/>
                <w:lang w:bidi="en-US"/>
              </w:rPr>
            </w:pPr>
            <w:r w:rsidRPr="00356600">
              <w:rPr>
                <w:rFonts w:ascii="Arial Narrow" w:hAnsi="Arial Narrow"/>
                <w:b/>
                <w:color w:val="000000" w:themeColor="text1"/>
                <w:sz w:val="20"/>
                <w:szCs w:val="20"/>
                <w:lang w:bidi="en-US"/>
              </w:rPr>
              <w:t>Cox Regression</w:t>
            </w:r>
          </w:p>
        </w:tc>
      </w:tr>
      <w:tr w:rsidR="006C19D3" w:rsidRPr="00356600" w:rsidTr="00614628">
        <w:trPr>
          <w:trHeight w:val="20"/>
          <w:tblHeader/>
        </w:trPr>
        <w:tc>
          <w:tcPr>
            <w:tcW w:w="10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19D3" w:rsidRPr="00356600" w:rsidRDefault="006C19D3" w:rsidP="00315A97">
            <w:pPr>
              <w:pStyle w:val="3-BodyText"/>
              <w:keepNext/>
              <w:keepLines/>
              <w:numPr>
                <w:ilvl w:val="0"/>
                <w:numId w:val="0"/>
              </w:numPr>
              <w:jc w:val="left"/>
              <w:rPr>
                <w:rFonts w:ascii="Arial Narrow" w:hAnsi="Arial Narrow"/>
                <w:b/>
                <w:color w:val="000000" w:themeColor="text1"/>
                <w:sz w:val="20"/>
                <w:szCs w:val="20"/>
                <w:lang w:bidi="en-US"/>
              </w:rPr>
            </w:pPr>
          </w:p>
        </w:tc>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19D3" w:rsidRPr="00356600" w:rsidRDefault="006C19D3" w:rsidP="00315A97">
            <w:pPr>
              <w:pStyle w:val="3-BodyText"/>
              <w:keepNext/>
              <w:keepLines/>
              <w:numPr>
                <w:ilvl w:val="0"/>
                <w:numId w:val="0"/>
              </w:numPr>
              <w:spacing w:after="0"/>
              <w:jc w:val="center"/>
              <w:rPr>
                <w:rFonts w:ascii="Arial Narrow" w:hAnsi="Arial Narrow"/>
                <w:b/>
                <w:color w:val="000000" w:themeColor="text1"/>
                <w:sz w:val="20"/>
                <w:szCs w:val="20"/>
                <w:lang w:bidi="en-US"/>
              </w:rPr>
            </w:pPr>
          </w:p>
        </w:tc>
        <w:tc>
          <w:tcPr>
            <w:tcW w:w="309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19D3" w:rsidRPr="00356600" w:rsidRDefault="006C19D3" w:rsidP="00315A97">
            <w:pPr>
              <w:pStyle w:val="3-BodyText"/>
              <w:keepNext/>
              <w:keepLines/>
              <w:numPr>
                <w:ilvl w:val="0"/>
                <w:numId w:val="0"/>
              </w:numPr>
              <w:spacing w:after="0"/>
              <w:jc w:val="center"/>
              <w:rPr>
                <w:rFonts w:ascii="Arial Narrow" w:hAnsi="Arial Narrow"/>
                <w:b/>
                <w:color w:val="000000" w:themeColor="text1"/>
                <w:sz w:val="20"/>
                <w:szCs w:val="20"/>
                <w:lang w:bidi="en-US"/>
              </w:rPr>
            </w:pPr>
          </w:p>
        </w:tc>
        <w:tc>
          <w:tcPr>
            <w:tcW w:w="709" w:type="dxa"/>
            <w:tcBorders>
              <w:top w:val="nil"/>
              <w:left w:val="single" w:sz="4" w:space="0" w:color="auto"/>
              <w:bottom w:val="single" w:sz="4" w:space="0" w:color="000000"/>
              <w:right w:val="single" w:sz="4" w:space="0" w:color="auto"/>
            </w:tcBorders>
            <w:shd w:val="clear" w:color="auto" w:fill="auto"/>
            <w:noWrap/>
            <w:vAlign w:val="center"/>
            <w:hideMark/>
          </w:tcPr>
          <w:p w:rsidR="006C19D3" w:rsidRPr="00356600" w:rsidRDefault="006C19D3" w:rsidP="00315A97">
            <w:pPr>
              <w:pStyle w:val="3-BodyText"/>
              <w:keepNext/>
              <w:keepLines/>
              <w:numPr>
                <w:ilvl w:val="0"/>
                <w:numId w:val="0"/>
              </w:numPr>
              <w:spacing w:after="0"/>
              <w:jc w:val="center"/>
              <w:rPr>
                <w:rFonts w:ascii="Arial Narrow" w:hAnsi="Arial Narrow"/>
                <w:b/>
                <w:color w:val="000000" w:themeColor="text1"/>
                <w:sz w:val="20"/>
                <w:szCs w:val="20"/>
                <w:lang w:bidi="en-US"/>
              </w:rPr>
            </w:pPr>
            <w:r w:rsidRPr="00356600">
              <w:rPr>
                <w:rFonts w:ascii="Arial Narrow" w:hAnsi="Arial Narrow"/>
                <w:b/>
                <w:color w:val="000000" w:themeColor="text1"/>
                <w:sz w:val="20"/>
                <w:szCs w:val="20"/>
                <w:lang w:bidi="en-US"/>
              </w:rPr>
              <w:t>HR</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C19D3" w:rsidRPr="00356600" w:rsidRDefault="006C19D3" w:rsidP="00315A97">
            <w:pPr>
              <w:pStyle w:val="3-BodyText"/>
              <w:keepNext/>
              <w:keepLines/>
              <w:numPr>
                <w:ilvl w:val="0"/>
                <w:numId w:val="0"/>
              </w:numPr>
              <w:spacing w:after="0"/>
              <w:jc w:val="center"/>
              <w:rPr>
                <w:rFonts w:ascii="Arial Narrow" w:hAnsi="Arial Narrow"/>
                <w:b/>
                <w:color w:val="000000" w:themeColor="text1"/>
                <w:sz w:val="20"/>
                <w:szCs w:val="20"/>
                <w:lang w:bidi="en-US"/>
              </w:rPr>
            </w:pPr>
            <w:r w:rsidRPr="00356600">
              <w:rPr>
                <w:rFonts w:ascii="Arial Narrow" w:hAnsi="Arial Narrow"/>
                <w:b/>
                <w:color w:val="000000" w:themeColor="text1"/>
                <w:sz w:val="20"/>
                <w:szCs w:val="20"/>
                <w:lang w:bidi="en-US"/>
              </w:rPr>
              <w:t>95% CI</w:t>
            </w:r>
          </w:p>
        </w:tc>
        <w:tc>
          <w:tcPr>
            <w:tcW w:w="1134" w:type="dxa"/>
            <w:tcBorders>
              <w:top w:val="nil"/>
              <w:left w:val="single" w:sz="4" w:space="0" w:color="auto"/>
              <w:bottom w:val="single" w:sz="4" w:space="0" w:color="000000"/>
              <w:right w:val="single" w:sz="4" w:space="0" w:color="auto"/>
            </w:tcBorders>
            <w:shd w:val="clear" w:color="auto" w:fill="auto"/>
            <w:noWrap/>
            <w:vAlign w:val="center"/>
            <w:hideMark/>
          </w:tcPr>
          <w:p w:rsidR="006C19D3" w:rsidRPr="00356600" w:rsidRDefault="006C19D3" w:rsidP="00315A97">
            <w:pPr>
              <w:pStyle w:val="3-BodyText"/>
              <w:keepNext/>
              <w:keepLines/>
              <w:numPr>
                <w:ilvl w:val="0"/>
                <w:numId w:val="0"/>
              </w:numPr>
              <w:spacing w:after="0"/>
              <w:jc w:val="center"/>
              <w:rPr>
                <w:rFonts w:ascii="Arial Narrow" w:hAnsi="Arial Narrow"/>
                <w:b/>
                <w:color w:val="000000" w:themeColor="text1"/>
                <w:sz w:val="20"/>
                <w:szCs w:val="20"/>
                <w:lang w:bidi="en-US"/>
              </w:rPr>
            </w:pPr>
            <w:r w:rsidRPr="00356600">
              <w:rPr>
                <w:rFonts w:ascii="Arial Narrow" w:hAnsi="Arial Narrow"/>
                <w:b/>
                <w:color w:val="000000" w:themeColor="text1"/>
                <w:sz w:val="20"/>
                <w:szCs w:val="20"/>
                <w:lang w:bidi="en-US"/>
              </w:rPr>
              <w:t>P-value</w:t>
            </w:r>
          </w:p>
        </w:tc>
      </w:tr>
      <w:tr w:rsidR="006C19D3" w:rsidRPr="00356600" w:rsidTr="00614628">
        <w:trPr>
          <w:trHeight w:val="20"/>
          <w:tblHeader/>
        </w:trPr>
        <w:tc>
          <w:tcPr>
            <w:tcW w:w="10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19D3" w:rsidRPr="00356600" w:rsidRDefault="006C19D3" w:rsidP="00315A97">
            <w:pPr>
              <w:pStyle w:val="3-BodyText"/>
              <w:keepNext/>
              <w:keepLines/>
              <w:numPr>
                <w:ilvl w:val="0"/>
                <w:numId w:val="0"/>
              </w:numPr>
              <w:jc w:val="left"/>
              <w:rPr>
                <w:rFonts w:ascii="Arial Narrow" w:hAnsi="Arial Narrow"/>
                <w:b/>
                <w:color w:val="000000" w:themeColor="text1"/>
                <w:sz w:val="20"/>
                <w:szCs w:val="20"/>
                <w:lang w:bidi="en-US"/>
              </w:rPr>
            </w:pPr>
          </w:p>
        </w:tc>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19D3" w:rsidRPr="00356600" w:rsidRDefault="006C19D3" w:rsidP="00315A97">
            <w:pPr>
              <w:pStyle w:val="3-BodyText"/>
              <w:keepNext/>
              <w:keepLines/>
              <w:numPr>
                <w:ilvl w:val="0"/>
                <w:numId w:val="0"/>
              </w:numPr>
              <w:spacing w:after="0"/>
              <w:jc w:val="center"/>
              <w:rPr>
                <w:rFonts w:ascii="Arial Narrow" w:hAnsi="Arial Narrow"/>
                <w:b/>
                <w:color w:val="000000" w:themeColor="text1"/>
                <w:sz w:val="20"/>
                <w:szCs w:val="20"/>
                <w:lang w:bidi="en-US"/>
              </w:rPr>
            </w:pPr>
          </w:p>
        </w:tc>
        <w:tc>
          <w:tcPr>
            <w:tcW w:w="1535" w:type="dxa"/>
            <w:tcBorders>
              <w:top w:val="nil"/>
              <w:left w:val="nil"/>
              <w:bottom w:val="single" w:sz="4" w:space="0" w:color="auto"/>
              <w:right w:val="single" w:sz="4" w:space="0" w:color="auto"/>
            </w:tcBorders>
            <w:shd w:val="clear" w:color="auto" w:fill="auto"/>
            <w:noWrap/>
            <w:vAlign w:val="center"/>
            <w:hideMark/>
          </w:tcPr>
          <w:p w:rsidR="006C19D3" w:rsidRPr="00356600" w:rsidRDefault="006C19D3" w:rsidP="00315A97">
            <w:pPr>
              <w:pStyle w:val="3-BodyText"/>
              <w:keepNext/>
              <w:keepLines/>
              <w:numPr>
                <w:ilvl w:val="0"/>
                <w:numId w:val="0"/>
              </w:numPr>
              <w:spacing w:after="0"/>
              <w:jc w:val="left"/>
              <w:rPr>
                <w:rFonts w:ascii="Arial Narrow" w:hAnsi="Arial Narrow"/>
                <w:b/>
                <w:color w:val="000000" w:themeColor="text1"/>
                <w:sz w:val="20"/>
                <w:szCs w:val="20"/>
                <w:lang w:bidi="en-US"/>
              </w:rPr>
            </w:pPr>
            <w:r w:rsidRPr="00356600">
              <w:rPr>
                <w:rFonts w:ascii="Arial Narrow" w:hAnsi="Arial Narrow"/>
                <w:b/>
                <w:color w:val="000000" w:themeColor="text1"/>
                <w:sz w:val="20"/>
                <w:szCs w:val="20"/>
                <w:lang w:bidi="en-US"/>
              </w:rPr>
              <w:t>Active</w:t>
            </w:r>
            <w:r>
              <w:rPr>
                <w:rFonts w:ascii="Arial Narrow" w:hAnsi="Arial Narrow"/>
                <w:b/>
                <w:color w:val="000000" w:themeColor="text1"/>
                <w:sz w:val="20"/>
                <w:szCs w:val="20"/>
                <w:lang w:bidi="en-US"/>
              </w:rPr>
              <w:t xml:space="preserve"> (N=</w:t>
            </w:r>
            <w:r w:rsidRPr="00B67E2D">
              <w:rPr>
                <w:rFonts w:ascii="Arial Narrow" w:hAnsi="Arial Narrow"/>
                <w:b/>
                <w:bCs/>
                <w:color w:val="000000" w:themeColor="text1"/>
                <w:sz w:val="20"/>
                <w:szCs w:val="20"/>
                <w:lang w:bidi="en-US"/>
              </w:rPr>
              <w:t>302</w:t>
            </w:r>
            <w:r>
              <w:rPr>
                <w:rFonts w:ascii="Arial Narrow" w:hAnsi="Arial Narrow"/>
                <w:b/>
                <w:color w:val="000000" w:themeColor="text1"/>
                <w:sz w:val="20"/>
                <w:szCs w:val="20"/>
                <w:lang w:bidi="en-US"/>
              </w:rPr>
              <w:t>)</w:t>
            </w:r>
          </w:p>
        </w:tc>
        <w:tc>
          <w:tcPr>
            <w:tcW w:w="1559" w:type="dxa"/>
            <w:tcBorders>
              <w:top w:val="nil"/>
              <w:left w:val="nil"/>
              <w:bottom w:val="single" w:sz="4" w:space="0" w:color="auto"/>
              <w:right w:val="single" w:sz="4" w:space="0" w:color="auto"/>
            </w:tcBorders>
            <w:shd w:val="clear" w:color="auto" w:fill="auto"/>
            <w:noWrap/>
            <w:vAlign w:val="center"/>
            <w:hideMark/>
          </w:tcPr>
          <w:p w:rsidR="006C19D3" w:rsidRPr="00356600" w:rsidRDefault="006C19D3" w:rsidP="00315A97">
            <w:pPr>
              <w:pStyle w:val="3-BodyText"/>
              <w:keepNext/>
              <w:keepLines/>
              <w:numPr>
                <w:ilvl w:val="0"/>
                <w:numId w:val="0"/>
              </w:numPr>
              <w:spacing w:after="0"/>
              <w:jc w:val="left"/>
              <w:rPr>
                <w:rFonts w:ascii="Arial Narrow" w:hAnsi="Arial Narrow"/>
                <w:b/>
                <w:color w:val="000000" w:themeColor="text1"/>
                <w:sz w:val="20"/>
                <w:szCs w:val="20"/>
                <w:lang w:bidi="en-US"/>
              </w:rPr>
            </w:pPr>
            <w:r w:rsidRPr="00356600">
              <w:rPr>
                <w:rFonts w:ascii="Arial Narrow" w:hAnsi="Arial Narrow"/>
                <w:b/>
                <w:color w:val="000000" w:themeColor="text1"/>
                <w:sz w:val="20"/>
                <w:szCs w:val="20"/>
                <w:lang w:bidi="en-US"/>
              </w:rPr>
              <w:t>Comp</w:t>
            </w:r>
            <w:r>
              <w:rPr>
                <w:rFonts w:ascii="Arial Narrow" w:hAnsi="Arial Narrow"/>
                <w:b/>
                <w:color w:val="000000" w:themeColor="text1"/>
                <w:sz w:val="20"/>
                <w:szCs w:val="20"/>
                <w:lang w:bidi="en-US"/>
              </w:rPr>
              <w:t xml:space="preserve"> (N=334*)</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6C19D3" w:rsidRPr="00356600" w:rsidRDefault="006C19D3" w:rsidP="00315A97">
            <w:pPr>
              <w:pStyle w:val="3-BodyText"/>
              <w:keepNext/>
              <w:keepLines/>
              <w:numPr>
                <w:ilvl w:val="0"/>
                <w:numId w:val="0"/>
              </w:numPr>
              <w:spacing w:after="0"/>
              <w:jc w:val="center"/>
              <w:rPr>
                <w:rFonts w:ascii="Arial Narrow" w:hAnsi="Arial Narrow"/>
                <w:b/>
                <w:color w:val="000000" w:themeColor="text1"/>
                <w:sz w:val="20"/>
                <w:szCs w:val="20"/>
                <w:lang w:bidi="en-US"/>
              </w:rPr>
            </w:pPr>
          </w:p>
        </w:tc>
        <w:tc>
          <w:tcPr>
            <w:tcW w:w="850" w:type="dxa"/>
            <w:tcBorders>
              <w:top w:val="nil"/>
              <w:left w:val="nil"/>
              <w:bottom w:val="single" w:sz="4" w:space="0" w:color="auto"/>
              <w:right w:val="nil"/>
            </w:tcBorders>
            <w:shd w:val="clear" w:color="auto" w:fill="auto"/>
            <w:noWrap/>
            <w:vAlign w:val="center"/>
            <w:hideMark/>
          </w:tcPr>
          <w:p w:rsidR="006C19D3" w:rsidRPr="00356600" w:rsidRDefault="006C19D3" w:rsidP="00315A97">
            <w:pPr>
              <w:pStyle w:val="3-BodyText"/>
              <w:keepNext/>
              <w:keepLines/>
              <w:numPr>
                <w:ilvl w:val="0"/>
                <w:numId w:val="0"/>
              </w:numPr>
              <w:spacing w:after="0"/>
              <w:jc w:val="center"/>
              <w:rPr>
                <w:rFonts w:ascii="Arial Narrow" w:hAnsi="Arial Narrow"/>
                <w:b/>
                <w:color w:val="000000" w:themeColor="text1"/>
                <w:sz w:val="20"/>
                <w:szCs w:val="20"/>
                <w:lang w:bidi="en-US"/>
              </w:rPr>
            </w:pPr>
            <w:r w:rsidRPr="00356600">
              <w:rPr>
                <w:rFonts w:ascii="Arial Narrow" w:hAnsi="Arial Narrow"/>
                <w:b/>
                <w:color w:val="000000" w:themeColor="text1"/>
                <w:sz w:val="20"/>
                <w:szCs w:val="20"/>
                <w:lang w:bidi="en-US"/>
              </w:rPr>
              <w:t>Lower</w:t>
            </w:r>
          </w:p>
        </w:tc>
        <w:tc>
          <w:tcPr>
            <w:tcW w:w="993" w:type="dxa"/>
            <w:tcBorders>
              <w:top w:val="nil"/>
              <w:left w:val="nil"/>
              <w:bottom w:val="single" w:sz="4" w:space="0" w:color="auto"/>
              <w:right w:val="single" w:sz="4" w:space="0" w:color="auto"/>
            </w:tcBorders>
            <w:shd w:val="clear" w:color="auto" w:fill="auto"/>
            <w:noWrap/>
            <w:vAlign w:val="center"/>
            <w:hideMark/>
          </w:tcPr>
          <w:p w:rsidR="006C19D3" w:rsidRPr="00356600" w:rsidRDefault="006C19D3" w:rsidP="00315A97">
            <w:pPr>
              <w:pStyle w:val="3-BodyText"/>
              <w:keepNext/>
              <w:keepLines/>
              <w:numPr>
                <w:ilvl w:val="0"/>
                <w:numId w:val="0"/>
              </w:numPr>
              <w:spacing w:after="0"/>
              <w:jc w:val="center"/>
              <w:rPr>
                <w:rFonts w:ascii="Arial Narrow" w:hAnsi="Arial Narrow"/>
                <w:b/>
                <w:color w:val="000000" w:themeColor="text1"/>
                <w:sz w:val="20"/>
                <w:szCs w:val="20"/>
                <w:lang w:bidi="en-US"/>
              </w:rPr>
            </w:pPr>
            <w:r w:rsidRPr="00356600">
              <w:rPr>
                <w:rFonts w:ascii="Arial Narrow" w:hAnsi="Arial Narrow"/>
                <w:b/>
                <w:color w:val="000000" w:themeColor="text1"/>
                <w:sz w:val="20"/>
                <w:szCs w:val="20"/>
                <w:lang w:bidi="en-US"/>
              </w:rPr>
              <w:t>Upper</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6C19D3" w:rsidRPr="00356600" w:rsidRDefault="006C19D3" w:rsidP="00315A97">
            <w:pPr>
              <w:pStyle w:val="3-BodyText"/>
              <w:keepNext/>
              <w:keepLines/>
              <w:numPr>
                <w:ilvl w:val="0"/>
                <w:numId w:val="0"/>
              </w:numPr>
              <w:spacing w:after="0"/>
              <w:jc w:val="center"/>
              <w:rPr>
                <w:rFonts w:ascii="Arial Narrow" w:hAnsi="Arial Narrow"/>
                <w:b/>
                <w:color w:val="000000" w:themeColor="text1"/>
                <w:sz w:val="20"/>
                <w:szCs w:val="20"/>
                <w:lang w:bidi="en-US"/>
              </w:rPr>
            </w:pPr>
          </w:p>
        </w:tc>
      </w:tr>
      <w:tr w:rsidR="006C19D3" w:rsidRPr="00356600" w:rsidTr="00614628">
        <w:trPr>
          <w:trHeight w:val="204"/>
        </w:trPr>
        <w:tc>
          <w:tcPr>
            <w:tcW w:w="892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6C19D3" w:rsidRPr="001E11C6" w:rsidRDefault="006C19D3" w:rsidP="00315A97">
            <w:pPr>
              <w:pStyle w:val="3-BodyText"/>
              <w:keepNext/>
              <w:keepLines/>
              <w:numPr>
                <w:ilvl w:val="0"/>
                <w:numId w:val="0"/>
              </w:numPr>
              <w:spacing w:after="0"/>
              <w:jc w:val="left"/>
              <w:rPr>
                <w:rFonts w:ascii="Arial Narrow" w:hAnsi="Arial Narrow"/>
                <w:b/>
                <w:bCs/>
                <w:color w:val="000000" w:themeColor="text1"/>
                <w:sz w:val="20"/>
                <w:szCs w:val="20"/>
                <w:lang w:bidi="en-US"/>
              </w:rPr>
            </w:pPr>
            <w:r w:rsidRPr="001E11C6">
              <w:rPr>
                <w:rFonts w:ascii="Arial Narrow" w:hAnsi="Arial Narrow"/>
                <w:b/>
                <w:bCs/>
                <w:color w:val="000000" w:themeColor="text1"/>
                <w:sz w:val="20"/>
                <w:szCs w:val="20"/>
                <w:lang w:bidi="en-US"/>
              </w:rPr>
              <w:t>RIBO+FULV vs RIBO+NSAI- FIRST LINE</w:t>
            </w:r>
          </w:p>
        </w:tc>
      </w:tr>
      <w:tr w:rsidR="006C19D3" w:rsidRPr="00356600" w:rsidTr="00614628">
        <w:trPr>
          <w:trHeight w:val="204"/>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9D3" w:rsidRPr="00356600" w:rsidRDefault="006C19D3" w:rsidP="00315A97">
            <w:pPr>
              <w:pStyle w:val="3-BodyText"/>
              <w:keepNext/>
              <w:keepLines/>
              <w:numPr>
                <w:ilvl w:val="0"/>
                <w:numId w:val="0"/>
              </w:numPr>
              <w:spacing w:after="0"/>
              <w:jc w:val="left"/>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PFS</w:t>
            </w:r>
          </w:p>
        </w:tc>
        <w:tc>
          <w:tcPr>
            <w:tcW w:w="1128" w:type="dxa"/>
            <w:tcBorders>
              <w:top w:val="single" w:sz="4" w:space="0" w:color="auto"/>
              <w:left w:val="nil"/>
              <w:bottom w:val="single" w:sz="4" w:space="0" w:color="auto"/>
              <w:right w:val="single" w:sz="4" w:space="0" w:color="auto"/>
            </w:tcBorders>
            <w:shd w:val="clear" w:color="auto" w:fill="auto"/>
            <w:noWrap/>
            <w:hideMark/>
          </w:tcPr>
          <w:p w:rsidR="006C19D3" w:rsidRPr="00356600" w:rsidRDefault="006C19D3" w:rsidP="00315A97">
            <w:pPr>
              <w:pStyle w:val="3-BodyText"/>
              <w:keepNext/>
              <w:keepLines/>
              <w:numPr>
                <w:ilvl w:val="0"/>
                <w:numId w:val="0"/>
              </w:numPr>
              <w:spacing w:after="0"/>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No</w:t>
            </w:r>
          </w:p>
        </w:tc>
        <w:tc>
          <w:tcPr>
            <w:tcW w:w="1535" w:type="dxa"/>
            <w:tcBorders>
              <w:top w:val="single" w:sz="4" w:space="0" w:color="auto"/>
              <w:left w:val="nil"/>
              <w:bottom w:val="single" w:sz="4" w:space="0" w:color="auto"/>
              <w:right w:val="single" w:sz="4" w:space="0" w:color="auto"/>
            </w:tcBorders>
            <w:shd w:val="clear" w:color="auto" w:fill="auto"/>
            <w:noWrap/>
            <w:hideMark/>
          </w:tcPr>
          <w:p w:rsidR="006C19D3" w:rsidRPr="00356600" w:rsidRDefault="006C19D3" w:rsidP="00315A97">
            <w:pPr>
              <w:pStyle w:val="3-BodyText"/>
              <w:keepNext/>
              <w:keepLines/>
              <w:numPr>
                <w:ilvl w:val="0"/>
                <w:numId w:val="0"/>
              </w:numPr>
              <w:spacing w:after="0"/>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RIBO+FULV M3</w:t>
            </w:r>
          </w:p>
        </w:tc>
        <w:tc>
          <w:tcPr>
            <w:tcW w:w="1559" w:type="dxa"/>
            <w:tcBorders>
              <w:top w:val="single" w:sz="4" w:space="0" w:color="auto"/>
              <w:left w:val="nil"/>
              <w:bottom w:val="single" w:sz="4" w:space="0" w:color="auto"/>
              <w:right w:val="single" w:sz="4" w:space="0" w:color="auto"/>
            </w:tcBorders>
            <w:shd w:val="clear" w:color="auto" w:fill="auto"/>
            <w:noWrap/>
            <w:hideMark/>
          </w:tcPr>
          <w:p w:rsidR="006C19D3" w:rsidRPr="00356600" w:rsidRDefault="006C19D3" w:rsidP="00315A97">
            <w:pPr>
              <w:pStyle w:val="3-BodyText"/>
              <w:keepNext/>
              <w:keepLines/>
              <w:numPr>
                <w:ilvl w:val="0"/>
                <w:numId w:val="0"/>
              </w:numPr>
              <w:spacing w:after="0"/>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RIBO+LET M2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C19D3" w:rsidRPr="00196BBD" w:rsidRDefault="006C19D3" w:rsidP="00315A97">
            <w:pPr>
              <w:pStyle w:val="3-BodyText"/>
              <w:keepNext/>
              <w:keepLines/>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0.924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19D3" w:rsidRPr="00196BBD" w:rsidRDefault="006C19D3" w:rsidP="00315A97">
            <w:pPr>
              <w:pStyle w:val="3-BodyText"/>
              <w:keepNext/>
              <w:keepLines/>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0.726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C19D3" w:rsidRPr="00196BBD" w:rsidRDefault="006C19D3" w:rsidP="00315A97">
            <w:pPr>
              <w:pStyle w:val="3-BodyText"/>
              <w:keepNext/>
              <w:keepLines/>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1.177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C19D3" w:rsidRPr="00196BBD" w:rsidRDefault="006C19D3" w:rsidP="00315A97">
            <w:pPr>
              <w:pStyle w:val="3-BodyText"/>
              <w:keepNext/>
              <w:keepLines/>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0.522</w:t>
            </w:r>
          </w:p>
        </w:tc>
      </w:tr>
      <w:tr w:rsidR="006C19D3" w:rsidRPr="00356600" w:rsidTr="00614628">
        <w:trPr>
          <w:trHeight w:val="204"/>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9D3" w:rsidRPr="00356600" w:rsidRDefault="006C19D3" w:rsidP="00315A97">
            <w:pPr>
              <w:pStyle w:val="3-BodyText"/>
              <w:keepNext/>
              <w:keepLines/>
              <w:numPr>
                <w:ilvl w:val="0"/>
                <w:numId w:val="0"/>
              </w:numPr>
              <w:spacing w:after="0"/>
              <w:jc w:val="left"/>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PFS</w:t>
            </w:r>
          </w:p>
        </w:tc>
        <w:tc>
          <w:tcPr>
            <w:tcW w:w="1128" w:type="dxa"/>
            <w:tcBorders>
              <w:top w:val="single" w:sz="4" w:space="0" w:color="auto"/>
              <w:left w:val="nil"/>
              <w:bottom w:val="single" w:sz="4" w:space="0" w:color="auto"/>
              <w:right w:val="single" w:sz="4" w:space="0" w:color="auto"/>
            </w:tcBorders>
            <w:shd w:val="clear" w:color="auto" w:fill="auto"/>
            <w:noWrap/>
            <w:hideMark/>
          </w:tcPr>
          <w:p w:rsidR="006C19D3" w:rsidRPr="00356600" w:rsidRDefault="006C19D3" w:rsidP="00315A97">
            <w:pPr>
              <w:pStyle w:val="3-BodyText"/>
              <w:keepNext/>
              <w:keepLines/>
              <w:numPr>
                <w:ilvl w:val="0"/>
                <w:numId w:val="0"/>
              </w:numPr>
              <w:spacing w:after="0"/>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Yes</w:t>
            </w:r>
          </w:p>
        </w:tc>
        <w:tc>
          <w:tcPr>
            <w:tcW w:w="1535" w:type="dxa"/>
            <w:tcBorders>
              <w:top w:val="single" w:sz="4" w:space="0" w:color="auto"/>
              <w:left w:val="nil"/>
              <w:bottom w:val="single" w:sz="4" w:space="0" w:color="auto"/>
              <w:right w:val="single" w:sz="4" w:space="0" w:color="auto"/>
            </w:tcBorders>
            <w:shd w:val="clear" w:color="auto" w:fill="auto"/>
            <w:noWrap/>
            <w:hideMark/>
          </w:tcPr>
          <w:p w:rsidR="006C19D3" w:rsidRPr="00356600" w:rsidRDefault="006C19D3" w:rsidP="00315A97">
            <w:pPr>
              <w:pStyle w:val="3-BodyText"/>
              <w:keepNext/>
              <w:keepLines/>
              <w:numPr>
                <w:ilvl w:val="0"/>
                <w:numId w:val="0"/>
              </w:numPr>
              <w:spacing w:after="0"/>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RIBO+FULV M3</w:t>
            </w:r>
          </w:p>
        </w:tc>
        <w:tc>
          <w:tcPr>
            <w:tcW w:w="1559" w:type="dxa"/>
            <w:tcBorders>
              <w:top w:val="single" w:sz="4" w:space="0" w:color="auto"/>
              <w:left w:val="nil"/>
              <w:bottom w:val="single" w:sz="4" w:space="0" w:color="auto"/>
              <w:right w:val="single" w:sz="4" w:space="0" w:color="auto"/>
            </w:tcBorders>
            <w:shd w:val="clear" w:color="auto" w:fill="auto"/>
            <w:noWrap/>
            <w:hideMark/>
          </w:tcPr>
          <w:p w:rsidR="006C19D3" w:rsidRPr="00356600" w:rsidRDefault="006C19D3" w:rsidP="00315A97">
            <w:pPr>
              <w:pStyle w:val="3-BodyText"/>
              <w:keepNext/>
              <w:keepLines/>
              <w:numPr>
                <w:ilvl w:val="0"/>
                <w:numId w:val="0"/>
              </w:numPr>
              <w:spacing w:after="0"/>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RIBO+LET M2</w:t>
            </w:r>
          </w:p>
        </w:tc>
        <w:tc>
          <w:tcPr>
            <w:tcW w:w="709"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6C19D3" w:rsidRPr="00196BBD" w:rsidRDefault="006C19D3" w:rsidP="00315A97">
            <w:pPr>
              <w:pStyle w:val="3-BodyText"/>
              <w:keepNext/>
              <w:keepLines/>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0.919</w:t>
            </w:r>
          </w:p>
        </w:tc>
        <w:tc>
          <w:tcPr>
            <w:tcW w:w="850"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6C19D3" w:rsidRPr="00196BBD" w:rsidRDefault="006C19D3" w:rsidP="00315A97">
            <w:pPr>
              <w:pStyle w:val="3-BodyText"/>
              <w:keepNext/>
              <w:keepLines/>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0.717</w:t>
            </w:r>
          </w:p>
        </w:tc>
        <w:tc>
          <w:tcPr>
            <w:tcW w:w="993"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6C19D3" w:rsidRPr="00196BBD" w:rsidRDefault="006C19D3" w:rsidP="00315A97">
            <w:pPr>
              <w:pStyle w:val="3-BodyText"/>
              <w:keepNext/>
              <w:keepLines/>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1.177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C19D3" w:rsidRPr="00196BBD" w:rsidRDefault="006C19D3" w:rsidP="00315A97">
            <w:pPr>
              <w:pStyle w:val="3-BodyText"/>
              <w:keepNext/>
              <w:keepLines/>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0.503</w:t>
            </w:r>
          </w:p>
        </w:tc>
      </w:tr>
      <w:tr w:rsidR="006C19D3" w:rsidRPr="00356600" w:rsidTr="00614628">
        <w:trPr>
          <w:trHeight w:val="204"/>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9D3" w:rsidRPr="00356600" w:rsidRDefault="006C19D3" w:rsidP="00315A97">
            <w:pPr>
              <w:pStyle w:val="3-BodyText"/>
              <w:keepNext/>
              <w:keepLines/>
              <w:numPr>
                <w:ilvl w:val="0"/>
                <w:numId w:val="0"/>
              </w:numPr>
              <w:spacing w:after="0"/>
              <w:jc w:val="left"/>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OS</w:t>
            </w:r>
          </w:p>
        </w:tc>
        <w:tc>
          <w:tcPr>
            <w:tcW w:w="1128" w:type="dxa"/>
            <w:tcBorders>
              <w:top w:val="single" w:sz="4" w:space="0" w:color="auto"/>
              <w:left w:val="nil"/>
              <w:bottom w:val="single" w:sz="4" w:space="0" w:color="auto"/>
              <w:right w:val="single" w:sz="4" w:space="0" w:color="auto"/>
            </w:tcBorders>
            <w:shd w:val="clear" w:color="auto" w:fill="auto"/>
            <w:noWrap/>
            <w:hideMark/>
          </w:tcPr>
          <w:p w:rsidR="006C19D3" w:rsidRPr="00356600" w:rsidRDefault="006C19D3" w:rsidP="00315A97">
            <w:pPr>
              <w:pStyle w:val="3-BodyText"/>
              <w:keepNext/>
              <w:keepLines/>
              <w:numPr>
                <w:ilvl w:val="0"/>
                <w:numId w:val="0"/>
              </w:numPr>
              <w:spacing w:after="0"/>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No</w:t>
            </w:r>
          </w:p>
        </w:tc>
        <w:tc>
          <w:tcPr>
            <w:tcW w:w="1535" w:type="dxa"/>
            <w:tcBorders>
              <w:top w:val="single" w:sz="4" w:space="0" w:color="auto"/>
              <w:left w:val="nil"/>
              <w:bottom w:val="single" w:sz="4" w:space="0" w:color="auto"/>
              <w:right w:val="single" w:sz="4" w:space="0" w:color="auto"/>
            </w:tcBorders>
            <w:shd w:val="clear" w:color="auto" w:fill="auto"/>
            <w:noWrap/>
            <w:hideMark/>
          </w:tcPr>
          <w:p w:rsidR="006C19D3" w:rsidRPr="00356600" w:rsidRDefault="006C19D3" w:rsidP="00315A97">
            <w:pPr>
              <w:pStyle w:val="3-BodyText"/>
              <w:keepNext/>
              <w:keepLines/>
              <w:numPr>
                <w:ilvl w:val="0"/>
                <w:numId w:val="0"/>
              </w:numPr>
              <w:spacing w:after="0"/>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RIBO+FULV M3</w:t>
            </w:r>
          </w:p>
        </w:tc>
        <w:tc>
          <w:tcPr>
            <w:tcW w:w="1559" w:type="dxa"/>
            <w:tcBorders>
              <w:top w:val="single" w:sz="4" w:space="0" w:color="auto"/>
              <w:left w:val="nil"/>
              <w:bottom w:val="single" w:sz="4" w:space="0" w:color="auto"/>
              <w:right w:val="single" w:sz="4" w:space="0" w:color="auto"/>
            </w:tcBorders>
            <w:shd w:val="clear" w:color="auto" w:fill="auto"/>
            <w:noWrap/>
            <w:hideMark/>
          </w:tcPr>
          <w:p w:rsidR="006C19D3" w:rsidRPr="00356600" w:rsidRDefault="006C19D3" w:rsidP="00315A97">
            <w:pPr>
              <w:pStyle w:val="3-BodyText"/>
              <w:keepNext/>
              <w:keepLines/>
              <w:numPr>
                <w:ilvl w:val="0"/>
                <w:numId w:val="0"/>
              </w:numPr>
              <w:spacing w:after="0"/>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RIBO+LET M2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C19D3" w:rsidRPr="00196BBD" w:rsidRDefault="006C19D3" w:rsidP="00315A97">
            <w:pPr>
              <w:pStyle w:val="3-BodyText"/>
              <w:keepNext/>
              <w:keepLines/>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1.068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19D3" w:rsidRPr="00196BBD" w:rsidRDefault="006C19D3" w:rsidP="00315A97">
            <w:pPr>
              <w:pStyle w:val="3-BodyText"/>
              <w:keepNext/>
              <w:keepLines/>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0.728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C19D3" w:rsidRPr="00196BBD" w:rsidRDefault="006C19D3" w:rsidP="00315A97">
            <w:pPr>
              <w:pStyle w:val="3-BodyText"/>
              <w:keepNext/>
              <w:keepLines/>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1.567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C19D3" w:rsidRPr="00196BBD" w:rsidRDefault="006C19D3" w:rsidP="00315A97">
            <w:pPr>
              <w:pStyle w:val="3-BodyText"/>
              <w:keepNext/>
              <w:keepLines/>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0.737</w:t>
            </w:r>
          </w:p>
        </w:tc>
      </w:tr>
      <w:tr w:rsidR="006C19D3" w:rsidRPr="00356600" w:rsidTr="00614628">
        <w:trPr>
          <w:trHeight w:val="204"/>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9D3" w:rsidRPr="00356600" w:rsidRDefault="006C19D3" w:rsidP="00315A97">
            <w:pPr>
              <w:pStyle w:val="3-BodyText"/>
              <w:keepNext/>
              <w:keepLines/>
              <w:numPr>
                <w:ilvl w:val="0"/>
                <w:numId w:val="0"/>
              </w:numPr>
              <w:spacing w:after="0"/>
              <w:jc w:val="left"/>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OS</w:t>
            </w:r>
          </w:p>
        </w:tc>
        <w:tc>
          <w:tcPr>
            <w:tcW w:w="1128" w:type="dxa"/>
            <w:tcBorders>
              <w:top w:val="single" w:sz="4" w:space="0" w:color="auto"/>
              <w:left w:val="nil"/>
              <w:bottom w:val="single" w:sz="4" w:space="0" w:color="auto"/>
              <w:right w:val="single" w:sz="4" w:space="0" w:color="auto"/>
            </w:tcBorders>
            <w:shd w:val="clear" w:color="auto" w:fill="auto"/>
            <w:noWrap/>
            <w:hideMark/>
          </w:tcPr>
          <w:p w:rsidR="006C19D3" w:rsidRPr="00356600" w:rsidRDefault="006C19D3" w:rsidP="00315A97">
            <w:pPr>
              <w:pStyle w:val="3-BodyText"/>
              <w:keepNext/>
              <w:keepLines/>
              <w:numPr>
                <w:ilvl w:val="0"/>
                <w:numId w:val="0"/>
              </w:numPr>
              <w:spacing w:after="0"/>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Yes</w:t>
            </w:r>
          </w:p>
        </w:tc>
        <w:tc>
          <w:tcPr>
            <w:tcW w:w="1535" w:type="dxa"/>
            <w:tcBorders>
              <w:top w:val="single" w:sz="4" w:space="0" w:color="auto"/>
              <w:left w:val="nil"/>
              <w:bottom w:val="single" w:sz="4" w:space="0" w:color="auto"/>
              <w:right w:val="single" w:sz="4" w:space="0" w:color="auto"/>
            </w:tcBorders>
            <w:shd w:val="clear" w:color="auto" w:fill="auto"/>
            <w:noWrap/>
            <w:hideMark/>
          </w:tcPr>
          <w:p w:rsidR="006C19D3" w:rsidRPr="00356600" w:rsidRDefault="006C19D3" w:rsidP="00315A97">
            <w:pPr>
              <w:pStyle w:val="3-BodyText"/>
              <w:keepNext/>
              <w:keepLines/>
              <w:numPr>
                <w:ilvl w:val="0"/>
                <w:numId w:val="0"/>
              </w:numPr>
              <w:spacing w:after="0"/>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RIBO+FULV M3</w:t>
            </w:r>
          </w:p>
        </w:tc>
        <w:tc>
          <w:tcPr>
            <w:tcW w:w="1559" w:type="dxa"/>
            <w:tcBorders>
              <w:top w:val="single" w:sz="4" w:space="0" w:color="auto"/>
              <w:left w:val="nil"/>
              <w:bottom w:val="single" w:sz="4" w:space="0" w:color="auto"/>
              <w:right w:val="single" w:sz="4" w:space="0" w:color="auto"/>
            </w:tcBorders>
            <w:shd w:val="clear" w:color="auto" w:fill="auto"/>
            <w:noWrap/>
            <w:hideMark/>
          </w:tcPr>
          <w:p w:rsidR="006C19D3" w:rsidRPr="00356600" w:rsidRDefault="006C19D3" w:rsidP="00315A97">
            <w:pPr>
              <w:pStyle w:val="3-BodyText"/>
              <w:keepNext/>
              <w:keepLines/>
              <w:numPr>
                <w:ilvl w:val="0"/>
                <w:numId w:val="0"/>
              </w:numPr>
              <w:spacing w:after="0"/>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RIBO+LET M2</w:t>
            </w:r>
          </w:p>
        </w:tc>
        <w:tc>
          <w:tcPr>
            <w:tcW w:w="709"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6C19D3" w:rsidRPr="00196BBD" w:rsidRDefault="006C19D3" w:rsidP="00315A97">
            <w:pPr>
              <w:pStyle w:val="3-BodyText"/>
              <w:keepNext/>
              <w:keepLines/>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1.082</w:t>
            </w:r>
          </w:p>
        </w:tc>
        <w:tc>
          <w:tcPr>
            <w:tcW w:w="850"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6C19D3" w:rsidRPr="00196BBD" w:rsidRDefault="006C19D3" w:rsidP="00315A97">
            <w:pPr>
              <w:pStyle w:val="3-BodyText"/>
              <w:keepNext/>
              <w:keepLines/>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0.733</w:t>
            </w:r>
          </w:p>
        </w:tc>
        <w:tc>
          <w:tcPr>
            <w:tcW w:w="993"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6C19D3" w:rsidRPr="00196BBD" w:rsidRDefault="006C19D3" w:rsidP="00315A97">
            <w:pPr>
              <w:pStyle w:val="3-BodyText"/>
              <w:keepNext/>
              <w:keepLines/>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1.599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C19D3" w:rsidRPr="00196BBD" w:rsidRDefault="006C19D3" w:rsidP="00315A97">
            <w:pPr>
              <w:pStyle w:val="3-BodyText"/>
              <w:keepNext/>
              <w:keepLines/>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0.691</w:t>
            </w:r>
          </w:p>
        </w:tc>
      </w:tr>
    </w:tbl>
    <w:p w:rsidR="006C19D3" w:rsidRDefault="006C19D3" w:rsidP="006C19D3">
      <w:pPr>
        <w:pStyle w:val="TableFigureFooter"/>
      </w:pPr>
      <w:r w:rsidRPr="00356600">
        <w:t>CI= confidence interval; FULV= fulvestrant; HR= hazard ratio; LET= letrozole; M2= MONALEESA-2; M3= MONALEESA-3; B2= BOLERO-2; OS= overall survival; PFS= progression-free survival; RIBO= ribociclib; EXE= exemestane; EVE= everolimus.</w:t>
      </w:r>
    </w:p>
    <w:p w:rsidR="006C19D3" w:rsidRDefault="006C19D3" w:rsidP="006C19D3">
      <w:pPr>
        <w:pStyle w:val="TableFigureFooter"/>
      </w:pPr>
      <w:r>
        <w:t xml:space="preserve">* First-line: </w:t>
      </w:r>
      <w:r w:rsidRPr="00CF3B3C">
        <w:t>The N’s for the weighted subset of MONALEESA-2</w:t>
      </w:r>
      <w:r>
        <w:t xml:space="preserve"> (N=301.6)</w:t>
      </w:r>
      <w:r w:rsidRPr="00CF3B3C">
        <w:t xml:space="preserve"> </w:t>
      </w:r>
      <w:r>
        <w:t>wer</w:t>
      </w:r>
      <w:r w:rsidRPr="00CF3B3C">
        <w:t>e less than the unweighted numbers</w:t>
      </w:r>
      <w:r>
        <w:t xml:space="preserve"> (N=334).</w:t>
      </w:r>
    </w:p>
    <w:p w:rsidR="006C19D3" w:rsidRDefault="006C19D3" w:rsidP="006C19D3">
      <w:pPr>
        <w:pStyle w:val="TableFigureFooter"/>
      </w:pPr>
      <w:r w:rsidRPr="00356600">
        <w:t xml:space="preserve">Hazard ratios </w:t>
      </w:r>
      <w:r>
        <w:t>shaded in blue</w:t>
      </w:r>
      <w:r w:rsidRPr="00356600">
        <w:t xml:space="preserve"> were assumed in the base case </w:t>
      </w:r>
      <w:r>
        <w:t xml:space="preserve">cost-minimisation and cost-effectiveness </w:t>
      </w:r>
      <w:r w:rsidRPr="00356600">
        <w:t>analys</w:t>
      </w:r>
      <w:r>
        <w:t>e</w:t>
      </w:r>
      <w:r w:rsidRPr="00356600">
        <w:t>s.</w:t>
      </w:r>
    </w:p>
    <w:p w:rsidR="006C19D3" w:rsidRPr="00356600" w:rsidRDefault="006C19D3" w:rsidP="006C19D3">
      <w:pPr>
        <w:pStyle w:val="TableFigureFooter"/>
      </w:pPr>
      <w:r>
        <w:t>Hazard ratios less than 1 favour RIBO+FULV over the comparators.</w:t>
      </w:r>
    </w:p>
    <w:p w:rsidR="006C19D3" w:rsidRPr="00356600" w:rsidRDefault="006C19D3" w:rsidP="006C19D3">
      <w:pPr>
        <w:pStyle w:val="TableFigureFooter"/>
      </w:pPr>
      <w:r w:rsidRPr="00356600">
        <w:t xml:space="preserve">Source: Table 2-61, p153 of the submission. </w:t>
      </w:r>
    </w:p>
    <w:p w:rsidR="006C19D3" w:rsidRPr="00681911" w:rsidRDefault="00681911" w:rsidP="006231BC">
      <w:pPr>
        <w:pStyle w:val="TableFigureFooter"/>
        <w:rPr>
          <w:i/>
        </w:rPr>
      </w:pPr>
      <w:r w:rsidRPr="00681911">
        <w:rPr>
          <w:i/>
          <w:szCs w:val="20"/>
        </w:rPr>
        <w:t>Note that the results prese</w:t>
      </w:r>
      <w:r w:rsidRPr="00681911">
        <w:rPr>
          <w:i/>
        </w:rPr>
        <w:t xml:space="preserve">nted in MAIC are derived from </w:t>
      </w:r>
      <w:r w:rsidRPr="00681911">
        <w:rPr>
          <w:i/>
          <w:szCs w:val="20"/>
        </w:rPr>
        <w:t>post-hoc analyses conducted by the applicant specifically for the purposes of informing the PBAC consideration. These analyses were not part of the pre-specified statistical plan for MONALEESA-2 or MONALEESA-</w:t>
      </w:r>
      <w:r w:rsidR="00F50980">
        <w:rPr>
          <w:i/>
          <w:szCs w:val="20"/>
        </w:rPr>
        <w:t> </w:t>
      </w:r>
      <w:r w:rsidRPr="00681911">
        <w:rPr>
          <w:i/>
          <w:szCs w:val="20"/>
        </w:rPr>
        <w:t>3.  Interpretation of the results and their application should therefore be limited to seeking to understand the basis for the PBAC outcome and should not be used for any other purpose.</w:t>
      </w:r>
    </w:p>
    <w:p w:rsidR="00946C8C" w:rsidRPr="00196BBD" w:rsidRDefault="00946C8C" w:rsidP="00946C8C">
      <w:pPr>
        <w:pStyle w:val="3-BodyText"/>
        <w:rPr>
          <w:color w:val="000000" w:themeColor="text1"/>
        </w:rPr>
      </w:pPr>
      <w:r>
        <w:rPr>
          <w:iCs/>
          <w:color w:val="000000" w:themeColor="text1"/>
        </w:rPr>
        <w:t>The commentary noted</w:t>
      </w:r>
      <w:r w:rsidRPr="007E0B5F">
        <w:rPr>
          <w:iCs/>
          <w:color w:val="000000" w:themeColor="text1"/>
        </w:rPr>
        <w:t xml:space="preserve"> </w:t>
      </w:r>
      <w:r>
        <w:rPr>
          <w:iCs/>
          <w:color w:val="000000" w:themeColor="text1"/>
        </w:rPr>
        <w:t xml:space="preserve">that </w:t>
      </w:r>
      <w:r w:rsidRPr="007E0B5F">
        <w:rPr>
          <w:iCs/>
          <w:color w:val="000000" w:themeColor="text1"/>
        </w:rPr>
        <w:t xml:space="preserve">a </w:t>
      </w:r>
      <w:r w:rsidRPr="00196BBD">
        <w:rPr>
          <w:iCs/>
          <w:color w:val="000000" w:themeColor="text1"/>
        </w:rPr>
        <w:t>higher proportion of patients took subsequent lines of treatment in the active arm of MONALEESA-3 (210/484, 43.4%) compared with the active arm of MONALEESA-2 (89/334, 26.6%). This could bias the OS hazard ratio in favour of RIBO+FULV compared to RIBO+NSAI, because it is likely that the subsequent treatments acted to extend survival</w:t>
      </w:r>
      <w:r w:rsidRPr="00196BBD">
        <w:rPr>
          <w:color w:val="000000" w:themeColor="text1"/>
        </w:rPr>
        <w:t>.</w:t>
      </w:r>
    </w:p>
    <w:p w:rsidR="00946C8C" w:rsidRPr="007E0B5F" w:rsidRDefault="00946C8C" w:rsidP="00946C8C">
      <w:pPr>
        <w:pStyle w:val="3-BodyText"/>
        <w:rPr>
          <w:color w:val="000000" w:themeColor="text1"/>
        </w:rPr>
      </w:pPr>
      <w:r w:rsidRPr="007E0B5F">
        <w:rPr>
          <w:iCs/>
          <w:color w:val="000000" w:themeColor="text1"/>
        </w:rPr>
        <w:t xml:space="preserve">Overall, given the baseline characteristics of </w:t>
      </w:r>
      <w:r>
        <w:rPr>
          <w:iCs/>
          <w:color w:val="000000" w:themeColor="text1"/>
        </w:rPr>
        <w:t>the</w:t>
      </w:r>
      <w:r w:rsidR="004167FC">
        <w:rPr>
          <w:iCs/>
          <w:color w:val="000000" w:themeColor="text1"/>
        </w:rPr>
        <w:t xml:space="preserve"> </w:t>
      </w:r>
      <w:r w:rsidR="00651387">
        <w:rPr>
          <w:iCs/>
          <w:color w:val="000000" w:themeColor="text1"/>
        </w:rPr>
        <w:t>included</w:t>
      </w:r>
      <w:r w:rsidR="004167FC">
        <w:rPr>
          <w:iCs/>
          <w:color w:val="000000" w:themeColor="text1"/>
        </w:rPr>
        <w:t xml:space="preserve"> subgroup of</w:t>
      </w:r>
      <w:r w:rsidRPr="007E0B5F">
        <w:rPr>
          <w:iCs/>
          <w:color w:val="000000" w:themeColor="text1"/>
        </w:rPr>
        <w:t xml:space="preserve"> MONALEESA-3 and MONALEESA-2 were reasonably well balanced even before weighting, results from the MAIC analysis are similar to those obtained from a simple naïve comparison, in which the unadjusted PFS and OS for RIBO+FULV from MONALEESA-3 are </w:t>
      </w:r>
      <w:r w:rsidRPr="006723D5">
        <w:rPr>
          <w:iCs/>
          <w:color w:val="000000" w:themeColor="text1"/>
        </w:rPr>
        <w:t>compared directly to PFS and OS for RIBO+NSAI from MONALEESA-2</w:t>
      </w:r>
      <w:r w:rsidRPr="006723D5">
        <w:rPr>
          <w:color w:val="000000" w:themeColor="text1"/>
        </w:rPr>
        <w:t xml:space="preserve">. </w:t>
      </w:r>
      <w:r w:rsidRPr="008D1AF1">
        <w:rPr>
          <w:color w:val="000000" w:themeColor="text1"/>
        </w:rPr>
        <w:t xml:space="preserve">The ESC considered that the unanchored MAIC for the endpoint of PFS was likely to be valid for the claim of non-inferiority to RIBO+NSAI in the first-line setting, given the similar trial populations in MONALEESA-2 and MONALEESA-3. The ESC </w:t>
      </w:r>
      <w:r w:rsidR="00AA6B38">
        <w:rPr>
          <w:color w:val="000000" w:themeColor="text1"/>
        </w:rPr>
        <w:t>considere</w:t>
      </w:r>
      <w:r w:rsidRPr="008D1AF1">
        <w:rPr>
          <w:color w:val="000000" w:themeColor="text1"/>
        </w:rPr>
        <w:t xml:space="preserve">d that the OS data from MONALEESA-2 and MONALEESA-3 were immature and the confidence intervals from the unanchored MAIC </w:t>
      </w:r>
      <w:r w:rsidRPr="00196BBD">
        <w:rPr>
          <w:color w:val="000000" w:themeColor="text1"/>
        </w:rPr>
        <w:t>were wide (HR for OS: 1.08 (95% CI: 0.73, 1.6)).</w:t>
      </w:r>
    </w:p>
    <w:p w:rsidR="00297384" w:rsidRPr="00196BBD" w:rsidRDefault="00297384" w:rsidP="00D62003">
      <w:pPr>
        <w:pStyle w:val="3-BodyText"/>
        <w:keepNext/>
        <w:keepLines/>
        <w:numPr>
          <w:ilvl w:val="0"/>
          <w:numId w:val="0"/>
        </w:numPr>
        <w:spacing w:before="120"/>
        <w:ind w:left="720" w:hanging="720"/>
        <w:outlineLvl w:val="2"/>
        <w:rPr>
          <w:color w:val="000000" w:themeColor="text1"/>
          <w:u w:val="single"/>
        </w:rPr>
      </w:pPr>
      <w:r w:rsidRPr="00196BBD">
        <w:rPr>
          <w:color w:val="000000" w:themeColor="text1"/>
          <w:u w:val="single"/>
        </w:rPr>
        <w:t>Second-line setting</w:t>
      </w:r>
    </w:p>
    <w:p w:rsidR="00110952" w:rsidRPr="008D1AF1" w:rsidRDefault="00297384" w:rsidP="00A16562">
      <w:pPr>
        <w:pStyle w:val="3-BodyText"/>
      </w:pPr>
      <w:r w:rsidRPr="00196BBD">
        <w:t>For the second-line treatment analysis</w:t>
      </w:r>
      <w:r w:rsidR="00285E9C" w:rsidRPr="00196BBD">
        <w:t>,</w:t>
      </w:r>
      <w:r w:rsidRPr="00196BBD">
        <w:t xml:space="preserve"> the s</w:t>
      </w:r>
      <w:r w:rsidRPr="00196BBD">
        <w:rPr>
          <w:snapToGrid/>
        </w:rPr>
        <w:t xml:space="preserve">ubgroup of patients resistant to </w:t>
      </w:r>
      <w:r w:rsidR="0072530F" w:rsidRPr="00196BBD">
        <w:rPr>
          <w:snapToGrid/>
        </w:rPr>
        <w:t xml:space="preserve">one line of prior </w:t>
      </w:r>
      <w:r w:rsidR="003E4D7E" w:rsidRPr="00196BBD">
        <w:rPr>
          <w:snapToGrid/>
        </w:rPr>
        <w:t>endocrine therapy</w:t>
      </w:r>
      <w:r w:rsidR="0072530F" w:rsidRPr="00196BBD">
        <w:rPr>
          <w:snapToGrid/>
        </w:rPr>
        <w:t xml:space="preserve"> in the advanced/metastatic setting</w:t>
      </w:r>
      <w:r w:rsidRPr="00196BBD">
        <w:rPr>
          <w:snapToGrid/>
        </w:rPr>
        <w:t xml:space="preserve"> </w:t>
      </w:r>
      <w:r w:rsidRPr="00196BBD">
        <w:t>in the RIBO+FULV arm of MONALEESA-</w:t>
      </w:r>
      <w:r w:rsidR="00D64114" w:rsidRPr="00196BBD">
        <w:t>3</w:t>
      </w:r>
      <w:r w:rsidRPr="00196BBD">
        <w:t xml:space="preserve"> (n=100) was matched to the subgroup of second-line patients </w:t>
      </w:r>
      <w:r w:rsidR="005D25D0" w:rsidRPr="00196BBD">
        <w:t>(</w:t>
      </w:r>
      <w:r w:rsidRPr="00196BBD">
        <w:t xml:space="preserve">excluding first-line patients and patients with two or </w:t>
      </w:r>
      <w:r w:rsidR="005D25D0" w:rsidRPr="00196BBD">
        <w:t xml:space="preserve">more prior lines of treatment, </w:t>
      </w:r>
      <w:r w:rsidRPr="00196BBD">
        <w:t xml:space="preserve">n=192) in the EVE+EXE arm of BOLERO-2. </w:t>
      </w:r>
      <w:r w:rsidR="00285E9C" w:rsidRPr="00196BBD">
        <w:t>Some</w:t>
      </w:r>
      <w:r w:rsidR="00285E9C">
        <w:t xml:space="preserve"> of t</w:t>
      </w:r>
      <w:r w:rsidR="00A16562" w:rsidRPr="00C67B32">
        <w:rPr>
          <w:color w:val="000000" w:themeColor="text1"/>
        </w:rPr>
        <w:t xml:space="preserve">he covariates that </w:t>
      </w:r>
      <w:r w:rsidR="00C67B32" w:rsidRPr="00C67B32">
        <w:rPr>
          <w:color w:val="000000" w:themeColor="text1"/>
        </w:rPr>
        <w:t>were</w:t>
      </w:r>
      <w:r w:rsidR="00F27211" w:rsidRPr="00C67B32">
        <w:rPr>
          <w:color w:val="000000" w:themeColor="text1"/>
        </w:rPr>
        <w:t xml:space="preserve"> </w:t>
      </w:r>
      <w:r w:rsidR="00A16562" w:rsidRPr="00C67B32">
        <w:rPr>
          <w:color w:val="000000" w:themeColor="text1"/>
        </w:rPr>
        <w:t>included are outlined in the table below</w:t>
      </w:r>
      <w:r w:rsidR="00A16562" w:rsidRPr="008D1AF1">
        <w:rPr>
          <w:color w:val="000000" w:themeColor="text1"/>
        </w:rPr>
        <w:t xml:space="preserve"> (along with baseline characteristics before and after weighting). </w:t>
      </w:r>
    </w:p>
    <w:p w:rsidR="00D64114" w:rsidRPr="008D1AF1" w:rsidRDefault="00D64114" w:rsidP="00E75DF7">
      <w:pPr>
        <w:pStyle w:val="3-BodyText"/>
        <w:keepNext/>
        <w:keepLines/>
        <w:numPr>
          <w:ilvl w:val="0"/>
          <w:numId w:val="0"/>
        </w:numPr>
        <w:spacing w:after="0"/>
        <w:rPr>
          <w:rFonts w:ascii="Arial Narrow" w:hAnsi="Arial Narrow"/>
          <w:b/>
          <w:sz w:val="20"/>
          <w:szCs w:val="20"/>
        </w:rPr>
      </w:pPr>
      <w:r w:rsidRPr="008D1AF1">
        <w:rPr>
          <w:rFonts w:ascii="Arial Narrow" w:hAnsi="Arial Narrow"/>
          <w:b/>
          <w:color w:val="000000" w:themeColor="text1"/>
          <w:sz w:val="20"/>
          <w:szCs w:val="20"/>
        </w:rPr>
        <w:t xml:space="preserve">Table </w:t>
      </w:r>
      <w:r w:rsidR="00EE094F" w:rsidRPr="008D1AF1">
        <w:rPr>
          <w:rFonts w:ascii="Arial Narrow" w:hAnsi="Arial Narrow"/>
          <w:b/>
          <w:color w:val="000000" w:themeColor="text1"/>
          <w:sz w:val="20"/>
          <w:szCs w:val="20"/>
        </w:rPr>
        <w:t>7</w:t>
      </w:r>
      <w:r w:rsidRPr="008D1AF1">
        <w:rPr>
          <w:rFonts w:ascii="Arial Narrow" w:hAnsi="Arial Narrow"/>
          <w:b/>
          <w:color w:val="000000" w:themeColor="text1"/>
          <w:sz w:val="20"/>
          <w:szCs w:val="20"/>
        </w:rPr>
        <w:t xml:space="preserve">: Patient characteristics for second-line </w:t>
      </w:r>
      <w:r w:rsidR="009B503F" w:rsidRPr="008D1AF1">
        <w:rPr>
          <w:rFonts w:ascii="Arial Narrow" w:hAnsi="Arial Narrow"/>
          <w:b/>
          <w:color w:val="000000" w:themeColor="text1"/>
          <w:sz w:val="20"/>
          <w:szCs w:val="20"/>
        </w:rPr>
        <w:t>endocrine</w:t>
      </w:r>
      <w:r w:rsidRPr="008D1AF1">
        <w:rPr>
          <w:rFonts w:ascii="Arial Narrow" w:hAnsi="Arial Narrow"/>
          <w:b/>
          <w:color w:val="000000" w:themeColor="text1"/>
          <w:sz w:val="20"/>
          <w:szCs w:val="20"/>
        </w:rPr>
        <w:t>-resistant patients in MONALEESA-3 and BOLERO-2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819"/>
        <w:gridCol w:w="819"/>
        <w:gridCol w:w="819"/>
        <w:gridCol w:w="819"/>
        <w:gridCol w:w="819"/>
        <w:gridCol w:w="817"/>
      </w:tblGrid>
      <w:tr w:rsidR="00D64114" w:rsidRPr="008D1AF1" w:rsidTr="00A16562">
        <w:trPr>
          <w:trHeight w:val="204"/>
        </w:trPr>
        <w:tc>
          <w:tcPr>
            <w:tcW w:w="2276" w:type="pct"/>
            <w:vMerge w:val="restart"/>
            <w:shd w:val="clear" w:color="auto" w:fill="auto"/>
            <w:noWrap/>
            <w:vAlign w:val="bottom"/>
            <w:hideMark/>
          </w:tcPr>
          <w:p w:rsidR="00D64114" w:rsidRPr="008D1AF1" w:rsidRDefault="00D64114" w:rsidP="00E75DF7">
            <w:pPr>
              <w:keepNext/>
              <w:keepLines/>
              <w:jc w:val="left"/>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Patient Characteristics</w:t>
            </w:r>
          </w:p>
        </w:tc>
        <w:tc>
          <w:tcPr>
            <w:tcW w:w="908" w:type="pct"/>
            <w:gridSpan w:val="2"/>
            <w:shd w:val="clear" w:color="auto" w:fill="auto"/>
            <w:noWrap/>
            <w:vAlign w:val="bottom"/>
            <w:hideMark/>
          </w:tcPr>
          <w:p w:rsidR="00D64114" w:rsidRPr="008D1AF1" w:rsidRDefault="00D64114" w:rsidP="00E75DF7">
            <w:pPr>
              <w:keepNext/>
              <w:keepLines/>
              <w:jc w:val="center"/>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MONALEESA-3</w:t>
            </w:r>
          </w:p>
          <w:p w:rsidR="005C2AC2" w:rsidRPr="008D1AF1" w:rsidRDefault="005C2AC2" w:rsidP="00E75DF7">
            <w:pPr>
              <w:keepNext/>
              <w:keepLines/>
              <w:jc w:val="center"/>
              <w:rPr>
                <w:rFonts w:ascii="Arial Narrow" w:hAnsi="Arial Narrow" w:cs="Calibri"/>
                <w:b/>
                <w:bCs/>
                <w:color w:val="000000"/>
                <w:sz w:val="20"/>
                <w:szCs w:val="20"/>
                <w:vertAlign w:val="superscript"/>
                <w:lang w:val="en-US" w:eastAsia="en-US"/>
              </w:rPr>
            </w:pPr>
            <w:r w:rsidRPr="008D1AF1">
              <w:rPr>
                <w:rFonts w:ascii="Arial Narrow" w:hAnsi="Arial Narrow" w:cs="Calibri"/>
                <w:b/>
                <w:bCs/>
                <w:color w:val="000000"/>
                <w:sz w:val="20"/>
                <w:szCs w:val="20"/>
                <w:lang w:val="en-US" w:eastAsia="en-US"/>
              </w:rPr>
              <w:t xml:space="preserve">subgroup </w:t>
            </w:r>
            <w:r w:rsidRPr="008D1AF1">
              <w:rPr>
                <w:rFonts w:ascii="Arial Narrow" w:hAnsi="Arial Narrow" w:cs="Calibri"/>
                <w:b/>
                <w:bCs/>
                <w:color w:val="000000"/>
                <w:sz w:val="20"/>
                <w:szCs w:val="20"/>
                <w:vertAlign w:val="superscript"/>
                <w:lang w:val="en-US" w:eastAsia="en-US"/>
              </w:rPr>
              <w:t>a</w:t>
            </w:r>
          </w:p>
        </w:tc>
        <w:tc>
          <w:tcPr>
            <w:tcW w:w="908" w:type="pct"/>
            <w:gridSpan w:val="2"/>
            <w:shd w:val="clear" w:color="auto" w:fill="auto"/>
            <w:noWrap/>
            <w:vAlign w:val="bottom"/>
            <w:hideMark/>
          </w:tcPr>
          <w:p w:rsidR="00D64114" w:rsidRPr="008D1AF1" w:rsidRDefault="00D64114" w:rsidP="00E75DF7">
            <w:pPr>
              <w:keepNext/>
              <w:keepLines/>
              <w:jc w:val="center"/>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BOLERO 2</w:t>
            </w:r>
          </w:p>
          <w:p w:rsidR="005C2AC2" w:rsidRPr="008D1AF1" w:rsidRDefault="005C2AC2" w:rsidP="00E75DF7">
            <w:pPr>
              <w:keepNext/>
              <w:keepLines/>
              <w:jc w:val="center"/>
              <w:rPr>
                <w:rFonts w:ascii="Arial Narrow" w:hAnsi="Arial Narrow" w:cs="Calibri"/>
                <w:b/>
                <w:bCs/>
                <w:color w:val="000000"/>
                <w:sz w:val="20"/>
                <w:szCs w:val="20"/>
                <w:vertAlign w:val="superscript"/>
                <w:lang w:val="en-US" w:eastAsia="en-US"/>
              </w:rPr>
            </w:pPr>
            <w:r w:rsidRPr="008D1AF1">
              <w:rPr>
                <w:rFonts w:ascii="Arial Narrow" w:hAnsi="Arial Narrow" w:cs="Calibri"/>
                <w:b/>
                <w:bCs/>
                <w:color w:val="000000"/>
                <w:sz w:val="20"/>
                <w:szCs w:val="20"/>
                <w:lang w:val="en-US" w:eastAsia="en-US"/>
              </w:rPr>
              <w:t xml:space="preserve">subgroup </w:t>
            </w:r>
            <w:r w:rsidRPr="008D1AF1">
              <w:rPr>
                <w:rFonts w:ascii="Arial Narrow" w:hAnsi="Arial Narrow" w:cs="Calibri"/>
                <w:b/>
                <w:bCs/>
                <w:color w:val="000000"/>
                <w:sz w:val="20"/>
                <w:szCs w:val="20"/>
                <w:vertAlign w:val="superscript"/>
                <w:lang w:val="en-US" w:eastAsia="en-US"/>
              </w:rPr>
              <w:t>b</w:t>
            </w:r>
          </w:p>
        </w:tc>
        <w:tc>
          <w:tcPr>
            <w:tcW w:w="907" w:type="pct"/>
            <w:gridSpan w:val="2"/>
            <w:shd w:val="clear" w:color="auto" w:fill="auto"/>
            <w:noWrap/>
            <w:vAlign w:val="bottom"/>
            <w:hideMark/>
          </w:tcPr>
          <w:p w:rsidR="00D64114" w:rsidRPr="008D1AF1" w:rsidRDefault="00D64114" w:rsidP="00E75DF7">
            <w:pPr>
              <w:keepNext/>
              <w:keepLines/>
              <w:jc w:val="center"/>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BOLERO 2 weighted</w:t>
            </w:r>
          </w:p>
        </w:tc>
      </w:tr>
      <w:tr w:rsidR="00D64114" w:rsidRPr="008D1AF1" w:rsidTr="00A16562">
        <w:trPr>
          <w:trHeight w:val="204"/>
        </w:trPr>
        <w:tc>
          <w:tcPr>
            <w:tcW w:w="2276" w:type="pct"/>
            <w:vMerge/>
            <w:shd w:val="clear" w:color="auto" w:fill="auto"/>
            <w:vAlign w:val="center"/>
            <w:hideMark/>
          </w:tcPr>
          <w:p w:rsidR="00D64114" w:rsidRPr="008D1AF1" w:rsidRDefault="00D64114" w:rsidP="00E75DF7">
            <w:pPr>
              <w:keepNext/>
              <w:keepLines/>
              <w:jc w:val="left"/>
              <w:rPr>
                <w:rFonts w:ascii="Arial Narrow" w:hAnsi="Arial Narrow" w:cs="Calibri"/>
                <w:b/>
                <w:bCs/>
                <w:color w:val="000000"/>
                <w:sz w:val="20"/>
                <w:szCs w:val="20"/>
                <w:lang w:val="en-US" w:eastAsia="en-US"/>
              </w:rPr>
            </w:pPr>
          </w:p>
        </w:tc>
        <w:tc>
          <w:tcPr>
            <w:tcW w:w="908" w:type="pct"/>
            <w:gridSpan w:val="2"/>
            <w:shd w:val="clear" w:color="auto" w:fill="auto"/>
            <w:noWrap/>
            <w:vAlign w:val="bottom"/>
            <w:hideMark/>
          </w:tcPr>
          <w:p w:rsidR="00D64114" w:rsidRPr="008D1AF1" w:rsidRDefault="00D64114" w:rsidP="00E75DF7">
            <w:pPr>
              <w:keepNext/>
              <w:keepLines/>
              <w:jc w:val="center"/>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RIB+FUL</w:t>
            </w:r>
          </w:p>
        </w:tc>
        <w:tc>
          <w:tcPr>
            <w:tcW w:w="908" w:type="pct"/>
            <w:gridSpan w:val="2"/>
            <w:shd w:val="clear" w:color="auto" w:fill="auto"/>
            <w:noWrap/>
            <w:vAlign w:val="bottom"/>
            <w:hideMark/>
          </w:tcPr>
          <w:p w:rsidR="00D64114" w:rsidRPr="008D1AF1" w:rsidRDefault="00D64114" w:rsidP="00E75DF7">
            <w:pPr>
              <w:keepNext/>
              <w:keepLines/>
              <w:jc w:val="center"/>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EVE+EXE</w:t>
            </w:r>
          </w:p>
        </w:tc>
        <w:tc>
          <w:tcPr>
            <w:tcW w:w="907" w:type="pct"/>
            <w:gridSpan w:val="2"/>
            <w:shd w:val="clear" w:color="auto" w:fill="auto"/>
            <w:noWrap/>
            <w:vAlign w:val="bottom"/>
            <w:hideMark/>
          </w:tcPr>
          <w:p w:rsidR="00D64114" w:rsidRPr="008D1AF1" w:rsidRDefault="00D64114" w:rsidP="00E75DF7">
            <w:pPr>
              <w:keepNext/>
              <w:keepLines/>
              <w:jc w:val="center"/>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EVE+EXE</w:t>
            </w:r>
          </w:p>
        </w:tc>
      </w:tr>
      <w:tr w:rsidR="00D64114" w:rsidRPr="008D1AF1" w:rsidTr="00A16562">
        <w:trPr>
          <w:trHeight w:val="204"/>
        </w:trPr>
        <w:tc>
          <w:tcPr>
            <w:tcW w:w="2276" w:type="pct"/>
            <w:shd w:val="clear" w:color="auto" w:fill="auto"/>
            <w:noWrap/>
            <w:vAlign w:val="bottom"/>
            <w:hideMark/>
          </w:tcPr>
          <w:p w:rsidR="00D64114" w:rsidRPr="008D1AF1" w:rsidRDefault="00D64114" w:rsidP="00E75DF7">
            <w:pPr>
              <w:keepNext/>
              <w:keepLines/>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 </w:t>
            </w:r>
          </w:p>
        </w:tc>
        <w:tc>
          <w:tcPr>
            <w:tcW w:w="908" w:type="pct"/>
            <w:gridSpan w:val="2"/>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N=100</w:t>
            </w:r>
          </w:p>
        </w:tc>
        <w:tc>
          <w:tcPr>
            <w:tcW w:w="908" w:type="pct"/>
            <w:gridSpan w:val="2"/>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N=192</w:t>
            </w:r>
          </w:p>
        </w:tc>
        <w:tc>
          <w:tcPr>
            <w:tcW w:w="907" w:type="pct"/>
            <w:gridSpan w:val="2"/>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101.4</w:t>
            </w:r>
          </w:p>
        </w:tc>
      </w:tr>
      <w:tr w:rsidR="00A16562" w:rsidRPr="008D1AF1" w:rsidTr="00A16562">
        <w:trPr>
          <w:trHeight w:val="104"/>
        </w:trPr>
        <w:tc>
          <w:tcPr>
            <w:tcW w:w="2276" w:type="pct"/>
            <w:shd w:val="clear" w:color="auto" w:fill="auto"/>
            <w:vAlign w:val="bottom"/>
            <w:hideMark/>
          </w:tcPr>
          <w:p w:rsidR="00A16562" w:rsidRPr="008D1AF1" w:rsidRDefault="00A16562" w:rsidP="00E75DF7">
            <w:pPr>
              <w:keepNext/>
              <w:keepLines/>
              <w:jc w:val="left"/>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Age category (years) - n (%)</w:t>
            </w:r>
          </w:p>
        </w:tc>
        <w:tc>
          <w:tcPr>
            <w:tcW w:w="454" w:type="pct"/>
            <w:shd w:val="clear" w:color="auto" w:fill="auto"/>
            <w:noWrap/>
            <w:vAlign w:val="bottom"/>
            <w:hideMark/>
          </w:tcPr>
          <w:p w:rsidR="00A16562" w:rsidRPr="00196BBD" w:rsidRDefault="00A16562"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n</w:t>
            </w:r>
          </w:p>
        </w:tc>
        <w:tc>
          <w:tcPr>
            <w:tcW w:w="454" w:type="pct"/>
            <w:shd w:val="clear" w:color="auto" w:fill="auto"/>
            <w:noWrap/>
            <w:vAlign w:val="bottom"/>
            <w:hideMark/>
          </w:tcPr>
          <w:p w:rsidR="00A16562" w:rsidRPr="00196BBD" w:rsidRDefault="00A16562"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A16562" w:rsidRPr="00196BBD" w:rsidRDefault="00A16562"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n</w:t>
            </w:r>
          </w:p>
        </w:tc>
        <w:tc>
          <w:tcPr>
            <w:tcW w:w="454" w:type="pct"/>
            <w:shd w:val="clear" w:color="auto" w:fill="auto"/>
            <w:noWrap/>
            <w:vAlign w:val="bottom"/>
            <w:hideMark/>
          </w:tcPr>
          <w:p w:rsidR="00A16562" w:rsidRPr="00196BBD" w:rsidRDefault="00A16562"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A16562" w:rsidRPr="00196BBD" w:rsidRDefault="00A16562"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n</w:t>
            </w:r>
          </w:p>
        </w:tc>
        <w:tc>
          <w:tcPr>
            <w:tcW w:w="453" w:type="pct"/>
            <w:shd w:val="clear" w:color="auto" w:fill="auto"/>
            <w:noWrap/>
            <w:vAlign w:val="bottom"/>
            <w:hideMark/>
          </w:tcPr>
          <w:p w:rsidR="00A16562" w:rsidRPr="00196BBD" w:rsidRDefault="00A16562"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r>
      <w:tr w:rsidR="00A16562" w:rsidRPr="008D1AF1" w:rsidTr="00A16562">
        <w:trPr>
          <w:trHeight w:val="204"/>
        </w:trPr>
        <w:tc>
          <w:tcPr>
            <w:tcW w:w="2276" w:type="pct"/>
            <w:shd w:val="clear" w:color="auto" w:fill="auto"/>
            <w:noWrap/>
            <w:vAlign w:val="bottom"/>
            <w:hideMark/>
          </w:tcPr>
          <w:p w:rsidR="00D64114" w:rsidRPr="008D1AF1" w:rsidRDefault="00D64114" w:rsidP="00E75DF7">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18 to &lt; 65</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41</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41.0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103</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53.6</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37</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36.8</w:t>
            </w:r>
          </w:p>
        </w:tc>
      </w:tr>
      <w:tr w:rsidR="00A16562" w:rsidRPr="008D1AF1" w:rsidTr="00A16562">
        <w:trPr>
          <w:trHeight w:val="204"/>
        </w:trPr>
        <w:tc>
          <w:tcPr>
            <w:tcW w:w="2276" w:type="pct"/>
            <w:shd w:val="clear" w:color="auto" w:fill="auto"/>
            <w:noWrap/>
            <w:vAlign w:val="bottom"/>
            <w:hideMark/>
          </w:tcPr>
          <w:p w:rsidR="00D64114" w:rsidRPr="008D1AF1" w:rsidRDefault="00D64114" w:rsidP="00E75DF7">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 65</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59</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59.0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89</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46.4</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64</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63.2</w:t>
            </w:r>
          </w:p>
        </w:tc>
      </w:tr>
      <w:tr w:rsidR="00A16562" w:rsidRPr="008D1AF1" w:rsidTr="00A16562">
        <w:trPr>
          <w:trHeight w:val="204"/>
        </w:trPr>
        <w:tc>
          <w:tcPr>
            <w:tcW w:w="2276" w:type="pct"/>
            <w:shd w:val="clear" w:color="auto" w:fill="auto"/>
            <w:noWrap/>
            <w:vAlign w:val="bottom"/>
            <w:hideMark/>
          </w:tcPr>
          <w:p w:rsidR="00D64114" w:rsidRPr="008D1AF1" w:rsidRDefault="00D64114" w:rsidP="00E75DF7">
            <w:pPr>
              <w:keepNext/>
              <w:keepLines/>
              <w:jc w:val="left"/>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Race - n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r>
      <w:tr w:rsidR="00A16562" w:rsidRPr="008D1AF1" w:rsidTr="00A16562">
        <w:trPr>
          <w:trHeight w:val="204"/>
        </w:trPr>
        <w:tc>
          <w:tcPr>
            <w:tcW w:w="2276" w:type="pct"/>
            <w:shd w:val="clear" w:color="auto" w:fill="auto"/>
            <w:noWrap/>
            <w:vAlign w:val="bottom"/>
            <w:hideMark/>
          </w:tcPr>
          <w:p w:rsidR="00D64114" w:rsidRPr="008D1AF1" w:rsidRDefault="00D64114" w:rsidP="00E75DF7">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White</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84</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84.0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139</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72.4</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85</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83.7</w:t>
            </w:r>
          </w:p>
        </w:tc>
      </w:tr>
      <w:tr w:rsidR="00A16562" w:rsidRPr="008D1AF1" w:rsidTr="00A16562">
        <w:trPr>
          <w:trHeight w:val="204"/>
        </w:trPr>
        <w:tc>
          <w:tcPr>
            <w:tcW w:w="2276" w:type="pct"/>
            <w:shd w:val="clear" w:color="auto" w:fill="auto"/>
            <w:noWrap/>
            <w:vAlign w:val="bottom"/>
            <w:hideMark/>
          </w:tcPr>
          <w:p w:rsidR="00D64114" w:rsidRPr="008D1AF1" w:rsidRDefault="00D64114" w:rsidP="00E75DF7">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Asian</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7</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7.0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41</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21.4</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7</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6.9</w:t>
            </w:r>
          </w:p>
        </w:tc>
      </w:tr>
      <w:tr w:rsidR="00A16562" w:rsidRPr="008D1AF1" w:rsidTr="00A16562">
        <w:trPr>
          <w:trHeight w:val="204"/>
        </w:trPr>
        <w:tc>
          <w:tcPr>
            <w:tcW w:w="2276" w:type="pct"/>
            <w:shd w:val="clear" w:color="auto" w:fill="auto"/>
            <w:noWrap/>
            <w:vAlign w:val="bottom"/>
            <w:hideMark/>
          </w:tcPr>
          <w:p w:rsidR="00D64114" w:rsidRPr="008D1AF1" w:rsidRDefault="00D64114" w:rsidP="00E75DF7">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Black or African American</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7</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3.6</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5</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5.1</w:t>
            </w:r>
          </w:p>
        </w:tc>
      </w:tr>
      <w:tr w:rsidR="00A16562" w:rsidRPr="008D1AF1" w:rsidTr="00A16562">
        <w:trPr>
          <w:trHeight w:val="204"/>
        </w:trPr>
        <w:tc>
          <w:tcPr>
            <w:tcW w:w="2276" w:type="pct"/>
            <w:shd w:val="clear" w:color="auto" w:fill="auto"/>
            <w:noWrap/>
            <w:vAlign w:val="bottom"/>
            <w:hideMark/>
          </w:tcPr>
          <w:p w:rsidR="00D64114" w:rsidRPr="008D1AF1" w:rsidRDefault="00D64114" w:rsidP="00E75DF7">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Other</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8</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8.0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5</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2.6</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4</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4.3</w:t>
            </w:r>
          </w:p>
        </w:tc>
      </w:tr>
      <w:tr w:rsidR="00A16562" w:rsidRPr="008D1AF1" w:rsidTr="00A16562">
        <w:trPr>
          <w:trHeight w:val="175"/>
        </w:trPr>
        <w:tc>
          <w:tcPr>
            <w:tcW w:w="2276" w:type="pct"/>
            <w:shd w:val="clear" w:color="auto" w:fill="auto"/>
            <w:vAlign w:val="bottom"/>
            <w:hideMark/>
          </w:tcPr>
          <w:p w:rsidR="00D64114" w:rsidRPr="008D1AF1" w:rsidRDefault="00D64114" w:rsidP="00E75DF7">
            <w:pPr>
              <w:keepNext/>
              <w:keepLines/>
              <w:jc w:val="left"/>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 xml:space="preserve">ECOG performance status –n (%)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r>
      <w:tr w:rsidR="00A16562" w:rsidRPr="008D1AF1" w:rsidTr="00A16562">
        <w:trPr>
          <w:trHeight w:val="204"/>
        </w:trPr>
        <w:tc>
          <w:tcPr>
            <w:tcW w:w="2276" w:type="pct"/>
            <w:shd w:val="clear" w:color="auto" w:fill="auto"/>
            <w:noWrap/>
            <w:vAlign w:val="bottom"/>
            <w:hideMark/>
          </w:tcPr>
          <w:p w:rsidR="00D64114" w:rsidRPr="008D1AF1" w:rsidRDefault="00D64114" w:rsidP="00E75DF7">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71</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71.0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121</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63.0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71</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69.6</w:t>
            </w:r>
          </w:p>
        </w:tc>
      </w:tr>
      <w:tr w:rsidR="00A16562" w:rsidRPr="008D1AF1" w:rsidTr="00A16562">
        <w:trPr>
          <w:trHeight w:val="204"/>
        </w:trPr>
        <w:tc>
          <w:tcPr>
            <w:tcW w:w="2276" w:type="pct"/>
            <w:shd w:val="clear" w:color="auto" w:fill="auto"/>
            <w:noWrap/>
            <w:vAlign w:val="bottom"/>
            <w:hideMark/>
          </w:tcPr>
          <w:p w:rsidR="00D64114" w:rsidRPr="008D1AF1" w:rsidRDefault="00D64114" w:rsidP="00E75DF7">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1</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29</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29.0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68</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35.4</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29</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29.0</w:t>
            </w:r>
          </w:p>
        </w:tc>
      </w:tr>
      <w:tr w:rsidR="00A16562" w:rsidRPr="008D1AF1" w:rsidTr="00A16562">
        <w:trPr>
          <w:trHeight w:val="204"/>
        </w:trPr>
        <w:tc>
          <w:tcPr>
            <w:tcW w:w="2276" w:type="pct"/>
            <w:shd w:val="clear" w:color="auto" w:fill="auto"/>
            <w:noWrap/>
            <w:vAlign w:val="bottom"/>
            <w:hideMark/>
          </w:tcPr>
          <w:p w:rsidR="00D64114" w:rsidRPr="008D1AF1" w:rsidRDefault="00D64114" w:rsidP="00E75DF7">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Missing</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0.0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3</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1.6</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1.4</w:t>
            </w:r>
          </w:p>
        </w:tc>
      </w:tr>
      <w:tr w:rsidR="00A16562" w:rsidRPr="008D1AF1" w:rsidTr="00A16562">
        <w:trPr>
          <w:trHeight w:val="204"/>
        </w:trPr>
        <w:tc>
          <w:tcPr>
            <w:tcW w:w="2276" w:type="pct"/>
            <w:shd w:val="clear" w:color="auto" w:fill="auto"/>
            <w:vAlign w:val="bottom"/>
            <w:hideMark/>
          </w:tcPr>
          <w:p w:rsidR="00D64114" w:rsidRPr="008D1AF1" w:rsidRDefault="00D64114" w:rsidP="00E75DF7">
            <w:pPr>
              <w:keepNext/>
              <w:keepLines/>
              <w:jc w:val="left"/>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 xml:space="preserve">Histologic grade –n (%)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r>
      <w:tr w:rsidR="00A16562" w:rsidRPr="008D1AF1" w:rsidTr="00A16562">
        <w:trPr>
          <w:trHeight w:val="204"/>
        </w:trPr>
        <w:tc>
          <w:tcPr>
            <w:tcW w:w="2276" w:type="pct"/>
            <w:shd w:val="clear" w:color="auto" w:fill="auto"/>
            <w:noWrap/>
            <w:vAlign w:val="bottom"/>
            <w:hideMark/>
          </w:tcPr>
          <w:p w:rsidR="00D64114" w:rsidRPr="008D1AF1" w:rsidRDefault="00D64114" w:rsidP="00E75DF7">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Well</w:t>
            </w:r>
            <w:r w:rsidR="00A16562" w:rsidRPr="008D1AF1">
              <w:rPr>
                <w:rFonts w:ascii="Arial Narrow" w:hAnsi="Arial Narrow" w:cs="Calibri"/>
                <w:color w:val="000000"/>
                <w:sz w:val="20"/>
                <w:szCs w:val="20"/>
                <w:lang w:val="en-US" w:eastAsia="en-US"/>
              </w:rPr>
              <w:t xml:space="preserve"> </w:t>
            </w:r>
            <w:r w:rsidRPr="008D1AF1">
              <w:rPr>
                <w:rFonts w:ascii="Arial Narrow" w:hAnsi="Arial Narrow" w:cs="Calibri"/>
                <w:color w:val="000000"/>
                <w:sz w:val="20"/>
                <w:szCs w:val="20"/>
                <w:lang w:val="en-US" w:eastAsia="en-US"/>
              </w:rPr>
              <w:t>differentiated</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9</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9.0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24</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12.5</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10</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9.5</w:t>
            </w:r>
          </w:p>
        </w:tc>
      </w:tr>
      <w:tr w:rsidR="00A16562" w:rsidRPr="008D1AF1" w:rsidTr="00A16562">
        <w:trPr>
          <w:trHeight w:val="204"/>
        </w:trPr>
        <w:tc>
          <w:tcPr>
            <w:tcW w:w="2276" w:type="pct"/>
            <w:shd w:val="clear" w:color="auto" w:fill="auto"/>
            <w:noWrap/>
            <w:vAlign w:val="bottom"/>
            <w:hideMark/>
          </w:tcPr>
          <w:p w:rsidR="00D64114" w:rsidRPr="008D1AF1" w:rsidRDefault="00D64114" w:rsidP="00E75DF7">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Moderately differentiated</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49</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49.0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72</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37.5</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48</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47.7</w:t>
            </w:r>
          </w:p>
        </w:tc>
      </w:tr>
      <w:tr w:rsidR="00A16562" w:rsidRPr="008D1AF1" w:rsidTr="00A16562">
        <w:trPr>
          <w:trHeight w:val="204"/>
        </w:trPr>
        <w:tc>
          <w:tcPr>
            <w:tcW w:w="2276" w:type="pct"/>
            <w:shd w:val="clear" w:color="auto" w:fill="auto"/>
            <w:noWrap/>
            <w:vAlign w:val="bottom"/>
            <w:hideMark/>
          </w:tcPr>
          <w:p w:rsidR="00D64114" w:rsidRPr="008D1AF1" w:rsidRDefault="00D64114" w:rsidP="00E75DF7">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Poorly differentiated</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18</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18.0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30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15.6</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20</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19.4</w:t>
            </w:r>
          </w:p>
        </w:tc>
      </w:tr>
      <w:tr w:rsidR="00A16562" w:rsidRPr="008D1AF1" w:rsidTr="00A16562">
        <w:trPr>
          <w:trHeight w:val="204"/>
        </w:trPr>
        <w:tc>
          <w:tcPr>
            <w:tcW w:w="2276" w:type="pct"/>
            <w:shd w:val="clear" w:color="auto" w:fill="auto"/>
            <w:noWrap/>
            <w:vAlign w:val="bottom"/>
            <w:hideMark/>
          </w:tcPr>
          <w:p w:rsidR="00D64114" w:rsidRPr="008D1AF1" w:rsidRDefault="00D64114" w:rsidP="00E75DF7">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Un-differentiated</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65</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33.9</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23</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22.8</w:t>
            </w:r>
          </w:p>
        </w:tc>
      </w:tr>
      <w:tr w:rsidR="00A16562" w:rsidRPr="008D1AF1" w:rsidTr="00A16562">
        <w:trPr>
          <w:trHeight w:val="204"/>
        </w:trPr>
        <w:tc>
          <w:tcPr>
            <w:tcW w:w="2276" w:type="pct"/>
            <w:shd w:val="clear" w:color="auto" w:fill="auto"/>
            <w:noWrap/>
            <w:vAlign w:val="bottom"/>
            <w:hideMark/>
          </w:tcPr>
          <w:p w:rsidR="00D64114" w:rsidRPr="008D1AF1" w:rsidRDefault="00D64114" w:rsidP="00E75DF7">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Unknown</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23</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23.0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0.5</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0.6</w:t>
            </w:r>
          </w:p>
        </w:tc>
      </w:tr>
      <w:tr w:rsidR="00A16562" w:rsidRPr="008D1AF1" w:rsidTr="00A16562">
        <w:trPr>
          <w:trHeight w:val="204"/>
        </w:trPr>
        <w:tc>
          <w:tcPr>
            <w:tcW w:w="2276" w:type="pct"/>
            <w:shd w:val="clear" w:color="auto" w:fill="auto"/>
            <w:vAlign w:val="bottom"/>
            <w:hideMark/>
          </w:tcPr>
          <w:p w:rsidR="00D64114" w:rsidRPr="008D1AF1" w:rsidRDefault="00D64114" w:rsidP="00E75DF7">
            <w:pPr>
              <w:keepNext/>
              <w:keepLines/>
              <w:jc w:val="left"/>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 xml:space="preserve">Visceral disease –n (%)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r>
      <w:tr w:rsidR="00A16562" w:rsidRPr="008D1AF1" w:rsidTr="00A16562">
        <w:trPr>
          <w:trHeight w:val="204"/>
        </w:trPr>
        <w:tc>
          <w:tcPr>
            <w:tcW w:w="2276" w:type="pct"/>
            <w:shd w:val="clear" w:color="auto" w:fill="auto"/>
            <w:noWrap/>
            <w:vAlign w:val="bottom"/>
            <w:hideMark/>
          </w:tcPr>
          <w:p w:rsidR="00D64114" w:rsidRPr="008D1AF1" w:rsidRDefault="00D64114" w:rsidP="00E75DF7">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Yes</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70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70.0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113</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58.9</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72</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71.1</w:t>
            </w:r>
          </w:p>
        </w:tc>
      </w:tr>
      <w:tr w:rsidR="00A16562" w:rsidRPr="008D1AF1" w:rsidTr="00A16562">
        <w:trPr>
          <w:trHeight w:val="204"/>
        </w:trPr>
        <w:tc>
          <w:tcPr>
            <w:tcW w:w="2276" w:type="pct"/>
            <w:shd w:val="clear" w:color="auto" w:fill="auto"/>
            <w:noWrap/>
            <w:vAlign w:val="bottom"/>
            <w:hideMark/>
          </w:tcPr>
          <w:p w:rsidR="00D64114" w:rsidRPr="008D1AF1" w:rsidRDefault="00D64114" w:rsidP="00E75DF7">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 xml:space="preserve"> No</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30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30.0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79</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41.1</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29</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28.9</w:t>
            </w:r>
          </w:p>
        </w:tc>
      </w:tr>
      <w:tr w:rsidR="00A16562" w:rsidRPr="008D1AF1" w:rsidTr="00BE2CB8">
        <w:trPr>
          <w:trHeight w:val="76"/>
        </w:trPr>
        <w:tc>
          <w:tcPr>
            <w:tcW w:w="2276" w:type="pct"/>
            <w:shd w:val="clear" w:color="auto" w:fill="auto"/>
            <w:vAlign w:val="bottom"/>
            <w:hideMark/>
          </w:tcPr>
          <w:p w:rsidR="00D64114" w:rsidRPr="008D1AF1" w:rsidRDefault="00D64114" w:rsidP="00E75DF7">
            <w:pPr>
              <w:keepNext/>
              <w:keepLines/>
              <w:jc w:val="left"/>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 xml:space="preserve">Number of metastatic sites involved- n (%)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r>
      <w:tr w:rsidR="00A16562" w:rsidRPr="008D1AF1" w:rsidTr="00A16562">
        <w:trPr>
          <w:trHeight w:val="204"/>
        </w:trPr>
        <w:tc>
          <w:tcPr>
            <w:tcW w:w="2276" w:type="pct"/>
            <w:shd w:val="clear" w:color="auto" w:fill="auto"/>
            <w:noWrap/>
            <w:vAlign w:val="bottom"/>
            <w:hideMark/>
          </w:tcPr>
          <w:p w:rsidR="00D64114" w:rsidRPr="008D1AF1" w:rsidRDefault="00D64114" w:rsidP="00E75DF7">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1</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17</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17.0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55</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28.6</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17</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16.9</w:t>
            </w:r>
          </w:p>
        </w:tc>
      </w:tr>
      <w:tr w:rsidR="00A16562" w:rsidRPr="008D1AF1" w:rsidTr="00A16562">
        <w:trPr>
          <w:trHeight w:val="204"/>
        </w:trPr>
        <w:tc>
          <w:tcPr>
            <w:tcW w:w="2276" w:type="pct"/>
            <w:shd w:val="clear" w:color="auto" w:fill="auto"/>
            <w:noWrap/>
            <w:vAlign w:val="bottom"/>
            <w:hideMark/>
          </w:tcPr>
          <w:p w:rsidR="00D64114" w:rsidRPr="008D1AF1" w:rsidRDefault="00D64114" w:rsidP="00E75DF7">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2</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36</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36.0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56</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29.2</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36</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35.3</w:t>
            </w:r>
          </w:p>
        </w:tc>
      </w:tr>
      <w:tr w:rsidR="00A16562" w:rsidRPr="008D1AF1" w:rsidTr="00A16562">
        <w:trPr>
          <w:trHeight w:val="204"/>
        </w:trPr>
        <w:tc>
          <w:tcPr>
            <w:tcW w:w="2276" w:type="pct"/>
            <w:shd w:val="clear" w:color="auto" w:fill="auto"/>
            <w:noWrap/>
            <w:vAlign w:val="bottom"/>
            <w:hideMark/>
          </w:tcPr>
          <w:p w:rsidR="00D64114" w:rsidRPr="008D1AF1" w:rsidRDefault="00D64114" w:rsidP="00E75DF7">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 3</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47</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47.0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81</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42.2</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48</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47.8</w:t>
            </w:r>
          </w:p>
        </w:tc>
      </w:tr>
      <w:tr w:rsidR="00A16562" w:rsidRPr="008D1AF1" w:rsidTr="00A16562">
        <w:trPr>
          <w:trHeight w:val="71"/>
        </w:trPr>
        <w:tc>
          <w:tcPr>
            <w:tcW w:w="2276" w:type="pct"/>
            <w:shd w:val="clear" w:color="auto" w:fill="auto"/>
            <w:vAlign w:val="bottom"/>
            <w:hideMark/>
          </w:tcPr>
          <w:p w:rsidR="00D64114" w:rsidRPr="008D1AF1" w:rsidRDefault="00D64114" w:rsidP="00E75DF7">
            <w:pPr>
              <w:keepNext/>
              <w:keepLines/>
              <w:jc w:val="left"/>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Time since initial diagnosis quartiles - n (%)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r>
      <w:tr w:rsidR="00A16562" w:rsidRPr="008D1AF1" w:rsidTr="00A16562">
        <w:trPr>
          <w:trHeight w:val="204"/>
        </w:trPr>
        <w:tc>
          <w:tcPr>
            <w:tcW w:w="2276" w:type="pct"/>
            <w:shd w:val="clear" w:color="auto" w:fill="auto"/>
            <w:noWrap/>
            <w:vAlign w:val="bottom"/>
            <w:hideMark/>
          </w:tcPr>
          <w:p w:rsidR="00D64114" w:rsidRPr="008D1AF1" w:rsidRDefault="00D64114" w:rsidP="00E75DF7">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Q1</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31</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31.0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42</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21.9</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34</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33.2</w:t>
            </w:r>
          </w:p>
        </w:tc>
      </w:tr>
      <w:tr w:rsidR="00A16562" w:rsidRPr="008D1AF1" w:rsidTr="00A16562">
        <w:trPr>
          <w:trHeight w:val="204"/>
        </w:trPr>
        <w:tc>
          <w:tcPr>
            <w:tcW w:w="2276" w:type="pct"/>
            <w:shd w:val="clear" w:color="auto" w:fill="auto"/>
            <w:noWrap/>
            <w:vAlign w:val="bottom"/>
            <w:hideMark/>
          </w:tcPr>
          <w:p w:rsidR="00D64114" w:rsidRPr="008D1AF1" w:rsidRDefault="00D64114" w:rsidP="00E75DF7">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Q2</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15</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15.0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58</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30.2</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14</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14.2</w:t>
            </w:r>
          </w:p>
        </w:tc>
      </w:tr>
      <w:tr w:rsidR="00A16562" w:rsidRPr="008D1AF1" w:rsidTr="00A16562">
        <w:trPr>
          <w:trHeight w:val="204"/>
        </w:trPr>
        <w:tc>
          <w:tcPr>
            <w:tcW w:w="2276" w:type="pct"/>
            <w:shd w:val="clear" w:color="auto" w:fill="auto"/>
            <w:noWrap/>
            <w:vAlign w:val="bottom"/>
            <w:hideMark/>
          </w:tcPr>
          <w:p w:rsidR="00D64114" w:rsidRPr="008D1AF1" w:rsidRDefault="00D64114" w:rsidP="00E75DF7">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Q3</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24</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24.0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49</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25.5</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23</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22.5</w:t>
            </w:r>
          </w:p>
        </w:tc>
      </w:tr>
      <w:tr w:rsidR="00A16562" w:rsidRPr="008D1AF1" w:rsidTr="00A16562">
        <w:trPr>
          <w:trHeight w:val="204"/>
        </w:trPr>
        <w:tc>
          <w:tcPr>
            <w:tcW w:w="2276" w:type="pct"/>
            <w:shd w:val="clear" w:color="auto" w:fill="auto"/>
            <w:noWrap/>
            <w:vAlign w:val="bottom"/>
            <w:hideMark/>
          </w:tcPr>
          <w:p w:rsidR="00D64114" w:rsidRPr="008D1AF1" w:rsidRDefault="00D64114" w:rsidP="00E75DF7">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Q4</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30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30.0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43</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22.4</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30</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30.1</w:t>
            </w:r>
          </w:p>
        </w:tc>
      </w:tr>
      <w:tr w:rsidR="00A16562" w:rsidRPr="008D1AF1" w:rsidTr="00A16562">
        <w:trPr>
          <w:trHeight w:val="277"/>
        </w:trPr>
        <w:tc>
          <w:tcPr>
            <w:tcW w:w="2276" w:type="pct"/>
            <w:shd w:val="clear" w:color="auto" w:fill="auto"/>
            <w:noWrap/>
            <w:vAlign w:val="center"/>
            <w:hideMark/>
          </w:tcPr>
          <w:p w:rsidR="00D64114" w:rsidRPr="008D1AF1" w:rsidRDefault="00D64114" w:rsidP="00E75DF7">
            <w:pPr>
              <w:keepNext/>
              <w:keepLines/>
              <w:jc w:val="left"/>
              <w:rPr>
                <w:rFonts w:ascii="Arial Narrow" w:hAnsi="Arial Narrow" w:cs="Calibri"/>
                <w:b/>
                <w:bCs/>
                <w:color w:val="000000"/>
                <w:sz w:val="20"/>
                <w:szCs w:val="20"/>
                <w:lang w:val="en-US" w:eastAsia="en-US"/>
              </w:rPr>
            </w:pPr>
            <w:r w:rsidRPr="008D1AF1">
              <w:rPr>
                <w:rFonts w:ascii="Arial Narrow" w:hAnsi="Arial Narrow" w:cs="Calibri"/>
                <w:b/>
                <w:bCs/>
                <w:color w:val="000000"/>
                <w:sz w:val="20"/>
                <w:szCs w:val="20"/>
                <w:lang w:val="en-US" w:eastAsia="en-US"/>
              </w:rPr>
              <w:t>Number of prior lines of ET in the advanced setting - n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 </w:t>
            </w:r>
          </w:p>
        </w:tc>
      </w:tr>
      <w:tr w:rsidR="00A16562" w:rsidRPr="008D1AF1" w:rsidTr="00A16562">
        <w:trPr>
          <w:trHeight w:val="204"/>
        </w:trPr>
        <w:tc>
          <w:tcPr>
            <w:tcW w:w="2276" w:type="pct"/>
            <w:shd w:val="clear" w:color="auto" w:fill="auto"/>
            <w:noWrap/>
            <w:vAlign w:val="bottom"/>
            <w:hideMark/>
          </w:tcPr>
          <w:p w:rsidR="00D64114" w:rsidRPr="008D1AF1" w:rsidRDefault="00D64114" w:rsidP="00E75DF7">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0.0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0.0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0</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0.0</w:t>
            </w:r>
          </w:p>
        </w:tc>
      </w:tr>
      <w:tr w:rsidR="00A16562" w:rsidRPr="008D1AF1" w:rsidTr="00A16562">
        <w:trPr>
          <w:trHeight w:val="186"/>
        </w:trPr>
        <w:tc>
          <w:tcPr>
            <w:tcW w:w="2276" w:type="pct"/>
            <w:shd w:val="clear" w:color="auto" w:fill="auto"/>
            <w:noWrap/>
            <w:vAlign w:val="bottom"/>
            <w:hideMark/>
          </w:tcPr>
          <w:p w:rsidR="00D64114" w:rsidRPr="008D1AF1" w:rsidRDefault="00D64114" w:rsidP="00E75DF7">
            <w:pPr>
              <w:keepNext/>
              <w:keepLines/>
              <w:ind w:firstLineChars="100" w:firstLine="200"/>
              <w:jc w:val="left"/>
              <w:rPr>
                <w:rFonts w:ascii="Arial Narrow" w:hAnsi="Arial Narrow" w:cs="Calibri"/>
                <w:color w:val="000000"/>
                <w:sz w:val="20"/>
                <w:szCs w:val="20"/>
                <w:lang w:val="en-US" w:eastAsia="en-US"/>
              </w:rPr>
            </w:pPr>
            <w:r w:rsidRPr="008D1AF1">
              <w:rPr>
                <w:rFonts w:ascii="Arial Narrow" w:hAnsi="Arial Narrow" w:cs="Calibri"/>
                <w:color w:val="000000"/>
                <w:sz w:val="20"/>
                <w:szCs w:val="20"/>
                <w:lang w:val="en-US" w:eastAsia="en-US"/>
              </w:rPr>
              <w:t>1</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100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100.0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192</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100.0</w:t>
            </w:r>
          </w:p>
        </w:tc>
        <w:tc>
          <w:tcPr>
            <w:tcW w:w="454"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101</w:t>
            </w:r>
          </w:p>
        </w:tc>
        <w:tc>
          <w:tcPr>
            <w:tcW w:w="453" w:type="pct"/>
            <w:shd w:val="clear" w:color="auto" w:fill="auto"/>
            <w:noWrap/>
            <w:vAlign w:val="bottom"/>
            <w:hideMark/>
          </w:tcPr>
          <w:p w:rsidR="00D64114" w:rsidRPr="00196BBD" w:rsidRDefault="00D64114" w:rsidP="00E75DF7">
            <w:pPr>
              <w:keepNext/>
              <w:keepLines/>
              <w:jc w:val="center"/>
              <w:rPr>
                <w:rFonts w:ascii="Arial Narrow" w:hAnsi="Arial Narrow" w:cs="Calibri"/>
                <w:color w:val="000000"/>
                <w:sz w:val="20"/>
                <w:szCs w:val="20"/>
                <w:lang w:val="en-US" w:eastAsia="en-US"/>
              </w:rPr>
            </w:pPr>
            <w:r w:rsidRPr="00196BBD">
              <w:rPr>
                <w:rFonts w:ascii="Arial Narrow" w:hAnsi="Arial Narrow" w:cs="Calibri"/>
                <w:color w:val="000000"/>
                <w:sz w:val="20"/>
                <w:szCs w:val="20"/>
                <w:lang w:val="en-US" w:eastAsia="en-US"/>
              </w:rPr>
              <w:t>100.0</w:t>
            </w:r>
          </w:p>
        </w:tc>
      </w:tr>
    </w:tbl>
    <w:p w:rsidR="00896E7D" w:rsidRPr="008D1AF1" w:rsidRDefault="00D64114" w:rsidP="00896E7D">
      <w:pPr>
        <w:pStyle w:val="3-BodyText"/>
        <w:keepNext/>
        <w:keepLines/>
        <w:numPr>
          <w:ilvl w:val="0"/>
          <w:numId w:val="0"/>
        </w:numPr>
        <w:spacing w:after="0"/>
        <w:rPr>
          <w:rFonts w:ascii="Arial Narrow" w:hAnsi="Arial Narrow"/>
          <w:color w:val="000000" w:themeColor="text1"/>
          <w:sz w:val="18"/>
          <w:szCs w:val="18"/>
        </w:rPr>
      </w:pPr>
      <w:r w:rsidRPr="008D1AF1">
        <w:rPr>
          <w:rFonts w:ascii="Arial Narrow" w:hAnsi="Arial Narrow"/>
          <w:color w:val="000000" w:themeColor="text1"/>
          <w:sz w:val="18"/>
          <w:szCs w:val="18"/>
        </w:rPr>
        <w:t>Source: Table 4, p27 of C2 Analysis report</w:t>
      </w:r>
      <w:r w:rsidR="00896E7D" w:rsidRPr="008D1AF1">
        <w:rPr>
          <w:rFonts w:ascii="Arial Narrow" w:hAnsi="Arial Narrow"/>
          <w:color w:val="000000" w:themeColor="text1"/>
          <w:sz w:val="18"/>
          <w:szCs w:val="18"/>
        </w:rPr>
        <w:t xml:space="preserve"> excluding variables </w:t>
      </w:r>
      <w:r w:rsidR="00510F79" w:rsidRPr="008D1AF1">
        <w:rPr>
          <w:rFonts w:ascii="Arial Narrow" w:hAnsi="Arial Narrow"/>
          <w:color w:val="000000" w:themeColor="text1"/>
          <w:sz w:val="18"/>
          <w:szCs w:val="18"/>
        </w:rPr>
        <w:t xml:space="preserve">that did not appear to be adjusted for in the main analysis based on the ‘Parameters’ tab of the submission spreadsheet titled ‘Ribociclib March 2020 PBAC Submission_Attachment C2 Main Spreadsheet_FINAL_10Mar20.xlsm’ </w:t>
      </w:r>
      <w:r w:rsidR="00896E7D" w:rsidRPr="008D1AF1">
        <w:rPr>
          <w:rFonts w:ascii="Arial Narrow" w:hAnsi="Arial Narrow"/>
          <w:color w:val="000000" w:themeColor="text1"/>
          <w:sz w:val="18"/>
          <w:szCs w:val="18"/>
        </w:rPr>
        <w:t>(which were: receipt of prior chemotherapy in the adjuvant setting).</w:t>
      </w:r>
    </w:p>
    <w:p w:rsidR="00D64114" w:rsidRPr="008D1AF1" w:rsidRDefault="001B10B6" w:rsidP="00E75DF7">
      <w:pPr>
        <w:pStyle w:val="3-BodyText"/>
        <w:keepNext/>
        <w:keepLines/>
        <w:numPr>
          <w:ilvl w:val="0"/>
          <w:numId w:val="0"/>
        </w:numPr>
        <w:spacing w:after="240"/>
        <w:contextualSpacing/>
        <w:rPr>
          <w:rFonts w:ascii="Arial Narrow" w:hAnsi="Arial Narrow"/>
          <w:color w:val="000000" w:themeColor="text1"/>
          <w:sz w:val="18"/>
          <w:szCs w:val="18"/>
        </w:rPr>
      </w:pPr>
      <w:r w:rsidRPr="008D1AF1">
        <w:rPr>
          <w:rFonts w:ascii="Arial Narrow" w:hAnsi="Arial Narrow"/>
          <w:color w:val="000000" w:themeColor="text1"/>
          <w:sz w:val="18"/>
          <w:szCs w:val="18"/>
          <w:vertAlign w:val="superscript"/>
        </w:rPr>
        <w:t>a</w:t>
      </w:r>
      <w:r w:rsidRPr="008D1AF1">
        <w:rPr>
          <w:rFonts w:ascii="Arial Narrow" w:hAnsi="Arial Narrow"/>
          <w:color w:val="000000" w:themeColor="text1"/>
          <w:sz w:val="18"/>
          <w:szCs w:val="18"/>
        </w:rPr>
        <w:t xml:space="preserve"> Subgroup </w:t>
      </w:r>
      <w:r w:rsidR="0072530F" w:rsidRPr="008D1AF1">
        <w:rPr>
          <w:rFonts w:ascii="Arial Narrow" w:hAnsi="Arial Narrow"/>
          <w:color w:val="000000" w:themeColor="text1"/>
          <w:sz w:val="18"/>
          <w:szCs w:val="18"/>
        </w:rPr>
        <w:t>who were resistant to one line of prior endocrine therapy in the advanced/metastatic setting</w:t>
      </w:r>
    </w:p>
    <w:p w:rsidR="001B10B6" w:rsidRDefault="001B10B6" w:rsidP="00E75DF7">
      <w:pPr>
        <w:pStyle w:val="3-BodyText"/>
        <w:keepNext/>
        <w:keepLines/>
        <w:numPr>
          <w:ilvl w:val="0"/>
          <w:numId w:val="0"/>
        </w:numPr>
        <w:spacing w:after="240"/>
        <w:contextualSpacing/>
        <w:rPr>
          <w:rFonts w:ascii="Arial Narrow" w:hAnsi="Arial Narrow"/>
          <w:color w:val="000000" w:themeColor="text1"/>
          <w:sz w:val="18"/>
          <w:szCs w:val="18"/>
        </w:rPr>
      </w:pPr>
      <w:r w:rsidRPr="008D1AF1">
        <w:rPr>
          <w:rFonts w:ascii="Arial Narrow" w:hAnsi="Arial Narrow"/>
          <w:color w:val="000000" w:themeColor="text1"/>
          <w:sz w:val="18"/>
          <w:szCs w:val="18"/>
          <w:vertAlign w:val="superscript"/>
        </w:rPr>
        <w:t>b</w:t>
      </w:r>
      <w:r w:rsidRPr="008D1AF1">
        <w:rPr>
          <w:rFonts w:ascii="Arial Narrow" w:hAnsi="Arial Narrow"/>
          <w:color w:val="000000" w:themeColor="text1"/>
          <w:sz w:val="18"/>
          <w:szCs w:val="18"/>
        </w:rPr>
        <w:t xml:space="preserve"> Subgroup of second-line patients (excluding first-line patients and patients with two or more prior lines of treatment</w:t>
      </w:r>
      <w:r w:rsidR="00E07F2D" w:rsidRPr="008D1AF1">
        <w:rPr>
          <w:rFonts w:ascii="Arial Narrow" w:hAnsi="Arial Narrow"/>
          <w:color w:val="000000" w:themeColor="text1"/>
          <w:sz w:val="18"/>
          <w:szCs w:val="18"/>
        </w:rPr>
        <w:t>)</w:t>
      </w:r>
    </w:p>
    <w:p w:rsidR="00681911" w:rsidRPr="00681911" w:rsidRDefault="00681911" w:rsidP="00E75DF7">
      <w:pPr>
        <w:pStyle w:val="3-BodyText"/>
        <w:keepNext/>
        <w:keepLines/>
        <w:numPr>
          <w:ilvl w:val="0"/>
          <w:numId w:val="0"/>
        </w:numPr>
        <w:spacing w:after="240"/>
        <w:contextualSpacing/>
        <w:rPr>
          <w:rFonts w:ascii="Arial Narrow" w:hAnsi="Arial Narrow"/>
          <w:i/>
          <w:color w:val="000000" w:themeColor="text1"/>
          <w:sz w:val="18"/>
          <w:szCs w:val="18"/>
        </w:rPr>
      </w:pPr>
      <w:r w:rsidRPr="00681911">
        <w:rPr>
          <w:rFonts w:ascii="Arial Narrow" w:hAnsi="Arial Narrow"/>
          <w:i/>
          <w:color w:val="000000" w:themeColor="text1"/>
          <w:sz w:val="18"/>
          <w:szCs w:val="18"/>
        </w:rPr>
        <w:t>Note that the results presented in MAIC are derived from post-hoc analyses conducted by the applicant specifically for the purposes of informing the PBAC consideration. These analyses were not part of the pre-specified statistical plan for MONALEESA-2 or MONALEESA-</w:t>
      </w:r>
      <w:r w:rsidR="00F50980">
        <w:rPr>
          <w:rFonts w:ascii="Arial Narrow" w:hAnsi="Arial Narrow"/>
          <w:i/>
          <w:color w:val="000000" w:themeColor="text1"/>
          <w:sz w:val="18"/>
          <w:szCs w:val="18"/>
        </w:rPr>
        <w:t> </w:t>
      </w:r>
      <w:r w:rsidRPr="00681911">
        <w:rPr>
          <w:rFonts w:ascii="Arial Narrow" w:hAnsi="Arial Narrow"/>
          <w:i/>
          <w:color w:val="000000" w:themeColor="text1"/>
          <w:sz w:val="18"/>
          <w:szCs w:val="18"/>
        </w:rPr>
        <w:t>3.  Interpretation of the results and their application should therefore be limited to seeking to understand the basis for the PBAC outcome and should not be used for any other purpose.</w:t>
      </w:r>
    </w:p>
    <w:p w:rsidR="00D64114" w:rsidRPr="00606E1E" w:rsidRDefault="00D64114" w:rsidP="00D64114">
      <w:pPr>
        <w:pStyle w:val="3-BodyText"/>
        <w:numPr>
          <w:ilvl w:val="0"/>
          <w:numId w:val="0"/>
        </w:numPr>
      </w:pPr>
    </w:p>
    <w:p w:rsidR="006231BC" w:rsidRPr="00356600" w:rsidRDefault="006231BC" w:rsidP="006231BC">
      <w:pPr>
        <w:pStyle w:val="3-BodyText"/>
        <w:rPr>
          <w:color w:val="000000" w:themeColor="text1"/>
        </w:rPr>
      </w:pPr>
      <w:r w:rsidRPr="00356600">
        <w:rPr>
          <w:color w:val="000000" w:themeColor="text1"/>
        </w:rPr>
        <w:t xml:space="preserve">Kaplan-Meier plots showing weighted and unweighted PFS and OS for the second-line patients on RIBO+FULV in MONALEESA-3 and on EVE+EXE in BOLERO-2 are shown in Figure </w:t>
      </w:r>
      <w:r w:rsidR="00A63765">
        <w:rPr>
          <w:color w:val="000000" w:themeColor="text1"/>
        </w:rPr>
        <w:t>3</w:t>
      </w:r>
      <w:r w:rsidRPr="00356600">
        <w:rPr>
          <w:color w:val="000000" w:themeColor="text1"/>
        </w:rPr>
        <w:t xml:space="preserve">. </w:t>
      </w:r>
    </w:p>
    <w:p w:rsidR="006231BC" w:rsidRPr="00356600" w:rsidRDefault="006231BC" w:rsidP="006231BC">
      <w:pPr>
        <w:pStyle w:val="3-BodyText"/>
        <w:keepNext/>
        <w:numPr>
          <w:ilvl w:val="0"/>
          <w:numId w:val="0"/>
        </w:numPr>
        <w:rPr>
          <w:rStyle w:val="CommentReference"/>
        </w:rPr>
      </w:pPr>
      <w:r w:rsidRPr="00356600">
        <w:rPr>
          <w:rStyle w:val="CommentReference"/>
        </w:rPr>
        <w:t xml:space="preserve">Figure </w:t>
      </w:r>
      <w:r w:rsidR="00A63765">
        <w:rPr>
          <w:rStyle w:val="CommentReference"/>
        </w:rPr>
        <w:t>3</w:t>
      </w:r>
      <w:r w:rsidRPr="00356600">
        <w:rPr>
          <w:rStyle w:val="CommentReference"/>
        </w:rPr>
        <w:t xml:space="preserve">: Kaplan-Meier estimates of PFS and OS for second-line </w:t>
      </w:r>
      <w:r w:rsidR="0072530F">
        <w:rPr>
          <w:rStyle w:val="CommentReference"/>
        </w:rPr>
        <w:t>MAIC subgroups</w:t>
      </w:r>
      <w:r w:rsidRPr="00356600">
        <w:rPr>
          <w:rStyle w:val="CommentReference"/>
        </w:rPr>
        <w:t xml:space="preserve"> in MONALEESA-3 and BOLERO-2 (A) PFS Unweighted and (B) OS-Unweighted (C) PFS-Weighted (D) OS-Weighted</w:t>
      </w:r>
    </w:p>
    <w:p w:rsidR="006231BC" w:rsidRPr="00E13F98" w:rsidRDefault="006231BC" w:rsidP="00E13F98">
      <w:pPr>
        <w:pStyle w:val="TableFigureFooter"/>
        <w:rPr>
          <w:color w:val="000000" w:themeColor="text1"/>
        </w:rPr>
      </w:pPr>
      <w:r w:rsidRPr="00356600">
        <w:rPr>
          <w:noProof/>
          <w:color w:val="000000" w:themeColor="text1"/>
        </w:rPr>
        <w:drawing>
          <wp:inline distT="0" distB="0" distL="0" distR="0" wp14:anchorId="7BB913EF" wp14:editId="063EB5DC">
            <wp:extent cx="5730875" cy="4224655"/>
            <wp:effectExtent l="19050" t="19050" r="22225" b="2349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4224655"/>
                    </a:xfrm>
                    <a:prstGeom prst="rect">
                      <a:avLst/>
                    </a:prstGeom>
                    <a:noFill/>
                    <a:ln w="3175">
                      <a:solidFill>
                        <a:schemeClr val="tx1"/>
                      </a:solidFill>
                    </a:ln>
                  </pic:spPr>
                </pic:pic>
              </a:graphicData>
            </a:graphic>
          </wp:inline>
        </w:drawing>
      </w:r>
      <w:r w:rsidRPr="00356600">
        <w:t>EVE= everolimus; EXE= exemestane; FULV= fulvestrant; OS= overall survival; PBO= placebo; PFS= progression-free survival; RIBO= ribociclib; M3= MONALEESA-3, B2= BOLERO-2.</w:t>
      </w:r>
    </w:p>
    <w:p w:rsidR="006231BC" w:rsidRDefault="006231BC" w:rsidP="00326854">
      <w:pPr>
        <w:pStyle w:val="TableFigureFooter"/>
        <w:spacing w:after="240"/>
      </w:pPr>
      <w:r w:rsidRPr="00356600">
        <w:t>Source: Figur</w:t>
      </w:r>
      <w:r w:rsidR="00F312DB">
        <w:t>e 2-23, p161 of the submission.</w:t>
      </w:r>
    </w:p>
    <w:p w:rsidR="00F312DB" w:rsidRPr="00F312DB" w:rsidRDefault="00F312DB" w:rsidP="00326854">
      <w:pPr>
        <w:pStyle w:val="TableFigureFooter"/>
        <w:spacing w:after="240"/>
        <w:rPr>
          <w:i/>
        </w:rPr>
      </w:pPr>
      <w:r w:rsidRPr="00F312DB">
        <w:rPr>
          <w:i/>
        </w:rPr>
        <w:t>Note that the results presented in MAIC are derived from post-hoc analyses conducted by the applicant specifically for the purposes of informing the PBAC consideration. These analyses were not part of the pre-specified statistical plan for MONALEESA-2 or MONALEESA-</w:t>
      </w:r>
      <w:r w:rsidR="00F50980">
        <w:rPr>
          <w:i/>
        </w:rPr>
        <w:t> </w:t>
      </w:r>
      <w:r w:rsidRPr="00F312DB">
        <w:rPr>
          <w:i/>
        </w:rPr>
        <w:t>3.  Interpretation of the results and their application should therefore be limited to seeking to understand the basis for the PBAC outcome and should not be used for any other purpose.</w:t>
      </w:r>
    </w:p>
    <w:p w:rsidR="006231BC" w:rsidRPr="00196BBD" w:rsidRDefault="006231BC" w:rsidP="006231BC">
      <w:pPr>
        <w:pStyle w:val="3-BodyText"/>
        <w:rPr>
          <w:color w:val="000000" w:themeColor="text1"/>
        </w:rPr>
      </w:pPr>
      <w:r w:rsidRPr="00356600">
        <w:rPr>
          <w:color w:val="000000" w:themeColor="text1"/>
        </w:rPr>
        <w:t xml:space="preserve">The absolute difference in Kaplan-Meier estimated median PFS for RIBO+FULV </w:t>
      </w:r>
      <w:r w:rsidRPr="00196BBD">
        <w:rPr>
          <w:color w:val="000000" w:themeColor="text1"/>
        </w:rPr>
        <w:t>second-line endocrine-resistant subpopulation (18.8 months) vs. EVE+EXE (7.8 months) was 11.0 (95%</w:t>
      </w:r>
      <w:r w:rsidR="00046A68" w:rsidRPr="00196BBD">
        <w:rPr>
          <w:color w:val="000000" w:themeColor="text1"/>
        </w:rPr>
        <w:t xml:space="preserve"> </w:t>
      </w:r>
      <w:r w:rsidRPr="00196BBD">
        <w:rPr>
          <w:color w:val="000000" w:themeColor="text1"/>
        </w:rPr>
        <w:t>CI: 4.5, 16.0) months. After propensity score weighting, this difference increased slightly, by 1.1 months, to 12.1 months (95% CI: 5.9, 17.3).</w:t>
      </w:r>
    </w:p>
    <w:p w:rsidR="006231BC" w:rsidRPr="007E0B5F" w:rsidRDefault="006231BC" w:rsidP="006231BC">
      <w:pPr>
        <w:pStyle w:val="3-BodyText"/>
        <w:rPr>
          <w:color w:val="000000" w:themeColor="text1"/>
        </w:rPr>
      </w:pPr>
      <w:r w:rsidRPr="00196BBD">
        <w:rPr>
          <w:color w:val="000000" w:themeColor="text1"/>
        </w:rPr>
        <w:t>The absolute difference in median OS in the RIBO+FULV second-line subpopulation is not available as the estimated median has not been reached. In BOLERO-2, before propensity score weighting, the estimated median OS was 28.2 (95%C</w:t>
      </w:r>
      <w:r w:rsidR="00046A68" w:rsidRPr="00196BBD">
        <w:rPr>
          <w:color w:val="000000" w:themeColor="text1"/>
        </w:rPr>
        <w:t xml:space="preserve"> </w:t>
      </w:r>
      <w:r w:rsidRPr="00196BBD">
        <w:rPr>
          <w:color w:val="000000" w:themeColor="text1"/>
        </w:rPr>
        <w:t xml:space="preserve">I: 25.5, 34.3) months for EVE+EXE. After propensity score weighting, the estimated median OS was almost unchanged, at 28.2 (95%CI: 24.1, 33.9) months. </w:t>
      </w:r>
      <w:r w:rsidRPr="00196BBD">
        <w:rPr>
          <w:iCs/>
        </w:rPr>
        <w:t>Given</w:t>
      </w:r>
      <w:r w:rsidRPr="007E0B5F">
        <w:rPr>
          <w:iCs/>
        </w:rPr>
        <w:t xml:space="preserve"> the next analysis date for MONALEESA-3 is the second half of 2020, the updated analysis </w:t>
      </w:r>
      <w:r w:rsidR="00046A68">
        <w:rPr>
          <w:iCs/>
        </w:rPr>
        <w:t>may</w:t>
      </w:r>
      <w:r w:rsidR="00046A68" w:rsidRPr="007E0B5F">
        <w:rPr>
          <w:iCs/>
        </w:rPr>
        <w:t xml:space="preserve"> </w:t>
      </w:r>
      <w:r w:rsidRPr="007E0B5F">
        <w:rPr>
          <w:iCs/>
        </w:rPr>
        <w:t>provide a more precise estimate of the relative OS effectiveness of RIBO+FULV.</w:t>
      </w:r>
    </w:p>
    <w:p w:rsidR="004B4D6A" w:rsidRDefault="006231BC" w:rsidP="004B4D6A">
      <w:pPr>
        <w:pStyle w:val="3-BodyText"/>
        <w:rPr>
          <w:color w:val="000000" w:themeColor="text1"/>
        </w:rPr>
      </w:pPr>
      <w:r w:rsidRPr="00356600">
        <w:rPr>
          <w:color w:val="000000" w:themeColor="text1"/>
        </w:rPr>
        <w:t xml:space="preserve">Results representing Cox proportional hazards regressions for both PFS and OS in the second-line setting in MONALEESA-3 vs BOLERO-2 are presented in Table </w:t>
      </w:r>
      <w:r w:rsidR="00EE094F">
        <w:rPr>
          <w:color w:val="000000" w:themeColor="text1"/>
        </w:rPr>
        <w:t>8</w:t>
      </w:r>
      <w:r w:rsidRPr="00356600">
        <w:rPr>
          <w:color w:val="000000" w:themeColor="text1"/>
        </w:rPr>
        <w:t xml:space="preserve">. The hazard ratios </w:t>
      </w:r>
      <w:r w:rsidR="00E13F98">
        <w:rPr>
          <w:color w:val="000000" w:themeColor="text1"/>
        </w:rPr>
        <w:t xml:space="preserve">shaded </w:t>
      </w:r>
      <w:r w:rsidR="00FA6C90">
        <w:rPr>
          <w:color w:val="000000" w:themeColor="text1"/>
        </w:rPr>
        <w:t xml:space="preserve">in </w:t>
      </w:r>
      <w:r w:rsidR="00E13F98">
        <w:rPr>
          <w:color w:val="000000" w:themeColor="text1"/>
        </w:rPr>
        <w:t>blue in</w:t>
      </w:r>
      <w:r w:rsidR="00E13F98" w:rsidRPr="00E35A21">
        <w:rPr>
          <w:color w:val="000000" w:themeColor="text1"/>
        </w:rPr>
        <w:t xml:space="preserve"> </w:t>
      </w:r>
      <w:r w:rsidRPr="00356600">
        <w:rPr>
          <w:color w:val="000000" w:themeColor="text1"/>
        </w:rPr>
        <w:t xml:space="preserve">Table </w:t>
      </w:r>
      <w:r w:rsidR="00EE094F">
        <w:rPr>
          <w:color w:val="000000" w:themeColor="text1"/>
        </w:rPr>
        <w:t>8</w:t>
      </w:r>
      <w:r w:rsidR="00E13F98" w:rsidRPr="00356600">
        <w:rPr>
          <w:color w:val="000000" w:themeColor="text1"/>
        </w:rPr>
        <w:t xml:space="preserve"> </w:t>
      </w:r>
      <w:r w:rsidR="00AD520B">
        <w:rPr>
          <w:color w:val="000000" w:themeColor="text1"/>
        </w:rPr>
        <w:t>formed the basis of the clinical claims and</w:t>
      </w:r>
      <w:r w:rsidR="005E5E03">
        <w:rPr>
          <w:color w:val="000000" w:themeColor="text1"/>
        </w:rPr>
        <w:t xml:space="preserve"> </w:t>
      </w:r>
      <w:r w:rsidRPr="00356600">
        <w:rPr>
          <w:color w:val="000000" w:themeColor="text1"/>
        </w:rPr>
        <w:t>were a</w:t>
      </w:r>
      <w:r w:rsidR="00285E9C">
        <w:rPr>
          <w:color w:val="000000" w:themeColor="text1"/>
        </w:rPr>
        <w:t>ppli</w:t>
      </w:r>
      <w:r w:rsidRPr="00356600">
        <w:rPr>
          <w:color w:val="000000" w:themeColor="text1"/>
        </w:rPr>
        <w:t>ed in the base case analys</w:t>
      </w:r>
      <w:r w:rsidR="00D63E98">
        <w:rPr>
          <w:color w:val="000000" w:themeColor="text1"/>
        </w:rPr>
        <w:t>i</w:t>
      </w:r>
      <w:r w:rsidRPr="00356600">
        <w:rPr>
          <w:color w:val="000000" w:themeColor="text1"/>
        </w:rPr>
        <w:t>s</w:t>
      </w:r>
      <w:r w:rsidR="005E5E03">
        <w:rPr>
          <w:color w:val="000000" w:themeColor="text1"/>
        </w:rPr>
        <w:t xml:space="preserve"> in the </w:t>
      </w:r>
      <w:r w:rsidR="00D63E98">
        <w:rPr>
          <w:color w:val="000000" w:themeColor="text1"/>
        </w:rPr>
        <w:t>cost-utility</w:t>
      </w:r>
      <w:r w:rsidR="005E5E03">
        <w:rPr>
          <w:color w:val="000000" w:themeColor="text1"/>
        </w:rPr>
        <w:t xml:space="preserve"> model</w:t>
      </w:r>
      <w:r w:rsidRPr="00356600">
        <w:rPr>
          <w:color w:val="000000" w:themeColor="text1"/>
        </w:rPr>
        <w:t>.</w:t>
      </w:r>
    </w:p>
    <w:p w:rsidR="006231BC" w:rsidRPr="00356600" w:rsidRDefault="006231BC" w:rsidP="006231BC">
      <w:pPr>
        <w:pStyle w:val="3-BodyText"/>
        <w:keepNext/>
        <w:numPr>
          <w:ilvl w:val="0"/>
          <w:numId w:val="0"/>
        </w:numPr>
        <w:spacing w:after="0"/>
        <w:rPr>
          <w:rStyle w:val="CommentReference"/>
        </w:rPr>
      </w:pPr>
      <w:r w:rsidRPr="00356600">
        <w:rPr>
          <w:rStyle w:val="CommentReference"/>
        </w:rPr>
        <w:t xml:space="preserve">Table </w:t>
      </w:r>
      <w:r w:rsidR="00EE094F">
        <w:rPr>
          <w:rStyle w:val="CommentReference"/>
        </w:rPr>
        <w:t>8</w:t>
      </w:r>
      <w:r w:rsidRPr="00356600">
        <w:rPr>
          <w:rStyle w:val="CommentReference"/>
        </w:rPr>
        <w:t xml:space="preserve">: Results of Cox proportional hazards regressions for PFS and OS for </w:t>
      </w:r>
      <w:r w:rsidR="00901578">
        <w:rPr>
          <w:rStyle w:val="CommentReference"/>
        </w:rPr>
        <w:t>una</w:t>
      </w:r>
      <w:r w:rsidR="003F4D02">
        <w:rPr>
          <w:rStyle w:val="CommentReference"/>
        </w:rPr>
        <w:t>nchore</w:t>
      </w:r>
      <w:r w:rsidR="00901578">
        <w:rPr>
          <w:rStyle w:val="CommentReference"/>
        </w:rPr>
        <w:t>d MAIC in the second-line setting</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1128"/>
        <w:gridCol w:w="1535"/>
        <w:gridCol w:w="1559"/>
        <w:gridCol w:w="709"/>
        <w:gridCol w:w="850"/>
        <w:gridCol w:w="993"/>
        <w:gridCol w:w="1134"/>
      </w:tblGrid>
      <w:tr w:rsidR="00BE06E4" w:rsidRPr="00356600" w:rsidTr="00D62003">
        <w:trPr>
          <w:trHeight w:val="204"/>
          <w:tblHeader/>
        </w:trPr>
        <w:tc>
          <w:tcPr>
            <w:tcW w:w="1018" w:type="dxa"/>
            <w:vMerge w:val="restart"/>
            <w:shd w:val="clear" w:color="auto" w:fill="auto"/>
            <w:noWrap/>
            <w:vAlign w:val="center"/>
            <w:hideMark/>
          </w:tcPr>
          <w:p w:rsidR="00BE06E4" w:rsidRPr="00356600" w:rsidRDefault="00BE06E4" w:rsidP="00D62003">
            <w:pPr>
              <w:pStyle w:val="3-BodyText"/>
              <w:numPr>
                <w:ilvl w:val="0"/>
                <w:numId w:val="0"/>
              </w:numPr>
              <w:spacing w:after="0"/>
              <w:jc w:val="left"/>
              <w:rPr>
                <w:rFonts w:ascii="Arial Narrow" w:hAnsi="Arial Narrow"/>
                <w:b/>
                <w:color w:val="000000" w:themeColor="text1"/>
                <w:sz w:val="20"/>
                <w:szCs w:val="20"/>
                <w:lang w:bidi="en-US"/>
              </w:rPr>
            </w:pPr>
            <w:r w:rsidRPr="00356600">
              <w:rPr>
                <w:rFonts w:ascii="Arial Narrow" w:hAnsi="Arial Narrow"/>
                <w:b/>
                <w:color w:val="000000" w:themeColor="text1"/>
                <w:sz w:val="20"/>
                <w:szCs w:val="20"/>
                <w:lang w:bidi="en-US"/>
              </w:rPr>
              <w:t>Endpoint</w:t>
            </w:r>
          </w:p>
        </w:tc>
        <w:tc>
          <w:tcPr>
            <w:tcW w:w="1128" w:type="dxa"/>
            <w:vMerge w:val="restart"/>
            <w:shd w:val="clear" w:color="auto" w:fill="auto"/>
            <w:noWrap/>
            <w:vAlign w:val="center"/>
            <w:hideMark/>
          </w:tcPr>
          <w:p w:rsidR="00BE06E4" w:rsidRPr="00356600" w:rsidRDefault="00BE06E4" w:rsidP="00D62003">
            <w:pPr>
              <w:pStyle w:val="3-BodyText"/>
              <w:numPr>
                <w:ilvl w:val="0"/>
                <w:numId w:val="0"/>
              </w:numPr>
              <w:spacing w:after="0"/>
              <w:jc w:val="center"/>
              <w:rPr>
                <w:rFonts w:ascii="Arial Narrow" w:hAnsi="Arial Narrow"/>
                <w:b/>
                <w:color w:val="000000" w:themeColor="text1"/>
                <w:sz w:val="20"/>
                <w:szCs w:val="20"/>
                <w:lang w:bidi="en-US"/>
              </w:rPr>
            </w:pPr>
            <w:r w:rsidRPr="00356600">
              <w:rPr>
                <w:rFonts w:ascii="Arial Narrow" w:hAnsi="Arial Narrow"/>
                <w:b/>
                <w:color w:val="000000" w:themeColor="text1"/>
                <w:sz w:val="20"/>
                <w:szCs w:val="20"/>
                <w:lang w:bidi="en-US"/>
              </w:rPr>
              <w:t>Weighted?</w:t>
            </w:r>
          </w:p>
        </w:tc>
        <w:tc>
          <w:tcPr>
            <w:tcW w:w="3094" w:type="dxa"/>
            <w:gridSpan w:val="2"/>
            <w:vMerge w:val="restart"/>
            <w:shd w:val="clear" w:color="auto" w:fill="auto"/>
            <w:noWrap/>
            <w:vAlign w:val="center"/>
            <w:hideMark/>
          </w:tcPr>
          <w:p w:rsidR="00BE06E4" w:rsidRPr="00356600" w:rsidRDefault="00BE06E4" w:rsidP="00D62003">
            <w:pPr>
              <w:pStyle w:val="3-BodyText"/>
              <w:numPr>
                <w:ilvl w:val="0"/>
                <w:numId w:val="0"/>
              </w:numPr>
              <w:spacing w:after="0"/>
              <w:jc w:val="center"/>
              <w:rPr>
                <w:rFonts w:ascii="Arial Narrow" w:hAnsi="Arial Narrow"/>
                <w:b/>
                <w:color w:val="000000" w:themeColor="text1"/>
                <w:sz w:val="20"/>
                <w:szCs w:val="20"/>
                <w:lang w:bidi="en-US"/>
              </w:rPr>
            </w:pPr>
            <w:r w:rsidRPr="00356600">
              <w:rPr>
                <w:rFonts w:ascii="Arial Narrow" w:hAnsi="Arial Narrow"/>
                <w:b/>
                <w:color w:val="000000" w:themeColor="text1"/>
                <w:sz w:val="20"/>
                <w:szCs w:val="20"/>
                <w:lang w:bidi="en-US"/>
              </w:rPr>
              <w:t>Arms</w:t>
            </w:r>
          </w:p>
        </w:tc>
        <w:tc>
          <w:tcPr>
            <w:tcW w:w="3686" w:type="dxa"/>
            <w:gridSpan w:val="4"/>
            <w:shd w:val="clear" w:color="auto" w:fill="auto"/>
            <w:noWrap/>
            <w:vAlign w:val="center"/>
            <w:hideMark/>
          </w:tcPr>
          <w:p w:rsidR="00BE06E4" w:rsidRPr="00356600" w:rsidRDefault="00BE06E4" w:rsidP="00D62003">
            <w:pPr>
              <w:pStyle w:val="3-BodyText"/>
              <w:numPr>
                <w:ilvl w:val="0"/>
                <w:numId w:val="0"/>
              </w:numPr>
              <w:spacing w:after="0"/>
              <w:jc w:val="center"/>
              <w:rPr>
                <w:rFonts w:ascii="Arial Narrow" w:hAnsi="Arial Narrow"/>
                <w:b/>
                <w:color w:val="000000" w:themeColor="text1"/>
                <w:sz w:val="20"/>
                <w:szCs w:val="20"/>
                <w:lang w:bidi="en-US"/>
              </w:rPr>
            </w:pPr>
            <w:r w:rsidRPr="00356600">
              <w:rPr>
                <w:rFonts w:ascii="Arial Narrow" w:hAnsi="Arial Narrow"/>
                <w:b/>
                <w:color w:val="000000" w:themeColor="text1"/>
                <w:sz w:val="20"/>
                <w:szCs w:val="20"/>
                <w:lang w:bidi="en-US"/>
              </w:rPr>
              <w:t>Cox Regression</w:t>
            </w:r>
          </w:p>
        </w:tc>
      </w:tr>
      <w:tr w:rsidR="00D62003" w:rsidRPr="00356600" w:rsidTr="00D62003">
        <w:trPr>
          <w:trHeight w:val="204"/>
          <w:tblHeader/>
        </w:trPr>
        <w:tc>
          <w:tcPr>
            <w:tcW w:w="1018" w:type="dxa"/>
            <w:vMerge/>
            <w:shd w:val="clear" w:color="auto" w:fill="auto"/>
            <w:vAlign w:val="center"/>
            <w:hideMark/>
          </w:tcPr>
          <w:p w:rsidR="00D62003" w:rsidRPr="00356600" w:rsidRDefault="00D62003" w:rsidP="00D62003">
            <w:pPr>
              <w:pStyle w:val="3-BodyText"/>
              <w:numPr>
                <w:ilvl w:val="0"/>
                <w:numId w:val="0"/>
              </w:numPr>
              <w:spacing w:after="0"/>
              <w:jc w:val="left"/>
              <w:rPr>
                <w:rFonts w:ascii="Arial Narrow" w:hAnsi="Arial Narrow"/>
                <w:b/>
                <w:color w:val="000000" w:themeColor="text1"/>
                <w:sz w:val="20"/>
                <w:szCs w:val="20"/>
                <w:lang w:bidi="en-US"/>
              </w:rPr>
            </w:pPr>
          </w:p>
        </w:tc>
        <w:tc>
          <w:tcPr>
            <w:tcW w:w="1128" w:type="dxa"/>
            <w:vMerge/>
            <w:shd w:val="clear" w:color="auto" w:fill="auto"/>
            <w:vAlign w:val="center"/>
            <w:hideMark/>
          </w:tcPr>
          <w:p w:rsidR="00D62003" w:rsidRPr="00356600" w:rsidRDefault="00D62003" w:rsidP="00D62003">
            <w:pPr>
              <w:pStyle w:val="3-BodyText"/>
              <w:numPr>
                <w:ilvl w:val="0"/>
                <w:numId w:val="0"/>
              </w:numPr>
              <w:spacing w:after="0"/>
              <w:jc w:val="center"/>
              <w:rPr>
                <w:rFonts w:ascii="Arial Narrow" w:hAnsi="Arial Narrow"/>
                <w:b/>
                <w:color w:val="000000" w:themeColor="text1"/>
                <w:sz w:val="20"/>
                <w:szCs w:val="20"/>
                <w:lang w:bidi="en-US"/>
              </w:rPr>
            </w:pPr>
          </w:p>
        </w:tc>
        <w:tc>
          <w:tcPr>
            <w:tcW w:w="3094" w:type="dxa"/>
            <w:gridSpan w:val="2"/>
            <w:vMerge/>
            <w:shd w:val="clear" w:color="auto" w:fill="auto"/>
            <w:vAlign w:val="center"/>
            <w:hideMark/>
          </w:tcPr>
          <w:p w:rsidR="00D62003" w:rsidRPr="00356600" w:rsidRDefault="00D62003" w:rsidP="00D62003">
            <w:pPr>
              <w:pStyle w:val="3-BodyText"/>
              <w:numPr>
                <w:ilvl w:val="0"/>
                <w:numId w:val="0"/>
              </w:numPr>
              <w:spacing w:after="0"/>
              <w:jc w:val="center"/>
              <w:rPr>
                <w:rFonts w:ascii="Arial Narrow" w:hAnsi="Arial Narrow"/>
                <w:b/>
                <w:color w:val="000000" w:themeColor="text1"/>
                <w:sz w:val="20"/>
                <w:szCs w:val="20"/>
                <w:lang w:bidi="en-US"/>
              </w:rPr>
            </w:pPr>
          </w:p>
        </w:tc>
        <w:tc>
          <w:tcPr>
            <w:tcW w:w="709" w:type="dxa"/>
            <w:vMerge w:val="restart"/>
            <w:shd w:val="clear" w:color="auto" w:fill="auto"/>
            <w:noWrap/>
            <w:vAlign w:val="center"/>
            <w:hideMark/>
          </w:tcPr>
          <w:p w:rsidR="00D62003" w:rsidRPr="00356600" w:rsidRDefault="00D62003" w:rsidP="00D62003">
            <w:pPr>
              <w:pStyle w:val="3-BodyText"/>
              <w:numPr>
                <w:ilvl w:val="0"/>
                <w:numId w:val="0"/>
              </w:numPr>
              <w:spacing w:after="0"/>
              <w:jc w:val="center"/>
              <w:rPr>
                <w:rFonts w:ascii="Arial Narrow" w:hAnsi="Arial Narrow"/>
                <w:b/>
                <w:color w:val="000000" w:themeColor="text1"/>
                <w:sz w:val="20"/>
                <w:szCs w:val="20"/>
                <w:lang w:bidi="en-US"/>
              </w:rPr>
            </w:pPr>
            <w:r w:rsidRPr="00356600">
              <w:rPr>
                <w:rFonts w:ascii="Arial Narrow" w:hAnsi="Arial Narrow"/>
                <w:b/>
                <w:color w:val="000000" w:themeColor="text1"/>
                <w:sz w:val="20"/>
                <w:szCs w:val="20"/>
                <w:lang w:bidi="en-US"/>
              </w:rPr>
              <w:t>HR</w:t>
            </w:r>
          </w:p>
        </w:tc>
        <w:tc>
          <w:tcPr>
            <w:tcW w:w="1843" w:type="dxa"/>
            <w:gridSpan w:val="2"/>
            <w:shd w:val="clear" w:color="auto" w:fill="auto"/>
            <w:noWrap/>
            <w:vAlign w:val="center"/>
            <w:hideMark/>
          </w:tcPr>
          <w:p w:rsidR="00D62003" w:rsidRPr="00356600" w:rsidRDefault="00D62003" w:rsidP="00D62003">
            <w:pPr>
              <w:pStyle w:val="3-BodyText"/>
              <w:numPr>
                <w:ilvl w:val="0"/>
                <w:numId w:val="0"/>
              </w:numPr>
              <w:spacing w:after="0"/>
              <w:jc w:val="center"/>
              <w:rPr>
                <w:rFonts w:ascii="Arial Narrow" w:hAnsi="Arial Narrow"/>
                <w:b/>
                <w:color w:val="000000" w:themeColor="text1"/>
                <w:sz w:val="20"/>
                <w:szCs w:val="20"/>
                <w:lang w:bidi="en-US"/>
              </w:rPr>
            </w:pPr>
            <w:r w:rsidRPr="00356600">
              <w:rPr>
                <w:rFonts w:ascii="Arial Narrow" w:hAnsi="Arial Narrow"/>
                <w:b/>
                <w:color w:val="000000" w:themeColor="text1"/>
                <w:sz w:val="20"/>
                <w:szCs w:val="20"/>
                <w:lang w:bidi="en-US"/>
              </w:rPr>
              <w:t>95% CI</w:t>
            </w:r>
          </w:p>
        </w:tc>
        <w:tc>
          <w:tcPr>
            <w:tcW w:w="1134" w:type="dxa"/>
            <w:vMerge w:val="restart"/>
            <w:shd w:val="clear" w:color="auto" w:fill="auto"/>
            <w:noWrap/>
            <w:vAlign w:val="center"/>
            <w:hideMark/>
          </w:tcPr>
          <w:p w:rsidR="00D62003" w:rsidRPr="00356600" w:rsidRDefault="00D62003" w:rsidP="00D62003">
            <w:pPr>
              <w:pStyle w:val="3-BodyText"/>
              <w:numPr>
                <w:ilvl w:val="0"/>
                <w:numId w:val="0"/>
              </w:numPr>
              <w:spacing w:after="0"/>
              <w:jc w:val="center"/>
              <w:rPr>
                <w:rFonts w:ascii="Arial Narrow" w:hAnsi="Arial Narrow"/>
                <w:b/>
                <w:color w:val="000000" w:themeColor="text1"/>
                <w:sz w:val="20"/>
                <w:szCs w:val="20"/>
                <w:lang w:bidi="en-US"/>
              </w:rPr>
            </w:pPr>
            <w:r w:rsidRPr="00356600">
              <w:rPr>
                <w:rFonts w:ascii="Arial Narrow" w:hAnsi="Arial Narrow"/>
                <w:b/>
                <w:color w:val="000000" w:themeColor="text1"/>
                <w:sz w:val="20"/>
                <w:szCs w:val="20"/>
                <w:lang w:bidi="en-US"/>
              </w:rPr>
              <w:t>P-value</w:t>
            </w:r>
          </w:p>
        </w:tc>
      </w:tr>
      <w:tr w:rsidR="00D62003" w:rsidRPr="00356600" w:rsidTr="00D62003">
        <w:trPr>
          <w:trHeight w:val="204"/>
          <w:tblHeader/>
        </w:trPr>
        <w:tc>
          <w:tcPr>
            <w:tcW w:w="1018" w:type="dxa"/>
            <w:vMerge/>
            <w:shd w:val="clear" w:color="auto" w:fill="auto"/>
            <w:vAlign w:val="center"/>
            <w:hideMark/>
          </w:tcPr>
          <w:p w:rsidR="00D62003" w:rsidRPr="00356600" w:rsidRDefault="00D62003" w:rsidP="00D62003">
            <w:pPr>
              <w:pStyle w:val="3-BodyText"/>
              <w:numPr>
                <w:ilvl w:val="0"/>
                <w:numId w:val="0"/>
              </w:numPr>
              <w:spacing w:after="0"/>
              <w:jc w:val="left"/>
              <w:rPr>
                <w:rFonts w:ascii="Arial Narrow" w:hAnsi="Arial Narrow"/>
                <w:b/>
                <w:color w:val="000000" w:themeColor="text1"/>
                <w:sz w:val="20"/>
                <w:szCs w:val="20"/>
                <w:lang w:bidi="en-US"/>
              </w:rPr>
            </w:pPr>
          </w:p>
        </w:tc>
        <w:tc>
          <w:tcPr>
            <w:tcW w:w="1128" w:type="dxa"/>
            <w:vMerge/>
            <w:shd w:val="clear" w:color="auto" w:fill="auto"/>
            <w:vAlign w:val="center"/>
            <w:hideMark/>
          </w:tcPr>
          <w:p w:rsidR="00D62003" w:rsidRPr="00356600" w:rsidRDefault="00D62003" w:rsidP="00D62003">
            <w:pPr>
              <w:pStyle w:val="3-BodyText"/>
              <w:numPr>
                <w:ilvl w:val="0"/>
                <w:numId w:val="0"/>
              </w:numPr>
              <w:spacing w:after="0"/>
              <w:jc w:val="center"/>
              <w:rPr>
                <w:rFonts w:ascii="Arial Narrow" w:hAnsi="Arial Narrow"/>
                <w:b/>
                <w:color w:val="000000" w:themeColor="text1"/>
                <w:sz w:val="20"/>
                <w:szCs w:val="20"/>
                <w:lang w:bidi="en-US"/>
              </w:rPr>
            </w:pPr>
          </w:p>
        </w:tc>
        <w:tc>
          <w:tcPr>
            <w:tcW w:w="1535" w:type="dxa"/>
            <w:shd w:val="clear" w:color="auto" w:fill="auto"/>
            <w:noWrap/>
            <w:hideMark/>
          </w:tcPr>
          <w:p w:rsidR="00D62003" w:rsidRPr="00356600" w:rsidRDefault="00D62003" w:rsidP="00D62003">
            <w:pPr>
              <w:pStyle w:val="3-BodyText"/>
              <w:numPr>
                <w:ilvl w:val="0"/>
                <w:numId w:val="0"/>
              </w:numPr>
              <w:spacing w:after="0"/>
              <w:jc w:val="left"/>
              <w:rPr>
                <w:rFonts w:ascii="Arial Narrow" w:hAnsi="Arial Narrow"/>
                <w:b/>
                <w:color w:val="000000" w:themeColor="text1"/>
                <w:sz w:val="20"/>
                <w:szCs w:val="20"/>
                <w:lang w:bidi="en-US"/>
              </w:rPr>
            </w:pPr>
            <w:r w:rsidRPr="001E11C6">
              <w:rPr>
                <w:rFonts w:ascii="Arial Narrow" w:hAnsi="Arial Narrow"/>
                <w:b/>
                <w:bCs/>
                <w:color w:val="000000" w:themeColor="text1"/>
                <w:sz w:val="20"/>
                <w:szCs w:val="20"/>
                <w:lang w:bidi="en-US"/>
              </w:rPr>
              <w:t>Active (N=100)</w:t>
            </w:r>
          </w:p>
        </w:tc>
        <w:tc>
          <w:tcPr>
            <w:tcW w:w="1559" w:type="dxa"/>
            <w:shd w:val="clear" w:color="auto" w:fill="auto"/>
            <w:noWrap/>
            <w:hideMark/>
          </w:tcPr>
          <w:p w:rsidR="00D62003" w:rsidRPr="00356600" w:rsidRDefault="00D62003" w:rsidP="00D62003">
            <w:pPr>
              <w:pStyle w:val="3-BodyText"/>
              <w:numPr>
                <w:ilvl w:val="0"/>
                <w:numId w:val="0"/>
              </w:numPr>
              <w:spacing w:after="0"/>
              <w:jc w:val="left"/>
              <w:rPr>
                <w:rFonts w:ascii="Arial Narrow" w:hAnsi="Arial Narrow"/>
                <w:b/>
                <w:color w:val="000000" w:themeColor="text1"/>
                <w:sz w:val="20"/>
                <w:szCs w:val="20"/>
                <w:lang w:bidi="en-US"/>
              </w:rPr>
            </w:pPr>
            <w:r w:rsidRPr="001E11C6">
              <w:rPr>
                <w:rFonts w:ascii="Arial Narrow" w:hAnsi="Arial Narrow"/>
                <w:b/>
                <w:bCs/>
                <w:color w:val="000000" w:themeColor="text1"/>
                <w:sz w:val="20"/>
                <w:szCs w:val="20"/>
                <w:lang w:bidi="en-US"/>
              </w:rPr>
              <w:t>Comp (N= 192</w:t>
            </w:r>
            <w:r>
              <w:rPr>
                <w:rFonts w:ascii="Arial Narrow" w:hAnsi="Arial Narrow"/>
                <w:b/>
                <w:bCs/>
                <w:color w:val="000000" w:themeColor="text1"/>
                <w:sz w:val="20"/>
                <w:szCs w:val="20"/>
                <w:lang w:bidi="en-US"/>
              </w:rPr>
              <w:t>*</w:t>
            </w:r>
            <w:r w:rsidRPr="001E11C6">
              <w:rPr>
                <w:rFonts w:ascii="Arial Narrow" w:hAnsi="Arial Narrow"/>
                <w:b/>
                <w:bCs/>
                <w:color w:val="000000" w:themeColor="text1"/>
                <w:sz w:val="20"/>
                <w:szCs w:val="20"/>
                <w:lang w:bidi="en-US"/>
              </w:rPr>
              <w:t>)</w:t>
            </w:r>
          </w:p>
        </w:tc>
        <w:tc>
          <w:tcPr>
            <w:tcW w:w="709" w:type="dxa"/>
            <w:vMerge/>
            <w:shd w:val="clear" w:color="auto" w:fill="auto"/>
            <w:vAlign w:val="center"/>
            <w:hideMark/>
          </w:tcPr>
          <w:p w:rsidR="00D62003" w:rsidRPr="00356600" w:rsidRDefault="00D62003" w:rsidP="00D62003">
            <w:pPr>
              <w:pStyle w:val="3-BodyText"/>
              <w:numPr>
                <w:ilvl w:val="0"/>
                <w:numId w:val="0"/>
              </w:numPr>
              <w:spacing w:after="0"/>
              <w:jc w:val="center"/>
              <w:rPr>
                <w:rFonts w:ascii="Arial Narrow" w:hAnsi="Arial Narrow"/>
                <w:b/>
                <w:color w:val="000000" w:themeColor="text1"/>
                <w:sz w:val="20"/>
                <w:szCs w:val="20"/>
                <w:lang w:bidi="en-US"/>
              </w:rPr>
            </w:pPr>
          </w:p>
        </w:tc>
        <w:tc>
          <w:tcPr>
            <w:tcW w:w="850" w:type="dxa"/>
            <w:shd w:val="clear" w:color="auto" w:fill="auto"/>
            <w:noWrap/>
            <w:vAlign w:val="center"/>
            <w:hideMark/>
          </w:tcPr>
          <w:p w:rsidR="00D62003" w:rsidRPr="00356600" w:rsidRDefault="00D62003" w:rsidP="00D62003">
            <w:pPr>
              <w:pStyle w:val="3-BodyText"/>
              <w:numPr>
                <w:ilvl w:val="0"/>
                <w:numId w:val="0"/>
              </w:numPr>
              <w:spacing w:after="0"/>
              <w:jc w:val="center"/>
              <w:rPr>
                <w:rFonts w:ascii="Arial Narrow" w:hAnsi="Arial Narrow"/>
                <w:b/>
                <w:color w:val="000000" w:themeColor="text1"/>
                <w:sz w:val="20"/>
                <w:szCs w:val="20"/>
                <w:lang w:bidi="en-US"/>
              </w:rPr>
            </w:pPr>
            <w:r w:rsidRPr="00356600">
              <w:rPr>
                <w:rFonts w:ascii="Arial Narrow" w:hAnsi="Arial Narrow"/>
                <w:b/>
                <w:color w:val="000000" w:themeColor="text1"/>
                <w:sz w:val="20"/>
                <w:szCs w:val="20"/>
                <w:lang w:bidi="en-US"/>
              </w:rPr>
              <w:t>Lower</w:t>
            </w:r>
          </w:p>
        </w:tc>
        <w:tc>
          <w:tcPr>
            <w:tcW w:w="993" w:type="dxa"/>
            <w:shd w:val="clear" w:color="auto" w:fill="auto"/>
            <w:noWrap/>
            <w:vAlign w:val="center"/>
            <w:hideMark/>
          </w:tcPr>
          <w:p w:rsidR="00D62003" w:rsidRPr="00356600" w:rsidRDefault="00D62003" w:rsidP="00D62003">
            <w:pPr>
              <w:pStyle w:val="3-BodyText"/>
              <w:numPr>
                <w:ilvl w:val="0"/>
                <w:numId w:val="0"/>
              </w:numPr>
              <w:spacing w:after="0"/>
              <w:jc w:val="center"/>
              <w:rPr>
                <w:rFonts w:ascii="Arial Narrow" w:hAnsi="Arial Narrow"/>
                <w:b/>
                <w:color w:val="000000" w:themeColor="text1"/>
                <w:sz w:val="20"/>
                <w:szCs w:val="20"/>
                <w:lang w:bidi="en-US"/>
              </w:rPr>
            </w:pPr>
            <w:r w:rsidRPr="00356600">
              <w:rPr>
                <w:rFonts w:ascii="Arial Narrow" w:hAnsi="Arial Narrow"/>
                <w:b/>
                <w:color w:val="000000" w:themeColor="text1"/>
                <w:sz w:val="20"/>
                <w:szCs w:val="20"/>
                <w:lang w:bidi="en-US"/>
              </w:rPr>
              <w:t>Upper</w:t>
            </w:r>
          </w:p>
        </w:tc>
        <w:tc>
          <w:tcPr>
            <w:tcW w:w="1134" w:type="dxa"/>
            <w:vMerge/>
            <w:shd w:val="clear" w:color="auto" w:fill="auto"/>
            <w:vAlign w:val="center"/>
            <w:hideMark/>
          </w:tcPr>
          <w:p w:rsidR="00D62003" w:rsidRPr="00356600" w:rsidRDefault="00D62003" w:rsidP="00D62003">
            <w:pPr>
              <w:pStyle w:val="3-BodyText"/>
              <w:numPr>
                <w:ilvl w:val="0"/>
                <w:numId w:val="0"/>
              </w:numPr>
              <w:spacing w:after="0"/>
              <w:jc w:val="center"/>
              <w:rPr>
                <w:rFonts w:ascii="Arial Narrow" w:hAnsi="Arial Narrow"/>
                <w:b/>
                <w:color w:val="000000" w:themeColor="text1"/>
                <w:sz w:val="20"/>
                <w:szCs w:val="20"/>
                <w:lang w:bidi="en-US"/>
              </w:rPr>
            </w:pPr>
          </w:p>
        </w:tc>
      </w:tr>
      <w:tr w:rsidR="001E11C6" w:rsidRPr="00356600" w:rsidTr="00D62003">
        <w:trPr>
          <w:trHeight w:val="204"/>
        </w:trPr>
        <w:tc>
          <w:tcPr>
            <w:tcW w:w="8926" w:type="dxa"/>
            <w:gridSpan w:val="8"/>
            <w:shd w:val="clear" w:color="auto" w:fill="auto"/>
            <w:noWrap/>
            <w:vAlign w:val="center"/>
          </w:tcPr>
          <w:p w:rsidR="001E11C6" w:rsidRDefault="001E11C6" w:rsidP="00D62003">
            <w:pPr>
              <w:pStyle w:val="3-BodyText"/>
              <w:numPr>
                <w:ilvl w:val="0"/>
                <w:numId w:val="0"/>
              </w:numPr>
              <w:spacing w:after="0"/>
              <w:jc w:val="left"/>
              <w:rPr>
                <w:rFonts w:ascii="Arial Narrow" w:hAnsi="Arial Narrow"/>
                <w:color w:val="000000" w:themeColor="text1"/>
                <w:sz w:val="20"/>
                <w:szCs w:val="20"/>
                <w:lang w:bidi="en-US"/>
              </w:rPr>
            </w:pPr>
            <w:r>
              <w:rPr>
                <w:rFonts w:ascii="Arial Narrow" w:hAnsi="Arial Narrow"/>
                <w:b/>
                <w:bCs/>
                <w:color w:val="000000" w:themeColor="text1"/>
                <w:sz w:val="20"/>
                <w:szCs w:val="20"/>
                <w:lang w:bidi="en-US"/>
              </w:rPr>
              <w:t>RIBO+FULV vs EVE+EXE – SECOND LINE</w:t>
            </w:r>
          </w:p>
        </w:tc>
      </w:tr>
      <w:tr w:rsidR="00BE06E4" w:rsidRPr="00356600" w:rsidTr="00D62003">
        <w:trPr>
          <w:trHeight w:val="204"/>
        </w:trPr>
        <w:tc>
          <w:tcPr>
            <w:tcW w:w="1018" w:type="dxa"/>
            <w:shd w:val="clear" w:color="auto" w:fill="auto"/>
            <w:noWrap/>
            <w:vAlign w:val="center"/>
          </w:tcPr>
          <w:p w:rsidR="00BE06E4" w:rsidRPr="00356600" w:rsidRDefault="00BE06E4" w:rsidP="00D62003">
            <w:pPr>
              <w:pStyle w:val="3-BodyText"/>
              <w:numPr>
                <w:ilvl w:val="0"/>
                <w:numId w:val="0"/>
              </w:numPr>
              <w:spacing w:after="0"/>
              <w:jc w:val="left"/>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PFS</w:t>
            </w:r>
          </w:p>
        </w:tc>
        <w:tc>
          <w:tcPr>
            <w:tcW w:w="1128" w:type="dxa"/>
            <w:shd w:val="clear" w:color="auto" w:fill="auto"/>
            <w:noWrap/>
          </w:tcPr>
          <w:p w:rsidR="00BE06E4" w:rsidRPr="00356600" w:rsidRDefault="00BE06E4" w:rsidP="00D62003">
            <w:pPr>
              <w:pStyle w:val="3-BodyText"/>
              <w:numPr>
                <w:ilvl w:val="0"/>
                <w:numId w:val="0"/>
              </w:numPr>
              <w:spacing w:after="0"/>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No</w:t>
            </w:r>
          </w:p>
        </w:tc>
        <w:tc>
          <w:tcPr>
            <w:tcW w:w="1535" w:type="dxa"/>
            <w:shd w:val="clear" w:color="auto" w:fill="auto"/>
            <w:noWrap/>
          </w:tcPr>
          <w:p w:rsidR="00BE06E4" w:rsidRPr="00356600" w:rsidRDefault="00BE06E4" w:rsidP="00D62003">
            <w:pPr>
              <w:pStyle w:val="3-BodyText"/>
              <w:numPr>
                <w:ilvl w:val="0"/>
                <w:numId w:val="0"/>
              </w:numPr>
              <w:spacing w:after="0"/>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RIBO+FULV M3</w:t>
            </w:r>
          </w:p>
        </w:tc>
        <w:tc>
          <w:tcPr>
            <w:tcW w:w="1559" w:type="dxa"/>
            <w:shd w:val="clear" w:color="auto" w:fill="auto"/>
            <w:noWrap/>
          </w:tcPr>
          <w:p w:rsidR="00BE06E4" w:rsidRPr="00356600" w:rsidRDefault="00BE06E4" w:rsidP="00D62003">
            <w:pPr>
              <w:pStyle w:val="3-BodyText"/>
              <w:numPr>
                <w:ilvl w:val="0"/>
                <w:numId w:val="0"/>
              </w:numPr>
              <w:spacing w:after="0"/>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EVE+EXE B2</w:t>
            </w:r>
          </w:p>
        </w:tc>
        <w:tc>
          <w:tcPr>
            <w:tcW w:w="709" w:type="dxa"/>
            <w:shd w:val="clear" w:color="auto" w:fill="auto"/>
            <w:noWrap/>
            <w:vAlign w:val="center"/>
          </w:tcPr>
          <w:p w:rsidR="00BE06E4" w:rsidRPr="00196BBD" w:rsidRDefault="00BE06E4" w:rsidP="00D62003">
            <w:pPr>
              <w:pStyle w:val="3-BodyText"/>
              <w:numPr>
                <w:ilvl w:val="0"/>
                <w:numId w:val="0"/>
              </w:numPr>
              <w:spacing w:after="0"/>
              <w:jc w:val="center"/>
              <w:rPr>
                <w:rFonts w:ascii="Arial Narrow" w:hAnsi="Arial Narrow"/>
                <w:b/>
                <w:bCs/>
                <w:color w:val="000000" w:themeColor="text1"/>
                <w:sz w:val="20"/>
                <w:szCs w:val="20"/>
                <w:lang w:bidi="en-US"/>
              </w:rPr>
            </w:pPr>
            <w:r w:rsidRPr="00196BBD">
              <w:rPr>
                <w:rFonts w:ascii="Arial Narrow" w:hAnsi="Arial Narrow"/>
                <w:color w:val="000000" w:themeColor="text1"/>
                <w:sz w:val="20"/>
                <w:szCs w:val="20"/>
                <w:lang w:bidi="en-US"/>
              </w:rPr>
              <w:t>0.454</w:t>
            </w:r>
          </w:p>
        </w:tc>
        <w:tc>
          <w:tcPr>
            <w:tcW w:w="850" w:type="dxa"/>
            <w:shd w:val="clear" w:color="auto" w:fill="auto"/>
            <w:noWrap/>
            <w:vAlign w:val="center"/>
          </w:tcPr>
          <w:p w:rsidR="00BE06E4" w:rsidRPr="00196BBD" w:rsidRDefault="00BE06E4" w:rsidP="00D62003">
            <w:pPr>
              <w:pStyle w:val="3-BodyText"/>
              <w:numPr>
                <w:ilvl w:val="0"/>
                <w:numId w:val="0"/>
              </w:numPr>
              <w:spacing w:after="0"/>
              <w:jc w:val="center"/>
              <w:rPr>
                <w:rFonts w:ascii="Arial Narrow" w:hAnsi="Arial Narrow"/>
                <w:b/>
                <w:bCs/>
                <w:color w:val="000000" w:themeColor="text1"/>
                <w:sz w:val="20"/>
                <w:szCs w:val="20"/>
                <w:lang w:bidi="en-US"/>
              </w:rPr>
            </w:pPr>
            <w:r w:rsidRPr="00196BBD">
              <w:rPr>
                <w:rFonts w:ascii="Arial Narrow" w:hAnsi="Arial Narrow"/>
                <w:color w:val="000000" w:themeColor="text1"/>
                <w:sz w:val="20"/>
                <w:szCs w:val="20"/>
                <w:lang w:bidi="en-US"/>
              </w:rPr>
              <w:t>0.317</w:t>
            </w:r>
          </w:p>
        </w:tc>
        <w:tc>
          <w:tcPr>
            <w:tcW w:w="993" w:type="dxa"/>
            <w:shd w:val="clear" w:color="auto" w:fill="auto"/>
            <w:noWrap/>
            <w:vAlign w:val="center"/>
          </w:tcPr>
          <w:p w:rsidR="00BE06E4" w:rsidRPr="00196BBD" w:rsidRDefault="00BE06E4" w:rsidP="00D62003">
            <w:pPr>
              <w:pStyle w:val="3-BodyText"/>
              <w:numPr>
                <w:ilvl w:val="0"/>
                <w:numId w:val="0"/>
              </w:numPr>
              <w:spacing w:after="0"/>
              <w:jc w:val="center"/>
              <w:rPr>
                <w:rFonts w:ascii="Arial Narrow" w:hAnsi="Arial Narrow"/>
                <w:b/>
                <w:bCs/>
                <w:color w:val="000000" w:themeColor="text1"/>
                <w:sz w:val="20"/>
                <w:szCs w:val="20"/>
                <w:lang w:bidi="en-US"/>
              </w:rPr>
            </w:pPr>
            <w:r w:rsidRPr="00196BBD">
              <w:rPr>
                <w:rFonts w:ascii="Arial Narrow" w:hAnsi="Arial Narrow"/>
                <w:color w:val="000000" w:themeColor="text1"/>
                <w:sz w:val="20"/>
                <w:szCs w:val="20"/>
                <w:lang w:bidi="en-US"/>
              </w:rPr>
              <w:t>0.626</w:t>
            </w:r>
          </w:p>
        </w:tc>
        <w:tc>
          <w:tcPr>
            <w:tcW w:w="1134" w:type="dxa"/>
            <w:shd w:val="clear" w:color="auto" w:fill="auto"/>
            <w:noWrap/>
            <w:vAlign w:val="center"/>
          </w:tcPr>
          <w:p w:rsidR="00BE06E4" w:rsidRPr="00196BBD" w:rsidRDefault="00BE06E4" w:rsidP="00D62003">
            <w:pPr>
              <w:pStyle w:val="3-BodyText"/>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&lt;0.0001</w:t>
            </w:r>
          </w:p>
        </w:tc>
      </w:tr>
      <w:tr w:rsidR="00BE06E4" w:rsidRPr="00356600" w:rsidTr="00461423">
        <w:trPr>
          <w:trHeight w:val="204"/>
        </w:trPr>
        <w:tc>
          <w:tcPr>
            <w:tcW w:w="1018" w:type="dxa"/>
            <w:shd w:val="clear" w:color="auto" w:fill="auto"/>
            <w:noWrap/>
            <w:vAlign w:val="center"/>
          </w:tcPr>
          <w:p w:rsidR="00BE06E4" w:rsidRPr="00356600" w:rsidRDefault="00BE06E4" w:rsidP="00D62003">
            <w:pPr>
              <w:pStyle w:val="3-BodyText"/>
              <w:numPr>
                <w:ilvl w:val="0"/>
                <w:numId w:val="0"/>
              </w:numPr>
              <w:spacing w:after="0"/>
              <w:jc w:val="left"/>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PFS</w:t>
            </w:r>
          </w:p>
        </w:tc>
        <w:tc>
          <w:tcPr>
            <w:tcW w:w="1128" w:type="dxa"/>
            <w:shd w:val="clear" w:color="auto" w:fill="auto"/>
            <w:noWrap/>
          </w:tcPr>
          <w:p w:rsidR="00BE06E4" w:rsidRPr="00356600" w:rsidRDefault="00BE06E4" w:rsidP="00D62003">
            <w:pPr>
              <w:pStyle w:val="3-BodyText"/>
              <w:numPr>
                <w:ilvl w:val="0"/>
                <w:numId w:val="0"/>
              </w:numPr>
              <w:spacing w:after="0"/>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Yes</w:t>
            </w:r>
          </w:p>
        </w:tc>
        <w:tc>
          <w:tcPr>
            <w:tcW w:w="1535" w:type="dxa"/>
            <w:shd w:val="clear" w:color="auto" w:fill="auto"/>
            <w:noWrap/>
          </w:tcPr>
          <w:p w:rsidR="00BE06E4" w:rsidRPr="00356600" w:rsidRDefault="00BE06E4" w:rsidP="00D62003">
            <w:pPr>
              <w:pStyle w:val="3-BodyText"/>
              <w:numPr>
                <w:ilvl w:val="0"/>
                <w:numId w:val="0"/>
              </w:numPr>
              <w:spacing w:after="0"/>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RIBO+FULV M3</w:t>
            </w:r>
          </w:p>
        </w:tc>
        <w:tc>
          <w:tcPr>
            <w:tcW w:w="1559" w:type="dxa"/>
            <w:shd w:val="clear" w:color="auto" w:fill="auto"/>
            <w:noWrap/>
          </w:tcPr>
          <w:p w:rsidR="00BE06E4" w:rsidRPr="00356600" w:rsidRDefault="00BE06E4" w:rsidP="00D62003">
            <w:pPr>
              <w:pStyle w:val="3-BodyText"/>
              <w:numPr>
                <w:ilvl w:val="0"/>
                <w:numId w:val="0"/>
              </w:numPr>
              <w:spacing w:after="0"/>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EVE+EXE B2</w:t>
            </w:r>
          </w:p>
        </w:tc>
        <w:tc>
          <w:tcPr>
            <w:tcW w:w="709" w:type="dxa"/>
            <w:shd w:val="clear" w:color="auto" w:fill="95B3D7" w:themeFill="accent1" w:themeFillTint="99"/>
            <w:noWrap/>
            <w:vAlign w:val="center"/>
          </w:tcPr>
          <w:p w:rsidR="00BE06E4" w:rsidRPr="00196BBD" w:rsidRDefault="00BE06E4" w:rsidP="00461423">
            <w:pPr>
              <w:pStyle w:val="3-BodyText"/>
              <w:keepNext/>
              <w:keepLines/>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0.397</w:t>
            </w:r>
          </w:p>
        </w:tc>
        <w:tc>
          <w:tcPr>
            <w:tcW w:w="850" w:type="dxa"/>
            <w:shd w:val="clear" w:color="auto" w:fill="95B3D7" w:themeFill="accent1" w:themeFillTint="99"/>
            <w:noWrap/>
            <w:vAlign w:val="center"/>
          </w:tcPr>
          <w:p w:rsidR="00BE06E4" w:rsidRPr="00196BBD" w:rsidRDefault="00BE06E4" w:rsidP="00461423">
            <w:pPr>
              <w:pStyle w:val="3-BodyText"/>
              <w:keepNext/>
              <w:keepLines/>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0.270</w:t>
            </w:r>
          </w:p>
        </w:tc>
        <w:tc>
          <w:tcPr>
            <w:tcW w:w="993" w:type="dxa"/>
            <w:shd w:val="clear" w:color="auto" w:fill="95B3D7" w:themeFill="accent1" w:themeFillTint="99"/>
            <w:noWrap/>
            <w:vAlign w:val="center"/>
          </w:tcPr>
          <w:p w:rsidR="00BE06E4" w:rsidRPr="00196BBD" w:rsidRDefault="00BE06E4" w:rsidP="00461423">
            <w:pPr>
              <w:pStyle w:val="3-BodyText"/>
              <w:keepNext/>
              <w:keepLines/>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0.558</w:t>
            </w:r>
          </w:p>
        </w:tc>
        <w:tc>
          <w:tcPr>
            <w:tcW w:w="1134" w:type="dxa"/>
            <w:shd w:val="clear" w:color="auto" w:fill="95B3D7" w:themeFill="accent1" w:themeFillTint="99"/>
            <w:noWrap/>
            <w:vAlign w:val="center"/>
          </w:tcPr>
          <w:p w:rsidR="00BE06E4" w:rsidRPr="00196BBD" w:rsidRDefault="00BE06E4" w:rsidP="00461423">
            <w:pPr>
              <w:pStyle w:val="3-BodyText"/>
              <w:keepNext/>
              <w:keepLines/>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&lt;0.0001</w:t>
            </w:r>
          </w:p>
        </w:tc>
      </w:tr>
      <w:tr w:rsidR="00BE06E4" w:rsidRPr="00356600" w:rsidTr="00D62003">
        <w:trPr>
          <w:trHeight w:val="204"/>
        </w:trPr>
        <w:tc>
          <w:tcPr>
            <w:tcW w:w="1018" w:type="dxa"/>
            <w:shd w:val="clear" w:color="auto" w:fill="auto"/>
            <w:noWrap/>
            <w:vAlign w:val="center"/>
          </w:tcPr>
          <w:p w:rsidR="00BE06E4" w:rsidRPr="00356600" w:rsidRDefault="00BE06E4" w:rsidP="00D62003">
            <w:pPr>
              <w:pStyle w:val="3-BodyText"/>
              <w:numPr>
                <w:ilvl w:val="0"/>
                <w:numId w:val="0"/>
              </w:numPr>
              <w:spacing w:after="0"/>
              <w:jc w:val="left"/>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OS</w:t>
            </w:r>
          </w:p>
        </w:tc>
        <w:tc>
          <w:tcPr>
            <w:tcW w:w="1128" w:type="dxa"/>
            <w:shd w:val="clear" w:color="auto" w:fill="auto"/>
            <w:noWrap/>
          </w:tcPr>
          <w:p w:rsidR="00BE06E4" w:rsidRPr="00356600" w:rsidRDefault="00BE06E4" w:rsidP="00D62003">
            <w:pPr>
              <w:pStyle w:val="3-BodyText"/>
              <w:numPr>
                <w:ilvl w:val="0"/>
                <w:numId w:val="0"/>
              </w:numPr>
              <w:spacing w:after="0"/>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No</w:t>
            </w:r>
          </w:p>
        </w:tc>
        <w:tc>
          <w:tcPr>
            <w:tcW w:w="1535" w:type="dxa"/>
            <w:shd w:val="clear" w:color="auto" w:fill="auto"/>
            <w:noWrap/>
          </w:tcPr>
          <w:p w:rsidR="00BE06E4" w:rsidRPr="00356600" w:rsidRDefault="00BE06E4" w:rsidP="00D62003">
            <w:pPr>
              <w:pStyle w:val="3-BodyText"/>
              <w:numPr>
                <w:ilvl w:val="0"/>
                <w:numId w:val="0"/>
              </w:numPr>
              <w:spacing w:after="0"/>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RIBO+FULV M3</w:t>
            </w:r>
          </w:p>
        </w:tc>
        <w:tc>
          <w:tcPr>
            <w:tcW w:w="1559" w:type="dxa"/>
            <w:shd w:val="clear" w:color="auto" w:fill="auto"/>
            <w:noWrap/>
          </w:tcPr>
          <w:p w:rsidR="00BE06E4" w:rsidRPr="00356600" w:rsidRDefault="00BE06E4" w:rsidP="00D62003">
            <w:pPr>
              <w:pStyle w:val="3-BodyText"/>
              <w:numPr>
                <w:ilvl w:val="0"/>
                <w:numId w:val="0"/>
              </w:numPr>
              <w:spacing w:after="0"/>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EVE+EXE B2</w:t>
            </w:r>
          </w:p>
        </w:tc>
        <w:tc>
          <w:tcPr>
            <w:tcW w:w="709" w:type="dxa"/>
            <w:shd w:val="clear" w:color="auto" w:fill="auto"/>
            <w:noWrap/>
            <w:vAlign w:val="center"/>
          </w:tcPr>
          <w:p w:rsidR="00BE06E4" w:rsidRPr="00196BBD" w:rsidRDefault="00BE06E4" w:rsidP="00D62003">
            <w:pPr>
              <w:pStyle w:val="3-BodyText"/>
              <w:numPr>
                <w:ilvl w:val="0"/>
                <w:numId w:val="0"/>
              </w:numPr>
              <w:spacing w:after="0"/>
              <w:jc w:val="center"/>
              <w:rPr>
                <w:rFonts w:ascii="Arial Narrow" w:hAnsi="Arial Narrow"/>
                <w:b/>
                <w:bCs/>
                <w:color w:val="000000" w:themeColor="text1"/>
                <w:sz w:val="20"/>
                <w:szCs w:val="20"/>
                <w:lang w:bidi="en-US"/>
              </w:rPr>
            </w:pPr>
            <w:r w:rsidRPr="00196BBD">
              <w:rPr>
                <w:rFonts w:ascii="Arial Narrow" w:hAnsi="Arial Narrow"/>
                <w:color w:val="000000" w:themeColor="text1"/>
                <w:sz w:val="20"/>
                <w:szCs w:val="20"/>
                <w:lang w:bidi="en-US"/>
              </w:rPr>
              <w:t>0.600</w:t>
            </w:r>
          </w:p>
        </w:tc>
        <w:tc>
          <w:tcPr>
            <w:tcW w:w="850" w:type="dxa"/>
            <w:shd w:val="clear" w:color="auto" w:fill="auto"/>
            <w:noWrap/>
            <w:vAlign w:val="center"/>
          </w:tcPr>
          <w:p w:rsidR="00BE06E4" w:rsidRPr="00196BBD" w:rsidRDefault="00BE06E4" w:rsidP="00D62003">
            <w:pPr>
              <w:pStyle w:val="3-BodyText"/>
              <w:numPr>
                <w:ilvl w:val="0"/>
                <w:numId w:val="0"/>
              </w:numPr>
              <w:spacing w:after="0"/>
              <w:jc w:val="center"/>
              <w:rPr>
                <w:rFonts w:ascii="Arial Narrow" w:hAnsi="Arial Narrow"/>
                <w:b/>
                <w:bCs/>
                <w:color w:val="000000" w:themeColor="text1"/>
                <w:sz w:val="20"/>
                <w:szCs w:val="20"/>
                <w:lang w:bidi="en-US"/>
              </w:rPr>
            </w:pPr>
            <w:r w:rsidRPr="00196BBD">
              <w:rPr>
                <w:rFonts w:ascii="Arial Narrow" w:hAnsi="Arial Narrow"/>
                <w:color w:val="000000" w:themeColor="text1"/>
                <w:sz w:val="20"/>
                <w:szCs w:val="20"/>
                <w:lang w:bidi="en-US"/>
              </w:rPr>
              <w:t>0.421</w:t>
            </w:r>
          </w:p>
        </w:tc>
        <w:tc>
          <w:tcPr>
            <w:tcW w:w="993" w:type="dxa"/>
            <w:shd w:val="clear" w:color="auto" w:fill="auto"/>
            <w:noWrap/>
            <w:vAlign w:val="center"/>
          </w:tcPr>
          <w:p w:rsidR="00BE06E4" w:rsidRPr="00196BBD" w:rsidRDefault="00BE06E4" w:rsidP="00D62003">
            <w:pPr>
              <w:pStyle w:val="3-BodyText"/>
              <w:numPr>
                <w:ilvl w:val="0"/>
                <w:numId w:val="0"/>
              </w:numPr>
              <w:spacing w:after="0"/>
              <w:jc w:val="center"/>
              <w:rPr>
                <w:rFonts w:ascii="Arial Narrow" w:hAnsi="Arial Narrow"/>
                <w:b/>
                <w:bCs/>
                <w:color w:val="000000" w:themeColor="text1"/>
                <w:sz w:val="20"/>
                <w:szCs w:val="20"/>
                <w:lang w:bidi="en-US"/>
              </w:rPr>
            </w:pPr>
            <w:r w:rsidRPr="00196BBD">
              <w:rPr>
                <w:rFonts w:ascii="Arial Narrow" w:hAnsi="Arial Narrow"/>
                <w:color w:val="000000" w:themeColor="text1"/>
                <w:sz w:val="20"/>
                <w:szCs w:val="20"/>
                <w:lang w:bidi="en-US"/>
              </w:rPr>
              <w:t>0.828</w:t>
            </w:r>
          </w:p>
        </w:tc>
        <w:tc>
          <w:tcPr>
            <w:tcW w:w="1134" w:type="dxa"/>
            <w:shd w:val="clear" w:color="auto" w:fill="auto"/>
            <w:noWrap/>
            <w:vAlign w:val="center"/>
          </w:tcPr>
          <w:p w:rsidR="00BE06E4" w:rsidRPr="00196BBD" w:rsidRDefault="00BE06E4" w:rsidP="00D62003">
            <w:pPr>
              <w:pStyle w:val="3-BodyText"/>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0.005</w:t>
            </w:r>
          </w:p>
        </w:tc>
      </w:tr>
      <w:tr w:rsidR="00BE06E4" w:rsidRPr="00356600" w:rsidTr="00461423">
        <w:trPr>
          <w:trHeight w:val="204"/>
        </w:trPr>
        <w:tc>
          <w:tcPr>
            <w:tcW w:w="1018" w:type="dxa"/>
            <w:shd w:val="clear" w:color="auto" w:fill="auto"/>
            <w:noWrap/>
            <w:vAlign w:val="center"/>
          </w:tcPr>
          <w:p w:rsidR="00BE06E4" w:rsidRPr="00356600" w:rsidRDefault="00BE06E4" w:rsidP="00D62003">
            <w:pPr>
              <w:pStyle w:val="3-BodyText"/>
              <w:numPr>
                <w:ilvl w:val="0"/>
                <w:numId w:val="0"/>
              </w:numPr>
              <w:spacing w:after="0"/>
              <w:jc w:val="left"/>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OS</w:t>
            </w:r>
          </w:p>
        </w:tc>
        <w:tc>
          <w:tcPr>
            <w:tcW w:w="1128" w:type="dxa"/>
            <w:shd w:val="clear" w:color="auto" w:fill="auto"/>
            <w:noWrap/>
          </w:tcPr>
          <w:p w:rsidR="00BE06E4" w:rsidRPr="00356600" w:rsidRDefault="00BE06E4" w:rsidP="00D62003">
            <w:pPr>
              <w:pStyle w:val="3-BodyText"/>
              <w:numPr>
                <w:ilvl w:val="0"/>
                <w:numId w:val="0"/>
              </w:numPr>
              <w:spacing w:after="0"/>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Yes</w:t>
            </w:r>
          </w:p>
        </w:tc>
        <w:tc>
          <w:tcPr>
            <w:tcW w:w="1535" w:type="dxa"/>
            <w:shd w:val="clear" w:color="auto" w:fill="auto"/>
            <w:noWrap/>
          </w:tcPr>
          <w:p w:rsidR="00BE06E4" w:rsidRPr="00356600" w:rsidRDefault="00BE06E4" w:rsidP="00D62003">
            <w:pPr>
              <w:pStyle w:val="3-BodyText"/>
              <w:numPr>
                <w:ilvl w:val="0"/>
                <w:numId w:val="0"/>
              </w:numPr>
              <w:spacing w:after="0"/>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RIBO+FULV M3</w:t>
            </w:r>
          </w:p>
        </w:tc>
        <w:tc>
          <w:tcPr>
            <w:tcW w:w="1559" w:type="dxa"/>
            <w:shd w:val="clear" w:color="auto" w:fill="auto"/>
            <w:noWrap/>
          </w:tcPr>
          <w:p w:rsidR="00BE06E4" w:rsidRPr="00356600" w:rsidRDefault="00BE06E4" w:rsidP="00D62003">
            <w:pPr>
              <w:pStyle w:val="3-BodyText"/>
              <w:numPr>
                <w:ilvl w:val="0"/>
                <w:numId w:val="0"/>
              </w:numPr>
              <w:spacing w:after="0"/>
              <w:rPr>
                <w:rFonts w:ascii="Arial Narrow" w:hAnsi="Arial Narrow"/>
                <w:color w:val="000000" w:themeColor="text1"/>
                <w:sz w:val="20"/>
                <w:szCs w:val="20"/>
                <w:lang w:bidi="en-US"/>
              </w:rPr>
            </w:pPr>
            <w:r w:rsidRPr="00356600">
              <w:rPr>
                <w:rFonts w:ascii="Arial Narrow" w:hAnsi="Arial Narrow"/>
                <w:color w:val="000000" w:themeColor="text1"/>
                <w:sz w:val="20"/>
                <w:szCs w:val="20"/>
                <w:lang w:bidi="en-US"/>
              </w:rPr>
              <w:t>EVE+EXE B2</w:t>
            </w:r>
          </w:p>
        </w:tc>
        <w:tc>
          <w:tcPr>
            <w:tcW w:w="709" w:type="dxa"/>
            <w:shd w:val="clear" w:color="auto" w:fill="95B3D7" w:themeFill="accent1" w:themeFillTint="99"/>
            <w:noWrap/>
            <w:vAlign w:val="center"/>
          </w:tcPr>
          <w:p w:rsidR="00BE06E4" w:rsidRPr="00196BBD" w:rsidRDefault="00BE06E4" w:rsidP="00D62003">
            <w:pPr>
              <w:pStyle w:val="3-BodyText"/>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0.561</w:t>
            </w:r>
          </w:p>
        </w:tc>
        <w:tc>
          <w:tcPr>
            <w:tcW w:w="850" w:type="dxa"/>
            <w:shd w:val="clear" w:color="auto" w:fill="95B3D7" w:themeFill="accent1" w:themeFillTint="99"/>
            <w:noWrap/>
            <w:vAlign w:val="center"/>
          </w:tcPr>
          <w:p w:rsidR="00BE06E4" w:rsidRPr="00196BBD" w:rsidRDefault="00BE06E4" w:rsidP="00D62003">
            <w:pPr>
              <w:pStyle w:val="3-BodyText"/>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0.379</w:t>
            </w:r>
          </w:p>
        </w:tc>
        <w:tc>
          <w:tcPr>
            <w:tcW w:w="993" w:type="dxa"/>
            <w:shd w:val="clear" w:color="auto" w:fill="95B3D7" w:themeFill="accent1" w:themeFillTint="99"/>
            <w:noWrap/>
            <w:vAlign w:val="center"/>
          </w:tcPr>
          <w:p w:rsidR="00BE06E4" w:rsidRPr="00196BBD" w:rsidRDefault="00BE06E4" w:rsidP="00D62003">
            <w:pPr>
              <w:pStyle w:val="3-BodyText"/>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0.797</w:t>
            </w:r>
          </w:p>
        </w:tc>
        <w:tc>
          <w:tcPr>
            <w:tcW w:w="1134" w:type="dxa"/>
            <w:shd w:val="clear" w:color="auto" w:fill="95B3D7" w:themeFill="accent1" w:themeFillTint="99"/>
            <w:noWrap/>
            <w:vAlign w:val="center"/>
          </w:tcPr>
          <w:p w:rsidR="00BE06E4" w:rsidRPr="00196BBD" w:rsidRDefault="00BE06E4" w:rsidP="00D62003">
            <w:pPr>
              <w:pStyle w:val="3-BodyText"/>
              <w:numPr>
                <w:ilvl w:val="0"/>
                <w:numId w:val="0"/>
              </w:numPr>
              <w:spacing w:after="0"/>
              <w:jc w:val="center"/>
              <w:rPr>
                <w:rFonts w:ascii="Arial Narrow" w:hAnsi="Arial Narrow"/>
                <w:color w:val="000000" w:themeColor="text1"/>
                <w:sz w:val="20"/>
                <w:szCs w:val="20"/>
                <w:lang w:bidi="en-US"/>
              </w:rPr>
            </w:pPr>
            <w:r w:rsidRPr="00196BBD">
              <w:rPr>
                <w:rFonts w:ascii="Arial Narrow" w:hAnsi="Arial Narrow"/>
                <w:color w:val="000000" w:themeColor="text1"/>
                <w:sz w:val="20"/>
                <w:szCs w:val="20"/>
                <w:lang w:bidi="en-US"/>
              </w:rPr>
              <w:t>0.004</w:t>
            </w:r>
          </w:p>
        </w:tc>
      </w:tr>
    </w:tbl>
    <w:p w:rsidR="006231BC" w:rsidRDefault="006231BC" w:rsidP="006231BC">
      <w:pPr>
        <w:pStyle w:val="TableFigureFooter"/>
      </w:pPr>
      <w:r w:rsidRPr="00356600">
        <w:t>CI= confidence interval; FULV= fulvestrant; HR= hazard ratio; LET= letrozole; M2= MONALEESA-2; M3= MONALEESA-3; B2= BOLERO-2; OS= overall survival; PFS= progression-free survival; RIBO= ribociclib; EXE= exemestane; EVE= everolimus.</w:t>
      </w:r>
    </w:p>
    <w:p w:rsidR="008852D9" w:rsidRPr="00356600" w:rsidRDefault="008852D9" w:rsidP="006231BC">
      <w:pPr>
        <w:pStyle w:val="TableFigureFooter"/>
      </w:pPr>
      <w:r>
        <w:t xml:space="preserve">* Second-line: </w:t>
      </w:r>
      <w:r w:rsidRPr="008852D9">
        <w:t xml:space="preserve">The N’s for the weighted subset of </w:t>
      </w:r>
      <w:r>
        <w:t>BOLERO-2</w:t>
      </w:r>
      <w:r w:rsidRPr="008852D9">
        <w:t xml:space="preserve"> (N=</w:t>
      </w:r>
      <w:r>
        <w:t>102</w:t>
      </w:r>
      <w:r w:rsidRPr="008852D9">
        <w:t>) were less than the unweighted numbers (N=</w:t>
      </w:r>
      <w:r>
        <w:t>192</w:t>
      </w:r>
      <w:r w:rsidRPr="008852D9">
        <w:t>).</w:t>
      </w:r>
    </w:p>
    <w:p w:rsidR="006231BC" w:rsidRDefault="006231BC" w:rsidP="006231BC">
      <w:pPr>
        <w:pStyle w:val="TableFigureFooter"/>
      </w:pPr>
      <w:r w:rsidRPr="00356600">
        <w:t xml:space="preserve">Hazard ratios </w:t>
      </w:r>
      <w:r>
        <w:t>shaded in blue</w:t>
      </w:r>
      <w:r w:rsidRPr="00356600">
        <w:t xml:space="preserve"> were assumed in the base case </w:t>
      </w:r>
      <w:r>
        <w:t xml:space="preserve">cost-minimisation and cost-effectiveness </w:t>
      </w:r>
      <w:r w:rsidRPr="00356600">
        <w:t>analys</w:t>
      </w:r>
      <w:r>
        <w:t>e</w:t>
      </w:r>
      <w:r w:rsidRPr="00356600">
        <w:t>s.</w:t>
      </w:r>
    </w:p>
    <w:p w:rsidR="006231BC" w:rsidRPr="00356600" w:rsidRDefault="006231BC" w:rsidP="006231BC">
      <w:pPr>
        <w:pStyle w:val="TableFigureFooter"/>
      </w:pPr>
      <w:r>
        <w:t>Hazard ratios less than 1 favour RIBO+FULV over the comparators.</w:t>
      </w:r>
    </w:p>
    <w:p w:rsidR="006231BC" w:rsidRDefault="006231BC" w:rsidP="00326854">
      <w:pPr>
        <w:pStyle w:val="TableFigureFooter"/>
        <w:spacing w:after="240"/>
      </w:pPr>
      <w:r w:rsidRPr="00356600">
        <w:t xml:space="preserve">Source: Table 2-61, p153 of the submission. </w:t>
      </w:r>
    </w:p>
    <w:p w:rsidR="00F312DB" w:rsidRPr="00F312DB" w:rsidRDefault="00F312DB" w:rsidP="00326854">
      <w:pPr>
        <w:pStyle w:val="TableFigureFooter"/>
        <w:spacing w:after="240"/>
        <w:rPr>
          <w:i/>
        </w:rPr>
      </w:pPr>
      <w:r w:rsidRPr="00F312DB">
        <w:rPr>
          <w:i/>
        </w:rPr>
        <w:t>Note that the results presented in MAIC are derived from post-hoc analyses conducted by the applicant specifically for the purposes of informing the PBAC consideration. These analyses were not part of the pre-specified statistical plan for MONALEESA-2 or MONALEESA-</w:t>
      </w:r>
      <w:r w:rsidR="00F50980">
        <w:rPr>
          <w:i/>
        </w:rPr>
        <w:t> </w:t>
      </w:r>
      <w:r w:rsidRPr="00F312DB">
        <w:rPr>
          <w:i/>
        </w:rPr>
        <w:t>3.  Interpretation of the results and their application should therefore be limited to seeking to understand the basis for the PBAC outcome and should not be used for any other purpose.</w:t>
      </w:r>
    </w:p>
    <w:p w:rsidR="006A14E6" w:rsidRPr="008D1AF1" w:rsidRDefault="006A14E6" w:rsidP="009507B3">
      <w:pPr>
        <w:pStyle w:val="3-BodyText"/>
      </w:pPr>
      <w:r w:rsidRPr="008D1AF1">
        <w:t>The ESC noted that patients in the whole trial population of BOLERO-2 were significantly more heavily pre-treated than those in MONALEESA-3. For example</w:t>
      </w:r>
      <w:r w:rsidR="009507B3" w:rsidRPr="008D1AF1">
        <w:t xml:space="preserve">, 40% of patients in BOLERO 2 had received two or more prior lines in the metastatic setting, versus none in MONALEESA-3. </w:t>
      </w:r>
      <w:r w:rsidRPr="008D1AF1">
        <w:t>The una</w:t>
      </w:r>
      <w:r w:rsidR="003F4D02" w:rsidRPr="008D1AF1">
        <w:t>nchor</w:t>
      </w:r>
      <w:r w:rsidRPr="008D1AF1">
        <w:t>ed MAIC attempted to correct for this by including only patients from the subgroups who were being treated in the second-line setting. This substantially reduced the size of the population available for analysis:</w:t>
      </w:r>
    </w:p>
    <w:p w:rsidR="006A14E6" w:rsidRPr="008D1AF1" w:rsidRDefault="006A14E6" w:rsidP="00843CD7">
      <w:pPr>
        <w:pStyle w:val="3-BodyText"/>
        <w:numPr>
          <w:ilvl w:val="0"/>
          <w:numId w:val="9"/>
        </w:numPr>
      </w:pPr>
      <w:r w:rsidRPr="008D1AF1">
        <w:t>For MONALEESA-3, the whole trial population in the RIBO+FULV arm was 484 patients, while only 100 patients were included in the subgr</w:t>
      </w:r>
      <w:r w:rsidR="003F4D02" w:rsidRPr="008D1AF1">
        <w:t>oup used in the second-line unanchor</w:t>
      </w:r>
      <w:r w:rsidRPr="008D1AF1">
        <w:t>ed MAIC (i.e. excluding treatment-na</w:t>
      </w:r>
      <w:r w:rsidR="00D62003" w:rsidRPr="008D1AF1">
        <w:t>i</w:t>
      </w:r>
      <w:r w:rsidRPr="008D1AF1">
        <w:t xml:space="preserve">ve, endocrine-sensitive and </w:t>
      </w:r>
      <w:r w:rsidR="0072530F" w:rsidRPr="008D1AF1">
        <w:t>patients who were resistant to one line of prior endocrine therapy in the advanced/metastatic setting</w:t>
      </w:r>
      <w:r w:rsidRPr="008D1AF1">
        <w:t xml:space="preserve">). </w:t>
      </w:r>
    </w:p>
    <w:p w:rsidR="006A14E6" w:rsidRPr="008D1AF1" w:rsidRDefault="006A14E6" w:rsidP="00843CD7">
      <w:pPr>
        <w:pStyle w:val="3-BodyText"/>
        <w:numPr>
          <w:ilvl w:val="0"/>
          <w:numId w:val="9"/>
        </w:numPr>
      </w:pPr>
      <w:r w:rsidRPr="008D1AF1">
        <w:t>For BOLERO 2 the whole trial population in the EVE+EXE arm was 485 patients, while only 192 patients were included in the subgroup u</w:t>
      </w:r>
      <w:r w:rsidR="003F4D02" w:rsidRPr="008D1AF1">
        <w:t>sed in the second-line unanchor</w:t>
      </w:r>
      <w:r w:rsidRPr="008D1AF1">
        <w:t xml:space="preserve">ed MAIC (i.e. excluding first-line patients and patients with two or more prior lines of treatment).  </w:t>
      </w:r>
    </w:p>
    <w:p w:rsidR="006A14E6" w:rsidRPr="008D1AF1" w:rsidRDefault="006A14E6" w:rsidP="006A14E6">
      <w:pPr>
        <w:pStyle w:val="3-BodyText"/>
      </w:pPr>
      <w:r w:rsidRPr="008D1AF1">
        <w:t xml:space="preserve">The PSCR stated that prior chemotherapy was not </w:t>
      </w:r>
      <w:r w:rsidR="00686865" w:rsidRPr="008D1AF1">
        <w:t xml:space="preserve">adjusted for </w:t>
      </w:r>
      <w:r w:rsidRPr="008D1AF1">
        <w:t xml:space="preserve">in the MAIC analyses, however, for the trial data included in the </w:t>
      </w:r>
      <w:r w:rsidR="00686865" w:rsidRPr="008D1AF1">
        <w:t>MAIC</w:t>
      </w:r>
      <w:r w:rsidRPr="008D1AF1">
        <w:t xml:space="preserve"> </w:t>
      </w:r>
      <w:r w:rsidR="00686865" w:rsidRPr="008D1AF1">
        <w:t xml:space="preserve">(which was based on subgroups) </w:t>
      </w:r>
      <w:r w:rsidRPr="008D1AF1">
        <w:t xml:space="preserve">the proportion of second-line patients with prior chemotherapy in the advanced setting was similar between trials (4% of patients in MONALEESA-3 and 5.2% of patients in BOLERO-2). The PSCR also stated the duration of follow-up was similar (39.4 months in MONALEESA-3 and 39.3 months in BOLERO-2). </w:t>
      </w:r>
    </w:p>
    <w:p w:rsidR="00946C8C" w:rsidRPr="008D1AF1" w:rsidRDefault="00285E9C" w:rsidP="00946C8C">
      <w:pPr>
        <w:pStyle w:val="3-BodyText"/>
        <w:rPr>
          <w:iCs/>
          <w:color w:val="000000" w:themeColor="text1"/>
        </w:rPr>
      </w:pPr>
      <w:r>
        <w:rPr>
          <w:iCs/>
          <w:color w:val="000000" w:themeColor="text1"/>
        </w:rPr>
        <w:t>T</w:t>
      </w:r>
      <w:r w:rsidR="00946C8C" w:rsidRPr="008D1AF1">
        <w:rPr>
          <w:iCs/>
          <w:color w:val="000000" w:themeColor="text1"/>
        </w:rPr>
        <w:t>he ESC noted that subsequent therapies in the active arms of MONALEESA-3 and BOLERO-2 appear to be similar (43.4% vs 40.2% overall, respectively) and th</w:t>
      </w:r>
      <w:r>
        <w:rPr>
          <w:iCs/>
          <w:color w:val="000000" w:themeColor="text1"/>
        </w:rPr>
        <w:t xml:space="preserve">us the impact of </w:t>
      </w:r>
      <w:r w:rsidRPr="008D1AF1">
        <w:rPr>
          <w:iCs/>
          <w:color w:val="000000" w:themeColor="text1"/>
        </w:rPr>
        <w:t xml:space="preserve">subsequent therapies </w:t>
      </w:r>
      <w:r>
        <w:rPr>
          <w:iCs/>
          <w:color w:val="000000" w:themeColor="text1"/>
        </w:rPr>
        <w:t>wa</w:t>
      </w:r>
      <w:r w:rsidR="00946C8C" w:rsidRPr="008D1AF1">
        <w:rPr>
          <w:iCs/>
          <w:color w:val="000000" w:themeColor="text1"/>
        </w:rPr>
        <w:t xml:space="preserve">s unlikely to have a substantial impact on the OS. </w:t>
      </w:r>
    </w:p>
    <w:p w:rsidR="00602598" w:rsidRPr="008D1AF1" w:rsidRDefault="00F237DF" w:rsidP="000B68B9">
      <w:pPr>
        <w:pStyle w:val="3-BodyText"/>
      </w:pPr>
      <w:r w:rsidRPr="008D1AF1">
        <w:t xml:space="preserve">Prior to weighting, patients in the MONALEESA-3 subgroup were older (59% were age ≥ 65 years versus 46% in BOLERO 2), </w:t>
      </w:r>
      <w:r w:rsidR="000B68B9" w:rsidRPr="008D1AF1">
        <w:t>had fewer un-differential histological grade cancers (1% versus 34%), more patients with visceral disease (70% versus 59%), more metastatic sites involved (47% with ≥ 3 metastatic sites involved versus 42%). The ESC considered that these represented substantial differences in baseline characteristics that were potential treatment effect modifiers. While weighting may have corrected for these factors, the ESC considered that the baseline imbalances indicated that</w:t>
      </w:r>
      <w:r w:rsidR="00946C8C" w:rsidRPr="008D1AF1">
        <w:t xml:space="preserve"> patients included in the MONALEESA-3 trial were substantially different from the population included in BOLERO</w:t>
      </w:r>
      <w:r w:rsidR="00483A47" w:rsidRPr="008D1AF1">
        <w:t xml:space="preserve"> </w:t>
      </w:r>
      <w:r w:rsidR="00946C8C" w:rsidRPr="008D1AF1">
        <w:t xml:space="preserve">2, </w:t>
      </w:r>
      <w:r w:rsidR="000B68B9" w:rsidRPr="008D1AF1">
        <w:t xml:space="preserve">increasing the </w:t>
      </w:r>
      <w:r w:rsidR="00D62003" w:rsidRPr="008D1AF1">
        <w:t>likelihood</w:t>
      </w:r>
      <w:r w:rsidR="000B68B9" w:rsidRPr="008D1AF1">
        <w:t xml:space="preserve"> of key differences in </w:t>
      </w:r>
      <w:r w:rsidR="000B68B9" w:rsidRPr="008D1AF1">
        <w:rPr>
          <w:iCs/>
          <w:color w:val="000000" w:themeColor="text1"/>
        </w:rPr>
        <w:t xml:space="preserve">unobserved confounders. Overall, </w:t>
      </w:r>
      <w:r w:rsidR="00946C8C" w:rsidRPr="008D1AF1">
        <w:t xml:space="preserve">the ESC considered that it was not clear whether the unanchored MAIC presented </w:t>
      </w:r>
      <w:r w:rsidR="000B68B9" w:rsidRPr="008D1AF1">
        <w:t xml:space="preserve">for the second-line setting </w:t>
      </w:r>
      <w:r w:rsidR="00946C8C" w:rsidRPr="008D1AF1">
        <w:t>was unbiased.</w:t>
      </w:r>
      <w:r w:rsidR="00584FC2">
        <w:t xml:space="preserve"> </w:t>
      </w:r>
      <w:r w:rsidR="00584FC2">
        <w:rPr>
          <w:color w:val="000000" w:themeColor="text1"/>
        </w:rPr>
        <w:t>The pre-PBAC response noted that a number of additional variables (</w:t>
      </w:r>
      <w:r w:rsidR="0085431E">
        <w:rPr>
          <w:color w:val="000000" w:themeColor="text1"/>
        </w:rPr>
        <w:t xml:space="preserve">including </w:t>
      </w:r>
      <w:r w:rsidR="00285E9C">
        <w:rPr>
          <w:color w:val="000000" w:themeColor="text1"/>
        </w:rPr>
        <w:t>region, bone-only lesions</w:t>
      </w:r>
      <w:r w:rsidR="00584FC2">
        <w:rPr>
          <w:color w:val="000000" w:themeColor="text1"/>
        </w:rPr>
        <w:t xml:space="preserve">, </w:t>
      </w:r>
      <w:r w:rsidR="00285E9C">
        <w:rPr>
          <w:color w:val="000000" w:themeColor="text1"/>
        </w:rPr>
        <w:t>progesterone receptor positive</w:t>
      </w:r>
      <w:r w:rsidR="00584FC2" w:rsidRPr="00C67B32">
        <w:rPr>
          <w:color w:val="000000" w:themeColor="text1"/>
        </w:rPr>
        <w:t xml:space="preserve"> status</w:t>
      </w:r>
      <w:r w:rsidR="00584FC2">
        <w:rPr>
          <w:color w:val="000000" w:themeColor="text1"/>
        </w:rPr>
        <w:t xml:space="preserve"> </w:t>
      </w:r>
      <w:r w:rsidR="0085431E">
        <w:rPr>
          <w:color w:val="000000" w:themeColor="text1"/>
        </w:rPr>
        <w:t>and a range of prior-treatment related variables</w:t>
      </w:r>
      <w:r w:rsidR="00584FC2">
        <w:rPr>
          <w:color w:val="000000" w:themeColor="text1"/>
        </w:rPr>
        <w:t xml:space="preserve">) were examined for both trials; and with the exception of region and race these variables did not have an impact on results, suggesting they are not potential confounders or treatment effect modifiers. The PBAC </w:t>
      </w:r>
      <w:r w:rsidR="005C001E">
        <w:rPr>
          <w:color w:val="000000" w:themeColor="text1"/>
        </w:rPr>
        <w:t>noted the limitations of the unanchored MAIC as outlined by the ESC</w:t>
      </w:r>
      <w:r w:rsidR="006D0829">
        <w:rPr>
          <w:color w:val="000000" w:themeColor="text1"/>
        </w:rPr>
        <w:t>, which increased the uncertainty in the results making it difficult to reliably assess the magnitude of benefit</w:t>
      </w:r>
      <w:r w:rsidR="005C001E">
        <w:rPr>
          <w:color w:val="000000" w:themeColor="text1"/>
        </w:rPr>
        <w:t xml:space="preserve">. </w:t>
      </w:r>
      <w:r w:rsidR="006D0829">
        <w:rPr>
          <w:color w:val="000000" w:themeColor="text1"/>
        </w:rPr>
        <w:t>However, t</w:t>
      </w:r>
      <w:r w:rsidR="005C001E">
        <w:rPr>
          <w:color w:val="000000" w:themeColor="text1"/>
        </w:rPr>
        <w:t xml:space="preserve">he PBAC </w:t>
      </w:r>
      <w:r w:rsidR="00584FC2">
        <w:rPr>
          <w:color w:val="000000" w:themeColor="text1"/>
        </w:rPr>
        <w:t>considered that it appeared that the subgroups included in the un</w:t>
      </w:r>
      <w:r w:rsidR="005C001E">
        <w:rPr>
          <w:color w:val="000000" w:themeColor="text1"/>
        </w:rPr>
        <w:t>anchored</w:t>
      </w:r>
      <w:r w:rsidR="00584FC2">
        <w:rPr>
          <w:color w:val="000000" w:themeColor="text1"/>
        </w:rPr>
        <w:t xml:space="preserve"> MAIC </w:t>
      </w:r>
      <w:r w:rsidR="005C001E">
        <w:rPr>
          <w:color w:val="000000" w:themeColor="text1"/>
        </w:rPr>
        <w:t>were</w:t>
      </w:r>
      <w:r w:rsidR="00584FC2">
        <w:rPr>
          <w:color w:val="000000" w:themeColor="text1"/>
        </w:rPr>
        <w:t xml:space="preserve"> adequately</w:t>
      </w:r>
      <w:r w:rsidR="005C001E">
        <w:rPr>
          <w:color w:val="000000" w:themeColor="text1"/>
        </w:rPr>
        <w:t xml:space="preserve"> balanced for the comparison to be informative, notwithstanding its limitations.</w:t>
      </w:r>
      <w:r w:rsidR="00584FC2">
        <w:rPr>
          <w:color w:val="000000" w:themeColor="text1"/>
        </w:rPr>
        <w:t xml:space="preserve"> </w:t>
      </w:r>
    </w:p>
    <w:p w:rsidR="00B60939" w:rsidRPr="00C9624D" w:rsidRDefault="00B60939" w:rsidP="00D86231">
      <w:pPr>
        <w:pStyle w:val="4-SubsectionHeading"/>
      </w:pPr>
      <w:bookmarkStart w:id="28" w:name="_Toc22897642"/>
      <w:bookmarkStart w:id="29" w:name="_Toc38290344"/>
      <w:bookmarkStart w:id="30" w:name="_Toc40716946"/>
      <w:r w:rsidRPr="00C9624D">
        <w:t>Comparative harms</w:t>
      </w:r>
      <w:bookmarkEnd w:id="28"/>
      <w:bookmarkEnd w:id="29"/>
      <w:bookmarkEnd w:id="30"/>
    </w:p>
    <w:p w:rsidR="004A312B" w:rsidRPr="004A312B" w:rsidRDefault="004A312B" w:rsidP="004A312B">
      <w:pPr>
        <w:pStyle w:val="3-BodyText"/>
        <w:rPr>
          <w:color w:val="000000" w:themeColor="text1"/>
        </w:rPr>
      </w:pPr>
      <w:r w:rsidRPr="004A312B">
        <w:rPr>
          <w:color w:val="000000" w:themeColor="text1"/>
        </w:rPr>
        <w:t xml:space="preserve">A summary of adverse events (AEs) in the three main trials is provided in Table </w:t>
      </w:r>
      <w:r w:rsidR="00EE094F">
        <w:rPr>
          <w:color w:val="000000" w:themeColor="text1"/>
        </w:rPr>
        <w:t>9</w:t>
      </w:r>
      <w:r w:rsidRPr="004A312B">
        <w:rPr>
          <w:color w:val="000000" w:themeColor="text1"/>
        </w:rPr>
        <w:t>.</w:t>
      </w:r>
    </w:p>
    <w:p w:rsidR="004A312B" w:rsidRPr="004A312B" w:rsidRDefault="004A312B" w:rsidP="00D41729">
      <w:pPr>
        <w:pStyle w:val="3-BodyText"/>
        <w:keepNext/>
        <w:numPr>
          <w:ilvl w:val="0"/>
          <w:numId w:val="0"/>
        </w:numPr>
        <w:spacing w:before="240" w:after="0"/>
        <w:rPr>
          <w:rStyle w:val="CommentReference"/>
        </w:rPr>
      </w:pPr>
      <w:r w:rsidRPr="004A312B">
        <w:rPr>
          <w:rStyle w:val="CommentReference"/>
        </w:rPr>
        <w:t xml:space="preserve">Table </w:t>
      </w:r>
      <w:r w:rsidR="00EE094F">
        <w:rPr>
          <w:rStyle w:val="CommentReference"/>
        </w:rPr>
        <w:t>9</w:t>
      </w:r>
      <w:r w:rsidRPr="004A312B">
        <w:rPr>
          <w:rStyle w:val="CommentReference"/>
        </w:rPr>
        <w:t xml:space="preserve">: Summary of key adverse events in the three main trials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1392"/>
        <w:gridCol w:w="1331"/>
        <w:gridCol w:w="1354"/>
        <w:gridCol w:w="1295"/>
      </w:tblGrid>
      <w:tr w:rsidR="004A312B" w:rsidRPr="004A312B" w:rsidTr="00D41729">
        <w:trPr>
          <w:tblHeader/>
        </w:trPr>
        <w:tc>
          <w:tcPr>
            <w:tcW w:w="2021" w:type="pct"/>
            <w:vAlign w:val="center"/>
          </w:tcPr>
          <w:p w:rsidR="004A312B" w:rsidRPr="00B40514" w:rsidRDefault="004A312B" w:rsidP="00D41729">
            <w:pPr>
              <w:pStyle w:val="In-tableHeading"/>
              <w:rPr>
                <w:rStyle w:val="CommentReference"/>
                <w:b/>
                <w:bCs/>
              </w:rPr>
            </w:pPr>
            <w:r w:rsidRPr="00B40514">
              <w:rPr>
                <w:rStyle w:val="CommentReference"/>
                <w:b/>
                <w:bCs/>
              </w:rPr>
              <w:t>Trial ID</w:t>
            </w:r>
          </w:p>
        </w:tc>
        <w:tc>
          <w:tcPr>
            <w:tcW w:w="1510" w:type="pct"/>
            <w:gridSpan w:val="2"/>
            <w:vAlign w:val="center"/>
          </w:tcPr>
          <w:p w:rsidR="004A312B" w:rsidRPr="00B40514" w:rsidRDefault="004A312B" w:rsidP="00D41729">
            <w:pPr>
              <w:pStyle w:val="In-tableHeading"/>
              <w:jc w:val="center"/>
              <w:rPr>
                <w:rStyle w:val="CommentReference"/>
                <w:b/>
                <w:bCs/>
              </w:rPr>
            </w:pPr>
            <w:r w:rsidRPr="00B40514">
              <w:rPr>
                <w:rStyle w:val="CommentReference"/>
                <w:b/>
                <w:bCs/>
              </w:rPr>
              <w:t>Intervention</w:t>
            </w:r>
          </w:p>
        </w:tc>
        <w:tc>
          <w:tcPr>
            <w:tcW w:w="1469" w:type="pct"/>
            <w:gridSpan w:val="2"/>
            <w:vAlign w:val="center"/>
          </w:tcPr>
          <w:p w:rsidR="004A312B" w:rsidRPr="00B40514" w:rsidRDefault="004A312B" w:rsidP="00D41729">
            <w:pPr>
              <w:pStyle w:val="In-tableHeading"/>
              <w:jc w:val="center"/>
              <w:rPr>
                <w:rStyle w:val="CommentReference"/>
                <w:b/>
                <w:bCs/>
              </w:rPr>
            </w:pPr>
            <w:r w:rsidRPr="00B40514">
              <w:rPr>
                <w:rStyle w:val="CommentReference"/>
                <w:b/>
                <w:bCs/>
              </w:rPr>
              <w:t>Comparator</w:t>
            </w:r>
          </w:p>
        </w:tc>
      </w:tr>
      <w:tr w:rsidR="004A312B" w:rsidRPr="004A312B" w:rsidTr="0021277C">
        <w:tc>
          <w:tcPr>
            <w:tcW w:w="2021" w:type="pct"/>
            <w:vMerge w:val="restart"/>
            <w:vAlign w:val="center"/>
          </w:tcPr>
          <w:p w:rsidR="004A312B" w:rsidRPr="004A312B" w:rsidRDefault="004A312B" w:rsidP="00D41729">
            <w:pPr>
              <w:pStyle w:val="3-BodyText"/>
              <w:keepNext/>
              <w:numPr>
                <w:ilvl w:val="0"/>
                <w:numId w:val="0"/>
              </w:numPr>
              <w:spacing w:after="0"/>
              <w:rPr>
                <w:rFonts w:ascii="Arial Narrow" w:hAnsi="Arial Narrow"/>
                <w:b/>
                <w:bCs/>
                <w:color w:val="000000" w:themeColor="text1"/>
                <w:sz w:val="20"/>
                <w:szCs w:val="20"/>
              </w:rPr>
            </w:pPr>
            <w:r w:rsidRPr="004A312B">
              <w:rPr>
                <w:rFonts w:ascii="Arial Narrow" w:hAnsi="Arial Narrow"/>
                <w:b/>
                <w:bCs/>
                <w:color w:val="000000" w:themeColor="text1"/>
                <w:sz w:val="20"/>
                <w:szCs w:val="20"/>
              </w:rPr>
              <w:t>MONALEESA-3</w:t>
            </w:r>
          </w:p>
        </w:tc>
        <w:tc>
          <w:tcPr>
            <w:tcW w:w="1510" w:type="pct"/>
            <w:gridSpan w:val="2"/>
            <w:vAlign w:val="center"/>
          </w:tcPr>
          <w:p w:rsidR="004A312B" w:rsidRPr="004A312B" w:rsidRDefault="004A312B" w:rsidP="00D41729">
            <w:pPr>
              <w:pStyle w:val="3-BodyText"/>
              <w:keepNext/>
              <w:numPr>
                <w:ilvl w:val="0"/>
                <w:numId w:val="0"/>
              </w:numPr>
              <w:spacing w:after="0"/>
              <w:jc w:val="center"/>
              <w:rPr>
                <w:rFonts w:ascii="Arial Narrow" w:hAnsi="Arial Narrow"/>
                <w:b/>
                <w:bCs/>
                <w:color w:val="000000" w:themeColor="text1"/>
                <w:sz w:val="20"/>
                <w:szCs w:val="20"/>
              </w:rPr>
            </w:pPr>
            <w:r w:rsidRPr="004A312B">
              <w:rPr>
                <w:rFonts w:ascii="Arial Narrow" w:hAnsi="Arial Narrow"/>
                <w:b/>
                <w:bCs/>
                <w:color w:val="000000" w:themeColor="text1"/>
                <w:sz w:val="20"/>
                <w:szCs w:val="20"/>
              </w:rPr>
              <w:t>RIBO+FULV500 (N=483)</w:t>
            </w:r>
          </w:p>
        </w:tc>
        <w:tc>
          <w:tcPr>
            <w:tcW w:w="1469" w:type="pct"/>
            <w:gridSpan w:val="2"/>
            <w:vAlign w:val="center"/>
          </w:tcPr>
          <w:p w:rsidR="004A312B" w:rsidRPr="004A312B" w:rsidRDefault="004A312B" w:rsidP="00D41729">
            <w:pPr>
              <w:pStyle w:val="3-BodyText"/>
              <w:keepNext/>
              <w:numPr>
                <w:ilvl w:val="0"/>
                <w:numId w:val="0"/>
              </w:numPr>
              <w:spacing w:after="0"/>
              <w:jc w:val="center"/>
              <w:rPr>
                <w:rFonts w:ascii="Arial Narrow" w:hAnsi="Arial Narrow"/>
                <w:b/>
                <w:bCs/>
                <w:color w:val="000000" w:themeColor="text1"/>
                <w:sz w:val="20"/>
                <w:szCs w:val="20"/>
              </w:rPr>
            </w:pPr>
            <w:r w:rsidRPr="004A312B">
              <w:rPr>
                <w:rFonts w:ascii="Arial Narrow" w:hAnsi="Arial Narrow"/>
                <w:b/>
                <w:bCs/>
                <w:color w:val="000000" w:themeColor="text1"/>
                <w:sz w:val="20"/>
                <w:szCs w:val="20"/>
              </w:rPr>
              <w:t>PBO+FULV500 (N=241)</w:t>
            </w:r>
          </w:p>
        </w:tc>
      </w:tr>
      <w:tr w:rsidR="004A312B" w:rsidRPr="004A312B" w:rsidTr="0021277C">
        <w:tc>
          <w:tcPr>
            <w:tcW w:w="2021" w:type="pct"/>
            <w:vMerge/>
            <w:vAlign w:val="center"/>
          </w:tcPr>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p>
        </w:tc>
        <w:tc>
          <w:tcPr>
            <w:tcW w:w="772" w:type="pct"/>
            <w:vAlign w:val="center"/>
          </w:tcPr>
          <w:p w:rsidR="004A312B" w:rsidRPr="004A312B" w:rsidRDefault="004A312B" w:rsidP="00D41729">
            <w:pPr>
              <w:pStyle w:val="3-BodyText"/>
              <w:keepNext/>
              <w:numPr>
                <w:ilvl w:val="0"/>
                <w:numId w:val="0"/>
              </w:numPr>
              <w:spacing w:after="0"/>
              <w:jc w:val="center"/>
              <w:rPr>
                <w:rFonts w:ascii="Arial Narrow" w:hAnsi="Arial Narrow"/>
                <w:b/>
                <w:color w:val="000000" w:themeColor="text1"/>
                <w:sz w:val="20"/>
                <w:szCs w:val="20"/>
              </w:rPr>
            </w:pPr>
            <w:r w:rsidRPr="004A312B">
              <w:rPr>
                <w:rFonts w:ascii="Arial Narrow" w:hAnsi="Arial Narrow"/>
                <w:b/>
                <w:color w:val="000000" w:themeColor="text1"/>
                <w:sz w:val="20"/>
                <w:szCs w:val="20"/>
              </w:rPr>
              <w:t>All grades</w:t>
            </w:r>
          </w:p>
          <w:p w:rsidR="004A312B" w:rsidRPr="004A312B" w:rsidRDefault="004A312B" w:rsidP="00D41729">
            <w:pPr>
              <w:pStyle w:val="3-BodyText"/>
              <w:keepNext/>
              <w:numPr>
                <w:ilvl w:val="0"/>
                <w:numId w:val="0"/>
              </w:numPr>
              <w:spacing w:after="0"/>
              <w:jc w:val="center"/>
              <w:rPr>
                <w:rFonts w:ascii="Arial Narrow" w:hAnsi="Arial Narrow"/>
                <w:b/>
                <w:color w:val="000000" w:themeColor="text1"/>
                <w:sz w:val="20"/>
                <w:szCs w:val="20"/>
              </w:rPr>
            </w:pPr>
            <w:r w:rsidRPr="004A312B">
              <w:rPr>
                <w:rFonts w:ascii="Arial Narrow" w:hAnsi="Arial Narrow"/>
                <w:b/>
                <w:color w:val="000000" w:themeColor="text1"/>
                <w:sz w:val="20"/>
                <w:szCs w:val="20"/>
              </w:rPr>
              <w:t>n (%)</w:t>
            </w:r>
          </w:p>
        </w:tc>
        <w:tc>
          <w:tcPr>
            <w:tcW w:w="738" w:type="pct"/>
            <w:vAlign w:val="center"/>
          </w:tcPr>
          <w:p w:rsidR="004A312B" w:rsidRPr="004A312B" w:rsidRDefault="004A312B" w:rsidP="00D41729">
            <w:pPr>
              <w:pStyle w:val="3-BodyText"/>
              <w:keepNext/>
              <w:numPr>
                <w:ilvl w:val="0"/>
                <w:numId w:val="0"/>
              </w:numPr>
              <w:spacing w:after="0"/>
              <w:jc w:val="center"/>
              <w:rPr>
                <w:rFonts w:ascii="Arial Narrow" w:hAnsi="Arial Narrow"/>
                <w:b/>
                <w:color w:val="000000" w:themeColor="text1"/>
                <w:sz w:val="20"/>
                <w:szCs w:val="20"/>
              </w:rPr>
            </w:pPr>
            <w:r w:rsidRPr="004A312B">
              <w:rPr>
                <w:rFonts w:ascii="Arial Narrow" w:hAnsi="Arial Narrow"/>
                <w:b/>
                <w:color w:val="000000" w:themeColor="text1"/>
                <w:sz w:val="20"/>
                <w:szCs w:val="20"/>
              </w:rPr>
              <w:t>Grade 3/4</w:t>
            </w:r>
          </w:p>
          <w:p w:rsidR="004A312B" w:rsidRPr="004A312B" w:rsidRDefault="004A312B" w:rsidP="00D41729">
            <w:pPr>
              <w:pStyle w:val="3-BodyText"/>
              <w:keepNext/>
              <w:numPr>
                <w:ilvl w:val="0"/>
                <w:numId w:val="0"/>
              </w:numPr>
              <w:spacing w:after="0"/>
              <w:jc w:val="center"/>
              <w:rPr>
                <w:rFonts w:ascii="Arial Narrow" w:hAnsi="Arial Narrow"/>
                <w:b/>
                <w:color w:val="000000" w:themeColor="text1"/>
                <w:sz w:val="20"/>
                <w:szCs w:val="20"/>
              </w:rPr>
            </w:pPr>
            <w:r w:rsidRPr="004A312B">
              <w:rPr>
                <w:rFonts w:ascii="Arial Narrow" w:hAnsi="Arial Narrow"/>
                <w:b/>
                <w:color w:val="000000" w:themeColor="text1"/>
                <w:sz w:val="20"/>
                <w:szCs w:val="20"/>
              </w:rPr>
              <w:t>n (%)</w:t>
            </w:r>
          </w:p>
        </w:tc>
        <w:tc>
          <w:tcPr>
            <w:tcW w:w="751" w:type="pct"/>
            <w:vAlign w:val="center"/>
          </w:tcPr>
          <w:p w:rsidR="004A312B" w:rsidRPr="004A312B" w:rsidRDefault="004A312B" w:rsidP="00D41729">
            <w:pPr>
              <w:pStyle w:val="3-BodyText"/>
              <w:keepNext/>
              <w:numPr>
                <w:ilvl w:val="0"/>
                <w:numId w:val="0"/>
              </w:numPr>
              <w:spacing w:after="0"/>
              <w:jc w:val="center"/>
              <w:rPr>
                <w:rFonts w:ascii="Arial Narrow" w:hAnsi="Arial Narrow"/>
                <w:b/>
                <w:color w:val="000000" w:themeColor="text1"/>
                <w:sz w:val="20"/>
                <w:szCs w:val="20"/>
              </w:rPr>
            </w:pPr>
            <w:r w:rsidRPr="004A312B">
              <w:rPr>
                <w:rFonts w:ascii="Arial Narrow" w:hAnsi="Arial Narrow"/>
                <w:b/>
                <w:color w:val="000000" w:themeColor="text1"/>
                <w:sz w:val="20"/>
                <w:szCs w:val="20"/>
              </w:rPr>
              <w:t>All grades</w:t>
            </w:r>
          </w:p>
          <w:p w:rsidR="004A312B" w:rsidRPr="004A312B" w:rsidRDefault="004A312B" w:rsidP="00D41729">
            <w:pPr>
              <w:pStyle w:val="3-BodyText"/>
              <w:keepNext/>
              <w:numPr>
                <w:ilvl w:val="0"/>
                <w:numId w:val="0"/>
              </w:numPr>
              <w:spacing w:after="0"/>
              <w:jc w:val="center"/>
              <w:rPr>
                <w:rFonts w:ascii="Arial Narrow" w:hAnsi="Arial Narrow"/>
                <w:b/>
                <w:color w:val="000000" w:themeColor="text1"/>
                <w:sz w:val="20"/>
                <w:szCs w:val="20"/>
              </w:rPr>
            </w:pPr>
            <w:r w:rsidRPr="004A312B">
              <w:rPr>
                <w:rFonts w:ascii="Arial Narrow" w:hAnsi="Arial Narrow"/>
                <w:b/>
                <w:color w:val="000000" w:themeColor="text1"/>
                <w:sz w:val="20"/>
                <w:szCs w:val="20"/>
              </w:rPr>
              <w:t>n (%)</w:t>
            </w:r>
          </w:p>
        </w:tc>
        <w:tc>
          <w:tcPr>
            <w:tcW w:w="718" w:type="pct"/>
            <w:vAlign w:val="center"/>
          </w:tcPr>
          <w:p w:rsidR="004A312B" w:rsidRPr="004A312B" w:rsidRDefault="004A312B" w:rsidP="00D41729">
            <w:pPr>
              <w:pStyle w:val="3-BodyText"/>
              <w:keepNext/>
              <w:numPr>
                <w:ilvl w:val="0"/>
                <w:numId w:val="0"/>
              </w:numPr>
              <w:spacing w:after="0"/>
              <w:jc w:val="center"/>
              <w:rPr>
                <w:rFonts w:ascii="Arial Narrow" w:hAnsi="Arial Narrow"/>
                <w:b/>
                <w:color w:val="000000" w:themeColor="text1"/>
                <w:sz w:val="20"/>
                <w:szCs w:val="20"/>
              </w:rPr>
            </w:pPr>
            <w:r w:rsidRPr="004A312B">
              <w:rPr>
                <w:rFonts w:ascii="Arial Narrow" w:hAnsi="Arial Narrow"/>
                <w:b/>
                <w:color w:val="000000" w:themeColor="text1"/>
                <w:sz w:val="20"/>
                <w:szCs w:val="20"/>
              </w:rPr>
              <w:t>Grade 3/4</w:t>
            </w:r>
          </w:p>
          <w:p w:rsidR="004A312B" w:rsidRPr="004A312B" w:rsidRDefault="004A312B" w:rsidP="00D41729">
            <w:pPr>
              <w:pStyle w:val="3-BodyText"/>
              <w:keepNext/>
              <w:numPr>
                <w:ilvl w:val="0"/>
                <w:numId w:val="0"/>
              </w:numPr>
              <w:spacing w:after="0"/>
              <w:jc w:val="center"/>
              <w:rPr>
                <w:rFonts w:ascii="Arial Narrow" w:hAnsi="Arial Narrow"/>
                <w:b/>
                <w:color w:val="000000" w:themeColor="text1"/>
                <w:sz w:val="20"/>
                <w:szCs w:val="20"/>
              </w:rPr>
            </w:pPr>
            <w:r w:rsidRPr="004A312B">
              <w:rPr>
                <w:rFonts w:ascii="Arial Narrow" w:hAnsi="Arial Narrow"/>
                <w:b/>
                <w:color w:val="000000" w:themeColor="text1"/>
                <w:sz w:val="20"/>
                <w:szCs w:val="20"/>
              </w:rPr>
              <w:t>n (%)</w:t>
            </w:r>
          </w:p>
        </w:tc>
      </w:tr>
      <w:tr w:rsidR="004A312B" w:rsidRPr="004A312B" w:rsidTr="0021277C">
        <w:tc>
          <w:tcPr>
            <w:tcW w:w="2021" w:type="pct"/>
          </w:tcPr>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All deaths</w:t>
            </w:r>
          </w:p>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 xml:space="preserve"> On-treatment deaths</w:t>
            </w:r>
          </w:p>
        </w:tc>
        <w:tc>
          <w:tcPr>
            <w:tcW w:w="772"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70 (14.5)</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13 (2.7)</w:t>
            </w:r>
          </w:p>
        </w:tc>
        <w:tc>
          <w:tcPr>
            <w:tcW w:w="73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w:t>
            </w:r>
          </w:p>
        </w:tc>
        <w:tc>
          <w:tcPr>
            <w:tcW w:w="751"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50 (20.7)</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8 (3.3)</w:t>
            </w:r>
          </w:p>
        </w:tc>
        <w:tc>
          <w:tcPr>
            <w:tcW w:w="71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w:t>
            </w:r>
          </w:p>
        </w:tc>
      </w:tr>
      <w:tr w:rsidR="004A312B" w:rsidRPr="004A312B" w:rsidTr="0021277C">
        <w:tc>
          <w:tcPr>
            <w:tcW w:w="2021" w:type="pct"/>
            <w:vAlign w:val="center"/>
          </w:tcPr>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AEs</w:t>
            </w:r>
          </w:p>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 xml:space="preserve">  Suspected drug-related</w:t>
            </w:r>
          </w:p>
        </w:tc>
        <w:tc>
          <w:tcPr>
            <w:tcW w:w="772"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479 (99.2)</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461 (95.4)</w:t>
            </w:r>
          </w:p>
        </w:tc>
        <w:tc>
          <w:tcPr>
            <w:tcW w:w="73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378 (78.3)</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326 (67.5)</w:t>
            </w:r>
          </w:p>
        </w:tc>
        <w:tc>
          <w:tcPr>
            <w:tcW w:w="751"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231 (95.9)</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164 (68.0)</w:t>
            </w:r>
          </w:p>
        </w:tc>
        <w:tc>
          <w:tcPr>
            <w:tcW w:w="71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71 (29.5)</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19 (7.9)</w:t>
            </w:r>
          </w:p>
        </w:tc>
      </w:tr>
      <w:tr w:rsidR="004A312B" w:rsidRPr="004A312B" w:rsidTr="0021277C">
        <w:tc>
          <w:tcPr>
            <w:tcW w:w="2021" w:type="pct"/>
            <w:vAlign w:val="center"/>
          </w:tcPr>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Serious AEs</w:t>
            </w:r>
          </w:p>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 xml:space="preserve">  Suspected drug-related</w:t>
            </w:r>
          </w:p>
        </w:tc>
        <w:tc>
          <w:tcPr>
            <w:tcW w:w="772"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138 (28.6)</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54 (11.2)</w:t>
            </w:r>
          </w:p>
        </w:tc>
        <w:tc>
          <w:tcPr>
            <w:tcW w:w="73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114 (23.6)</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44 (9.1)</w:t>
            </w:r>
          </w:p>
        </w:tc>
        <w:tc>
          <w:tcPr>
            <w:tcW w:w="751"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40 (16.6)</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6 (2.5)</w:t>
            </w:r>
          </w:p>
        </w:tc>
        <w:tc>
          <w:tcPr>
            <w:tcW w:w="71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34 (14.1)</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4 (1.6)</w:t>
            </w:r>
          </w:p>
        </w:tc>
      </w:tr>
      <w:tr w:rsidR="004A312B" w:rsidRPr="004A312B" w:rsidTr="0021277C">
        <w:tc>
          <w:tcPr>
            <w:tcW w:w="2021" w:type="pct"/>
          </w:tcPr>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AEs of special interest</w:t>
            </w:r>
          </w:p>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 xml:space="preserve">  Suspected drug-related</w:t>
            </w:r>
          </w:p>
        </w:tc>
        <w:tc>
          <w:tcPr>
            <w:tcW w:w="772"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444 (91.9)</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396 (82.0)</w:t>
            </w:r>
          </w:p>
        </w:tc>
        <w:tc>
          <w:tcPr>
            <w:tcW w:w="73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326 (67.5)</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299 (61.9)</w:t>
            </w:r>
          </w:p>
        </w:tc>
        <w:tc>
          <w:tcPr>
            <w:tcW w:w="751"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156 (64.7)</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43 (17.8)</w:t>
            </w:r>
          </w:p>
        </w:tc>
        <w:tc>
          <w:tcPr>
            <w:tcW w:w="71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32 (13.3)</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9 (3.7)</w:t>
            </w:r>
          </w:p>
        </w:tc>
      </w:tr>
      <w:tr w:rsidR="004A312B" w:rsidRPr="004A312B" w:rsidTr="0021277C">
        <w:tc>
          <w:tcPr>
            <w:tcW w:w="2021" w:type="pct"/>
          </w:tcPr>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AEs leading to discontinuation</w:t>
            </w:r>
          </w:p>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 xml:space="preserve">  Suspected drug-related</w:t>
            </w:r>
          </w:p>
        </w:tc>
        <w:tc>
          <w:tcPr>
            <w:tcW w:w="772"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83 (17.2)</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68 (14.1)</w:t>
            </w:r>
          </w:p>
        </w:tc>
        <w:tc>
          <w:tcPr>
            <w:tcW w:w="73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48 (10)</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37 (7.7)</w:t>
            </w:r>
          </w:p>
        </w:tc>
        <w:tc>
          <w:tcPr>
            <w:tcW w:w="751"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15 (6.2)</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8 (3.3)</w:t>
            </w:r>
          </w:p>
        </w:tc>
        <w:tc>
          <w:tcPr>
            <w:tcW w:w="71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10 (4.1)</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4 (1.7)</w:t>
            </w:r>
          </w:p>
        </w:tc>
      </w:tr>
      <w:tr w:rsidR="004A312B" w:rsidRPr="004A312B" w:rsidTr="0021277C">
        <w:tc>
          <w:tcPr>
            <w:tcW w:w="2021" w:type="pct"/>
          </w:tcPr>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AEs requiring dose interruption/change</w:t>
            </w:r>
          </w:p>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 xml:space="preserve">  Suspected drug-related</w:t>
            </w:r>
          </w:p>
        </w:tc>
        <w:tc>
          <w:tcPr>
            <w:tcW w:w="772"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361 (74.7)</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330 (68.3)</w:t>
            </w:r>
          </w:p>
        </w:tc>
        <w:tc>
          <w:tcPr>
            <w:tcW w:w="73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305 (63.2)</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284 (58.8)</w:t>
            </w:r>
          </w:p>
        </w:tc>
        <w:tc>
          <w:tcPr>
            <w:tcW w:w="751"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55 (22.8)</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25 (10.4)</w:t>
            </w:r>
          </w:p>
        </w:tc>
        <w:tc>
          <w:tcPr>
            <w:tcW w:w="71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23 (9.6)</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9 (3.7)</w:t>
            </w:r>
          </w:p>
        </w:tc>
      </w:tr>
      <w:tr w:rsidR="004A312B" w:rsidRPr="004A312B" w:rsidTr="0021277C">
        <w:tc>
          <w:tcPr>
            <w:tcW w:w="2021" w:type="pct"/>
          </w:tcPr>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AEs requiring additional therapy</w:t>
            </w:r>
          </w:p>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 xml:space="preserve">  Suspected drug-related</w:t>
            </w:r>
          </w:p>
        </w:tc>
        <w:tc>
          <w:tcPr>
            <w:tcW w:w="772"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420 (87.0)</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295 (61.1)</w:t>
            </w:r>
          </w:p>
        </w:tc>
        <w:tc>
          <w:tcPr>
            <w:tcW w:w="73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174 (36)</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93 (19.3)</w:t>
            </w:r>
          </w:p>
        </w:tc>
        <w:tc>
          <w:tcPr>
            <w:tcW w:w="751"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189 (78.4)</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67 (27.8)</w:t>
            </w:r>
          </w:p>
        </w:tc>
        <w:tc>
          <w:tcPr>
            <w:tcW w:w="71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48 (20)</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4 (1.7)</w:t>
            </w:r>
          </w:p>
        </w:tc>
      </w:tr>
      <w:tr w:rsidR="004A312B" w:rsidRPr="004A312B" w:rsidTr="0021277C">
        <w:tc>
          <w:tcPr>
            <w:tcW w:w="2021" w:type="pct"/>
            <w:vMerge w:val="restart"/>
            <w:vAlign w:val="center"/>
          </w:tcPr>
          <w:p w:rsidR="004A312B" w:rsidRPr="004A312B" w:rsidRDefault="004A312B" w:rsidP="00D41729">
            <w:pPr>
              <w:pStyle w:val="3-BodyText"/>
              <w:keepNext/>
              <w:numPr>
                <w:ilvl w:val="0"/>
                <w:numId w:val="0"/>
              </w:numPr>
              <w:spacing w:after="0"/>
              <w:rPr>
                <w:rFonts w:ascii="Arial Narrow" w:hAnsi="Arial Narrow"/>
                <w:b/>
                <w:bCs/>
                <w:color w:val="000000" w:themeColor="text1"/>
                <w:sz w:val="20"/>
                <w:szCs w:val="20"/>
              </w:rPr>
            </w:pPr>
            <w:r w:rsidRPr="004A312B">
              <w:rPr>
                <w:rFonts w:ascii="Arial Narrow" w:hAnsi="Arial Narrow"/>
                <w:b/>
                <w:bCs/>
                <w:color w:val="000000" w:themeColor="text1"/>
                <w:sz w:val="20"/>
                <w:szCs w:val="20"/>
              </w:rPr>
              <w:t>MONALEESA-2</w:t>
            </w:r>
          </w:p>
          <w:p w:rsidR="004A312B" w:rsidRPr="004A312B" w:rsidRDefault="004A312B" w:rsidP="00D41729">
            <w:pPr>
              <w:pStyle w:val="3-BodyText"/>
              <w:keepNext/>
              <w:numPr>
                <w:ilvl w:val="0"/>
                <w:numId w:val="0"/>
              </w:numPr>
              <w:spacing w:after="0"/>
              <w:rPr>
                <w:rFonts w:ascii="Arial Narrow" w:hAnsi="Arial Narrow"/>
                <w:b/>
                <w:bCs/>
                <w:color w:val="000000" w:themeColor="text1"/>
                <w:sz w:val="20"/>
                <w:szCs w:val="20"/>
              </w:rPr>
            </w:pPr>
          </w:p>
        </w:tc>
        <w:tc>
          <w:tcPr>
            <w:tcW w:w="1510" w:type="pct"/>
            <w:gridSpan w:val="2"/>
            <w:vAlign w:val="center"/>
          </w:tcPr>
          <w:p w:rsidR="004A312B" w:rsidRPr="004A312B" w:rsidRDefault="004A312B" w:rsidP="00D41729">
            <w:pPr>
              <w:pStyle w:val="3-BodyText"/>
              <w:keepNext/>
              <w:numPr>
                <w:ilvl w:val="0"/>
                <w:numId w:val="0"/>
              </w:numPr>
              <w:spacing w:after="0"/>
              <w:jc w:val="center"/>
              <w:rPr>
                <w:rFonts w:ascii="Arial Narrow" w:hAnsi="Arial Narrow"/>
                <w:b/>
                <w:bCs/>
                <w:color w:val="000000" w:themeColor="text1"/>
                <w:sz w:val="20"/>
                <w:szCs w:val="20"/>
              </w:rPr>
            </w:pPr>
            <w:r w:rsidRPr="004A312B">
              <w:rPr>
                <w:rFonts w:ascii="Arial Narrow" w:hAnsi="Arial Narrow"/>
                <w:b/>
                <w:bCs/>
                <w:color w:val="000000" w:themeColor="text1"/>
                <w:sz w:val="20"/>
                <w:szCs w:val="20"/>
              </w:rPr>
              <w:t>RIBO+NSAI(LET) (N=334)</w:t>
            </w:r>
          </w:p>
        </w:tc>
        <w:tc>
          <w:tcPr>
            <w:tcW w:w="1469" w:type="pct"/>
            <w:gridSpan w:val="2"/>
            <w:vAlign w:val="center"/>
          </w:tcPr>
          <w:p w:rsidR="004A312B" w:rsidRPr="004A312B" w:rsidRDefault="004A312B" w:rsidP="00D41729">
            <w:pPr>
              <w:pStyle w:val="3-BodyText"/>
              <w:keepNext/>
              <w:numPr>
                <w:ilvl w:val="0"/>
                <w:numId w:val="0"/>
              </w:numPr>
              <w:spacing w:after="0"/>
              <w:jc w:val="center"/>
              <w:rPr>
                <w:rFonts w:ascii="Arial Narrow" w:hAnsi="Arial Narrow"/>
                <w:b/>
                <w:bCs/>
                <w:color w:val="000000" w:themeColor="text1"/>
                <w:sz w:val="20"/>
                <w:szCs w:val="20"/>
              </w:rPr>
            </w:pPr>
            <w:r w:rsidRPr="004A312B">
              <w:rPr>
                <w:rFonts w:ascii="Arial Narrow" w:hAnsi="Arial Narrow"/>
                <w:b/>
                <w:bCs/>
                <w:color w:val="000000" w:themeColor="text1"/>
                <w:sz w:val="20"/>
                <w:szCs w:val="20"/>
              </w:rPr>
              <w:t>PBO+NSAI(LET) (N=330)</w:t>
            </w:r>
          </w:p>
        </w:tc>
      </w:tr>
      <w:tr w:rsidR="004A312B" w:rsidRPr="004A312B" w:rsidTr="0021277C">
        <w:tc>
          <w:tcPr>
            <w:tcW w:w="2021" w:type="pct"/>
            <w:vMerge/>
            <w:vAlign w:val="center"/>
          </w:tcPr>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p>
        </w:tc>
        <w:tc>
          <w:tcPr>
            <w:tcW w:w="772" w:type="pct"/>
            <w:vAlign w:val="center"/>
          </w:tcPr>
          <w:p w:rsidR="004A312B" w:rsidRPr="004A312B" w:rsidRDefault="004A312B" w:rsidP="00D41729">
            <w:pPr>
              <w:pStyle w:val="3-BodyText"/>
              <w:keepNext/>
              <w:numPr>
                <w:ilvl w:val="0"/>
                <w:numId w:val="0"/>
              </w:numPr>
              <w:spacing w:after="0"/>
              <w:jc w:val="center"/>
              <w:rPr>
                <w:rFonts w:ascii="Arial Narrow" w:hAnsi="Arial Narrow"/>
                <w:b/>
                <w:bCs/>
                <w:color w:val="000000" w:themeColor="text1"/>
                <w:sz w:val="20"/>
                <w:szCs w:val="20"/>
              </w:rPr>
            </w:pPr>
            <w:r w:rsidRPr="004A312B">
              <w:rPr>
                <w:rFonts w:ascii="Arial Narrow" w:hAnsi="Arial Narrow"/>
                <w:b/>
                <w:bCs/>
                <w:color w:val="000000" w:themeColor="text1"/>
                <w:sz w:val="20"/>
                <w:szCs w:val="20"/>
              </w:rPr>
              <w:t>All grades</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
                <w:bCs/>
                <w:color w:val="000000" w:themeColor="text1"/>
                <w:sz w:val="20"/>
                <w:szCs w:val="20"/>
              </w:rPr>
              <w:t>n (%)</w:t>
            </w:r>
          </w:p>
        </w:tc>
        <w:tc>
          <w:tcPr>
            <w:tcW w:w="738" w:type="pct"/>
            <w:vAlign w:val="center"/>
          </w:tcPr>
          <w:p w:rsidR="004A312B" w:rsidRPr="004A312B" w:rsidRDefault="004A312B" w:rsidP="00D41729">
            <w:pPr>
              <w:pStyle w:val="3-BodyText"/>
              <w:keepNext/>
              <w:numPr>
                <w:ilvl w:val="0"/>
                <w:numId w:val="0"/>
              </w:numPr>
              <w:spacing w:after="0"/>
              <w:jc w:val="center"/>
              <w:rPr>
                <w:rFonts w:ascii="Arial Narrow" w:hAnsi="Arial Narrow"/>
                <w:b/>
                <w:bCs/>
                <w:color w:val="000000" w:themeColor="text1"/>
                <w:sz w:val="20"/>
                <w:szCs w:val="20"/>
              </w:rPr>
            </w:pPr>
            <w:r w:rsidRPr="004A312B">
              <w:rPr>
                <w:rFonts w:ascii="Arial Narrow" w:hAnsi="Arial Narrow"/>
                <w:b/>
                <w:bCs/>
                <w:color w:val="000000" w:themeColor="text1"/>
                <w:sz w:val="20"/>
                <w:szCs w:val="20"/>
              </w:rPr>
              <w:t>Grade 3/4</w:t>
            </w:r>
          </w:p>
          <w:p w:rsidR="004A312B" w:rsidRPr="004A312B" w:rsidRDefault="004A312B" w:rsidP="00D41729">
            <w:pPr>
              <w:pStyle w:val="3-BodyText"/>
              <w:keepNext/>
              <w:numPr>
                <w:ilvl w:val="0"/>
                <w:numId w:val="0"/>
              </w:numPr>
              <w:spacing w:after="0"/>
              <w:jc w:val="center"/>
              <w:rPr>
                <w:rFonts w:ascii="Arial Narrow" w:hAnsi="Arial Narrow"/>
                <w:b/>
                <w:bCs/>
                <w:color w:val="000000" w:themeColor="text1"/>
                <w:sz w:val="20"/>
                <w:szCs w:val="20"/>
              </w:rPr>
            </w:pPr>
            <w:r w:rsidRPr="004A312B">
              <w:rPr>
                <w:rFonts w:ascii="Arial Narrow" w:hAnsi="Arial Narrow"/>
                <w:b/>
                <w:bCs/>
                <w:color w:val="000000" w:themeColor="text1"/>
                <w:sz w:val="20"/>
                <w:szCs w:val="20"/>
              </w:rPr>
              <w:t>n (%)</w:t>
            </w:r>
          </w:p>
        </w:tc>
        <w:tc>
          <w:tcPr>
            <w:tcW w:w="751" w:type="pct"/>
            <w:vAlign w:val="center"/>
          </w:tcPr>
          <w:p w:rsidR="004A312B" w:rsidRPr="004A312B" w:rsidRDefault="004A312B" w:rsidP="00D41729">
            <w:pPr>
              <w:pStyle w:val="3-BodyText"/>
              <w:keepNext/>
              <w:numPr>
                <w:ilvl w:val="0"/>
                <w:numId w:val="0"/>
              </w:numPr>
              <w:spacing w:after="0"/>
              <w:jc w:val="center"/>
              <w:rPr>
                <w:rFonts w:ascii="Arial Narrow" w:hAnsi="Arial Narrow"/>
                <w:b/>
                <w:bCs/>
                <w:color w:val="000000" w:themeColor="text1"/>
                <w:sz w:val="20"/>
                <w:szCs w:val="20"/>
              </w:rPr>
            </w:pPr>
            <w:r w:rsidRPr="004A312B">
              <w:rPr>
                <w:rFonts w:ascii="Arial Narrow" w:hAnsi="Arial Narrow"/>
                <w:b/>
                <w:bCs/>
                <w:color w:val="000000" w:themeColor="text1"/>
                <w:sz w:val="20"/>
                <w:szCs w:val="20"/>
              </w:rPr>
              <w:t>All grades</w:t>
            </w:r>
          </w:p>
          <w:p w:rsidR="004A312B" w:rsidRPr="004A312B" w:rsidRDefault="004A312B" w:rsidP="00D41729">
            <w:pPr>
              <w:pStyle w:val="3-BodyText"/>
              <w:keepNext/>
              <w:numPr>
                <w:ilvl w:val="0"/>
                <w:numId w:val="0"/>
              </w:numPr>
              <w:spacing w:after="0"/>
              <w:jc w:val="center"/>
              <w:rPr>
                <w:rFonts w:ascii="Arial Narrow" w:hAnsi="Arial Narrow"/>
                <w:b/>
                <w:bCs/>
                <w:color w:val="000000" w:themeColor="text1"/>
                <w:sz w:val="20"/>
                <w:szCs w:val="20"/>
              </w:rPr>
            </w:pPr>
            <w:r w:rsidRPr="004A312B">
              <w:rPr>
                <w:rFonts w:ascii="Arial Narrow" w:hAnsi="Arial Narrow"/>
                <w:b/>
                <w:bCs/>
                <w:color w:val="000000" w:themeColor="text1"/>
                <w:sz w:val="20"/>
                <w:szCs w:val="20"/>
              </w:rPr>
              <w:t>n (%)</w:t>
            </w:r>
          </w:p>
        </w:tc>
        <w:tc>
          <w:tcPr>
            <w:tcW w:w="718" w:type="pct"/>
            <w:vAlign w:val="center"/>
          </w:tcPr>
          <w:p w:rsidR="004A312B" w:rsidRPr="004A312B" w:rsidRDefault="004A312B" w:rsidP="00D41729">
            <w:pPr>
              <w:pStyle w:val="3-BodyText"/>
              <w:keepNext/>
              <w:numPr>
                <w:ilvl w:val="0"/>
                <w:numId w:val="0"/>
              </w:numPr>
              <w:spacing w:after="0"/>
              <w:jc w:val="center"/>
              <w:rPr>
                <w:rFonts w:ascii="Arial Narrow" w:hAnsi="Arial Narrow"/>
                <w:b/>
                <w:bCs/>
                <w:color w:val="000000" w:themeColor="text1"/>
                <w:sz w:val="20"/>
                <w:szCs w:val="20"/>
              </w:rPr>
            </w:pPr>
            <w:r w:rsidRPr="004A312B">
              <w:rPr>
                <w:rFonts w:ascii="Arial Narrow" w:hAnsi="Arial Narrow"/>
                <w:b/>
                <w:bCs/>
                <w:color w:val="000000" w:themeColor="text1"/>
                <w:sz w:val="20"/>
                <w:szCs w:val="20"/>
              </w:rPr>
              <w:t>Grade 3/4</w:t>
            </w:r>
          </w:p>
          <w:p w:rsidR="004A312B" w:rsidRPr="004A312B" w:rsidRDefault="004A312B" w:rsidP="00D41729">
            <w:pPr>
              <w:pStyle w:val="3-BodyText"/>
              <w:keepNext/>
              <w:numPr>
                <w:ilvl w:val="0"/>
                <w:numId w:val="0"/>
              </w:numPr>
              <w:spacing w:after="0"/>
              <w:jc w:val="center"/>
              <w:rPr>
                <w:rFonts w:ascii="Arial Narrow" w:hAnsi="Arial Narrow"/>
                <w:b/>
                <w:bCs/>
                <w:color w:val="000000" w:themeColor="text1"/>
                <w:sz w:val="20"/>
                <w:szCs w:val="20"/>
              </w:rPr>
            </w:pPr>
            <w:r w:rsidRPr="004A312B">
              <w:rPr>
                <w:rFonts w:ascii="Arial Narrow" w:hAnsi="Arial Narrow"/>
                <w:b/>
                <w:bCs/>
                <w:color w:val="000000" w:themeColor="text1"/>
                <w:sz w:val="20"/>
                <w:szCs w:val="20"/>
              </w:rPr>
              <w:t>n (%)</w:t>
            </w:r>
          </w:p>
        </w:tc>
      </w:tr>
      <w:tr w:rsidR="004A312B" w:rsidRPr="004A312B" w:rsidTr="0021277C">
        <w:tc>
          <w:tcPr>
            <w:tcW w:w="2021" w:type="pct"/>
          </w:tcPr>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All deaths</w:t>
            </w:r>
          </w:p>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On-treatment deaths</w:t>
            </w:r>
          </w:p>
        </w:tc>
        <w:tc>
          <w:tcPr>
            <w:tcW w:w="772"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34 (10.2)</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6 (1.8)</w:t>
            </w:r>
          </w:p>
        </w:tc>
        <w:tc>
          <w:tcPr>
            <w:tcW w:w="73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w:t>
            </w:r>
          </w:p>
        </w:tc>
        <w:tc>
          <w:tcPr>
            <w:tcW w:w="751"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33 (10.0)</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1 (0.3)</w:t>
            </w:r>
          </w:p>
        </w:tc>
        <w:tc>
          <w:tcPr>
            <w:tcW w:w="71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w:t>
            </w:r>
          </w:p>
        </w:tc>
      </w:tr>
      <w:tr w:rsidR="004A312B" w:rsidRPr="004A312B" w:rsidTr="0021277C">
        <w:tc>
          <w:tcPr>
            <w:tcW w:w="2021" w:type="pct"/>
          </w:tcPr>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AEs</w:t>
            </w:r>
          </w:p>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 xml:space="preserve">  Suspected drug-related</w:t>
            </w:r>
          </w:p>
        </w:tc>
        <w:tc>
          <w:tcPr>
            <w:tcW w:w="772"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330 (98.8)</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322 (96.4)</w:t>
            </w:r>
          </w:p>
        </w:tc>
        <w:tc>
          <w:tcPr>
            <w:tcW w:w="73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279 (83.5)</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249 (74.6)</w:t>
            </w:r>
          </w:p>
        </w:tc>
        <w:tc>
          <w:tcPr>
            <w:tcW w:w="751"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322 (97.6)</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257 (77.9)</w:t>
            </w:r>
          </w:p>
        </w:tc>
        <w:tc>
          <w:tcPr>
            <w:tcW w:w="71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115 (34.8)</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30 (9.1)</w:t>
            </w:r>
          </w:p>
        </w:tc>
      </w:tr>
      <w:tr w:rsidR="004A312B" w:rsidRPr="004A312B" w:rsidTr="0021277C">
        <w:tc>
          <w:tcPr>
            <w:tcW w:w="2021" w:type="pct"/>
          </w:tcPr>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Serious AEs</w:t>
            </w:r>
          </w:p>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 xml:space="preserve">  Suspected drug-related</w:t>
            </w:r>
          </w:p>
        </w:tc>
        <w:tc>
          <w:tcPr>
            <w:tcW w:w="772"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78 (23.4)</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27 (8.1)</w:t>
            </w:r>
          </w:p>
        </w:tc>
        <w:tc>
          <w:tcPr>
            <w:tcW w:w="73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64 (19.2)</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24 (7.2)</w:t>
            </w:r>
          </w:p>
        </w:tc>
        <w:tc>
          <w:tcPr>
            <w:tcW w:w="751"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45 (13.6)</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5 (1.5)</w:t>
            </w:r>
          </w:p>
        </w:tc>
        <w:tc>
          <w:tcPr>
            <w:tcW w:w="71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31 (9.4)</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3 (0.9)</w:t>
            </w:r>
          </w:p>
        </w:tc>
      </w:tr>
      <w:tr w:rsidR="004A312B" w:rsidRPr="004A312B" w:rsidTr="0021277C">
        <w:tc>
          <w:tcPr>
            <w:tcW w:w="2021" w:type="pct"/>
          </w:tcPr>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AEs of special interest</w:t>
            </w:r>
          </w:p>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 xml:space="preserve">   Suspected drug-related</w:t>
            </w:r>
          </w:p>
        </w:tc>
        <w:tc>
          <w:tcPr>
            <w:tcW w:w="772"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323 (96.7)</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308 (92.2)</w:t>
            </w:r>
          </w:p>
        </w:tc>
        <w:tc>
          <w:tcPr>
            <w:tcW w:w="73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247 (74)</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230 (68.9)</w:t>
            </w:r>
          </w:p>
        </w:tc>
        <w:tc>
          <w:tcPr>
            <w:tcW w:w="751"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238 (72.1)</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131 (39.7)</w:t>
            </w:r>
          </w:p>
        </w:tc>
        <w:tc>
          <w:tcPr>
            <w:tcW w:w="71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40 (12.1)</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13 (3.9)</w:t>
            </w:r>
          </w:p>
        </w:tc>
      </w:tr>
      <w:tr w:rsidR="004A312B" w:rsidRPr="004A312B" w:rsidTr="0021277C">
        <w:tc>
          <w:tcPr>
            <w:tcW w:w="2021" w:type="pct"/>
          </w:tcPr>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AEs leading to discontinuation</w:t>
            </w:r>
          </w:p>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 xml:space="preserve">  Suspected drug-related</w:t>
            </w:r>
          </w:p>
        </w:tc>
        <w:tc>
          <w:tcPr>
            <w:tcW w:w="772"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52 (15.6)</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45 (13.5)</w:t>
            </w:r>
          </w:p>
        </w:tc>
        <w:tc>
          <w:tcPr>
            <w:tcW w:w="73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39 (11.7)</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32 (9.6)</w:t>
            </w:r>
          </w:p>
        </w:tc>
        <w:tc>
          <w:tcPr>
            <w:tcW w:w="751"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12 (3.6)</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7 (2.1)</w:t>
            </w:r>
          </w:p>
        </w:tc>
        <w:tc>
          <w:tcPr>
            <w:tcW w:w="71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6 (1.8)</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1 (0.3)</w:t>
            </w:r>
          </w:p>
        </w:tc>
      </w:tr>
      <w:tr w:rsidR="004A312B" w:rsidRPr="004A312B" w:rsidTr="0021277C">
        <w:tc>
          <w:tcPr>
            <w:tcW w:w="2021" w:type="pct"/>
          </w:tcPr>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AEs requiring dose interruption/change</w:t>
            </w:r>
          </w:p>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 xml:space="preserve">  Suspected drug-related</w:t>
            </w:r>
          </w:p>
        </w:tc>
        <w:tc>
          <w:tcPr>
            <w:tcW w:w="772"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252 (75.4)</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235 (70.4)</w:t>
            </w:r>
          </w:p>
        </w:tc>
        <w:tc>
          <w:tcPr>
            <w:tcW w:w="73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220 (65.9)</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209 (62.6)</w:t>
            </w:r>
          </w:p>
        </w:tc>
        <w:tc>
          <w:tcPr>
            <w:tcW w:w="751"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56 (17.0)</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27 (8.2)</w:t>
            </w:r>
          </w:p>
        </w:tc>
        <w:tc>
          <w:tcPr>
            <w:tcW w:w="71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20 (6.1)</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9 (2.7)</w:t>
            </w:r>
          </w:p>
        </w:tc>
      </w:tr>
      <w:tr w:rsidR="004A312B" w:rsidRPr="004A312B" w:rsidTr="0021277C">
        <w:tc>
          <w:tcPr>
            <w:tcW w:w="2021" w:type="pct"/>
          </w:tcPr>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AEs requiring additional therapy</w:t>
            </w:r>
          </w:p>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 xml:space="preserve">  Suspected drug-related</w:t>
            </w:r>
          </w:p>
        </w:tc>
        <w:tc>
          <w:tcPr>
            <w:tcW w:w="772"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302 (90.4)</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219 (65.6)</w:t>
            </w:r>
          </w:p>
        </w:tc>
        <w:tc>
          <w:tcPr>
            <w:tcW w:w="73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120 (35.9)</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66 (19.8)</w:t>
            </w:r>
          </w:p>
        </w:tc>
        <w:tc>
          <w:tcPr>
            <w:tcW w:w="751"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279 (84.5)</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125 (37.9)</w:t>
            </w:r>
          </w:p>
        </w:tc>
        <w:tc>
          <w:tcPr>
            <w:tcW w:w="718"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71 (21.5)</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18 (5.5)</w:t>
            </w:r>
          </w:p>
        </w:tc>
      </w:tr>
      <w:tr w:rsidR="004A312B" w:rsidRPr="004A312B" w:rsidTr="0021277C">
        <w:tc>
          <w:tcPr>
            <w:tcW w:w="2021" w:type="pct"/>
            <w:vMerge w:val="restart"/>
            <w:vAlign w:val="center"/>
          </w:tcPr>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
                <w:bCs/>
                <w:color w:val="000000" w:themeColor="text1"/>
                <w:sz w:val="20"/>
                <w:szCs w:val="20"/>
              </w:rPr>
              <w:t>BOLERO-2</w:t>
            </w:r>
          </w:p>
        </w:tc>
        <w:tc>
          <w:tcPr>
            <w:tcW w:w="1510" w:type="pct"/>
            <w:gridSpan w:val="2"/>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
                <w:bCs/>
                <w:color w:val="000000" w:themeColor="text1"/>
                <w:sz w:val="20"/>
                <w:szCs w:val="20"/>
              </w:rPr>
              <w:t xml:space="preserve">EVE+EXE </w:t>
            </w:r>
            <w:r w:rsidRPr="004A312B">
              <w:rPr>
                <w:rFonts w:ascii="Arial Narrow" w:hAnsi="Arial Narrow"/>
                <w:b/>
                <w:color w:val="000000" w:themeColor="text1"/>
                <w:sz w:val="20"/>
                <w:szCs w:val="20"/>
              </w:rPr>
              <w:t>(N=482)</w:t>
            </w:r>
          </w:p>
        </w:tc>
        <w:tc>
          <w:tcPr>
            <w:tcW w:w="1469" w:type="pct"/>
            <w:gridSpan w:val="2"/>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
                <w:bCs/>
                <w:color w:val="000000" w:themeColor="text1"/>
                <w:sz w:val="20"/>
                <w:szCs w:val="20"/>
              </w:rPr>
              <w:t xml:space="preserve">PBO+EXE </w:t>
            </w:r>
            <w:r w:rsidRPr="004A312B">
              <w:rPr>
                <w:rFonts w:ascii="Arial Narrow" w:hAnsi="Arial Narrow"/>
                <w:b/>
                <w:color w:val="000000" w:themeColor="text1"/>
                <w:sz w:val="20"/>
                <w:szCs w:val="20"/>
              </w:rPr>
              <w:t>(N=238)</w:t>
            </w:r>
          </w:p>
        </w:tc>
      </w:tr>
      <w:tr w:rsidR="004A312B" w:rsidRPr="004A312B" w:rsidTr="0021277C">
        <w:tc>
          <w:tcPr>
            <w:tcW w:w="2021" w:type="pct"/>
            <w:vMerge/>
            <w:vAlign w:val="center"/>
          </w:tcPr>
          <w:p w:rsidR="004A312B" w:rsidRPr="004A312B" w:rsidRDefault="004A312B" w:rsidP="00D41729">
            <w:pPr>
              <w:pStyle w:val="3-BodyText"/>
              <w:keepNext/>
              <w:numPr>
                <w:ilvl w:val="0"/>
                <w:numId w:val="0"/>
              </w:numPr>
              <w:spacing w:after="0"/>
              <w:rPr>
                <w:rFonts w:ascii="Arial Narrow" w:hAnsi="Arial Narrow"/>
                <w:b/>
                <w:bCs/>
                <w:color w:val="000000" w:themeColor="text1"/>
                <w:sz w:val="20"/>
                <w:szCs w:val="20"/>
              </w:rPr>
            </w:pPr>
          </w:p>
        </w:tc>
        <w:tc>
          <w:tcPr>
            <w:tcW w:w="772" w:type="pct"/>
            <w:vAlign w:val="center"/>
          </w:tcPr>
          <w:p w:rsidR="004A312B" w:rsidRPr="004A312B" w:rsidRDefault="004A312B" w:rsidP="00D41729">
            <w:pPr>
              <w:pStyle w:val="3-BodyText"/>
              <w:keepNext/>
              <w:numPr>
                <w:ilvl w:val="0"/>
                <w:numId w:val="0"/>
              </w:numPr>
              <w:spacing w:after="0"/>
              <w:jc w:val="center"/>
              <w:rPr>
                <w:rFonts w:ascii="Arial Narrow" w:hAnsi="Arial Narrow"/>
                <w:b/>
                <w:bCs/>
                <w:color w:val="000000" w:themeColor="text1"/>
                <w:sz w:val="20"/>
                <w:szCs w:val="20"/>
              </w:rPr>
            </w:pPr>
            <w:r w:rsidRPr="004A312B">
              <w:rPr>
                <w:rFonts w:ascii="Arial Narrow" w:hAnsi="Arial Narrow"/>
                <w:b/>
                <w:bCs/>
                <w:color w:val="000000" w:themeColor="text1"/>
                <w:sz w:val="20"/>
                <w:szCs w:val="20"/>
              </w:rPr>
              <w:t>All grades</w:t>
            </w:r>
          </w:p>
          <w:p w:rsidR="004A312B" w:rsidRPr="004A312B" w:rsidRDefault="004A312B" w:rsidP="00D41729">
            <w:pPr>
              <w:pStyle w:val="3-BodyText"/>
              <w:keepNext/>
              <w:numPr>
                <w:ilvl w:val="0"/>
                <w:numId w:val="0"/>
              </w:numPr>
              <w:spacing w:after="0"/>
              <w:jc w:val="center"/>
              <w:rPr>
                <w:rFonts w:ascii="Arial Narrow" w:hAnsi="Arial Narrow"/>
                <w:b/>
                <w:bCs/>
                <w:color w:val="000000" w:themeColor="text1"/>
                <w:sz w:val="20"/>
                <w:szCs w:val="20"/>
              </w:rPr>
            </w:pPr>
            <w:r w:rsidRPr="004A312B">
              <w:rPr>
                <w:rFonts w:ascii="Arial Narrow" w:hAnsi="Arial Narrow"/>
                <w:b/>
                <w:bCs/>
                <w:color w:val="000000" w:themeColor="text1"/>
                <w:sz w:val="20"/>
                <w:szCs w:val="20"/>
              </w:rPr>
              <w:t>n (%)</w:t>
            </w:r>
          </w:p>
        </w:tc>
        <w:tc>
          <w:tcPr>
            <w:tcW w:w="738" w:type="pct"/>
            <w:vAlign w:val="center"/>
          </w:tcPr>
          <w:p w:rsidR="004A312B" w:rsidRPr="004A312B" w:rsidRDefault="004A312B" w:rsidP="00D41729">
            <w:pPr>
              <w:pStyle w:val="3-BodyText"/>
              <w:keepNext/>
              <w:numPr>
                <w:ilvl w:val="0"/>
                <w:numId w:val="0"/>
              </w:numPr>
              <w:spacing w:after="0"/>
              <w:jc w:val="center"/>
              <w:rPr>
                <w:rFonts w:ascii="Arial Narrow" w:hAnsi="Arial Narrow"/>
                <w:b/>
                <w:bCs/>
                <w:color w:val="000000" w:themeColor="text1"/>
                <w:sz w:val="20"/>
                <w:szCs w:val="20"/>
              </w:rPr>
            </w:pPr>
            <w:r w:rsidRPr="004A312B">
              <w:rPr>
                <w:rFonts w:ascii="Arial Narrow" w:hAnsi="Arial Narrow"/>
                <w:b/>
                <w:bCs/>
                <w:color w:val="000000" w:themeColor="text1"/>
                <w:sz w:val="20"/>
                <w:szCs w:val="20"/>
              </w:rPr>
              <w:t>Grade 3/4</w:t>
            </w:r>
          </w:p>
          <w:p w:rsidR="004A312B" w:rsidRPr="004A312B" w:rsidRDefault="004A312B" w:rsidP="00D41729">
            <w:pPr>
              <w:pStyle w:val="3-BodyText"/>
              <w:keepNext/>
              <w:numPr>
                <w:ilvl w:val="0"/>
                <w:numId w:val="0"/>
              </w:numPr>
              <w:spacing w:after="0"/>
              <w:jc w:val="center"/>
              <w:rPr>
                <w:rFonts w:ascii="Arial Narrow" w:hAnsi="Arial Narrow"/>
                <w:b/>
                <w:bCs/>
                <w:color w:val="000000" w:themeColor="text1"/>
                <w:sz w:val="20"/>
                <w:szCs w:val="20"/>
              </w:rPr>
            </w:pPr>
            <w:r w:rsidRPr="004A312B">
              <w:rPr>
                <w:rFonts w:ascii="Arial Narrow" w:hAnsi="Arial Narrow"/>
                <w:b/>
                <w:bCs/>
                <w:color w:val="000000" w:themeColor="text1"/>
                <w:sz w:val="20"/>
                <w:szCs w:val="20"/>
              </w:rPr>
              <w:t>n (%)</w:t>
            </w:r>
          </w:p>
        </w:tc>
        <w:tc>
          <w:tcPr>
            <w:tcW w:w="751" w:type="pct"/>
            <w:vAlign w:val="center"/>
          </w:tcPr>
          <w:p w:rsidR="004A312B" w:rsidRPr="004A312B" w:rsidRDefault="004A312B" w:rsidP="00D41729">
            <w:pPr>
              <w:pStyle w:val="3-BodyText"/>
              <w:keepNext/>
              <w:numPr>
                <w:ilvl w:val="0"/>
                <w:numId w:val="0"/>
              </w:numPr>
              <w:spacing w:after="0"/>
              <w:jc w:val="center"/>
              <w:rPr>
                <w:rFonts w:ascii="Arial Narrow" w:hAnsi="Arial Narrow"/>
                <w:b/>
                <w:bCs/>
                <w:color w:val="000000" w:themeColor="text1"/>
                <w:sz w:val="20"/>
                <w:szCs w:val="20"/>
              </w:rPr>
            </w:pPr>
            <w:r w:rsidRPr="004A312B">
              <w:rPr>
                <w:rFonts w:ascii="Arial Narrow" w:hAnsi="Arial Narrow"/>
                <w:b/>
                <w:bCs/>
                <w:color w:val="000000" w:themeColor="text1"/>
                <w:sz w:val="20"/>
                <w:szCs w:val="20"/>
              </w:rPr>
              <w:t>All grades</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
                <w:bCs/>
                <w:color w:val="000000" w:themeColor="text1"/>
                <w:sz w:val="20"/>
                <w:szCs w:val="20"/>
              </w:rPr>
              <w:t>n (%)</w:t>
            </w:r>
          </w:p>
        </w:tc>
        <w:tc>
          <w:tcPr>
            <w:tcW w:w="718" w:type="pct"/>
            <w:vAlign w:val="center"/>
          </w:tcPr>
          <w:p w:rsidR="004A312B" w:rsidRPr="004A312B" w:rsidRDefault="004A312B" w:rsidP="00D41729">
            <w:pPr>
              <w:pStyle w:val="3-BodyText"/>
              <w:keepNext/>
              <w:numPr>
                <w:ilvl w:val="0"/>
                <w:numId w:val="0"/>
              </w:numPr>
              <w:spacing w:after="0"/>
              <w:jc w:val="center"/>
              <w:rPr>
                <w:rFonts w:ascii="Arial Narrow" w:hAnsi="Arial Narrow"/>
                <w:b/>
                <w:bCs/>
                <w:color w:val="000000" w:themeColor="text1"/>
                <w:sz w:val="20"/>
                <w:szCs w:val="20"/>
              </w:rPr>
            </w:pPr>
            <w:r w:rsidRPr="004A312B">
              <w:rPr>
                <w:rFonts w:ascii="Arial Narrow" w:hAnsi="Arial Narrow"/>
                <w:b/>
                <w:bCs/>
                <w:color w:val="000000" w:themeColor="text1"/>
                <w:sz w:val="20"/>
                <w:szCs w:val="20"/>
              </w:rPr>
              <w:t>Grade 3/4</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
                <w:bCs/>
                <w:color w:val="000000" w:themeColor="text1"/>
                <w:sz w:val="20"/>
                <w:szCs w:val="20"/>
              </w:rPr>
              <w:t>n (%)</w:t>
            </w:r>
          </w:p>
        </w:tc>
      </w:tr>
      <w:tr w:rsidR="004A312B" w:rsidRPr="004A312B" w:rsidTr="0021277C">
        <w:tc>
          <w:tcPr>
            <w:tcW w:w="2021" w:type="pct"/>
            <w:vAlign w:val="center"/>
          </w:tcPr>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All deaths</w:t>
            </w:r>
          </w:p>
          <w:p w:rsidR="004A312B" w:rsidRPr="004A312B" w:rsidRDefault="004A312B" w:rsidP="00D41729">
            <w:pPr>
              <w:pStyle w:val="3-BodyText"/>
              <w:keepNext/>
              <w:numPr>
                <w:ilvl w:val="0"/>
                <w:numId w:val="0"/>
              </w:numPr>
              <w:spacing w:after="0"/>
              <w:rPr>
                <w:rFonts w:ascii="Arial Narrow" w:hAnsi="Arial Narrow"/>
                <w:b/>
                <w:bCs/>
                <w:color w:val="000000" w:themeColor="text1"/>
                <w:sz w:val="20"/>
                <w:szCs w:val="20"/>
              </w:rPr>
            </w:pPr>
            <w:r w:rsidRPr="004A312B">
              <w:rPr>
                <w:rFonts w:ascii="Arial Narrow" w:hAnsi="Arial Narrow"/>
                <w:bCs/>
                <w:color w:val="000000" w:themeColor="text1"/>
                <w:sz w:val="20"/>
                <w:szCs w:val="20"/>
              </w:rPr>
              <w:t>On-treatment deaths</w:t>
            </w:r>
          </w:p>
        </w:tc>
        <w:tc>
          <w:tcPr>
            <w:tcW w:w="772"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83 (17.2)</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18 (3.7)</w:t>
            </w:r>
          </w:p>
        </w:tc>
        <w:tc>
          <w:tcPr>
            <w:tcW w:w="738" w:type="pct"/>
            <w:vAlign w:val="center"/>
          </w:tcPr>
          <w:p w:rsidR="004A312B" w:rsidRPr="004A312B" w:rsidRDefault="004A312B" w:rsidP="00D41729">
            <w:pPr>
              <w:pStyle w:val="3-BodyText"/>
              <w:keepNext/>
              <w:numPr>
                <w:ilvl w:val="0"/>
                <w:numId w:val="0"/>
              </w:numPr>
              <w:spacing w:after="0"/>
              <w:jc w:val="center"/>
              <w:rPr>
                <w:rFonts w:ascii="Arial Narrow" w:hAnsi="Arial Narrow"/>
                <w:color w:val="000000" w:themeColor="text1"/>
                <w:sz w:val="20"/>
                <w:szCs w:val="20"/>
              </w:rPr>
            </w:pPr>
            <w:r w:rsidRPr="004A312B">
              <w:rPr>
                <w:rFonts w:ascii="Arial Narrow" w:hAnsi="Arial Narrow"/>
                <w:color w:val="000000" w:themeColor="text1"/>
                <w:sz w:val="20"/>
                <w:szCs w:val="20"/>
              </w:rPr>
              <w:t>NR</w:t>
            </w:r>
          </w:p>
        </w:tc>
        <w:tc>
          <w:tcPr>
            <w:tcW w:w="751"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54 (22.7)</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4 (1.7)</w:t>
            </w:r>
          </w:p>
        </w:tc>
        <w:tc>
          <w:tcPr>
            <w:tcW w:w="718" w:type="pct"/>
            <w:vAlign w:val="center"/>
          </w:tcPr>
          <w:p w:rsidR="004A312B" w:rsidRPr="004A312B" w:rsidRDefault="004A312B" w:rsidP="00D41729">
            <w:pPr>
              <w:pStyle w:val="3-BodyText"/>
              <w:keepNext/>
              <w:numPr>
                <w:ilvl w:val="0"/>
                <w:numId w:val="0"/>
              </w:numPr>
              <w:spacing w:after="0"/>
              <w:jc w:val="center"/>
              <w:rPr>
                <w:rFonts w:ascii="Arial Narrow" w:hAnsi="Arial Narrow"/>
                <w:color w:val="000000" w:themeColor="text1"/>
                <w:sz w:val="20"/>
                <w:szCs w:val="20"/>
              </w:rPr>
            </w:pPr>
            <w:r w:rsidRPr="004A312B">
              <w:rPr>
                <w:rFonts w:ascii="Arial Narrow" w:hAnsi="Arial Narrow"/>
                <w:color w:val="000000" w:themeColor="text1"/>
                <w:sz w:val="20"/>
                <w:szCs w:val="20"/>
              </w:rPr>
              <w:t>NR</w:t>
            </w:r>
          </w:p>
        </w:tc>
      </w:tr>
      <w:tr w:rsidR="004A312B" w:rsidRPr="004A312B" w:rsidTr="0021277C">
        <w:tc>
          <w:tcPr>
            <w:tcW w:w="2021" w:type="pct"/>
            <w:vAlign w:val="center"/>
          </w:tcPr>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AEs</w:t>
            </w:r>
          </w:p>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 xml:space="preserve">  Suspected drug-related</w:t>
            </w:r>
          </w:p>
        </w:tc>
        <w:tc>
          <w:tcPr>
            <w:tcW w:w="772"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482 (100)</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465 (96.5)</w:t>
            </w:r>
          </w:p>
        </w:tc>
        <w:tc>
          <w:tcPr>
            <w:tcW w:w="738" w:type="pct"/>
            <w:vAlign w:val="center"/>
          </w:tcPr>
          <w:p w:rsidR="004A312B" w:rsidRPr="004A312B" w:rsidRDefault="004A312B" w:rsidP="00D41729">
            <w:pPr>
              <w:pStyle w:val="3-BodyText"/>
              <w:keepNext/>
              <w:numPr>
                <w:ilvl w:val="0"/>
                <w:numId w:val="0"/>
              </w:numPr>
              <w:spacing w:after="0"/>
              <w:jc w:val="center"/>
              <w:rPr>
                <w:rFonts w:ascii="Arial Narrow" w:hAnsi="Arial Narrow"/>
                <w:color w:val="000000" w:themeColor="text1"/>
                <w:sz w:val="20"/>
                <w:szCs w:val="20"/>
              </w:rPr>
            </w:pPr>
            <w:r w:rsidRPr="004A312B">
              <w:rPr>
                <w:rFonts w:ascii="Arial Narrow" w:hAnsi="Arial Narrow"/>
                <w:color w:val="000000" w:themeColor="text1"/>
                <w:sz w:val="20"/>
                <w:szCs w:val="20"/>
              </w:rPr>
              <w:t>239 (49.6)</w:t>
            </w:r>
          </w:p>
          <w:p w:rsidR="004A312B" w:rsidRPr="004A312B" w:rsidRDefault="004A312B" w:rsidP="00D41729">
            <w:pPr>
              <w:pStyle w:val="3-BodyText"/>
              <w:keepNext/>
              <w:numPr>
                <w:ilvl w:val="0"/>
                <w:numId w:val="0"/>
              </w:numPr>
              <w:spacing w:after="0"/>
              <w:jc w:val="center"/>
              <w:rPr>
                <w:rFonts w:ascii="Arial Narrow" w:hAnsi="Arial Narrow"/>
                <w:color w:val="000000" w:themeColor="text1"/>
                <w:sz w:val="20"/>
                <w:szCs w:val="20"/>
              </w:rPr>
            </w:pPr>
            <w:r w:rsidRPr="004A312B">
              <w:rPr>
                <w:rFonts w:ascii="Arial Narrow" w:hAnsi="Arial Narrow"/>
                <w:color w:val="000000" w:themeColor="text1"/>
                <w:sz w:val="20"/>
                <w:szCs w:val="20"/>
              </w:rPr>
              <w:t>185 (38.4)</w:t>
            </w:r>
          </w:p>
        </w:tc>
        <w:tc>
          <w:tcPr>
            <w:tcW w:w="751"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215 (90.3)</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148 (62.2)</w:t>
            </w:r>
          </w:p>
        </w:tc>
        <w:tc>
          <w:tcPr>
            <w:tcW w:w="718" w:type="pct"/>
            <w:vAlign w:val="center"/>
          </w:tcPr>
          <w:p w:rsidR="004A312B" w:rsidRPr="004A312B" w:rsidRDefault="004A312B" w:rsidP="00D41729">
            <w:pPr>
              <w:pStyle w:val="3-BodyText"/>
              <w:keepNext/>
              <w:numPr>
                <w:ilvl w:val="0"/>
                <w:numId w:val="0"/>
              </w:numPr>
              <w:spacing w:after="0"/>
              <w:jc w:val="center"/>
              <w:rPr>
                <w:rFonts w:ascii="Arial Narrow" w:hAnsi="Arial Narrow"/>
                <w:color w:val="000000" w:themeColor="text1"/>
                <w:sz w:val="20"/>
                <w:szCs w:val="20"/>
              </w:rPr>
            </w:pPr>
            <w:r w:rsidRPr="004A312B">
              <w:rPr>
                <w:rFonts w:ascii="Arial Narrow" w:hAnsi="Arial Narrow"/>
                <w:color w:val="000000" w:themeColor="text1"/>
                <w:sz w:val="20"/>
                <w:szCs w:val="20"/>
              </w:rPr>
              <w:t>65 (27.3)</w:t>
            </w:r>
          </w:p>
          <w:p w:rsidR="004A312B" w:rsidRPr="004A312B" w:rsidRDefault="004A312B" w:rsidP="00D41729">
            <w:pPr>
              <w:pStyle w:val="3-BodyText"/>
              <w:keepNext/>
              <w:numPr>
                <w:ilvl w:val="0"/>
                <w:numId w:val="0"/>
              </w:numPr>
              <w:spacing w:after="0"/>
              <w:jc w:val="center"/>
              <w:rPr>
                <w:rFonts w:ascii="Arial Narrow" w:hAnsi="Arial Narrow"/>
                <w:color w:val="000000" w:themeColor="text1"/>
                <w:sz w:val="20"/>
                <w:szCs w:val="20"/>
              </w:rPr>
            </w:pPr>
            <w:r w:rsidRPr="004A312B">
              <w:rPr>
                <w:rFonts w:ascii="Arial Narrow" w:hAnsi="Arial Narrow"/>
                <w:color w:val="000000" w:themeColor="text1"/>
                <w:sz w:val="20"/>
                <w:szCs w:val="20"/>
              </w:rPr>
              <w:t>19 (8.0)</w:t>
            </w:r>
          </w:p>
        </w:tc>
      </w:tr>
      <w:tr w:rsidR="004A312B" w:rsidRPr="004A312B" w:rsidTr="0021277C">
        <w:tc>
          <w:tcPr>
            <w:tcW w:w="2021" w:type="pct"/>
            <w:vAlign w:val="center"/>
          </w:tcPr>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Serious AEs</w:t>
            </w:r>
          </w:p>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 xml:space="preserve">  Suspected drug-related</w:t>
            </w:r>
          </w:p>
        </w:tc>
        <w:tc>
          <w:tcPr>
            <w:tcW w:w="772"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129 (26.8)</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54 (11.2)</w:t>
            </w:r>
          </w:p>
        </w:tc>
        <w:tc>
          <w:tcPr>
            <w:tcW w:w="738" w:type="pct"/>
            <w:vAlign w:val="center"/>
          </w:tcPr>
          <w:p w:rsidR="004A312B" w:rsidRPr="004A312B" w:rsidRDefault="004A312B" w:rsidP="00D41729">
            <w:pPr>
              <w:pStyle w:val="3-BodyText"/>
              <w:keepNext/>
              <w:numPr>
                <w:ilvl w:val="0"/>
                <w:numId w:val="0"/>
              </w:numPr>
              <w:spacing w:after="0"/>
              <w:jc w:val="center"/>
              <w:rPr>
                <w:rFonts w:ascii="Arial Narrow" w:hAnsi="Arial Narrow"/>
                <w:color w:val="000000" w:themeColor="text1"/>
                <w:sz w:val="20"/>
                <w:szCs w:val="20"/>
              </w:rPr>
            </w:pPr>
            <w:r w:rsidRPr="004A312B">
              <w:rPr>
                <w:rFonts w:ascii="Arial Narrow" w:hAnsi="Arial Narrow"/>
                <w:color w:val="000000" w:themeColor="text1"/>
                <w:sz w:val="20"/>
                <w:szCs w:val="20"/>
              </w:rPr>
              <w:t>NR</w:t>
            </w:r>
          </w:p>
        </w:tc>
        <w:tc>
          <w:tcPr>
            <w:tcW w:w="751"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33 (13.9)</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4 (1.7)</w:t>
            </w:r>
          </w:p>
        </w:tc>
        <w:tc>
          <w:tcPr>
            <w:tcW w:w="718" w:type="pct"/>
            <w:vAlign w:val="center"/>
          </w:tcPr>
          <w:p w:rsidR="004A312B" w:rsidRPr="004A312B" w:rsidRDefault="004A312B" w:rsidP="00D41729">
            <w:pPr>
              <w:pStyle w:val="3-BodyText"/>
              <w:keepNext/>
              <w:numPr>
                <w:ilvl w:val="0"/>
                <w:numId w:val="0"/>
              </w:numPr>
              <w:spacing w:after="0"/>
              <w:jc w:val="center"/>
              <w:rPr>
                <w:rFonts w:ascii="Arial Narrow" w:hAnsi="Arial Narrow"/>
                <w:color w:val="000000" w:themeColor="text1"/>
                <w:sz w:val="20"/>
                <w:szCs w:val="20"/>
              </w:rPr>
            </w:pPr>
            <w:r w:rsidRPr="004A312B">
              <w:rPr>
                <w:rFonts w:ascii="Arial Narrow" w:hAnsi="Arial Narrow"/>
                <w:color w:val="000000" w:themeColor="text1"/>
                <w:sz w:val="20"/>
                <w:szCs w:val="20"/>
              </w:rPr>
              <w:t>NR</w:t>
            </w:r>
          </w:p>
        </w:tc>
      </w:tr>
      <w:tr w:rsidR="004A312B" w:rsidRPr="004A312B" w:rsidTr="0021277C">
        <w:tc>
          <w:tcPr>
            <w:tcW w:w="2021" w:type="pct"/>
            <w:vAlign w:val="center"/>
          </w:tcPr>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AEs of special interest</w:t>
            </w:r>
          </w:p>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 xml:space="preserve">   Suspected drug-related</w:t>
            </w:r>
          </w:p>
        </w:tc>
        <w:tc>
          <w:tcPr>
            <w:tcW w:w="772"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456 (94.6)</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327 (88.6)</w:t>
            </w:r>
          </w:p>
        </w:tc>
        <w:tc>
          <w:tcPr>
            <w:tcW w:w="738" w:type="pct"/>
            <w:vAlign w:val="center"/>
          </w:tcPr>
          <w:p w:rsidR="004A312B" w:rsidRPr="004A312B" w:rsidRDefault="004A312B" w:rsidP="00D41729">
            <w:pPr>
              <w:pStyle w:val="3-BodyText"/>
              <w:keepNext/>
              <w:numPr>
                <w:ilvl w:val="0"/>
                <w:numId w:val="0"/>
              </w:numPr>
              <w:spacing w:after="0"/>
              <w:jc w:val="center"/>
              <w:rPr>
                <w:rFonts w:ascii="Arial Narrow" w:hAnsi="Arial Narrow"/>
                <w:color w:val="000000" w:themeColor="text1"/>
                <w:sz w:val="20"/>
                <w:szCs w:val="20"/>
              </w:rPr>
            </w:pPr>
            <w:r w:rsidRPr="004A312B">
              <w:rPr>
                <w:rFonts w:ascii="Arial Narrow" w:hAnsi="Arial Narrow"/>
                <w:color w:val="000000" w:themeColor="text1"/>
                <w:sz w:val="20"/>
                <w:szCs w:val="20"/>
              </w:rPr>
              <w:t>NR</w:t>
            </w:r>
          </w:p>
        </w:tc>
        <w:tc>
          <w:tcPr>
            <w:tcW w:w="751"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111 (46.6)</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48 (20.2)</w:t>
            </w:r>
          </w:p>
        </w:tc>
        <w:tc>
          <w:tcPr>
            <w:tcW w:w="718" w:type="pct"/>
            <w:vAlign w:val="center"/>
          </w:tcPr>
          <w:p w:rsidR="004A312B" w:rsidRPr="004A312B" w:rsidRDefault="004A312B" w:rsidP="00D41729">
            <w:pPr>
              <w:pStyle w:val="3-BodyText"/>
              <w:keepNext/>
              <w:numPr>
                <w:ilvl w:val="0"/>
                <w:numId w:val="0"/>
              </w:numPr>
              <w:spacing w:after="0"/>
              <w:jc w:val="center"/>
              <w:rPr>
                <w:rFonts w:ascii="Arial Narrow" w:hAnsi="Arial Narrow"/>
                <w:color w:val="000000" w:themeColor="text1"/>
                <w:sz w:val="20"/>
                <w:szCs w:val="20"/>
              </w:rPr>
            </w:pPr>
            <w:r w:rsidRPr="004A312B">
              <w:rPr>
                <w:rFonts w:ascii="Arial Narrow" w:hAnsi="Arial Narrow"/>
                <w:color w:val="000000" w:themeColor="text1"/>
                <w:sz w:val="20"/>
                <w:szCs w:val="20"/>
              </w:rPr>
              <w:t>NR</w:t>
            </w:r>
          </w:p>
        </w:tc>
      </w:tr>
      <w:tr w:rsidR="004A312B" w:rsidRPr="004A312B" w:rsidTr="0021277C">
        <w:tc>
          <w:tcPr>
            <w:tcW w:w="2021" w:type="pct"/>
            <w:vAlign w:val="center"/>
          </w:tcPr>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AEs leading to discontinuation</w:t>
            </w:r>
          </w:p>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 xml:space="preserve">  Suspected drug-related</w:t>
            </w:r>
          </w:p>
        </w:tc>
        <w:tc>
          <w:tcPr>
            <w:tcW w:w="772"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114 (23.7)</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93 (19.3)</w:t>
            </w:r>
          </w:p>
        </w:tc>
        <w:tc>
          <w:tcPr>
            <w:tcW w:w="738" w:type="pct"/>
            <w:vAlign w:val="center"/>
          </w:tcPr>
          <w:p w:rsidR="004A312B" w:rsidRPr="004A312B" w:rsidRDefault="004A312B" w:rsidP="00D41729">
            <w:pPr>
              <w:pStyle w:val="3-BodyText"/>
              <w:keepNext/>
              <w:numPr>
                <w:ilvl w:val="0"/>
                <w:numId w:val="0"/>
              </w:numPr>
              <w:spacing w:after="0"/>
              <w:jc w:val="center"/>
              <w:rPr>
                <w:rFonts w:ascii="Arial Narrow" w:hAnsi="Arial Narrow"/>
                <w:color w:val="000000" w:themeColor="text1"/>
                <w:sz w:val="20"/>
                <w:szCs w:val="20"/>
              </w:rPr>
            </w:pPr>
            <w:r w:rsidRPr="004A312B">
              <w:rPr>
                <w:rFonts w:ascii="Arial Narrow" w:hAnsi="Arial Narrow"/>
                <w:color w:val="000000" w:themeColor="text1"/>
                <w:sz w:val="20"/>
                <w:szCs w:val="20"/>
              </w:rPr>
              <w:t>NR</w:t>
            </w:r>
          </w:p>
        </w:tc>
        <w:tc>
          <w:tcPr>
            <w:tcW w:w="751" w:type="pct"/>
            <w:vAlign w:val="center"/>
          </w:tcPr>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12 (5.0)</w:t>
            </w:r>
          </w:p>
          <w:p w:rsidR="004A312B" w:rsidRPr="004A312B" w:rsidRDefault="004A312B" w:rsidP="00D41729">
            <w:pPr>
              <w:pStyle w:val="3-BodyText"/>
              <w:keepNext/>
              <w:numPr>
                <w:ilvl w:val="0"/>
                <w:numId w:val="0"/>
              </w:numPr>
              <w:spacing w:after="0"/>
              <w:jc w:val="center"/>
              <w:rPr>
                <w:rFonts w:ascii="Arial Narrow" w:hAnsi="Arial Narrow"/>
                <w:bCs/>
                <w:color w:val="000000" w:themeColor="text1"/>
                <w:sz w:val="20"/>
                <w:szCs w:val="20"/>
              </w:rPr>
            </w:pPr>
            <w:r w:rsidRPr="004A312B">
              <w:rPr>
                <w:rFonts w:ascii="Arial Narrow" w:hAnsi="Arial Narrow"/>
                <w:bCs/>
                <w:color w:val="000000" w:themeColor="text1"/>
                <w:sz w:val="20"/>
                <w:szCs w:val="20"/>
              </w:rPr>
              <w:t>8 (3.4)</w:t>
            </w:r>
          </w:p>
        </w:tc>
        <w:tc>
          <w:tcPr>
            <w:tcW w:w="718" w:type="pct"/>
            <w:vAlign w:val="center"/>
          </w:tcPr>
          <w:p w:rsidR="004A312B" w:rsidRPr="004A312B" w:rsidRDefault="004A312B" w:rsidP="00D41729">
            <w:pPr>
              <w:pStyle w:val="3-BodyText"/>
              <w:keepNext/>
              <w:numPr>
                <w:ilvl w:val="0"/>
                <w:numId w:val="0"/>
              </w:numPr>
              <w:spacing w:after="0"/>
              <w:jc w:val="center"/>
              <w:rPr>
                <w:rFonts w:ascii="Arial Narrow" w:hAnsi="Arial Narrow"/>
                <w:color w:val="000000" w:themeColor="text1"/>
                <w:sz w:val="20"/>
                <w:szCs w:val="20"/>
              </w:rPr>
            </w:pPr>
            <w:r w:rsidRPr="004A312B">
              <w:rPr>
                <w:rFonts w:ascii="Arial Narrow" w:hAnsi="Arial Narrow"/>
                <w:color w:val="000000" w:themeColor="text1"/>
                <w:sz w:val="20"/>
                <w:szCs w:val="20"/>
              </w:rPr>
              <w:t>NR</w:t>
            </w:r>
          </w:p>
        </w:tc>
      </w:tr>
      <w:tr w:rsidR="004A312B" w:rsidRPr="004A312B" w:rsidTr="0021277C">
        <w:tc>
          <w:tcPr>
            <w:tcW w:w="2021" w:type="pct"/>
            <w:vAlign w:val="center"/>
          </w:tcPr>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AEs requiring dose interruption/change</w:t>
            </w:r>
          </w:p>
        </w:tc>
        <w:tc>
          <w:tcPr>
            <w:tcW w:w="772" w:type="pct"/>
            <w:vAlign w:val="center"/>
          </w:tcPr>
          <w:p w:rsidR="004A312B" w:rsidRPr="004A312B" w:rsidRDefault="004A312B" w:rsidP="00D41729">
            <w:pPr>
              <w:pStyle w:val="3-BodyText"/>
              <w:keepNext/>
              <w:numPr>
                <w:ilvl w:val="0"/>
                <w:numId w:val="0"/>
              </w:numPr>
              <w:spacing w:after="0"/>
              <w:jc w:val="center"/>
              <w:rPr>
                <w:rFonts w:ascii="Arial Narrow" w:hAnsi="Arial Narrow"/>
                <w:color w:val="000000" w:themeColor="text1"/>
                <w:sz w:val="20"/>
                <w:szCs w:val="20"/>
              </w:rPr>
            </w:pPr>
            <w:r w:rsidRPr="004A312B">
              <w:rPr>
                <w:rFonts w:ascii="Arial Narrow" w:hAnsi="Arial Narrow"/>
                <w:color w:val="000000" w:themeColor="text1"/>
                <w:sz w:val="20"/>
                <w:szCs w:val="20"/>
              </w:rPr>
              <w:t>303 (62.9)</w:t>
            </w:r>
          </w:p>
        </w:tc>
        <w:tc>
          <w:tcPr>
            <w:tcW w:w="738" w:type="pct"/>
            <w:vAlign w:val="center"/>
          </w:tcPr>
          <w:p w:rsidR="004A312B" w:rsidRPr="004A312B" w:rsidRDefault="004A312B" w:rsidP="00D41729">
            <w:pPr>
              <w:pStyle w:val="3-BodyText"/>
              <w:keepNext/>
              <w:numPr>
                <w:ilvl w:val="0"/>
                <w:numId w:val="0"/>
              </w:numPr>
              <w:spacing w:after="0"/>
              <w:jc w:val="center"/>
              <w:rPr>
                <w:rFonts w:ascii="Arial Narrow" w:hAnsi="Arial Narrow"/>
                <w:color w:val="000000" w:themeColor="text1"/>
                <w:sz w:val="20"/>
                <w:szCs w:val="20"/>
              </w:rPr>
            </w:pPr>
            <w:r w:rsidRPr="004A312B">
              <w:rPr>
                <w:rFonts w:ascii="Arial Narrow" w:hAnsi="Arial Narrow"/>
                <w:color w:val="000000" w:themeColor="text1"/>
                <w:sz w:val="20"/>
                <w:szCs w:val="20"/>
              </w:rPr>
              <w:t>NR</w:t>
            </w:r>
          </w:p>
        </w:tc>
        <w:tc>
          <w:tcPr>
            <w:tcW w:w="751" w:type="pct"/>
            <w:vAlign w:val="center"/>
          </w:tcPr>
          <w:p w:rsidR="004A312B" w:rsidRPr="004A312B" w:rsidRDefault="004A312B" w:rsidP="00D41729">
            <w:pPr>
              <w:pStyle w:val="3-BodyText"/>
              <w:keepNext/>
              <w:numPr>
                <w:ilvl w:val="0"/>
                <w:numId w:val="0"/>
              </w:numPr>
              <w:spacing w:after="0"/>
              <w:jc w:val="center"/>
              <w:rPr>
                <w:rFonts w:ascii="Arial Narrow" w:hAnsi="Arial Narrow"/>
                <w:color w:val="000000" w:themeColor="text1"/>
                <w:sz w:val="20"/>
                <w:szCs w:val="20"/>
              </w:rPr>
            </w:pPr>
            <w:r w:rsidRPr="004A312B">
              <w:rPr>
                <w:rFonts w:ascii="Arial Narrow" w:hAnsi="Arial Narrow"/>
                <w:color w:val="000000" w:themeColor="text1"/>
                <w:sz w:val="20"/>
                <w:szCs w:val="20"/>
              </w:rPr>
              <w:t>34 (14.3)</w:t>
            </w:r>
          </w:p>
        </w:tc>
        <w:tc>
          <w:tcPr>
            <w:tcW w:w="718" w:type="pct"/>
            <w:vAlign w:val="center"/>
          </w:tcPr>
          <w:p w:rsidR="004A312B" w:rsidRPr="004A312B" w:rsidRDefault="004A312B" w:rsidP="00D41729">
            <w:pPr>
              <w:pStyle w:val="3-BodyText"/>
              <w:keepNext/>
              <w:numPr>
                <w:ilvl w:val="0"/>
                <w:numId w:val="0"/>
              </w:numPr>
              <w:spacing w:after="0"/>
              <w:jc w:val="center"/>
              <w:rPr>
                <w:rFonts w:ascii="Arial Narrow" w:hAnsi="Arial Narrow"/>
                <w:color w:val="000000" w:themeColor="text1"/>
                <w:sz w:val="20"/>
                <w:szCs w:val="20"/>
              </w:rPr>
            </w:pPr>
            <w:r w:rsidRPr="004A312B">
              <w:rPr>
                <w:rFonts w:ascii="Arial Narrow" w:hAnsi="Arial Narrow"/>
                <w:color w:val="000000" w:themeColor="text1"/>
                <w:sz w:val="20"/>
                <w:szCs w:val="20"/>
              </w:rPr>
              <w:t>NR</w:t>
            </w:r>
          </w:p>
        </w:tc>
      </w:tr>
      <w:tr w:rsidR="004A312B" w:rsidRPr="004A312B" w:rsidTr="0021277C">
        <w:tc>
          <w:tcPr>
            <w:tcW w:w="2021" w:type="pct"/>
            <w:vAlign w:val="center"/>
          </w:tcPr>
          <w:p w:rsidR="004A312B" w:rsidRPr="004A312B" w:rsidRDefault="004A312B" w:rsidP="00D41729">
            <w:pPr>
              <w:pStyle w:val="3-BodyText"/>
              <w:keepNext/>
              <w:numPr>
                <w:ilvl w:val="0"/>
                <w:numId w:val="0"/>
              </w:numPr>
              <w:spacing w:after="0"/>
              <w:rPr>
                <w:rFonts w:ascii="Arial Narrow" w:hAnsi="Arial Narrow"/>
                <w:bCs/>
                <w:color w:val="000000" w:themeColor="text1"/>
                <w:sz w:val="20"/>
                <w:szCs w:val="20"/>
              </w:rPr>
            </w:pPr>
            <w:r w:rsidRPr="004A312B">
              <w:rPr>
                <w:rFonts w:ascii="Arial Narrow" w:hAnsi="Arial Narrow"/>
                <w:bCs/>
                <w:color w:val="000000" w:themeColor="text1"/>
                <w:sz w:val="20"/>
                <w:szCs w:val="20"/>
              </w:rPr>
              <w:t>AEs requiring additional therapy</w:t>
            </w:r>
          </w:p>
        </w:tc>
        <w:tc>
          <w:tcPr>
            <w:tcW w:w="772" w:type="pct"/>
            <w:vAlign w:val="center"/>
          </w:tcPr>
          <w:p w:rsidR="004A312B" w:rsidRPr="004A312B" w:rsidRDefault="004A312B" w:rsidP="00D41729">
            <w:pPr>
              <w:pStyle w:val="3-BodyText"/>
              <w:keepNext/>
              <w:numPr>
                <w:ilvl w:val="0"/>
                <w:numId w:val="0"/>
              </w:numPr>
              <w:spacing w:after="0"/>
              <w:jc w:val="center"/>
              <w:rPr>
                <w:rFonts w:ascii="Arial Narrow" w:hAnsi="Arial Narrow"/>
                <w:color w:val="000000" w:themeColor="text1"/>
                <w:sz w:val="20"/>
                <w:szCs w:val="20"/>
              </w:rPr>
            </w:pPr>
            <w:r w:rsidRPr="004A312B">
              <w:rPr>
                <w:rFonts w:ascii="Arial Narrow" w:hAnsi="Arial Narrow"/>
                <w:color w:val="000000" w:themeColor="text1"/>
                <w:sz w:val="20"/>
                <w:szCs w:val="20"/>
              </w:rPr>
              <w:t>450 (93.4)</w:t>
            </w:r>
          </w:p>
        </w:tc>
        <w:tc>
          <w:tcPr>
            <w:tcW w:w="738" w:type="pct"/>
            <w:vAlign w:val="center"/>
          </w:tcPr>
          <w:p w:rsidR="004A312B" w:rsidRPr="004A312B" w:rsidRDefault="004A312B" w:rsidP="00D41729">
            <w:pPr>
              <w:pStyle w:val="3-BodyText"/>
              <w:keepNext/>
              <w:numPr>
                <w:ilvl w:val="0"/>
                <w:numId w:val="0"/>
              </w:numPr>
              <w:spacing w:after="0"/>
              <w:jc w:val="center"/>
              <w:rPr>
                <w:rFonts w:ascii="Arial Narrow" w:hAnsi="Arial Narrow"/>
                <w:color w:val="000000" w:themeColor="text1"/>
                <w:sz w:val="20"/>
                <w:szCs w:val="20"/>
              </w:rPr>
            </w:pPr>
            <w:r w:rsidRPr="004A312B">
              <w:rPr>
                <w:rFonts w:ascii="Arial Narrow" w:hAnsi="Arial Narrow"/>
                <w:color w:val="000000" w:themeColor="text1"/>
                <w:sz w:val="20"/>
                <w:szCs w:val="20"/>
              </w:rPr>
              <w:t>NR</w:t>
            </w:r>
          </w:p>
        </w:tc>
        <w:tc>
          <w:tcPr>
            <w:tcW w:w="751" w:type="pct"/>
            <w:vAlign w:val="center"/>
          </w:tcPr>
          <w:p w:rsidR="004A312B" w:rsidRPr="004A312B" w:rsidRDefault="004A312B" w:rsidP="00D41729">
            <w:pPr>
              <w:pStyle w:val="3-BodyText"/>
              <w:keepNext/>
              <w:numPr>
                <w:ilvl w:val="0"/>
                <w:numId w:val="0"/>
              </w:numPr>
              <w:spacing w:after="0"/>
              <w:jc w:val="center"/>
              <w:rPr>
                <w:rFonts w:ascii="Arial Narrow" w:hAnsi="Arial Narrow"/>
                <w:color w:val="000000" w:themeColor="text1"/>
                <w:sz w:val="20"/>
                <w:szCs w:val="20"/>
              </w:rPr>
            </w:pPr>
            <w:r w:rsidRPr="004A312B">
              <w:rPr>
                <w:rFonts w:ascii="Arial Narrow" w:hAnsi="Arial Narrow"/>
                <w:color w:val="000000" w:themeColor="text1"/>
                <w:sz w:val="20"/>
                <w:szCs w:val="20"/>
              </w:rPr>
              <w:t>170 (71.4)</w:t>
            </w:r>
          </w:p>
        </w:tc>
        <w:tc>
          <w:tcPr>
            <w:tcW w:w="718" w:type="pct"/>
            <w:vAlign w:val="center"/>
          </w:tcPr>
          <w:p w:rsidR="004A312B" w:rsidRPr="004A312B" w:rsidRDefault="004A312B" w:rsidP="00D41729">
            <w:pPr>
              <w:pStyle w:val="3-BodyText"/>
              <w:keepNext/>
              <w:numPr>
                <w:ilvl w:val="0"/>
                <w:numId w:val="0"/>
              </w:numPr>
              <w:spacing w:after="0"/>
              <w:jc w:val="center"/>
              <w:rPr>
                <w:rFonts w:ascii="Arial Narrow" w:hAnsi="Arial Narrow"/>
                <w:color w:val="000000" w:themeColor="text1"/>
                <w:sz w:val="20"/>
                <w:szCs w:val="20"/>
              </w:rPr>
            </w:pPr>
            <w:r w:rsidRPr="004A312B">
              <w:rPr>
                <w:rFonts w:ascii="Arial Narrow" w:hAnsi="Arial Narrow"/>
                <w:color w:val="000000" w:themeColor="text1"/>
                <w:sz w:val="20"/>
                <w:szCs w:val="20"/>
              </w:rPr>
              <w:t>NR</w:t>
            </w:r>
          </w:p>
        </w:tc>
      </w:tr>
    </w:tbl>
    <w:p w:rsidR="004A312B" w:rsidRPr="004A312B" w:rsidRDefault="004A312B" w:rsidP="004A312B">
      <w:pPr>
        <w:pStyle w:val="TableFigureFooter"/>
      </w:pPr>
      <w:r w:rsidRPr="004A312B">
        <w:t>CI = confidence interval; n = number of participants reporting data; N = total participants in group; AE, adverse event; FULV= fulvestrant; PBO= placebo; RIBO= ribociclib; SAE= serious adverse event; EVE= everolimus; EXE= exemestane; NR= not reported; LET= letrozole; NSAI= non-steroidal aromatase inhibitor.</w:t>
      </w:r>
    </w:p>
    <w:p w:rsidR="004A312B" w:rsidRPr="007E0B5F" w:rsidRDefault="004A312B" w:rsidP="004A312B">
      <w:pPr>
        <w:pStyle w:val="TableFigureFooter"/>
      </w:pPr>
      <w:r w:rsidRPr="007E0B5F">
        <w:t xml:space="preserve">Source: </w:t>
      </w:r>
      <w:r w:rsidRPr="007E0B5F">
        <w:rPr>
          <w:iCs/>
        </w:rPr>
        <w:t>Complied during the evaluation based on Tables 2-35, 2-41, 2-47; pp 121,127, 133 of the submission</w:t>
      </w:r>
      <w:r w:rsidRPr="007E0B5F">
        <w:t>.</w:t>
      </w:r>
    </w:p>
    <w:p w:rsidR="004A312B" w:rsidRPr="004A312B" w:rsidRDefault="004A312B" w:rsidP="004A312B">
      <w:pPr>
        <w:pStyle w:val="3-BodyText"/>
        <w:rPr>
          <w:color w:val="000000" w:themeColor="text1"/>
        </w:rPr>
      </w:pPr>
      <w:r w:rsidRPr="004A312B">
        <w:rPr>
          <w:color w:val="000000" w:themeColor="text1"/>
        </w:rPr>
        <w:t xml:space="preserve">The total number of adverse events was slightly higher in the RIBO+FULV arm of MONALEESA-3 compared with PBO+FULV (99.2% minus 95.9%= +3.3%). However, a substantial difference was seen in the total number of ≥Grade 3 events for RIBO+FULV (+48.8%). The difference in the proportion of ≥Grade 3 serious AEs (+9.5%) and ≥Grade 3 AEs leading to discontinuation (+5.9%) was also higher in the RIBO+FULV arm. </w:t>
      </w:r>
    </w:p>
    <w:p w:rsidR="00AD716E" w:rsidRDefault="004A312B" w:rsidP="004A312B">
      <w:pPr>
        <w:pStyle w:val="3-BodyText"/>
        <w:rPr>
          <w:color w:val="000000" w:themeColor="text1"/>
        </w:rPr>
      </w:pPr>
      <w:r w:rsidRPr="004A312B">
        <w:rPr>
          <w:color w:val="000000" w:themeColor="text1"/>
        </w:rPr>
        <w:t xml:space="preserve">Compared with </w:t>
      </w:r>
      <w:r w:rsidR="00BE0980">
        <w:rPr>
          <w:color w:val="000000" w:themeColor="text1"/>
        </w:rPr>
        <w:t>PBO</w:t>
      </w:r>
      <w:r w:rsidRPr="004A312B">
        <w:rPr>
          <w:color w:val="000000" w:themeColor="text1"/>
        </w:rPr>
        <w:t xml:space="preserve">+NSAI, the active treatment arm in MONALEESA-2, RIBO+NSAI, led to </w:t>
      </w:r>
      <w:r w:rsidR="00DD5B80">
        <w:rPr>
          <w:color w:val="000000" w:themeColor="text1"/>
        </w:rPr>
        <w:t>a</w:t>
      </w:r>
      <w:r w:rsidR="00DD5B80" w:rsidRPr="004A312B">
        <w:rPr>
          <w:color w:val="000000" w:themeColor="text1"/>
        </w:rPr>
        <w:t xml:space="preserve"> </w:t>
      </w:r>
      <w:r w:rsidRPr="004A312B">
        <w:rPr>
          <w:color w:val="000000" w:themeColor="text1"/>
        </w:rPr>
        <w:t xml:space="preserve">higher number of Grade 3/4 total adverse events (+48.7%), serious AEs (+9.8%), and AEs leading to discontinuation (+9.9%). </w:t>
      </w:r>
    </w:p>
    <w:p w:rsidR="004A312B" w:rsidRPr="004A312B" w:rsidRDefault="004A312B" w:rsidP="004A312B">
      <w:pPr>
        <w:pStyle w:val="3-BodyText"/>
        <w:rPr>
          <w:color w:val="000000" w:themeColor="text1"/>
        </w:rPr>
      </w:pPr>
      <w:r w:rsidRPr="004A312B">
        <w:rPr>
          <w:color w:val="000000" w:themeColor="text1"/>
        </w:rPr>
        <w:t>Similarly, in BOLERO-2, more patients in the intervention arm (EVE+EXE) experienced Grade 3/4 total adverse events (+22.3%). Information about Grade 3/4 serious AEs and AEs leading to discontinuation was not provided for BOLERO-2.</w:t>
      </w:r>
    </w:p>
    <w:p w:rsidR="008224BC" w:rsidRDefault="008224BC">
      <w:pPr>
        <w:jc w:val="left"/>
        <w:rPr>
          <w:rFonts w:asciiTheme="minorHAnsi" w:hAnsiTheme="minorHAnsi"/>
          <w:b/>
          <w:bCs/>
          <w:snapToGrid w:val="0"/>
          <w:color w:val="000000" w:themeColor="text1"/>
        </w:rPr>
      </w:pPr>
      <w:r>
        <w:rPr>
          <w:b/>
          <w:bCs/>
          <w:color w:val="000000" w:themeColor="text1"/>
        </w:rPr>
        <w:br w:type="page"/>
      </w:r>
    </w:p>
    <w:p w:rsidR="004A312B" w:rsidRPr="004A312B" w:rsidRDefault="004A312B" w:rsidP="00C067FE">
      <w:pPr>
        <w:pStyle w:val="3-BodyText"/>
        <w:numPr>
          <w:ilvl w:val="0"/>
          <w:numId w:val="0"/>
        </w:numPr>
        <w:outlineLvl w:val="2"/>
        <w:rPr>
          <w:b/>
          <w:bCs/>
          <w:color w:val="000000" w:themeColor="text1"/>
        </w:rPr>
      </w:pPr>
      <w:r w:rsidRPr="004A312B">
        <w:rPr>
          <w:b/>
          <w:bCs/>
          <w:color w:val="000000" w:themeColor="text1"/>
        </w:rPr>
        <w:t>Indirect comparison of safety</w:t>
      </w:r>
    </w:p>
    <w:p w:rsidR="004A312B" w:rsidRDefault="004A312B" w:rsidP="004A312B">
      <w:pPr>
        <w:pStyle w:val="3-BodyText"/>
        <w:rPr>
          <w:color w:val="000000" w:themeColor="text1"/>
        </w:rPr>
      </w:pPr>
      <w:r w:rsidRPr="004A312B">
        <w:rPr>
          <w:color w:val="000000" w:themeColor="text1"/>
        </w:rPr>
        <w:t xml:space="preserve">The submission used an </w:t>
      </w:r>
      <w:bookmarkStart w:id="31" w:name="_Hlk37726421"/>
      <w:r w:rsidRPr="004A312B">
        <w:rPr>
          <w:color w:val="000000" w:themeColor="text1"/>
        </w:rPr>
        <w:t>unadjusted indirect comparison to compare adverse events associated with the RIBO+FULV arm of MONALEESA-3 with those in the RIBO+NSAI and EVE+EXE arms of the MONALEESA-2 and BOLERO-2 trials</w:t>
      </w:r>
      <w:bookmarkEnd w:id="31"/>
      <w:r w:rsidRPr="004A312B">
        <w:rPr>
          <w:color w:val="000000" w:themeColor="text1"/>
        </w:rPr>
        <w:t xml:space="preserve">, respectively. The submission stated that the main emphasis was on </w:t>
      </w:r>
      <w:r w:rsidR="00AB5918">
        <w:rPr>
          <w:color w:val="000000" w:themeColor="text1"/>
        </w:rPr>
        <w:t>G</w:t>
      </w:r>
      <w:r w:rsidRPr="004A312B">
        <w:rPr>
          <w:color w:val="000000" w:themeColor="text1"/>
        </w:rPr>
        <w:t>rade 3 and 4 AEs that occurred at a rate of ≥2% in the intervention arms of the three main trials. AEs were not analysed by the line of therapy as these data were not available</w:t>
      </w:r>
      <w:r w:rsidRPr="00AD716E">
        <w:rPr>
          <w:color w:val="000000" w:themeColor="text1"/>
        </w:rPr>
        <w:t>.</w:t>
      </w:r>
    </w:p>
    <w:p w:rsidR="00C067FE" w:rsidRPr="00C067FE" w:rsidRDefault="00C067FE" w:rsidP="00C067FE">
      <w:pPr>
        <w:pStyle w:val="3-BodyText"/>
        <w:numPr>
          <w:ilvl w:val="0"/>
          <w:numId w:val="0"/>
        </w:numPr>
        <w:outlineLvl w:val="3"/>
        <w:rPr>
          <w:color w:val="000000" w:themeColor="text1"/>
          <w:u w:val="single"/>
        </w:rPr>
      </w:pPr>
      <w:r w:rsidRPr="00C067FE">
        <w:rPr>
          <w:color w:val="000000" w:themeColor="text1"/>
          <w:u w:val="single"/>
        </w:rPr>
        <w:t>First-line setting</w:t>
      </w:r>
    </w:p>
    <w:p w:rsidR="004A312B" w:rsidRPr="004A312B" w:rsidRDefault="004A312B" w:rsidP="004A312B">
      <w:pPr>
        <w:pStyle w:val="3-BodyText"/>
        <w:rPr>
          <w:color w:val="000000" w:themeColor="text1"/>
        </w:rPr>
      </w:pPr>
      <w:r w:rsidRPr="004A312B">
        <w:rPr>
          <w:color w:val="000000" w:themeColor="text1"/>
        </w:rPr>
        <w:t xml:space="preserve">For the first-line treatment setting, a summary of the comparison of the incidence of AEs between RIBO+FULV in MONALEESA-3 with RIBO+NSAI in MONALEESA-2 is presented in Table </w:t>
      </w:r>
      <w:r w:rsidR="00DD5B80">
        <w:rPr>
          <w:color w:val="000000" w:themeColor="text1"/>
        </w:rPr>
        <w:t>10</w:t>
      </w:r>
      <w:r w:rsidRPr="004A312B">
        <w:rPr>
          <w:color w:val="000000" w:themeColor="text1"/>
        </w:rPr>
        <w:t>.</w:t>
      </w:r>
    </w:p>
    <w:p w:rsidR="004A312B" w:rsidRPr="004A312B" w:rsidRDefault="004A312B" w:rsidP="004A312B">
      <w:pPr>
        <w:pStyle w:val="3-BodyText"/>
        <w:rPr>
          <w:color w:val="000000" w:themeColor="text1"/>
        </w:rPr>
      </w:pPr>
      <w:r w:rsidRPr="004A312B">
        <w:rPr>
          <w:color w:val="000000" w:themeColor="text1"/>
        </w:rPr>
        <w:t xml:space="preserve">Although the </w:t>
      </w:r>
      <w:r w:rsidR="00AB5918">
        <w:rPr>
          <w:color w:val="000000" w:themeColor="text1"/>
        </w:rPr>
        <w:t>Grade</w:t>
      </w:r>
      <w:r w:rsidRPr="004A312B">
        <w:rPr>
          <w:color w:val="000000" w:themeColor="text1"/>
        </w:rPr>
        <w:t xml:space="preserve"> 3/4 AE profile of RIBO+FULV was generally </w:t>
      </w:r>
      <w:r w:rsidR="006A2526">
        <w:rPr>
          <w:color w:val="000000" w:themeColor="text1"/>
        </w:rPr>
        <w:t>like that of</w:t>
      </w:r>
      <w:r w:rsidRPr="004A312B">
        <w:rPr>
          <w:color w:val="000000" w:themeColor="text1"/>
        </w:rPr>
        <w:t xml:space="preserve"> RIBO+NSAI, n</w:t>
      </w:r>
      <w:r w:rsidRPr="00196BBD">
        <w:rPr>
          <w:color w:val="000000" w:themeColor="text1"/>
        </w:rPr>
        <w:t xml:space="preserve">eutropenia </w:t>
      </w:r>
      <w:r w:rsidR="00EF4CED" w:rsidRPr="00196BBD">
        <w:rPr>
          <w:color w:val="000000" w:themeColor="text1"/>
        </w:rPr>
        <w:t>(-7.3%), nausea (-0.9%), vomiting (-2.1%), leukopenia (-3.1%), hypertension (-6.8%) and decreased WBC count (-5.8%) were slightly lower in the RIBO+FULV group. Conversely, anaemia (+1.6%) and increased ALT levels (+0.3%)</w:t>
      </w:r>
      <w:r w:rsidR="00EF4CED" w:rsidRPr="004A312B">
        <w:rPr>
          <w:color w:val="000000" w:themeColor="text1"/>
        </w:rPr>
        <w:t xml:space="preserve"> were slightly higher in the RIBO+FULV group.</w:t>
      </w:r>
    </w:p>
    <w:p w:rsidR="00326854" w:rsidRDefault="004A312B" w:rsidP="004A312B">
      <w:pPr>
        <w:pStyle w:val="3-BodyText"/>
        <w:rPr>
          <w:iCs/>
          <w:color w:val="000000" w:themeColor="text1"/>
        </w:rPr>
      </w:pPr>
      <w:bookmarkStart w:id="32" w:name="_Hlk38240686"/>
      <w:r w:rsidRPr="004A312B">
        <w:rPr>
          <w:color w:val="000000" w:themeColor="text1"/>
        </w:rPr>
        <w:t xml:space="preserve">The submission </w:t>
      </w:r>
      <w:r w:rsidRPr="00DF444A">
        <w:rPr>
          <w:color w:val="000000" w:themeColor="text1"/>
        </w:rPr>
        <w:t xml:space="preserve">claimed </w:t>
      </w:r>
      <w:r w:rsidRPr="00DF444A">
        <w:rPr>
          <w:bCs/>
          <w:color w:val="000000" w:themeColor="text1"/>
        </w:rPr>
        <w:t>non-inferior safety</w:t>
      </w:r>
      <w:r w:rsidRPr="00DF444A">
        <w:rPr>
          <w:color w:val="000000" w:themeColor="text1"/>
        </w:rPr>
        <w:t xml:space="preserve"> for RIBO+FULV compared to RIBO+NSAI for the </w:t>
      </w:r>
      <w:r w:rsidRPr="00DF444A">
        <w:rPr>
          <w:bCs/>
          <w:color w:val="000000" w:themeColor="text1"/>
        </w:rPr>
        <w:t>first-line treatment setting</w:t>
      </w:r>
      <w:r w:rsidRPr="004A312B">
        <w:rPr>
          <w:color w:val="000000" w:themeColor="text1"/>
        </w:rPr>
        <w:t xml:space="preserve"> based on absolute differences between the </w:t>
      </w:r>
      <w:r w:rsidR="00FA182C" w:rsidRPr="004A312B">
        <w:rPr>
          <w:color w:val="000000" w:themeColor="text1"/>
        </w:rPr>
        <w:t>incidences</w:t>
      </w:r>
      <w:r w:rsidRPr="004A312B">
        <w:rPr>
          <w:color w:val="000000" w:themeColor="text1"/>
        </w:rPr>
        <w:t xml:space="preserve"> of adverse events</w:t>
      </w:r>
      <w:r w:rsidRPr="007E0B5F">
        <w:rPr>
          <w:color w:val="000000" w:themeColor="text1"/>
        </w:rPr>
        <w:t>.</w:t>
      </w:r>
      <w:r w:rsidR="00883632" w:rsidRPr="007E0B5F">
        <w:rPr>
          <w:color w:val="000000" w:themeColor="text1"/>
        </w:rPr>
        <w:t xml:space="preserve"> </w:t>
      </w:r>
      <w:r w:rsidR="000E37F3" w:rsidRPr="007E0B5F">
        <w:rPr>
          <w:iCs/>
          <w:color w:val="000000" w:themeColor="text1"/>
        </w:rPr>
        <w:t xml:space="preserve">No formal non-inferiority analyses of safety were performed. </w:t>
      </w:r>
      <w:r w:rsidR="003359CC" w:rsidRPr="007E0B5F">
        <w:rPr>
          <w:iCs/>
          <w:color w:val="000000" w:themeColor="text1"/>
        </w:rPr>
        <w:t xml:space="preserve">However, informally, the incidence of </w:t>
      </w:r>
      <w:r w:rsidR="00FA182C" w:rsidRPr="007E0B5F">
        <w:rPr>
          <w:iCs/>
          <w:color w:val="000000" w:themeColor="text1"/>
        </w:rPr>
        <w:t>adverse</w:t>
      </w:r>
      <w:r w:rsidR="003359CC" w:rsidRPr="007E0B5F">
        <w:rPr>
          <w:iCs/>
          <w:color w:val="000000" w:themeColor="text1"/>
        </w:rPr>
        <w:t xml:space="preserve"> events appear similar between the two treatments</w:t>
      </w:r>
      <w:r w:rsidR="00472863" w:rsidRPr="007E0B5F">
        <w:rPr>
          <w:iCs/>
          <w:color w:val="000000" w:themeColor="text1"/>
        </w:rPr>
        <w:t>.</w:t>
      </w:r>
      <w:r w:rsidR="00AD716E">
        <w:rPr>
          <w:iCs/>
          <w:color w:val="000000" w:themeColor="text1"/>
        </w:rPr>
        <w:t xml:space="preserve"> </w:t>
      </w:r>
    </w:p>
    <w:p w:rsidR="00326854" w:rsidRDefault="00326854">
      <w:pPr>
        <w:jc w:val="left"/>
        <w:rPr>
          <w:rFonts w:asciiTheme="minorHAnsi" w:hAnsiTheme="minorHAnsi"/>
          <w:iCs/>
          <w:snapToGrid w:val="0"/>
          <w:color w:val="000000" w:themeColor="text1"/>
        </w:rPr>
      </w:pPr>
    </w:p>
    <w:bookmarkEnd w:id="32"/>
    <w:p w:rsidR="008224BC" w:rsidRDefault="008224BC">
      <w:pPr>
        <w:jc w:val="left"/>
        <w:rPr>
          <w:rStyle w:val="CommentReference"/>
          <w:snapToGrid w:val="0"/>
        </w:rPr>
      </w:pPr>
      <w:r>
        <w:rPr>
          <w:rStyle w:val="CommentReference"/>
        </w:rPr>
        <w:br w:type="page"/>
      </w:r>
    </w:p>
    <w:p w:rsidR="004A312B" w:rsidRPr="0021277C" w:rsidRDefault="004A312B" w:rsidP="00326854">
      <w:pPr>
        <w:pStyle w:val="3-BodyText"/>
        <w:keepNext/>
        <w:keepLines/>
        <w:numPr>
          <w:ilvl w:val="0"/>
          <w:numId w:val="0"/>
        </w:numPr>
        <w:spacing w:after="0"/>
        <w:rPr>
          <w:rStyle w:val="CommentReference"/>
        </w:rPr>
      </w:pPr>
      <w:r w:rsidRPr="0021277C">
        <w:rPr>
          <w:rStyle w:val="CommentReference"/>
        </w:rPr>
        <w:t xml:space="preserve">Table </w:t>
      </w:r>
      <w:r w:rsidR="00EE094F">
        <w:rPr>
          <w:rStyle w:val="CommentReference"/>
        </w:rPr>
        <w:t>10</w:t>
      </w:r>
      <w:r w:rsidRPr="0021277C">
        <w:rPr>
          <w:rStyle w:val="CommentReference"/>
        </w:rPr>
        <w:t xml:space="preserve">: </w:t>
      </w:r>
      <w:bookmarkStart w:id="33" w:name="_Hlk38031855"/>
      <w:r w:rsidRPr="0021277C">
        <w:rPr>
          <w:rStyle w:val="CommentReference"/>
        </w:rPr>
        <w:t>Results of unadjusted indirect comparison of individual AEs: RIBO+FULV vs RIBO+NSAI</w:t>
      </w:r>
      <w:bookmarkEnd w:id="33"/>
      <w:r w:rsidRPr="0021277C">
        <w:rPr>
          <w:rStyle w:val="CommentReference"/>
        </w:rPr>
        <w:t>- FIRST LINE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1190"/>
        <w:gridCol w:w="2000"/>
        <w:gridCol w:w="1587"/>
        <w:gridCol w:w="1651"/>
      </w:tblGrid>
      <w:tr w:rsidR="004A312B" w:rsidRPr="004A312B" w:rsidTr="0021277C">
        <w:trPr>
          <w:tblHeader/>
        </w:trPr>
        <w:tc>
          <w:tcPr>
            <w:tcW w:w="2589" w:type="dxa"/>
            <w:vMerge w:val="restart"/>
          </w:tcPr>
          <w:p w:rsidR="004A312B" w:rsidRPr="004A312B" w:rsidRDefault="004A312B" w:rsidP="00326854">
            <w:pPr>
              <w:pStyle w:val="In-tableHeading"/>
              <w:keepLines/>
            </w:pPr>
            <w:r w:rsidRPr="004A312B">
              <w:t>Adverse event</w:t>
            </w:r>
          </w:p>
        </w:tc>
        <w:tc>
          <w:tcPr>
            <w:tcW w:w="1190" w:type="dxa"/>
            <w:vMerge w:val="restart"/>
          </w:tcPr>
          <w:p w:rsidR="004A312B" w:rsidRPr="004A312B" w:rsidRDefault="004A312B" w:rsidP="00326854">
            <w:pPr>
              <w:pStyle w:val="In-tableHeading"/>
              <w:keepLines/>
            </w:pPr>
            <w:r w:rsidRPr="004A312B">
              <w:t>Grade</w:t>
            </w:r>
          </w:p>
        </w:tc>
        <w:tc>
          <w:tcPr>
            <w:tcW w:w="2000" w:type="dxa"/>
            <w:vAlign w:val="center"/>
          </w:tcPr>
          <w:p w:rsidR="004A312B" w:rsidRPr="004A312B" w:rsidRDefault="004A312B" w:rsidP="00326854">
            <w:pPr>
              <w:pStyle w:val="In-tableHeading"/>
              <w:keepLines/>
              <w:jc w:val="center"/>
            </w:pPr>
            <w:r w:rsidRPr="004A312B">
              <w:t>MONALEESA 3</w:t>
            </w:r>
          </w:p>
        </w:tc>
        <w:tc>
          <w:tcPr>
            <w:tcW w:w="1587" w:type="dxa"/>
            <w:vAlign w:val="center"/>
          </w:tcPr>
          <w:p w:rsidR="004A312B" w:rsidRPr="004A312B" w:rsidRDefault="004A312B" w:rsidP="00326854">
            <w:pPr>
              <w:pStyle w:val="In-tableHeading"/>
              <w:keepLines/>
              <w:jc w:val="center"/>
            </w:pPr>
            <w:r w:rsidRPr="004A312B">
              <w:t>MONALEESA-2</w:t>
            </w:r>
          </w:p>
        </w:tc>
        <w:tc>
          <w:tcPr>
            <w:tcW w:w="1651" w:type="dxa"/>
            <w:vMerge w:val="restart"/>
            <w:vAlign w:val="center"/>
          </w:tcPr>
          <w:p w:rsidR="004A312B" w:rsidRPr="004A312B" w:rsidRDefault="004A312B" w:rsidP="00326854">
            <w:pPr>
              <w:pStyle w:val="In-tableHeading"/>
              <w:keepLines/>
              <w:jc w:val="center"/>
            </w:pPr>
            <w:r w:rsidRPr="004A312B">
              <w:t>Percent difference</w:t>
            </w:r>
          </w:p>
          <w:p w:rsidR="004A312B" w:rsidRPr="004A312B" w:rsidRDefault="004A312B" w:rsidP="00326854">
            <w:pPr>
              <w:pStyle w:val="In-tableHeading"/>
              <w:keepLines/>
              <w:jc w:val="center"/>
            </w:pPr>
            <w:r w:rsidRPr="004A312B">
              <w:t>%</w:t>
            </w:r>
          </w:p>
        </w:tc>
      </w:tr>
      <w:tr w:rsidR="004A312B" w:rsidRPr="004A312B" w:rsidTr="0021277C">
        <w:trPr>
          <w:tblHeader/>
        </w:trPr>
        <w:tc>
          <w:tcPr>
            <w:tcW w:w="2589" w:type="dxa"/>
            <w:vMerge/>
          </w:tcPr>
          <w:p w:rsidR="004A312B" w:rsidRPr="004A312B" w:rsidRDefault="004A312B" w:rsidP="00326854">
            <w:pPr>
              <w:pStyle w:val="TableText0"/>
              <w:keepLines/>
            </w:pPr>
          </w:p>
        </w:tc>
        <w:tc>
          <w:tcPr>
            <w:tcW w:w="1190" w:type="dxa"/>
            <w:vMerge/>
          </w:tcPr>
          <w:p w:rsidR="004A312B" w:rsidRPr="004A312B" w:rsidRDefault="004A312B" w:rsidP="00326854">
            <w:pPr>
              <w:pStyle w:val="TableText0"/>
              <w:keepLines/>
            </w:pPr>
          </w:p>
        </w:tc>
        <w:tc>
          <w:tcPr>
            <w:tcW w:w="2000" w:type="dxa"/>
            <w:vAlign w:val="center"/>
          </w:tcPr>
          <w:p w:rsidR="004A312B" w:rsidRPr="004A312B" w:rsidRDefault="004A312B" w:rsidP="00326854">
            <w:pPr>
              <w:pStyle w:val="In-tableHeading"/>
              <w:keepLines/>
              <w:jc w:val="center"/>
            </w:pPr>
            <w:r w:rsidRPr="004A312B">
              <w:t>RIBO+FULV</w:t>
            </w:r>
          </w:p>
        </w:tc>
        <w:tc>
          <w:tcPr>
            <w:tcW w:w="1587" w:type="dxa"/>
            <w:vAlign w:val="center"/>
          </w:tcPr>
          <w:p w:rsidR="004A312B" w:rsidRPr="004A312B" w:rsidRDefault="004A312B" w:rsidP="00326854">
            <w:pPr>
              <w:pStyle w:val="In-tableHeading"/>
              <w:keepLines/>
              <w:jc w:val="center"/>
            </w:pPr>
            <w:r w:rsidRPr="004A312B">
              <w:t>RIBO+NSAI</w:t>
            </w:r>
          </w:p>
        </w:tc>
        <w:tc>
          <w:tcPr>
            <w:tcW w:w="1651" w:type="dxa"/>
            <w:vMerge/>
            <w:vAlign w:val="center"/>
          </w:tcPr>
          <w:p w:rsidR="004A312B" w:rsidRPr="004A312B" w:rsidRDefault="004A312B" w:rsidP="00326854">
            <w:pPr>
              <w:pStyle w:val="TableText0"/>
              <w:keepLines/>
              <w:jc w:val="center"/>
            </w:pPr>
          </w:p>
        </w:tc>
      </w:tr>
      <w:tr w:rsidR="00106E22" w:rsidRPr="004A312B" w:rsidTr="00106E22">
        <w:tc>
          <w:tcPr>
            <w:tcW w:w="2589" w:type="dxa"/>
            <w:vMerge w:val="restart"/>
          </w:tcPr>
          <w:p w:rsidR="00106E22" w:rsidRPr="004A312B" w:rsidRDefault="00106E22" w:rsidP="00326854">
            <w:pPr>
              <w:pStyle w:val="TableText0"/>
              <w:keepLines/>
            </w:pPr>
            <w:r w:rsidRPr="004A312B">
              <w:t>Neutropenia</w:t>
            </w:r>
          </w:p>
        </w:tc>
        <w:tc>
          <w:tcPr>
            <w:tcW w:w="1190" w:type="dxa"/>
            <w:shd w:val="clear" w:color="auto" w:fill="FFFFFF" w:themeFill="background1"/>
          </w:tcPr>
          <w:p w:rsidR="00106E22" w:rsidRPr="004A312B" w:rsidRDefault="00106E22" w:rsidP="00326854">
            <w:pPr>
              <w:pStyle w:val="TableText0"/>
              <w:keepLines/>
            </w:pPr>
            <w:r w:rsidRPr="004A312B">
              <w:t>Grade 3</w:t>
            </w:r>
          </w:p>
        </w:tc>
        <w:tc>
          <w:tcPr>
            <w:tcW w:w="2000" w:type="dxa"/>
            <w:shd w:val="clear" w:color="auto" w:fill="FFFFFF" w:themeFill="background1"/>
            <w:vAlign w:val="center"/>
          </w:tcPr>
          <w:p w:rsidR="00106E22" w:rsidRPr="00196BBD" w:rsidRDefault="00106E22" w:rsidP="00326854">
            <w:pPr>
              <w:pStyle w:val="TableText0"/>
              <w:keepLines/>
              <w:jc w:val="center"/>
            </w:pPr>
            <w:r w:rsidRPr="00196BBD">
              <w:t>36.6%</w:t>
            </w:r>
          </w:p>
        </w:tc>
        <w:tc>
          <w:tcPr>
            <w:tcW w:w="1587" w:type="dxa"/>
            <w:shd w:val="clear" w:color="auto" w:fill="FFFFFF" w:themeFill="background1"/>
            <w:vAlign w:val="center"/>
          </w:tcPr>
          <w:p w:rsidR="00106E22" w:rsidRPr="00196BBD" w:rsidRDefault="00106E22" w:rsidP="00326854">
            <w:pPr>
              <w:pStyle w:val="TableText0"/>
              <w:keepLines/>
              <w:jc w:val="center"/>
            </w:pPr>
            <w:r w:rsidRPr="00196BBD">
              <w:t>41.0%</w:t>
            </w:r>
          </w:p>
        </w:tc>
        <w:tc>
          <w:tcPr>
            <w:tcW w:w="1651" w:type="dxa"/>
            <w:shd w:val="clear" w:color="auto" w:fill="FFFFFF" w:themeFill="background1"/>
            <w:vAlign w:val="center"/>
          </w:tcPr>
          <w:p w:rsidR="00106E22" w:rsidRPr="00196BBD" w:rsidRDefault="00106E22" w:rsidP="00326854">
            <w:pPr>
              <w:pStyle w:val="TableText0"/>
              <w:keepLines/>
              <w:jc w:val="center"/>
            </w:pPr>
            <w:r w:rsidRPr="00196BBD">
              <w:t>-4.4%</w:t>
            </w:r>
          </w:p>
        </w:tc>
      </w:tr>
      <w:tr w:rsidR="00106E22" w:rsidRPr="004A312B" w:rsidTr="00106E22">
        <w:tc>
          <w:tcPr>
            <w:tcW w:w="2589" w:type="dxa"/>
            <w:vMerge/>
          </w:tcPr>
          <w:p w:rsidR="00106E22" w:rsidRPr="004A312B" w:rsidRDefault="00106E22" w:rsidP="00326854">
            <w:pPr>
              <w:pStyle w:val="TableText0"/>
              <w:keepLines/>
            </w:pPr>
          </w:p>
        </w:tc>
        <w:tc>
          <w:tcPr>
            <w:tcW w:w="1190" w:type="dxa"/>
            <w:shd w:val="clear" w:color="auto" w:fill="FFFFFF" w:themeFill="background1"/>
          </w:tcPr>
          <w:p w:rsidR="00106E22" w:rsidRPr="004A312B" w:rsidRDefault="00106E22" w:rsidP="00326854">
            <w:pPr>
              <w:pStyle w:val="TableText0"/>
              <w:keepLines/>
            </w:pPr>
            <w:r w:rsidRPr="004A312B">
              <w:t>Grade 4</w:t>
            </w:r>
          </w:p>
        </w:tc>
        <w:tc>
          <w:tcPr>
            <w:tcW w:w="2000" w:type="dxa"/>
            <w:shd w:val="clear" w:color="auto" w:fill="FFFFFF" w:themeFill="background1"/>
            <w:vAlign w:val="center"/>
          </w:tcPr>
          <w:p w:rsidR="00106E22" w:rsidRPr="00196BBD" w:rsidRDefault="00106E22" w:rsidP="00326854">
            <w:pPr>
              <w:pStyle w:val="TableText0"/>
              <w:keepLines/>
              <w:jc w:val="center"/>
            </w:pPr>
            <w:r w:rsidRPr="00196BBD">
              <w:t>5.8%</w:t>
            </w:r>
          </w:p>
        </w:tc>
        <w:tc>
          <w:tcPr>
            <w:tcW w:w="1587" w:type="dxa"/>
            <w:shd w:val="clear" w:color="auto" w:fill="FFFFFF" w:themeFill="background1"/>
            <w:vAlign w:val="center"/>
          </w:tcPr>
          <w:p w:rsidR="00106E22" w:rsidRPr="00196BBD" w:rsidRDefault="00106E22" w:rsidP="00326854">
            <w:pPr>
              <w:pStyle w:val="TableText0"/>
              <w:keepLines/>
              <w:jc w:val="center"/>
            </w:pPr>
            <w:r w:rsidRPr="00196BBD">
              <w:t>8.7%</w:t>
            </w:r>
          </w:p>
        </w:tc>
        <w:tc>
          <w:tcPr>
            <w:tcW w:w="1651" w:type="dxa"/>
            <w:shd w:val="clear" w:color="auto" w:fill="FFFFFF" w:themeFill="background1"/>
            <w:vAlign w:val="center"/>
          </w:tcPr>
          <w:p w:rsidR="00106E22" w:rsidRPr="00196BBD" w:rsidRDefault="00106E22" w:rsidP="00326854">
            <w:pPr>
              <w:pStyle w:val="TableText0"/>
              <w:keepLines/>
              <w:jc w:val="center"/>
            </w:pPr>
            <w:r w:rsidRPr="00196BBD">
              <w:t>-2.9%</w:t>
            </w:r>
          </w:p>
        </w:tc>
      </w:tr>
      <w:tr w:rsidR="004A312B" w:rsidRPr="004A312B" w:rsidTr="00106E22">
        <w:tc>
          <w:tcPr>
            <w:tcW w:w="2589" w:type="dxa"/>
            <w:vMerge w:val="restart"/>
          </w:tcPr>
          <w:p w:rsidR="004A312B" w:rsidRPr="004A312B" w:rsidRDefault="00106E22" w:rsidP="00326854">
            <w:pPr>
              <w:pStyle w:val="TableText0"/>
              <w:keepLines/>
            </w:pPr>
            <w:r w:rsidRPr="004A312B">
              <w:t>Nausea</w:t>
            </w:r>
          </w:p>
        </w:tc>
        <w:tc>
          <w:tcPr>
            <w:tcW w:w="1190" w:type="dxa"/>
            <w:shd w:val="clear" w:color="auto" w:fill="FFFFFF" w:themeFill="background1"/>
          </w:tcPr>
          <w:p w:rsidR="004A312B" w:rsidRPr="004A312B" w:rsidRDefault="004A312B" w:rsidP="00326854">
            <w:pPr>
              <w:pStyle w:val="TableText0"/>
              <w:keepLines/>
            </w:pPr>
            <w:r w:rsidRPr="004A312B">
              <w:t>Grade 3</w:t>
            </w:r>
          </w:p>
        </w:tc>
        <w:tc>
          <w:tcPr>
            <w:tcW w:w="2000" w:type="dxa"/>
            <w:shd w:val="clear" w:color="auto" w:fill="FFFFFF" w:themeFill="background1"/>
            <w:vAlign w:val="center"/>
          </w:tcPr>
          <w:p w:rsidR="004A312B" w:rsidRPr="00196BBD" w:rsidRDefault="004A312B" w:rsidP="00326854">
            <w:pPr>
              <w:pStyle w:val="TableText0"/>
              <w:keepLines/>
              <w:jc w:val="center"/>
            </w:pPr>
            <w:r w:rsidRPr="00196BBD">
              <w:t>1.4%</w:t>
            </w:r>
          </w:p>
        </w:tc>
        <w:tc>
          <w:tcPr>
            <w:tcW w:w="1587" w:type="dxa"/>
            <w:shd w:val="clear" w:color="auto" w:fill="FFFFFF" w:themeFill="background1"/>
            <w:vAlign w:val="center"/>
          </w:tcPr>
          <w:p w:rsidR="004A312B" w:rsidRPr="00196BBD" w:rsidRDefault="004A312B" w:rsidP="00326854">
            <w:pPr>
              <w:pStyle w:val="TableText0"/>
              <w:keepLines/>
              <w:jc w:val="center"/>
            </w:pPr>
            <w:r w:rsidRPr="00196BBD">
              <w:t>2.4%</w:t>
            </w:r>
          </w:p>
        </w:tc>
        <w:tc>
          <w:tcPr>
            <w:tcW w:w="1651" w:type="dxa"/>
            <w:shd w:val="clear" w:color="auto" w:fill="FFFFFF" w:themeFill="background1"/>
            <w:vAlign w:val="center"/>
          </w:tcPr>
          <w:p w:rsidR="004A312B" w:rsidRPr="00196BBD" w:rsidRDefault="004A312B" w:rsidP="00326854">
            <w:pPr>
              <w:pStyle w:val="TableText0"/>
              <w:keepLines/>
              <w:jc w:val="center"/>
            </w:pPr>
            <w:r w:rsidRPr="00196BBD">
              <w:t>-0.9%</w:t>
            </w:r>
          </w:p>
        </w:tc>
      </w:tr>
      <w:tr w:rsidR="004A312B" w:rsidRPr="004A312B" w:rsidTr="00106E22">
        <w:tc>
          <w:tcPr>
            <w:tcW w:w="2589" w:type="dxa"/>
            <w:vMerge/>
          </w:tcPr>
          <w:p w:rsidR="004A312B" w:rsidRPr="004A312B" w:rsidRDefault="004A312B" w:rsidP="00326854">
            <w:pPr>
              <w:pStyle w:val="TableText0"/>
              <w:keepLines/>
            </w:pPr>
          </w:p>
        </w:tc>
        <w:tc>
          <w:tcPr>
            <w:tcW w:w="1190" w:type="dxa"/>
            <w:shd w:val="clear" w:color="auto" w:fill="FFFFFF" w:themeFill="background1"/>
          </w:tcPr>
          <w:p w:rsidR="004A312B" w:rsidRPr="004A312B" w:rsidRDefault="004A312B" w:rsidP="00326854">
            <w:pPr>
              <w:pStyle w:val="TableText0"/>
              <w:keepLines/>
            </w:pPr>
            <w:r w:rsidRPr="004A312B">
              <w:t>Grade 4</w:t>
            </w:r>
          </w:p>
        </w:tc>
        <w:tc>
          <w:tcPr>
            <w:tcW w:w="2000" w:type="dxa"/>
            <w:shd w:val="clear" w:color="auto" w:fill="FFFFFF" w:themeFill="background1"/>
            <w:vAlign w:val="center"/>
          </w:tcPr>
          <w:p w:rsidR="004A312B" w:rsidRPr="00196BBD" w:rsidRDefault="004A312B" w:rsidP="00326854">
            <w:pPr>
              <w:pStyle w:val="TableText0"/>
              <w:keepLines/>
              <w:jc w:val="center"/>
            </w:pPr>
            <w:r w:rsidRPr="00196BBD">
              <w:t>0.0%</w:t>
            </w:r>
          </w:p>
        </w:tc>
        <w:tc>
          <w:tcPr>
            <w:tcW w:w="1587" w:type="dxa"/>
            <w:shd w:val="clear" w:color="auto" w:fill="FFFFFF" w:themeFill="background1"/>
            <w:vAlign w:val="center"/>
          </w:tcPr>
          <w:p w:rsidR="004A312B" w:rsidRPr="00196BBD" w:rsidRDefault="004A312B" w:rsidP="00326854">
            <w:pPr>
              <w:pStyle w:val="TableText0"/>
              <w:keepLines/>
              <w:jc w:val="center"/>
            </w:pPr>
            <w:r w:rsidRPr="00196BBD">
              <w:t>0.0%</w:t>
            </w:r>
          </w:p>
        </w:tc>
        <w:tc>
          <w:tcPr>
            <w:tcW w:w="1651" w:type="dxa"/>
            <w:shd w:val="clear" w:color="auto" w:fill="FFFFFF" w:themeFill="background1"/>
            <w:vAlign w:val="center"/>
          </w:tcPr>
          <w:p w:rsidR="004A312B" w:rsidRPr="00196BBD" w:rsidRDefault="004A312B" w:rsidP="00326854">
            <w:pPr>
              <w:pStyle w:val="TableText0"/>
              <w:keepLines/>
              <w:jc w:val="center"/>
            </w:pPr>
            <w:r w:rsidRPr="00196BBD">
              <w:t>0.0%</w:t>
            </w:r>
          </w:p>
        </w:tc>
      </w:tr>
      <w:tr w:rsidR="004A312B" w:rsidRPr="004A312B" w:rsidTr="00106E22">
        <w:tc>
          <w:tcPr>
            <w:tcW w:w="2589" w:type="dxa"/>
            <w:vMerge w:val="restart"/>
          </w:tcPr>
          <w:p w:rsidR="004A312B" w:rsidRPr="004A312B" w:rsidRDefault="00106E22" w:rsidP="00326854">
            <w:pPr>
              <w:pStyle w:val="TableText0"/>
              <w:keepLines/>
            </w:pPr>
            <w:r w:rsidRPr="004A312B">
              <w:t>Vomiting</w:t>
            </w:r>
          </w:p>
        </w:tc>
        <w:tc>
          <w:tcPr>
            <w:tcW w:w="1190" w:type="dxa"/>
            <w:shd w:val="clear" w:color="auto" w:fill="FFFFFF" w:themeFill="background1"/>
          </w:tcPr>
          <w:p w:rsidR="004A312B" w:rsidRPr="004A312B" w:rsidRDefault="004A312B" w:rsidP="00326854">
            <w:pPr>
              <w:pStyle w:val="TableText0"/>
              <w:keepLines/>
            </w:pPr>
            <w:r w:rsidRPr="004A312B">
              <w:t>Grade 3</w:t>
            </w:r>
          </w:p>
        </w:tc>
        <w:tc>
          <w:tcPr>
            <w:tcW w:w="2000" w:type="dxa"/>
            <w:shd w:val="clear" w:color="auto" w:fill="FFFFFF" w:themeFill="background1"/>
            <w:vAlign w:val="center"/>
          </w:tcPr>
          <w:p w:rsidR="004A312B" w:rsidRPr="00196BBD" w:rsidRDefault="004A312B" w:rsidP="00326854">
            <w:pPr>
              <w:pStyle w:val="TableText0"/>
              <w:keepLines/>
              <w:jc w:val="center"/>
            </w:pPr>
            <w:r w:rsidRPr="00196BBD">
              <w:t>1.4%</w:t>
            </w:r>
          </w:p>
        </w:tc>
        <w:tc>
          <w:tcPr>
            <w:tcW w:w="1587" w:type="dxa"/>
            <w:shd w:val="clear" w:color="auto" w:fill="FFFFFF" w:themeFill="background1"/>
            <w:vAlign w:val="center"/>
          </w:tcPr>
          <w:p w:rsidR="004A312B" w:rsidRPr="00196BBD" w:rsidRDefault="004A312B" w:rsidP="00326854">
            <w:pPr>
              <w:pStyle w:val="TableText0"/>
              <w:keepLines/>
              <w:jc w:val="center"/>
            </w:pPr>
            <w:r w:rsidRPr="00196BBD">
              <w:t>3.6%</w:t>
            </w:r>
          </w:p>
        </w:tc>
        <w:tc>
          <w:tcPr>
            <w:tcW w:w="1651" w:type="dxa"/>
            <w:shd w:val="clear" w:color="auto" w:fill="FFFFFF" w:themeFill="background1"/>
            <w:vAlign w:val="center"/>
          </w:tcPr>
          <w:p w:rsidR="004A312B" w:rsidRPr="00196BBD" w:rsidRDefault="004A312B" w:rsidP="00326854">
            <w:pPr>
              <w:pStyle w:val="TableText0"/>
              <w:keepLines/>
              <w:jc w:val="center"/>
            </w:pPr>
            <w:r w:rsidRPr="00196BBD">
              <w:t>-2.1%</w:t>
            </w:r>
          </w:p>
        </w:tc>
      </w:tr>
      <w:tr w:rsidR="004A312B" w:rsidRPr="004A312B" w:rsidTr="00106E22">
        <w:tc>
          <w:tcPr>
            <w:tcW w:w="2589" w:type="dxa"/>
            <w:vMerge/>
          </w:tcPr>
          <w:p w:rsidR="004A312B" w:rsidRPr="004A312B" w:rsidRDefault="004A312B" w:rsidP="00326854">
            <w:pPr>
              <w:pStyle w:val="TableText0"/>
              <w:keepLines/>
            </w:pPr>
          </w:p>
        </w:tc>
        <w:tc>
          <w:tcPr>
            <w:tcW w:w="1190" w:type="dxa"/>
            <w:shd w:val="clear" w:color="auto" w:fill="FFFFFF" w:themeFill="background1"/>
          </w:tcPr>
          <w:p w:rsidR="004A312B" w:rsidRPr="004A312B" w:rsidRDefault="004A312B" w:rsidP="00326854">
            <w:pPr>
              <w:pStyle w:val="TableText0"/>
              <w:keepLines/>
            </w:pPr>
            <w:r w:rsidRPr="004A312B">
              <w:t>Grade 4</w:t>
            </w:r>
          </w:p>
        </w:tc>
        <w:tc>
          <w:tcPr>
            <w:tcW w:w="2000" w:type="dxa"/>
            <w:shd w:val="clear" w:color="auto" w:fill="FFFFFF" w:themeFill="background1"/>
            <w:vAlign w:val="center"/>
          </w:tcPr>
          <w:p w:rsidR="004A312B" w:rsidRPr="00196BBD" w:rsidRDefault="004A312B" w:rsidP="00326854">
            <w:pPr>
              <w:pStyle w:val="TableText0"/>
              <w:keepLines/>
              <w:jc w:val="center"/>
            </w:pPr>
            <w:r w:rsidRPr="00196BBD">
              <w:t>0.0%</w:t>
            </w:r>
          </w:p>
        </w:tc>
        <w:tc>
          <w:tcPr>
            <w:tcW w:w="1587" w:type="dxa"/>
            <w:shd w:val="clear" w:color="auto" w:fill="FFFFFF" w:themeFill="background1"/>
            <w:vAlign w:val="center"/>
          </w:tcPr>
          <w:p w:rsidR="004A312B" w:rsidRPr="00196BBD" w:rsidRDefault="004A312B" w:rsidP="00326854">
            <w:pPr>
              <w:pStyle w:val="TableText0"/>
              <w:keepLines/>
              <w:jc w:val="center"/>
            </w:pPr>
            <w:r w:rsidRPr="00196BBD">
              <w:t>0.0%</w:t>
            </w:r>
          </w:p>
        </w:tc>
        <w:tc>
          <w:tcPr>
            <w:tcW w:w="1651" w:type="dxa"/>
            <w:shd w:val="clear" w:color="auto" w:fill="FFFFFF" w:themeFill="background1"/>
            <w:vAlign w:val="center"/>
          </w:tcPr>
          <w:p w:rsidR="004A312B" w:rsidRPr="00196BBD" w:rsidRDefault="004A312B" w:rsidP="00326854">
            <w:pPr>
              <w:pStyle w:val="TableText0"/>
              <w:keepLines/>
              <w:jc w:val="center"/>
            </w:pPr>
            <w:r w:rsidRPr="00196BBD">
              <w:t>0.0%</w:t>
            </w:r>
          </w:p>
        </w:tc>
      </w:tr>
      <w:tr w:rsidR="004A312B" w:rsidRPr="004A312B" w:rsidTr="00106E22">
        <w:tc>
          <w:tcPr>
            <w:tcW w:w="2589" w:type="dxa"/>
            <w:vMerge w:val="restart"/>
          </w:tcPr>
          <w:p w:rsidR="004A312B" w:rsidRPr="004A312B" w:rsidRDefault="00106E22" w:rsidP="00326854">
            <w:pPr>
              <w:pStyle w:val="TableText0"/>
              <w:keepLines/>
            </w:pPr>
            <w:r w:rsidRPr="004A312B">
              <w:t>Back pain</w:t>
            </w:r>
          </w:p>
        </w:tc>
        <w:tc>
          <w:tcPr>
            <w:tcW w:w="1190" w:type="dxa"/>
            <w:shd w:val="clear" w:color="auto" w:fill="FFFFFF" w:themeFill="background1"/>
          </w:tcPr>
          <w:p w:rsidR="004A312B" w:rsidRPr="004A312B" w:rsidRDefault="004A312B" w:rsidP="00326854">
            <w:pPr>
              <w:pStyle w:val="TableText0"/>
              <w:keepLines/>
            </w:pPr>
            <w:r w:rsidRPr="004A312B">
              <w:t>Grade 3</w:t>
            </w:r>
          </w:p>
        </w:tc>
        <w:tc>
          <w:tcPr>
            <w:tcW w:w="2000" w:type="dxa"/>
            <w:shd w:val="clear" w:color="auto" w:fill="FFFFFF" w:themeFill="background1"/>
            <w:vAlign w:val="center"/>
          </w:tcPr>
          <w:p w:rsidR="004A312B" w:rsidRPr="00196BBD" w:rsidRDefault="004A312B" w:rsidP="00326854">
            <w:pPr>
              <w:pStyle w:val="TableText0"/>
              <w:keepLines/>
              <w:jc w:val="center"/>
            </w:pPr>
            <w:r w:rsidRPr="00196BBD">
              <w:t>1.7%</w:t>
            </w:r>
          </w:p>
        </w:tc>
        <w:tc>
          <w:tcPr>
            <w:tcW w:w="1587" w:type="dxa"/>
            <w:shd w:val="clear" w:color="auto" w:fill="FFFFFF" w:themeFill="background1"/>
            <w:vAlign w:val="center"/>
          </w:tcPr>
          <w:p w:rsidR="004A312B" w:rsidRPr="00196BBD" w:rsidRDefault="004A312B" w:rsidP="00326854">
            <w:pPr>
              <w:pStyle w:val="TableText0"/>
              <w:keepLines/>
              <w:jc w:val="center"/>
            </w:pPr>
            <w:r w:rsidRPr="00196BBD">
              <w:t>2.7%</w:t>
            </w:r>
          </w:p>
        </w:tc>
        <w:tc>
          <w:tcPr>
            <w:tcW w:w="1651" w:type="dxa"/>
            <w:shd w:val="clear" w:color="auto" w:fill="FFFFFF" w:themeFill="background1"/>
            <w:vAlign w:val="center"/>
          </w:tcPr>
          <w:p w:rsidR="004A312B" w:rsidRPr="00196BBD" w:rsidRDefault="004A312B" w:rsidP="00326854">
            <w:pPr>
              <w:pStyle w:val="TableText0"/>
              <w:keepLines/>
              <w:jc w:val="center"/>
            </w:pPr>
            <w:r w:rsidRPr="00196BBD">
              <w:t>-1.0%</w:t>
            </w:r>
          </w:p>
        </w:tc>
      </w:tr>
      <w:tr w:rsidR="004A312B" w:rsidRPr="004A312B" w:rsidTr="00106E22">
        <w:tc>
          <w:tcPr>
            <w:tcW w:w="2589" w:type="dxa"/>
            <w:vMerge/>
          </w:tcPr>
          <w:p w:rsidR="004A312B" w:rsidRPr="004A312B" w:rsidRDefault="004A312B" w:rsidP="00326854">
            <w:pPr>
              <w:pStyle w:val="TableText0"/>
              <w:keepLines/>
            </w:pPr>
          </w:p>
        </w:tc>
        <w:tc>
          <w:tcPr>
            <w:tcW w:w="1190" w:type="dxa"/>
            <w:shd w:val="clear" w:color="auto" w:fill="FFFFFF" w:themeFill="background1"/>
          </w:tcPr>
          <w:p w:rsidR="004A312B" w:rsidRPr="004A312B" w:rsidRDefault="004A312B" w:rsidP="00326854">
            <w:pPr>
              <w:pStyle w:val="TableText0"/>
              <w:keepLines/>
            </w:pPr>
            <w:r w:rsidRPr="004A312B">
              <w:t>Grade 4</w:t>
            </w:r>
          </w:p>
        </w:tc>
        <w:tc>
          <w:tcPr>
            <w:tcW w:w="2000" w:type="dxa"/>
            <w:shd w:val="clear" w:color="auto" w:fill="FFFFFF" w:themeFill="background1"/>
            <w:vAlign w:val="center"/>
          </w:tcPr>
          <w:p w:rsidR="004A312B" w:rsidRPr="00196BBD" w:rsidRDefault="004A312B" w:rsidP="00326854">
            <w:pPr>
              <w:pStyle w:val="TableText0"/>
              <w:keepLines/>
              <w:jc w:val="center"/>
            </w:pPr>
            <w:r w:rsidRPr="00196BBD">
              <w:t>0.0%</w:t>
            </w:r>
          </w:p>
        </w:tc>
        <w:tc>
          <w:tcPr>
            <w:tcW w:w="1587" w:type="dxa"/>
            <w:shd w:val="clear" w:color="auto" w:fill="FFFFFF" w:themeFill="background1"/>
            <w:vAlign w:val="center"/>
          </w:tcPr>
          <w:p w:rsidR="004A312B" w:rsidRPr="00196BBD" w:rsidRDefault="004A312B" w:rsidP="00326854">
            <w:pPr>
              <w:pStyle w:val="TableText0"/>
              <w:keepLines/>
              <w:jc w:val="center"/>
            </w:pPr>
            <w:r w:rsidRPr="00196BBD">
              <w:t>0.0%</w:t>
            </w:r>
          </w:p>
        </w:tc>
        <w:tc>
          <w:tcPr>
            <w:tcW w:w="1651" w:type="dxa"/>
            <w:shd w:val="clear" w:color="auto" w:fill="FFFFFF" w:themeFill="background1"/>
            <w:vAlign w:val="center"/>
          </w:tcPr>
          <w:p w:rsidR="004A312B" w:rsidRPr="00196BBD" w:rsidRDefault="004A312B" w:rsidP="00326854">
            <w:pPr>
              <w:pStyle w:val="TableText0"/>
              <w:keepLines/>
              <w:jc w:val="center"/>
            </w:pPr>
            <w:r w:rsidRPr="00196BBD">
              <w:t>0.0%</w:t>
            </w:r>
          </w:p>
        </w:tc>
      </w:tr>
      <w:tr w:rsidR="004A312B" w:rsidRPr="004A312B" w:rsidTr="00106E22">
        <w:tc>
          <w:tcPr>
            <w:tcW w:w="2589" w:type="dxa"/>
            <w:vMerge w:val="restart"/>
          </w:tcPr>
          <w:p w:rsidR="004A312B" w:rsidRPr="004A312B" w:rsidRDefault="00106E22" w:rsidP="00326854">
            <w:pPr>
              <w:pStyle w:val="TableText0"/>
              <w:keepLines/>
            </w:pPr>
            <w:r w:rsidRPr="004A312B">
              <w:t>Neutrophil count decreased</w:t>
            </w:r>
          </w:p>
        </w:tc>
        <w:tc>
          <w:tcPr>
            <w:tcW w:w="1190" w:type="dxa"/>
            <w:shd w:val="clear" w:color="auto" w:fill="FFFFFF" w:themeFill="background1"/>
          </w:tcPr>
          <w:p w:rsidR="004A312B" w:rsidRPr="004A312B" w:rsidRDefault="004A312B" w:rsidP="00326854">
            <w:pPr>
              <w:pStyle w:val="TableText0"/>
              <w:keepLines/>
            </w:pPr>
            <w:r w:rsidRPr="004A312B">
              <w:t>Grade 3</w:t>
            </w:r>
          </w:p>
        </w:tc>
        <w:tc>
          <w:tcPr>
            <w:tcW w:w="2000" w:type="dxa"/>
            <w:shd w:val="clear" w:color="auto" w:fill="FFFFFF" w:themeFill="background1"/>
            <w:vAlign w:val="center"/>
          </w:tcPr>
          <w:p w:rsidR="004A312B" w:rsidRPr="00196BBD" w:rsidRDefault="004A312B" w:rsidP="00326854">
            <w:pPr>
              <w:pStyle w:val="TableText0"/>
              <w:keepLines/>
              <w:jc w:val="center"/>
            </w:pPr>
            <w:r w:rsidRPr="00196BBD">
              <w:t>13.3%</w:t>
            </w:r>
          </w:p>
        </w:tc>
        <w:tc>
          <w:tcPr>
            <w:tcW w:w="1587" w:type="dxa"/>
            <w:shd w:val="clear" w:color="auto" w:fill="FFFFFF" w:themeFill="background1"/>
            <w:vAlign w:val="center"/>
          </w:tcPr>
          <w:p w:rsidR="004A312B" w:rsidRPr="00196BBD" w:rsidRDefault="004A312B" w:rsidP="00326854">
            <w:pPr>
              <w:pStyle w:val="TableText0"/>
              <w:keepLines/>
              <w:jc w:val="center"/>
            </w:pPr>
            <w:r w:rsidRPr="00196BBD">
              <w:t>14.4%</w:t>
            </w:r>
          </w:p>
        </w:tc>
        <w:tc>
          <w:tcPr>
            <w:tcW w:w="1651" w:type="dxa"/>
            <w:shd w:val="clear" w:color="auto" w:fill="FFFFFF" w:themeFill="background1"/>
            <w:vAlign w:val="center"/>
          </w:tcPr>
          <w:p w:rsidR="004A312B" w:rsidRPr="00196BBD" w:rsidRDefault="004A312B" w:rsidP="00326854">
            <w:pPr>
              <w:pStyle w:val="TableText0"/>
              <w:keepLines/>
              <w:jc w:val="center"/>
            </w:pPr>
            <w:r w:rsidRPr="00196BBD">
              <w:t>-1.1%</w:t>
            </w:r>
          </w:p>
        </w:tc>
      </w:tr>
      <w:tr w:rsidR="004A312B" w:rsidRPr="004A312B" w:rsidTr="00106E22">
        <w:tc>
          <w:tcPr>
            <w:tcW w:w="2589" w:type="dxa"/>
            <w:vMerge/>
          </w:tcPr>
          <w:p w:rsidR="004A312B" w:rsidRPr="004A312B" w:rsidRDefault="004A312B" w:rsidP="00326854">
            <w:pPr>
              <w:pStyle w:val="TableText0"/>
              <w:keepLines/>
            </w:pPr>
          </w:p>
        </w:tc>
        <w:tc>
          <w:tcPr>
            <w:tcW w:w="1190" w:type="dxa"/>
            <w:shd w:val="clear" w:color="auto" w:fill="FFFFFF" w:themeFill="background1"/>
          </w:tcPr>
          <w:p w:rsidR="004A312B" w:rsidRPr="004A312B" w:rsidRDefault="004A312B" w:rsidP="00326854">
            <w:pPr>
              <w:pStyle w:val="TableText0"/>
              <w:keepLines/>
            </w:pPr>
            <w:r w:rsidRPr="004A312B">
              <w:t>Grade 4</w:t>
            </w:r>
          </w:p>
        </w:tc>
        <w:tc>
          <w:tcPr>
            <w:tcW w:w="2000" w:type="dxa"/>
            <w:shd w:val="clear" w:color="auto" w:fill="FFFFFF" w:themeFill="background1"/>
            <w:vAlign w:val="center"/>
          </w:tcPr>
          <w:p w:rsidR="004A312B" w:rsidRPr="00196BBD" w:rsidRDefault="004A312B" w:rsidP="00326854">
            <w:pPr>
              <w:pStyle w:val="TableText0"/>
              <w:keepLines/>
              <w:jc w:val="center"/>
            </w:pPr>
            <w:r w:rsidRPr="00196BBD">
              <w:t>1.0%</w:t>
            </w:r>
          </w:p>
        </w:tc>
        <w:tc>
          <w:tcPr>
            <w:tcW w:w="1587" w:type="dxa"/>
            <w:shd w:val="clear" w:color="auto" w:fill="FFFFFF" w:themeFill="background1"/>
            <w:vAlign w:val="center"/>
          </w:tcPr>
          <w:p w:rsidR="004A312B" w:rsidRPr="00196BBD" w:rsidRDefault="004A312B" w:rsidP="00326854">
            <w:pPr>
              <w:pStyle w:val="TableText0"/>
              <w:keepLines/>
              <w:jc w:val="center"/>
            </w:pPr>
            <w:r w:rsidRPr="00196BBD">
              <w:t>0.9%</w:t>
            </w:r>
          </w:p>
        </w:tc>
        <w:tc>
          <w:tcPr>
            <w:tcW w:w="1651" w:type="dxa"/>
            <w:shd w:val="clear" w:color="auto" w:fill="FFFFFF" w:themeFill="background1"/>
            <w:vAlign w:val="center"/>
          </w:tcPr>
          <w:p w:rsidR="004A312B" w:rsidRPr="00196BBD" w:rsidRDefault="004A312B" w:rsidP="00326854">
            <w:pPr>
              <w:pStyle w:val="TableText0"/>
              <w:keepLines/>
              <w:jc w:val="center"/>
            </w:pPr>
            <w:r w:rsidRPr="00196BBD">
              <w:t>0.1%</w:t>
            </w:r>
          </w:p>
        </w:tc>
      </w:tr>
      <w:tr w:rsidR="004A312B" w:rsidRPr="004A312B" w:rsidTr="00106E22">
        <w:tc>
          <w:tcPr>
            <w:tcW w:w="2589" w:type="dxa"/>
            <w:vMerge w:val="restart"/>
          </w:tcPr>
          <w:p w:rsidR="004A312B" w:rsidRPr="004A312B" w:rsidRDefault="00106E22" w:rsidP="00326854">
            <w:pPr>
              <w:pStyle w:val="TableText0"/>
              <w:keepLines/>
            </w:pPr>
            <w:r w:rsidRPr="004A312B">
              <w:t>Anaemia</w:t>
            </w:r>
          </w:p>
        </w:tc>
        <w:tc>
          <w:tcPr>
            <w:tcW w:w="1190" w:type="dxa"/>
            <w:shd w:val="clear" w:color="auto" w:fill="FFFFFF" w:themeFill="background1"/>
          </w:tcPr>
          <w:p w:rsidR="004A312B" w:rsidRPr="004A312B" w:rsidRDefault="004A312B" w:rsidP="00326854">
            <w:pPr>
              <w:pStyle w:val="TableText0"/>
              <w:keepLines/>
            </w:pPr>
            <w:r w:rsidRPr="004A312B">
              <w:t>Grade 3</w:t>
            </w:r>
          </w:p>
        </w:tc>
        <w:tc>
          <w:tcPr>
            <w:tcW w:w="2000" w:type="dxa"/>
            <w:shd w:val="clear" w:color="auto" w:fill="FFFFFF" w:themeFill="background1"/>
            <w:vAlign w:val="center"/>
          </w:tcPr>
          <w:p w:rsidR="004A312B" w:rsidRPr="00196BBD" w:rsidRDefault="004A312B" w:rsidP="00326854">
            <w:pPr>
              <w:pStyle w:val="TableText0"/>
              <w:keepLines/>
              <w:jc w:val="center"/>
            </w:pPr>
            <w:r w:rsidRPr="00196BBD">
              <w:t>3.1%</w:t>
            </w:r>
          </w:p>
        </w:tc>
        <w:tc>
          <w:tcPr>
            <w:tcW w:w="1587" w:type="dxa"/>
            <w:shd w:val="clear" w:color="auto" w:fill="FFFFFF" w:themeFill="background1"/>
            <w:vAlign w:val="center"/>
          </w:tcPr>
          <w:p w:rsidR="004A312B" w:rsidRPr="00196BBD" w:rsidRDefault="004A312B" w:rsidP="00326854">
            <w:pPr>
              <w:pStyle w:val="TableText0"/>
              <w:keepLines/>
              <w:jc w:val="center"/>
            </w:pPr>
            <w:r w:rsidRPr="00196BBD">
              <w:t>1.2%</w:t>
            </w:r>
          </w:p>
        </w:tc>
        <w:tc>
          <w:tcPr>
            <w:tcW w:w="1651" w:type="dxa"/>
            <w:shd w:val="clear" w:color="auto" w:fill="FFFFFF" w:themeFill="background1"/>
            <w:vAlign w:val="center"/>
          </w:tcPr>
          <w:p w:rsidR="004A312B" w:rsidRPr="00196BBD" w:rsidRDefault="004A312B" w:rsidP="00326854">
            <w:pPr>
              <w:pStyle w:val="TableText0"/>
              <w:keepLines/>
              <w:jc w:val="center"/>
            </w:pPr>
            <w:r w:rsidRPr="00196BBD">
              <w:t>1.9%</w:t>
            </w:r>
          </w:p>
        </w:tc>
      </w:tr>
      <w:tr w:rsidR="004A312B" w:rsidRPr="004A312B" w:rsidTr="00106E22">
        <w:tc>
          <w:tcPr>
            <w:tcW w:w="2589" w:type="dxa"/>
            <w:vMerge/>
          </w:tcPr>
          <w:p w:rsidR="004A312B" w:rsidRPr="004A312B" w:rsidRDefault="004A312B" w:rsidP="00326854">
            <w:pPr>
              <w:pStyle w:val="TableText0"/>
              <w:keepLines/>
            </w:pPr>
          </w:p>
        </w:tc>
        <w:tc>
          <w:tcPr>
            <w:tcW w:w="1190" w:type="dxa"/>
            <w:shd w:val="clear" w:color="auto" w:fill="FFFFFF" w:themeFill="background1"/>
          </w:tcPr>
          <w:p w:rsidR="004A312B" w:rsidRPr="004A312B" w:rsidRDefault="004A312B" w:rsidP="00326854">
            <w:pPr>
              <w:pStyle w:val="TableText0"/>
              <w:keepLines/>
            </w:pPr>
            <w:r w:rsidRPr="004A312B">
              <w:t>Grade 4</w:t>
            </w:r>
          </w:p>
        </w:tc>
        <w:tc>
          <w:tcPr>
            <w:tcW w:w="2000" w:type="dxa"/>
            <w:shd w:val="clear" w:color="auto" w:fill="FFFFFF" w:themeFill="background1"/>
            <w:vAlign w:val="center"/>
          </w:tcPr>
          <w:p w:rsidR="004A312B" w:rsidRPr="00196BBD" w:rsidRDefault="004A312B" w:rsidP="00326854">
            <w:pPr>
              <w:pStyle w:val="TableText0"/>
              <w:keepLines/>
              <w:jc w:val="center"/>
            </w:pPr>
            <w:r w:rsidRPr="00196BBD">
              <w:t>0.0%</w:t>
            </w:r>
          </w:p>
        </w:tc>
        <w:tc>
          <w:tcPr>
            <w:tcW w:w="1587" w:type="dxa"/>
            <w:shd w:val="clear" w:color="auto" w:fill="FFFFFF" w:themeFill="background1"/>
            <w:vAlign w:val="center"/>
          </w:tcPr>
          <w:p w:rsidR="004A312B" w:rsidRPr="00196BBD" w:rsidRDefault="004A312B" w:rsidP="00326854">
            <w:pPr>
              <w:pStyle w:val="TableText0"/>
              <w:keepLines/>
              <w:jc w:val="center"/>
            </w:pPr>
            <w:r w:rsidRPr="00196BBD">
              <w:t>0.3%</w:t>
            </w:r>
          </w:p>
        </w:tc>
        <w:tc>
          <w:tcPr>
            <w:tcW w:w="1651" w:type="dxa"/>
            <w:shd w:val="clear" w:color="auto" w:fill="FFFFFF" w:themeFill="background1"/>
            <w:vAlign w:val="center"/>
          </w:tcPr>
          <w:p w:rsidR="004A312B" w:rsidRPr="00196BBD" w:rsidRDefault="004A312B" w:rsidP="00326854">
            <w:pPr>
              <w:pStyle w:val="TableText0"/>
              <w:keepLines/>
              <w:jc w:val="center"/>
            </w:pPr>
            <w:r w:rsidRPr="00196BBD">
              <w:t>-0.3%</w:t>
            </w:r>
          </w:p>
        </w:tc>
      </w:tr>
      <w:tr w:rsidR="004A312B" w:rsidRPr="004A312B" w:rsidTr="00106E22">
        <w:tc>
          <w:tcPr>
            <w:tcW w:w="2589" w:type="dxa"/>
            <w:vMerge w:val="restart"/>
          </w:tcPr>
          <w:p w:rsidR="004A312B" w:rsidRPr="004A312B" w:rsidRDefault="00106E22" w:rsidP="00326854">
            <w:pPr>
              <w:pStyle w:val="TableText0"/>
              <w:keepLines/>
            </w:pPr>
            <w:r w:rsidRPr="004A312B">
              <w:t>Leukopenia</w:t>
            </w:r>
          </w:p>
        </w:tc>
        <w:tc>
          <w:tcPr>
            <w:tcW w:w="1190" w:type="dxa"/>
            <w:shd w:val="clear" w:color="auto" w:fill="FFFFFF" w:themeFill="background1"/>
          </w:tcPr>
          <w:p w:rsidR="004A312B" w:rsidRPr="004A312B" w:rsidRDefault="004A312B" w:rsidP="00326854">
            <w:pPr>
              <w:pStyle w:val="TableText0"/>
              <w:keepLines/>
            </w:pPr>
            <w:r w:rsidRPr="004A312B">
              <w:t>Grade 3</w:t>
            </w:r>
          </w:p>
        </w:tc>
        <w:tc>
          <w:tcPr>
            <w:tcW w:w="2000" w:type="dxa"/>
            <w:shd w:val="clear" w:color="auto" w:fill="FFFFFF" w:themeFill="background1"/>
            <w:vAlign w:val="center"/>
          </w:tcPr>
          <w:p w:rsidR="004A312B" w:rsidRPr="00196BBD" w:rsidRDefault="004A312B" w:rsidP="00326854">
            <w:pPr>
              <w:pStyle w:val="TableText0"/>
              <w:keepLines/>
              <w:jc w:val="center"/>
            </w:pPr>
            <w:r w:rsidRPr="00196BBD">
              <w:t>5.2%</w:t>
            </w:r>
          </w:p>
        </w:tc>
        <w:tc>
          <w:tcPr>
            <w:tcW w:w="1587" w:type="dxa"/>
            <w:shd w:val="clear" w:color="auto" w:fill="FFFFFF" w:themeFill="background1"/>
            <w:vAlign w:val="center"/>
          </w:tcPr>
          <w:p w:rsidR="004A312B" w:rsidRPr="00196BBD" w:rsidRDefault="004A312B" w:rsidP="00326854">
            <w:pPr>
              <w:pStyle w:val="TableText0"/>
              <w:keepLines/>
              <w:jc w:val="center"/>
            </w:pPr>
            <w:r w:rsidRPr="00196BBD">
              <w:t>8.1%</w:t>
            </w:r>
          </w:p>
        </w:tc>
        <w:tc>
          <w:tcPr>
            <w:tcW w:w="1651" w:type="dxa"/>
            <w:shd w:val="clear" w:color="auto" w:fill="FFFFFF" w:themeFill="background1"/>
            <w:vAlign w:val="center"/>
          </w:tcPr>
          <w:p w:rsidR="004A312B" w:rsidRPr="00196BBD" w:rsidRDefault="004A312B" w:rsidP="00326854">
            <w:pPr>
              <w:pStyle w:val="TableText0"/>
              <w:keepLines/>
              <w:jc w:val="center"/>
            </w:pPr>
            <w:r w:rsidRPr="00196BBD">
              <w:t>-2.9%</w:t>
            </w:r>
          </w:p>
        </w:tc>
      </w:tr>
      <w:tr w:rsidR="004A312B" w:rsidRPr="004A312B" w:rsidTr="00106E22">
        <w:tc>
          <w:tcPr>
            <w:tcW w:w="2589" w:type="dxa"/>
            <w:vMerge/>
          </w:tcPr>
          <w:p w:rsidR="004A312B" w:rsidRPr="004A312B" w:rsidRDefault="004A312B" w:rsidP="00326854">
            <w:pPr>
              <w:pStyle w:val="TableText0"/>
              <w:keepLines/>
            </w:pPr>
          </w:p>
        </w:tc>
        <w:tc>
          <w:tcPr>
            <w:tcW w:w="1190" w:type="dxa"/>
            <w:shd w:val="clear" w:color="auto" w:fill="FFFFFF" w:themeFill="background1"/>
          </w:tcPr>
          <w:p w:rsidR="004A312B" w:rsidRPr="004A312B" w:rsidRDefault="004A312B" w:rsidP="00326854">
            <w:pPr>
              <w:pStyle w:val="TableText0"/>
              <w:keepLines/>
            </w:pPr>
            <w:r w:rsidRPr="004A312B">
              <w:t>Grade 4</w:t>
            </w:r>
          </w:p>
        </w:tc>
        <w:tc>
          <w:tcPr>
            <w:tcW w:w="2000" w:type="dxa"/>
            <w:shd w:val="clear" w:color="auto" w:fill="FFFFFF" w:themeFill="background1"/>
            <w:vAlign w:val="center"/>
          </w:tcPr>
          <w:p w:rsidR="004A312B" w:rsidRPr="00196BBD" w:rsidRDefault="004A312B" w:rsidP="00326854">
            <w:pPr>
              <w:pStyle w:val="TableText0"/>
              <w:keepLines/>
              <w:jc w:val="center"/>
            </w:pPr>
            <w:r w:rsidRPr="00196BBD">
              <w:t>0.4%</w:t>
            </w:r>
          </w:p>
        </w:tc>
        <w:tc>
          <w:tcPr>
            <w:tcW w:w="1587" w:type="dxa"/>
            <w:shd w:val="clear" w:color="auto" w:fill="FFFFFF" w:themeFill="background1"/>
            <w:vAlign w:val="center"/>
          </w:tcPr>
          <w:p w:rsidR="004A312B" w:rsidRPr="00196BBD" w:rsidRDefault="004A312B" w:rsidP="00326854">
            <w:pPr>
              <w:pStyle w:val="TableText0"/>
              <w:keepLines/>
              <w:jc w:val="center"/>
            </w:pPr>
            <w:r w:rsidRPr="00196BBD">
              <w:t>0.6%</w:t>
            </w:r>
          </w:p>
        </w:tc>
        <w:tc>
          <w:tcPr>
            <w:tcW w:w="1651" w:type="dxa"/>
            <w:shd w:val="clear" w:color="auto" w:fill="FFFFFF" w:themeFill="background1"/>
            <w:vAlign w:val="center"/>
          </w:tcPr>
          <w:p w:rsidR="004A312B" w:rsidRPr="00196BBD" w:rsidRDefault="004A312B" w:rsidP="00326854">
            <w:pPr>
              <w:pStyle w:val="TableText0"/>
              <w:keepLines/>
              <w:jc w:val="center"/>
            </w:pPr>
            <w:r w:rsidRPr="00196BBD">
              <w:t>-0.2%</w:t>
            </w:r>
          </w:p>
        </w:tc>
      </w:tr>
      <w:tr w:rsidR="004A312B" w:rsidRPr="004A312B" w:rsidTr="00106E22">
        <w:tc>
          <w:tcPr>
            <w:tcW w:w="2589" w:type="dxa"/>
            <w:vMerge w:val="restart"/>
          </w:tcPr>
          <w:p w:rsidR="004A312B" w:rsidRPr="00106E22" w:rsidRDefault="00106E22" w:rsidP="00326854">
            <w:pPr>
              <w:pStyle w:val="TableText0"/>
              <w:keepLines/>
              <w:rPr>
                <w:b/>
              </w:rPr>
            </w:pPr>
            <w:r w:rsidRPr="004A312B">
              <w:t>Increased ALT</w:t>
            </w:r>
          </w:p>
        </w:tc>
        <w:tc>
          <w:tcPr>
            <w:tcW w:w="1190" w:type="dxa"/>
            <w:shd w:val="clear" w:color="auto" w:fill="FFFFFF" w:themeFill="background1"/>
          </w:tcPr>
          <w:p w:rsidR="004A312B" w:rsidRPr="004A312B" w:rsidRDefault="004A312B" w:rsidP="00326854">
            <w:pPr>
              <w:pStyle w:val="TableText0"/>
              <w:keepLines/>
            </w:pPr>
            <w:r w:rsidRPr="004A312B">
              <w:t>Grade 3</w:t>
            </w:r>
          </w:p>
        </w:tc>
        <w:tc>
          <w:tcPr>
            <w:tcW w:w="2000" w:type="dxa"/>
            <w:shd w:val="clear" w:color="auto" w:fill="FFFFFF" w:themeFill="background1"/>
            <w:vAlign w:val="center"/>
          </w:tcPr>
          <w:p w:rsidR="004A312B" w:rsidRPr="00196BBD" w:rsidRDefault="004A312B" w:rsidP="00326854">
            <w:pPr>
              <w:pStyle w:val="TableText0"/>
              <w:keepLines/>
              <w:jc w:val="center"/>
            </w:pPr>
            <w:r w:rsidRPr="00196BBD">
              <w:t>6.6%</w:t>
            </w:r>
          </w:p>
        </w:tc>
        <w:tc>
          <w:tcPr>
            <w:tcW w:w="1587" w:type="dxa"/>
            <w:shd w:val="clear" w:color="auto" w:fill="FFFFFF" w:themeFill="background1"/>
            <w:vAlign w:val="center"/>
          </w:tcPr>
          <w:p w:rsidR="004A312B" w:rsidRPr="00196BBD" w:rsidRDefault="004A312B" w:rsidP="00326854">
            <w:pPr>
              <w:pStyle w:val="TableText0"/>
              <w:keepLines/>
              <w:jc w:val="center"/>
            </w:pPr>
            <w:r w:rsidRPr="00196BBD">
              <w:t>7.8%</w:t>
            </w:r>
          </w:p>
        </w:tc>
        <w:tc>
          <w:tcPr>
            <w:tcW w:w="1651" w:type="dxa"/>
            <w:shd w:val="clear" w:color="auto" w:fill="FFFFFF" w:themeFill="background1"/>
            <w:vAlign w:val="center"/>
          </w:tcPr>
          <w:p w:rsidR="004A312B" w:rsidRPr="00196BBD" w:rsidRDefault="004A312B" w:rsidP="00326854">
            <w:pPr>
              <w:pStyle w:val="TableText0"/>
              <w:keepLines/>
              <w:jc w:val="center"/>
            </w:pPr>
            <w:r w:rsidRPr="00196BBD">
              <w:t>-1.2%</w:t>
            </w:r>
          </w:p>
        </w:tc>
      </w:tr>
      <w:tr w:rsidR="004A312B" w:rsidRPr="004A312B" w:rsidTr="00106E22">
        <w:tc>
          <w:tcPr>
            <w:tcW w:w="2589" w:type="dxa"/>
            <w:vMerge/>
          </w:tcPr>
          <w:p w:rsidR="004A312B" w:rsidRPr="004A312B" w:rsidRDefault="004A312B" w:rsidP="00326854">
            <w:pPr>
              <w:pStyle w:val="TableText0"/>
              <w:keepLines/>
            </w:pPr>
          </w:p>
        </w:tc>
        <w:tc>
          <w:tcPr>
            <w:tcW w:w="1190" w:type="dxa"/>
            <w:shd w:val="clear" w:color="auto" w:fill="FFFFFF" w:themeFill="background1"/>
          </w:tcPr>
          <w:p w:rsidR="004A312B" w:rsidRPr="004A312B" w:rsidRDefault="004A312B" w:rsidP="00326854">
            <w:pPr>
              <w:pStyle w:val="TableText0"/>
              <w:keepLines/>
            </w:pPr>
            <w:r w:rsidRPr="004A312B">
              <w:t>Grade 4</w:t>
            </w:r>
          </w:p>
        </w:tc>
        <w:tc>
          <w:tcPr>
            <w:tcW w:w="2000" w:type="dxa"/>
            <w:shd w:val="clear" w:color="auto" w:fill="FFFFFF" w:themeFill="background1"/>
            <w:vAlign w:val="center"/>
          </w:tcPr>
          <w:p w:rsidR="004A312B" w:rsidRPr="00196BBD" w:rsidRDefault="004A312B" w:rsidP="00326854">
            <w:pPr>
              <w:pStyle w:val="TableText0"/>
              <w:keepLines/>
              <w:jc w:val="center"/>
            </w:pPr>
            <w:r w:rsidRPr="00196BBD">
              <w:t>1.9%</w:t>
            </w:r>
          </w:p>
        </w:tc>
        <w:tc>
          <w:tcPr>
            <w:tcW w:w="1587" w:type="dxa"/>
            <w:shd w:val="clear" w:color="auto" w:fill="FFFFFF" w:themeFill="background1"/>
            <w:vAlign w:val="center"/>
          </w:tcPr>
          <w:p w:rsidR="004A312B" w:rsidRPr="00196BBD" w:rsidRDefault="004A312B" w:rsidP="00326854">
            <w:pPr>
              <w:pStyle w:val="TableText0"/>
              <w:keepLines/>
              <w:jc w:val="center"/>
            </w:pPr>
            <w:r w:rsidRPr="00196BBD">
              <w:t>1.8%</w:t>
            </w:r>
          </w:p>
        </w:tc>
        <w:tc>
          <w:tcPr>
            <w:tcW w:w="1651" w:type="dxa"/>
            <w:shd w:val="clear" w:color="auto" w:fill="FFFFFF" w:themeFill="background1"/>
            <w:vAlign w:val="center"/>
          </w:tcPr>
          <w:p w:rsidR="004A312B" w:rsidRPr="00196BBD" w:rsidRDefault="004A312B" w:rsidP="00326854">
            <w:pPr>
              <w:pStyle w:val="TableText0"/>
              <w:keepLines/>
              <w:jc w:val="center"/>
            </w:pPr>
            <w:r w:rsidRPr="00196BBD">
              <w:t>0.1%</w:t>
            </w:r>
          </w:p>
        </w:tc>
      </w:tr>
      <w:tr w:rsidR="004A312B" w:rsidRPr="004A312B" w:rsidTr="00106E22">
        <w:tc>
          <w:tcPr>
            <w:tcW w:w="2589" w:type="dxa"/>
            <w:vMerge w:val="restart"/>
          </w:tcPr>
          <w:p w:rsidR="004A312B" w:rsidRPr="004A312B" w:rsidRDefault="00106E22" w:rsidP="00326854">
            <w:pPr>
              <w:pStyle w:val="TableText0"/>
              <w:keepLines/>
            </w:pPr>
            <w:r w:rsidRPr="004A312B">
              <w:t>Increased AST</w:t>
            </w:r>
          </w:p>
        </w:tc>
        <w:tc>
          <w:tcPr>
            <w:tcW w:w="1190" w:type="dxa"/>
            <w:shd w:val="clear" w:color="auto" w:fill="FFFFFF" w:themeFill="background1"/>
          </w:tcPr>
          <w:p w:rsidR="004A312B" w:rsidRPr="004A312B" w:rsidRDefault="004A312B" w:rsidP="00326854">
            <w:pPr>
              <w:pStyle w:val="TableText0"/>
              <w:keepLines/>
            </w:pPr>
            <w:r w:rsidRPr="004A312B">
              <w:t>Grade 3</w:t>
            </w:r>
          </w:p>
        </w:tc>
        <w:tc>
          <w:tcPr>
            <w:tcW w:w="2000" w:type="dxa"/>
            <w:shd w:val="clear" w:color="auto" w:fill="FFFFFF" w:themeFill="background1"/>
            <w:vAlign w:val="center"/>
          </w:tcPr>
          <w:p w:rsidR="004A312B" w:rsidRPr="00196BBD" w:rsidRDefault="004A312B" w:rsidP="00326854">
            <w:pPr>
              <w:pStyle w:val="TableText0"/>
              <w:keepLines/>
              <w:jc w:val="center"/>
            </w:pPr>
            <w:r w:rsidRPr="00196BBD">
              <w:t>4.8%</w:t>
            </w:r>
          </w:p>
        </w:tc>
        <w:tc>
          <w:tcPr>
            <w:tcW w:w="1587" w:type="dxa"/>
            <w:shd w:val="clear" w:color="auto" w:fill="FFFFFF" w:themeFill="background1"/>
            <w:vAlign w:val="center"/>
          </w:tcPr>
          <w:p w:rsidR="004A312B" w:rsidRPr="00196BBD" w:rsidRDefault="004A312B" w:rsidP="00326854">
            <w:pPr>
              <w:pStyle w:val="TableText0"/>
              <w:keepLines/>
              <w:jc w:val="center"/>
            </w:pPr>
            <w:r w:rsidRPr="00196BBD">
              <w:t>4.8%</w:t>
            </w:r>
          </w:p>
        </w:tc>
        <w:tc>
          <w:tcPr>
            <w:tcW w:w="1651" w:type="dxa"/>
            <w:shd w:val="clear" w:color="auto" w:fill="FFFFFF" w:themeFill="background1"/>
            <w:vAlign w:val="center"/>
          </w:tcPr>
          <w:p w:rsidR="004A312B" w:rsidRPr="00196BBD" w:rsidRDefault="004A312B" w:rsidP="00326854">
            <w:pPr>
              <w:pStyle w:val="TableText0"/>
              <w:keepLines/>
              <w:jc w:val="center"/>
            </w:pPr>
            <w:r w:rsidRPr="00196BBD">
              <w:t>0.0%</w:t>
            </w:r>
          </w:p>
        </w:tc>
      </w:tr>
      <w:tr w:rsidR="004A312B" w:rsidRPr="004A312B" w:rsidTr="00106E22">
        <w:tc>
          <w:tcPr>
            <w:tcW w:w="2589" w:type="dxa"/>
            <w:vMerge/>
          </w:tcPr>
          <w:p w:rsidR="004A312B" w:rsidRPr="004A312B" w:rsidRDefault="004A312B" w:rsidP="00326854">
            <w:pPr>
              <w:pStyle w:val="TableText0"/>
              <w:keepLines/>
            </w:pPr>
          </w:p>
        </w:tc>
        <w:tc>
          <w:tcPr>
            <w:tcW w:w="1190" w:type="dxa"/>
            <w:shd w:val="clear" w:color="auto" w:fill="FFFFFF" w:themeFill="background1"/>
          </w:tcPr>
          <w:p w:rsidR="004A312B" w:rsidRPr="004A312B" w:rsidRDefault="004A312B" w:rsidP="00326854">
            <w:pPr>
              <w:pStyle w:val="TableText0"/>
              <w:keepLines/>
            </w:pPr>
            <w:r w:rsidRPr="004A312B">
              <w:t>Grade 4</w:t>
            </w:r>
          </w:p>
        </w:tc>
        <w:tc>
          <w:tcPr>
            <w:tcW w:w="2000" w:type="dxa"/>
            <w:shd w:val="clear" w:color="auto" w:fill="FFFFFF" w:themeFill="background1"/>
            <w:vAlign w:val="center"/>
          </w:tcPr>
          <w:p w:rsidR="004A312B" w:rsidRPr="00196BBD" w:rsidRDefault="004A312B" w:rsidP="00326854">
            <w:pPr>
              <w:pStyle w:val="TableText0"/>
              <w:keepLines/>
              <w:jc w:val="center"/>
            </w:pPr>
            <w:r w:rsidRPr="00196BBD">
              <w:t>1.2%</w:t>
            </w:r>
          </w:p>
        </w:tc>
        <w:tc>
          <w:tcPr>
            <w:tcW w:w="1587" w:type="dxa"/>
            <w:shd w:val="clear" w:color="auto" w:fill="FFFFFF" w:themeFill="background1"/>
            <w:vAlign w:val="center"/>
          </w:tcPr>
          <w:p w:rsidR="004A312B" w:rsidRPr="00196BBD" w:rsidRDefault="004A312B" w:rsidP="00326854">
            <w:pPr>
              <w:pStyle w:val="TableText0"/>
              <w:keepLines/>
              <w:jc w:val="center"/>
            </w:pPr>
            <w:r w:rsidRPr="00196BBD">
              <w:t>0.9%</w:t>
            </w:r>
          </w:p>
        </w:tc>
        <w:tc>
          <w:tcPr>
            <w:tcW w:w="1651" w:type="dxa"/>
            <w:shd w:val="clear" w:color="auto" w:fill="FFFFFF" w:themeFill="background1"/>
            <w:vAlign w:val="center"/>
          </w:tcPr>
          <w:p w:rsidR="004A312B" w:rsidRPr="00196BBD" w:rsidRDefault="004A312B" w:rsidP="00326854">
            <w:pPr>
              <w:pStyle w:val="TableText0"/>
              <w:keepLines/>
              <w:jc w:val="center"/>
            </w:pPr>
            <w:r w:rsidRPr="00196BBD">
              <w:t>0.3%</w:t>
            </w:r>
          </w:p>
        </w:tc>
      </w:tr>
      <w:tr w:rsidR="004A312B" w:rsidRPr="004A312B" w:rsidTr="00106E22">
        <w:tc>
          <w:tcPr>
            <w:tcW w:w="2589" w:type="dxa"/>
            <w:vMerge w:val="restart"/>
          </w:tcPr>
          <w:p w:rsidR="004A312B" w:rsidRPr="004A312B" w:rsidRDefault="00106E22" w:rsidP="00326854">
            <w:pPr>
              <w:pStyle w:val="TableText0"/>
              <w:keepLines/>
            </w:pPr>
            <w:r w:rsidRPr="004A312B">
              <w:t>Hypertension</w:t>
            </w:r>
          </w:p>
        </w:tc>
        <w:tc>
          <w:tcPr>
            <w:tcW w:w="1190" w:type="dxa"/>
            <w:shd w:val="clear" w:color="auto" w:fill="FFFFFF" w:themeFill="background1"/>
          </w:tcPr>
          <w:p w:rsidR="004A312B" w:rsidRPr="004A312B" w:rsidRDefault="004A312B" w:rsidP="00326854">
            <w:pPr>
              <w:pStyle w:val="TableText0"/>
              <w:keepLines/>
            </w:pPr>
            <w:r w:rsidRPr="004A312B">
              <w:t>Grade 3</w:t>
            </w:r>
          </w:p>
        </w:tc>
        <w:tc>
          <w:tcPr>
            <w:tcW w:w="2000" w:type="dxa"/>
            <w:shd w:val="clear" w:color="auto" w:fill="FFFFFF" w:themeFill="background1"/>
            <w:vAlign w:val="center"/>
          </w:tcPr>
          <w:p w:rsidR="004A312B" w:rsidRPr="00196BBD" w:rsidRDefault="004A312B" w:rsidP="00326854">
            <w:pPr>
              <w:pStyle w:val="TableText0"/>
              <w:keepLines/>
              <w:jc w:val="center"/>
            </w:pPr>
            <w:r w:rsidRPr="00196BBD">
              <w:t>4.1%</w:t>
            </w:r>
          </w:p>
        </w:tc>
        <w:tc>
          <w:tcPr>
            <w:tcW w:w="1587" w:type="dxa"/>
            <w:shd w:val="clear" w:color="auto" w:fill="FFFFFF" w:themeFill="background1"/>
            <w:vAlign w:val="center"/>
          </w:tcPr>
          <w:p w:rsidR="004A312B" w:rsidRPr="00196BBD" w:rsidRDefault="004A312B" w:rsidP="00326854">
            <w:pPr>
              <w:pStyle w:val="TableText0"/>
              <w:keepLines/>
              <w:jc w:val="center"/>
            </w:pPr>
            <w:r w:rsidRPr="00196BBD">
              <w:t>10.8%</w:t>
            </w:r>
          </w:p>
        </w:tc>
        <w:tc>
          <w:tcPr>
            <w:tcW w:w="1651" w:type="dxa"/>
            <w:shd w:val="clear" w:color="auto" w:fill="FFFFFF" w:themeFill="background1"/>
            <w:vAlign w:val="center"/>
          </w:tcPr>
          <w:p w:rsidR="004A312B" w:rsidRPr="00196BBD" w:rsidRDefault="004A312B" w:rsidP="00326854">
            <w:pPr>
              <w:pStyle w:val="TableText0"/>
              <w:keepLines/>
              <w:jc w:val="center"/>
            </w:pPr>
            <w:r w:rsidRPr="00196BBD">
              <w:t>-6.6%</w:t>
            </w:r>
          </w:p>
        </w:tc>
      </w:tr>
      <w:tr w:rsidR="004A312B" w:rsidRPr="004A312B" w:rsidTr="00106E22">
        <w:tc>
          <w:tcPr>
            <w:tcW w:w="2589" w:type="dxa"/>
            <w:vMerge/>
          </w:tcPr>
          <w:p w:rsidR="004A312B" w:rsidRPr="004A312B" w:rsidRDefault="004A312B" w:rsidP="00326854">
            <w:pPr>
              <w:pStyle w:val="TableText0"/>
              <w:keepLines/>
            </w:pPr>
          </w:p>
        </w:tc>
        <w:tc>
          <w:tcPr>
            <w:tcW w:w="1190" w:type="dxa"/>
            <w:shd w:val="clear" w:color="auto" w:fill="FFFFFF" w:themeFill="background1"/>
          </w:tcPr>
          <w:p w:rsidR="004A312B" w:rsidRPr="004A312B" w:rsidRDefault="004A312B" w:rsidP="00326854">
            <w:pPr>
              <w:pStyle w:val="TableText0"/>
              <w:keepLines/>
            </w:pPr>
            <w:r w:rsidRPr="004A312B">
              <w:t>Grade 4</w:t>
            </w:r>
          </w:p>
        </w:tc>
        <w:tc>
          <w:tcPr>
            <w:tcW w:w="2000" w:type="dxa"/>
            <w:shd w:val="clear" w:color="auto" w:fill="FFFFFF" w:themeFill="background1"/>
            <w:vAlign w:val="center"/>
          </w:tcPr>
          <w:p w:rsidR="004A312B" w:rsidRPr="00196BBD" w:rsidRDefault="004A312B" w:rsidP="00326854">
            <w:pPr>
              <w:pStyle w:val="TableText0"/>
              <w:keepLines/>
              <w:jc w:val="center"/>
            </w:pPr>
            <w:r w:rsidRPr="00196BBD">
              <w:t>0.2%</w:t>
            </w:r>
          </w:p>
        </w:tc>
        <w:tc>
          <w:tcPr>
            <w:tcW w:w="1587" w:type="dxa"/>
            <w:shd w:val="clear" w:color="auto" w:fill="FFFFFF" w:themeFill="background1"/>
            <w:vAlign w:val="center"/>
          </w:tcPr>
          <w:p w:rsidR="004A312B" w:rsidRPr="00196BBD" w:rsidRDefault="004A312B" w:rsidP="00326854">
            <w:pPr>
              <w:pStyle w:val="TableText0"/>
              <w:keepLines/>
              <w:jc w:val="center"/>
            </w:pPr>
            <w:r w:rsidRPr="00196BBD">
              <w:t>0.0%</w:t>
            </w:r>
          </w:p>
        </w:tc>
        <w:tc>
          <w:tcPr>
            <w:tcW w:w="1651" w:type="dxa"/>
            <w:shd w:val="clear" w:color="auto" w:fill="FFFFFF" w:themeFill="background1"/>
            <w:vAlign w:val="center"/>
          </w:tcPr>
          <w:p w:rsidR="004A312B" w:rsidRPr="00196BBD" w:rsidRDefault="004A312B" w:rsidP="00326854">
            <w:pPr>
              <w:pStyle w:val="TableText0"/>
              <w:keepLines/>
              <w:jc w:val="center"/>
            </w:pPr>
            <w:r w:rsidRPr="00196BBD">
              <w:t>0.2%</w:t>
            </w:r>
          </w:p>
        </w:tc>
      </w:tr>
      <w:tr w:rsidR="004A312B" w:rsidRPr="004A312B" w:rsidTr="00106E22">
        <w:tc>
          <w:tcPr>
            <w:tcW w:w="2589" w:type="dxa"/>
            <w:vMerge w:val="restart"/>
          </w:tcPr>
          <w:p w:rsidR="004A312B" w:rsidRPr="004A312B" w:rsidRDefault="00106E22" w:rsidP="00326854">
            <w:pPr>
              <w:pStyle w:val="TableText0"/>
              <w:keepLines/>
            </w:pPr>
            <w:r w:rsidRPr="004A312B">
              <w:t>Decreased WBC count</w:t>
            </w:r>
          </w:p>
        </w:tc>
        <w:tc>
          <w:tcPr>
            <w:tcW w:w="1190" w:type="dxa"/>
            <w:shd w:val="clear" w:color="auto" w:fill="FFFFFF" w:themeFill="background1"/>
          </w:tcPr>
          <w:p w:rsidR="004A312B" w:rsidRPr="004A312B" w:rsidRDefault="004A312B" w:rsidP="00326854">
            <w:pPr>
              <w:pStyle w:val="TableText0"/>
              <w:keepLines/>
            </w:pPr>
            <w:r w:rsidRPr="004A312B">
              <w:t>Grade 3</w:t>
            </w:r>
          </w:p>
        </w:tc>
        <w:tc>
          <w:tcPr>
            <w:tcW w:w="2000" w:type="dxa"/>
            <w:shd w:val="clear" w:color="auto" w:fill="FFFFFF" w:themeFill="background1"/>
            <w:vAlign w:val="center"/>
          </w:tcPr>
          <w:p w:rsidR="004A312B" w:rsidRPr="00196BBD" w:rsidRDefault="004A312B" w:rsidP="00326854">
            <w:pPr>
              <w:pStyle w:val="TableText0"/>
              <w:keepLines/>
              <w:jc w:val="center"/>
            </w:pPr>
            <w:r w:rsidRPr="00196BBD">
              <w:t>7.0%</w:t>
            </w:r>
          </w:p>
        </w:tc>
        <w:tc>
          <w:tcPr>
            <w:tcW w:w="1587" w:type="dxa"/>
            <w:shd w:val="clear" w:color="auto" w:fill="FFFFFF" w:themeFill="background1"/>
            <w:vAlign w:val="center"/>
          </w:tcPr>
          <w:p w:rsidR="004A312B" w:rsidRPr="00196BBD" w:rsidRDefault="004A312B" w:rsidP="00326854">
            <w:pPr>
              <w:pStyle w:val="TableText0"/>
              <w:keepLines/>
              <w:jc w:val="center"/>
            </w:pPr>
            <w:r w:rsidRPr="00196BBD">
              <w:t>12.3%</w:t>
            </w:r>
          </w:p>
        </w:tc>
        <w:tc>
          <w:tcPr>
            <w:tcW w:w="1651" w:type="dxa"/>
            <w:shd w:val="clear" w:color="auto" w:fill="FFFFFF" w:themeFill="background1"/>
            <w:vAlign w:val="center"/>
          </w:tcPr>
          <w:p w:rsidR="004A312B" w:rsidRPr="00196BBD" w:rsidRDefault="004A312B" w:rsidP="00326854">
            <w:pPr>
              <w:pStyle w:val="TableText0"/>
              <w:keepLines/>
              <w:jc w:val="center"/>
            </w:pPr>
            <w:r w:rsidRPr="00196BBD">
              <w:t>-5.2%</w:t>
            </w:r>
          </w:p>
        </w:tc>
      </w:tr>
      <w:tr w:rsidR="004A312B" w:rsidRPr="004A312B" w:rsidTr="00106E22">
        <w:tc>
          <w:tcPr>
            <w:tcW w:w="2589" w:type="dxa"/>
            <w:vMerge/>
          </w:tcPr>
          <w:p w:rsidR="004A312B" w:rsidRPr="004A312B" w:rsidRDefault="004A312B" w:rsidP="00326854">
            <w:pPr>
              <w:pStyle w:val="TableText0"/>
              <w:keepLines/>
            </w:pPr>
          </w:p>
        </w:tc>
        <w:tc>
          <w:tcPr>
            <w:tcW w:w="1190" w:type="dxa"/>
            <w:shd w:val="clear" w:color="auto" w:fill="FFFFFF" w:themeFill="background1"/>
          </w:tcPr>
          <w:p w:rsidR="004A312B" w:rsidRPr="004A312B" w:rsidRDefault="004A312B" w:rsidP="00326854">
            <w:pPr>
              <w:pStyle w:val="TableText0"/>
              <w:keepLines/>
            </w:pPr>
            <w:r w:rsidRPr="004A312B">
              <w:t>Grade 4</w:t>
            </w:r>
          </w:p>
        </w:tc>
        <w:tc>
          <w:tcPr>
            <w:tcW w:w="2000" w:type="dxa"/>
            <w:shd w:val="clear" w:color="auto" w:fill="FFFFFF" w:themeFill="background1"/>
            <w:vAlign w:val="center"/>
          </w:tcPr>
          <w:p w:rsidR="004A312B" w:rsidRPr="00196BBD" w:rsidRDefault="004A312B" w:rsidP="00326854">
            <w:pPr>
              <w:pStyle w:val="TableText0"/>
              <w:keepLines/>
              <w:jc w:val="center"/>
            </w:pPr>
            <w:r w:rsidRPr="00196BBD">
              <w:t>0.0%</w:t>
            </w:r>
          </w:p>
        </w:tc>
        <w:tc>
          <w:tcPr>
            <w:tcW w:w="1587" w:type="dxa"/>
            <w:shd w:val="clear" w:color="auto" w:fill="FFFFFF" w:themeFill="background1"/>
            <w:vAlign w:val="center"/>
          </w:tcPr>
          <w:p w:rsidR="004A312B" w:rsidRPr="00196BBD" w:rsidRDefault="004A312B" w:rsidP="00326854">
            <w:pPr>
              <w:pStyle w:val="TableText0"/>
              <w:keepLines/>
              <w:jc w:val="center"/>
            </w:pPr>
            <w:r w:rsidRPr="00196BBD">
              <w:t>0.6%</w:t>
            </w:r>
          </w:p>
        </w:tc>
        <w:tc>
          <w:tcPr>
            <w:tcW w:w="1651" w:type="dxa"/>
            <w:shd w:val="clear" w:color="auto" w:fill="FFFFFF" w:themeFill="background1"/>
            <w:vAlign w:val="center"/>
          </w:tcPr>
          <w:p w:rsidR="004A312B" w:rsidRPr="00196BBD" w:rsidRDefault="004A312B" w:rsidP="00326854">
            <w:pPr>
              <w:pStyle w:val="TableText0"/>
              <w:keepLines/>
              <w:jc w:val="center"/>
            </w:pPr>
            <w:r w:rsidRPr="00196BBD">
              <w:t>-0.6%</w:t>
            </w:r>
          </w:p>
        </w:tc>
      </w:tr>
    </w:tbl>
    <w:p w:rsidR="004A312B" w:rsidRPr="004A312B" w:rsidRDefault="004A312B" w:rsidP="00326854">
      <w:pPr>
        <w:pStyle w:val="TableFigureFooter"/>
        <w:keepNext/>
        <w:keepLines/>
      </w:pPr>
      <w:r w:rsidRPr="004A312B">
        <w:t xml:space="preserve">ALT= alanine aminotransferase; AST= aspartate aminotransferase; FULV= fulvestrant; NSAI= non-steroidal aromatase inhibitor; RIBO= ribociclib; WBC= white blood cell. Note: </w:t>
      </w:r>
    </w:p>
    <w:p w:rsidR="004A312B" w:rsidRDefault="004A312B" w:rsidP="00326854">
      <w:pPr>
        <w:pStyle w:val="TableFigureFooter"/>
        <w:keepNext/>
        <w:keepLines/>
      </w:pPr>
      <w:r w:rsidRPr="004A312B">
        <w:t>Source: Table 2-68, p166 of the submission.</w:t>
      </w:r>
    </w:p>
    <w:p w:rsidR="00F312DB" w:rsidRPr="00F312DB" w:rsidRDefault="00F312DB" w:rsidP="00326854">
      <w:pPr>
        <w:pStyle w:val="TableFigureFooter"/>
        <w:keepNext/>
        <w:keepLines/>
        <w:rPr>
          <w:i/>
        </w:rPr>
      </w:pPr>
      <w:r w:rsidRPr="00F312DB">
        <w:rPr>
          <w:i/>
        </w:rPr>
        <w:t>Note that the results presented in MAIC are derived from post-hoc analyses conducted by the applicant specifically for the purposes of informing the PBAC consideration. These analyses were not part of the pre-specified statistical plan for MONALEESA-2 or MONALEESA-</w:t>
      </w:r>
      <w:r w:rsidR="00F50980">
        <w:rPr>
          <w:i/>
        </w:rPr>
        <w:t> </w:t>
      </w:r>
      <w:r w:rsidRPr="00F312DB">
        <w:rPr>
          <w:i/>
        </w:rPr>
        <w:t>3.  Interpretation of the results and their application should therefore be limited to seeking to understand the basis for the PBAC outcome and should not be used for any other purpose.</w:t>
      </w:r>
    </w:p>
    <w:p w:rsidR="00C067FE" w:rsidRPr="00C067FE" w:rsidRDefault="00C067FE" w:rsidP="00326854">
      <w:pPr>
        <w:pStyle w:val="3-BodyText"/>
        <w:numPr>
          <w:ilvl w:val="0"/>
          <w:numId w:val="0"/>
        </w:numPr>
        <w:ind w:left="720" w:hanging="720"/>
        <w:outlineLvl w:val="3"/>
        <w:rPr>
          <w:color w:val="000000" w:themeColor="text1"/>
          <w:u w:val="single"/>
        </w:rPr>
      </w:pPr>
      <w:r w:rsidRPr="00C067FE">
        <w:rPr>
          <w:color w:val="000000" w:themeColor="text1"/>
          <w:u w:val="single"/>
        </w:rPr>
        <w:t>Second-line</w:t>
      </w:r>
    </w:p>
    <w:p w:rsidR="004A312B" w:rsidRPr="004A312B" w:rsidRDefault="004A312B" w:rsidP="00326854">
      <w:pPr>
        <w:pStyle w:val="3-BodyText"/>
        <w:rPr>
          <w:color w:val="000000" w:themeColor="text1"/>
        </w:rPr>
      </w:pPr>
      <w:r w:rsidRPr="004A312B">
        <w:rPr>
          <w:color w:val="000000" w:themeColor="text1"/>
        </w:rPr>
        <w:t xml:space="preserve">For the second-line treatment setting, a summary of the comparison of incidence of AEs between RIBO+FULV in MONALEESA-3 with EVE+EXE in BOLERO-2 is presented in Table </w:t>
      </w:r>
      <w:r w:rsidR="00EE094F">
        <w:rPr>
          <w:color w:val="000000" w:themeColor="text1"/>
        </w:rPr>
        <w:t>11</w:t>
      </w:r>
      <w:r w:rsidRPr="004A312B">
        <w:rPr>
          <w:color w:val="000000" w:themeColor="text1"/>
        </w:rPr>
        <w:t>.</w:t>
      </w:r>
    </w:p>
    <w:p w:rsidR="004A312B" w:rsidRPr="0021277C" w:rsidRDefault="004A312B" w:rsidP="00C64339">
      <w:pPr>
        <w:pStyle w:val="3-BodyText"/>
        <w:keepNext/>
        <w:keepLines/>
        <w:numPr>
          <w:ilvl w:val="0"/>
          <w:numId w:val="0"/>
        </w:numPr>
        <w:spacing w:after="0"/>
        <w:rPr>
          <w:rStyle w:val="CommentReference"/>
        </w:rPr>
      </w:pPr>
      <w:r w:rsidRPr="0021277C">
        <w:rPr>
          <w:rStyle w:val="CommentReference"/>
        </w:rPr>
        <w:t xml:space="preserve">Table </w:t>
      </w:r>
      <w:r w:rsidR="00EE094F">
        <w:rPr>
          <w:rStyle w:val="CommentReference"/>
        </w:rPr>
        <w:t>11</w:t>
      </w:r>
      <w:r w:rsidRPr="0021277C">
        <w:rPr>
          <w:rStyle w:val="CommentReference"/>
        </w:rPr>
        <w:t>: Results of unadjusted indirect comparison of individual AEs: RIBO+FULV vs EVE+EXE- SECOND 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1176"/>
        <w:gridCol w:w="1888"/>
        <w:gridCol w:w="1690"/>
        <w:gridCol w:w="1637"/>
      </w:tblGrid>
      <w:tr w:rsidR="00BB09B0" w:rsidRPr="004A312B" w:rsidTr="00BB09B0">
        <w:trPr>
          <w:tblHeader/>
        </w:trPr>
        <w:tc>
          <w:tcPr>
            <w:tcW w:w="1456" w:type="pct"/>
            <w:vMerge w:val="restart"/>
          </w:tcPr>
          <w:p w:rsidR="00BB09B0" w:rsidRPr="004A312B" w:rsidRDefault="00BB09B0" w:rsidP="00C64339">
            <w:pPr>
              <w:pStyle w:val="In-tableHeading"/>
              <w:keepLines/>
            </w:pPr>
            <w:r w:rsidRPr="004A312B">
              <w:t>Adverse event</w:t>
            </w:r>
          </w:p>
        </w:tc>
        <w:tc>
          <w:tcPr>
            <w:tcW w:w="652" w:type="pct"/>
            <w:vMerge w:val="restart"/>
          </w:tcPr>
          <w:p w:rsidR="00BB09B0" w:rsidRPr="004A312B" w:rsidRDefault="00BB09B0" w:rsidP="00C64339">
            <w:pPr>
              <w:pStyle w:val="In-tableHeading"/>
              <w:keepLines/>
            </w:pPr>
            <w:r w:rsidRPr="004A312B">
              <w:t>Grade</w:t>
            </w:r>
          </w:p>
        </w:tc>
        <w:tc>
          <w:tcPr>
            <w:tcW w:w="1047" w:type="pct"/>
            <w:vAlign w:val="center"/>
          </w:tcPr>
          <w:p w:rsidR="00BB09B0" w:rsidRPr="004A312B" w:rsidRDefault="00BB09B0" w:rsidP="00C64339">
            <w:pPr>
              <w:pStyle w:val="In-tableHeading"/>
              <w:keepLines/>
              <w:jc w:val="center"/>
            </w:pPr>
            <w:r w:rsidRPr="004A312B">
              <w:t>MONALEESA 3</w:t>
            </w:r>
          </w:p>
        </w:tc>
        <w:tc>
          <w:tcPr>
            <w:tcW w:w="937" w:type="pct"/>
            <w:vAlign w:val="center"/>
          </w:tcPr>
          <w:p w:rsidR="00BB09B0" w:rsidRPr="004A312B" w:rsidRDefault="00BB09B0" w:rsidP="00C64339">
            <w:pPr>
              <w:pStyle w:val="In-tableHeading"/>
              <w:keepLines/>
              <w:jc w:val="center"/>
            </w:pPr>
            <w:r w:rsidRPr="004A312B">
              <w:t>BOLERO-2</w:t>
            </w:r>
          </w:p>
        </w:tc>
        <w:tc>
          <w:tcPr>
            <w:tcW w:w="908" w:type="pct"/>
            <w:vMerge w:val="restart"/>
            <w:vAlign w:val="center"/>
          </w:tcPr>
          <w:p w:rsidR="00BB09B0" w:rsidRPr="004A312B" w:rsidRDefault="00BB09B0" w:rsidP="00C64339">
            <w:pPr>
              <w:pStyle w:val="In-tableHeading"/>
              <w:keepLines/>
              <w:jc w:val="center"/>
            </w:pPr>
            <w:r w:rsidRPr="004A312B">
              <w:t>Percent difference</w:t>
            </w:r>
            <w:r>
              <w:t xml:space="preserve"> (</w:t>
            </w:r>
            <w:r w:rsidRPr="004A312B">
              <w:t>%</w:t>
            </w:r>
            <w:r>
              <w:t>)</w:t>
            </w:r>
          </w:p>
        </w:tc>
      </w:tr>
      <w:tr w:rsidR="00BB09B0" w:rsidRPr="004A312B" w:rsidTr="00BB09B0">
        <w:trPr>
          <w:trHeight w:val="50"/>
          <w:tblHeader/>
        </w:trPr>
        <w:tc>
          <w:tcPr>
            <w:tcW w:w="1456" w:type="pct"/>
            <w:vMerge/>
            <w:tcBorders>
              <w:bottom w:val="single" w:sz="4" w:space="0" w:color="auto"/>
            </w:tcBorders>
          </w:tcPr>
          <w:p w:rsidR="00BB09B0" w:rsidRPr="004A312B" w:rsidRDefault="00BB09B0" w:rsidP="00C64339">
            <w:pPr>
              <w:pStyle w:val="TableText0"/>
              <w:keepLines/>
            </w:pPr>
          </w:p>
        </w:tc>
        <w:tc>
          <w:tcPr>
            <w:tcW w:w="652" w:type="pct"/>
            <w:vMerge/>
            <w:tcBorders>
              <w:bottom w:val="single" w:sz="4" w:space="0" w:color="auto"/>
            </w:tcBorders>
          </w:tcPr>
          <w:p w:rsidR="00BB09B0" w:rsidRPr="004A312B" w:rsidRDefault="00BB09B0" w:rsidP="00C64339">
            <w:pPr>
              <w:pStyle w:val="TableText0"/>
              <w:keepLines/>
            </w:pPr>
          </w:p>
        </w:tc>
        <w:tc>
          <w:tcPr>
            <w:tcW w:w="1047" w:type="pct"/>
            <w:tcBorders>
              <w:bottom w:val="single" w:sz="4" w:space="0" w:color="auto"/>
            </w:tcBorders>
            <w:vAlign w:val="center"/>
          </w:tcPr>
          <w:p w:rsidR="00BB09B0" w:rsidRPr="0021277C" w:rsidRDefault="00BB09B0" w:rsidP="00C64339">
            <w:pPr>
              <w:pStyle w:val="TableText0"/>
              <w:keepLines/>
              <w:jc w:val="center"/>
              <w:rPr>
                <w:b/>
                <w:bCs w:val="0"/>
              </w:rPr>
            </w:pPr>
            <w:r w:rsidRPr="0021277C">
              <w:rPr>
                <w:b/>
                <w:bCs w:val="0"/>
              </w:rPr>
              <w:t>RIBO+FULV500</w:t>
            </w:r>
          </w:p>
        </w:tc>
        <w:tc>
          <w:tcPr>
            <w:tcW w:w="937" w:type="pct"/>
            <w:tcBorders>
              <w:bottom w:val="single" w:sz="4" w:space="0" w:color="auto"/>
            </w:tcBorders>
            <w:vAlign w:val="center"/>
          </w:tcPr>
          <w:p w:rsidR="00BB09B0" w:rsidRPr="0021277C" w:rsidRDefault="00BB09B0" w:rsidP="00C64339">
            <w:pPr>
              <w:pStyle w:val="TableText0"/>
              <w:keepLines/>
              <w:jc w:val="center"/>
              <w:rPr>
                <w:b/>
                <w:bCs w:val="0"/>
              </w:rPr>
            </w:pPr>
            <w:r w:rsidRPr="0021277C">
              <w:rPr>
                <w:b/>
                <w:bCs w:val="0"/>
              </w:rPr>
              <w:t>EVE+EXE</w:t>
            </w:r>
          </w:p>
        </w:tc>
        <w:tc>
          <w:tcPr>
            <w:tcW w:w="908" w:type="pct"/>
            <w:vMerge/>
            <w:tcBorders>
              <w:bottom w:val="single" w:sz="4" w:space="0" w:color="auto"/>
            </w:tcBorders>
            <w:vAlign w:val="center"/>
          </w:tcPr>
          <w:p w:rsidR="00BB09B0" w:rsidRPr="004A312B" w:rsidRDefault="00BB09B0" w:rsidP="00C64339">
            <w:pPr>
              <w:pStyle w:val="TableText0"/>
              <w:keepLines/>
              <w:jc w:val="center"/>
            </w:pPr>
          </w:p>
        </w:tc>
      </w:tr>
      <w:tr w:rsidR="004A312B" w:rsidRPr="004A312B" w:rsidTr="00BB09B0">
        <w:tc>
          <w:tcPr>
            <w:tcW w:w="1456" w:type="pct"/>
            <w:vMerge w:val="restart"/>
          </w:tcPr>
          <w:p w:rsidR="004A312B" w:rsidRPr="004A312B" w:rsidRDefault="00BB09B0" w:rsidP="00C64339">
            <w:pPr>
              <w:pStyle w:val="TableText0"/>
              <w:keepLines/>
            </w:pPr>
            <w:r w:rsidRPr="004A312B">
              <w:t>Neutropenia</w:t>
            </w:r>
          </w:p>
        </w:tc>
        <w:tc>
          <w:tcPr>
            <w:tcW w:w="652" w:type="pct"/>
            <w:shd w:val="clear" w:color="auto" w:fill="auto"/>
          </w:tcPr>
          <w:p w:rsidR="004A312B" w:rsidRPr="00BB09B0" w:rsidRDefault="004A312B" w:rsidP="00C64339">
            <w:pPr>
              <w:pStyle w:val="TableText0"/>
              <w:keepLines/>
            </w:pPr>
            <w:r w:rsidRPr="00BB09B0">
              <w:t>Grade 3</w:t>
            </w:r>
          </w:p>
        </w:tc>
        <w:tc>
          <w:tcPr>
            <w:tcW w:w="1047" w:type="pct"/>
            <w:shd w:val="clear" w:color="auto" w:fill="auto"/>
            <w:vAlign w:val="center"/>
          </w:tcPr>
          <w:p w:rsidR="004A312B" w:rsidRPr="00196BBD" w:rsidRDefault="004A312B" w:rsidP="00C64339">
            <w:pPr>
              <w:pStyle w:val="TableText0"/>
              <w:keepLines/>
              <w:jc w:val="center"/>
            </w:pPr>
            <w:r w:rsidRPr="00196BBD">
              <w:t>36.6%</w:t>
            </w:r>
          </w:p>
        </w:tc>
        <w:tc>
          <w:tcPr>
            <w:tcW w:w="937" w:type="pct"/>
            <w:shd w:val="clear" w:color="auto" w:fill="auto"/>
            <w:vAlign w:val="center"/>
          </w:tcPr>
          <w:p w:rsidR="004A312B" w:rsidRPr="00196BBD" w:rsidRDefault="004A312B" w:rsidP="00C64339">
            <w:pPr>
              <w:pStyle w:val="TableText0"/>
              <w:keepLines/>
              <w:jc w:val="center"/>
            </w:pPr>
            <w:r w:rsidRPr="00196BBD">
              <w:t>2.3%</w:t>
            </w:r>
          </w:p>
        </w:tc>
        <w:tc>
          <w:tcPr>
            <w:tcW w:w="908" w:type="pct"/>
            <w:shd w:val="clear" w:color="auto" w:fill="auto"/>
            <w:vAlign w:val="center"/>
          </w:tcPr>
          <w:p w:rsidR="004A312B" w:rsidRPr="00196BBD" w:rsidRDefault="004A312B" w:rsidP="00C64339">
            <w:pPr>
              <w:pStyle w:val="TableText0"/>
              <w:keepLines/>
              <w:jc w:val="center"/>
            </w:pPr>
            <w:r w:rsidRPr="00196BBD">
              <w:t>34.4%</w:t>
            </w:r>
          </w:p>
        </w:tc>
      </w:tr>
      <w:tr w:rsidR="004A312B" w:rsidRPr="004A312B" w:rsidTr="00BB09B0">
        <w:tc>
          <w:tcPr>
            <w:tcW w:w="1456" w:type="pct"/>
            <w:vMerge/>
          </w:tcPr>
          <w:p w:rsidR="004A312B" w:rsidRPr="004A312B" w:rsidRDefault="004A312B" w:rsidP="00C64339">
            <w:pPr>
              <w:pStyle w:val="TableText0"/>
              <w:keepLines/>
            </w:pPr>
          </w:p>
        </w:tc>
        <w:tc>
          <w:tcPr>
            <w:tcW w:w="652" w:type="pct"/>
            <w:shd w:val="clear" w:color="auto" w:fill="auto"/>
          </w:tcPr>
          <w:p w:rsidR="004A312B" w:rsidRPr="00BB09B0" w:rsidRDefault="004A312B" w:rsidP="00C64339">
            <w:pPr>
              <w:pStyle w:val="TableText0"/>
              <w:keepLines/>
            </w:pPr>
            <w:r w:rsidRPr="00BB09B0">
              <w:t>Grade 4</w:t>
            </w:r>
          </w:p>
        </w:tc>
        <w:tc>
          <w:tcPr>
            <w:tcW w:w="1047" w:type="pct"/>
            <w:shd w:val="clear" w:color="auto" w:fill="auto"/>
            <w:vAlign w:val="center"/>
          </w:tcPr>
          <w:p w:rsidR="004A312B" w:rsidRPr="00196BBD" w:rsidRDefault="004A312B" w:rsidP="00C64339">
            <w:pPr>
              <w:pStyle w:val="TableText0"/>
              <w:keepLines/>
              <w:jc w:val="center"/>
            </w:pPr>
            <w:r w:rsidRPr="00196BBD">
              <w:t>5.8%</w:t>
            </w:r>
          </w:p>
        </w:tc>
        <w:tc>
          <w:tcPr>
            <w:tcW w:w="937" w:type="pct"/>
            <w:shd w:val="clear" w:color="auto" w:fill="auto"/>
            <w:vAlign w:val="center"/>
          </w:tcPr>
          <w:p w:rsidR="004A312B" w:rsidRPr="00196BBD" w:rsidRDefault="004A312B" w:rsidP="00C64339">
            <w:pPr>
              <w:pStyle w:val="TableText0"/>
              <w:keepLines/>
              <w:jc w:val="center"/>
            </w:pPr>
            <w:r w:rsidRPr="00196BBD">
              <w:t>0.0%</w:t>
            </w:r>
          </w:p>
        </w:tc>
        <w:tc>
          <w:tcPr>
            <w:tcW w:w="908" w:type="pct"/>
            <w:shd w:val="clear" w:color="auto" w:fill="auto"/>
            <w:vAlign w:val="center"/>
          </w:tcPr>
          <w:p w:rsidR="004A312B" w:rsidRPr="00196BBD" w:rsidRDefault="004A312B" w:rsidP="00C64339">
            <w:pPr>
              <w:pStyle w:val="TableText0"/>
              <w:keepLines/>
              <w:jc w:val="center"/>
            </w:pPr>
            <w:r w:rsidRPr="00196BBD">
              <w:t>5.8%</w:t>
            </w:r>
          </w:p>
        </w:tc>
      </w:tr>
      <w:tr w:rsidR="004A312B" w:rsidRPr="004A312B" w:rsidTr="00BB09B0">
        <w:tc>
          <w:tcPr>
            <w:tcW w:w="1456" w:type="pct"/>
            <w:vMerge w:val="restart"/>
          </w:tcPr>
          <w:p w:rsidR="004A312B" w:rsidRPr="004A312B" w:rsidRDefault="00BB09B0" w:rsidP="00C64339">
            <w:pPr>
              <w:pStyle w:val="TableText0"/>
              <w:keepLines/>
            </w:pPr>
            <w:r w:rsidRPr="004A312B">
              <w:t>Neutrophil count decreased</w:t>
            </w:r>
          </w:p>
        </w:tc>
        <w:tc>
          <w:tcPr>
            <w:tcW w:w="652" w:type="pct"/>
            <w:shd w:val="clear" w:color="auto" w:fill="auto"/>
          </w:tcPr>
          <w:p w:rsidR="004A312B" w:rsidRPr="00BB09B0" w:rsidRDefault="004A312B" w:rsidP="00C64339">
            <w:pPr>
              <w:pStyle w:val="TableText0"/>
              <w:keepLines/>
            </w:pPr>
            <w:r w:rsidRPr="00BB09B0">
              <w:t>Grade 3</w:t>
            </w:r>
          </w:p>
        </w:tc>
        <w:tc>
          <w:tcPr>
            <w:tcW w:w="1047" w:type="pct"/>
            <w:shd w:val="clear" w:color="auto" w:fill="auto"/>
            <w:vAlign w:val="center"/>
          </w:tcPr>
          <w:p w:rsidR="004A312B" w:rsidRPr="00196BBD" w:rsidRDefault="004A312B" w:rsidP="00C64339">
            <w:pPr>
              <w:pStyle w:val="TableText0"/>
              <w:keepLines/>
              <w:jc w:val="center"/>
            </w:pPr>
            <w:r w:rsidRPr="00196BBD">
              <w:t>13.3%</w:t>
            </w:r>
          </w:p>
        </w:tc>
        <w:tc>
          <w:tcPr>
            <w:tcW w:w="937" w:type="pct"/>
            <w:shd w:val="clear" w:color="auto" w:fill="auto"/>
            <w:vAlign w:val="center"/>
          </w:tcPr>
          <w:p w:rsidR="004A312B" w:rsidRPr="00196BBD" w:rsidRDefault="004A312B" w:rsidP="00C64339">
            <w:pPr>
              <w:pStyle w:val="TableText0"/>
              <w:keepLines/>
              <w:jc w:val="center"/>
            </w:pPr>
            <w:r w:rsidRPr="00196BBD">
              <w:t>0.0%</w:t>
            </w:r>
          </w:p>
        </w:tc>
        <w:tc>
          <w:tcPr>
            <w:tcW w:w="908" w:type="pct"/>
            <w:shd w:val="clear" w:color="auto" w:fill="auto"/>
            <w:vAlign w:val="center"/>
          </w:tcPr>
          <w:p w:rsidR="004A312B" w:rsidRPr="00196BBD" w:rsidRDefault="004A312B" w:rsidP="00C64339">
            <w:pPr>
              <w:pStyle w:val="TableText0"/>
              <w:keepLines/>
              <w:jc w:val="center"/>
            </w:pPr>
            <w:r w:rsidRPr="00196BBD">
              <w:t>13.3%</w:t>
            </w:r>
          </w:p>
        </w:tc>
      </w:tr>
      <w:tr w:rsidR="004A312B" w:rsidRPr="004A312B" w:rsidTr="00BB09B0">
        <w:tc>
          <w:tcPr>
            <w:tcW w:w="1456" w:type="pct"/>
            <w:vMerge/>
          </w:tcPr>
          <w:p w:rsidR="004A312B" w:rsidRPr="004A312B" w:rsidRDefault="004A312B" w:rsidP="00C64339">
            <w:pPr>
              <w:pStyle w:val="TableText0"/>
              <w:keepLines/>
            </w:pPr>
          </w:p>
        </w:tc>
        <w:tc>
          <w:tcPr>
            <w:tcW w:w="652" w:type="pct"/>
            <w:shd w:val="clear" w:color="auto" w:fill="auto"/>
          </w:tcPr>
          <w:p w:rsidR="004A312B" w:rsidRPr="00BB09B0" w:rsidRDefault="004A312B" w:rsidP="00C64339">
            <w:pPr>
              <w:pStyle w:val="TableText0"/>
              <w:keepLines/>
            </w:pPr>
            <w:r w:rsidRPr="00BB09B0">
              <w:t>Grade 4</w:t>
            </w:r>
          </w:p>
        </w:tc>
        <w:tc>
          <w:tcPr>
            <w:tcW w:w="1047" w:type="pct"/>
            <w:shd w:val="clear" w:color="auto" w:fill="auto"/>
            <w:vAlign w:val="center"/>
          </w:tcPr>
          <w:p w:rsidR="004A312B" w:rsidRPr="00196BBD" w:rsidRDefault="004A312B" w:rsidP="00C64339">
            <w:pPr>
              <w:pStyle w:val="TableText0"/>
              <w:keepLines/>
              <w:jc w:val="center"/>
            </w:pPr>
            <w:r w:rsidRPr="00196BBD">
              <w:t>1.0%</w:t>
            </w:r>
          </w:p>
        </w:tc>
        <w:tc>
          <w:tcPr>
            <w:tcW w:w="937" w:type="pct"/>
            <w:shd w:val="clear" w:color="auto" w:fill="auto"/>
            <w:vAlign w:val="center"/>
          </w:tcPr>
          <w:p w:rsidR="004A312B" w:rsidRPr="00196BBD" w:rsidRDefault="004A312B" w:rsidP="00C64339">
            <w:pPr>
              <w:pStyle w:val="TableText0"/>
              <w:keepLines/>
              <w:jc w:val="center"/>
            </w:pPr>
            <w:r w:rsidRPr="00196BBD">
              <w:t>0.0%</w:t>
            </w:r>
          </w:p>
        </w:tc>
        <w:tc>
          <w:tcPr>
            <w:tcW w:w="908" w:type="pct"/>
            <w:shd w:val="clear" w:color="auto" w:fill="auto"/>
            <w:vAlign w:val="center"/>
          </w:tcPr>
          <w:p w:rsidR="004A312B" w:rsidRPr="00196BBD" w:rsidRDefault="004A312B" w:rsidP="00C64339">
            <w:pPr>
              <w:pStyle w:val="TableText0"/>
              <w:keepLines/>
              <w:jc w:val="center"/>
            </w:pPr>
            <w:r w:rsidRPr="00196BBD">
              <w:t>1.0%</w:t>
            </w:r>
          </w:p>
        </w:tc>
      </w:tr>
      <w:tr w:rsidR="004A312B" w:rsidRPr="004A312B" w:rsidTr="00BB09B0">
        <w:tc>
          <w:tcPr>
            <w:tcW w:w="1456" w:type="pct"/>
            <w:vMerge w:val="restart"/>
          </w:tcPr>
          <w:p w:rsidR="004A312B" w:rsidRPr="004A312B" w:rsidRDefault="00BB09B0" w:rsidP="00C64339">
            <w:pPr>
              <w:pStyle w:val="TableText0"/>
              <w:keepLines/>
            </w:pPr>
            <w:r w:rsidRPr="004A312B">
              <w:t>Decreased WBC count</w:t>
            </w:r>
          </w:p>
        </w:tc>
        <w:tc>
          <w:tcPr>
            <w:tcW w:w="652" w:type="pct"/>
            <w:shd w:val="clear" w:color="auto" w:fill="auto"/>
          </w:tcPr>
          <w:p w:rsidR="004A312B" w:rsidRPr="00BB09B0" w:rsidRDefault="004A312B" w:rsidP="00C64339">
            <w:pPr>
              <w:pStyle w:val="TableText0"/>
              <w:keepLines/>
            </w:pPr>
            <w:r w:rsidRPr="00BB09B0">
              <w:t>Grade 3</w:t>
            </w:r>
          </w:p>
        </w:tc>
        <w:tc>
          <w:tcPr>
            <w:tcW w:w="1047" w:type="pct"/>
            <w:shd w:val="clear" w:color="auto" w:fill="auto"/>
            <w:vAlign w:val="center"/>
          </w:tcPr>
          <w:p w:rsidR="004A312B" w:rsidRPr="00196BBD" w:rsidRDefault="004A312B" w:rsidP="00C64339">
            <w:pPr>
              <w:pStyle w:val="TableText0"/>
              <w:keepLines/>
              <w:jc w:val="center"/>
            </w:pPr>
            <w:r w:rsidRPr="00196BBD">
              <w:t>7.0%</w:t>
            </w:r>
          </w:p>
        </w:tc>
        <w:tc>
          <w:tcPr>
            <w:tcW w:w="937" w:type="pct"/>
            <w:shd w:val="clear" w:color="auto" w:fill="auto"/>
            <w:vAlign w:val="center"/>
          </w:tcPr>
          <w:p w:rsidR="004A312B" w:rsidRPr="00196BBD" w:rsidRDefault="004A312B" w:rsidP="00C64339">
            <w:pPr>
              <w:pStyle w:val="TableText0"/>
              <w:keepLines/>
              <w:jc w:val="center"/>
            </w:pPr>
            <w:r w:rsidRPr="00196BBD">
              <w:t>0.0%</w:t>
            </w:r>
          </w:p>
        </w:tc>
        <w:tc>
          <w:tcPr>
            <w:tcW w:w="908" w:type="pct"/>
            <w:shd w:val="clear" w:color="auto" w:fill="auto"/>
            <w:vAlign w:val="center"/>
          </w:tcPr>
          <w:p w:rsidR="004A312B" w:rsidRPr="00196BBD" w:rsidRDefault="004A312B" w:rsidP="00C64339">
            <w:pPr>
              <w:pStyle w:val="TableText0"/>
              <w:keepLines/>
              <w:jc w:val="center"/>
            </w:pPr>
            <w:r w:rsidRPr="00196BBD">
              <w:t>7.0%</w:t>
            </w:r>
          </w:p>
        </w:tc>
      </w:tr>
      <w:tr w:rsidR="004A312B" w:rsidRPr="004A312B" w:rsidTr="00BB09B0">
        <w:tc>
          <w:tcPr>
            <w:tcW w:w="1456" w:type="pct"/>
            <w:vMerge/>
          </w:tcPr>
          <w:p w:rsidR="004A312B" w:rsidRPr="004A312B" w:rsidRDefault="004A312B" w:rsidP="00C64339">
            <w:pPr>
              <w:pStyle w:val="TableText0"/>
              <w:keepLines/>
            </w:pPr>
          </w:p>
        </w:tc>
        <w:tc>
          <w:tcPr>
            <w:tcW w:w="652" w:type="pct"/>
            <w:shd w:val="clear" w:color="auto" w:fill="auto"/>
          </w:tcPr>
          <w:p w:rsidR="004A312B" w:rsidRPr="00BB09B0" w:rsidRDefault="004A312B" w:rsidP="00C64339">
            <w:pPr>
              <w:pStyle w:val="TableText0"/>
              <w:keepLines/>
            </w:pPr>
            <w:r w:rsidRPr="00BB09B0">
              <w:t>Grade 4</w:t>
            </w:r>
          </w:p>
        </w:tc>
        <w:tc>
          <w:tcPr>
            <w:tcW w:w="1047" w:type="pct"/>
            <w:shd w:val="clear" w:color="auto" w:fill="auto"/>
            <w:vAlign w:val="center"/>
          </w:tcPr>
          <w:p w:rsidR="004A312B" w:rsidRPr="00196BBD" w:rsidRDefault="004A312B" w:rsidP="00C64339">
            <w:pPr>
              <w:pStyle w:val="TableText0"/>
              <w:keepLines/>
              <w:jc w:val="center"/>
            </w:pPr>
            <w:r w:rsidRPr="00196BBD">
              <w:t>0.0%</w:t>
            </w:r>
          </w:p>
        </w:tc>
        <w:tc>
          <w:tcPr>
            <w:tcW w:w="937" w:type="pct"/>
            <w:shd w:val="clear" w:color="auto" w:fill="auto"/>
            <w:vAlign w:val="center"/>
          </w:tcPr>
          <w:p w:rsidR="004A312B" w:rsidRPr="00196BBD" w:rsidRDefault="004A312B" w:rsidP="00C64339">
            <w:pPr>
              <w:pStyle w:val="TableText0"/>
              <w:keepLines/>
              <w:jc w:val="center"/>
            </w:pPr>
            <w:r w:rsidRPr="00196BBD">
              <w:t>0.0%</w:t>
            </w:r>
          </w:p>
        </w:tc>
        <w:tc>
          <w:tcPr>
            <w:tcW w:w="908" w:type="pct"/>
            <w:shd w:val="clear" w:color="auto" w:fill="auto"/>
            <w:vAlign w:val="center"/>
          </w:tcPr>
          <w:p w:rsidR="004A312B" w:rsidRPr="00196BBD" w:rsidRDefault="004A312B" w:rsidP="00C64339">
            <w:pPr>
              <w:pStyle w:val="TableText0"/>
              <w:keepLines/>
              <w:jc w:val="center"/>
            </w:pPr>
            <w:r w:rsidRPr="00196BBD">
              <w:t>0.0%</w:t>
            </w:r>
          </w:p>
        </w:tc>
      </w:tr>
      <w:tr w:rsidR="004A312B" w:rsidRPr="004A312B" w:rsidTr="00BB09B0">
        <w:tc>
          <w:tcPr>
            <w:tcW w:w="1456" w:type="pct"/>
            <w:vMerge w:val="restart"/>
          </w:tcPr>
          <w:p w:rsidR="004A312B" w:rsidRPr="004A312B" w:rsidRDefault="00BB09B0" w:rsidP="00C64339">
            <w:pPr>
              <w:pStyle w:val="TableText0"/>
              <w:keepLines/>
            </w:pPr>
            <w:r w:rsidRPr="004A312B">
              <w:t>Leukopenia</w:t>
            </w:r>
          </w:p>
        </w:tc>
        <w:tc>
          <w:tcPr>
            <w:tcW w:w="652" w:type="pct"/>
            <w:shd w:val="clear" w:color="auto" w:fill="auto"/>
          </w:tcPr>
          <w:p w:rsidR="004A312B" w:rsidRPr="00BB09B0" w:rsidRDefault="004A312B" w:rsidP="00C64339">
            <w:pPr>
              <w:pStyle w:val="TableText0"/>
              <w:keepLines/>
            </w:pPr>
            <w:r w:rsidRPr="00BB09B0">
              <w:t>Grade 3</w:t>
            </w:r>
          </w:p>
        </w:tc>
        <w:tc>
          <w:tcPr>
            <w:tcW w:w="1047" w:type="pct"/>
            <w:shd w:val="clear" w:color="auto" w:fill="auto"/>
            <w:vAlign w:val="center"/>
          </w:tcPr>
          <w:p w:rsidR="004A312B" w:rsidRPr="00196BBD" w:rsidRDefault="004A312B" w:rsidP="00C64339">
            <w:pPr>
              <w:pStyle w:val="TableText0"/>
              <w:keepLines/>
              <w:jc w:val="center"/>
            </w:pPr>
            <w:r w:rsidRPr="00196BBD">
              <w:t>5.2%</w:t>
            </w:r>
          </w:p>
        </w:tc>
        <w:tc>
          <w:tcPr>
            <w:tcW w:w="937" w:type="pct"/>
            <w:shd w:val="clear" w:color="auto" w:fill="auto"/>
            <w:vAlign w:val="center"/>
          </w:tcPr>
          <w:p w:rsidR="004A312B" w:rsidRPr="00196BBD" w:rsidRDefault="004A312B" w:rsidP="00C64339">
            <w:pPr>
              <w:pStyle w:val="TableText0"/>
              <w:keepLines/>
              <w:jc w:val="center"/>
            </w:pPr>
            <w:r w:rsidRPr="00196BBD">
              <w:t>0.4%</w:t>
            </w:r>
          </w:p>
        </w:tc>
        <w:tc>
          <w:tcPr>
            <w:tcW w:w="908" w:type="pct"/>
            <w:shd w:val="clear" w:color="auto" w:fill="auto"/>
            <w:vAlign w:val="center"/>
          </w:tcPr>
          <w:p w:rsidR="004A312B" w:rsidRPr="00196BBD" w:rsidRDefault="004A312B" w:rsidP="00C64339">
            <w:pPr>
              <w:pStyle w:val="TableText0"/>
              <w:keepLines/>
              <w:jc w:val="center"/>
            </w:pPr>
            <w:r w:rsidRPr="00196BBD">
              <w:t>4.8%</w:t>
            </w:r>
          </w:p>
        </w:tc>
      </w:tr>
      <w:tr w:rsidR="004A312B" w:rsidRPr="004A312B" w:rsidTr="00BB09B0">
        <w:tc>
          <w:tcPr>
            <w:tcW w:w="1456" w:type="pct"/>
            <w:vMerge/>
          </w:tcPr>
          <w:p w:rsidR="004A312B" w:rsidRPr="004A312B" w:rsidRDefault="004A312B" w:rsidP="00C64339">
            <w:pPr>
              <w:pStyle w:val="TableText0"/>
              <w:keepLines/>
            </w:pPr>
          </w:p>
        </w:tc>
        <w:tc>
          <w:tcPr>
            <w:tcW w:w="652" w:type="pct"/>
            <w:shd w:val="clear" w:color="auto" w:fill="auto"/>
          </w:tcPr>
          <w:p w:rsidR="004A312B" w:rsidRPr="00BB09B0" w:rsidRDefault="004A312B" w:rsidP="00C64339">
            <w:pPr>
              <w:pStyle w:val="TableText0"/>
              <w:keepLines/>
            </w:pPr>
            <w:r w:rsidRPr="00BB09B0">
              <w:t>Grade 4</w:t>
            </w:r>
          </w:p>
        </w:tc>
        <w:tc>
          <w:tcPr>
            <w:tcW w:w="1047" w:type="pct"/>
            <w:shd w:val="clear" w:color="auto" w:fill="auto"/>
            <w:vAlign w:val="center"/>
          </w:tcPr>
          <w:p w:rsidR="004A312B" w:rsidRPr="00196BBD" w:rsidRDefault="004A312B" w:rsidP="00C64339">
            <w:pPr>
              <w:pStyle w:val="TableText0"/>
              <w:keepLines/>
              <w:jc w:val="center"/>
            </w:pPr>
            <w:r w:rsidRPr="00196BBD">
              <w:t>0.4%</w:t>
            </w:r>
          </w:p>
        </w:tc>
        <w:tc>
          <w:tcPr>
            <w:tcW w:w="937" w:type="pct"/>
            <w:shd w:val="clear" w:color="auto" w:fill="auto"/>
            <w:vAlign w:val="center"/>
          </w:tcPr>
          <w:p w:rsidR="004A312B" w:rsidRPr="00196BBD" w:rsidRDefault="004A312B" w:rsidP="00C64339">
            <w:pPr>
              <w:pStyle w:val="TableText0"/>
              <w:keepLines/>
              <w:jc w:val="center"/>
            </w:pPr>
            <w:r w:rsidRPr="00196BBD">
              <w:t>0.0%</w:t>
            </w:r>
          </w:p>
        </w:tc>
        <w:tc>
          <w:tcPr>
            <w:tcW w:w="908" w:type="pct"/>
            <w:shd w:val="clear" w:color="auto" w:fill="auto"/>
            <w:vAlign w:val="center"/>
          </w:tcPr>
          <w:p w:rsidR="004A312B" w:rsidRPr="00196BBD" w:rsidRDefault="004A312B" w:rsidP="00C64339">
            <w:pPr>
              <w:pStyle w:val="TableText0"/>
              <w:keepLines/>
              <w:jc w:val="center"/>
            </w:pPr>
            <w:r w:rsidRPr="00196BBD">
              <w:t>0.4%</w:t>
            </w:r>
          </w:p>
        </w:tc>
      </w:tr>
      <w:tr w:rsidR="004A312B" w:rsidRPr="004A312B" w:rsidTr="00BB09B0">
        <w:tc>
          <w:tcPr>
            <w:tcW w:w="1456" w:type="pct"/>
            <w:vMerge w:val="restart"/>
          </w:tcPr>
          <w:p w:rsidR="004A312B" w:rsidRPr="004A312B" w:rsidRDefault="00BB09B0" w:rsidP="00C64339">
            <w:pPr>
              <w:pStyle w:val="TableText0"/>
              <w:keepLines/>
            </w:pPr>
            <w:r w:rsidRPr="004A312B">
              <w:t>Increased ALT</w:t>
            </w:r>
          </w:p>
        </w:tc>
        <w:tc>
          <w:tcPr>
            <w:tcW w:w="652" w:type="pct"/>
            <w:shd w:val="clear" w:color="auto" w:fill="auto"/>
          </w:tcPr>
          <w:p w:rsidR="004A312B" w:rsidRPr="00BB09B0" w:rsidRDefault="004A312B" w:rsidP="00C64339">
            <w:pPr>
              <w:pStyle w:val="TableText0"/>
              <w:keepLines/>
            </w:pPr>
            <w:r w:rsidRPr="00BB09B0">
              <w:t>Grade 3</w:t>
            </w:r>
          </w:p>
        </w:tc>
        <w:tc>
          <w:tcPr>
            <w:tcW w:w="1047" w:type="pct"/>
            <w:shd w:val="clear" w:color="auto" w:fill="auto"/>
            <w:vAlign w:val="center"/>
          </w:tcPr>
          <w:p w:rsidR="004A312B" w:rsidRPr="00196BBD" w:rsidRDefault="004A312B" w:rsidP="00C64339">
            <w:pPr>
              <w:pStyle w:val="TableText0"/>
              <w:keepLines/>
              <w:jc w:val="center"/>
            </w:pPr>
            <w:r w:rsidRPr="00196BBD">
              <w:t>6.6%</w:t>
            </w:r>
          </w:p>
        </w:tc>
        <w:tc>
          <w:tcPr>
            <w:tcW w:w="937" w:type="pct"/>
            <w:shd w:val="clear" w:color="auto" w:fill="auto"/>
            <w:vAlign w:val="center"/>
          </w:tcPr>
          <w:p w:rsidR="004A312B" w:rsidRPr="00196BBD" w:rsidRDefault="004A312B" w:rsidP="00C64339">
            <w:pPr>
              <w:pStyle w:val="TableText0"/>
              <w:keepLines/>
              <w:jc w:val="center"/>
            </w:pPr>
            <w:r w:rsidRPr="00196BBD">
              <w:t>3.1%</w:t>
            </w:r>
          </w:p>
        </w:tc>
        <w:tc>
          <w:tcPr>
            <w:tcW w:w="908" w:type="pct"/>
            <w:shd w:val="clear" w:color="auto" w:fill="auto"/>
            <w:vAlign w:val="center"/>
          </w:tcPr>
          <w:p w:rsidR="004A312B" w:rsidRPr="00196BBD" w:rsidRDefault="004A312B" w:rsidP="00C64339">
            <w:pPr>
              <w:pStyle w:val="TableText0"/>
              <w:keepLines/>
              <w:jc w:val="center"/>
            </w:pPr>
            <w:r w:rsidRPr="00196BBD">
              <w:t>3.5%</w:t>
            </w:r>
          </w:p>
        </w:tc>
      </w:tr>
      <w:tr w:rsidR="004A312B" w:rsidRPr="004A312B" w:rsidTr="00BB09B0">
        <w:tc>
          <w:tcPr>
            <w:tcW w:w="1456" w:type="pct"/>
            <w:vMerge/>
          </w:tcPr>
          <w:p w:rsidR="004A312B" w:rsidRPr="004A312B" w:rsidRDefault="004A312B" w:rsidP="00C64339">
            <w:pPr>
              <w:pStyle w:val="TableText0"/>
              <w:keepLines/>
            </w:pPr>
          </w:p>
        </w:tc>
        <w:tc>
          <w:tcPr>
            <w:tcW w:w="652" w:type="pct"/>
            <w:shd w:val="clear" w:color="auto" w:fill="auto"/>
          </w:tcPr>
          <w:p w:rsidR="004A312B" w:rsidRPr="00BB09B0" w:rsidRDefault="004A312B" w:rsidP="00C64339">
            <w:pPr>
              <w:pStyle w:val="TableText0"/>
              <w:keepLines/>
            </w:pPr>
            <w:r w:rsidRPr="00BB09B0">
              <w:t>Grade 4</w:t>
            </w:r>
          </w:p>
        </w:tc>
        <w:tc>
          <w:tcPr>
            <w:tcW w:w="1047" w:type="pct"/>
            <w:shd w:val="clear" w:color="auto" w:fill="auto"/>
            <w:vAlign w:val="center"/>
          </w:tcPr>
          <w:p w:rsidR="004A312B" w:rsidRPr="00196BBD" w:rsidRDefault="004A312B" w:rsidP="00C64339">
            <w:pPr>
              <w:pStyle w:val="TableText0"/>
              <w:keepLines/>
              <w:jc w:val="center"/>
            </w:pPr>
            <w:r w:rsidRPr="00196BBD">
              <w:t>1.9%</w:t>
            </w:r>
          </w:p>
        </w:tc>
        <w:tc>
          <w:tcPr>
            <w:tcW w:w="937" w:type="pct"/>
            <w:shd w:val="clear" w:color="auto" w:fill="auto"/>
            <w:vAlign w:val="center"/>
          </w:tcPr>
          <w:p w:rsidR="004A312B" w:rsidRPr="00196BBD" w:rsidRDefault="004A312B" w:rsidP="00C64339">
            <w:pPr>
              <w:pStyle w:val="TableText0"/>
              <w:keepLines/>
              <w:jc w:val="center"/>
            </w:pPr>
            <w:r w:rsidRPr="00196BBD">
              <w:t>0.2%</w:t>
            </w:r>
          </w:p>
        </w:tc>
        <w:tc>
          <w:tcPr>
            <w:tcW w:w="908" w:type="pct"/>
            <w:shd w:val="clear" w:color="auto" w:fill="auto"/>
            <w:vAlign w:val="center"/>
          </w:tcPr>
          <w:p w:rsidR="004A312B" w:rsidRPr="00196BBD" w:rsidRDefault="004A312B" w:rsidP="00C64339">
            <w:pPr>
              <w:pStyle w:val="TableText0"/>
              <w:keepLines/>
              <w:jc w:val="center"/>
            </w:pPr>
            <w:r w:rsidRPr="00196BBD">
              <w:t>1.7%</w:t>
            </w:r>
          </w:p>
        </w:tc>
      </w:tr>
      <w:tr w:rsidR="00BB09B0" w:rsidRPr="004A312B" w:rsidTr="00BB09B0">
        <w:tc>
          <w:tcPr>
            <w:tcW w:w="1456" w:type="pct"/>
            <w:vMerge w:val="restart"/>
          </w:tcPr>
          <w:p w:rsidR="00BB09B0" w:rsidRPr="004A312B" w:rsidRDefault="00BB09B0" w:rsidP="00C64339">
            <w:pPr>
              <w:pStyle w:val="TableText0"/>
              <w:keepLines/>
            </w:pPr>
            <w:r w:rsidRPr="004A312B">
              <w:t>Increased AST</w:t>
            </w:r>
          </w:p>
        </w:tc>
        <w:tc>
          <w:tcPr>
            <w:tcW w:w="652" w:type="pct"/>
            <w:shd w:val="clear" w:color="auto" w:fill="FFFFFF" w:themeFill="background1"/>
          </w:tcPr>
          <w:p w:rsidR="00BB09B0" w:rsidRPr="00BB09B0" w:rsidRDefault="00BB09B0" w:rsidP="00C64339">
            <w:pPr>
              <w:pStyle w:val="TableText0"/>
              <w:keepLines/>
            </w:pPr>
            <w:r w:rsidRPr="004A312B">
              <w:t>Grade 3</w:t>
            </w:r>
          </w:p>
        </w:tc>
        <w:tc>
          <w:tcPr>
            <w:tcW w:w="1047" w:type="pct"/>
            <w:shd w:val="clear" w:color="auto" w:fill="FFFFFF" w:themeFill="background1"/>
            <w:vAlign w:val="center"/>
          </w:tcPr>
          <w:p w:rsidR="00BB09B0" w:rsidRPr="00196BBD" w:rsidRDefault="00BB09B0" w:rsidP="00C64339">
            <w:pPr>
              <w:pStyle w:val="TableText0"/>
              <w:keepLines/>
              <w:jc w:val="center"/>
            </w:pPr>
            <w:r w:rsidRPr="00196BBD">
              <w:t>4.8%</w:t>
            </w:r>
          </w:p>
        </w:tc>
        <w:tc>
          <w:tcPr>
            <w:tcW w:w="937" w:type="pct"/>
            <w:shd w:val="clear" w:color="auto" w:fill="FFFFFF" w:themeFill="background1"/>
            <w:vAlign w:val="center"/>
          </w:tcPr>
          <w:p w:rsidR="00BB09B0" w:rsidRPr="00196BBD" w:rsidRDefault="00BB09B0" w:rsidP="00C64339">
            <w:pPr>
              <w:pStyle w:val="TableText0"/>
              <w:keepLines/>
              <w:jc w:val="center"/>
            </w:pPr>
            <w:r w:rsidRPr="00196BBD">
              <w:t>3.1%</w:t>
            </w:r>
          </w:p>
        </w:tc>
        <w:tc>
          <w:tcPr>
            <w:tcW w:w="908" w:type="pct"/>
            <w:shd w:val="clear" w:color="auto" w:fill="FFFFFF" w:themeFill="background1"/>
            <w:vAlign w:val="center"/>
          </w:tcPr>
          <w:p w:rsidR="00BB09B0" w:rsidRPr="00196BBD" w:rsidRDefault="00BB09B0" w:rsidP="00C64339">
            <w:pPr>
              <w:pStyle w:val="TableText0"/>
              <w:keepLines/>
              <w:jc w:val="center"/>
            </w:pPr>
            <w:r w:rsidRPr="00196BBD">
              <w:t>1.6%</w:t>
            </w:r>
          </w:p>
        </w:tc>
      </w:tr>
      <w:tr w:rsidR="00BB09B0" w:rsidRPr="004A312B" w:rsidTr="00BB09B0">
        <w:tc>
          <w:tcPr>
            <w:tcW w:w="1456" w:type="pct"/>
            <w:vMerge/>
          </w:tcPr>
          <w:p w:rsidR="00BB09B0" w:rsidRPr="004A312B" w:rsidRDefault="00BB09B0" w:rsidP="00C64339">
            <w:pPr>
              <w:pStyle w:val="TableText0"/>
              <w:keepLines/>
            </w:pPr>
          </w:p>
        </w:tc>
        <w:tc>
          <w:tcPr>
            <w:tcW w:w="652" w:type="pct"/>
            <w:shd w:val="clear" w:color="auto" w:fill="FFFFFF" w:themeFill="background1"/>
          </w:tcPr>
          <w:p w:rsidR="00BB09B0" w:rsidRPr="00BB09B0" w:rsidRDefault="00BB09B0" w:rsidP="00C64339">
            <w:pPr>
              <w:pStyle w:val="TableText0"/>
              <w:keepLines/>
            </w:pPr>
            <w:r w:rsidRPr="004A312B">
              <w:t>Grade 4</w:t>
            </w:r>
          </w:p>
        </w:tc>
        <w:tc>
          <w:tcPr>
            <w:tcW w:w="1047" w:type="pct"/>
            <w:shd w:val="clear" w:color="auto" w:fill="FFFFFF" w:themeFill="background1"/>
            <w:vAlign w:val="center"/>
          </w:tcPr>
          <w:p w:rsidR="00BB09B0" w:rsidRPr="00196BBD" w:rsidRDefault="00BB09B0" w:rsidP="00C64339">
            <w:pPr>
              <w:pStyle w:val="TableText0"/>
              <w:keepLines/>
              <w:jc w:val="center"/>
            </w:pPr>
            <w:r w:rsidRPr="00196BBD">
              <w:t>1.2%</w:t>
            </w:r>
          </w:p>
        </w:tc>
        <w:tc>
          <w:tcPr>
            <w:tcW w:w="937" w:type="pct"/>
            <w:shd w:val="clear" w:color="auto" w:fill="FFFFFF" w:themeFill="background1"/>
            <w:vAlign w:val="center"/>
          </w:tcPr>
          <w:p w:rsidR="00BB09B0" w:rsidRPr="00196BBD" w:rsidRDefault="00BB09B0" w:rsidP="00C64339">
            <w:pPr>
              <w:pStyle w:val="TableText0"/>
              <w:keepLines/>
              <w:jc w:val="center"/>
            </w:pPr>
            <w:r w:rsidRPr="00196BBD">
              <w:t>0.2%</w:t>
            </w:r>
          </w:p>
        </w:tc>
        <w:tc>
          <w:tcPr>
            <w:tcW w:w="908" w:type="pct"/>
            <w:shd w:val="clear" w:color="auto" w:fill="FFFFFF" w:themeFill="background1"/>
            <w:vAlign w:val="center"/>
          </w:tcPr>
          <w:p w:rsidR="00BB09B0" w:rsidRPr="00196BBD" w:rsidRDefault="00BB09B0" w:rsidP="00C64339">
            <w:pPr>
              <w:pStyle w:val="TableText0"/>
              <w:keepLines/>
              <w:jc w:val="center"/>
            </w:pPr>
            <w:r w:rsidRPr="00196BBD">
              <w:t>1.0%</w:t>
            </w:r>
          </w:p>
        </w:tc>
      </w:tr>
      <w:tr w:rsidR="004A312B" w:rsidRPr="004A312B" w:rsidTr="00BB09B0">
        <w:tc>
          <w:tcPr>
            <w:tcW w:w="1456" w:type="pct"/>
            <w:vMerge w:val="restart"/>
          </w:tcPr>
          <w:p w:rsidR="004A312B" w:rsidRPr="004A312B" w:rsidRDefault="00BB09B0" w:rsidP="00C64339">
            <w:pPr>
              <w:pStyle w:val="TableText0"/>
              <w:keepLines/>
            </w:pPr>
            <w:r>
              <w:t>Stomatitis</w:t>
            </w:r>
          </w:p>
        </w:tc>
        <w:tc>
          <w:tcPr>
            <w:tcW w:w="652" w:type="pct"/>
            <w:shd w:val="clear" w:color="auto" w:fill="auto"/>
          </w:tcPr>
          <w:p w:rsidR="004A312B" w:rsidRPr="00BB09B0" w:rsidRDefault="004A312B" w:rsidP="00C64339">
            <w:pPr>
              <w:pStyle w:val="TableText0"/>
              <w:keepLines/>
            </w:pPr>
            <w:r w:rsidRPr="00BB09B0">
              <w:t>Grade 3</w:t>
            </w:r>
          </w:p>
        </w:tc>
        <w:tc>
          <w:tcPr>
            <w:tcW w:w="1047" w:type="pct"/>
            <w:shd w:val="clear" w:color="auto" w:fill="auto"/>
            <w:vAlign w:val="center"/>
          </w:tcPr>
          <w:p w:rsidR="004A312B" w:rsidRPr="00196BBD" w:rsidRDefault="004A312B" w:rsidP="00C64339">
            <w:pPr>
              <w:pStyle w:val="TableText0"/>
              <w:keepLines/>
              <w:jc w:val="center"/>
            </w:pPr>
            <w:r w:rsidRPr="00196BBD">
              <w:t>0.4%</w:t>
            </w:r>
          </w:p>
        </w:tc>
        <w:tc>
          <w:tcPr>
            <w:tcW w:w="937" w:type="pct"/>
            <w:shd w:val="clear" w:color="auto" w:fill="auto"/>
            <w:vAlign w:val="center"/>
          </w:tcPr>
          <w:p w:rsidR="004A312B" w:rsidRPr="00196BBD" w:rsidRDefault="004A312B" w:rsidP="00C64339">
            <w:pPr>
              <w:pStyle w:val="TableText0"/>
              <w:keepLines/>
              <w:jc w:val="center"/>
            </w:pPr>
            <w:r w:rsidRPr="00196BBD">
              <w:t>7.9%</w:t>
            </w:r>
          </w:p>
        </w:tc>
        <w:tc>
          <w:tcPr>
            <w:tcW w:w="908" w:type="pct"/>
            <w:shd w:val="clear" w:color="auto" w:fill="auto"/>
            <w:vAlign w:val="center"/>
          </w:tcPr>
          <w:p w:rsidR="004A312B" w:rsidRPr="00196BBD" w:rsidRDefault="004A312B" w:rsidP="00C64339">
            <w:pPr>
              <w:pStyle w:val="TableText0"/>
              <w:keepLines/>
              <w:jc w:val="center"/>
            </w:pPr>
            <w:r w:rsidRPr="00196BBD">
              <w:t>-7.5%</w:t>
            </w:r>
          </w:p>
        </w:tc>
      </w:tr>
      <w:tr w:rsidR="004A312B" w:rsidRPr="004A312B" w:rsidTr="00BB09B0">
        <w:tc>
          <w:tcPr>
            <w:tcW w:w="1456" w:type="pct"/>
            <w:vMerge/>
          </w:tcPr>
          <w:p w:rsidR="004A312B" w:rsidRPr="004A312B" w:rsidRDefault="004A312B" w:rsidP="00C64339">
            <w:pPr>
              <w:pStyle w:val="TableText0"/>
              <w:keepLines/>
            </w:pPr>
          </w:p>
        </w:tc>
        <w:tc>
          <w:tcPr>
            <w:tcW w:w="652" w:type="pct"/>
            <w:shd w:val="clear" w:color="auto" w:fill="auto"/>
          </w:tcPr>
          <w:p w:rsidR="004A312B" w:rsidRPr="00BB09B0" w:rsidRDefault="004A312B" w:rsidP="00C64339">
            <w:pPr>
              <w:pStyle w:val="TableText0"/>
              <w:keepLines/>
            </w:pPr>
            <w:r w:rsidRPr="00BB09B0">
              <w:t>Grade 4</w:t>
            </w:r>
          </w:p>
        </w:tc>
        <w:tc>
          <w:tcPr>
            <w:tcW w:w="1047" w:type="pct"/>
            <w:shd w:val="clear" w:color="auto" w:fill="auto"/>
            <w:vAlign w:val="center"/>
          </w:tcPr>
          <w:p w:rsidR="004A312B" w:rsidRPr="00196BBD" w:rsidRDefault="004A312B" w:rsidP="00C64339">
            <w:pPr>
              <w:pStyle w:val="TableText0"/>
              <w:keepLines/>
              <w:jc w:val="center"/>
            </w:pPr>
            <w:r w:rsidRPr="00196BBD">
              <w:t>0.0%</w:t>
            </w:r>
          </w:p>
        </w:tc>
        <w:tc>
          <w:tcPr>
            <w:tcW w:w="937" w:type="pct"/>
            <w:shd w:val="clear" w:color="auto" w:fill="auto"/>
            <w:vAlign w:val="center"/>
          </w:tcPr>
          <w:p w:rsidR="004A312B" w:rsidRPr="00196BBD" w:rsidRDefault="004A312B" w:rsidP="00C64339">
            <w:pPr>
              <w:pStyle w:val="TableText0"/>
              <w:keepLines/>
              <w:jc w:val="center"/>
            </w:pPr>
            <w:r w:rsidRPr="00196BBD">
              <w:t>0.0%</w:t>
            </w:r>
          </w:p>
        </w:tc>
        <w:tc>
          <w:tcPr>
            <w:tcW w:w="908" w:type="pct"/>
            <w:shd w:val="clear" w:color="auto" w:fill="auto"/>
            <w:vAlign w:val="center"/>
          </w:tcPr>
          <w:p w:rsidR="004A312B" w:rsidRPr="00196BBD" w:rsidRDefault="004A312B" w:rsidP="00C64339">
            <w:pPr>
              <w:pStyle w:val="TableText0"/>
              <w:keepLines/>
              <w:jc w:val="center"/>
            </w:pPr>
            <w:r w:rsidRPr="00196BBD">
              <w:t>0.0%</w:t>
            </w:r>
          </w:p>
        </w:tc>
      </w:tr>
      <w:tr w:rsidR="004A312B" w:rsidRPr="004A312B" w:rsidTr="00BB09B0">
        <w:tc>
          <w:tcPr>
            <w:tcW w:w="1456" w:type="pct"/>
            <w:vMerge w:val="restart"/>
          </w:tcPr>
          <w:p w:rsidR="004A312B" w:rsidRPr="00BB09B0" w:rsidRDefault="00BB09B0" w:rsidP="00C64339">
            <w:pPr>
              <w:pStyle w:val="TableText0"/>
              <w:keepLines/>
            </w:pPr>
            <w:r w:rsidRPr="004A312B">
              <w:t>Hyperglycaemia</w:t>
            </w:r>
          </w:p>
        </w:tc>
        <w:tc>
          <w:tcPr>
            <w:tcW w:w="652" w:type="pct"/>
            <w:shd w:val="clear" w:color="auto" w:fill="auto"/>
          </w:tcPr>
          <w:p w:rsidR="004A312B" w:rsidRPr="00BB09B0" w:rsidRDefault="004A312B" w:rsidP="00C64339">
            <w:pPr>
              <w:pStyle w:val="TableText0"/>
              <w:keepLines/>
            </w:pPr>
            <w:r w:rsidRPr="00BB09B0">
              <w:t>Grade 3</w:t>
            </w:r>
          </w:p>
        </w:tc>
        <w:tc>
          <w:tcPr>
            <w:tcW w:w="1047" w:type="pct"/>
            <w:shd w:val="clear" w:color="auto" w:fill="auto"/>
            <w:vAlign w:val="center"/>
          </w:tcPr>
          <w:p w:rsidR="004A312B" w:rsidRPr="00196BBD" w:rsidRDefault="004A312B" w:rsidP="00C64339">
            <w:pPr>
              <w:pStyle w:val="TableText0"/>
              <w:keepLines/>
              <w:jc w:val="center"/>
            </w:pPr>
            <w:r w:rsidRPr="00196BBD">
              <w:t>0.4%</w:t>
            </w:r>
          </w:p>
        </w:tc>
        <w:tc>
          <w:tcPr>
            <w:tcW w:w="937" w:type="pct"/>
            <w:shd w:val="clear" w:color="auto" w:fill="auto"/>
            <w:vAlign w:val="center"/>
          </w:tcPr>
          <w:p w:rsidR="004A312B" w:rsidRPr="00196BBD" w:rsidRDefault="004A312B" w:rsidP="00C64339">
            <w:pPr>
              <w:pStyle w:val="TableText0"/>
              <w:keepLines/>
              <w:jc w:val="center"/>
            </w:pPr>
            <w:r w:rsidRPr="00196BBD">
              <w:t>5.0%</w:t>
            </w:r>
          </w:p>
        </w:tc>
        <w:tc>
          <w:tcPr>
            <w:tcW w:w="908" w:type="pct"/>
            <w:shd w:val="clear" w:color="auto" w:fill="auto"/>
            <w:vAlign w:val="center"/>
          </w:tcPr>
          <w:p w:rsidR="004A312B" w:rsidRPr="00196BBD" w:rsidRDefault="004A312B" w:rsidP="00C64339">
            <w:pPr>
              <w:pStyle w:val="TableText0"/>
              <w:keepLines/>
              <w:jc w:val="center"/>
            </w:pPr>
            <w:r w:rsidRPr="00196BBD">
              <w:t>-4.6%</w:t>
            </w:r>
          </w:p>
        </w:tc>
      </w:tr>
      <w:tr w:rsidR="004A312B" w:rsidRPr="004A312B" w:rsidTr="00BB09B0">
        <w:tc>
          <w:tcPr>
            <w:tcW w:w="1456" w:type="pct"/>
            <w:vMerge/>
          </w:tcPr>
          <w:p w:rsidR="004A312B" w:rsidRPr="004A312B" w:rsidRDefault="004A312B" w:rsidP="00C64339">
            <w:pPr>
              <w:pStyle w:val="TableText0"/>
              <w:keepLines/>
            </w:pPr>
          </w:p>
        </w:tc>
        <w:tc>
          <w:tcPr>
            <w:tcW w:w="652" w:type="pct"/>
            <w:shd w:val="clear" w:color="auto" w:fill="auto"/>
          </w:tcPr>
          <w:p w:rsidR="004A312B" w:rsidRPr="00BB09B0" w:rsidRDefault="004A312B" w:rsidP="00C64339">
            <w:pPr>
              <w:pStyle w:val="TableText0"/>
              <w:keepLines/>
            </w:pPr>
            <w:r w:rsidRPr="00BB09B0">
              <w:t>Grade 4</w:t>
            </w:r>
          </w:p>
        </w:tc>
        <w:tc>
          <w:tcPr>
            <w:tcW w:w="1047" w:type="pct"/>
            <w:shd w:val="clear" w:color="auto" w:fill="auto"/>
            <w:vAlign w:val="center"/>
          </w:tcPr>
          <w:p w:rsidR="004A312B" w:rsidRPr="00196BBD" w:rsidRDefault="004A312B" w:rsidP="00C64339">
            <w:pPr>
              <w:pStyle w:val="TableText0"/>
              <w:keepLines/>
              <w:jc w:val="center"/>
            </w:pPr>
            <w:r w:rsidRPr="00196BBD">
              <w:t>0.0%</w:t>
            </w:r>
          </w:p>
        </w:tc>
        <w:tc>
          <w:tcPr>
            <w:tcW w:w="937" w:type="pct"/>
            <w:shd w:val="clear" w:color="auto" w:fill="auto"/>
            <w:vAlign w:val="center"/>
          </w:tcPr>
          <w:p w:rsidR="004A312B" w:rsidRPr="00196BBD" w:rsidRDefault="004A312B" w:rsidP="00C64339">
            <w:pPr>
              <w:pStyle w:val="TableText0"/>
              <w:keepLines/>
              <w:jc w:val="center"/>
            </w:pPr>
            <w:r w:rsidRPr="00196BBD">
              <w:t>0.4%</w:t>
            </w:r>
          </w:p>
        </w:tc>
        <w:tc>
          <w:tcPr>
            <w:tcW w:w="908" w:type="pct"/>
            <w:shd w:val="clear" w:color="auto" w:fill="auto"/>
            <w:vAlign w:val="center"/>
          </w:tcPr>
          <w:p w:rsidR="004A312B" w:rsidRPr="00196BBD" w:rsidRDefault="004A312B" w:rsidP="00C64339">
            <w:pPr>
              <w:pStyle w:val="TableText0"/>
              <w:keepLines/>
              <w:jc w:val="center"/>
            </w:pPr>
            <w:r w:rsidRPr="00196BBD">
              <w:t>-0.4%</w:t>
            </w:r>
          </w:p>
        </w:tc>
      </w:tr>
      <w:tr w:rsidR="006D3AC1" w:rsidRPr="004A312B" w:rsidTr="00BB09B0">
        <w:trPr>
          <w:trHeight w:val="20"/>
        </w:trPr>
        <w:tc>
          <w:tcPr>
            <w:tcW w:w="1456" w:type="pct"/>
            <w:vMerge w:val="restart"/>
          </w:tcPr>
          <w:p w:rsidR="006D3AC1" w:rsidRPr="004A312B" w:rsidRDefault="006D3AC1" w:rsidP="00C64339">
            <w:pPr>
              <w:pStyle w:val="TableText0"/>
              <w:keepLines/>
            </w:pPr>
            <w:r w:rsidRPr="004A312B">
              <w:t>Anaemia</w:t>
            </w:r>
          </w:p>
        </w:tc>
        <w:tc>
          <w:tcPr>
            <w:tcW w:w="652" w:type="pct"/>
            <w:shd w:val="clear" w:color="auto" w:fill="auto"/>
          </w:tcPr>
          <w:p w:rsidR="006D3AC1" w:rsidRPr="00BB09B0" w:rsidRDefault="006D3AC1" w:rsidP="00C64339">
            <w:pPr>
              <w:pStyle w:val="TableText0"/>
              <w:keepLines/>
            </w:pPr>
            <w:r w:rsidRPr="00BB09B0">
              <w:t>Grade 3</w:t>
            </w:r>
          </w:p>
        </w:tc>
        <w:tc>
          <w:tcPr>
            <w:tcW w:w="1047" w:type="pct"/>
            <w:shd w:val="clear" w:color="auto" w:fill="auto"/>
            <w:vAlign w:val="center"/>
          </w:tcPr>
          <w:p w:rsidR="006D3AC1" w:rsidRPr="00196BBD" w:rsidRDefault="006D3AC1" w:rsidP="00C64339">
            <w:pPr>
              <w:pStyle w:val="TableText0"/>
              <w:keepLines/>
              <w:jc w:val="center"/>
            </w:pPr>
            <w:r w:rsidRPr="00196BBD">
              <w:t>3.1%</w:t>
            </w:r>
          </w:p>
        </w:tc>
        <w:tc>
          <w:tcPr>
            <w:tcW w:w="937" w:type="pct"/>
            <w:shd w:val="clear" w:color="auto" w:fill="auto"/>
            <w:vAlign w:val="center"/>
          </w:tcPr>
          <w:p w:rsidR="006D3AC1" w:rsidRPr="00196BBD" w:rsidRDefault="006D3AC1" w:rsidP="00C64339">
            <w:pPr>
              <w:pStyle w:val="TableText0"/>
              <w:keepLines/>
              <w:jc w:val="center"/>
            </w:pPr>
            <w:r w:rsidRPr="00196BBD">
              <w:t>6.6%</w:t>
            </w:r>
          </w:p>
        </w:tc>
        <w:tc>
          <w:tcPr>
            <w:tcW w:w="908" w:type="pct"/>
            <w:shd w:val="clear" w:color="auto" w:fill="auto"/>
            <w:vAlign w:val="center"/>
          </w:tcPr>
          <w:p w:rsidR="006D3AC1" w:rsidRPr="00196BBD" w:rsidRDefault="006D3AC1" w:rsidP="00C64339">
            <w:pPr>
              <w:pStyle w:val="TableText0"/>
              <w:keepLines/>
              <w:jc w:val="center"/>
            </w:pPr>
            <w:r w:rsidRPr="00196BBD">
              <w:t>-3.5%</w:t>
            </w:r>
          </w:p>
        </w:tc>
      </w:tr>
      <w:tr w:rsidR="004A312B" w:rsidRPr="004A312B" w:rsidTr="00BB09B0">
        <w:trPr>
          <w:trHeight w:val="20"/>
        </w:trPr>
        <w:tc>
          <w:tcPr>
            <w:tcW w:w="1456" w:type="pct"/>
            <w:vMerge/>
          </w:tcPr>
          <w:p w:rsidR="004A312B" w:rsidRPr="004A312B" w:rsidRDefault="004A312B" w:rsidP="00C64339">
            <w:pPr>
              <w:pStyle w:val="TableText0"/>
              <w:keepLines/>
            </w:pPr>
          </w:p>
        </w:tc>
        <w:tc>
          <w:tcPr>
            <w:tcW w:w="652" w:type="pct"/>
            <w:shd w:val="clear" w:color="auto" w:fill="auto"/>
          </w:tcPr>
          <w:p w:rsidR="004A312B" w:rsidRPr="00BB09B0" w:rsidRDefault="004A312B" w:rsidP="00C64339">
            <w:pPr>
              <w:pStyle w:val="TableText0"/>
              <w:keepLines/>
            </w:pPr>
            <w:r w:rsidRPr="00BB09B0">
              <w:t>Grade 4</w:t>
            </w:r>
          </w:p>
        </w:tc>
        <w:tc>
          <w:tcPr>
            <w:tcW w:w="1047" w:type="pct"/>
            <w:shd w:val="clear" w:color="auto" w:fill="auto"/>
            <w:vAlign w:val="center"/>
          </w:tcPr>
          <w:p w:rsidR="004A312B" w:rsidRPr="00196BBD" w:rsidRDefault="004A312B" w:rsidP="00C64339">
            <w:pPr>
              <w:pStyle w:val="TableText0"/>
              <w:keepLines/>
              <w:jc w:val="center"/>
            </w:pPr>
            <w:r w:rsidRPr="00196BBD">
              <w:t>0.0%</w:t>
            </w:r>
          </w:p>
        </w:tc>
        <w:tc>
          <w:tcPr>
            <w:tcW w:w="937" w:type="pct"/>
            <w:shd w:val="clear" w:color="auto" w:fill="auto"/>
            <w:vAlign w:val="center"/>
          </w:tcPr>
          <w:p w:rsidR="004A312B" w:rsidRPr="00196BBD" w:rsidRDefault="004A312B" w:rsidP="00C64339">
            <w:pPr>
              <w:pStyle w:val="TableText0"/>
              <w:keepLines/>
              <w:jc w:val="center"/>
            </w:pPr>
            <w:r w:rsidRPr="00196BBD">
              <w:t>0.6%</w:t>
            </w:r>
          </w:p>
        </w:tc>
        <w:tc>
          <w:tcPr>
            <w:tcW w:w="908" w:type="pct"/>
            <w:shd w:val="clear" w:color="auto" w:fill="auto"/>
            <w:vAlign w:val="center"/>
          </w:tcPr>
          <w:p w:rsidR="004A312B" w:rsidRPr="00196BBD" w:rsidRDefault="004A312B" w:rsidP="00C64339">
            <w:pPr>
              <w:pStyle w:val="TableText0"/>
              <w:keepLines/>
              <w:jc w:val="center"/>
            </w:pPr>
            <w:r w:rsidRPr="00196BBD">
              <w:t>-0.6%</w:t>
            </w:r>
          </w:p>
        </w:tc>
      </w:tr>
      <w:tr w:rsidR="006D3AC1" w:rsidRPr="004A312B" w:rsidTr="00BB09B0">
        <w:trPr>
          <w:trHeight w:val="20"/>
        </w:trPr>
        <w:tc>
          <w:tcPr>
            <w:tcW w:w="1456" w:type="pct"/>
            <w:vMerge w:val="restart"/>
          </w:tcPr>
          <w:p w:rsidR="006D3AC1" w:rsidRPr="004A312B" w:rsidRDefault="006D3AC1" w:rsidP="00C64339">
            <w:pPr>
              <w:pStyle w:val="TableText0"/>
              <w:keepLines/>
            </w:pPr>
            <w:r w:rsidRPr="004A312B">
              <w:t>Pneumonitis</w:t>
            </w:r>
          </w:p>
        </w:tc>
        <w:tc>
          <w:tcPr>
            <w:tcW w:w="652" w:type="pct"/>
            <w:shd w:val="clear" w:color="auto" w:fill="auto"/>
          </w:tcPr>
          <w:p w:rsidR="006D3AC1" w:rsidRPr="00BB09B0" w:rsidRDefault="006D3AC1" w:rsidP="00C64339">
            <w:pPr>
              <w:pStyle w:val="TableText0"/>
              <w:keepLines/>
            </w:pPr>
            <w:r w:rsidRPr="00BB09B0">
              <w:t>Grade 3</w:t>
            </w:r>
          </w:p>
        </w:tc>
        <w:tc>
          <w:tcPr>
            <w:tcW w:w="1047" w:type="pct"/>
            <w:shd w:val="clear" w:color="auto" w:fill="auto"/>
            <w:vAlign w:val="center"/>
          </w:tcPr>
          <w:p w:rsidR="006D3AC1" w:rsidRPr="00196BBD" w:rsidRDefault="006D3AC1" w:rsidP="00C64339">
            <w:pPr>
              <w:pStyle w:val="TableText0"/>
              <w:keepLines/>
              <w:jc w:val="center"/>
            </w:pPr>
            <w:r w:rsidRPr="00196BBD">
              <w:t>0.0%</w:t>
            </w:r>
          </w:p>
        </w:tc>
        <w:tc>
          <w:tcPr>
            <w:tcW w:w="937" w:type="pct"/>
            <w:shd w:val="clear" w:color="auto" w:fill="auto"/>
            <w:vAlign w:val="center"/>
          </w:tcPr>
          <w:p w:rsidR="006D3AC1" w:rsidRPr="00196BBD" w:rsidRDefault="006D3AC1" w:rsidP="00C64339">
            <w:pPr>
              <w:pStyle w:val="TableText0"/>
              <w:keepLines/>
              <w:jc w:val="center"/>
            </w:pPr>
            <w:r w:rsidRPr="00196BBD">
              <w:t>3.1%</w:t>
            </w:r>
          </w:p>
        </w:tc>
        <w:tc>
          <w:tcPr>
            <w:tcW w:w="908" w:type="pct"/>
            <w:shd w:val="clear" w:color="auto" w:fill="auto"/>
            <w:vAlign w:val="center"/>
          </w:tcPr>
          <w:p w:rsidR="006D3AC1" w:rsidRPr="00196BBD" w:rsidRDefault="006D3AC1" w:rsidP="00C64339">
            <w:pPr>
              <w:pStyle w:val="TableText0"/>
              <w:keepLines/>
              <w:jc w:val="center"/>
            </w:pPr>
            <w:r w:rsidRPr="00196BBD">
              <w:t>-3.1%</w:t>
            </w:r>
          </w:p>
        </w:tc>
      </w:tr>
      <w:tr w:rsidR="004A312B" w:rsidRPr="004A312B" w:rsidTr="00BB09B0">
        <w:trPr>
          <w:trHeight w:val="20"/>
        </w:trPr>
        <w:tc>
          <w:tcPr>
            <w:tcW w:w="1456" w:type="pct"/>
            <w:vMerge/>
          </w:tcPr>
          <w:p w:rsidR="004A312B" w:rsidRPr="004A312B" w:rsidRDefault="004A312B" w:rsidP="00C64339">
            <w:pPr>
              <w:pStyle w:val="TableText0"/>
              <w:keepLines/>
            </w:pPr>
          </w:p>
        </w:tc>
        <w:tc>
          <w:tcPr>
            <w:tcW w:w="652" w:type="pct"/>
            <w:shd w:val="clear" w:color="auto" w:fill="auto"/>
          </w:tcPr>
          <w:p w:rsidR="004A312B" w:rsidRPr="00BB09B0" w:rsidRDefault="004A312B" w:rsidP="00C64339">
            <w:pPr>
              <w:pStyle w:val="TableText0"/>
              <w:keepLines/>
            </w:pPr>
            <w:r w:rsidRPr="00BB09B0">
              <w:t>Grade 4</w:t>
            </w:r>
          </w:p>
        </w:tc>
        <w:tc>
          <w:tcPr>
            <w:tcW w:w="1047" w:type="pct"/>
            <w:shd w:val="clear" w:color="auto" w:fill="auto"/>
            <w:vAlign w:val="center"/>
          </w:tcPr>
          <w:p w:rsidR="004A312B" w:rsidRPr="00196BBD" w:rsidRDefault="004A312B" w:rsidP="00C64339">
            <w:pPr>
              <w:pStyle w:val="TableText0"/>
              <w:keepLines/>
              <w:jc w:val="center"/>
            </w:pPr>
            <w:r w:rsidRPr="00196BBD">
              <w:t>0.0%</w:t>
            </w:r>
          </w:p>
        </w:tc>
        <w:tc>
          <w:tcPr>
            <w:tcW w:w="937" w:type="pct"/>
            <w:shd w:val="clear" w:color="auto" w:fill="auto"/>
            <w:vAlign w:val="center"/>
          </w:tcPr>
          <w:p w:rsidR="004A312B" w:rsidRPr="00196BBD" w:rsidRDefault="004A312B" w:rsidP="00C64339">
            <w:pPr>
              <w:pStyle w:val="TableText0"/>
              <w:keepLines/>
              <w:jc w:val="center"/>
            </w:pPr>
            <w:r w:rsidRPr="00196BBD">
              <w:t>0.0%</w:t>
            </w:r>
          </w:p>
        </w:tc>
        <w:tc>
          <w:tcPr>
            <w:tcW w:w="908" w:type="pct"/>
            <w:shd w:val="clear" w:color="auto" w:fill="auto"/>
            <w:vAlign w:val="center"/>
          </w:tcPr>
          <w:p w:rsidR="004A312B" w:rsidRPr="00196BBD" w:rsidRDefault="004A312B" w:rsidP="00C64339">
            <w:pPr>
              <w:pStyle w:val="TableText0"/>
              <w:keepLines/>
              <w:jc w:val="center"/>
            </w:pPr>
            <w:r w:rsidRPr="00196BBD">
              <w:t>0.0%</w:t>
            </w:r>
          </w:p>
        </w:tc>
      </w:tr>
      <w:tr w:rsidR="006D3AC1" w:rsidRPr="004A312B" w:rsidTr="00BB09B0">
        <w:trPr>
          <w:trHeight w:val="20"/>
        </w:trPr>
        <w:tc>
          <w:tcPr>
            <w:tcW w:w="1456" w:type="pct"/>
            <w:vMerge w:val="restart"/>
            <w:tcBorders>
              <w:bottom w:val="single" w:sz="4" w:space="0" w:color="auto"/>
            </w:tcBorders>
          </w:tcPr>
          <w:p w:rsidR="006D3AC1" w:rsidRPr="004A312B" w:rsidRDefault="006D3AC1" w:rsidP="00C64339">
            <w:pPr>
              <w:pStyle w:val="TableText0"/>
              <w:keepLines/>
            </w:pPr>
            <w:r w:rsidRPr="004A312B">
              <w:t>Dyspnoea</w:t>
            </w:r>
          </w:p>
        </w:tc>
        <w:tc>
          <w:tcPr>
            <w:tcW w:w="652" w:type="pct"/>
            <w:tcBorders>
              <w:bottom w:val="single" w:sz="4" w:space="0" w:color="auto"/>
            </w:tcBorders>
            <w:shd w:val="clear" w:color="auto" w:fill="auto"/>
          </w:tcPr>
          <w:p w:rsidR="006D3AC1" w:rsidRPr="00BB09B0" w:rsidRDefault="006D3AC1" w:rsidP="00C64339">
            <w:pPr>
              <w:pStyle w:val="TableText0"/>
              <w:keepLines/>
            </w:pPr>
            <w:r w:rsidRPr="00BB09B0">
              <w:t>Grade 3</w:t>
            </w:r>
          </w:p>
        </w:tc>
        <w:tc>
          <w:tcPr>
            <w:tcW w:w="1047" w:type="pct"/>
            <w:tcBorders>
              <w:bottom w:val="single" w:sz="4" w:space="0" w:color="auto"/>
            </w:tcBorders>
            <w:shd w:val="clear" w:color="auto" w:fill="auto"/>
            <w:vAlign w:val="center"/>
          </w:tcPr>
          <w:p w:rsidR="006D3AC1" w:rsidRPr="00196BBD" w:rsidRDefault="006D3AC1" w:rsidP="00C64339">
            <w:pPr>
              <w:pStyle w:val="TableText0"/>
              <w:keepLines/>
              <w:jc w:val="center"/>
            </w:pPr>
            <w:r w:rsidRPr="00196BBD">
              <w:t>1.2%</w:t>
            </w:r>
          </w:p>
        </w:tc>
        <w:tc>
          <w:tcPr>
            <w:tcW w:w="937" w:type="pct"/>
            <w:tcBorders>
              <w:bottom w:val="single" w:sz="4" w:space="0" w:color="auto"/>
            </w:tcBorders>
            <w:shd w:val="clear" w:color="auto" w:fill="auto"/>
            <w:vAlign w:val="center"/>
          </w:tcPr>
          <w:p w:rsidR="006D3AC1" w:rsidRPr="00196BBD" w:rsidRDefault="006D3AC1" w:rsidP="00C64339">
            <w:pPr>
              <w:pStyle w:val="TableText0"/>
              <w:keepLines/>
              <w:jc w:val="center"/>
            </w:pPr>
            <w:r w:rsidRPr="00196BBD">
              <w:t>4.1%</w:t>
            </w:r>
          </w:p>
        </w:tc>
        <w:tc>
          <w:tcPr>
            <w:tcW w:w="908" w:type="pct"/>
            <w:shd w:val="clear" w:color="auto" w:fill="auto"/>
            <w:vAlign w:val="center"/>
          </w:tcPr>
          <w:p w:rsidR="006D3AC1" w:rsidRPr="00196BBD" w:rsidRDefault="006D3AC1" w:rsidP="00C64339">
            <w:pPr>
              <w:pStyle w:val="TableText0"/>
              <w:keepLines/>
              <w:jc w:val="center"/>
            </w:pPr>
            <w:r w:rsidRPr="00196BBD">
              <w:t>-2.9%</w:t>
            </w:r>
          </w:p>
        </w:tc>
      </w:tr>
      <w:tr w:rsidR="004A312B" w:rsidRPr="004A312B" w:rsidTr="00BB09B0">
        <w:trPr>
          <w:trHeight w:val="20"/>
        </w:trPr>
        <w:tc>
          <w:tcPr>
            <w:tcW w:w="1456" w:type="pct"/>
            <w:vMerge/>
          </w:tcPr>
          <w:p w:rsidR="004A312B" w:rsidRPr="004A312B" w:rsidRDefault="004A312B" w:rsidP="00C64339">
            <w:pPr>
              <w:pStyle w:val="TableText0"/>
              <w:keepLines/>
            </w:pPr>
          </w:p>
        </w:tc>
        <w:tc>
          <w:tcPr>
            <w:tcW w:w="652" w:type="pct"/>
            <w:shd w:val="clear" w:color="auto" w:fill="auto"/>
          </w:tcPr>
          <w:p w:rsidR="004A312B" w:rsidRPr="00BB09B0" w:rsidRDefault="004A312B" w:rsidP="00C64339">
            <w:pPr>
              <w:pStyle w:val="TableText0"/>
              <w:keepLines/>
            </w:pPr>
            <w:r w:rsidRPr="00BB09B0">
              <w:t>Grade 4</w:t>
            </w:r>
          </w:p>
        </w:tc>
        <w:tc>
          <w:tcPr>
            <w:tcW w:w="1047" w:type="pct"/>
            <w:shd w:val="clear" w:color="auto" w:fill="auto"/>
            <w:vAlign w:val="center"/>
          </w:tcPr>
          <w:p w:rsidR="004A312B" w:rsidRPr="00196BBD" w:rsidRDefault="004A312B" w:rsidP="00C64339">
            <w:pPr>
              <w:pStyle w:val="TableText0"/>
              <w:keepLines/>
              <w:jc w:val="center"/>
            </w:pPr>
            <w:r w:rsidRPr="00196BBD">
              <w:t>0.2%</w:t>
            </w:r>
          </w:p>
        </w:tc>
        <w:tc>
          <w:tcPr>
            <w:tcW w:w="937" w:type="pct"/>
            <w:shd w:val="clear" w:color="auto" w:fill="auto"/>
            <w:vAlign w:val="center"/>
          </w:tcPr>
          <w:p w:rsidR="004A312B" w:rsidRPr="00196BBD" w:rsidRDefault="004A312B" w:rsidP="00C64339">
            <w:pPr>
              <w:pStyle w:val="TableText0"/>
              <w:keepLines/>
              <w:jc w:val="center"/>
            </w:pPr>
            <w:r w:rsidRPr="00196BBD">
              <w:t>0.2%</w:t>
            </w:r>
          </w:p>
        </w:tc>
        <w:tc>
          <w:tcPr>
            <w:tcW w:w="908" w:type="pct"/>
            <w:shd w:val="clear" w:color="auto" w:fill="auto"/>
            <w:vAlign w:val="center"/>
          </w:tcPr>
          <w:p w:rsidR="004A312B" w:rsidRPr="00196BBD" w:rsidRDefault="004A312B" w:rsidP="00C64339">
            <w:pPr>
              <w:pStyle w:val="TableText0"/>
              <w:keepLines/>
              <w:jc w:val="center"/>
            </w:pPr>
            <w:r w:rsidRPr="00196BBD">
              <w:t>0.0%</w:t>
            </w:r>
          </w:p>
        </w:tc>
      </w:tr>
      <w:tr w:rsidR="006D3AC1" w:rsidRPr="004A312B" w:rsidTr="00BB09B0">
        <w:trPr>
          <w:trHeight w:val="20"/>
        </w:trPr>
        <w:tc>
          <w:tcPr>
            <w:tcW w:w="1456" w:type="pct"/>
            <w:vMerge w:val="restart"/>
          </w:tcPr>
          <w:p w:rsidR="006D3AC1" w:rsidRPr="004A312B" w:rsidRDefault="006D3AC1" w:rsidP="00C64339">
            <w:pPr>
              <w:pStyle w:val="TableText0"/>
              <w:keepLines/>
            </w:pPr>
            <w:r w:rsidRPr="004A312B">
              <w:t>Thrombocytopenia</w:t>
            </w:r>
          </w:p>
        </w:tc>
        <w:tc>
          <w:tcPr>
            <w:tcW w:w="652" w:type="pct"/>
            <w:shd w:val="clear" w:color="auto" w:fill="auto"/>
          </w:tcPr>
          <w:p w:rsidR="006D3AC1" w:rsidRPr="00BB09B0" w:rsidRDefault="006D3AC1" w:rsidP="00C64339">
            <w:pPr>
              <w:pStyle w:val="TableText0"/>
              <w:keepLines/>
            </w:pPr>
            <w:r w:rsidRPr="00BB09B0">
              <w:t>Grade 3</w:t>
            </w:r>
          </w:p>
        </w:tc>
        <w:tc>
          <w:tcPr>
            <w:tcW w:w="1047" w:type="pct"/>
            <w:shd w:val="clear" w:color="auto" w:fill="auto"/>
            <w:vAlign w:val="center"/>
          </w:tcPr>
          <w:p w:rsidR="006D3AC1" w:rsidRPr="00196BBD" w:rsidRDefault="006D3AC1" w:rsidP="00C64339">
            <w:pPr>
              <w:pStyle w:val="TableText0"/>
              <w:keepLines/>
              <w:jc w:val="center"/>
            </w:pPr>
            <w:r w:rsidRPr="00196BBD">
              <w:t>0.6%</w:t>
            </w:r>
          </w:p>
        </w:tc>
        <w:tc>
          <w:tcPr>
            <w:tcW w:w="937" w:type="pct"/>
            <w:shd w:val="clear" w:color="auto" w:fill="auto"/>
            <w:vAlign w:val="center"/>
          </w:tcPr>
          <w:p w:rsidR="006D3AC1" w:rsidRPr="00196BBD" w:rsidRDefault="006D3AC1" w:rsidP="00C64339">
            <w:pPr>
              <w:pStyle w:val="TableText0"/>
              <w:keepLines/>
              <w:jc w:val="center"/>
            </w:pPr>
            <w:r w:rsidRPr="00196BBD">
              <w:t>2.1%</w:t>
            </w:r>
          </w:p>
        </w:tc>
        <w:tc>
          <w:tcPr>
            <w:tcW w:w="908" w:type="pct"/>
            <w:shd w:val="clear" w:color="auto" w:fill="auto"/>
            <w:vAlign w:val="center"/>
          </w:tcPr>
          <w:p w:rsidR="006D3AC1" w:rsidRPr="00196BBD" w:rsidRDefault="006D3AC1" w:rsidP="00C64339">
            <w:pPr>
              <w:pStyle w:val="TableText0"/>
              <w:keepLines/>
              <w:jc w:val="center"/>
            </w:pPr>
            <w:r w:rsidRPr="00196BBD">
              <w:t>-1.5%</w:t>
            </w:r>
          </w:p>
        </w:tc>
      </w:tr>
      <w:tr w:rsidR="004A312B" w:rsidRPr="004A312B" w:rsidTr="00BB09B0">
        <w:trPr>
          <w:trHeight w:val="20"/>
        </w:trPr>
        <w:tc>
          <w:tcPr>
            <w:tcW w:w="1456" w:type="pct"/>
            <w:vMerge/>
          </w:tcPr>
          <w:p w:rsidR="004A312B" w:rsidRPr="004A312B" w:rsidRDefault="004A312B" w:rsidP="00C64339">
            <w:pPr>
              <w:pStyle w:val="TableText0"/>
              <w:keepLines/>
            </w:pPr>
          </w:p>
        </w:tc>
        <w:tc>
          <w:tcPr>
            <w:tcW w:w="652" w:type="pct"/>
            <w:shd w:val="clear" w:color="auto" w:fill="auto"/>
          </w:tcPr>
          <w:p w:rsidR="004A312B" w:rsidRPr="00BB09B0" w:rsidRDefault="004A312B" w:rsidP="00C64339">
            <w:pPr>
              <w:pStyle w:val="TableText0"/>
              <w:keepLines/>
            </w:pPr>
            <w:r w:rsidRPr="00BB09B0">
              <w:t>Grade 4</w:t>
            </w:r>
          </w:p>
        </w:tc>
        <w:tc>
          <w:tcPr>
            <w:tcW w:w="1047" w:type="pct"/>
            <w:shd w:val="clear" w:color="auto" w:fill="auto"/>
            <w:vAlign w:val="center"/>
          </w:tcPr>
          <w:p w:rsidR="004A312B" w:rsidRPr="00196BBD" w:rsidRDefault="004A312B" w:rsidP="00C64339">
            <w:pPr>
              <w:pStyle w:val="TableText0"/>
              <w:keepLines/>
              <w:jc w:val="center"/>
            </w:pPr>
            <w:r w:rsidRPr="00196BBD">
              <w:t>0.2%</w:t>
            </w:r>
          </w:p>
        </w:tc>
        <w:tc>
          <w:tcPr>
            <w:tcW w:w="937" w:type="pct"/>
            <w:shd w:val="clear" w:color="auto" w:fill="auto"/>
            <w:vAlign w:val="center"/>
          </w:tcPr>
          <w:p w:rsidR="004A312B" w:rsidRPr="00196BBD" w:rsidRDefault="004A312B" w:rsidP="00C64339">
            <w:pPr>
              <w:pStyle w:val="TableText0"/>
              <w:keepLines/>
              <w:jc w:val="center"/>
            </w:pPr>
            <w:r w:rsidRPr="00196BBD">
              <w:t>0.8%</w:t>
            </w:r>
          </w:p>
        </w:tc>
        <w:tc>
          <w:tcPr>
            <w:tcW w:w="908" w:type="pct"/>
            <w:shd w:val="clear" w:color="auto" w:fill="auto"/>
            <w:vAlign w:val="center"/>
          </w:tcPr>
          <w:p w:rsidR="004A312B" w:rsidRPr="00196BBD" w:rsidRDefault="004A312B" w:rsidP="00C64339">
            <w:pPr>
              <w:pStyle w:val="TableText0"/>
              <w:keepLines/>
              <w:jc w:val="center"/>
            </w:pPr>
            <w:r w:rsidRPr="00196BBD">
              <w:t>-0.6%</w:t>
            </w:r>
          </w:p>
        </w:tc>
      </w:tr>
    </w:tbl>
    <w:p w:rsidR="004A312B" w:rsidRPr="004A312B" w:rsidRDefault="004A312B" w:rsidP="0021277C">
      <w:pPr>
        <w:pStyle w:val="TableFigureFooter"/>
      </w:pPr>
      <w:r w:rsidRPr="004A312B">
        <w:t>ALT= alanine aminotransferase; AST= aspartate aminotransferase; FULV= fulvestrant; EVE= everolimus; EXE= exemestane; RIBO= ribociclib; WBC= white blood cell.</w:t>
      </w:r>
    </w:p>
    <w:p w:rsidR="004A312B" w:rsidRPr="004A312B" w:rsidRDefault="004A312B" w:rsidP="0021277C">
      <w:pPr>
        <w:pStyle w:val="TableFigureFooter"/>
      </w:pPr>
      <w:r w:rsidRPr="004A312B">
        <w:t xml:space="preserve">Note: Grade 3-4 AEs are shaded in grey. </w:t>
      </w:r>
    </w:p>
    <w:p w:rsidR="004A312B" w:rsidRDefault="004A312B" w:rsidP="0021277C">
      <w:pPr>
        <w:pStyle w:val="TableFigureFooter"/>
      </w:pPr>
      <w:r w:rsidRPr="004A312B">
        <w:t>Source: Table 2-69, p167 of the submission.</w:t>
      </w:r>
    </w:p>
    <w:p w:rsidR="00F312DB" w:rsidRPr="00F312DB" w:rsidRDefault="00F312DB" w:rsidP="0021277C">
      <w:pPr>
        <w:pStyle w:val="TableFigureFooter"/>
        <w:rPr>
          <w:i/>
        </w:rPr>
      </w:pPr>
      <w:r w:rsidRPr="00F312DB">
        <w:rPr>
          <w:i/>
        </w:rPr>
        <w:t>Note that the results presented in MAIC are derived from post-hoc analyses conducted by the applicant specifically for the purposes of informing the PBAC consideration. These analyses were not part of the pre-specified statistical plan for MONALEESA-2 or MONALEESA-</w:t>
      </w:r>
      <w:r w:rsidR="00F50980">
        <w:rPr>
          <w:i/>
        </w:rPr>
        <w:t> </w:t>
      </w:r>
      <w:r w:rsidRPr="00F312DB">
        <w:rPr>
          <w:i/>
        </w:rPr>
        <w:t>3.  Interpretation of the results and their application should therefore be limited to seeking to understand the basis for the PBAC outcome and should not be used for any other purpose.</w:t>
      </w:r>
    </w:p>
    <w:p w:rsidR="004A312B" w:rsidRPr="004A312B" w:rsidRDefault="00AD716E" w:rsidP="004A312B">
      <w:pPr>
        <w:pStyle w:val="3-BodyText"/>
        <w:rPr>
          <w:color w:val="000000" w:themeColor="text1"/>
        </w:rPr>
      </w:pPr>
      <w:r>
        <w:rPr>
          <w:color w:val="000000" w:themeColor="text1"/>
        </w:rPr>
        <w:t xml:space="preserve">Overall, </w:t>
      </w:r>
      <w:r w:rsidR="004A312B" w:rsidRPr="004A312B">
        <w:rPr>
          <w:color w:val="000000" w:themeColor="text1"/>
        </w:rPr>
        <w:t xml:space="preserve">AEs trended higher for RIBO+FULV compared with EVE+EXE. Incidences of </w:t>
      </w:r>
      <w:r w:rsidR="00EF4CED" w:rsidRPr="00196BBD">
        <w:rPr>
          <w:color w:val="000000" w:themeColor="text1"/>
        </w:rPr>
        <w:t>Grade 3/4 AEs that were higher in the RIBO+FULV group included neutropenia (+40.2%), neutrophil count decreased (+14.3%), decreased WBC count (+7.0%), leukopenia (5.2%), and increased liver enzymes (+7.8%). Conversely, stomatitis (-7.5%), hyperglycaemia (-5.0%), anaemia (-4.1%), pneumonitis (-3.1%), dyspnoea (-2.9%), and thrombocytopenia (-2.1%) were comparatively lower in the RIBO</w:t>
      </w:r>
      <w:r w:rsidR="00EF4CED" w:rsidRPr="004A312B">
        <w:rPr>
          <w:color w:val="000000" w:themeColor="text1"/>
        </w:rPr>
        <w:t>+FULV group.</w:t>
      </w:r>
    </w:p>
    <w:p w:rsidR="007F1017" w:rsidRPr="00C9624D" w:rsidRDefault="007F1017" w:rsidP="00D86231">
      <w:pPr>
        <w:pStyle w:val="4-SubsectionHeading"/>
      </w:pPr>
      <w:bookmarkStart w:id="34" w:name="_Toc22897643"/>
      <w:bookmarkStart w:id="35" w:name="_Toc38290345"/>
      <w:bookmarkStart w:id="36" w:name="_Toc40716947"/>
      <w:r w:rsidRPr="00C9624D">
        <w:t>Benefits/harms</w:t>
      </w:r>
      <w:bookmarkEnd w:id="34"/>
      <w:bookmarkEnd w:id="35"/>
      <w:bookmarkEnd w:id="36"/>
    </w:p>
    <w:p w:rsidR="002B7CF3" w:rsidRPr="00472863" w:rsidRDefault="002B7CF3" w:rsidP="002B7CF3">
      <w:pPr>
        <w:pStyle w:val="3-BodyText"/>
        <w:rPr>
          <w:color w:val="000000" w:themeColor="text1"/>
        </w:rPr>
      </w:pPr>
      <w:r w:rsidRPr="002B7CF3">
        <w:rPr>
          <w:color w:val="000000" w:themeColor="text1"/>
          <w:lang w:val="en-US"/>
        </w:rPr>
        <w:t xml:space="preserve">The indirect </w:t>
      </w:r>
      <w:r w:rsidR="00954E2C">
        <w:rPr>
          <w:color w:val="000000" w:themeColor="text1"/>
          <w:lang w:val="en-US"/>
        </w:rPr>
        <w:t xml:space="preserve">nature of the </w:t>
      </w:r>
      <w:r w:rsidRPr="002B7CF3">
        <w:rPr>
          <w:color w:val="000000" w:themeColor="text1"/>
          <w:lang w:val="en-US"/>
        </w:rPr>
        <w:t>comparison</w:t>
      </w:r>
      <w:r w:rsidR="00954E2C">
        <w:rPr>
          <w:color w:val="000000" w:themeColor="text1"/>
          <w:lang w:val="en-US"/>
        </w:rPr>
        <w:t>s</w:t>
      </w:r>
      <w:r w:rsidRPr="002B7CF3">
        <w:rPr>
          <w:color w:val="000000" w:themeColor="text1"/>
          <w:lang w:val="en-US"/>
        </w:rPr>
        <w:t xml:space="preserve"> presented in the submission did not allow for a </w:t>
      </w:r>
      <w:r w:rsidR="00954E2C">
        <w:rPr>
          <w:color w:val="000000" w:themeColor="text1"/>
          <w:lang w:val="en-US"/>
        </w:rPr>
        <w:t>reliable</w:t>
      </w:r>
      <w:r w:rsidR="00954E2C" w:rsidRPr="002B7CF3">
        <w:rPr>
          <w:color w:val="000000" w:themeColor="text1"/>
          <w:lang w:val="en-US"/>
        </w:rPr>
        <w:t xml:space="preserve"> </w:t>
      </w:r>
      <w:r w:rsidRPr="002B7CF3">
        <w:rPr>
          <w:color w:val="000000" w:themeColor="text1"/>
          <w:lang w:val="en-US"/>
        </w:rPr>
        <w:t>comparison of the benefits and harms of RIBO+FULV vs RIBO+NSAI and EVE+EXE. Accordingly, a benefits/harms table has not been presented.</w:t>
      </w:r>
    </w:p>
    <w:p w:rsidR="00637E45" w:rsidRPr="00637E45" w:rsidRDefault="00B60939" w:rsidP="00B75C50">
      <w:pPr>
        <w:pStyle w:val="4-SubsectionHeading"/>
        <w:rPr>
          <w:b w:val="0"/>
          <w:bCs/>
          <w:color w:val="000000" w:themeColor="text1"/>
        </w:rPr>
      </w:pPr>
      <w:bookmarkStart w:id="37" w:name="_Toc22897644"/>
      <w:bookmarkStart w:id="38" w:name="_Toc38290346"/>
      <w:bookmarkStart w:id="39" w:name="_Toc40716948"/>
      <w:r w:rsidRPr="00C9624D">
        <w:t>Clinical claim</w:t>
      </w:r>
      <w:bookmarkEnd w:id="37"/>
      <w:bookmarkEnd w:id="38"/>
      <w:bookmarkEnd w:id="39"/>
    </w:p>
    <w:p w:rsidR="00B7566A" w:rsidRPr="008D1AF1" w:rsidRDefault="00EF53A3" w:rsidP="003F4D02">
      <w:pPr>
        <w:pStyle w:val="3-BodyText"/>
      </w:pPr>
      <w:r w:rsidRPr="008D1AF1">
        <w:t xml:space="preserve">The submission described </w:t>
      </w:r>
      <w:r w:rsidR="00631273" w:rsidRPr="008D1AF1">
        <w:t xml:space="preserve">the effectiveness of </w:t>
      </w:r>
      <w:r w:rsidRPr="008D1AF1">
        <w:t xml:space="preserve">RIBO+FULV as non-inferior compared with </w:t>
      </w:r>
      <w:r w:rsidRPr="00196BBD">
        <w:t>RIBO+NSAI</w:t>
      </w:r>
      <w:r w:rsidR="00B20BB9" w:rsidRPr="00196BBD">
        <w:t xml:space="preserve"> </w:t>
      </w:r>
      <w:r w:rsidRPr="00196BBD">
        <w:t>for first-line</w:t>
      </w:r>
      <w:r w:rsidR="00B20BB9" w:rsidRPr="00196BBD">
        <w:t xml:space="preserve"> </w:t>
      </w:r>
      <w:r w:rsidR="006716B0" w:rsidRPr="00196BBD">
        <w:t>treatment</w:t>
      </w:r>
      <w:r w:rsidR="00C94EEB" w:rsidRPr="00196BBD">
        <w:t xml:space="preserve">. </w:t>
      </w:r>
      <w:r w:rsidR="004167FC" w:rsidRPr="00196BBD">
        <w:t>The ESC considered that the results of the unanchored MAIC supported non-inferiority fo</w:t>
      </w:r>
      <w:r w:rsidR="00E13752" w:rsidRPr="00196BBD">
        <w:t xml:space="preserve">r the endpoint of PFS: HR=0.92 (95% CI: </w:t>
      </w:r>
      <w:r w:rsidR="004167FC" w:rsidRPr="00196BBD">
        <w:t>0.72, 1.12)</w:t>
      </w:r>
      <w:r w:rsidR="004167FC" w:rsidRPr="00196BBD">
        <w:rPr>
          <w:iCs/>
        </w:rPr>
        <w:t xml:space="preserve"> </w:t>
      </w:r>
      <w:r w:rsidR="00483A47" w:rsidRPr="00196BBD">
        <w:t>given the similar trial populations in MONALEESA-2 and MONALEESA-3. However, the ESC noted that the OS data from MONALEESA-2 and MONALEESA-3 were immature</w:t>
      </w:r>
      <w:r w:rsidR="003F4D02" w:rsidRPr="00196BBD">
        <w:t xml:space="preserve">; in MONALEESA-3 </w:t>
      </w:r>
      <w:r w:rsidR="009F6917" w:rsidRPr="00196BBD">
        <w:t xml:space="preserve">(whole trial population) </w:t>
      </w:r>
      <w:r w:rsidR="001531D8" w:rsidRPr="00196BBD">
        <w:t>37.9</w:t>
      </w:r>
      <w:r w:rsidR="003F4D02" w:rsidRPr="00196BBD">
        <w:t xml:space="preserve"> % of patients had died at the </w:t>
      </w:r>
      <w:r w:rsidR="001531D8" w:rsidRPr="00196BBD">
        <w:t xml:space="preserve">second </w:t>
      </w:r>
      <w:r w:rsidR="003F4D02" w:rsidRPr="00196BBD">
        <w:t xml:space="preserve">data-cut </w:t>
      </w:r>
      <w:r w:rsidR="001531D8" w:rsidRPr="00196BBD">
        <w:t xml:space="preserve">and in MONALEESA-2 </w:t>
      </w:r>
      <w:r w:rsidR="009F6917" w:rsidRPr="00196BBD">
        <w:t xml:space="preserve">(whole trial population) </w:t>
      </w:r>
      <w:r w:rsidR="001531D8" w:rsidRPr="00196BBD">
        <w:t>only 17.4% of patients had died at the second data-cut</w:t>
      </w:r>
      <w:r w:rsidR="003F4D02" w:rsidRPr="00196BBD">
        <w:rPr>
          <w:color w:val="000000" w:themeColor="text1"/>
        </w:rPr>
        <w:t>. T</w:t>
      </w:r>
      <w:r w:rsidR="00483A47" w:rsidRPr="00196BBD">
        <w:t>he confidence intervals from the unanchored MAIC were wide (HR for OS: 1.08 (95% CI: 0.73, 1.6</w:t>
      </w:r>
      <w:r w:rsidR="004167FC" w:rsidRPr="00196BBD">
        <w:t>0</w:t>
      </w:r>
      <w:r w:rsidR="00483A47" w:rsidRPr="00196BBD">
        <w:t>)).</w:t>
      </w:r>
      <w:r w:rsidR="00483A47" w:rsidRPr="00196BBD">
        <w:rPr>
          <w:iCs/>
        </w:rPr>
        <w:t xml:space="preserve"> </w:t>
      </w:r>
      <w:bookmarkStart w:id="40" w:name="_Hlk38241270"/>
      <w:r w:rsidR="00483A47" w:rsidRPr="00196BBD">
        <w:t>T</w:t>
      </w:r>
      <w:r w:rsidR="00B7566A" w:rsidRPr="00196BBD">
        <w:t>he upper</w:t>
      </w:r>
      <w:r w:rsidR="00B7566A" w:rsidRPr="008D1AF1">
        <w:t xml:space="preserve"> 95% confidence limit of the </w:t>
      </w:r>
      <w:r w:rsidR="000F7853" w:rsidRPr="008D1AF1">
        <w:t>OS</w:t>
      </w:r>
      <w:r w:rsidR="00B7566A" w:rsidRPr="008D1AF1">
        <w:t xml:space="preserve"> hazard ratio of 1.6 exceeded the claimed non-inferiority margin of 1.4</w:t>
      </w:r>
      <w:r w:rsidR="000140B5" w:rsidRPr="008D1AF1">
        <w:t>.</w:t>
      </w:r>
      <w:r w:rsidR="00905ABA" w:rsidRPr="008D1AF1">
        <w:t xml:space="preserve"> The PSCR noted that the PBAC’s acceptance of non-inferiority of palbociclib and abemaciclib to ribociclib w</w:t>
      </w:r>
      <w:r w:rsidR="00106E22" w:rsidRPr="008D1AF1">
        <w:t>ere</w:t>
      </w:r>
      <w:r w:rsidR="00905ABA" w:rsidRPr="008D1AF1">
        <w:t xml:space="preserve"> based on non-inferior PFS. </w:t>
      </w:r>
    </w:p>
    <w:p w:rsidR="00710BE6" w:rsidRPr="008D1AF1" w:rsidRDefault="00BB0223" w:rsidP="00BB0223">
      <w:pPr>
        <w:pStyle w:val="3-BodyText"/>
        <w:rPr>
          <w:color w:val="000000" w:themeColor="text1"/>
        </w:rPr>
      </w:pPr>
      <w:r w:rsidRPr="008D1AF1">
        <w:rPr>
          <w:color w:val="000000" w:themeColor="text1"/>
        </w:rPr>
        <w:t xml:space="preserve">The submission described the </w:t>
      </w:r>
      <w:r w:rsidR="00B53853" w:rsidRPr="008D1AF1">
        <w:rPr>
          <w:color w:val="000000" w:themeColor="text1"/>
        </w:rPr>
        <w:t xml:space="preserve">safety </w:t>
      </w:r>
      <w:r w:rsidRPr="008D1AF1">
        <w:rPr>
          <w:color w:val="000000" w:themeColor="text1"/>
        </w:rPr>
        <w:t xml:space="preserve">of RIBO+FULV as </w:t>
      </w:r>
      <w:r w:rsidR="00B53853" w:rsidRPr="008D1AF1">
        <w:rPr>
          <w:color w:val="000000" w:themeColor="text1"/>
        </w:rPr>
        <w:t xml:space="preserve">non-inferior </w:t>
      </w:r>
      <w:r w:rsidRPr="008D1AF1">
        <w:rPr>
          <w:color w:val="000000" w:themeColor="text1"/>
        </w:rPr>
        <w:t xml:space="preserve">compared with </w:t>
      </w:r>
      <w:r w:rsidR="00B53853" w:rsidRPr="008D1AF1">
        <w:rPr>
          <w:color w:val="000000" w:themeColor="text1"/>
        </w:rPr>
        <w:t>RIBO+NSAI</w:t>
      </w:r>
      <w:r w:rsidRPr="008D1AF1">
        <w:rPr>
          <w:color w:val="000000" w:themeColor="text1"/>
        </w:rPr>
        <w:t xml:space="preserve">. </w:t>
      </w:r>
      <w:r w:rsidR="00B53853" w:rsidRPr="008D1AF1">
        <w:rPr>
          <w:iCs/>
          <w:color w:val="000000" w:themeColor="text1"/>
        </w:rPr>
        <w:t xml:space="preserve">The number of adverse events for patients treated with RIBO+FULV was </w:t>
      </w:r>
      <w:r w:rsidR="00826574" w:rsidRPr="008D1AF1">
        <w:rPr>
          <w:iCs/>
          <w:color w:val="000000" w:themeColor="text1"/>
        </w:rPr>
        <w:t>comparable</w:t>
      </w:r>
      <w:r w:rsidR="00B53853" w:rsidRPr="008D1AF1">
        <w:rPr>
          <w:iCs/>
          <w:color w:val="000000" w:themeColor="text1"/>
        </w:rPr>
        <w:t xml:space="preserve"> to RIBO+NSAI and the ESC considered it was reasonable to conclude that safety was similar.</w:t>
      </w:r>
      <w:r w:rsidRPr="008D1AF1">
        <w:rPr>
          <w:color w:val="000000" w:themeColor="text1"/>
        </w:rPr>
        <w:t xml:space="preserve">  </w:t>
      </w:r>
    </w:p>
    <w:p w:rsidR="0027087C" w:rsidRPr="00F87E45" w:rsidRDefault="0027087C" w:rsidP="0027087C">
      <w:pPr>
        <w:pStyle w:val="3-BodyText"/>
        <w:rPr>
          <w:lang w:eastAsia="en-US"/>
        </w:rPr>
      </w:pPr>
      <w:r w:rsidRPr="00F87E45">
        <w:rPr>
          <w:lang w:eastAsia="en-US"/>
        </w:rPr>
        <w:t>The PBAC considered that the claim of non-inferior comparative effectiveness in the first line setting was reasonable.</w:t>
      </w:r>
    </w:p>
    <w:p w:rsidR="0027087C" w:rsidRPr="00F87E45" w:rsidRDefault="0027087C" w:rsidP="0027087C">
      <w:pPr>
        <w:pStyle w:val="3-BodyText"/>
        <w:rPr>
          <w:lang w:eastAsia="en-US"/>
        </w:rPr>
      </w:pPr>
      <w:r w:rsidRPr="00F87E45">
        <w:rPr>
          <w:lang w:eastAsia="en-US"/>
        </w:rPr>
        <w:t>The PBAC considered that the claim of non-inferior comparative safety in the first line setting was reasonable.</w:t>
      </w:r>
    </w:p>
    <w:p w:rsidR="003335F2" w:rsidRPr="008D1AF1" w:rsidRDefault="006B3316" w:rsidP="006A14E6">
      <w:pPr>
        <w:pStyle w:val="3-BodyText"/>
        <w:rPr>
          <w:color w:val="000000" w:themeColor="text1"/>
        </w:rPr>
      </w:pPr>
      <w:r w:rsidRPr="008D1AF1">
        <w:t>The submission described the effectiveness of RIBO+FULV as superior compared with EVE+EXE for second line treatment.</w:t>
      </w:r>
      <w:r w:rsidR="00BF3A22" w:rsidRPr="008D1AF1">
        <w:t xml:space="preserve"> </w:t>
      </w:r>
      <w:r w:rsidR="00DF0197" w:rsidRPr="008D1AF1">
        <w:t xml:space="preserve">The ESC considered that </w:t>
      </w:r>
      <w:r w:rsidR="00DF0197" w:rsidRPr="008D1AF1">
        <w:rPr>
          <w:iCs/>
          <w:lang w:val="en-US"/>
        </w:rPr>
        <w:t>a mix of other treatments such as chemotherapy (e.g. capecitabine) and endocrine therapies (e.g. tamoxifen) could also be considered comparators for some patients in second-line and subsequent-lines (noting that the PBS restriction would allow use in subsequent lines).</w:t>
      </w:r>
    </w:p>
    <w:p w:rsidR="00483A47" w:rsidRPr="008D1AF1" w:rsidRDefault="00BF3A22" w:rsidP="006A14E6">
      <w:pPr>
        <w:pStyle w:val="3-BodyText"/>
        <w:rPr>
          <w:color w:val="000000" w:themeColor="text1"/>
        </w:rPr>
      </w:pPr>
      <w:r w:rsidRPr="008D1AF1">
        <w:t xml:space="preserve">The ESC considered that is was unclear whether the </w:t>
      </w:r>
      <w:r w:rsidR="00676C78" w:rsidRPr="008D1AF1">
        <w:t xml:space="preserve">unanchored </w:t>
      </w:r>
      <w:r w:rsidRPr="008D1AF1">
        <w:t xml:space="preserve">MAIC </w:t>
      </w:r>
      <w:r w:rsidR="00B40B93" w:rsidRPr="008D1AF1">
        <w:t xml:space="preserve">in the second-line setting </w:t>
      </w:r>
      <w:r w:rsidRPr="008D1AF1">
        <w:t xml:space="preserve">was </w:t>
      </w:r>
      <w:r w:rsidR="00483A47" w:rsidRPr="008D1AF1">
        <w:t>unbiased</w:t>
      </w:r>
      <w:r w:rsidRPr="008D1AF1">
        <w:t xml:space="preserve"> given </w:t>
      </w:r>
      <w:r w:rsidR="00483A47" w:rsidRPr="008D1AF1">
        <w:rPr>
          <w:color w:val="000000" w:themeColor="text1"/>
        </w:rPr>
        <w:t xml:space="preserve">baseline imbalances </w:t>
      </w:r>
      <w:r w:rsidR="006A14E6" w:rsidRPr="008D1AF1">
        <w:rPr>
          <w:color w:val="000000" w:themeColor="text1"/>
        </w:rPr>
        <w:t xml:space="preserve">between the MONALEESA-3 and BOLERO 2 subgroups (e.g. in terms of age, proportion of patients with visceral disease and number of metastatic sites involved). </w:t>
      </w:r>
      <w:r w:rsidR="006A14E6" w:rsidRPr="008D1AF1">
        <w:t>While weighting may have corrected for these factors, the ESC considered that the baseline imbalances indicated that the patient populations were substantially different</w:t>
      </w:r>
      <w:r w:rsidR="006A14E6" w:rsidRPr="008D1AF1">
        <w:rPr>
          <w:iCs/>
          <w:color w:val="000000" w:themeColor="text1"/>
        </w:rPr>
        <w:t xml:space="preserve">. </w:t>
      </w:r>
      <w:r w:rsidR="00483A47" w:rsidRPr="008D1AF1">
        <w:rPr>
          <w:iCs/>
          <w:color w:val="000000" w:themeColor="text1"/>
        </w:rPr>
        <w:t xml:space="preserve">The true uncertainty in the PFS and OS hazard ratios is likely to be much greater than reported in the submission due to </w:t>
      </w:r>
      <w:r w:rsidR="003335F2" w:rsidRPr="008D1AF1">
        <w:rPr>
          <w:iCs/>
          <w:color w:val="000000" w:themeColor="text1"/>
        </w:rPr>
        <w:t>imbalances in prognostic factors that were not accounted for.</w:t>
      </w:r>
      <w:r w:rsidR="00483A47" w:rsidRPr="008D1AF1">
        <w:rPr>
          <w:iCs/>
          <w:color w:val="000000" w:themeColor="text1"/>
        </w:rPr>
        <w:t xml:space="preserve"> </w:t>
      </w:r>
      <w:r w:rsidR="006A14E6" w:rsidRPr="008D1AF1">
        <w:rPr>
          <w:iCs/>
          <w:color w:val="000000" w:themeColor="text1"/>
        </w:rPr>
        <w:t xml:space="preserve">Further, adjustments to reduce the heterogeneity between the trial populations (i.e. inclusion of the second-line subgroup only) substantially </w:t>
      </w:r>
      <w:r w:rsidR="006A14E6" w:rsidRPr="008D1AF1">
        <w:t>reduced the size of the population available for analysis</w:t>
      </w:r>
      <w:r w:rsidR="006A14E6" w:rsidRPr="008D1AF1" w:rsidDel="006A14E6">
        <w:rPr>
          <w:iCs/>
          <w:color w:val="000000" w:themeColor="text1"/>
        </w:rPr>
        <w:t xml:space="preserve"> </w:t>
      </w:r>
      <w:r w:rsidR="006D3AC1" w:rsidRPr="008D1AF1">
        <w:rPr>
          <w:iCs/>
          <w:color w:val="000000" w:themeColor="text1"/>
        </w:rPr>
        <w:t>(e.g. it was based on 100 patients in the RIBO+FULV arm).</w:t>
      </w:r>
      <w:r w:rsidR="00384F99" w:rsidRPr="008D1AF1">
        <w:rPr>
          <w:iCs/>
          <w:color w:val="000000" w:themeColor="text1"/>
        </w:rPr>
        <w:t xml:space="preserve"> Overall, the ESC considered that the unanchored MAIC in the second-line setting may not be sufficiently reliable for decision-making purposes.</w:t>
      </w:r>
    </w:p>
    <w:p w:rsidR="00264D8D" w:rsidRPr="00830ED6" w:rsidRDefault="00F24D2A" w:rsidP="00BF3A22">
      <w:pPr>
        <w:pStyle w:val="3-BodyText"/>
        <w:rPr>
          <w:color w:val="000000" w:themeColor="text1"/>
        </w:rPr>
      </w:pPr>
      <w:bookmarkStart w:id="41" w:name="_Hlk38241366"/>
      <w:bookmarkEnd w:id="40"/>
      <w:r w:rsidRPr="008D1AF1">
        <w:rPr>
          <w:color w:val="000000" w:themeColor="text1"/>
        </w:rPr>
        <w:t xml:space="preserve">The submission described RIBO+FULV as </w:t>
      </w:r>
      <w:r w:rsidR="00BF3A22" w:rsidRPr="008D1AF1">
        <w:rPr>
          <w:color w:val="000000" w:themeColor="text1"/>
        </w:rPr>
        <w:t xml:space="preserve">superior </w:t>
      </w:r>
      <w:r w:rsidRPr="008D1AF1">
        <w:rPr>
          <w:color w:val="000000" w:themeColor="text1"/>
        </w:rPr>
        <w:t xml:space="preserve">in terms of safety compared with EVE+EXE. </w:t>
      </w:r>
      <w:r w:rsidR="00EF53A3" w:rsidRPr="008D1AF1">
        <w:rPr>
          <w:iCs/>
          <w:color w:val="000000" w:themeColor="text1"/>
        </w:rPr>
        <w:t>The number of adverse events in RIBO+FULV w</w:t>
      </w:r>
      <w:r w:rsidR="005C5B23">
        <w:rPr>
          <w:iCs/>
          <w:color w:val="000000" w:themeColor="text1"/>
        </w:rPr>
        <w:t xml:space="preserve">ere </w:t>
      </w:r>
      <w:r w:rsidR="00EF53A3" w:rsidRPr="008D1AF1">
        <w:rPr>
          <w:iCs/>
          <w:color w:val="000000" w:themeColor="text1"/>
        </w:rPr>
        <w:t xml:space="preserve">slightly </w:t>
      </w:r>
      <w:r w:rsidR="005C5B23">
        <w:rPr>
          <w:iCs/>
          <w:color w:val="000000" w:themeColor="text1"/>
        </w:rPr>
        <w:t>higher</w:t>
      </w:r>
      <w:r w:rsidR="00EF53A3" w:rsidRPr="008D1AF1">
        <w:rPr>
          <w:iCs/>
          <w:color w:val="000000" w:themeColor="text1"/>
        </w:rPr>
        <w:t xml:space="preserve"> than EVE+EXE in second-line. </w:t>
      </w:r>
      <w:r w:rsidR="00BF3A22" w:rsidRPr="008D1AF1">
        <w:rPr>
          <w:iCs/>
          <w:color w:val="000000" w:themeColor="text1"/>
        </w:rPr>
        <w:t xml:space="preserve">However, the ESC considered that the claim of superior safety </w:t>
      </w:r>
      <w:r w:rsidR="005C1FE7" w:rsidRPr="008D1AF1">
        <w:rPr>
          <w:iCs/>
          <w:color w:val="000000" w:themeColor="text1"/>
        </w:rPr>
        <w:t xml:space="preserve">might be </w:t>
      </w:r>
      <w:r w:rsidR="00BF3A22" w:rsidRPr="008D1AF1">
        <w:rPr>
          <w:iCs/>
          <w:color w:val="000000" w:themeColor="text1"/>
        </w:rPr>
        <w:t>reasonable as</w:t>
      </w:r>
      <w:r w:rsidR="00BF3A22" w:rsidRPr="008D1AF1">
        <w:rPr>
          <w:iCs/>
        </w:rPr>
        <w:t xml:space="preserve"> the majority of the grade 3 adverse events related to ribociclib were haematological and asymptomatic, and in clinical practice RIBO+FULV </w:t>
      </w:r>
      <w:r w:rsidR="005C1FE7" w:rsidRPr="008D1AF1">
        <w:rPr>
          <w:iCs/>
        </w:rPr>
        <w:t>seems</w:t>
      </w:r>
      <w:r w:rsidR="00BF3A22" w:rsidRPr="008D1AF1">
        <w:rPr>
          <w:iCs/>
        </w:rPr>
        <w:t xml:space="preserve"> to be better tolerated than EVE+EXE. </w:t>
      </w:r>
      <w:r w:rsidR="00BF3A22" w:rsidRPr="008D1AF1">
        <w:rPr>
          <w:iCs/>
          <w:color w:val="000000" w:themeColor="text1"/>
        </w:rPr>
        <w:t xml:space="preserve"> </w:t>
      </w:r>
      <w:bookmarkEnd w:id="41"/>
    </w:p>
    <w:p w:rsidR="00830ED6" w:rsidRPr="00F87E45" w:rsidRDefault="00830ED6" w:rsidP="00830ED6">
      <w:pPr>
        <w:pStyle w:val="3-BodyText"/>
        <w:rPr>
          <w:lang w:eastAsia="en-US"/>
        </w:rPr>
      </w:pPr>
      <w:r w:rsidRPr="00F87E45">
        <w:rPr>
          <w:lang w:eastAsia="en-US"/>
        </w:rPr>
        <w:t xml:space="preserve">The PBAC considered that the claim of superior comparative effectiveness </w:t>
      </w:r>
      <w:r w:rsidR="00634A20" w:rsidRPr="00F87E45">
        <w:rPr>
          <w:lang w:eastAsia="en-US"/>
        </w:rPr>
        <w:t xml:space="preserve">in the second-line treatment setting </w:t>
      </w:r>
      <w:r w:rsidRPr="00F87E45">
        <w:rPr>
          <w:lang w:eastAsia="en-US"/>
        </w:rPr>
        <w:t xml:space="preserve">was </w:t>
      </w:r>
      <w:r w:rsidR="00634A20" w:rsidRPr="00F87E45">
        <w:rPr>
          <w:lang w:eastAsia="en-US"/>
        </w:rPr>
        <w:t>supported</w:t>
      </w:r>
      <w:r w:rsidR="005C001E">
        <w:rPr>
          <w:lang w:eastAsia="en-US"/>
        </w:rPr>
        <w:t xml:space="preserve">, however, </w:t>
      </w:r>
      <w:r w:rsidR="00584FC2">
        <w:rPr>
          <w:lang w:eastAsia="en-US"/>
        </w:rPr>
        <w:t xml:space="preserve">the magnitude of benefit for RIBO+FULV over EVE+EXE was </w:t>
      </w:r>
      <w:r w:rsidR="00540F44">
        <w:rPr>
          <w:lang w:eastAsia="en-US"/>
        </w:rPr>
        <w:t xml:space="preserve">highly </w:t>
      </w:r>
      <w:r w:rsidR="00584FC2">
        <w:rPr>
          <w:lang w:eastAsia="en-US"/>
        </w:rPr>
        <w:t>uncertain given the potential for bias in the unanchored MAIC.</w:t>
      </w:r>
    </w:p>
    <w:p w:rsidR="00830ED6" w:rsidRPr="000320C4" w:rsidRDefault="00830ED6" w:rsidP="000320C4">
      <w:pPr>
        <w:pStyle w:val="3-BodyText"/>
        <w:rPr>
          <w:lang w:eastAsia="en-US"/>
        </w:rPr>
      </w:pPr>
      <w:r w:rsidRPr="00F87E45">
        <w:rPr>
          <w:lang w:eastAsia="en-US"/>
        </w:rPr>
        <w:t>The PBAC considered that the claim of superior comparative safety</w:t>
      </w:r>
      <w:r w:rsidR="005C5B23">
        <w:rPr>
          <w:lang w:eastAsia="en-US"/>
        </w:rPr>
        <w:t xml:space="preserve"> </w:t>
      </w:r>
      <w:r w:rsidR="005C5B23">
        <w:rPr>
          <w:color w:val="000000" w:themeColor="text1"/>
        </w:rPr>
        <w:t>versus</w:t>
      </w:r>
      <w:r w:rsidR="005C5B23" w:rsidRPr="008D1AF1">
        <w:rPr>
          <w:color w:val="000000" w:themeColor="text1"/>
        </w:rPr>
        <w:t xml:space="preserve"> EVE+EXE</w:t>
      </w:r>
      <w:r w:rsidRPr="00F87E45">
        <w:rPr>
          <w:lang w:eastAsia="en-US"/>
        </w:rPr>
        <w:t xml:space="preserve"> was </w:t>
      </w:r>
      <w:r w:rsidR="00634A20" w:rsidRPr="00F87E45">
        <w:rPr>
          <w:lang w:eastAsia="en-US"/>
        </w:rPr>
        <w:t>based on limited clinical data but appeared clinically reasonable</w:t>
      </w:r>
      <w:r w:rsidRPr="00F87E45">
        <w:rPr>
          <w:lang w:eastAsia="en-US"/>
        </w:rPr>
        <w:t>.</w:t>
      </w:r>
    </w:p>
    <w:p w:rsidR="00B60939" w:rsidRPr="00C9624D" w:rsidRDefault="00B60939" w:rsidP="00E9094A">
      <w:pPr>
        <w:pStyle w:val="4-SubsectionHeading"/>
      </w:pPr>
      <w:bookmarkStart w:id="42" w:name="_Toc22897645"/>
      <w:bookmarkStart w:id="43" w:name="_Toc38290347"/>
      <w:bookmarkStart w:id="44" w:name="_Toc40716949"/>
      <w:r w:rsidRPr="00C9624D">
        <w:t>Economic analysis</w:t>
      </w:r>
      <w:bookmarkEnd w:id="42"/>
      <w:bookmarkEnd w:id="43"/>
      <w:bookmarkEnd w:id="44"/>
      <w:r w:rsidR="00491B3A" w:rsidRPr="00C9624D">
        <w:t xml:space="preserve"> </w:t>
      </w:r>
    </w:p>
    <w:p w:rsidR="004E0D11" w:rsidRPr="003737EC" w:rsidRDefault="004E0D11" w:rsidP="004E0D11">
      <w:pPr>
        <w:pStyle w:val="3-BodyText"/>
        <w:numPr>
          <w:ilvl w:val="0"/>
          <w:numId w:val="0"/>
        </w:numPr>
        <w:ind w:left="720" w:hanging="720"/>
        <w:outlineLvl w:val="2"/>
        <w:rPr>
          <w:b/>
          <w:lang w:val="en-US"/>
        </w:rPr>
      </w:pPr>
      <w:bookmarkStart w:id="45" w:name="_Toc40716950"/>
      <w:r w:rsidRPr="003737EC">
        <w:rPr>
          <w:b/>
          <w:lang w:val="en-US"/>
        </w:rPr>
        <w:t>Cost-minimisation analysis (RIBO+FULV versus RIBO+NSAI)</w:t>
      </w:r>
      <w:bookmarkEnd w:id="45"/>
    </w:p>
    <w:p w:rsidR="00EF53A3" w:rsidRPr="007004E6" w:rsidRDefault="00EF53A3" w:rsidP="00EF53A3">
      <w:pPr>
        <w:pStyle w:val="3-BodyText"/>
        <w:rPr>
          <w:bCs/>
          <w:lang w:val="en-US"/>
        </w:rPr>
      </w:pPr>
      <w:r w:rsidRPr="007004E6">
        <w:rPr>
          <w:bCs/>
          <w:lang w:val="en-US"/>
        </w:rPr>
        <w:t>The</w:t>
      </w:r>
      <w:r>
        <w:rPr>
          <w:bCs/>
          <w:lang w:val="en-US"/>
        </w:rPr>
        <w:t xml:space="preserve"> submission presented a </w:t>
      </w:r>
      <w:r w:rsidRPr="00A627AA">
        <w:rPr>
          <w:bCs/>
          <w:lang w:val="en-US"/>
        </w:rPr>
        <w:t>cost-minimisation analysis</w:t>
      </w:r>
      <w:r>
        <w:rPr>
          <w:bCs/>
          <w:lang w:val="en-US"/>
        </w:rPr>
        <w:t xml:space="preserve"> </w:t>
      </w:r>
      <w:r>
        <w:t xml:space="preserve">comparing </w:t>
      </w:r>
      <w:r w:rsidR="00CA070A">
        <w:t>RIBO+FULV</w:t>
      </w:r>
      <w:r>
        <w:t xml:space="preserve"> to </w:t>
      </w:r>
      <w:r w:rsidR="00CA070A">
        <w:t>RIBO+NSAI</w:t>
      </w:r>
      <w:r>
        <w:t xml:space="preserve"> as </w:t>
      </w:r>
      <w:r w:rsidRPr="00A627AA">
        <w:t>first line treatment</w:t>
      </w:r>
      <w:r w:rsidRPr="007004E6">
        <w:rPr>
          <w:b/>
        </w:rPr>
        <w:t xml:space="preserve"> </w:t>
      </w:r>
      <w:r>
        <w:t xml:space="preserve">for HR+ HER2- advanced breast cancer. This </w:t>
      </w:r>
      <w:r w:rsidR="001A2311">
        <w:t>wa</w:t>
      </w:r>
      <w:r>
        <w:t>s consistent with the clinical claim of non-inferior efficacy and safety.</w:t>
      </w:r>
    </w:p>
    <w:p w:rsidR="00EF53A3" w:rsidRPr="008D1AF1" w:rsidRDefault="00EF53A3" w:rsidP="00EF53A3">
      <w:pPr>
        <w:pStyle w:val="3-BodyText"/>
      </w:pPr>
      <w:r>
        <w:t xml:space="preserve">For the </w:t>
      </w:r>
      <w:r w:rsidRPr="00A627AA">
        <w:t>cost</w:t>
      </w:r>
      <w:r w:rsidR="00CA070A" w:rsidRPr="00A627AA">
        <w:t>-</w:t>
      </w:r>
      <w:r w:rsidRPr="00A627AA">
        <w:t>minimisation analysis</w:t>
      </w:r>
      <w:r>
        <w:t xml:space="preserve">, the submission relied on the results of </w:t>
      </w:r>
      <w:r w:rsidR="001A2311">
        <w:t>the unanchored MAIC</w:t>
      </w:r>
      <w:r>
        <w:t xml:space="preserve"> </w:t>
      </w:r>
      <w:r w:rsidR="001A2311">
        <w:t xml:space="preserve">to support the claim </w:t>
      </w:r>
      <w:r>
        <w:t xml:space="preserve">that PFS and OS with </w:t>
      </w:r>
      <w:r w:rsidR="002B4D25">
        <w:t xml:space="preserve">RIBO+FULV </w:t>
      </w:r>
      <w:r>
        <w:t xml:space="preserve">was non-inferior to </w:t>
      </w:r>
      <w:r w:rsidR="002B4D25">
        <w:t>RIBO+NSAI</w:t>
      </w:r>
      <w:r>
        <w:t>.</w:t>
      </w:r>
      <w:r w:rsidR="001A2311">
        <w:t xml:space="preserve"> </w:t>
      </w:r>
      <w:r w:rsidR="00741E1B" w:rsidRPr="008D1AF1">
        <w:t xml:space="preserve">The ESC </w:t>
      </w:r>
      <w:r w:rsidR="004C47F4" w:rsidRPr="008D1AF1">
        <w:t>consider</w:t>
      </w:r>
      <w:r w:rsidR="00741E1B" w:rsidRPr="008D1AF1">
        <w:t xml:space="preserve">ed that non-inferiority </w:t>
      </w:r>
      <w:r w:rsidR="007D6818" w:rsidRPr="008D1AF1">
        <w:t xml:space="preserve">was only supported for the outcome of PFS; for the outcome of </w:t>
      </w:r>
      <w:r w:rsidR="00741E1B" w:rsidRPr="008D1AF1">
        <w:t xml:space="preserve">OS, based on a non-inferiority margin of 1.4, </w:t>
      </w:r>
      <w:r w:rsidR="007D6818" w:rsidRPr="008D1AF1">
        <w:t xml:space="preserve">non-inferiority </w:t>
      </w:r>
      <w:r w:rsidR="00741E1B" w:rsidRPr="008D1AF1">
        <w:t>was not</w:t>
      </w:r>
      <w:r w:rsidR="007D6818" w:rsidRPr="008D1AF1">
        <w:t xml:space="preserve"> adequately</w:t>
      </w:r>
      <w:r w:rsidR="00741E1B" w:rsidRPr="008D1AF1">
        <w:t xml:space="preserve"> demonstrated in the </w:t>
      </w:r>
      <w:r w:rsidR="007D6818" w:rsidRPr="008D1AF1">
        <w:t>submission.</w:t>
      </w:r>
      <w:r w:rsidR="00741E1B" w:rsidRPr="008D1AF1">
        <w:t xml:space="preserve"> </w:t>
      </w:r>
    </w:p>
    <w:p w:rsidR="00BC7BA9" w:rsidRDefault="00EF53A3" w:rsidP="00EF53A3">
      <w:pPr>
        <w:pStyle w:val="3-BodyText"/>
      </w:pPr>
      <w:r w:rsidRPr="001222FC">
        <w:t xml:space="preserve">The </w:t>
      </w:r>
      <w:r w:rsidR="007D6818">
        <w:t xml:space="preserve">submission estimated the </w:t>
      </w:r>
      <w:r w:rsidRPr="001222FC">
        <w:t>equi-effective doses as</w:t>
      </w:r>
      <w:r w:rsidR="00BC7BA9">
        <w:t>:</w:t>
      </w:r>
    </w:p>
    <w:p w:rsidR="00BC7BA9" w:rsidRDefault="00EF53A3" w:rsidP="00843CD7">
      <w:pPr>
        <w:pStyle w:val="3-BodyText"/>
        <w:numPr>
          <w:ilvl w:val="0"/>
          <w:numId w:val="8"/>
        </w:numPr>
      </w:pPr>
      <w:r>
        <w:t>ribociclib</w:t>
      </w:r>
      <w:r w:rsidRPr="001222FC">
        <w:t xml:space="preserve"> </w:t>
      </w:r>
      <w:r>
        <w:t xml:space="preserve">511 </w:t>
      </w:r>
      <w:r w:rsidRPr="001222FC">
        <w:t xml:space="preserve">mg </w:t>
      </w:r>
      <w:r>
        <w:t xml:space="preserve">daily </w:t>
      </w:r>
      <w:r w:rsidRPr="001222FC">
        <w:t xml:space="preserve">for </w:t>
      </w:r>
      <w:r>
        <w:t>21 days of a 28- day cycle with fulvestrant 500mg once every 28 days plus fulvestrant 500 mg loading dose at day 14</w:t>
      </w:r>
      <w:r w:rsidR="00BC7BA9">
        <w:t>;</w:t>
      </w:r>
      <w:r>
        <w:t xml:space="preserve"> </w:t>
      </w:r>
      <w:r w:rsidRPr="001222FC">
        <w:t xml:space="preserve">and </w:t>
      </w:r>
    </w:p>
    <w:p w:rsidR="00BC7BA9" w:rsidRDefault="00EF53A3" w:rsidP="00843CD7">
      <w:pPr>
        <w:pStyle w:val="3-BodyText"/>
        <w:numPr>
          <w:ilvl w:val="0"/>
          <w:numId w:val="8"/>
        </w:numPr>
      </w:pPr>
      <w:r>
        <w:t>ribociclib 511 mg</w:t>
      </w:r>
      <w:r w:rsidRPr="001222FC">
        <w:t xml:space="preserve"> </w:t>
      </w:r>
      <w:r>
        <w:t xml:space="preserve">daily </w:t>
      </w:r>
      <w:r w:rsidRPr="001222FC">
        <w:t xml:space="preserve">for </w:t>
      </w:r>
      <w:r>
        <w:t xml:space="preserve">21 days of a 28-day cycle with letrozole 2.5 mg once daily. </w:t>
      </w:r>
    </w:p>
    <w:p w:rsidR="00EF53A3" w:rsidRPr="008D1AF1" w:rsidRDefault="00EF53A3" w:rsidP="00BC7BA9">
      <w:pPr>
        <w:pStyle w:val="3-BodyText"/>
      </w:pPr>
      <w:r>
        <w:t xml:space="preserve">The dose of ribociclib, when used in combination with either fulvestrant or </w:t>
      </w:r>
      <w:r w:rsidR="0090213A">
        <w:t>NSAI</w:t>
      </w:r>
      <w:r>
        <w:t xml:space="preserve">, was calculated based on a relative dose </w:t>
      </w:r>
      <w:r w:rsidRPr="00AB529A">
        <w:t xml:space="preserve">intensity of 85.2%. This estimate </w:t>
      </w:r>
      <w:r w:rsidR="00741E1B" w:rsidRPr="00AB529A">
        <w:t>wa</w:t>
      </w:r>
      <w:r w:rsidRPr="00AB529A">
        <w:t>s sourced from the relative dose intensity of ribociclib when used with fulvestrant in the MONALEESA-3 trial. The relative dose intensity of ribociclib when use</w:t>
      </w:r>
      <w:r w:rsidR="00BF15AE" w:rsidRPr="00AB529A">
        <w:t>d</w:t>
      </w:r>
      <w:r w:rsidRPr="00AB529A">
        <w:t xml:space="preserve"> with letrozole in MONALEESA-2 was 80.1%. The</w:t>
      </w:r>
      <w:r w:rsidR="00741E1B" w:rsidRPr="00AB529A">
        <w:t xml:space="preserve"> commentary noted that</w:t>
      </w:r>
      <w:r w:rsidRPr="00AB529A">
        <w:t xml:space="preserve"> </w:t>
      </w:r>
      <w:r w:rsidR="00741E1B" w:rsidRPr="00AB529A">
        <w:t xml:space="preserve">using </w:t>
      </w:r>
      <w:r w:rsidRPr="00AB529A">
        <w:t>trial-based relative dose intensities would</w:t>
      </w:r>
      <w:r w:rsidR="00BC0355" w:rsidRPr="00AB529A">
        <w:t xml:space="preserve"> have</w:t>
      </w:r>
      <w:r w:rsidRPr="00AB529A">
        <w:t xml:space="preserve"> increase</w:t>
      </w:r>
      <w:r w:rsidR="00BC0355" w:rsidRPr="00AB529A">
        <w:t>d</w:t>
      </w:r>
      <w:r w:rsidRPr="00AB529A">
        <w:t xml:space="preserve"> the total cost of </w:t>
      </w:r>
      <w:r w:rsidR="00AF6562" w:rsidRPr="00AB529A">
        <w:t>RIBO+FULV</w:t>
      </w:r>
      <w:r w:rsidRPr="00AB529A">
        <w:t xml:space="preserve"> compared to ribociclib + letrozole.</w:t>
      </w:r>
      <w:r w:rsidR="00741E1B" w:rsidRPr="00AB529A">
        <w:t xml:space="preserve"> The ESC </w:t>
      </w:r>
      <w:r w:rsidR="002A3C2B" w:rsidRPr="00AB529A">
        <w:t xml:space="preserve">and the PBAC </w:t>
      </w:r>
      <w:r w:rsidR="00741E1B" w:rsidRPr="00AB529A">
        <w:t xml:space="preserve">considered that </w:t>
      </w:r>
      <w:r w:rsidR="004646E8" w:rsidRPr="00AB529A">
        <w:t xml:space="preserve">there did not appear to be a </w:t>
      </w:r>
      <w:r w:rsidR="00AF3F51" w:rsidRPr="00AB529A">
        <w:t>clinical</w:t>
      </w:r>
      <w:r w:rsidR="00741E1B" w:rsidRPr="00AB529A">
        <w:t xml:space="preserve"> reason why dose intensities for ribociclib would </w:t>
      </w:r>
      <w:r w:rsidR="004646E8" w:rsidRPr="00AB529A">
        <w:t>differ depending its combination with fulvestrant or NSAI, given the similar safety profiles of RIBO+FULV and RIBO+NSAI</w:t>
      </w:r>
      <w:r w:rsidR="007B277E" w:rsidRPr="00AB529A">
        <w:t xml:space="preserve"> but noted the results of the trials and that inclusion of the trial-based RDIs would reduce the AEMP for ribociclib by 7.5%</w:t>
      </w:r>
      <w:r w:rsidR="004646E8" w:rsidRPr="00AB529A">
        <w:t>.</w:t>
      </w:r>
      <w:r w:rsidR="00741E1B" w:rsidRPr="008D1AF1">
        <w:t xml:space="preserve"> </w:t>
      </w:r>
    </w:p>
    <w:p w:rsidR="00EF53A3" w:rsidRPr="008D1AF1" w:rsidRDefault="00EF53A3" w:rsidP="00F73EDA">
      <w:pPr>
        <w:pStyle w:val="3-BodyText"/>
        <w:rPr>
          <w:color w:val="0066FF"/>
        </w:rPr>
      </w:pPr>
      <w:r>
        <w:t xml:space="preserve">The submission did not consider </w:t>
      </w:r>
      <w:r w:rsidR="0033400E">
        <w:t xml:space="preserve">the </w:t>
      </w:r>
      <w:r>
        <w:t xml:space="preserve">duration of </w:t>
      </w:r>
      <w:r w:rsidR="00A10B41">
        <w:t xml:space="preserve">treatment </w:t>
      </w:r>
      <w:r>
        <w:t xml:space="preserve">with ribociclib. </w:t>
      </w:r>
      <w:r w:rsidRPr="002A13DE">
        <w:t>The mean duration of treatment with ribociclib</w:t>
      </w:r>
      <w:r>
        <w:t xml:space="preserve"> (with fulvestrant)</w:t>
      </w:r>
      <w:r w:rsidRPr="002A13DE">
        <w:t xml:space="preserve"> in MONALEESA-3 was 13.33 months</w:t>
      </w:r>
      <w:r w:rsidR="00A54F3B">
        <w:t xml:space="preserve">, </w:t>
      </w:r>
      <w:r w:rsidR="00FA182C">
        <w:t>while the</w:t>
      </w:r>
      <w:r>
        <w:t xml:space="preserve"> mean duration of treatment with ribociclib (with letrozole)</w:t>
      </w:r>
      <w:r w:rsidRPr="002A13DE">
        <w:t xml:space="preserve"> </w:t>
      </w:r>
      <w:r>
        <w:t>in MONALEESA-2 was</w:t>
      </w:r>
      <w:r w:rsidRPr="002A13DE">
        <w:t xml:space="preserve"> 11.8 months</w:t>
      </w:r>
      <w:r>
        <w:t xml:space="preserve">. </w:t>
      </w:r>
      <w:r w:rsidR="00A54F3B" w:rsidRPr="007E0B5F">
        <w:t>However, this was based on a longer duration of follow-up in MONALEESA-3</w:t>
      </w:r>
      <w:r w:rsidR="00AF6562">
        <w:t xml:space="preserve"> </w:t>
      </w:r>
      <w:r w:rsidR="00AF6562" w:rsidRPr="008D1AF1">
        <w:t>(39.4 months versus 26.3 months in MONALEESA-2)</w:t>
      </w:r>
      <w:r w:rsidR="00A54F3B" w:rsidRPr="00AF6562">
        <w:rPr>
          <w:i/>
        </w:rPr>
        <w:t>.</w:t>
      </w:r>
      <w:r w:rsidR="00A54F3B" w:rsidRPr="007E0B5F">
        <w:t xml:space="preserve"> </w:t>
      </w:r>
      <w:r w:rsidR="00233D5E" w:rsidRPr="007E0B5F">
        <w:t>T</w:t>
      </w:r>
      <w:r w:rsidR="00BE2F87" w:rsidRPr="007E0B5F">
        <w:t>he mean duration of treatment with RIBO+FULV and RIBO+NSAI is uncertain</w:t>
      </w:r>
      <w:r w:rsidR="00233D5E" w:rsidRPr="007E0B5F">
        <w:t xml:space="preserve"> as both MONALEESA-3 and MONALEESA-2 are ongoing</w:t>
      </w:r>
      <w:r w:rsidR="00BE2F87" w:rsidRPr="007E0B5F">
        <w:t>.</w:t>
      </w:r>
      <w:r w:rsidR="004646E8">
        <w:t xml:space="preserve"> </w:t>
      </w:r>
      <w:r w:rsidR="004646E8" w:rsidRPr="008D1AF1">
        <w:t>The ESC considered that it was not clear whether there would be expected to be a difference in treatment duration for RIBO+FULV compared with RIBO+NSAI.</w:t>
      </w:r>
    </w:p>
    <w:p w:rsidR="00EF53A3" w:rsidRPr="001F5865" w:rsidRDefault="00EF53A3" w:rsidP="00EF53A3">
      <w:pPr>
        <w:pStyle w:val="3-BodyText"/>
        <w:rPr>
          <w:color w:val="0066FF"/>
        </w:rPr>
      </w:pPr>
      <w:r>
        <w:t>The submission assumed a mean duration of therapy with fulvestrant of 13.2 months, sourced from the MONALEESA-3 trial. The modelled cost of the fulvestrant loading dose ($</w:t>
      </w:r>
      <w:r w:rsidR="005E31C0">
        <w:rPr>
          <w:noProof/>
          <w:color w:val="000000"/>
          <w:highlight w:val="black"/>
        </w:rPr>
        <w:t>''''''''</w:t>
      </w:r>
      <w:r>
        <w:t>)</w:t>
      </w:r>
      <w:r w:rsidR="00BC7BA9">
        <w:t xml:space="preserve"> wa</w:t>
      </w:r>
      <w:r>
        <w:t xml:space="preserve">s divided by 13.2 months (14.3 cycles) to calculate a per-cycle cost for the analysis. </w:t>
      </w:r>
      <w:r w:rsidRPr="007E0B5F">
        <w:t>The cost of the fulvestrant loading dose should be $</w:t>
      </w:r>
      <w:r w:rsidR="005E31C0">
        <w:rPr>
          <w:noProof/>
          <w:color w:val="000000"/>
          <w:highlight w:val="black"/>
        </w:rPr>
        <w:t>'''''''</w:t>
      </w:r>
      <w:r w:rsidRPr="007E0B5F">
        <w:t xml:space="preserve"> (proposed AEMP for fulvestrant). The base case was re-specified to correct this error.</w:t>
      </w:r>
    </w:p>
    <w:p w:rsidR="00EF53A3" w:rsidRPr="008D1AF1" w:rsidRDefault="00EF53A3" w:rsidP="00EF53A3">
      <w:pPr>
        <w:pStyle w:val="3-BodyText"/>
      </w:pPr>
      <w:r w:rsidRPr="001F5865">
        <w:t xml:space="preserve">The </w:t>
      </w:r>
      <w:r>
        <w:t xml:space="preserve">cost-minimisation analysis also considered the costs of administering fulvestrant, monitoring and adverse events. </w:t>
      </w:r>
      <w:r w:rsidRPr="007E0B5F">
        <w:t xml:space="preserve">This </w:t>
      </w:r>
      <w:r w:rsidR="004646E8" w:rsidRPr="008D1AF1">
        <w:t>was</w:t>
      </w:r>
      <w:r w:rsidRPr="008D1AF1">
        <w:t xml:space="preserve"> reasonable</w:t>
      </w:r>
      <w:r w:rsidR="006642FF" w:rsidRPr="008D1AF1">
        <w:t xml:space="preserve">, however, the ESC noted that the administration cost used was for administration by a nurse practitioner (MBS item 82200), which </w:t>
      </w:r>
      <w:r w:rsidR="00E26222" w:rsidRPr="008D1AF1">
        <w:t>may</w:t>
      </w:r>
      <w:r w:rsidR="006642FF" w:rsidRPr="008D1AF1">
        <w:t xml:space="preserve"> not be applicable in this setting.</w:t>
      </w:r>
      <w:r w:rsidR="00E26222" w:rsidRPr="008D1AF1">
        <w:t xml:space="preserve"> </w:t>
      </w:r>
    </w:p>
    <w:p w:rsidR="00BC7BA9" w:rsidRDefault="00BC7BA9" w:rsidP="00BC7BA9">
      <w:pPr>
        <w:pStyle w:val="3-BodyText"/>
        <w:rPr>
          <w:rFonts w:ascii="Calibri" w:hAnsi="Calibri"/>
        </w:rPr>
      </w:pPr>
      <w:r>
        <w:t xml:space="preserve">The results of the cost-minimisation are presented in Table </w:t>
      </w:r>
      <w:r w:rsidR="00EE094F">
        <w:t>12</w:t>
      </w:r>
      <w:r>
        <w:t xml:space="preserve">. </w:t>
      </w:r>
    </w:p>
    <w:p w:rsidR="00BC7BA9" w:rsidRDefault="00BC7BA9" w:rsidP="00BC7BA9">
      <w:pPr>
        <w:keepNext/>
        <w:jc w:val="left"/>
        <w:rPr>
          <w:rStyle w:val="CommentReference"/>
          <w:rFonts w:eastAsiaTheme="majorEastAsia"/>
        </w:rPr>
      </w:pPr>
      <w:r>
        <w:rPr>
          <w:rStyle w:val="CommentReference"/>
          <w:rFonts w:eastAsiaTheme="majorEastAsia"/>
        </w:rPr>
        <w:t xml:space="preserve">Table </w:t>
      </w:r>
      <w:r w:rsidR="00EE094F">
        <w:rPr>
          <w:rStyle w:val="CommentReference"/>
          <w:rFonts w:eastAsiaTheme="majorEastAsia"/>
        </w:rPr>
        <w:t>12</w:t>
      </w:r>
      <w:r w:rsidR="00F73EDA">
        <w:rPr>
          <w:rStyle w:val="CommentReference"/>
          <w:rFonts w:eastAsiaTheme="majorEastAsia"/>
        </w:rPr>
        <w:t>:</w:t>
      </w:r>
      <w:r>
        <w:rPr>
          <w:rStyle w:val="CommentReference"/>
          <w:rFonts w:eastAsiaTheme="majorEastAsia"/>
        </w:rPr>
        <w:t xml:space="preserve"> Results of the cost-minimisation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126"/>
        <w:gridCol w:w="1985"/>
        <w:gridCol w:w="1934"/>
      </w:tblGrid>
      <w:tr w:rsidR="00BC7BA9" w:rsidRPr="008D1AF1" w:rsidTr="00BC7BA9">
        <w:tc>
          <w:tcPr>
            <w:tcW w:w="2972" w:type="dxa"/>
            <w:tcBorders>
              <w:top w:val="single" w:sz="4" w:space="0" w:color="auto"/>
              <w:left w:val="single" w:sz="4" w:space="0" w:color="auto"/>
              <w:bottom w:val="single" w:sz="4" w:space="0" w:color="auto"/>
              <w:right w:val="single" w:sz="4" w:space="0" w:color="auto"/>
            </w:tcBorders>
            <w:hideMark/>
          </w:tcPr>
          <w:p w:rsidR="00BC7BA9" w:rsidRPr="008D1AF1" w:rsidRDefault="00BC7BA9">
            <w:pPr>
              <w:keepNext/>
              <w:jc w:val="left"/>
              <w:rPr>
                <w:rFonts w:eastAsiaTheme="majorEastAsia" w:cs="Times New Roman"/>
                <w:lang w:val="en-US"/>
              </w:rPr>
            </w:pPr>
            <w:r w:rsidRPr="008D1AF1">
              <w:rPr>
                <w:rFonts w:ascii="Arial Narrow" w:eastAsiaTheme="majorEastAsia" w:hAnsi="Arial Narrow" w:cs="Times New Roman"/>
                <w:b/>
                <w:sz w:val="20"/>
                <w:lang w:val="en-US"/>
              </w:rPr>
              <w:t>Component</w:t>
            </w:r>
          </w:p>
        </w:tc>
        <w:tc>
          <w:tcPr>
            <w:tcW w:w="2126" w:type="dxa"/>
            <w:tcBorders>
              <w:top w:val="single" w:sz="4" w:space="0" w:color="auto"/>
              <w:left w:val="single" w:sz="4" w:space="0" w:color="auto"/>
              <w:bottom w:val="single" w:sz="4" w:space="0" w:color="auto"/>
              <w:right w:val="single" w:sz="4" w:space="0" w:color="auto"/>
            </w:tcBorders>
            <w:hideMark/>
          </w:tcPr>
          <w:p w:rsidR="00BC7BA9" w:rsidRPr="008D1AF1" w:rsidRDefault="00BC7BA9">
            <w:pPr>
              <w:keepNext/>
              <w:jc w:val="center"/>
              <w:rPr>
                <w:rFonts w:ascii="Arial Narrow" w:eastAsiaTheme="majorEastAsia" w:hAnsi="Arial Narrow" w:cs="Times New Roman"/>
                <w:b/>
                <w:sz w:val="20"/>
                <w:lang w:val="en-US"/>
              </w:rPr>
            </w:pPr>
            <w:r w:rsidRPr="008D1AF1">
              <w:rPr>
                <w:rFonts w:ascii="Arial Narrow" w:eastAsiaTheme="majorEastAsia" w:hAnsi="Arial Narrow" w:cs="Times New Roman"/>
                <w:b/>
                <w:sz w:val="20"/>
                <w:lang w:val="en-US"/>
              </w:rPr>
              <w:t>RIBO+FULV</w:t>
            </w:r>
          </w:p>
        </w:tc>
        <w:tc>
          <w:tcPr>
            <w:tcW w:w="1985" w:type="dxa"/>
            <w:tcBorders>
              <w:top w:val="single" w:sz="4" w:space="0" w:color="auto"/>
              <w:left w:val="single" w:sz="4" w:space="0" w:color="auto"/>
              <w:bottom w:val="single" w:sz="4" w:space="0" w:color="auto"/>
              <w:right w:val="single" w:sz="4" w:space="0" w:color="auto"/>
            </w:tcBorders>
            <w:hideMark/>
          </w:tcPr>
          <w:p w:rsidR="00BC7BA9" w:rsidRPr="008D1AF1" w:rsidRDefault="00BC7BA9">
            <w:pPr>
              <w:keepNext/>
              <w:jc w:val="center"/>
              <w:rPr>
                <w:rFonts w:ascii="Arial Narrow" w:eastAsiaTheme="majorEastAsia" w:hAnsi="Arial Narrow" w:cs="Times New Roman"/>
                <w:b/>
                <w:sz w:val="20"/>
                <w:lang w:val="en-US"/>
              </w:rPr>
            </w:pPr>
            <w:r w:rsidRPr="008D1AF1">
              <w:rPr>
                <w:rFonts w:ascii="Arial Narrow" w:eastAsiaTheme="majorEastAsia" w:hAnsi="Arial Narrow" w:cs="Times New Roman"/>
                <w:b/>
                <w:sz w:val="20"/>
                <w:lang w:val="en-US"/>
              </w:rPr>
              <w:t>RIBO+NSAI</w:t>
            </w:r>
          </w:p>
        </w:tc>
        <w:tc>
          <w:tcPr>
            <w:tcW w:w="1934" w:type="dxa"/>
            <w:tcBorders>
              <w:top w:val="single" w:sz="4" w:space="0" w:color="auto"/>
              <w:left w:val="single" w:sz="4" w:space="0" w:color="auto"/>
              <w:bottom w:val="single" w:sz="4" w:space="0" w:color="auto"/>
              <w:right w:val="single" w:sz="4" w:space="0" w:color="auto"/>
            </w:tcBorders>
            <w:hideMark/>
          </w:tcPr>
          <w:p w:rsidR="00BC7BA9" w:rsidRPr="008D1AF1" w:rsidRDefault="00BC7BA9">
            <w:pPr>
              <w:keepNext/>
              <w:jc w:val="center"/>
              <w:rPr>
                <w:rFonts w:ascii="Arial Narrow" w:eastAsiaTheme="majorEastAsia" w:hAnsi="Arial Narrow" w:cs="Times New Roman"/>
                <w:b/>
                <w:sz w:val="20"/>
                <w:lang w:val="en-US"/>
              </w:rPr>
            </w:pPr>
            <w:r w:rsidRPr="008D1AF1">
              <w:rPr>
                <w:rFonts w:ascii="Arial Narrow" w:eastAsiaTheme="majorEastAsia" w:hAnsi="Arial Narrow" w:cs="Times New Roman"/>
                <w:b/>
                <w:sz w:val="20"/>
                <w:lang w:val="en-US"/>
              </w:rPr>
              <w:t>Difference</w:t>
            </w:r>
          </w:p>
        </w:tc>
      </w:tr>
      <w:tr w:rsidR="00BC7BA9" w:rsidRPr="008D1AF1" w:rsidTr="00BC7BA9">
        <w:tc>
          <w:tcPr>
            <w:tcW w:w="7083" w:type="dxa"/>
            <w:gridSpan w:val="3"/>
            <w:tcBorders>
              <w:top w:val="single" w:sz="4" w:space="0" w:color="auto"/>
              <w:left w:val="single" w:sz="4" w:space="0" w:color="auto"/>
              <w:bottom w:val="single" w:sz="4" w:space="0" w:color="auto"/>
              <w:right w:val="single" w:sz="4" w:space="0" w:color="auto"/>
            </w:tcBorders>
            <w:hideMark/>
          </w:tcPr>
          <w:p w:rsidR="00BC7BA9" w:rsidRPr="008D1AF1" w:rsidRDefault="00BC7BA9">
            <w:pPr>
              <w:keepNext/>
              <w:jc w:val="left"/>
              <w:rPr>
                <w:rFonts w:ascii="Arial Narrow" w:eastAsiaTheme="majorEastAsia" w:hAnsi="Arial Narrow" w:cs="Times New Roman"/>
                <w:b/>
                <w:sz w:val="20"/>
                <w:lang w:val="en-US"/>
              </w:rPr>
            </w:pPr>
            <w:r w:rsidRPr="008D1AF1">
              <w:rPr>
                <w:rFonts w:ascii="Arial Narrow" w:eastAsiaTheme="majorEastAsia" w:hAnsi="Arial Narrow" w:cs="Times New Roman"/>
                <w:b/>
                <w:sz w:val="20"/>
                <w:lang w:val="en-US"/>
              </w:rPr>
              <w:t>Medicine costs (28-day cycle)</w:t>
            </w:r>
          </w:p>
        </w:tc>
        <w:tc>
          <w:tcPr>
            <w:tcW w:w="1934" w:type="dxa"/>
            <w:tcBorders>
              <w:top w:val="single" w:sz="4" w:space="0" w:color="auto"/>
              <w:left w:val="single" w:sz="4" w:space="0" w:color="auto"/>
              <w:bottom w:val="single" w:sz="4" w:space="0" w:color="auto"/>
              <w:right w:val="single" w:sz="4" w:space="0" w:color="auto"/>
            </w:tcBorders>
          </w:tcPr>
          <w:p w:rsidR="00BC7BA9" w:rsidRPr="008D1AF1" w:rsidRDefault="00BC7BA9">
            <w:pPr>
              <w:keepNext/>
              <w:jc w:val="left"/>
              <w:rPr>
                <w:rFonts w:ascii="Arial Narrow" w:eastAsiaTheme="majorEastAsia" w:hAnsi="Arial Narrow" w:cs="Times New Roman"/>
                <w:b/>
                <w:sz w:val="20"/>
                <w:lang w:val="en-US"/>
              </w:rPr>
            </w:pPr>
          </w:p>
        </w:tc>
      </w:tr>
      <w:tr w:rsidR="00BC7BA9" w:rsidRPr="008D1AF1" w:rsidTr="00BC7BA9">
        <w:tc>
          <w:tcPr>
            <w:tcW w:w="2972" w:type="dxa"/>
            <w:tcBorders>
              <w:top w:val="single" w:sz="4" w:space="0" w:color="auto"/>
              <w:left w:val="single" w:sz="4" w:space="0" w:color="auto"/>
              <w:bottom w:val="single" w:sz="4" w:space="0" w:color="auto"/>
              <w:right w:val="single" w:sz="4" w:space="0" w:color="auto"/>
            </w:tcBorders>
            <w:hideMark/>
          </w:tcPr>
          <w:p w:rsidR="004646E8" w:rsidRPr="008D1AF1" w:rsidRDefault="00BC7BA9" w:rsidP="006A7BF0">
            <w:pPr>
              <w:keepNext/>
              <w:jc w:val="left"/>
              <w:rPr>
                <w:rFonts w:ascii="Arial Narrow" w:eastAsiaTheme="majorEastAsia" w:hAnsi="Arial Narrow" w:cs="Times New Roman"/>
                <w:sz w:val="20"/>
                <w:lang w:val="en-US"/>
              </w:rPr>
            </w:pPr>
            <w:r w:rsidRPr="008D1AF1">
              <w:rPr>
                <w:rFonts w:ascii="Arial Narrow" w:eastAsiaTheme="majorEastAsia" w:hAnsi="Arial Narrow" w:cs="Times New Roman"/>
                <w:sz w:val="20"/>
                <w:lang w:val="en-US"/>
              </w:rPr>
              <w:t>Ribociclib</w:t>
            </w:r>
            <w:r w:rsidR="0052685A" w:rsidRPr="008D1AF1">
              <w:rPr>
                <w:rFonts w:ascii="Arial Narrow" w:eastAsiaTheme="majorEastAsia" w:hAnsi="Arial Narrow" w:cs="Times New Roman"/>
                <w:sz w:val="20"/>
                <w:lang w:val="en-US"/>
              </w:rPr>
              <w:t>, AEMP (at current price)</w:t>
            </w:r>
            <w:r w:rsidR="004646E8" w:rsidRPr="008D1AF1">
              <w:rPr>
                <w:rFonts w:ascii="Arial Narrow" w:eastAsiaTheme="majorEastAsia" w:hAnsi="Arial Narrow" w:cs="Times New Roman"/>
                <w:sz w:val="20"/>
                <w:lang w:val="en-US"/>
              </w:rPr>
              <w:t xml:space="preserve"> </w:t>
            </w:r>
          </w:p>
          <w:p w:rsidR="00BC7BA9" w:rsidRPr="008D1AF1" w:rsidRDefault="006A7BF0" w:rsidP="00843CD7">
            <w:pPr>
              <w:pStyle w:val="ListParagraph"/>
              <w:keepNext/>
              <w:numPr>
                <w:ilvl w:val="0"/>
                <w:numId w:val="10"/>
              </w:numPr>
              <w:spacing w:after="0"/>
              <w:ind w:left="168" w:hanging="142"/>
              <w:jc w:val="left"/>
              <w:rPr>
                <w:rFonts w:ascii="Arial Narrow" w:eastAsiaTheme="majorEastAsia" w:hAnsi="Arial Narrow" w:cs="Times New Roman"/>
                <w:sz w:val="20"/>
                <w:lang w:val="en-US"/>
              </w:rPr>
            </w:pPr>
            <w:r w:rsidRPr="008D1AF1">
              <w:rPr>
                <w:rFonts w:ascii="Arial Narrow" w:eastAsiaTheme="majorEastAsia" w:hAnsi="Arial Narrow" w:cs="Times New Roman"/>
                <w:sz w:val="20"/>
                <w:lang w:val="en-US"/>
              </w:rPr>
              <w:t>With</w:t>
            </w:r>
            <w:r w:rsidR="004646E8" w:rsidRPr="008D1AF1">
              <w:rPr>
                <w:rFonts w:ascii="Arial Narrow" w:eastAsiaTheme="majorEastAsia" w:hAnsi="Arial Narrow" w:cs="Times New Roman"/>
                <w:sz w:val="20"/>
                <w:lang w:val="en-US"/>
              </w:rPr>
              <w:t xml:space="preserve"> </w:t>
            </w:r>
            <w:r w:rsidR="00986F3E" w:rsidRPr="008D1AF1">
              <w:rPr>
                <w:rFonts w:ascii="Arial Narrow" w:eastAsiaTheme="majorEastAsia" w:hAnsi="Arial Narrow" w:cs="Times New Roman"/>
                <w:sz w:val="20"/>
                <w:lang w:val="en-US"/>
              </w:rPr>
              <w:t xml:space="preserve">relative dose </w:t>
            </w:r>
            <w:r w:rsidR="00986F3E" w:rsidRPr="00AB529A">
              <w:rPr>
                <w:rFonts w:ascii="Arial Narrow" w:eastAsiaTheme="majorEastAsia" w:hAnsi="Arial Narrow" w:cs="Times New Roman"/>
                <w:sz w:val="20"/>
                <w:lang w:val="en-US"/>
              </w:rPr>
              <w:t>intensity (85.2%)</w:t>
            </w:r>
          </w:p>
        </w:tc>
        <w:tc>
          <w:tcPr>
            <w:tcW w:w="2126" w:type="dxa"/>
            <w:tcBorders>
              <w:top w:val="nil"/>
              <w:left w:val="nil"/>
              <w:bottom w:val="single" w:sz="4" w:space="0" w:color="auto"/>
              <w:right w:val="single" w:sz="4" w:space="0" w:color="auto"/>
            </w:tcBorders>
            <w:vAlign w:val="bottom"/>
            <w:hideMark/>
          </w:tcPr>
          <w:p w:rsidR="00DA1473" w:rsidRPr="00981021" w:rsidRDefault="00DA1473" w:rsidP="006A7BF0">
            <w:pPr>
              <w:keepNext/>
              <w:jc w:val="center"/>
              <w:rPr>
                <w:rFonts w:ascii="Arial Narrow" w:hAnsi="Arial Narrow" w:cs="Calibri"/>
                <w:i/>
                <w:color w:val="000000"/>
                <w:sz w:val="20"/>
                <w:szCs w:val="20"/>
              </w:rPr>
            </w:pPr>
            <w:r w:rsidRPr="00981021">
              <w:rPr>
                <w:rFonts w:ascii="Arial Narrow" w:hAnsi="Arial Narrow" w:cs="Calibri"/>
                <w:i/>
                <w:color w:val="000000"/>
                <w:sz w:val="20"/>
                <w:szCs w:val="20"/>
              </w:rPr>
              <w:t>$</w:t>
            </w:r>
            <w:r w:rsidR="005E31C0">
              <w:rPr>
                <w:rFonts w:ascii="Arial Narrow" w:hAnsi="Arial Narrow" w:cs="Calibri"/>
                <w:i/>
                <w:noProof/>
                <w:color w:val="000000"/>
                <w:sz w:val="20"/>
                <w:szCs w:val="20"/>
                <w:highlight w:val="black"/>
              </w:rPr>
              <w:t>'''''''''''''''''''''</w:t>
            </w:r>
          </w:p>
          <w:p w:rsidR="00BC7BA9" w:rsidRPr="008D1AF1" w:rsidRDefault="00BC7BA9" w:rsidP="006A7BF0">
            <w:pPr>
              <w:keepNext/>
              <w:jc w:val="center"/>
              <w:rPr>
                <w:rFonts w:ascii="Arial Narrow" w:eastAsiaTheme="majorEastAsia" w:hAnsi="Arial Narrow" w:cs="Times New Roman"/>
                <w:sz w:val="20"/>
                <w:lang w:val="en-US"/>
              </w:rPr>
            </w:pPr>
            <w:r w:rsidRPr="008D1AF1">
              <w:rPr>
                <w:rFonts w:ascii="Arial Narrow" w:hAnsi="Arial Narrow" w:cs="Calibri"/>
                <w:color w:val="000000"/>
                <w:sz w:val="20"/>
                <w:szCs w:val="20"/>
              </w:rPr>
              <w:t>$</w:t>
            </w:r>
            <w:r w:rsidR="005E31C0">
              <w:rPr>
                <w:rFonts w:ascii="Arial Narrow" w:hAnsi="Arial Narrow" w:cs="Calibri"/>
                <w:noProof/>
                <w:color w:val="000000"/>
                <w:sz w:val="20"/>
                <w:szCs w:val="20"/>
                <w:highlight w:val="black"/>
              </w:rPr>
              <w:t>'''''''''''''''''''</w:t>
            </w:r>
          </w:p>
        </w:tc>
        <w:tc>
          <w:tcPr>
            <w:tcW w:w="1985" w:type="dxa"/>
            <w:tcBorders>
              <w:top w:val="nil"/>
              <w:left w:val="nil"/>
              <w:bottom w:val="single" w:sz="4" w:space="0" w:color="auto"/>
              <w:right w:val="single" w:sz="4" w:space="0" w:color="auto"/>
            </w:tcBorders>
            <w:vAlign w:val="bottom"/>
            <w:hideMark/>
          </w:tcPr>
          <w:p w:rsidR="00986F3E" w:rsidRPr="00981021" w:rsidRDefault="00986F3E" w:rsidP="006A7BF0">
            <w:pPr>
              <w:keepNext/>
              <w:jc w:val="center"/>
              <w:rPr>
                <w:rFonts w:ascii="Arial Narrow" w:hAnsi="Arial Narrow" w:cs="Calibri"/>
                <w:i/>
                <w:color w:val="000000"/>
                <w:sz w:val="20"/>
                <w:szCs w:val="20"/>
              </w:rPr>
            </w:pPr>
            <w:r w:rsidRPr="00981021">
              <w:rPr>
                <w:rFonts w:ascii="Arial Narrow" w:hAnsi="Arial Narrow" w:cs="Calibri"/>
                <w:i/>
                <w:color w:val="000000"/>
                <w:sz w:val="20"/>
                <w:szCs w:val="20"/>
              </w:rPr>
              <w:t>$</w:t>
            </w:r>
            <w:r w:rsidR="005E31C0">
              <w:rPr>
                <w:rFonts w:ascii="Arial Narrow" w:hAnsi="Arial Narrow" w:cs="Calibri"/>
                <w:i/>
                <w:noProof/>
                <w:color w:val="000000"/>
                <w:sz w:val="20"/>
                <w:szCs w:val="20"/>
                <w:highlight w:val="black"/>
              </w:rPr>
              <w:t>'''''''''''''''''''</w:t>
            </w:r>
          </w:p>
          <w:p w:rsidR="00BC7BA9" w:rsidRPr="008D1AF1" w:rsidRDefault="00BC7BA9" w:rsidP="006A7BF0">
            <w:pPr>
              <w:keepNext/>
              <w:jc w:val="center"/>
              <w:rPr>
                <w:rFonts w:ascii="Arial Narrow" w:eastAsiaTheme="majorEastAsia" w:hAnsi="Arial Narrow" w:cs="Times New Roman"/>
                <w:sz w:val="20"/>
                <w:lang w:val="en-US"/>
              </w:rPr>
            </w:pPr>
            <w:r w:rsidRPr="008D1AF1">
              <w:rPr>
                <w:rFonts w:ascii="Arial Narrow" w:hAnsi="Arial Narrow" w:cs="Calibri"/>
                <w:color w:val="000000"/>
                <w:sz w:val="20"/>
                <w:szCs w:val="20"/>
              </w:rPr>
              <w:t>$</w:t>
            </w:r>
            <w:r w:rsidR="005E31C0">
              <w:rPr>
                <w:rFonts w:ascii="Arial Narrow" w:hAnsi="Arial Narrow" w:cs="Calibri"/>
                <w:noProof/>
                <w:color w:val="000000"/>
                <w:sz w:val="20"/>
                <w:szCs w:val="20"/>
                <w:highlight w:val="black"/>
              </w:rPr>
              <w:t>''''''''''''''''''''''</w:t>
            </w:r>
          </w:p>
        </w:tc>
        <w:tc>
          <w:tcPr>
            <w:tcW w:w="1934" w:type="dxa"/>
            <w:tcBorders>
              <w:top w:val="nil"/>
              <w:left w:val="nil"/>
              <w:bottom w:val="single" w:sz="4" w:space="0" w:color="auto"/>
              <w:right w:val="single" w:sz="4" w:space="0" w:color="auto"/>
            </w:tcBorders>
            <w:vAlign w:val="bottom"/>
            <w:hideMark/>
          </w:tcPr>
          <w:p w:rsidR="00BC7BA9" w:rsidRPr="008D1AF1" w:rsidRDefault="00BC7BA9" w:rsidP="006A7BF0">
            <w:pPr>
              <w:keepNext/>
              <w:jc w:val="center"/>
              <w:rPr>
                <w:rFonts w:ascii="Arial Narrow" w:hAnsi="Arial Narrow" w:cs="Calibri"/>
                <w:color w:val="000000"/>
                <w:sz w:val="20"/>
                <w:szCs w:val="20"/>
              </w:rPr>
            </w:pPr>
            <w:r w:rsidRPr="008D1AF1">
              <w:rPr>
                <w:rFonts w:ascii="Arial Narrow" w:hAnsi="Arial Narrow" w:cs="Calibri"/>
                <w:color w:val="000000"/>
                <w:sz w:val="20"/>
                <w:szCs w:val="20"/>
              </w:rPr>
              <w:t>$</w:t>
            </w:r>
            <w:r w:rsidR="005E31C0">
              <w:rPr>
                <w:rFonts w:ascii="Arial Narrow" w:hAnsi="Arial Narrow" w:cs="Calibri"/>
                <w:noProof/>
                <w:color w:val="000000"/>
                <w:sz w:val="20"/>
                <w:szCs w:val="20"/>
                <w:highlight w:val="black"/>
              </w:rPr>
              <w:t>'''''''''''</w:t>
            </w:r>
          </w:p>
        </w:tc>
      </w:tr>
      <w:tr w:rsidR="00BC7BA9" w:rsidRPr="008D1AF1" w:rsidTr="00BC7BA9">
        <w:tc>
          <w:tcPr>
            <w:tcW w:w="2972" w:type="dxa"/>
            <w:tcBorders>
              <w:top w:val="single" w:sz="4" w:space="0" w:color="auto"/>
              <w:left w:val="single" w:sz="4" w:space="0" w:color="auto"/>
              <w:bottom w:val="single" w:sz="4" w:space="0" w:color="auto"/>
              <w:right w:val="single" w:sz="4" w:space="0" w:color="auto"/>
            </w:tcBorders>
            <w:hideMark/>
          </w:tcPr>
          <w:p w:rsidR="00BC7BA9" w:rsidRPr="008D1AF1" w:rsidRDefault="00BC7BA9">
            <w:pPr>
              <w:keepNext/>
              <w:jc w:val="left"/>
              <w:rPr>
                <w:rFonts w:ascii="Arial Narrow" w:eastAsiaTheme="majorEastAsia" w:hAnsi="Arial Narrow" w:cs="Times New Roman"/>
                <w:sz w:val="20"/>
                <w:lang w:val="en-US"/>
              </w:rPr>
            </w:pPr>
            <w:r w:rsidRPr="008D1AF1">
              <w:rPr>
                <w:rFonts w:ascii="Arial Narrow" w:eastAsiaTheme="majorEastAsia" w:hAnsi="Arial Narrow" w:cs="Times New Roman"/>
                <w:sz w:val="20"/>
                <w:lang w:val="en-US"/>
              </w:rPr>
              <w:t>Fulvestrant</w:t>
            </w:r>
            <w:r w:rsidR="0052685A" w:rsidRPr="008D1AF1">
              <w:rPr>
                <w:rFonts w:ascii="Arial Narrow" w:eastAsiaTheme="majorEastAsia" w:hAnsi="Arial Narrow" w:cs="Times New Roman"/>
                <w:sz w:val="20"/>
                <w:lang w:val="en-US"/>
              </w:rPr>
              <w:t>, AEMP</w:t>
            </w:r>
          </w:p>
        </w:tc>
        <w:tc>
          <w:tcPr>
            <w:tcW w:w="2126" w:type="dxa"/>
            <w:tcBorders>
              <w:top w:val="nil"/>
              <w:left w:val="nil"/>
              <w:bottom w:val="single" w:sz="4" w:space="0" w:color="auto"/>
              <w:right w:val="single" w:sz="4" w:space="0" w:color="auto"/>
            </w:tcBorders>
            <w:vAlign w:val="bottom"/>
            <w:hideMark/>
          </w:tcPr>
          <w:p w:rsidR="00BC7BA9" w:rsidRPr="008D1AF1" w:rsidRDefault="00BC7BA9">
            <w:pPr>
              <w:keepNext/>
              <w:jc w:val="center"/>
              <w:rPr>
                <w:rFonts w:ascii="Arial Narrow" w:eastAsiaTheme="majorEastAsia" w:hAnsi="Arial Narrow" w:cs="Times New Roman"/>
                <w:sz w:val="20"/>
                <w:lang w:val="en-US"/>
              </w:rPr>
            </w:pPr>
            <w:r w:rsidRPr="008D1AF1">
              <w:rPr>
                <w:rFonts w:ascii="Arial Narrow" w:hAnsi="Arial Narrow" w:cs="Calibri"/>
                <w:color w:val="000000"/>
                <w:sz w:val="20"/>
                <w:szCs w:val="20"/>
              </w:rPr>
              <w:t>$</w:t>
            </w:r>
            <w:r w:rsidR="005E31C0">
              <w:rPr>
                <w:rFonts w:ascii="Arial Narrow" w:hAnsi="Arial Narrow" w:cs="Calibri"/>
                <w:noProof/>
                <w:color w:val="000000"/>
                <w:sz w:val="20"/>
                <w:szCs w:val="20"/>
                <w:highlight w:val="black"/>
              </w:rPr>
              <w:t>'''''''''''''''</w:t>
            </w:r>
          </w:p>
        </w:tc>
        <w:tc>
          <w:tcPr>
            <w:tcW w:w="1985" w:type="dxa"/>
            <w:tcBorders>
              <w:top w:val="nil"/>
              <w:left w:val="nil"/>
              <w:bottom w:val="single" w:sz="4" w:space="0" w:color="auto"/>
              <w:right w:val="single" w:sz="4" w:space="0" w:color="auto"/>
            </w:tcBorders>
            <w:vAlign w:val="bottom"/>
            <w:hideMark/>
          </w:tcPr>
          <w:p w:rsidR="00BC7BA9" w:rsidRPr="008D1AF1" w:rsidRDefault="00BC7BA9">
            <w:pPr>
              <w:keepNext/>
              <w:jc w:val="center"/>
              <w:rPr>
                <w:rFonts w:ascii="Arial Narrow" w:eastAsiaTheme="majorEastAsia" w:hAnsi="Arial Narrow" w:cs="Times New Roman"/>
                <w:sz w:val="20"/>
                <w:lang w:val="en-US"/>
              </w:rPr>
            </w:pPr>
            <w:r w:rsidRPr="008D1AF1">
              <w:rPr>
                <w:rFonts w:ascii="Arial Narrow" w:hAnsi="Arial Narrow" w:cs="Calibri"/>
                <w:color w:val="000000"/>
                <w:sz w:val="20"/>
                <w:szCs w:val="20"/>
              </w:rPr>
              <w:t>$0.00</w:t>
            </w:r>
          </w:p>
        </w:tc>
        <w:tc>
          <w:tcPr>
            <w:tcW w:w="1934" w:type="dxa"/>
            <w:tcBorders>
              <w:top w:val="nil"/>
              <w:left w:val="nil"/>
              <w:bottom w:val="single" w:sz="4" w:space="0" w:color="auto"/>
              <w:right w:val="single" w:sz="4" w:space="0" w:color="auto"/>
            </w:tcBorders>
            <w:vAlign w:val="bottom"/>
            <w:hideMark/>
          </w:tcPr>
          <w:p w:rsidR="00BC7BA9" w:rsidRPr="008D1AF1" w:rsidRDefault="00BC7BA9">
            <w:pPr>
              <w:keepNext/>
              <w:jc w:val="center"/>
              <w:rPr>
                <w:rFonts w:ascii="Arial Narrow" w:hAnsi="Arial Narrow" w:cs="Calibri"/>
                <w:color w:val="000000"/>
                <w:sz w:val="20"/>
                <w:szCs w:val="20"/>
              </w:rPr>
            </w:pPr>
            <w:r w:rsidRPr="008D1AF1">
              <w:rPr>
                <w:rFonts w:ascii="Arial Narrow" w:hAnsi="Arial Narrow" w:cs="Calibri"/>
                <w:color w:val="000000"/>
                <w:sz w:val="20"/>
                <w:szCs w:val="20"/>
              </w:rPr>
              <w:t>$</w:t>
            </w:r>
            <w:r w:rsidR="005E31C0">
              <w:rPr>
                <w:rFonts w:ascii="Arial Narrow" w:hAnsi="Arial Narrow" w:cs="Calibri"/>
                <w:noProof/>
                <w:color w:val="000000"/>
                <w:sz w:val="20"/>
                <w:szCs w:val="20"/>
                <w:highlight w:val="black"/>
              </w:rPr>
              <w:t>'''''''''''''''</w:t>
            </w:r>
          </w:p>
        </w:tc>
      </w:tr>
      <w:tr w:rsidR="00BC7BA9" w:rsidRPr="008D1AF1" w:rsidTr="00BC7BA9">
        <w:tc>
          <w:tcPr>
            <w:tcW w:w="2972" w:type="dxa"/>
            <w:tcBorders>
              <w:top w:val="single" w:sz="4" w:space="0" w:color="auto"/>
              <w:left w:val="single" w:sz="4" w:space="0" w:color="auto"/>
              <w:bottom w:val="single" w:sz="4" w:space="0" w:color="auto"/>
              <w:right w:val="single" w:sz="4" w:space="0" w:color="auto"/>
            </w:tcBorders>
            <w:hideMark/>
          </w:tcPr>
          <w:p w:rsidR="00BC7BA9" w:rsidRPr="008D1AF1" w:rsidRDefault="00BC7BA9">
            <w:pPr>
              <w:keepNext/>
              <w:jc w:val="left"/>
              <w:rPr>
                <w:rFonts w:ascii="Arial Narrow" w:eastAsiaTheme="majorEastAsia" w:hAnsi="Arial Narrow" w:cs="Times New Roman"/>
                <w:sz w:val="20"/>
                <w:lang w:val="en-US"/>
              </w:rPr>
            </w:pPr>
            <w:r w:rsidRPr="008D1AF1">
              <w:rPr>
                <w:rFonts w:ascii="Arial Narrow" w:eastAsiaTheme="majorEastAsia" w:hAnsi="Arial Narrow" w:cs="Times New Roman"/>
                <w:sz w:val="20"/>
                <w:lang w:val="en-US"/>
              </w:rPr>
              <w:t>Fulvestrant loading dose</w:t>
            </w:r>
            <w:r w:rsidR="0052685A" w:rsidRPr="008D1AF1">
              <w:rPr>
                <w:rFonts w:ascii="Arial Narrow" w:eastAsiaTheme="majorEastAsia" w:hAnsi="Arial Narrow" w:cs="Times New Roman"/>
                <w:sz w:val="20"/>
                <w:lang w:val="en-US"/>
              </w:rPr>
              <w:t>, AEMP</w:t>
            </w:r>
          </w:p>
        </w:tc>
        <w:tc>
          <w:tcPr>
            <w:tcW w:w="2126" w:type="dxa"/>
            <w:tcBorders>
              <w:top w:val="nil"/>
              <w:left w:val="nil"/>
              <w:bottom w:val="single" w:sz="4" w:space="0" w:color="auto"/>
              <w:right w:val="single" w:sz="4" w:space="0" w:color="auto"/>
            </w:tcBorders>
            <w:vAlign w:val="bottom"/>
            <w:hideMark/>
          </w:tcPr>
          <w:p w:rsidR="00BC7BA9" w:rsidRPr="008D1AF1" w:rsidRDefault="00BC7BA9">
            <w:pPr>
              <w:keepNext/>
              <w:jc w:val="center"/>
              <w:rPr>
                <w:rFonts w:ascii="Arial Narrow" w:eastAsiaTheme="majorEastAsia" w:hAnsi="Arial Narrow" w:cs="Times New Roman"/>
                <w:sz w:val="20"/>
                <w:lang w:val="en-US"/>
              </w:rPr>
            </w:pPr>
            <w:r w:rsidRPr="00981021">
              <w:rPr>
                <w:rFonts w:ascii="Arial Narrow" w:eastAsiaTheme="majorEastAsia" w:hAnsi="Arial Narrow" w:cs="Times New Roman"/>
                <w:i/>
                <w:sz w:val="20"/>
                <w:lang w:val="en-US"/>
              </w:rPr>
              <w:t>$</w:t>
            </w:r>
            <w:r w:rsidR="005E31C0">
              <w:rPr>
                <w:rFonts w:ascii="Arial Narrow" w:eastAsiaTheme="majorEastAsia" w:hAnsi="Arial Narrow" w:cs="Times New Roman"/>
                <w:i/>
                <w:noProof/>
                <w:color w:val="000000"/>
                <w:sz w:val="20"/>
                <w:highlight w:val="black"/>
                <w:lang w:val="en-US"/>
              </w:rPr>
              <w:t>'''''''''''''</w:t>
            </w:r>
            <w:r w:rsidR="00AF6562" w:rsidRPr="008D1AF1">
              <w:rPr>
                <w:rFonts w:ascii="Arial Narrow" w:eastAsiaTheme="majorEastAsia" w:hAnsi="Arial Narrow" w:cs="Times New Roman"/>
                <w:sz w:val="20"/>
                <w:lang w:val="en-US"/>
              </w:rPr>
              <w:t xml:space="preserve"> </w:t>
            </w:r>
            <w:r w:rsidR="00AF6562" w:rsidRPr="008D1AF1">
              <w:rPr>
                <w:rFonts w:ascii="Arial Narrow" w:hAnsi="Arial Narrow" w:cs="Calibri"/>
                <w:color w:val="000000"/>
                <w:sz w:val="20"/>
                <w:szCs w:val="20"/>
                <w:vertAlign w:val="superscript"/>
              </w:rPr>
              <w:t>a</w:t>
            </w:r>
          </w:p>
        </w:tc>
        <w:tc>
          <w:tcPr>
            <w:tcW w:w="1985" w:type="dxa"/>
            <w:tcBorders>
              <w:top w:val="nil"/>
              <w:left w:val="nil"/>
              <w:bottom w:val="single" w:sz="4" w:space="0" w:color="auto"/>
              <w:right w:val="single" w:sz="4" w:space="0" w:color="auto"/>
            </w:tcBorders>
            <w:vAlign w:val="center"/>
            <w:hideMark/>
          </w:tcPr>
          <w:p w:rsidR="00BC7BA9" w:rsidRPr="008D1AF1" w:rsidRDefault="00BC7BA9">
            <w:pPr>
              <w:keepNext/>
              <w:jc w:val="center"/>
              <w:rPr>
                <w:rFonts w:ascii="Arial Narrow" w:eastAsiaTheme="majorEastAsia" w:hAnsi="Arial Narrow" w:cs="Times New Roman"/>
                <w:sz w:val="20"/>
                <w:lang w:val="en-US"/>
              </w:rPr>
            </w:pPr>
            <w:r w:rsidRPr="008D1AF1">
              <w:rPr>
                <w:rFonts w:ascii="Arial Narrow" w:hAnsi="Arial Narrow" w:cs="Calibri"/>
                <w:color w:val="000000"/>
                <w:sz w:val="20"/>
                <w:szCs w:val="20"/>
              </w:rPr>
              <w:t>$0.00</w:t>
            </w:r>
          </w:p>
        </w:tc>
        <w:tc>
          <w:tcPr>
            <w:tcW w:w="1934" w:type="dxa"/>
            <w:tcBorders>
              <w:top w:val="nil"/>
              <w:left w:val="nil"/>
              <w:bottom w:val="single" w:sz="4" w:space="0" w:color="auto"/>
              <w:right w:val="single" w:sz="4" w:space="0" w:color="auto"/>
            </w:tcBorders>
            <w:vAlign w:val="bottom"/>
            <w:hideMark/>
          </w:tcPr>
          <w:p w:rsidR="00BC7BA9" w:rsidRPr="008D1AF1" w:rsidRDefault="00BC7BA9">
            <w:pPr>
              <w:keepNext/>
              <w:jc w:val="center"/>
              <w:rPr>
                <w:rFonts w:ascii="Arial Narrow" w:hAnsi="Arial Narrow" w:cs="Calibri"/>
                <w:color w:val="000000"/>
                <w:sz w:val="20"/>
                <w:szCs w:val="20"/>
              </w:rPr>
            </w:pPr>
            <w:r w:rsidRPr="00981021">
              <w:rPr>
                <w:rFonts w:ascii="Arial Narrow" w:hAnsi="Arial Narrow" w:cs="Calibri"/>
                <w:i/>
                <w:color w:val="000000"/>
                <w:sz w:val="20"/>
                <w:szCs w:val="20"/>
              </w:rPr>
              <w:t>$</w:t>
            </w:r>
            <w:r w:rsidR="005E31C0">
              <w:rPr>
                <w:rFonts w:ascii="Arial Narrow" w:hAnsi="Arial Narrow" w:cs="Calibri"/>
                <w:i/>
                <w:noProof/>
                <w:color w:val="000000"/>
                <w:sz w:val="20"/>
                <w:szCs w:val="20"/>
                <w:highlight w:val="black"/>
              </w:rPr>
              <w:t>''''''''''''''</w:t>
            </w:r>
            <w:r w:rsidR="00AF6562" w:rsidRPr="008D1AF1">
              <w:rPr>
                <w:rFonts w:ascii="Arial Narrow" w:hAnsi="Arial Narrow" w:cs="Calibri"/>
                <w:color w:val="000000"/>
                <w:sz w:val="20"/>
                <w:szCs w:val="20"/>
              </w:rPr>
              <w:t xml:space="preserve"> </w:t>
            </w:r>
            <w:r w:rsidR="00AF6562" w:rsidRPr="008D1AF1">
              <w:rPr>
                <w:rFonts w:ascii="Arial Narrow" w:hAnsi="Arial Narrow" w:cs="Calibri"/>
                <w:color w:val="000000"/>
                <w:sz w:val="20"/>
                <w:szCs w:val="20"/>
                <w:vertAlign w:val="superscript"/>
              </w:rPr>
              <w:t>a</w:t>
            </w:r>
          </w:p>
        </w:tc>
      </w:tr>
      <w:tr w:rsidR="00BC7BA9" w:rsidRPr="008D1AF1" w:rsidTr="00BC7BA9">
        <w:tc>
          <w:tcPr>
            <w:tcW w:w="2972" w:type="dxa"/>
            <w:tcBorders>
              <w:top w:val="single" w:sz="4" w:space="0" w:color="auto"/>
              <w:left w:val="single" w:sz="4" w:space="0" w:color="auto"/>
              <w:bottom w:val="single" w:sz="4" w:space="0" w:color="auto"/>
              <w:right w:val="single" w:sz="4" w:space="0" w:color="auto"/>
            </w:tcBorders>
            <w:hideMark/>
          </w:tcPr>
          <w:p w:rsidR="00BC7BA9" w:rsidRPr="008D1AF1" w:rsidRDefault="00BC7BA9">
            <w:pPr>
              <w:keepNext/>
              <w:jc w:val="left"/>
              <w:rPr>
                <w:rFonts w:ascii="Arial Narrow" w:eastAsiaTheme="majorEastAsia" w:hAnsi="Arial Narrow" w:cs="Times New Roman"/>
                <w:sz w:val="20"/>
                <w:lang w:val="en-US"/>
              </w:rPr>
            </w:pPr>
            <w:r w:rsidRPr="008D1AF1">
              <w:rPr>
                <w:rFonts w:ascii="Arial Narrow" w:eastAsiaTheme="majorEastAsia" w:hAnsi="Arial Narrow" w:cs="Times New Roman"/>
                <w:sz w:val="20"/>
                <w:lang w:val="en-US"/>
              </w:rPr>
              <w:t>NSAI</w:t>
            </w:r>
          </w:p>
        </w:tc>
        <w:tc>
          <w:tcPr>
            <w:tcW w:w="2126" w:type="dxa"/>
            <w:tcBorders>
              <w:top w:val="nil"/>
              <w:left w:val="nil"/>
              <w:bottom w:val="single" w:sz="4" w:space="0" w:color="auto"/>
              <w:right w:val="single" w:sz="4" w:space="0" w:color="auto"/>
            </w:tcBorders>
            <w:vAlign w:val="bottom"/>
            <w:hideMark/>
          </w:tcPr>
          <w:p w:rsidR="00BC7BA9" w:rsidRPr="008D1AF1" w:rsidRDefault="00BC7BA9">
            <w:pPr>
              <w:keepNext/>
              <w:jc w:val="center"/>
              <w:rPr>
                <w:rFonts w:ascii="Arial Narrow" w:eastAsiaTheme="majorEastAsia" w:hAnsi="Arial Narrow" w:cs="Times New Roman"/>
                <w:sz w:val="20"/>
                <w:lang w:val="en-US"/>
              </w:rPr>
            </w:pPr>
            <w:r w:rsidRPr="008D1AF1">
              <w:rPr>
                <w:rFonts w:ascii="Arial Narrow" w:hAnsi="Arial Narrow" w:cs="Calibri"/>
                <w:color w:val="000000"/>
                <w:sz w:val="20"/>
                <w:szCs w:val="20"/>
              </w:rPr>
              <w:t>$0.00</w:t>
            </w:r>
          </w:p>
        </w:tc>
        <w:tc>
          <w:tcPr>
            <w:tcW w:w="1985" w:type="dxa"/>
            <w:tcBorders>
              <w:top w:val="nil"/>
              <w:left w:val="nil"/>
              <w:bottom w:val="single" w:sz="4" w:space="0" w:color="auto"/>
              <w:right w:val="single" w:sz="4" w:space="0" w:color="auto"/>
            </w:tcBorders>
            <w:vAlign w:val="bottom"/>
            <w:hideMark/>
          </w:tcPr>
          <w:p w:rsidR="00BC7BA9" w:rsidRPr="008D1AF1" w:rsidRDefault="00BC7BA9">
            <w:pPr>
              <w:keepNext/>
              <w:jc w:val="center"/>
              <w:rPr>
                <w:rFonts w:ascii="Arial Narrow" w:eastAsiaTheme="majorEastAsia" w:hAnsi="Arial Narrow" w:cs="Times New Roman"/>
                <w:sz w:val="20"/>
                <w:lang w:val="en-US"/>
              </w:rPr>
            </w:pPr>
            <w:r w:rsidRPr="008D1AF1">
              <w:rPr>
                <w:rFonts w:ascii="Arial Narrow" w:hAnsi="Arial Narrow" w:cs="Calibri"/>
                <w:color w:val="000000"/>
                <w:sz w:val="20"/>
                <w:szCs w:val="20"/>
              </w:rPr>
              <w:t>$15.66</w:t>
            </w:r>
          </w:p>
        </w:tc>
        <w:tc>
          <w:tcPr>
            <w:tcW w:w="1934" w:type="dxa"/>
            <w:tcBorders>
              <w:top w:val="nil"/>
              <w:left w:val="nil"/>
              <w:bottom w:val="single" w:sz="4" w:space="0" w:color="auto"/>
              <w:right w:val="single" w:sz="4" w:space="0" w:color="auto"/>
            </w:tcBorders>
            <w:vAlign w:val="bottom"/>
            <w:hideMark/>
          </w:tcPr>
          <w:p w:rsidR="00BC7BA9" w:rsidRPr="008D1AF1" w:rsidRDefault="00BC7BA9">
            <w:pPr>
              <w:keepNext/>
              <w:jc w:val="center"/>
              <w:rPr>
                <w:rFonts w:ascii="Arial Narrow" w:hAnsi="Arial Narrow" w:cs="Calibri"/>
                <w:color w:val="000000"/>
                <w:sz w:val="20"/>
                <w:szCs w:val="20"/>
              </w:rPr>
            </w:pPr>
            <w:r w:rsidRPr="008D1AF1">
              <w:rPr>
                <w:rFonts w:ascii="Arial Narrow" w:hAnsi="Arial Narrow" w:cs="Calibri"/>
                <w:color w:val="000000"/>
                <w:sz w:val="20"/>
                <w:szCs w:val="20"/>
              </w:rPr>
              <w:t>-$15.66</w:t>
            </w:r>
          </w:p>
        </w:tc>
      </w:tr>
      <w:tr w:rsidR="00BC7BA9" w:rsidRPr="008D1AF1" w:rsidTr="00BC7BA9">
        <w:tc>
          <w:tcPr>
            <w:tcW w:w="7083" w:type="dxa"/>
            <w:gridSpan w:val="3"/>
            <w:tcBorders>
              <w:top w:val="single" w:sz="4" w:space="0" w:color="auto"/>
              <w:left w:val="single" w:sz="4" w:space="0" w:color="auto"/>
              <w:bottom w:val="single" w:sz="4" w:space="0" w:color="auto"/>
              <w:right w:val="single" w:sz="4" w:space="0" w:color="auto"/>
            </w:tcBorders>
            <w:hideMark/>
          </w:tcPr>
          <w:p w:rsidR="00BC7BA9" w:rsidRPr="008D1AF1" w:rsidRDefault="00BC7BA9">
            <w:pPr>
              <w:keepNext/>
              <w:jc w:val="left"/>
              <w:rPr>
                <w:rFonts w:ascii="Arial Narrow" w:hAnsi="Arial Narrow" w:cs="Calibri"/>
                <w:b/>
                <w:color w:val="000000"/>
                <w:sz w:val="20"/>
                <w:szCs w:val="20"/>
              </w:rPr>
            </w:pPr>
            <w:r w:rsidRPr="008D1AF1">
              <w:rPr>
                <w:rFonts w:ascii="Arial Narrow" w:hAnsi="Arial Narrow" w:cs="Calibri"/>
                <w:b/>
                <w:color w:val="000000"/>
                <w:sz w:val="20"/>
                <w:szCs w:val="20"/>
              </w:rPr>
              <w:t>Additional costs (28-day cycle)</w:t>
            </w:r>
          </w:p>
        </w:tc>
        <w:tc>
          <w:tcPr>
            <w:tcW w:w="1934" w:type="dxa"/>
            <w:tcBorders>
              <w:top w:val="single" w:sz="4" w:space="0" w:color="auto"/>
              <w:left w:val="single" w:sz="4" w:space="0" w:color="auto"/>
              <w:bottom w:val="single" w:sz="4" w:space="0" w:color="auto"/>
              <w:right w:val="single" w:sz="4" w:space="0" w:color="auto"/>
            </w:tcBorders>
          </w:tcPr>
          <w:p w:rsidR="00BC7BA9" w:rsidRPr="008D1AF1" w:rsidRDefault="00BC7BA9">
            <w:pPr>
              <w:keepNext/>
              <w:jc w:val="left"/>
              <w:rPr>
                <w:rFonts w:ascii="Arial Narrow" w:hAnsi="Arial Narrow" w:cs="Calibri"/>
                <w:b/>
                <w:color w:val="000000"/>
                <w:sz w:val="20"/>
                <w:szCs w:val="20"/>
              </w:rPr>
            </w:pPr>
          </w:p>
        </w:tc>
      </w:tr>
      <w:tr w:rsidR="00BC7BA9" w:rsidRPr="008D1AF1" w:rsidTr="00BC7BA9">
        <w:tc>
          <w:tcPr>
            <w:tcW w:w="2972" w:type="dxa"/>
            <w:tcBorders>
              <w:top w:val="single" w:sz="4" w:space="0" w:color="auto"/>
              <w:left w:val="single" w:sz="4" w:space="0" w:color="auto"/>
              <w:bottom w:val="single" w:sz="4" w:space="0" w:color="auto"/>
              <w:right w:val="single" w:sz="4" w:space="0" w:color="auto"/>
            </w:tcBorders>
            <w:hideMark/>
          </w:tcPr>
          <w:p w:rsidR="00BC7BA9" w:rsidRPr="008D1AF1" w:rsidRDefault="00BC7BA9">
            <w:pPr>
              <w:keepNext/>
              <w:jc w:val="left"/>
              <w:rPr>
                <w:rFonts w:ascii="Arial Narrow" w:eastAsiaTheme="majorEastAsia" w:hAnsi="Arial Narrow" w:cs="Times New Roman"/>
                <w:sz w:val="20"/>
                <w:lang w:val="en-US"/>
              </w:rPr>
            </w:pPr>
            <w:r w:rsidRPr="008D1AF1">
              <w:rPr>
                <w:rFonts w:ascii="Arial Narrow" w:eastAsiaTheme="majorEastAsia" w:hAnsi="Arial Narrow" w:cs="Times New Roman"/>
                <w:sz w:val="20"/>
                <w:lang w:val="en-US"/>
              </w:rPr>
              <w:t>Administration</w:t>
            </w:r>
          </w:p>
        </w:tc>
        <w:tc>
          <w:tcPr>
            <w:tcW w:w="2126" w:type="dxa"/>
            <w:tcBorders>
              <w:top w:val="nil"/>
              <w:left w:val="nil"/>
              <w:bottom w:val="single" w:sz="4" w:space="0" w:color="auto"/>
              <w:right w:val="single" w:sz="4" w:space="0" w:color="auto"/>
            </w:tcBorders>
            <w:vAlign w:val="bottom"/>
            <w:hideMark/>
          </w:tcPr>
          <w:p w:rsidR="00BC7BA9" w:rsidRPr="008D1AF1" w:rsidRDefault="00BC7BA9">
            <w:pPr>
              <w:keepNext/>
              <w:jc w:val="center"/>
              <w:rPr>
                <w:rFonts w:ascii="Arial Narrow" w:hAnsi="Arial Narrow" w:cs="Calibri"/>
                <w:color w:val="000000"/>
                <w:sz w:val="20"/>
                <w:szCs w:val="20"/>
              </w:rPr>
            </w:pPr>
            <w:r w:rsidRPr="008D1AF1">
              <w:rPr>
                <w:rFonts w:ascii="Arial Narrow" w:hAnsi="Arial Narrow" w:cs="Calibri"/>
                <w:color w:val="000000"/>
                <w:sz w:val="20"/>
                <w:szCs w:val="20"/>
              </w:rPr>
              <w:t>$9.75</w:t>
            </w:r>
          </w:p>
        </w:tc>
        <w:tc>
          <w:tcPr>
            <w:tcW w:w="1985" w:type="dxa"/>
            <w:tcBorders>
              <w:top w:val="nil"/>
              <w:left w:val="nil"/>
              <w:bottom w:val="single" w:sz="4" w:space="0" w:color="auto"/>
              <w:right w:val="single" w:sz="4" w:space="0" w:color="auto"/>
            </w:tcBorders>
            <w:vAlign w:val="bottom"/>
            <w:hideMark/>
          </w:tcPr>
          <w:p w:rsidR="00BC7BA9" w:rsidRPr="008D1AF1" w:rsidRDefault="00BC7BA9">
            <w:pPr>
              <w:keepNext/>
              <w:jc w:val="center"/>
              <w:rPr>
                <w:rFonts w:ascii="Arial Narrow" w:hAnsi="Arial Narrow" w:cs="Calibri"/>
                <w:color w:val="000000"/>
                <w:sz w:val="20"/>
                <w:szCs w:val="20"/>
              </w:rPr>
            </w:pPr>
            <w:r w:rsidRPr="008D1AF1">
              <w:rPr>
                <w:rFonts w:ascii="Arial Narrow" w:hAnsi="Arial Narrow" w:cs="Calibri"/>
                <w:color w:val="000000"/>
                <w:sz w:val="20"/>
                <w:szCs w:val="20"/>
              </w:rPr>
              <w:t>$0.00</w:t>
            </w:r>
          </w:p>
        </w:tc>
        <w:tc>
          <w:tcPr>
            <w:tcW w:w="1934" w:type="dxa"/>
            <w:tcBorders>
              <w:top w:val="nil"/>
              <w:left w:val="nil"/>
              <w:bottom w:val="single" w:sz="4" w:space="0" w:color="auto"/>
              <w:right w:val="single" w:sz="4" w:space="0" w:color="auto"/>
            </w:tcBorders>
            <w:vAlign w:val="bottom"/>
            <w:hideMark/>
          </w:tcPr>
          <w:p w:rsidR="00BC7BA9" w:rsidRPr="008D1AF1" w:rsidRDefault="00BC7BA9">
            <w:pPr>
              <w:keepNext/>
              <w:jc w:val="center"/>
              <w:rPr>
                <w:rFonts w:ascii="Arial Narrow" w:hAnsi="Arial Narrow" w:cs="Calibri"/>
                <w:color w:val="000000"/>
                <w:sz w:val="20"/>
                <w:szCs w:val="20"/>
              </w:rPr>
            </w:pPr>
            <w:r w:rsidRPr="008D1AF1">
              <w:rPr>
                <w:rFonts w:ascii="Arial Narrow" w:hAnsi="Arial Narrow" w:cs="Calibri"/>
                <w:color w:val="000000"/>
                <w:sz w:val="20"/>
                <w:szCs w:val="20"/>
              </w:rPr>
              <w:t>$9.75</w:t>
            </w:r>
          </w:p>
        </w:tc>
      </w:tr>
      <w:tr w:rsidR="00BC7BA9" w:rsidRPr="008D1AF1" w:rsidTr="00BC7BA9">
        <w:tc>
          <w:tcPr>
            <w:tcW w:w="2972" w:type="dxa"/>
            <w:tcBorders>
              <w:top w:val="single" w:sz="4" w:space="0" w:color="auto"/>
              <w:left w:val="single" w:sz="4" w:space="0" w:color="auto"/>
              <w:bottom w:val="single" w:sz="4" w:space="0" w:color="auto"/>
              <w:right w:val="single" w:sz="4" w:space="0" w:color="auto"/>
            </w:tcBorders>
            <w:hideMark/>
          </w:tcPr>
          <w:p w:rsidR="00BC7BA9" w:rsidRPr="008D1AF1" w:rsidRDefault="00BC7BA9">
            <w:pPr>
              <w:keepNext/>
              <w:jc w:val="left"/>
              <w:rPr>
                <w:rFonts w:ascii="Arial Narrow" w:eastAsiaTheme="majorEastAsia" w:hAnsi="Arial Narrow" w:cs="Times New Roman"/>
                <w:sz w:val="20"/>
                <w:lang w:val="en-US"/>
              </w:rPr>
            </w:pPr>
            <w:r w:rsidRPr="008D1AF1">
              <w:rPr>
                <w:rFonts w:ascii="Arial Narrow" w:eastAsiaTheme="majorEastAsia" w:hAnsi="Arial Narrow" w:cs="Times New Roman"/>
                <w:sz w:val="20"/>
                <w:lang w:val="en-US"/>
              </w:rPr>
              <w:t>Administration loading dose</w:t>
            </w:r>
          </w:p>
        </w:tc>
        <w:tc>
          <w:tcPr>
            <w:tcW w:w="2126" w:type="dxa"/>
            <w:tcBorders>
              <w:top w:val="nil"/>
              <w:left w:val="nil"/>
              <w:bottom w:val="single" w:sz="4" w:space="0" w:color="auto"/>
              <w:right w:val="single" w:sz="4" w:space="0" w:color="auto"/>
            </w:tcBorders>
            <w:vAlign w:val="bottom"/>
            <w:hideMark/>
          </w:tcPr>
          <w:p w:rsidR="00BC7BA9" w:rsidRPr="008D1AF1" w:rsidRDefault="00BC7BA9">
            <w:pPr>
              <w:keepNext/>
              <w:jc w:val="center"/>
              <w:rPr>
                <w:rFonts w:ascii="Arial Narrow" w:hAnsi="Arial Narrow" w:cs="Calibri"/>
                <w:color w:val="000000"/>
                <w:sz w:val="20"/>
                <w:szCs w:val="20"/>
              </w:rPr>
            </w:pPr>
            <w:r w:rsidRPr="008D1AF1">
              <w:rPr>
                <w:rFonts w:ascii="Arial Narrow" w:hAnsi="Arial Narrow" w:cs="Calibri"/>
                <w:color w:val="000000"/>
                <w:sz w:val="20"/>
                <w:szCs w:val="20"/>
              </w:rPr>
              <w:t>$0.68</w:t>
            </w:r>
          </w:p>
        </w:tc>
        <w:tc>
          <w:tcPr>
            <w:tcW w:w="1985" w:type="dxa"/>
            <w:tcBorders>
              <w:top w:val="nil"/>
              <w:left w:val="nil"/>
              <w:bottom w:val="single" w:sz="4" w:space="0" w:color="auto"/>
              <w:right w:val="single" w:sz="4" w:space="0" w:color="auto"/>
            </w:tcBorders>
            <w:vAlign w:val="bottom"/>
            <w:hideMark/>
          </w:tcPr>
          <w:p w:rsidR="00BC7BA9" w:rsidRPr="008D1AF1" w:rsidRDefault="00BC7BA9">
            <w:pPr>
              <w:keepNext/>
              <w:jc w:val="center"/>
              <w:rPr>
                <w:rFonts w:ascii="Arial Narrow" w:hAnsi="Arial Narrow" w:cs="Calibri"/>
                <w:color w:val="000000"/>
                <w:sz w:val="20"/>
                <w:szCs w:val="20"/>
              </w:rPr>
            </w:pPr>
            <w:r w:rsidRPr="008D1AF1">
              <w:rPr>
                <w:rFonts w:ascii="Arial Narrow" w:hAnsi="Arial Narrow" w:cs="Calibri"/>
                <w:color w:val="000000"/>
                <w:sz w:val="20"/>
                <w:szCs w:val="20"/>
              </w:rPr>
              <w:t>$0.00</w:t>
            </w:r>
          </w:p>
        </w:tc>
        <w:tc>
          <w:tcPr>
            <w:tcW w:w="1934" w:type="dxa"/>
            <w:tcBorders>
              <w:top w:val="nil"/>
              <w:left w:val="nil"/>
              <w:bottom w:val="single" w:sz="4" w:space="0" w:color="auto"/>
              <w:right w:val="single" w:sz="4" w:space="0" w:color="auto"/>
            </w:tcBorders>
            <w:vAlign w:val="bottom"/>
            <w:hideMark/>
          </w:tcPr>
          <w:p w:rsidR="00BC7BA9" w:rsidRPr="008D1AF1" w:rsidRDefault="00BC7BA9">
            <w:pPr>
              <w:keepNext/>
              <w:jc w:val="center"/>
              <w:rPr>
                <w:rFonts w:ascii="Arial Narrow" w:hAnsi="Arial Narrow" w:cs="Calibri"/>
                <w:color w:val="000000"/>
                <w:sz w:val="20"/>
                <w:szCs w:val="20"/>
              </w:rPr>
            </w:pPr>
            <w:r w:rsidRPr="008D1AF1">
              <w:rPr>
                <w:rFonts w:ascii="Arial Narrow" w:hAnsi="Arial Narrow" w:cs="Calibri"/>
                <w:color w:val="000000"/>
                <w:sz w:val="20"/>
                <w:szCs w:val="20"/>
              </w:rPr>
              <w:t>$0.68</w:t>
            </w:r>
          </w:p>
        </w:tc>
      </w:tr>
      <w:tr w:rsidR="00BC7BA9" w:rsidRPr="008D1AF1" w:rsidTr="00BC7BA9">
        <w:tc>
          <w:tcPr>
            <w:tcW w:w="2972" w:type="dxa"/>
            <w:tcBorders>
              <w:top w:val="single" w:sz="4" w:space="0" w:color="auto"/>
              <w:left w:val="single" w:sz="4" w:space="0" w:color="auto"/>
              <w:bottom w:val="single" w:sz="4" w:space="0" w:color="auto"/>
              <w:right w:val="single" w:sz="4" w:space="0" w:color="auto"/>
            </w:tcBorders>
            <w:hideMark/>
          </w:tcPr>
          <w:p w:rsidR="00BC7BA9" w:rsidRPr="008D1AF1" w:rsidRDefault="00BC7BA9">
            <w:pPr>
              <w:keepNext/>
              <w:jc w:val="left"/>
              <w:rPr>
                <w:rFonts w:ascii="Arial Narrow" w:eastAsiaTheme="majorEastAsia" w:hAnsi="Arial Narrow" w:cs="Times New Roman"/>
                <w:sz w:val="20"/>
                <w:lang w:val="en-US"/>
              </w:rPr>
            </w:pPr>
            <w:r w:rsidRPr="008D1AF1">
              <w:rPr>
                <w:rFonts w:ascii="Arial Narrow" w:eastAsiaTheme="majorEastAsia" w:hAnsi="Arial Narrow" w:cs="Times New Roman"/>
                <w:sz w:val="20"/>
                <w:lang w:val="en-US"/>
              </w:rPr>
              <w:t>Monitoring</w:t>
            </w:r>
          </w:p>
        </w:tc>
        <w:tc>
          <w:tcPr>
            <w:tcW w:w="2126" w:type="dxa"/>
            <w:tcBorders>
              <w:top w:val="nil"/>
              <w:left w:val="nil"/>
              <w:bottom w:val="single" w:sz="4" w:space="0" w:color="auto"/>
              <w:right w:val="single" w:sz="4" w:space="0" w:color="auto"/>
            </w:tcBorders>
            <w:vAlign w:val="bottom"/>
            <w:hideMark/>
          </w:tcPr>
          <w:p w:rsidR="00BC7BA9" w:rsidRPr="008D1AF1" w:rsidRDefault="00BC7BA9">
            <w:pPr>
              <w:keepNext/>
              <w:jc w:val="center"/>
              <w:rPr>
                <w:rFonts w:ascii="Arial Narrow" w:hAnsi="Arial Narrow" w:cs="Calibri"/>
                <w:color w:val="000000"/>
                <w:sz w:val="20"/>
                <w:szCs w:val="20"/>
              </w:rPr>
            </w:pPr>
            <w:r w:rsidRPr="008D1AF1">
              <w:rPr>
                <w:rFonts w:ascii="Arial Narrow" w:hAnsi="Arial Narrow" w:cs="Calibri"/>
                <w:color w:val="000000"/>
                <w:sz w:val="20"/>
                <w:szCs w:val="20"/>
              </w:rPr>
              <w:t>$35.06</w:t>
            </w:r>
          </w:p>
        </w:tc>
        <w:tc>
          <w:tcPr>
            <w:tcW w:w="1985" w:type="dxa"/>
            <w:tcBorders>
              <w:top w:val="nil"/>
              <w:left w:val="nil"/>
              <w:bottom w:val="single" w:sz="4" w:space="0" w:color="auto"/>
              <w:right w:val="single" w:sz="4" w:space="0" w:color="auto"/>
            </w:tcBorders>
            <w:vAlign w:val="bottom"/>
            <w:hideMark/>
          </w:tcPr>
          <w:p w:rsidR="00BC7BA9" w:rsidRPr="008D1AF1" w:rsidRDefault="00BC7BA9">
            <w:pPr>
              <w:keepNext/>
              <w:jc w:val="center"/>
              <w:rPr>
                <w:rFonts w:ascii="Arial Narrow" w:hAnsi="Arial Narrow" w:cs="Calibri"/>
                <w:color w:val="000000"/>
                <w:sz w:val="20"/>
                <w:szCs w:val="20"/>
              </w:rPr>
            </w:pPr>
            <w:r w:rsidRPr="008D1AF1">
              <w:rPr>
                <w:rFonts w:ascii="Arial Narrow" w:hAnsi="Arial Narrow" w:cs="Calibri"/>
                <w:color w:val="000000"/>
                <w:sz w:val="20"/>
                <w:szCs w:val="20"/>
              </w:rPr>
              <w:t>$66.97</w:t>
            </w:r>
          </w:p>
        </w:tc>
        <w:tc>
          <w:tcPr>
            <w:tcW w:w="1934" w:type="dxa"/>
            <w:tcBorders>
              <w:top w:val="nil"/>
              <w:left w:val="nil"/>
              <w:bottom w:val="single" w:sz="4" w:space="0" w:color="auto"/>
              <w:right w:val="single" w:sz="4" w:space="0" w:color="auto"/>
            </w:tcBorders>
            <w:vAlign w:val="bottom"/>
            <w:hideMark/>
          </w:tcPr>
          <w:p w:rsidR="00BC7BA9" w:rsidRPr="008D1AF1" w:rsidRDefault="00BC7BA9">
            <w:pPr>
              <w:keepNext/>
              <w:jc w:val="center"/>
              <w:rPr>
                <w:rFonts w:ascii="Arial Narrow" w:hAnsi="Arial Narrow" w:cs="Calibri"/>
                <w:color w:val="000000"/>
                <w:sz w:val="20"/>
                <w:szCs w:val="20"/>
              </w:rPr>
            </w:pPr>
            <w:r w:rsidRPr="008D1AF1">
              <w:rPr>
                <w:rFonts w:ascii="Arial Narrow" w:hAnsi="Arial Narrow" w:cs="Calibri"/>
                <w:color w:val="000000"/>
                <w:sz w:val="20"/>
                <w:szCs w:val="20"/>
              </w:rPr>
              <w:t>-$31.91</w:t>
            </w:r>
          </w:p>
        </w:tc>
      </w:tr>
      <w:tr w:rsidR="00BC7BA9" w:rsidRPr="008D1AF1" w:rsidTr="00BC7BA9">
        <w:tc>
          <w:tcPr>
            <w:tcW w:w="2972" w:type="dxa"/>
            <w:tcBorders>
              <w:top w:val="single" w:sz="4" w:space="0" w:color="auto"/>
              <w:left w:val="single" w:sz="4" w:space="0" w:color="auto"/>
              <w:bottom w:val="single" w:sz="4" w:space="0" w:color="auto"/>
              <w:right w:val="single" w:sz="4" w:space="0" w:color="auto"/>
            </w:tcBorders>
            <w:hideMark/>
          </w:tcPr>
          <w:p w:rsidR="00BC7BA9" w:rsidRPr="008D1AF1" w:rsidRDefault="00BC7BA9">
            <w:pPr>
              <w:keepNext/>
              <w:jc w:val="left"/>
              <w:rPr>
                <w:rFonts w:ascii="Arial Narrow" w:eastAsiaTheme="majorEastAsia" w:hAnsi="Arial Narrow" w:cs="Times New Roman"/>
                <w:sz w:val="20"/>
                <w:lang w:val="en-US"/>
              </w:rPr>
            </w:pPr>
            <w:r w:rsidRPr="008D1AF1">
              <w:rPr>
                <w:rFonts w:ascii="Arial Narrow" w:eastAsiaTheme="majorEastAsia" w:hAnsi="Arial Narrow" w:cs="Times New Roman"/>
                <w:sz w:val="20"/>
                <w:lang w:val="en-US"/>
              </w:rPr>
              <w:t>Adverse events</w:t>
            </w:r>
          </w:p>
        </w:tc>
        <w:tc>
          <w:tcPr>
            <w:tcW w:w="2126" w:type="dxa"/>
            <w:tcBorders>
              <w:top w:val="nil"/>
              <w:left w:val="nil"/>
              <w:bottom w:val="single" w:sz="4" w:space="0" w:color="auto"/>
              <w:right w:val="single" w:sz="4" w:space="0" w:color="auto"/>
            </w:tcBorders>
            <w:vAlign w:val="bottom"/>
            <w:hideMark/>
          </w:tcPr>
          <w:p w:rsidR="00BC7BA9" w:rsidRPr="008D1AF1" w:rsidRDefault="00BC7BA9">
            <w:pPr>
              <w:keepNext/>
              <w:jc w:val="center"/>
              <w:rPr>
                <w:rFonts w:ascii="Arial Narrow" w:hAnsi="Arial Narrow" w:cs="Calibri"/>
                <w:color w:val="000000"/>
                <w:sz w:val="20"/>
                <w:szCs w:val="20"/>
              </w:rPr>
            </w:pPr>
            <w:r w:rsidRPr="008D1AF1">
              <w:rPr>
                <w:rFonts w:ascii="Arial Narrow" w:hAnsi="Arial Narrow" w:cs="Calibri"/>
                <w:color w:val="000000"/>
                <w:sz w:val="20"/>
                <w:szCs w:val="20"/>
              </w:rPr>
              <w:t>$0.09</w:t>
            </w:r>
          </w:p>
        </w:tc>
        <w:tc>
          <w:tcPr>
            <w:tcW w:w="1985" w:type="dxa"/>
            <w:tcBorders>
              <w:top w:val="nil"/>
              <w:left w:val="nil"/>
              <w:bottom w:val="single" w:sz="4" w:space="0" w:color="auto"/>
              <w:right w:val="single" w:sz="4" w:space="0" w:color="auto"/>
            </w:tcBorders>
            <w:vAlign w:val="bottom"/>
            <w:hideMark/>
          </w:tcPr>
          <w:p w:rsidR="00BC7BA9" w:rsidRPr="008D1AF1" w:rsidRDefault="00BC7BA9">
            <w:pPr>
              <w:keepNext/>
              <w:jc w:val="center"/>
              <w:rPr>
                <w:rFonts w:ascii="Arial Narrow" w:hAnsi="Arial Narrow" w:cs="Calibri"/>
                <w:color w:val="000000"/>
                <w:sz w:val="20"/>
                <w:szCs w:val="20"/>
              </w:rPr>
            </w:pPr>
            <w:r w:rsidRPr="008D1AF1">
              <w:rPr>
                <w:rFonts w:ascii="Arial Narrow" w:hAnsi="Arial Narrow" w:cs="Calibri"/>
                <w:color w:val="000000"/>
                <w:sz w:val="20"/>
                <w:szCs w:val="20"/>
              </w:rPr>
              <w:t>$0.23</w:t>
            </w:r>
          </w:p>
        </w:tc>
        <w:tc>
          <w:tcPr>
            <w:tcW w:w="1934" w:type="dxa"/>
            <w:tcBorders>
              <w:top w:val="nil"/>
              <w:left w:val="nil"/>
              <w:bottom w:val="single" w:sz="4" w:space="0" w:color="auto"/>
              <w:right w:val="single" w:sz="4" w:space="0" w:color="auto"/>
            </w:tcBorders>
            <w:vAlign w:val="bottom"/>
            <w:hideMark/>
          </w:tcPr>
          <w:p w:rsidR="00BC7BA9" w:rsidRPr="008D1AF1" w:rsidRDefault="00BC7BA9">
            <w:pPr>
              <w:keepNext/>
              <w:jc w:val="center"/>
              <w:rPr>
                <w:rFonts w:ascii="Arial Narrow" w:hAnsi="Arial Narrow" w:cs="Calibri"/>
                <w:color w:val="000000"/>
                <w:sz w:val="20"/>
                <w:szCs w:val="20"/>
              </w:rPr>
            </w:pPr>
            <w:r w:rsidRPr="008D1AF1">
              <w:rPr>
                <w:rFonts w:ascii="Arial Narrow" w:hAnsi="Arial Narrow" w:cs="Calibri"/>
                <w:color w:val="000000"/>
                <w:sz w:val="20"/>
                <w:szCs w:val="20"/>
              </w:rPr>
              <w:t>-$0.13</w:t>
            </w:r>
          </w:p>
        </w:tc>
      </w:tr>
      <w:tr w:rsidR="00BC7BA9" w:rsidRPr="008D1AF1" w:rsidTr="0052685A">
        <w:tc>
          <w:tcPr>
            <w:tcW w:w="2972" w:type="dxa"/>
            <w:tcBorders>
              <w:top w:val="single" w:sz="4" w:space="0" w:color="auto"/>
              <w:left w:val="single" w:sz="4" w:space="0" w:color="auto"/>
              <w:bottom w:val="single" w:sz="4" w:space="0" w:color="auto"/>
              <w:right w:val="single" w:sz="4" w:space="0" w:color="auto"/>
            </w:tcBorders>
            <w:hideMark/>
          </w:tcPr>
          <w:p w:rsidR="00BC7BA9" w:rsidRPr="008D1AF1" w:rsidRDefault="00BC7BA9" w:rsidP="00DA1473">
            <w:pPr>
              <w:keepNext/>
              <w:jc w:val="left"/>
              <w:rPr>
                <w:rFonts w:ascii="Arial Narrow" w:eastAsiaTheme="majorEastAsia" w:hAnsi="Arial Narrow" w:cstheme="majorBidi"/>
                <w:b/>
                <w:bCs/>
                <w:sz w:val="20"/>
              </w:rPr>
            </w:pPr>
            <w:r w:rsidRPr="008D1AF1">
              <w:rPr>
                <w:rFonts w:ascii="Arial Narrow" w:eastAsiaTheme="majorEastAsia" w:hAnsi="Arial Narrow" w:cstheme="majorBidi"/>
                <w:b/>
                <w:bCs/>
                <w:sz w:val="20"/>
              </w:rPr>
              <w:t>Total cost per cycle</w:t>
            </w:r>
          </w:p>
        </w:tc>
        <w:tc>
          <w:tcPr>
            <w:tcW w:w="2126" w:type="dxa"/>
            <w:tcBorders>
              <w:top w:val="nil"/>
              <w:left w:val="nil"/>
              <w:bottom w:val="single" w:sz="4" w:space="0" w:color="auto"/>
              <w:right w:val="single" w:sz="4" w:space="0" w:color="auto"/>
            </w:tcBorders>
            <w:vAlign w:val="bottom"/>
            <w:hideMark/>
          </w:tcPr>
          <w:p w:rsidR="00BC7BA9" w:rsidRPr="008D1AF1" w:rsidRDefault="00BC7BA9" w:rsidP="00DA1473">
            <w:pPr>
              <w:keepNext/>
              <w:jc w:val="center"/>
              <w:rPr>
                <w:rFonts w:ascii="Arial Narrow" w:eastAsiaTheme="majorEastAsia" w:hAnsi="Arial Narrow" w:cstheme="majorBidi"/>
                <w:b/>
                <w:bCs/>
                <w:sz w:val="20"/>
                <w:vertAlign w:val="superscript"/>
              </w:rPr>
            </w:pPr>
            <w:r w:rsidRPr="00981021">
              <w:rPr>
                <w:rFonts w:ascii="Arial Narrow" w:eastAsiaTheme="majorEastAsia" w:hAnsi="Arial Narrow" w:cstheme="majorBidi"/>
                <w:b/>
                <w:bCs/>
                <w:i/>
                <w:sz w:val="20"/>
              </w:rPr>
              <w:t>$</w:t>
            </w:r>
            <w:r w:rsidR="005E31C0">
              <w:rPr>
                <w:rFonts w:ascii="Arial Narrow" w:eastAsiaTheme="majorEastAsia" w:hAnsi="Arial Narrow" w:cstheme="majorBidi"/>
                <w:b/>
                <w:bCs/>
                <w:i/>
                <w:noProof/>
                <w:color w:val="000000"/>
                <w:sz w:val="20"/>
                <w:highlight w:val="black"/>
              </w:rPr>
              <w:t>''''''''''''''''''</w:t>
            </w:r>
            <w:r w:rsidR="00986F3E" w:rsidRPr="008D1AF1">
              <w:rPr>
                <w:rFonts w:ascii="Arial Narrow" w:eastAsiaTheme="majorEastAsia" w:hAnsi="Arial Narrow" w:cstheme="majorBidi"/>
                <w:b/>
                <w:bCs/>
                <w:sz w:val="20"/>
              </w:rPr>
              <w:t xml:space="preserve"> </w:t>
            </w:r>
            <w:r w:rsidR="00986F3E" w:rsidRPr="008D1AF1">
              <w:rPr>
                <w:rFonts w:ascii="Arial Narrow" w:eastAsiaTheme="majorEastAsia" w:hAnsi="Arial Narrow" w:cstheme="majorBidi"/>
                <w:b/>
                <w:bCs/>
                <w:sz w:val="20"/>
                <w:vertAlign w:val="superscript"/>
              </w:rPr>
              <w:t>a</w:t>
            </w:r>
          </w:p>
        </w:tc>
        <w:tc>
          <w:tcPr>
            <w:tcW w:w="1985" w:type="dxa"/>
            <w:tcBorders>
              <w:top w:val="nil"/>
              <w:left w:val="nil"/>
              <w:bottom w:val="single" w:sz="4" w:space="0" w:color="auto"/>
              <w:right w:val="single" w:sz="4" w:space="0" w:color="auto"/>
            </w:tcBorders>
            <w:vAlign w:val="center"/>
            <w:hideMark/>
          </w:tcPr>
          <w:p w:rsidR="00BC7BA9" w:rsidRPr="008D1AF1" w:rsidRDefault="00BC7BA9" w:rsidP="00DA1473">
            <w:pPr>
              <w:keepNext/>
              <w:jc w:val="center"/>
              <w:rPr>
                <w:rFonts w:ascii="Arial Narrow" w:eastAsiaTheme="majorEastAsia" w:hAnsi="Arial Narrow" w:cstheme="majorBidi"/>
                <w:bCs/>
                <w:sz w:val="20"/>
              </w:rPr>
            </w:pPr>
            <w:r w:rsidRPr="008D1AF1">
              <w:rPr>
                <w:rFonts w:ascii="Arial Narrow" w:hAnsi="Arial Narrow" w:cs="Calibri"/>
                <w:b/>
                <w:bCs/>
                <w:color w:val="000000"/>
                <w:sz w:val="20"/>
                <w:szCs w:val="20"/>
              </w:rPr>
              <w:t>$</w:t>
            </w:r>
            <w:r w:rsidR="005E31C0">
              <w:rPr>
                <w:rFonts w:ascii="Arial Narrow" w:hAnsi="Arial Narrow" w:cs="Calibri"/>
                <w:b/>
                <w:bCs/>
                <w:noProof/>
                <w:color w:val="000000"/>
                <w:sz w:val="20"/>
                <w:szCs w:val="20"/>
                <w:highlight w:val="black"/>
              </w:rPr>
              <w:t>''''''''''''''''</w:t>
            </w:r>
          </w:p>
        </w:tc>
        <w:tc>
          <w:tcPr>
            <w:tcW w:w="1934" w:type="dxa"/>
            <w:tcBorders>
              <w:top w:val="nil"/>
              <w:left w:val="nil"/>
              <w:bottom w:val="single" w:sz="4" w:space="0" w:color="auto"/>
              <w:right w:val="single" w:sz="4" w:space="0" w:color="auto"/>
            </w:tcBorders>
            <w:vAlign w:val="bottom"/>
            <w:hideMark/>
          </w:tcPr>
          <w:p w:rsidR="00BC7BA9" w:rsidRPr="008D1AF1" w:rsidRDefault="00BC7BA9" w:rsidP="00DA1473">
            <w:pPr>
              <w:keepNext/>
              <w:jc w:val="center"/>
              <w:rPr>
                <w:rFonts w:ascii="Arial Narrow" w:hAnsi="Arial Narrow" w:cs="Calibri"/>
                <w:b/>
                <w:bCs/>
                <w:color w:val="000000"/>
                <w:sz w:val="20"/>
                <w:szCs w:val="20"/>
                <w:vertAlign w:val="superscript"/>
              </w:rPr>
            </w:pPr>
            <w:r w:rsidRPr="00981021">
              <w:rPr>
                <w:rFonts w:ascii="Arial Narrow" w:hAnsi="Arial Narrow" w:cs="Calibri"/>
                <w:b/>
                <w:bCs/>
                <w:i/>
                <w:color w:val="000000"/>
                <w:sz w:val="20"/>
                <w:szCs w:val="20"/>
              </w:rPr>
              <w:t>$</w:t>
            </w:r>
            <w:r w:rsidR="005E31C0">
              <w:rPr>
                <w:rFonts w:ascii="Arial Narrow" w:hAnsi="Arial Narrow" w:cs="Calibri"/>
                <w:b/>
                <w:bCs/>
                <w:i/>
                <w:noProof/>
                <w:color w:val="000000"/>
                <w:sz w:val="20"/>
                <w:szCs w:val="20"/>
                <w:highlight w:val="black"/>
              </w:rPr>
              <w:t>'''''''''''''''</w:t>
            </w:r>
            <w:r w:rsidR="00986F3E" w:rsidRPr="008D1AF1">
              <w:rPr>
                <w:rFonts w:ascii="Arial Narrow" w:hAnsi="Arial Narrow" w:cs="Calibri"/>
                <w:b/>
                <w:bCs/>
                <w:color w:val="000000"/>
                <w:sz w:val="20"/>
                <w:szCs w:val="20"/>
              </w:rPr>
              <w:t xml:space="preserve"> </w:t>
            </w:r>
            <w:r w:rsidR="00986F3E" w:rsidRPr="008D1AF1">
              <w:rPr>
                <w:rFonts w:ascii="Arial Narrow" w:hAnsi="Arial Narrow" w:cs="Calibri"/>
                <w:b/>
                <w:bCs/>
                <w:color w:val="000000"/>
                <w:sz w:val="20"/>
                <w:szCs w:val="20"/>
                <w:vertAlign w:val="superscript"/>
              </w:rPr>
              <w:t>a</w:t>
            </w:r>
          </w:p>
        </w:tc>
      </w:tr>
      <w:tr w:rsidR="0052685A" w:rsidRPr="008D1AF1" w:rsidTr="00586FB1">
        <w:tc>
          <w:tcPr>
            <w:tcW w:w="9017" w:type="dxa"/>
            <w:gridSpan w:val="4"/>
            <w:tcBorders>
              <w:top w:val="single" w:sz="4" w:space="0" w:color="auto"/>
              <w:left w:val="single" w:sz="4" w:space="0" w:color="auto"/>
              <w:bottom w:val="single" w:sz="4" w:space="0" w:color="auto"/>
              <w:right w:val="single" w:sz="4" w:space="0" w:color="auto"/>
            </w:tcBorders>
          </w:tcPr>
          <w:p w:rsidR="0052685A" w:rsidRPr="008D1AF1" w:rsidRDefault="0052685A" w:rsidP="0052685A">
            <w:pPr>
              <w:keepNext/>
              <w:jc w:val="left"/>
              <w:rPr>
                <w:rFonts w:ascii="Arial Narrow" w:hAnsi="Arial Narrow" w:cs="Calibri"/>
                <w:b/>
                <w:bCs/>
                <w:color w:val="000000"/>
                <w:sz w:val="20"/>
                <w:szCs w:val="20"/>
              </w:rPr>
            </w:pPr>
            <w:r w:rsidRPr="008D1AF1">
              <w:rPr>
                <w:rFonts w:ascii="Arial Narrow" w:hAnsi="Arial Narrow" w:cs="Calibri"/>
                <w:b/>
                <w:bCs/>
                <w:color w:val="000000"/>
                <w:sz w:val="20"/>
                <w:szCs w:val="20"/>
              </w:rPr>
              <w:t>Price of ribociclib required for cost-minimisation</w:t>
            </w:r>
            <w:r w:rsidR="00A54F3B" w:rsidRPr="008D1AF1">
              <w:rPr>
                <w:rFonts w:ascii="Arial Narrow" w:hAnsi="Arial Narrow" w:cs="Calibri"/>
                <w:b/>
                <w:bCs/>
                <w:color w:val="000000"/>
                <w:sz w:val="20"/>
                <w:szCs w:val="20"/>
              </w:rPr>
              <w:t xml:space="preserve"> (no net difference in total cost per cycle)</w:t>
            </w:r>
          </w:p>
        </w:tc>
      </w:tr>
      <w:tr w:rsidR="0052685A" w:rsidRPr="008D1AF1" w:rsidTr="0052685A">
        <w:tc>
          <w:tcPr>
            <w:tcW w:w="2972" w:type="dxa"/>
            <w:tcBorders>
              <w:top w:val="single" w:sz="4" w:space="0" w:color="auto"/>
              <w:left w:val="single" w:sz="4" w:space="0" w:color="auto"/>
              <w:bottom w:val="single" w:sz="4" w:space="0" w:color="auto"/>
              <w:right w:val="single" w:sz="4" w:space="0" w:color="auto"/>
            </w:tcBorders>
          </w:tcPr>
          <w:p w:rsidR="0052685A" w:rsidRPr="008D1AF1" w:rsidRDefault="0052685A">
            <w:pPr>
              <w:keepNext/>
              <w:jc w:val="left"/>
              <w:rPr>
                <w:rFonts w:ascii="Arial Narrow" w:eastAsiaTheme="majorEastAsia" w:hAnsi="Arial Narrow" w:cstheme="majorBidi"/>
                <w:bCs/>
                <w:sz w:val="20"/>
              </w:rPr>
            </w:pPr>
            <w:r w:rsidRPr="008D1AF1">
              <w:rPr>
                <w:rFonts w:ascii="Arial Narrow" w:eastAsiaTheme="majorEastAsia" w:hAnsi="Arial Narrow" w:cs="Times New Roman"/>
                <w:sz w:val="20"/>
                <w:lang w:val="en-US"/>
              </w:rPr>
              <w:t>Ribociclib, AEMP (proposed)</w:t>
            </w:r>
          </w:p>
        </w:tc>
        <w:tc>
          <w:tcPr>
            <w:tcW w:w="2126" w:type="dxa"/>
            <w:tcBorders>
              <w:top w:val="single" w:sz="4" w:space="0" w:color="auto"/>
              <w:left w:val="nil"/>
              <w:bottom w:val="single" w:sz="4" w:space="0" w:color="auto"/>
              <w:right w:val="single" w:sz="4" w:space="0" w:color="auto"/>
            </w:tcBorders>
            <w:vAlign w:val="bottom"/>
          </w:tcPr>
          <w:p w:rsidR="0052685A" w:rsidRPr="008D1AF1" w:rsidRDefault="0052685A">
            <w:pPr>
              <w:keepNext/>
              <w:jc w:val="center"/>
              <w:rPr>
                <w:rFonts w:ascii="Arial Narrow" w:hAnsi="Arial Narrow" w:cs="Calibri"/>
                <w:color w:val="000000"/>
                <w:sz w:val="20"/>
                <w:szCs w:val="20"/>
              </w:rPr>
            </w:pPr>
            <w:r w:rsidRPr="008D1AF1">
              <w:rPr>
                <w:rFonts w:ascii="Arial Narrow" w:hAnsi="Arial Narrow" w:cs="Calibri"/>
                <w:color w:val="000000"/>
                <w:sz w:val="20"/>
                <w:szCs w:val="20"/>
              </w:rPr>
              <w:t>$</w:t>
            </w:r>
            <w:r w:rsidR="005E31C0">
              <w:rPr>
                <w:rFonts w:ascii="Arial Narrow" w:hAnsi="Arial Narrow" w:cs="Calibri"/>
                <w:noProof/>
                <w:color w:val="000000"/>
                <w:sz w:val="20"/>
                <w:szCs w:val="20"/>
                <w:highlight w:val="black"/>
              </w:rPr>
              <w:t>''''''''''''''''''''''</w:t>
            </w:r>
          </w:p>
          <w:p w:rsidR="0052685A" w:rsidRPr="008D1AF1" w:rsidRDefault="0052685A">
            <w:pPr>
              <w:keepNext/>
              <w:jc w:val="center"/>
              <w:rPr>
                <w:rFonts w:ascii="Arial Narrow" w:hAnsi="Arial Narrow" w:cs="Calibri"/>
                <w:b/>
                <w:bCs/>
                <w:color w:val="000000"/>
                <w:sz w:val="20"/>
                <w:szCs w:val="20"/>
                <w:vertAlign w:val="superscript"/>
              </w:rPr>
            </w:pPr>
            <w:r w:rsidRPr="00981021">
              <w:rPr>
                <w:rFonts w:ascii="Arial Narrow" w:hAnsi="Arial Narrow" w:cs="Calibri"/>
                <w:i/>
                <w:color w:val="000000"/>
                <w:sz w:val="20"/>
                <w:szCs w:val="20"/>
              </w:rPr>
              <w:t>$</w:t>
            </w:r>
            <w:r w:rsidR="005E31C0">
              <w:rPr>
                <w:rFonts w:ascii="Arial Narrow" w:hAnsi="Arial Narrow" w:cs="Calibri"/>
                <w:i/>
                <w:noProof/>
                <w:color w:val="000000"/>
                <w:sz w:val="20"/>
                <w:szCs w:val="20"/>
                <w:highlight w:val="black"/>
              </w:rPr>
              <w:t>''''''''''''''''''''''</w:t>
            </w:r>
            <w:r w:rsidR="00DA1473" w:rsidRPr="00981021">
              <w:rPr>
                <w:rFonts w:ascii="Arial Narrow" w:hAnsi="Arial Narrow" w:cs="Calibri"/>
                <w:i/>
                <w:color w:val="000000"/>
                <w:sz w:val="20"/>
                <w:szCs w:val="20"/>
              </w:rPr>
              <w:t xml:space="preserve"> (corrected)</w:t>
            </w:r>
            <w:r w:rsidR="00986F3E" w:rsidRPr="008D1AF1">
              <w:rPr>
                <w:rFonts w:ascii="Arial Narrow" w:hAnsi="Arial Narrow" w:cs="Calibri"/>
                <w:color w:val="000000"/>
                <w:sz w:val="20"/>
                <w:szCs w:val="20"/>
              </w:rPr>
              <w:t xml:space="preserve"> </w:t>
            </w:r>
            <w:r w:rsidR="00986F3E" w:rsidRPr="008D1AF1">
              <w:rPr>
                <w:rFonts w:ascii="Arial Narrow" w:hAnsi="Arial Narrow" w:cs="Calibri"/>
                <w:color w:val="000000"/>
                <w:sz w:val="20"/>
                <w:szCs w:val="20"/>
                <w:vertAlign w:val="superscript"/>
              </w:rPr>
              <w:t>a</w:t>
            </w:r>
          </w:p>
        </w:tc>
        <w:tc>
          <w:tcPr>
            <w:tcW w:w="1985" w:type="dxa"/>
            <w:tcBorders>
              <w:top w:val="single" w:sz="4" w:space="0" w:color="auto"/>
              <w:left w:val="nil"/>
              <w:bottom w:val="single" w:sz="4" w:space="0" w:color="auto"/>
              <w:right w:val="single" w:sz="4" w:space="0" w:color="auto"/>
            </w:tcBorders>
            <w:vAlign w:val="center"/>
          </w:tcPr>
          <w:p w:rsidR="0052685A" w:rsidRPr="008D1AF1" w:rsidRDefault="0052685A">
            <w:pPr>
              <w:keepNext/>
              <w:jc w:val="center"/>
              <w:rPr>
                <w:rFonts w:ascii="Arial Narrow" w:hAnsi="Arial Narrow" w:cs="Calibri"/>
                <w:b/>
                <w:bCs/>
                <w:color w:val="000000"/>
                <w:sz w:val="20"/>
                <w:szCs w:val="20"/>
              </w:rPr>
            </w:pPr>
          </w:p>
        </w:tc>
        <w:tc>
          <w:tcPr>
            <w:tcW w:w="1934" w:type="dxa"/>
            <w:tcBorders>
              <w:top w:val="single" w:sz="4" w:space="0" w:color="auto"/>
              <w:left w:val="nil"/>
              <w:bottom w:val="single" w:sz="4" w:space="0" w:color="auto"/>
              <w:right w:val="single" w:sz="4" w:space="0" w:color="auto"/>
            </w:tcBorders>
            <w:vAlign w:val="bottom"/>
          </w:tcPr>
          <w:p w:rsidR="0052685A" w:rsidRPr="008D1AF1" w:rsidRDefault="0052685A">
            <w:pPr>
              <w:keepNext/>
              <w:jc w:val="center"/>
              <w:rPr>
                <w:rFonts w:ascii="Arial Narrow" w:hAnsi="Arial Narrow" w:cs="Calibri"/>
                <w:b/>
                <w:bCs/>
                <w:color w:val="000000"/>
                <w:sz w:val="20"/>
                <w:szCs w:val="20"/>
              </w:rPr>
            </w:pPr>
          </w:p>
        </w:tc>
      </w:tr>
    </w:tbl>
    <w:p w:rsidR="00BC7BA9" w:rsidRDefault="00BC7BA9" w:rsidP="00BC7BA9">
      <w:pPr>
        <w:pStyle w:val="TableFigureFooter"/>
      </w:pPr>
      <w:r>
        <w:t xml:space="preserve">Source: Table 3-6, p185 of the submission. </w:t>
      </w:r>
      <w:r w:rsidRPr="008D1AF1">
        <w:rPr>
          <w:iCs/>
        </w:rPr>
        <w:t>Italicised values calculated during the evaluation to correct the price of fulvestrant</w:t>
      </w:r>
      <w:r w:rsidRPr="008D1AF1">
        <w:t>.</w:t>
      </w:r>
    </w:p>
    <w:p w:rsidR="00BC7BA9" w:rsidRDefault="00BC7BA9" w:rsidP="00BC7BA9">
      <w:pPr>
        <w:pStyle w:val="TableFigureFooter"/>
      </w:pPr>
      <w:r>
        <w:t>RIBO+FULV = ribociclib + fulvestrant; RIBO+NSAI = ribociclib + non-steroidal aromatase inhibitor.</w:t>
      </w:r>
    </w:p>
    <w:p w:rsidR="00BC7BA9" w:rsidRPr="00DA1473" w:rsidRDefault="00BC7BA9" w:rsidP="007745DD">
      <w:pPr>
        <w:pStyle w:val="TableFigureFooter"/>
        <w:spacing w:after="240"/>
      </w:pPr>
      <w:r w:rsidRPr="00DA1473">
        <w:rPr>
          <w:vertAlign w:val="superscript"/>
        </w:rPr>
        <w:t>a</w:t>
      </w:r>
      <w:r w:rsidR="007745DD" w:rsidRPr="00DA1473">
        <w:t xml:space="preserve"> T</w:t>
      </w:r>
      <w:r w:rsidRPr="00DA1473">
        <w:t>he model incorrectly list</w:t>
      </w:r>
      <w:r w:rsidR="00DA1473">
        <w:t>ed</w:t>
      </w:r>
      <w:r w:rsidRPr="00DA1473">
        <w:t xml:space="preserve"> the cost of the fulvestrant loading dose as $</w:t>
      </w:r>
      <w:r w:rsidR="005E31C0">
        <w:rPr>
          <w:noProof/>
          <w:color w:val="000000"/>
          <w:highlight w:val="black"/>
        </w:rPr>
        <w:t>''''''''</w:t>
      </w:r>
      <w:r w:rsidRPr="00DA1473">
        <w:t>. When corrected to $</w:t>
      </w:r>
      <w:r w:rsidR="005E31C0">
        <w:rPr>
          <w:noProof/>
          <w:color w:val="000000"/>
          <w:highlight w:val="black"/>
        </w:rPr>
        <w:t>''''''''''</w:t>
      </w:r>
      <w:r w:rsidRPr="00DA1473">
        <w:t>, the per-cycle cost becomes $</w:t>
      </w:r>
      <w:r w:rsidR="005E31C0">
        <w:rPr>
          <w:noProof/>
          <w:color w:val="000000"/>
          <w:highlight w:val="black"/>
        </w:rPr>
        <w:t>''''''''''''''</w:t>
      </w:r>
      <w:r w:rsidRPr="00DA1473">
        <w:t xml:space="preserve"> </w:t>
      </w:r>
    </w:p>
    <w:p w:rsidR="00EF53A3" w:rsidRDefault="00EF53A3" w:rsidP="00EF53A3">
      <w:pPr>
        <w:pStyle w:val="3-BodyText"/>
      </w:pPr>
      <w:r>
        <w:t xml:space="preserve">The submission concluded that the 28-day treatment cost of </w:t>
      </w:r>
      <w:r w:rsidR="002B4D25">
        <w:t>RIBO+FULV</w:t>
      </w:r>
      <w:r>
        <w:t xml:space="preserve"> will be </w:t>
      </w:r>
      <w:r w:rsidRPr="0011592E">
        <w:t>$</w:t>
      </w:r>
      <w:r w:rsidR="005E31C0">
        <w:rPr>
          <w:noProof/>
          <w:color w:val="000000"/>
          <w:highlight w:val="black"/>
        </w:rPr>
        <w:t>''''''''''''''</w:t>
      </w:r>
      <w:r>
        <w:t xml:space="preserve"> higher than </w:t>
      </w:r>
      <w:r w:rsidR="002B4D25">
        <w:t>RIBO+NSAI</w:t>
      </w:r>
      <w:r>
        <w:t xml:space="preserve">. </w:t>
      </w:r>
      <w:r w:rsidR="007745DD">
        <w:t>Thus, t</w:t>
      </w:r>
      <w:r>
        <w:t xml:space="preserve">he submission </w:t>
      </w:r>
      <w:r w:rsidR="007745DD">
        <w:t>noted that</w:t>
      </w:r>
      <w:r>
        <w:t xml:space="preserve"> a price reduction </w:t>
      </w:r>
      <w:r w:rsidR="0052685A">
        <w:t xml:space="preserve">would be required </w:t>
      </w:r>
      <w:r>
        <w:t xml:space="preserve">for ribociclib when used in combination with fulvestrant as first line treatment. </w:t>
      </w:r>
      <w:r w:rsidR="0052685A">
        <w:t>As such, t</w:t>
      </w:r>
      <w:r w:rsidRPr="002A1B96">
        <w:t xml:space="preserve">he proposed effective AEMP for ribociclib 600 mg dose </w:t>
      </w:r>
      <w:r w:rsidR="0052685A">
        <w:t xml:space="preserve">in this setting </w:t>
      </w:r>
      <w:r w:rsidR="00707E4A">
        <w:t>was</w:t>
      </w:r>
      <w:r w:rsidRPr="002A1B96">
        <w:t xml:space="preserve"> $</w:t>
      </w:r>
      <w:r w:rsidR="005E31C0">
        <w:rPr>
          <w:noProof/>
          <w:color w:val="000000"/>
          <w:highlight w:val="black"/>
        </w:rPr>
        <w:t>''''''''''''''''</w:t>
      </w:r>
      <w:r w:rsidR="00707E4A">
        <w:t>.</w:t>
      </w:r>
      <w:r w:rsidR="00BC22E7">
        <w:t xml:space="preserve"> </w:t>
      </w:r>
      <w:r w:rsidR="00707E4A">
        <w:t>T</w:t>
      </w:r>
      <w:r w:rsidR="00BC22E7">
        <w:t xml:space="preserve">his was corrected to </w:t>
      </w:r>
      <w:r w:rsidRPr="007E0B5F">
        <w:t>$</w:t>
      </w:r>
      <w:r w:rsidR="005E31C0">
        <w:rPr>
          <w:noProof/>
          <w:color w:val="000000"/>
          <w:highlight w:val="black"/>
        </w:rPr>
        <w:t>''''''''''''''''</w:t>
      </w:r>
      <w:r w:rsidR="00BC22E7">
        <w:t xml:space="preserve"> in the evaluation</w:t>
      </w:r>
      <w:r w:rsidRPr="007E0B5F">
        <w:t>.</w:t>
      </w:r>
    </w:p>
    <w:p w:rsidR="00E370E1" w:rsidRDefault="00E370E1" w:rsidP="00EF5378">
      <w:pPr>
        <w:pStyle w:val="3-BodyText"/>
      </w:pPr>
      <w:r>
        <w:t xml:space="preserve">The </w:t>
      </w:r>
      <w:r w:rsidR="006D57D8">
        <w:t xml:space="preserve">cost-minimisation analysis was based on the current </w:t>
      </w:r>
      <w:r>
        <w:t xml:space="preserve">AEMP of ribociclib </w:t>
      </w:r>
      <w:r w:rsidR="006D57D8">
        <w:t xml:space="preserve">(in its current listing for use in combination with </w:t>
      </w:r>
      <w:r w:rsidR="003C3BBF">
        <w:t>NSAI</w:t>
      </w:r>
      <w:r w:rsidR="006D57D8">
        <w:t>)</w:t>
      </w:r>
      <w:r>
        <w:t>.</w:t>
      </w:r>
      <w:r w:rsidRPr="00E370E1">
        <w:t xml:space="preserve"> </w:t>
      </w:r>
      <w:r>
        <w:t xml:space="preserve">However, </w:t>
      </w:r>
      <w:r w:rsidR="006D57D8">
        <w:t xml:space="preserve">in its </w:t>
      </w:r>
      <w:r w:rsidR="006D57D8" w:rsidRPr="003A6106">
        <w:t xml:space="preserve">March 2018 recommendation of ribociclib, the PBAC considered that </w:t>
      </w:r>
      <w:r w:rsidR="006D57D8">
        <w:t xml:space="preserve">the </w:t>
      </w:r>
      <w:r w:rsidR="006D57D8" w:rsidRPr="003A6106">
        <w:t>cost-effectiveness</w:t>
      </w:r>
      <w:r w:rsidR="006D57D8">
        <w:t xml:space="preserve"> of ribociclib</w:t>
      </w:r>
      <w:r w:rsidR="006D57D8" w:rsidRPr="003A6106">
        <w:t xml:space="preserve"> (in that setting) could be improved “via a reduction in price in conjunction with financial caps” (Para 6.1, ribociclib PSD, March 2019). </w:t>
      </w:r>
      <w:r w:rsidR="006D57D8">
        <w:t xml:space="preserve">The PBAC noted that </w:t>
      </w:r>
      <w:r w:rsidR="00536FAE">
        <w:t xml:space="preserve">at the time of </w:t>
      </w:r>
      <w:r w:rsidR="0069387B">
        <w:t>recommending ribociclib</w:t>
      </w:r>
      <w:r w:rsidR="00536FAE">
        <w:t xml:space="preserve">, the </w:t>
      </w:r>
      <w:r w:rsidR="006D57D8">
        <w:t xml:space="preserve">caps were intended to be exceeded by 27% to achieve cost-effective net pricing. </w:t>
      </w:r>
      <w:r>
        <w:t xml:space="preserve">Thus, the PBAC considered that the </w:t>
      </w:r>
      <w:r w:rsidR="003C3BBF">
        <w:t>comparator price for currently listed</w:t>
      </w:r>
      <w:r w:rsidR="003C3BBF" w:rsidRPr="00E370E1">
        <w:t xml:space="preserve"> </w:t>
      </w:r>
      <w:r w:rsidR="003C3BBF">
        <w:t>ribociclib</w:t>
      </w:r>
      <w:r w:rsidRPr="00E370E1">
        <w:t xml:space="preserve"> </w:t>
      </w:r>
      <w:r>
        <w:t>(for use in comb</w:t>
      </w:r>
      <w:r w:rsidR="006D57D8">
        <w:t>inati</w:t>
      </w:r>
      <w:r w:rsidR="003C3BBF">
        <w:t>on with NSAI</w:t>
      </w:r>
      <w:r w:rsidR="006D57D8">
        <w:t>) applied in the cost-minimisation analysis sh</w:t>
      </w:r>
      <w:r w:rsidRPr="00E370E1">
        <w:t xml:space="preserve">ould </w:t>
      </w:r>
      <w:r w:rsidR="00EF5378" w:rsidRPr="00EF5378">
        <w:t xml:space="preserve">take into account the effective price that was intended for RIBO+NSAI </w:t>
      </w:r>
      <w:r w:rsidR="00EF5378">
        <w:t>including</w:t>
      </w:r>
      <w:r w:rsidR="00EF5378" w:rsidRPr="00EF5378">
        <w:t xml:space="preserve"> both the effective price and the </w:t>
      </w:r>
      <w:r w:rsidR="006D57D8">
        <w:t>intended</w:t>
      </w:r>
      <w:r w:rsidRPr="00E370E1">
        <w:t xml:space="preserve"> RSA rebate for breaching the subsidisati</w:t>
      </w:r>
      <w:r w:rsidRPr="004D7B49">
        <w:t>on caps</w:t>
      </w:r>
      <w:r w:rsidR="006D57D8" w:rsidRPr="004D7B49">
        <w:t>.</w:t>
      </w:r>
    </w:p>
    <w:p w:rsidR="0009171B" w:rsidRPr="003737EC" w:rsidRDefault="0009171B" w:rsidP="0009171B">
      <w:pPr>
        <w:pStyle w:val="3-BodyText"/>
        <w:numPr>
          <w:ilvl w:val="0"/>
          <w:numId w:val="0"/>
        </w:numPr>
        <w:spacing w:before="240"/>
        <w:ind w:left="720" w:hanging="720"/>
        <w:outlineLvl w:val="2"/>
        <w:rPr>
          <w:b/>
          <w:lang w:val="en-US"/>
        </w:rPr>
      </w:pPr>
      <w:bookmarkStart w:id="46" w:name="_Toc40716951"/>
      <w:r w:rsidRPr="003737EC">
        <w:rPr>
          <w:b/>
          <w:lang w:val="en-US"/>
        </w:rPr>
        <w:t>Cost-effectiveness analysis (RIBO+FULV versus EVE+EXE)</w:t>
      </w:r>
      <w:bookmarkEnd w:id="46"/>
    </w:p>
    <w:p w:rsidR="00EF53A3" w:rsidRPr="007004E6" w:rsidRDefault="00EF53A3" w:rsidP="00EF53A3">
      <w:pPr>
        <w:pStyle w:val="3-BodyText"/>
        <w:rPr>
          <w:bCs/>
          <w:lang w:val="en-US"/>
        </w:rPr>
      </w:pPr>
      <w:r>
        <w:rPr>
          <w:bCs/>
          <w:lang w:val="en-US"/>
        </w:rPr>
        <w:t xml:space="preserve">The submission presented a </w:t>
      </w:r>
      <w:r w:rsidRPr="00A627AA">
        <w:rPr>
          <w:bCs/>
          <w:lang w:val="en-US"/>
        </w:rPr>
        <w:t>cost-effectiveness analysis</w:t>
      </w:r>
      <w:r>
        <w:rPr>
          <w:bCs/>
          <w:lang w:val="en-US"/>
        </w:rPr>
        <w:t xml:space="preserve"> comparing </w:t>
      </w:r>
      <w:r w:rsidR="002B4D25">
        <w:rPr>
          <w:bCs/>
          <w:lang w:val="en-US"/>
        </w:rPr>
        <w:t xml:space="preserve">RIBO+FULV </w:t>
      </w:r>
      <w:r>
        <w:rPr>
          <w:bCs/>
          <w:lang w:val="en-US"/>
        </w:rPr>
        <w:t xml:space="preserve">to </w:t>
      </w:r>
      <w:r w:rsidR="002B4D25">
        <w:rPr>
          <w:bCs/>
          <w:lang w:val="en-US"/>
        </w:rPr>
        <w:t>EVE+EXE</w:t>
      </w:r>
      <w:r>
        <w:rPr>
          <w:bCs/>
          <w:lang w:val="en-US"/>
        </w:rPr>
        <w:t xml:space="preserve"> as </w:t>
      </w:r>
      <w:r w:rsidRPr="00A627AA">
        <w:rPr>
          <w:bCs/>
          <w:lang w:val="en-US"/>
        </w:rPr>
        <w:t>second line treatment</w:t>
      </w:r>
      <w:r>
        <w:rPr>
          <w:bCs/>
          <w:lang w:val="en-US"/>
        </w:rPr>
        <w:t xml:space="preserve"> for HR+ HER2- advanced breast cancer</w:t>
      </w:r>
      <w:r w:rsidR="009821FA">
        <w:rPr>
          <w:bCs/>
          <w:lang w:val="en-US"/>
        </w:rPr>
        <w:t>, using the results from the unanchored MAIC in the base case</w:t>
      </w:r>
      <w:r>
        <w:rPr>
          <w:bCs/>
          <w:lang w:val="en-US"/>
        </w:rPr>
        <w:t xml:space="preserve">. </w:t>
      </w:r>
    </w:p>
    <w:p w:rsidR="00F651F3" w:rsidRPr="005D6FC6" w:rsidRDefault="00F651F3" w:rsidP="00F651F3">
      <w:pPr>
        <w:pStyle w:val="3-BodyText"/>
        <w:rPr>
          <w:bCs/>
          <w:lang w:val="en-US"/>
        </w:rPr>
      </w:pPr>
      <w:r w:rsidRPr="005D6FC6">
        <w:rPr>
          <w:bCs/>
          <w:lang w:val="en-US"/>
        </w:rPr>
        <w:t xml:space="preserve">Table </w:t>
      </w:r>
      <w:r w:rsidR="00741187">
        <w:rPr>
          <w:bCs/>
          <w:lang w:val="en-US"/>
        </w:rPr>
        <w:t>1</w:t>
      </w:r>
      <w:r w:rsidR="00EE094F">
        <w:rPr>
          <w:bCs/>
          <w:lang w:val="en-US"/>
        </w:rPr>
        <w:t>3</w:t>
      </w:r>
      <w:r w:rsidR="00741187" w:rsidRPr="005D6FC6">
        <w:rPr>
          <w:bCs/>
          <w:lang w:val="en-US"/>
        </w:rPr>
        <w:t xml:space="preserve"> </w:t>
      </w:r>
      <w:r w:rsidRPr="005D6FC6">
        <w:rPr>
          <w:bCs/>
          <w:lang w:val="en-US"/>
        </w:rPr>
        <w:t>summarises the key components of the economic evaluation for second line therapy</w:t>
      </w:r>
      <w:r>
        <w:rPr>
          <w:bCs/>
          <w:lang w:val="en-US"/>
        </w:rPr>
        <w:t>.</w:t>
      </w:r>
      <w:r w:rsidRPr="005D6FC6">
        <w:rPr>
          <w:color w:val="0066FF"/>
        </w:rPr>
        <w:t xml:space="preserve"> </w:t>
      </w:r>
    </w:p>
    <w:p w:rsidR="00F651F3" w:rsidRPr="00F651F3" w:rsidRDefault="00F651F3" w:rsidP="00F651F3">
      <w:pPr>
        <w:pStyle w:val="TableFigureHeading"/>
        <w:rPr>
          <w:rStyle w:val="CommentReference"/>
          <w:b/>
          <w:bCs w:val="0"/>
        </w:rPr>
      </w:pPr>
      <w:r w:rsidRPr="00F651F3">
        <w:rPr>
          <w:rStyle w:val="CommentReference"/>
          <w:b/>
          <w:bCs w:val="0"/>
        </w:rPr>
        <w:t xml:space="preserve">Table </w:t>
      </w:r>
      <w:r w:rsidR="00741187">
        <w:rPr>
          <w:rStyle w:val="CommentReference"/>
          <w:b/>
          <w:bCs w:val="0"/>
        </w:rPr>
        <w:t>1</w:t>
      </w:r>
      <w:r w:rsidR="00EE094F">
        <w:rPr>
          <w:rStyle w:val="CommentReference"/>
          <w:b/>
          <w:bCs w:val="0"/>
        </w:rPr>
        <w:t>3</w:t>
      </w:r>
      <w:r w:rsidRPr="00F651F3">
        <w:rPr>
          <w:rStyle w:val="CommentReference"/>
          <w:b/>
          <w:bCs w:val="0"/>
        </w:rPr>
        <w:t>: Summary of model structure for second line treatment,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4"/>
        <w:gridCol w:w="7603"/>
      </w:tblGrid>
      <w:tr w:rsidR="00F651F3" w:rsidRPr="003D1DE4" w:rsidTr="00232BDB">
        <w:trPr>
          <w:tblHeader/>
        </w:trPr>
        <w:tc>
          <w:tcPr>
            <w:tcW w:w="784" w:type="pct"/>
            <w:shd w:val="clear" w:color="auto" w:fill="auto"/>
            <w:vAlign w:val="center"/>
          </w:tcPr>
          <w:p w:rsidR="00F651F3" w:rsidRPr="00641FB3" w:rsidRDefault="00F651F3" w:rsidP="00F651F3">
            <w:pPr>
              <w:pStyle w:val="In-tableHeading"/>
            </w:pPr>
            <w:r w:rsidRPr="00641FB3">
              <w:t>Component</w:t>
            </w:r>
          </w:p>
        </w:tc>
        <w:tc>
          <w:tcPr>
            <w:tcW w:w="4216" w:type="pct"/>
            <w:shd w:val="clear" w:color="auto" w:fill="auto"/>
            <w:vAlign w:val="center"/>
          </w:tcPr>
          <w:p w:rsidR="00F651F3" w:rsidRPr="00641FB3" w:rsidRDefault="00F651F3" w:rsidP="00F651F3">
            <w:pPr>
              <w:pStyle w:val="In-tableHeading"/>
            </w:pPr>
            <w:r w:rsidRPr="00641FB3">
              <w:t>Summary</w:t>
            </w:r>
          </w:p>
        </w:tc>
      </w:tr>
      <w:tr w:rsidR="00F651F3" w:rsidRPr="00E2771E" w:rsidTr="00232BDB">
        <w:tc>
          <w:tcPr>
            <w:tcW w:w="784" w:type="pct"/>
            <w:shd w:val="clear" w:color="auto" w:fill="auto"/>
            <w:vAlign w:val="center"/>
          </w:tcPr>
          <w:p w:rsidR="00F651F3" w:rsidRPr="00E2771E" w:rsidRDefault="00F651F3" w:rsidP="00F651F3">
            <w:pPr>
              <w:pStyle w:val="TableText0"/>
            </w:pPr>
            <w:r>
              <w:t>Treatments</w:t>
            </w:r>
          </w:p>
        </w:tc>
        <w:tc>
          <w:tcPr>
            <w:tcW w:w="4216" w:type="pct"/>
            <w:shd w:val="clear" w:color="auto" w:fill="auto"/>
            <w:vAlign w:val="center"/>
          </w:tcPr>
          <w:p w:rsidR="00F651F3" w:rsidRPr="00E2771E" w:rsidRDefault="00F651F3" w:rsidP="00F651F3">
            <w:pPr>
              <w:pStyle w:val="TableText0"/>
            </w:pPr>
            <w:r>
              <w:t>Ribociclib + fulvestrant (RIBO+FULV) vs everolimus + exemestane (EVE+EXE)</w:t>
            </w:r>
          </w:p>
        </w:tc>
      </w:tr>
      <w:tr w:rsidR="00F651F3" w:rsidRPr="00E2771E" w:rsidTr="00232BDB">
        <w:tc>
          <w:tcPr>
            <w:tcW w:w="784" w:type="pct"/>
            <w:shd w:val="clear" w:color="auto" w:fill="auto"/>
            <w:vAlign w:val="center"/>
          </w:tcPr>
          <w:p w:rsidR="00F651F3" w:rsidRPr="00E2771E" w:rsidRDefault="00F651F3" w:rsidP="00F651F3">
            <w:pPr>
              <w:pStyle w:val="TableText0"/>
            </w:pPr>
            <w:r w:rsidRPr="00E2771E">
              <w:t>Time horizon</w:t>
            </w:r>
          </w:p>
        </w:tc>
        <w:tc>
          <w:tcPr>
            <w:tcW w:w="4216" w:type="pct"/>
            <w:shd w:val="clear" w:color="auto" w:fill="auto"/>
            <w:vAlign w:val="center"/>
          </w:tcPr>
          <w:p w:rsidR="00F651F3" w:rsidRPr="00E2771E" w:rsidRDefault="00F651F3" w:rsidP="00F651F3">
            <w:pPr>
              <w:pStyle w:val="TableText0"/>
            </w:pPr>
            <w:r>
              <w:t>10 years in the model base case vs. 3.5 years in MONALEESA-3 (RIBO+FULV) and 2.3 years in BOLERO-2 (EVE+EXE)</w:t>
            </w:r>
          </w:p>
        </w:tc>
      </w:tr>
      <w:tr w:rsidR="00F651F3" w:rsidRPr="00E2771E" w:rsidTr="00232BDB">
        <w:tc>
          <w:tcPr>
            <w:tcW w:w="784" w:type="pct"/>
            <w:shd w:val="clear" w:color="auto" w:fill="auto"/>
            <w:vAlign w:val="center"/>
          </w:tcPr>
          <w:p w:rsidR="00F651F3" w:rsidRPr="00E2771E" w:rsidRDefault="00F651F3" w:rsidP="00F651F3">
            <w:pPr>
              <w:pStyle w:val="TableText0"/>
            </w:pPr>
            <w:r w:rsidRPr="00E2771E">
              <w:t>Outcomes</w:t>
            </w:r>
          </w:p>
        </w:tc>
        <w:tc>
          <w:tcPr>
            <w:tcW w:w="4216" w:type="pct"/>
            <w:shd w:val="clear" w:color="auto" w:fill="auto"/>
            <w:vAlign w:val="center"/>
          </w:tcPr>
          <w:p w:rsidR="00F651F3" w:rsidRPr="00E2771E" w:rsidRDefault="00F651F3" w:rsidP="00F651F3">
            <w:pPr>
              <w:pStyle w:val="TableText0"/>
            </w:pPr>
            <w:r>
              <w:t>Life years gained and</w:t>
            </w:r>
            <w:r w:rsidRPr="00E2771E">
              <w:t xml:space="preserve"> QALYs</w:t>
            </w:r>
            <w:r>
              <w:t xml:space="preserve"> gained</w:t>
            </w:r>
          </w:p>
        </w:tc>
      </w:tr>
      <w:tr w:rsidR="00F651F3" w:rsidRPr="00E2771E" w:rsidTr="00232BDB">
        <w:tc>
          <w:tcPr>
            <w:tcW w:w="784" w:type="pct"/>
            <w:shd w:val="clear" w:color="auto" w:fill="auto"/>
            <w:vAlign w:val="center"/>
          </w:tcPr>
          <w:p w:rsidR="00F651F3" w:rsidRPr="00E2771E" w:rsidRDefault="00F651F3" w:rsidP="00F651F3">
            <w:pPr>
              <w:pStyle w:val="TableText0"/>
            </w:pPr>
            <w:r w:rsidRPr="00E2771E">
              <w:t>Methods used to generate results</w:t>
            </w:r>
          </w:p>
        </w:tc>
        <w:tc>
          <w:tcPr>
            <w:tcW w:w="4216" w:type="pct"/>
            <w:shd w:val="clear" w:color="auto" w:fill="auto"/>
            <w:vAlign w:val="center"/>
          </w:tcPr>
          <w:p w:rsidR="00F651F3" w:rsidRPr="00E2771E" w:rsidRDefault="00F651F3" w:rsidP="00F651F3">
            <w:pPr>
              <w:pStyle w:val="TableText0"/>
            </w:pPr>
            <w:r w:rsidRPr="00081E63">
              <w:t>Partitioned survival model</w:t>
            </w:r>
          </w:p>
        </w:tc>
      </w:tr>
      <w:tr w:rsidR="00F651F3" w:rsidRPr="00E2771E" w:rsidTr="00232BDB">
        <w:tc>
          <w:tcPr>
            <w:tcW w:w="784" w:type="pct"/>
            <w:shd w:val="clear" w:color="auto" w:fill="auto"/>
            <w:vAlign w:val="center"/>
          </w:tcPr>
          <w:p w:rsidR="00F651F3" w:rsidRPr="00E2771E" w:rsidRDefault="00F651F3" w:rsidP="00F651F3">
            <w:pPr>
              <w:pStyle w:val="TableText0"/>
            </w:pPr>
            <w:r w:rsidRPr="00E2771E">
              <w:t>Health states</w:t>
            </w:r>
          </w:p>
        </w:tc>
        <w:tc>
          <w:tcPr>
            <w:tcW w:w="4216" w:type="pct"/>
            <w:shd w:val="clear" w:color="auto" w:fill="auto"/>
            <w:vAlign w:val="center"/>
          </w:tcPr>
          <w:p w:rsidR="00F651F3" w:rsidRPr="00E2771E" w:rsidRDefault="00F651F3" w:rsidP="00F651F3">
            <w:pPr>
              <w:pStyle w:val="TableText0"/>
            </w:pPr>
            <w:r>
              <w:t>Three health states (pre-progression survival, post-progression survival, dead). Pre-progression survival is stratified by on/off treatment.</w:t>
            </w:r>
          </w:p>
        </w:tc>
      </w:tr>
      <w:tr w:rsidR="00F651F3" w:rsidRPr="00E2771E" w:rsidTr="00232BDB">
        <w:tc>
          <w:tcPr>
            <w:tcW w:w="784" w:type="pct"/>
            <w:shd w:val="clear" w:color="auto" w:fill="auto"/>
            <w:vAlign w:val="center"/>
          </w:tcPr>
          <w:p w:rsidR="00F651F3" w:rsidRPr="00E2771E" w:rsidRDefault="00F651F3" w:rsidP="00F651F3">
            <w:pPr>
              <w:pStyle w:val="TableText0"/>
            </w:pPr>
            <w:r w:rsidRPr="00E2771E">
              <w:t>Cycle length</w:t>
            </w:r>
          </w:p>
        </w:tc>
        <w:tc>
          <w:tcPr>
            <w:tcW w:w="4216" w:type="pct"/>
            <w:shd w:val="clear" w:color="auto" w:fill="auto"/>
            <w:vAlign w:val="center"/>
          </w:tcPr>
          <w:p w:rsidR="00F651F3" w:rsidRPr="00E2771E" w:rsidRDefault="00F651F3" w:rsidP="00F651F3">
            <w:pPr>
              <w:pStyle w:val="TableText0"/>
            </w:pPr>
            <w:r>
              <w:t>28</w:t>
            </w:r>
            <w:r w:rsidRPr="00E2771E">
              <w:t xml:space="preserve"> </w:t>
            </w:r>
            <w:r>
              <w:t>days</w:t>
            </w:r>
          </w:p>
        </w:tc>
      </w:tr>
      <w:tr w:rsidR="00F651F3" w:rsidRPr="00E2771E" w:rsidTr="00232BDB">
        <w:tc>
          <w:tcPr>
            <w:tcW w:w="784" w:type="pct"/>
            <w:shd w:val="clear" w:color="auto" w:fill="auto"/>
            <w:vAlign w:val="center"/>
          </w:tcPr>
          <w:p w:rsidR="00F651F3" w:rsidRPr="00E2771E" w:rsidRDefault="00F651F3" w:rsidP="00F651F3">
            <w:pPr>
              <w:pStyle w:val="TableText0"/>
            </w:pPr>
            <w:r>
              <w:t xml:space="preserve">Allocation to health states </w:t>
            </w:r>
          </w:p>
        </w:tc>
        <w:tc>
          <w:tcPr>
            <w:tcW w:w="4216" w:type="pct"/>
            <w:shd w:val="clear" w:color="auto" w:fill="auto"/>
            <w:vAlign w:val="center"/>
          </w:tcPr>
          <w:p w:rsidR="00F651F3" w:rsidRDefault="00F651F3" w:rsidP="00F651F3">
            <w:pPr>
              <w:pStyle w:val="TableText0"/>
            </w:pPr>
            <w:r>
              <w:t xml:space="preserve">RIBO+FULV: Progression free survival (PFS) and overall survival (OS) are from the MONALEESA-3 trial, </w:t>
            </w:r>
            <w:r w:rsidR="009821FA">
              <w:t>unanchored MAIC</w:t>
            </w:r>
            <w:r>
              <w:t xml:space="preserve">. Pre-progression survival on/off treatment is derived from time to treatment discontinuation (TTD) in MONALEESA-3, </w:t>
            </w:r>
            <w:r w:rsidR="009821FA">
              <w:t>unanchored MAIC</w:t>
            </w:r>
            <w:r>
              <w:t>.</w:t>
            </w:r>
          </w:p>
          <w:p w:rsidR="00F651F3" w:rsidRPr="00E2771E" w:rsidRDefault="00F651F3" w:rsidP="00F651F3">
            <w:pPr>
              <w:pStyle w:val="TableText0"/>
            </w:pPr>
            <w:r>
              <w:t xml:space="preserve">EVE+EXE: PFS and OS are hazard ratios from </w:t>
            </w:r>
            <w:r w:rsidR="009821FA">
              <w:t>unanchored MAIC</w:t>
            </w:r>
            <w:r>
              <w:t xml:space="preserve">, applied to PFS and OS for RIBO+FULV. Pre-progression survival on/off treatment is derived from PFS for RIBO+FULV in MONALEESA-3, </w:t>
            </w:r>
            <w:r w:rsidR="009821FA">
              <w:t>unanchored MAIC</w:t>
            </w:r>
            <w:r>
              <w:t>, with two hazard ratios used to convert to PFS for EVE+EXE, then to TTD for EVE+EXE.</w:t>
            </w:r>
          </w:p>
        </w:tc>
      </w:tr>
      <w:tr w:rsidR="00F651F3" w:rsidRPr="00E2771E" w:rsidTr="00232BDB">
        <w:tc>
          <w:tcPr>
            <w:tcW w:w="784" w:type="pct"/>
            <w:shd w:val="clear" w:color="auto" w:fill="auto"/>
            <w:vAlign w:val="center"/>
          </w:tcPr>
          <w:p w:rsidR="00F651F3" w:rsidRPr="00E2771E" w:rsidRDefault="00F651F3" w:rsidP="00F651F3">
            <w:pPr>
              <w:pStyle w:val="TableText0"/>
            </w:pPr>
            <w:r>
              <w:t>Extrapolation method</w:t>
            </w:r>
          </w:p>
        </w:tc>
        <w:tc>
          <w:tcPr>
            <w:tcW w:w="4216" w:type="pct"/>
            <w:shd w:val="clear" w:color="auto" w:fill="auto"/>
            <w:vAlign w:val="center"/>
          </w:tcPr>
          <w:p w:rsidR="00F651F3" w:rsidRDefault="00F651F3" w:rsidP="00F651F3">
            <w:pPr>
              <w:pStyle w:val="TableText0"/>
            </w:pPr>
            <w:r>
              <w:t>Parametric models fitted to RIBO+FULV arm with exponential selected in the base case for PFS and OS</w:t>
            </w:r>
            <w:r w:rsidR="000D12B4">
              <w:t>,</w:t>
            </w:r>
            <w:r>
              <w:t xml:space="preserve"> and Weibull selected in the base case for TTD, based on goodness of fit and</w:t>
            </w:r>
            <w:r w:rsidRPr="00F331AC">
              <w:t xml:space="preserve"> clinical plausibility</w:t>
            </w:r>
            <w:r>
              <w:t>.</w:t>
            </w:r>
          </w:p>
          <w:p w:rsidR="00F651F3" w:rsidRDefault="00F651F3" w:rsidP="00F651F3">
            <w:pPr>
              <w:pStyle w:val="TableText0"/>
            </w:pPr>
            <w:r>
              <w:t>For the EVE+EXE arm, hazard ratios were applied to the RIBO+FULV parametric models.</w:t>
            </w:r>
          </w:p>
          <w:p w:rsidR="00F651F3" w:rsidRDefault="00F651F3" w:rsidP="00F651F3">
            <w:pPr>
              <w:pStyle w:val="TableText0"/>
            </w:pPr>
            <w:r>
              <w:t xml:space="preserve">Extrapolation </w:t>
            </w:r>
            <w:r w:rsidR="000D12B4">
              <w:t>wa</w:t>
            </w:r>
            <w:r>
              <w:t xml:space="preserve">s applied for the duration of the model; no observed trial data </w:t>
            </w:r>
            <w:r w:rsidR="000D12B4">
              <w:t>were</w:t>
            </w:r>
            <w:r>
              <w:t xml:space="preserve"> used in the base case.</w:t>
            </w:r>
          </w:p>
          <w:p w:rsidR="00F651F3" w:rsidRPr="00E2771E" w:rsidRDefault="00F651F3" w:rsidP="00F651F3">
            <w:pPr>
              <w:pStyle w:val="TableText0"/>
            </w:pPr>
            <w:r>
              <w:t>53% of incremental QALYs and 31% of incremental costs occur in the extrapolated period (after 3.5 years).</w:t>
            </w:r>
          </w:p>
        </w:tc>
      </w:tr>
      <w:tr w:rsidR="00F651F3" w:rsidRPr="00E2771E" w:rsidTr="00232BDB">
        <w:tc>
          <w:tcPr>
            <w:tcW w:w="784" w:type="pct"/>
            <w:shd w:val="clear" w:color="auto" w:fill="auto"/>
            <w:vAlign w:val="center"/>
          </w:tcPr>
          <w:p w:rsidR="00F651F3" w:rsidRPr="001F4081" w:rsidRDefault="00F651F3" w:rsidP="00F651F3">
            <w:pPr>
              <w:pStyle w:val="TableText0"/>
            </w:pPr>
            <w:r>
              <w:t>Health related quality of life</w:t>
            </w:r>
          </w:p>
        </w:tc>
        <w:tc>
          <w:tcPr>
            <w:tcW w:w="4216" w:type="pct"/>
            <w:shd w:val="clear" w:color="auto" w:fill="auto"/>
            <w:vAlign w:val="center"/>
          </w:tcPr>
          <w:p w:rsidR="00F651F3" w:rsidRDefault="00F651F3" w:rsidP="00F651F3">
            <w:pPr>
              <w:pStyle w:val="TableText0"/>
            </w:pPr>
            <w:r>
              <w:t>Pre-progression survival on/off treatment from MONALEESA-3 trial.</w:t>
            </w:r>
          </w:p>
          <w:p w:rsidR="00F651F3" w:rsidRDefault="00F651F3" w:rsidP="00F651F3">
            <w:pPr>
              <w:pStyle w:val="TableText0"/>
            </w:pPr>
            <w:r>
              <w:t>Post-progression survival from Lloyd (2006)</w:t>
            </w:r>
          </w:p>
          <w:p w:rsidR="00F651F3" w:rsidRPr="00E2771E" w:rsidRDefault="00F651F3" w:rsidP="00F651F3">
            <w:pPr>
              <w:pStyle w:val="TableText0"/>
            </w:pPr>
            <w:r>
              <w:t xml:space="preserve">Pre-progression survival </w:t>
            </w:r>
            <w:r w:rsidRPr="00AB529A">
              <w:t>on treatment = 0.766; Pre-progression survival off treatment = 0.778; Post-progression survival = 0.505</w:t>
            </w:r>
          </w:p>
        </w:tc>
      </w:tr>
    </w:tbl>
    <w:p w:rsidR="00F651F3" w:rsidRDefault="00F651F3" w:rsidP="00F651F3">
      <w:pPr>
        <w:pStyle w:val="TableFigureFooter"/>
      </w:pPr>
      <w:r>
        <w:t xml:space="preserve">Source: Table 3-7, p188 </w:t>
      </w:r>
      <w:r w:rsidRPr="00D13A3E">
        <w:t xml:space="preserve">of the </w:t>
      </w:r>
      <w:r>
        <w:t>submission and CEA Model workbook.</w:t>
      </w:r>
    </w:p>
    <w:p w:rsidR="00F651F3" w:rsidRDefault="00F651F3" w:rsidP="00F651F3">
      <w:pPr>
        <w:pStyle w:val="TableFigureFooter"/>
      </w:pPr>
      <w:r w:rsidRPr="00513DEB">
        <w:t xml:space="preserve">EVE+EXE = everolimus + exemestane; IPD = individual patient data; OS = overall survival; PFS = progression-free survival; PPS = post progression survival; </w:t>
      </w:r>
      <w:r>
        <w:t xml:space="preserve">QALY = quality adjusted life year; </w:t>
      </w:r>
      <w:r w:rsidRPr="00513DEB">
        <w:t>RIBO+FULV = ribociclib + fulvestrant</w:t>
      </w:r>
      <w:r>
        <w:t>; TTD = time to treatment discontinuation</w:t>
      </w:r>
    </w:p>
    <w:p w:rsidR="00F651F3" w:rsidRPr="0072416F" w:rsidRDefault="00F651F3" w:rsidP="00F651F3">
      <w:pPr>
        <w:pStyle w:val="TableFigureFooter"/>
      </w:pPr>
    </w:p>
    <w:p w:rsidR="00D46250" w:rsidRDefault="00F651F3" w:rsidP="00F651F3">
      <w:pPr>
        <w:pStyle w:val="3-BodyText"/>
      </w:pPr>
      <w:r>
        <w:t xml:space="preserve">PFS and OS for </w:t>
      </w:r>
      <w:r w:rsidR="002B4D25">
        <w:t>RIBO+FULV</w:t>
      </w:r>
      <w:r>
        <w:t xml:space="preserve"> w</w:t>
      </w:r>
      <w:r w:rsidR="0050248D">
        <w:t>ere</w:t>
      </w:r>
      <w:r>
        <w:t xml:space="preserve"> extrapolated using exponential functions. </w:t>
      </w:r>
      <w:r w:rsidRPr="007E0B5F">
        <w:t xml:space="preserve">No observed trial data </w:t>
      </w:r>
      <w:r w:rsidR="00232BDB">
        <w:t>were</w:t>
      </w:r>
      <w:r w:rsidRPr="007E0B5F">
        <w:t xml:space="preserve"> applied in the model. </w:t>
      </w:r>
    </w:p>
    <w:p w:rsidR="00F651F3" w:rsidRDefault="00F651F3" w:rsidP="00F651F3">
      <w:pPr>
        <w:pStyle w:val="3-BodyText"/>
      </w:pPr>
      <w:r>
        <w:t xml:space="preserve">PFS and OS for </w:t>
      </w:r>
      <w:r w:rsidR="002B4D25">
        <w:t>EVE+EXE</w:t>
      </w:r>
      <w:r>
        <w:t xml:space="preserve"> w</w:t>
      </w:r>
      <w:r w:rsidR="0050248D">
        <w:t>ere</w:t>
      </w:r>
      <w:r>
        <w:t xml:space="preserve"> estimated by applying hazard ratios to </w:t>
      </w:r>
      <w:r w:rsidR="000D12B4">
        <w:t xml:space="preserve">the </w:t>
      </w:r>
      <w:r>
        <w:t xml:space="preserve">PFS and OS </w:t>
      </w:r>
      <w:r w:rsidR="000D12B4">
        <w:t xml:space="preserve">distributions </w:t>
      </w:r>
      <w:r>
        <w:t xml:space="preserve">in the </w:t>
      </w:r>
      <w:r w:rsidR="002B4D25">
        <w:t>RIBO+FULV</w:t>
      </w:r>
      <w:r>
        <w:t xml:space="preserve"> arm</w:t>
      </w:r>
      <w:r w:rsidR="00D46250">
        <w:t xml:space="preserve"> based on the results of the unanchored MAIC</w:t>
      </w:r>
      <w:r w:rsidR="00901578">
        <w:t xml:space="preserve"> (as shown in the table below)</w:t>
      </w:r>
      <w:r w:rsidR="006B689C">
        <w:t>. T</w:t>
      </w:r>
      <w:r w:rsidR="00232BDB" w:rsidRPr="007E0B5F">
        <w:t>he ICER is sensitive to the</w:t>
      </w:r>
      <w:r w:rsidR="000D12B4">
        <w:t xml:space="preserve"> PFS and OS</w:t>
      </w:r>
      <w:r w:rsidR="00232BDB" w:rsidRPr="007E0B5F">
        <w:t xml:space="preserve"> hazard ratios applied.</w:t>
      </w:r>
      <w:r>
        <w:t xml:space="preserve"> </w:t>
      </w:r>
      <w:r w:rsidR="00F95C37">
        <w:t xml:space="preserve">The test of linearity of the Schoenfeld residuals was not statistically significant, suggesting the proportional hazards assumption </w:t>
      </w:r>
      <w:r w:rsidR="00966EF3">
        <w:t>wa</w:t>
      </w:r>
      <w:r w:rsidR="00F95C37">
        <w:t xml:space="preserve">s appropriate. </w:t>
      </w:r>
      <w:r w:rsidR="000D12B4">
        <w:t xml:space="preserve">However, the evaluation considered that </w:t>
      </w:r>
      <w:r w:rsidRPr="007E0B5F">
        <w:t xml:space="preserve">PFS and OS for the </w:t>
      </w:r>
      <w:r w:rsidR="00D46250">
        <w:t>EVE</w:t>
      </w:r>
      <w:r w:rsidRPr="007E0B5F">
        <w:t>+</w:t>
      </w:r>
      <w:r w:rsidR="00D46250">
        <w:t>EXE</w:t>
      </w:r>
      <w:r w:rsidRPr="007E0B5F">
        <w:t xml:space="preserve"> arm could </w:t>
      </w:r>
      <w:r w:rsidR="00FE06A5" w:rsidRPr="007E0B5F">
        <w:t xml:space="preserve">also </w:t>
      </w:r>
      <w:r w:rsidRPr="007E0B5F">
        <w:t xml:space="preserve">have been extrapolated from the adjusted Kaplan-Meier graphs. </w:t>
      </w:r>
    </w:p>
    <w:p w:rsidR="00FC18C0" w:rsidRPr="008D1AF1" w:rsidRDefault="00FC18C0" w:rsidP="00FC18C0">
      <w:pPr>
        <w:keepNext/>
        <w:keepLines/>
        <w:rPr>
          <w:rStyle w:val="CommentReference"/>
        </w:rPr>
      </w:pPr>
      <w:r w:rsidRPr="008D1AF1">
        <w:rPr>
          <w:rStyle w:val="CommentReference"/>
        </w:rPr>
        <w:t xml:space="preserve">Table </w:t>
      </w:r>
      <w:r w:rsidR="00EE094F" w:rsidRPr="008D1AF1">
        <w:rPr>
          <w:rStyle w:val="CommentReference"/>
        </w:rPr>
        <w:t>14</w:t>
      </w:r>
      <w:r w:rsidRPr="008D1AF1">
        <w:rPr>
          <w:rStyle w:val="CommentReference"/>
        </w:rPr>
        <w:t>: Survival distributions applied in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06"/>
        <w:gridCol w:w="4431"/>
        <w:gridCol w:w="2480"/>
      </w:tblGrid>
      <w:tr w:rsidR="00FC18C0" w:rsidRPr="008D1AF1" w:rsidTr="00FC18C0">
        <w:trPr>
          <w:cantSplit/>
          <w:tblHeader/>
        </w:trPr>
        <w:tc>
          <w:tcPr>
            <w:tcW w:w="1168" w:type="pct"/>
            <w:vAlign w:val="center"/>
          </w:tcPr>
          <w:p w:rsidR="00FC18C0" w:rsidRPr="008D1AF1" w:rsidRDefault="00FC18C0" w:rsidP="00FC18C0">
            <w:pPr>
              <w:pStyle w:val="In-tableHeading"/>
              <w:keepLines/>
            </w:pPr>
          </w:p>
        </w:tc>
        <w:tc>
          <w:tcPr>
            <w:tcW w:w="2457" w:type="pct"/>
            <w:vAlign w:val="center"/>
          </w:tcPr>
          <w:p w:rsidR="00FC18C0" w:rsidRPr="008D1AF1" w:rsidRDefault="00FC18C0" w:rsidP="00FC18C0">
            <w:pPr>
              <w:pStyle w:val="In-tableHeading"/>
              <w:keepLines/>
            </w:pPr>
            <w:r w:rsidRPr="008D1AF1">
              <w:t>Survival Distribution</w:t>
            </w:r>
          </w:p>
        </w:tc>
        <w:tc>
          <w:tcPr>
            <w:tcW w:w="1375" w:type="pct"/>
            <w:vAlign w:val="center"/>
          </w:tcPr>
          <w:p w:rsidR="00FC18C0" w:rsidRPr="008D1AF1" w:rsidRDefault="00FC18C0" w:rsidP="00FC18C0">
            <w:pPr>
              <w:pStyle w:val="In-tableHeading"/>
              <w:keepLines/>
            </w:pPr>
            <w:r w:rsidRPr="008D1AF1">
              <w:t>Hazard Ratio</w:t>
            </w:r>
          </w:p>
        </w:tc>
      </w:tr>
      <w:tr w:rsidR="00FC18C0" w:rsidRPr="008D1AF1" w:rsidTr="00FC18C0">
        <w:trPr>
          <w:cantSplit/>
        </w:trPr>
        <w:tc>
          <w:tcPr>
            <w:tcW w:w="5000" w:type="pct"/>
            <w:gridSpan w:val="3"/>
            <w:vAlign w:val="center"/>
          </w:tcPr>
          <w:p w:rsidR="00FC18C0" w:rsidRPr="008D1AF1" w:rsidRDefault="00FC18C0" w:rsidP="00FC18C0">
            <w:pPr>
              <w:pStyle w:val="TableText0"/>
              <w:keepLines/>
              <w:rPr>
                <w:b/>
              </w:rPr>
            </w:pPr>
            <w:r w:rsidRPr="008D1AF1">
              <w:rPr>
                <w:b/>
              </w:rPr>
              <w:t>RIBO+FULV</w:t>
            </w:r>
          </w:p>
        </w:tc>
      </w:tr>
      <w:tr w:rsidR="00FC18C0" w:rsidRPr="008D1AF1" w:rsidTr="00FC18C0">
        <w:trPr>
          <w:cantSplit/>
        </w:trPr>
        <w:tc>
          <w:tcPr>
            <w:tcW w:w="1168" w:type="pct"/>
            <w:vAlign w:val="center"/>
          </w:tcPr>
          <w:p w:rsidR="00FC18C0" w:rsidRPr="008D1AF1" w:rsidRDefault="00FC18C0" w:rsidP="00FC18C0">
            <w:pPr>
              <w:pStyle w:val="TableText0"/>
              <w:keepLines/>
            </w:pPr>
            <w:r w:rsidRPr="008D1AF1">
              <w:t>PFS</w:t>
            </w:r>
          </w:p>
        </w:tc>
        <w:tc>
          <w:tcPr>
            <w:tcW w:w="2457" w:type="pct"/>
            <w:vAlign w:val="center"/>
          </w:tcPr>
          <w:p w:rsidR="00FC18C0" w:rsidRPr="008D1AF1" w:rsidRDefault="00FC18C0" w:rsidP="00FC18C0">
            <w:pPr>
              <w:pStyle w:val="TableText0"/>
              <w:keepLines/>
            </w:pPr>
            <w:r w:rsidRPr="008D1AF1">
              <w:t>Exponential – RIBO+FULV PFS</w:t>
            </w:r>
          </w:p>
        </w:tc>
        <w:tc>
          <w:tcPr>
            <w:tcW w:w="1375" w:type="pct"/>
          </w:tcPr>
          <w:p w:rsidR="00FC18C0" w:rsidRPr="008D1AF1" w:rsidRDefault="00FC18C0" w:rsidP="00FC18C0">
            <w:pPr>
              <w:pStyle w:val="TableText0"/>
              <w:keepLines/>
            </w:pPr>
            <w:r w:rsidRPr="008D1AF1">
              <w:t>1.00</w:t>
            </w:r>
          </w:p>
        </w:tc>
      </w:tr>
      <w:tr w:rsidR="00FC18C0" w:rsidRPr="008D1AF1" w:rsidTr="00FC18C0">
        <w:trPr>
          <w:cantSplit/>
        </w:trPr>
        <w:tc>
          <w:tcPr>
            <w:tcW w:w="1168" w:type="pct"/>
            <w:vAlign w:val="center"/>
          </w:tcPr>
          <w:p w:rsidR="00FC18C0" w:rsidRPr="008D1AF1" w:rsidRDefault="00FC18C0" w:rsidP="00FC18C0">
            <w:pPr>
              <w:pStyle w:val="TableText0"/>
              <w:keepLines/>
            </w:pPr>
            <w:r w:rsidRPr="008D1AF1">
              <w:t>OS</w:t>
            </w:r>
          </w:p>
        </w:tc>
        <w:tc>
          <w:tcPr>
            <w:tcW w:w="2457" w:type="pct"/>
            <w:vAlign w:val="center"/>
          </w:tcPr>
          <w:p w:rsidR="00FC18C0" w:rsidRPr="008D1AF1" w:rsidRDefault="00FC18C0" w:rsidP="00FC18C0">
            <w:pPr>
              <w:pStyle w:val="TableText0"/>
              <w:keepLines/>
            </w:pPr>
            <w:r w:rsidRPr="008D1AF1">
              <w:t>Exponential – RIBO+FULV OS</w:t>
            </w:r>
          </w:p>
        </w:tc>
        <w:tc>
          <w:tcPr>
            <w:tcW w:w="1375" w:type="pct"/>
          </w:tcPr>
          <w:p w:rsidR="00FC18C0" w:rsidRPr="008D1AF1" w:rsidRDefault="00FC18C0" w:rsidP="00FC18C0">
            <w:pPr>
              <w:pStyle w:val="TableText0"/>
              <w:keepLines/>
            </w:pPr>
            <w:r w:rsidRPr="008D1AF1">
              <w:t>1.00</w:t>
            </w:r>
          </w:p>
        </w:tc>
      </w:tr>
      <w:tr w:rsidR="00FC18C0" w:rsidRPr="008D1AF1" w:rsidTr="00FC18C0">
        <w:trPr>
          <w:cantSplit/>
        </w:trPr>
        <w:tc>
          <w:tcPr>
            <w:tcW w:w="1168" w:type="pct"/>
            <w:vAlign w:val="center"/>
          </w:tcPr>
          <w:p w:rsidR="00FC18C0" w:rsidRPr="008D1AF1" w:rsidRDefault="00FC18C0" w:rsidP="00FC18C0">
            <w:pPr>
              <w:pStyle w:val="TableText0"/>
              <w:keepLines/>
            </w:pPr>
            <w:r w:rsidRPr="008D1AF1">
              <w:t>TTD - RIBO</w:t>
            </w:r>
          </w:p>
        </w:tc>
        <w:tc>
          <w:tcPr>
            <w:tcW w:w="2457" w:type="pct"/>
            <w:vAlign w:val="center"/>
          </w:tcPr>
          <w:p w:rsidR="00FC18C0" w:rsidRPr="008D1AF1" w:rsidRDefault="00FC18C0" w:rsidP="00FC18C0">
            <w:pPr>
              <w:pStyle w:val="TableText0"/>
              <w:keepLines/>
            </w:pPr>
            <w:r w:rsidRPr="008D1AF1">
              <w:t>Weibull – RIBO+FULV TTD</w:t>
            </w:r>
          </w:p>
        </w:tc>
        <w:tc>
          <w:tcPr>
            <w:tcW w:w="1375" w:type="pct"/>
          </w:tcPr>
          <w:p w:rsidR="00FC18C0" w:rsidRPr="008D1AF1" w:rsidRDefault="00FC18C0" w:rsidP="00FC18C0">
            <w:pPr>
              <w:pStyle w:val="TableText0"/>
              <w:keepLines/>
            </w:pPr>
            <w:r w:rsidRPr="008D1AF1">
              <w:t>1.00</w:t>
            </w:r>
          </w:p>
        </w:tc>
      </w:tr>
      <w:tr w:rsidR="00FC18C0" w:rsidRPr="008D1AF1" w:rsidTr="00FC18C0">
        <w:trPr>
          <w:cantSplit/>
        </w:trPr>
        <w:tc>
          <w:tcPr>
            <w:tcW w:w="1168" w:type="pct"/>
            <w:vAlign w:val="center"/>
          </w:tcPr>
          <w:p w:rsidR="00FC18C0" w:rsidRPr="008D1AF1" w:rsidRDefault="00FC18C0" w:rsidP="00FC18C0">
            <w:pPr>
              <w:pStyle w:val="TableText0"/>
              <w:keepLines/>
            </w:pPr>
            <w:r w:rsidRPr="008D1AF1">
              <w:t>TTD - FULV</w:t>
            </w:r>
          </w:p>
        </w:tc>
        <w:tc>
          <w:tcPr>
            <w:tcW w:w="2457" w:type="pct"/>
            <w:vAlign w:val="center"/>
          </w:tcPr>
          <w:p w:rsidR="00FC18C0" w:rsidRPr="008D1AF1" w:rsidRDefault="00FC18C0" w:rsidP="00FC18C0">
            <w:pPr>
              <w:pStyle w:val="TableText0"/>
              <w:keepLines/>
            </w:pPr>
            <w:r w:rsidRPr="008D1AF1">
              <w:t>Exponential – RIBO+FULV TTD</w:t>
            </w:r>
          </w:p>
        </w:tc>
        <w:tc>
          <w:tcPr>
            <w:tcW w:w="1375" w:type="pct"/>
          </w:tcPr>
          <w:p w:rsidR="00FC18C0" w:rsidRPr="008D1AF1" w:rsidRDefault="00FC18C0" w:rsidP="00FC18C0">
            <w:pPr>
              <w:pStyle w:val="TableText0"/>
              <w:keepLines/>
            </w:pPr>
            <w:r w:rsidRPr="008D1AF1">
              <w:t>1.00</w:t>
            </w:r>
          </w:p>
        </w:tc>
      </w:tr>
      <w:tr w:rsidR="00FC18C0" w:rsidRPr="008D1AF1" w:rsidTr="00FC18C0">
        <w:trPr>
          <w:cantSplit/>
        </w:trPr>
        <w:tc>
          <w:tcPr>
            <w:tcW w:w="5000" w:type="pct"/>
            <w:gridSpan w:val="3"/>
            <w:vAlign w:val="center"/>
          </w:tcPr>
          <w:p w:rsidR="00FC18C0" w:rsidRPr="00AB529A" w:rsidRDefault="00FC18C0" w:rsidP="00FC18C0">
            <w:pPr>
              <w:pStyle w:val="TableText0"/>
              <w:keepLines/>
              <w:rPr>
                <w:b/>
              </w:rPr>
            </w:pPr>
            <w:r w:rsidRPr="00AB529A">
              <w:rPr>
                <w:b/>
              </w:rPr>
              <w:t>EVE+EXE (from unanchored MAIC in the second-line setting)</w:t>
            </w:r>
          </w:p>
        </w:tc>
      </w:tr>
      <w:tr w:rsidR="00FC18C0" w:rsidRPr="008D1AF1" w:rsidTr="00FC18C0">
        <w:trPr>
          <w:cantSplit/>
        </w:trPr>
        <w:tc>
          <w:tcPr>
            <w:tcW w:w="1168" w:type="pct"/>
            <w:vAlign w:val="center"/>
          </w:tcPr>
          <w:p w:rsidR="00FC18C0" w:rsidRPr="008D1AF1" w:rsidRDefault="00FC18C0" w:rsidP="00FC18C0">
            <w:pPr>
              <w:pStyle w:val="TableText0"/>
              <w:keepLines/>
            </w:pPr>
            <w:r w:rsidRPr="008D1AF1">
              <w:t>PFS</w:t>
            </w:r>
          </w:p>
        </w:tc>
        <w:tc>
          <w:tcPr>
            <w:tcW w:w="2457" w:type="pct"/>
            <w:vAlign w:val="center"/>
          </w:tcPr>
          <w:p w:rsidR="00FC18C0" w:rsidRPr="008D1AF1" w:rsidRDefault="00FC18C0" w:rsidP="00FC18C0">
            <w:pPr>
              <w:pStyle w:val="TableText0"/>
              <w:keepLines/>
              <w:rPr>
                <w:b/>
              </w:rPr>
            </w:pPr>
            <w:r w:rsidRPr="008D1AF1">
              <w:t>Exponential – RIBO+FULV PFS</w:t>
            </w:r>
          </w:p>
        </w:tc>
        <w:tc>
          <w:tcPr>
            <w:tcW w:w="1375" w:type="pct"/>
          </w:tcPr>
          <w:p w:rsidR="00FC18C0" w:rsidRPr="00AB529A" w:rsidRDefault="00FC18C0" w:rsidP="00FC18C0">
            <w:pPr>
              <w:pStyle w:val="TableText0"/>
              <w:keepLines/>
            </w:pPr>
            <w:r w:rsidRPr="00AB529A">
              <w:t>2.52</w:t>
            </w:r>
          </w:p>
        </w:tc>
      </w:tr>
      <w:tr w:rsidR="00FC18C0" w:rsidRPr="008D1AF1" w:rsidTr="00FC18C0">
        <w:trPr>
          <w:cantSplit/>
        </w:trPr>
        <w:tc>
          <w:tcPr>
            <w:tcW w:w="1168" w:type="pct"/>
            <w:vAlign w:val="center"/>
          </w:tcPr>
          <w:p w:rsidR="00FC18C0" w:rsidRPr="008D1AF1" w:rsidRDefault="00FC18C0" w:rsidP="00FC18C0">
            <w:pPr>
              <w:pStyle w:val="TableText0"/>
              <w:keepLines/>
            </w:pPr>
            <w:r w:rsidRPr="008D1AF1">
              <w:t>OS</w:t>
            </w:r>
          </w:p>
        </w:tc>
        <w:tc>
          <w:tcPr>
            <w:tcW w:w="2457" w:type="pct"/>
            <w:vAlign w:val="center"/>
          </w:tcPr>
          <w:p w:rsidR="00FC18C0" w:rsidRPr="008D1AF1" w:rsidRDefault="00FC18C0" w:rsidP="00FC18C0">
            <w:pPr>
              <w:pStyle w:val="TableText0"/>
              <w:keepLines/>
              <w:rPr>
                <w:b/>
              </w:rPr>
            </w:pPr>
            <w:r w:rsidRPr="008D1AF1">
              <w:t>Exponential – RIBO+FULV OS</w:t>
            </w:r>
          </w:p>
        </w:tc>
        <w:tc>
          <w:tcPr>
            <w:tcW w:w="1375" w:type="pct"/>
          </w:tcPr>
          <w:p w:rsidR="00FC18C0" w:rsidRPr="00AB529A" w:rsidRDefault="00FC18C0" w:rsidP="00FC18C0">
            <w:pPr>
              <w:pStyle w:val="TableText0"/>
              <w:keepLines/>
            </w:pPr>
            <w:r w:rsidRPr="00AB529A">
              <w:t>1.78</w:t>
            </w:r>
          </w:p>
        </w:tc>
      </w:tr>
      <w:tr w:rsidR="00FC18C0" w:rsidRPr="008D1AF1" w:rsidTr="00FC18C0">
        <w:trPr>
          <w:cantSplit/>
        </w:trPr>
        <w:tc>
          <w:tcPr>
            <w:tcW w:w="1168" w:type="pct"/>
            <w:vAlign w:val="center"/>
          </w:tcPr>
          <w:p w:rsidR="00FC18C0" w:rsidRPr="008D1AF1" w:rsidRDefault="00FC18C0" w:rsidP="00FC18C0">
            <w:pPr>
              <w:pStyle w:val="TableText0"/>
              <w:keepLines/>
            </w:pPr>
            <w:r w:rsidRPr="008D1AF1">
              <w:t>TTD – EVE</w:t>
            </w:r>
          </w:p>
        </w:tc>
        <w:tc>
          <w:tcPr>
            <w:tcW w:w="2457" w:type="pct"/>
            <w:vAlign w:val="center"/>
          </w:tcPr>
          <w:p w:rsidR="00FC18C0" w:rsidRPr="008D1AF1" w:rsidRDefault="00FC18C0" w:rsidP="00FC18C0">
            <w:pPr>
              <w:pStyle w:val="TableText0"/>
              <w:keepLines/>
              <w:rPr>
                <w:b/>
              </w:rPr>
            </w:pPr>
            <w:r w:rsidRPr="008D1AF1">
              <w:t>Exponential – RIBO+FULV PFS</w:t>
            </w:r>
          </w:p>
        </w:tc>
        <w:tc>
          <w:tcPr>
            <w:tcW w:w="1375" w:type="pct"/>
          </w:tcPr>
          <w:p w:rsidR="00FC18C0" w:rsidRPr="00AB529A" w:rsidRDefault="00FC18C0" w:rsidP="00FC18C0">
            <w:pPr>
              <w:pStyle w:val="TableText0"/>
              <w:keepLines/>
            </w:pPr>
            <w:r w:rsidRPr="00AB529A">
              <w:t>3.20</w:t>
            </w:r>
          </w:p>
        </w:tc>
      </w:tr>
      <w:tr w:rsidR="00FC18C0" w:rsidRPr="008D1AF1" w:rsidTr="00FC18C0">
        <w:trPr>
          <w:cantSplit/>
        </w:trPr>
        <w:tc>
          <w:tcPr>
            <w:tcW w:w="1168" w:type="pct"/>
            <w:vAlign w:val="center"/>
          </w:tcPr>
          <w:p w:rsidR="00FC18C0" w:rsidRPr="008D1AF1" w:rsidRDefault="00FC18C0" w:rsidP="00FC18C0">
            <w:pPr>
              <w:pStyle w:val="TableText0"/>
              <w:keepLines/>
            </w:pPr>
            <w:r w:rsidRPr="008D1AF1">
              <w:t>TTD – EXE</w:t>
            </w:r>
          </w:p>
        </w:tc>
        <w:tc>
          <w:tcPr>
            <w:tcW w:w="2457" w:type="pct"/>
            <w:vAlign w:val="center"/>
          </w:tcPr>
          <w:p w:rsidR="00FC18C0" w:rsidRPr="008D1AF1" w:rsidRDefault="00FC18C0" w:rsidP="00FC18C0">
            <w:pPr>
              <w:pStyle w:val="TableText0"/>
              <w:keepLines/>
            </w:pPr>
            <w:r w:rsidRPr="008D1AF1">
              <w:t>Exponential – RIBO+FULV PFS</w:t>
            </w:r>
          </w:p>
        </w:tc>
        <w:tc>
          <w:tcPr>
            <w:tcW w:w="1375" w:type="pct"/>
          </w:tcPr>
          <w:p w:rsidR="00FC18C0" w:rsidRPr="00AB529A" w:rsidRDefault="00FC18C0" w:rsidP="00FC18C0">
            <w:pPr>
              <w:pStyle w:val="TableText0"/>
              <w:keepLines/>
            </w:pPr>
            <w:r w:rsidRPr="00AB529A">
              <w:t>3.20</w:t>
            </w:r>
          </w:p>
        </w:tc>
      </w:tr>
    </w:tbl>
    <w:p w:rsidR="00FC18C0" w:rsidRPr="008D1AF1" w:rsidRDefault="00FC18C0" w:rsidP="00FC18C0">
      <w:pPr>
        <w:pStyle w:val="TableFigureFooter"/>
      </w:pPr>
      <w:r w:rsidRPr="008D1AF1">
        <w:t>Source: Table 2-66, p161 of the submission, pp195-198 of the submission, and sheet Regimens_DISC of CEA Model workbook.</w:t>
      </w:r>
    </w:p>
    <w:p w:rsidR="00FC18C0" w:rsidRPr="008D1AF1" w:rsidRDefault="00FC18C0" w:rsidP="00FC18C0">
      <w:pPr>
        <w:pStyle w:val="TableFigureFooter"/>
      </w:pPr>
      <w:r w:rsidRPr="008D1AF1">
        <w:t>EVE+EXE = everolimus + exemestane; OS = overall survival; PFS = progression-free survival; RIBO+FULV = ribociclib + fulvestrant; TTD = time to treatment discontinuation.</w:t>
      </w:r>
    </w:p>
    <w:p w:rsidR="00FC18C0" w:rsidRPr="008D1AF1" w:rsidRDefault="00FC18C0" w:rsidP="00071DD3">
      <w:pPr>
        <w:pStyle w:val="TableFigureFooter"/>
        <w:spacing w:after="240"/>
      </w:pPr>
      <w:r w:rsidRPr="008D1AF1">
        <w:rPr>
          <w:vertAlign w:val="superscript"/>
        </w:rPr>
        <w:t>a</w:t>
      </w:r>
      <w:r w:rsidRPr="008D1AF1">
        <w:t xml:space="preserve"> TTD hazard ratio for EVE+EXE was calculated by multiplying the hazard ratio for PFS (EVE+EXE vs RIBO+FULV = 2.52) by the EVE+EXE hazard ratio for TTD vs PFS (1.27) (2.52 * 1.27 = 3.20)</w:t>
      </w:r>
    </w:p>
    <w:p w:rsidR="00F651F3" w:rsidRDefault="00F651F3" w:rsidP="00F00B5F">
      <w:pPr>
        <w:pStyle w:val="3-BodyText"/>
      </w:pPr>
      <w:r>
        <w:t xml:space="preserve">Figure </w:t>
      </w:r>
      <w:r w:rsidR="00A63765">
        <w:t>4</w:t>
      </w:r>
      <w:r>
        <w:t xml:space="preserve"> presents modelled PFS and OS for </w:t>
      </w:r>
      <w:r w:rsidR="007B1252">
        <w:t>RIBO+FULV</w:t>
      </w:r>
      <w:r>
        <w:t xml:space="preserve"> and </w:t>
      </w:r>
      <w:r w:rsidR="007B1252">
        <w:t>EVE+EXE</w:t>
      </w:r>
      <w:r>
        <w:t xml:space="preserve"> over the 10-year time horizon</w:t>
      </w:r>
      <w:r w:rsidRPr="00A54BAC">
        <w:t xml:space="preserve"> </w:t>
      </w:r>
      <w:r>
        <w:t xml:space="preserve">and Kaplan-Meier data from </w:t>
      </w:r>
      <w:r w:rsidR="00D46250">
        <w:t>the un</w:t>
      </w:r>
      <w:r w:rsidR="003F4D02">
        <w:t>anchore</w:t>
      </w:r>
      <w:r w:rsidR="00D46250">
        <w:t>d MAIC</w:t>
      </w:r>
      <w:r>
        <w:t xml:space="preserve">. </w:t>
      </w:r>
      <w:r w:rsidR="00C34AF9" w:rsidRPr="007E0B5F">
        <w:t>OS for EVE+EXE is modelled using an exponential function which provides a poor visual fit to the observed data, underestimating survival for the trial period until median OS in BOLERO-2</w:t>
      </w:r>
      <w:r w:rsidR="00884B8D">
        <w:t xml:space="preserve"> (which</w:t>
      </w:r>
      <w:r w:rsidR="00C34AF9" w:rsidRPr="007E0B5F">
        <w:t xml:space="preserve"> favours RIBO+FULV</w:t>
      </w:r>
      <w:r w:rsidR="00884B8D">
        <w:t>)</w:t>
      </w:r>
      <w:r w:rsidR="00C34AF9" w:rsidRPr="007E0B5F">
        <w:t xml:space="preserve">. </w:t>
      </w:r>
      <w:r w:rsidR="00F00B5F" w:rsidRPr="008D1AF1">
        <w:t>The ESC considered that the extrapolated function</w:t>
      </w:r>
      <w:r w:rsidR="00B00828" w:rsidRPr="008D1AF1">
        <w:t xml:space="preserve"> for</w:t>
      </w:r>
      <w:r w:rsidR="00F00B5F" w:rsidRPr="008D1AF1">
        <w:t xml:space="preserve"> </w:t>
      </w:r>
      <w:r w:rsidR="00B00828" w:rsidRPr="008D1AF1">
        <w:t xml:space="preserve">OS for EVE+EXE </w:t>
      </w:r>
      <w:r w:rsidR="00F00B5F" w:rsidRPr="008D1AF1">
        <w:t>had poor visual fit to the observed data but noted that the ICER was relatively insensitive to the choice of extrapolation function.</w:t>
      </w:r>
      <w:r w:rsidR="00F00B5F">
        <w:t xml:space="preserve"> </w:t>
      </w:r>
      <w:r w:rsidRPr="007E0B5F">
        <w:t xml:space="preserve">Modelled estimates of PFS and OS for </w:t>
      </w:r>
      <w:r w:rsidR="007B1252" w:rsidRPr="007E0B5F">
        <w:t>EVE+EXE</w:t>
      </w:r>
      <w:r w:rsidRPr="007E0B5F">
        <w:t xml:space="preserve"> </w:t>
      </w:r>
      <w:r w:rsidR="00F67796" w:rsidRPr="007E0B5F">
        <w:t xml:space="preserve">are likely to have been higher </w:t>
      </w:r>
      <w:r w:rsidRPr="007E0B5F">
        <w:t xml:space="preserve">if extrapolated from </w:t>
      </w:r>
      <w:r w:rsidR="00C34AF9" w:rsidRPr="007E0B5F">
        <w:t>observed trial data</w:t>
      </w:r>
      <w:r w:rsidRPr="007E0B5F">
        <w:t>, increasing the ICER.</w:t>
      </w:r>
      <w:r w:rsidR="00D46250">
        <w:t xml:space="preserve"> </w:t>
      </w:r>
    </w:p>
    <w:p w:rsidR="00F651F3" w:rsidRPr="00F651F3" w:rsidRDefault="00F651F3" w:rsidP="00D41729">
      <w:pPr>
        <w:pStyle w:val="TableFigureHeading"/>
        <w:rPr>
          <w:rStyle w:val="CommentReference"/>
          <w:b/>
          <w:bCs w:val="0"/>
        </w:rPr>
      </w:pPr>
      <w:r w:rsidRPr="00F651F3">
        <w:rPr>
          <w:rStyle w:val="CommentReference"/>
          <w:b/>
          <w:bCs w:val="0"/>
        </w:rPr>
        <w:t xml:space="preserve">Figure </w:t>
      </w:r>
      <w:r w:rsidR="00A63765">
        <w:rPr>
          <w:rStyle w:val="CommentReference"/>
          <w:b/>
          <w:bCs w:val="0"/>
        </w:rPr>
        <w:t>4</w:t>
      </w:r>
      <w:r w:rsidRPr="00F651F3">
        <w:rPr>
          <w:rStyle w:val="CommentReference"/>
          <w:b/>
          <w:bCs w:val="0"/>
        </w:rPr>
        <w:t xml:space="preserve">: Observed and modelled PFS and OS for patients treated with </w:t>
      </w:r>
      <w:r w:rsidR="00232BDB">
        <w:rPr>
          <w:rStyle w:val="CommentReference"/>
          <w:b/>
          <w:bCs w:val="0"/>
        </w:rPr>
        <w:t>RIBO+FULV and EVE+EXE</w:t>
      </w:r>
      <w:r w:rsidRPr="00F651F3">
        <w:rPr>
          <w:rStyle w:val="CommentReference"/>
          <w:b/>
          <w:bCs w:val="0"/>
        </w:rPr>
        <w:t xml:space="preserve"> </w:t>
      </w:r>
      <w:r w:rsidR="00F00B5F">
        <w:rPr>
          <w:rStyle w:val="CommentReference"/>
          <w:b/>
          <w:bCs w:val="0"/>
        </w:rPr>
        <w:t>(unanchored M</w:t>
      </w:r>
      <w:r w:rsidR="00232BDB">
        <w:rPr>
          <w:rStyle w:val="CommentReference"/>
          <w:b/>
          <w:bCs w:val="0"/>
        </w:rPr>
        <w:t>A</w:t>
      </w:r>
      <w:r w:rsidR="00F00B5F">
        <w:rPr>
          <w:rStyle w:val="CommentReference"/>
          <w:b/>
          <w:bCs w:val="0"/>
        </w:rPr>
        <w:t>I</w:t>
      </w:r>
      <w:r w:rsidR="00232BDB">
        <w:rPr>
          <w:rStyle w:val="CommentReference"/>
          <w:b/>
          <w:bCs w:val="0"/>
        </w:rPr>
        <w:t xml:space="preserve">C, </w:t>
      </w:r>
      <w:r w:rsidR="005442BB">
        <w:rPr>
          <w:rStyle w:val="CommentReference"/>
          <w:b/>
          <w:bCs w:val="0"/>
        </w:rPr>
        <w:t>second</w:t>
      </w:r>
      <w:r w:rsidRPr="00F651F3">
        <w:rPr>
          <w:rStyle w:val="CommentReference"/>
          <w:b/>
          <w:bCs w:val="0"/>
        </w:rPr>
        <w:t xml:space="preserve"> line treatment subgroup</w:t>
      </w:r>
      <w:r w:rsidR="00232BDB">
        <w:rPr>
          <w:rStyle w:val="CommentReference"/>
          <w:b/>
          <w:bCs w:val="0"/>
        </w:rPr>
        <w:t>)</w:t>
      </w:r>
    </w:p>
    <w:p w:rsidR="00F651F3" w:rsidRPr="00A9563C" w:rsidRDefault="00136314" w:rsidP="00232BDB">
      <w:pPr>
        <w:pStyle w:val="3-BodyText"/>
        <w:numPr>
          <w:ilvl w:val="0"/>
          <w:numId w:val="0"/>
        </w:numPr>
        <w:ind w:left="720" w:hanging="720"/>
        <w:jc w:val="left"/>
        <w:rPr>
          <w:rFonts w:ascii="Arial Narrow" w:hAnsi="Arial Narrow"/>
          <w:sz w:val="18"/>
          <w:szCs w:val="18"/>
        </w:rPr>
      </w:pPr>
      <w:r>
        <w:rPr>
          <w:noProof/>
        </w:rPr>
        <w:drawing>
          <wp:inline distT="0" distB="0" distL="0" distR="0" wp14:anchorId="5F24C5FF" wp14:editId="7C021DD4">
            <wp:extent cx="5296535" cy="3372928"/>
            <wp:effectExtent l="0" t="0" r="18415" b="18415"/>
            <wp:docPr id="51" name="Chart 51">
              <a:extLst xmlns:a="http://schemas.openxmlformats.org/drawingml/2006/main">
                <a:ext uri="{FF2B5EF4-FFF2-40B4-BE49-F238E27FC236}">
                  <a16:creationId xmlns:a16="http://schemas.microsoft.com/office/drawing/2014/main" id="{76F47120-61B6-422F-A5D8-3FDB376CBD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651F3" w:rsidRPr="008D1AF1" w:rsidRDefault="00F651F3" w:rsidP="00232BDB">
      <w:pPr>
        <w:pStyle w:val="TableFigureFooter"/>
        <w:tabs>
          <w:tab w:val="left" w:pos="142"/>
        </w:tabs>
      </w:pPr>
      <w:r w:rsidRPr="008D1AF1">
        <w:t>Source: Compiled during the evaluation from CMA Model workbook. Kaplan-Meier data for EVE+EXE in Effectiveness Analysis 2 (after MAIC adjustment) were digitised from Figure 2-23, p161 of the submission.</w:t>
      </w:r>
    </w:p>
    <w:p w:rsidR="00F651F3" w:rsidRPr="00A9563C" w:rsidRDefault="00F651F3" w:rsidP="00106E22">
      <w:pPr>
        <w:pStyle w:val="TableFigureFooter"/>
        <w:tabs>
          <w:tab w:val="left" w:pos="142"/>
        </w:tabs>
        <w:spacing w:after="240"/>
      </w:pPr>
      <w:r>
        <w:t xml:space="preserve">EVE+EXE = everolimus + exemestane; KM = Kaplan-Meier; </w:t>
      </w:r>
      <w:r w:rsidRPr="00A9563C">
        <w:t>OS = overall survival; PFS = progression free survival</w:t>
      </w:r>
      <w:r>
        <w:t>; RIBO+FULV = ribociclib + fulvestrant</w:t>
      </w:r>
    </w:p>
    <w:p w:rsidR="00F651F3" w:rsidRPr="007E0B5F" w:rsidRDefault="00AB063D" w:rsidP="00F651F3">
      <w:pPr>
        <w:pStyle w:val="3-BodyText"/>
      </w:pPr>
      <w:r w:rsidRPr="007E0B5F">
        <w:t xml:space="preserve">Based on the extrapolated OS, </w:t>
      </w:r>
      <w:r w:rsidR="00F651F3" w:rsidRPr="007E0B5F">
        <w:t>17% of patients in the RIBO+FULV arm and 5% of patients in the EVE+EXE arm were still alive at the 10 year time horizon</w:t>
      </w:r>
      <w:r w:rsidR="00FE06A5" w:rsidRPr="007E0B5F">
        <w:t xml:space="preserve">. </w:t>
      </w:r>
    </w:p>
    <w:p w:rsidR="00FA0C59" w:rsidRDefault="00F651F3" w:rsidP="00F651F3">
      <w:pPr>
        <w:pStyle w:val="3-BodyText"/>
      </w:pPr>
      <w:r w:rsidRPr="007E0B5F">
        <w:t xml:space="preserve">Modelled outcomes </w:t>
      </w:r>
      <w:r w:rsidR="00872002">
        <w:t xml:space="preserve">for EVE+EXE </w:t>
      </w:r>
      <w:r w:rsidRPr="007E0B5F">
        <w:t>are not consistent with the clinical data provided.</w:t>
      </w:r>
      <w:r w:rsidRPr="00E40879">
        <w:rPr>
          <w:i/>
        </w:rPr>
        <w:t xml:space="preserve"> </w:t>
      </w:r>
      <w:r>
        <w:t xml:space="preserve">Compared with MAIC-adjusted data, the model underestimates </w:t>
      </w:r>
      <w:r w:rsidR="00F1472D">
        <w:t xml:space="preserve">median </w:t>
      </w:r>
      <w:r>
        <w:t xml:space="preserve">OS for </w:t>
      </w:r>
      <w:r w:rsidR="007B1252">
        <w:t>EVE+EXE</w:t>
      </w:r>
      <w:r>
        <w:t xml:space="preserve"> by 1.5 months </w:t>
      </w:r>
      <w:r w:rsidRPr="00F30E90">
        <w:t xml:space="preserve">(Table </w:t>
      </w:r>
      <w:r w:rsidR="00741187">
        <w:t>1</w:t>
      </w:r>
      <w:r w:rsidR="002415BC">
        <w:t>5</w:t>
      </w:r>
      <w:r w:rsidRPr="00F30E90">
        <w:t>).</w:t>
      </w:r>
      <w:r>
        <w:t xml:space="preserve"> </w:t>
      </w:r>
      <w:r w:rsidR="00872002">
        <w:t>As median OS has not been reached for MONALEESA-3, no comparison can be made for RIBO+FULV.</w:t>
      </w:r>
    </w:p>
    <w:p w:rsidR="00F651F3" w:rsidRPr="007E0B5F" w:rsidRDefault="00232BDB" w:rsidP="00F651F3">
      <w:pPr>
        <w:pStyle w:val="3-BodyText"/>
      </w:pPr>
      <w:r>
        <w:t>The submission did not provide time to discontinuation results from the</w:t>
      </w:r>
      <w:r w:rsidR="00F651F3">
        <w:t xml:space="preserve"> </w:t>
      </w:r>
      <w:r>
        <w:t xml:space="preserve">unanchored </w:t>
      </w:r>
      <w:r w:rsidR="00872002">
        <w:t>MAIC</w:t>
      </w:r>
      <w:r w:rsidR="00F651F3">
        <w:t xml:space="preserve">. </w:t>
      </w:r>
      <w:r w:rsidR="009F6917">
        <w:t xml:space="preserve">Therefore, it was unclear whether modelled time to discontinuation was reliable compared with the clinical data. </w:t>
      </w:r>
    </w:p>
    <w:p w:rsidR="00F651F3" w:rsidRPr="00780D62" w:rsidRDefault="00F651F3" w:rsidP="00D41729">
      <w:pPr>
        <w:keepNext/>
        <w:spacing w:before="240"/>
        <w:rPr>
          <w:rStyle w:val="CommentReference"/>
        </w:rPr>
      </w:pPr>
      <w:r>
        <w:rPr>
          <w:rStyle w:val="CommentReference"/>
        </w:rPr>
        <w:t>Table</w:t>
      </w:r>
      <w:r w:rsidRPr="00780D62">
        <w:rPr>
          <w:rStyle w:val="CommentReference"/>
        </w:rPr>
        <w:t xml:space="preserve"> </w:t>
      </w:r>
      <w:r w:rsidR="009F768F">
        <w:rPr>
          <w:rStyle w:val="CommentReference"/>
        </w:rPr>
        <w:t>1</w:t>
      </w:r>
      <w:r w:rsidR="00EE094F">
        <w:rPr>
          <w:rStyle w:val="CommentReference"/>
        </w:rPr>
        <w:t>5</w:t>
      </w:r>
      <w:r w:rsidRPr="00780D62">
        <w:rPr>
          <w:rStyle w:val="CommentReference"/>
        </w:rPr>
        <w:t xml:space="preserve">: </w:t>
      </w:r>
      <w:r>
        <w:rPr>
          <w:rStyle w:val="CommentReference"/>
        </w:rPr>
        <w:t>Median</w:t>
      </w:r>
      <w:r w:rsidRPr="00780D62">
        <w:rPr>
          <w:rStyle w:val="CommentReference"/>
        </w:rPr>
        <w:t xml:space="preserve"> PFS</w:t>
      </w:r>
      <w:r>
        <w:rPr>
          <w:rStyle w:val="CommentReference"/>
        </w:rPr>
        <w:t>,</w:t>
      </w:r>
      <w:r w:rsidRPr="00780D62">
        <w:rPr>
          <w:rStyle w:val="CommentReference"/>
        </w:rPr>
        <w:t xml:space="preserve"> OS</w:t>
      </w:r>
      <w:r>
        <w:rPr>
          <w:rStyle w:val="CommentReference"/>
        </w:rPr>
        <w:t xml:space="preserve"> and TTD</w:t>
      </w:r>
      <w:r w:rsidRPr="00780D62">
        <w:rPr>
          <w:rStyle w:val="CommentReference"/>
        </w:rPr>
        <w:t xml:space="preserve"> for patients treated with </w:t>
      </w:r>
      <w:r w:rsidR="00232BDB">
        <w:rPr>
          <w:rStyle w:val="CommentReference"/>
        </w:rPr>
        <w:t>RIBO+FULV and EVE+EXE</w:t>
      </w:r>
      <w:r w:rsidRPr="00780D62">
        <w:rPr>
          <w:rStyle w:val="CommentReference"/>
        </w:rPr>
        <w:t xml:space="preserve">, </w:t>
      </w:r>
      <w:r w:rsidR="00232BDB">
        <w:rPr>
          <w:rStyle w:val="CommentReference"/>
        </w:rPr>
        <w:t>una</w:t>
      </w:r>
      <w:r w:rsidR="003F4D02">
        <w:rPr>
          <w:rStyle w:val="CommentReference"/>
        </w:rPr>
        <w:t>nchor</w:t>
      </w:r>
      <w:r w:rsidR="00232BDB">
        <w:rPr>
          <w:rStyle w:val="CommentReference"/>
        </w:rPr>
        <w:t>ed MAIC</w:t>
      </w:r>
      <w:r w:rsidRPr="00780D62">
        <w:rPr>
          <w:rStyle w:val="CommentReference"/>
        </w:rPr>
        <w:t xml:space="preserve">, </w:t>
      </w:r>
      <w:r w:rsidR="005442BB">
        <w:rPr>
          <w:rStyle w:val="CommentReference"/>
        </w:rPr>
        <w:t>second</w:t>
      </w:r>
      <w:r w:rsidRPr="00780D62">
        <w:rPr>
          <w:rStyle w:val="CommentReference"/>
        </w:rPr>
        <w:t xml:space="preserve"> line treatment subgroup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817"/>
        <w:gridCol w:w="2099"/>
        <w:gridCol w:w="2101"/>
      </w:tblGrid>
      <w:tr w:rsidR="009F6917" w:rsidRPr="00C76A12" w:rsidTr="009F6917">
        <w:trPr>
          <w:cantSplit/>
          <w:tblHeader/>
        </w:trPr>
        <w:tc>
          <w:tcPr>
            <w:tcW w:w="267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F6917" w:rsidRPr="00C76A12" w:rsidRDefault="009F6917" w:rsidP="00F651F3">
            <w:pPr>
              <w:keepNext/>
              <w:keepLines/>
              <w:spacing w:line="256" w:lineRule="auto"/>
              <w:jc w:val="left"/>
              <w:rPr>
                <w:rFonts w:ascii="Arial Narrow" w:hAnsi="Arial Narrow"/>
                <w:b/>
                <w:sz w:val="20"/>
                <w:szCs w:val="20"/>
              </w:rPr>
            </w:pPr>
            <w:r>
              <w:rPr>
                <w:rFonts w:ascii="Arial Narrow" w:hAnsi="Arial Narrow"/>
                <w:b/>
                <w:sz w:val="20"/>
                <w:szCs w:val="20"/>
              </w:rPr>
              <w:t xml:space="preserve">Median </w:t>
            </w:r>
            <w:r w:rsidRPr="00C76A12">
              <w:rPr>
                <w:rFonts w:ascii="Arial Narrow" w:hAnsi="Arial Narrow"/>
                <w:b/>
                <w:sz w:val="20"/>
                <w:szCs w:val="20"/>
              </w:rPr>
              <w:t>Outcome</w:t>
            </w:r>
          </w:p>
        </w:tc>
        <w:tc>
          <w:tcPr>
            <w:tcW w:w="116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F6917" w:rsidRPr="00C76A12" w:rsidRDefault="009F6917" w:rsidP="00F651F3">
            <w:pPr>
              <w:keepNext/>
              <w:keepLines/>
              <w:spacing w:line="256" w:lineRule="auto"/>
              <w:jc w:val="center"/>
              <w:rPr>
                <w:rFonts w:ascii="Arial Narrow" w:hAnsi="Arial Narrow"/>
                <w:b/>
                <w:sz w:val="20"/>
                <w:szCs w:val="20"/>
              </w:rPr>
            </w:pPr>
            <w:r>
              <w:rPr>
                <w:rFonts w:ascii="Arial Narrow" w:hAnsi="Arial Narrow"/>
                <w:b/>
                <w:sz w:val="20"/>
                <w:szCs w:val="20"/>
              </w:rPr>
              <w:t>PFS (months)</w:t>
            </w:r>
          </w:p>
        </w:tc>
        <w:tc>
          <w:tcPr>
            <w:tcW w:w="116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F6917" w:rsidRPr="00C76A12" w:rsidRDefault="009F6917" w:rsidP="00F651F3">
            <w:pPr>
              <w:keepNext/>
              <w:keepLines/>
              <w:spacing w:line="256" w:lineRule="auto"/>
              <w:jc w:val="center"/>
              <w:rPr>
                <w:rFonts w:ascii="Arial Narrow" w:hAnsi="Arial Narrow"/>
                <w:b/>
                <w:sz w:val="20"/>
                <w:szCs w:val="20"/>
              </w:rPr>
            </w:pPr>
            <w:r>
              <w:rPr>
                <w:rFonts w:ascii="Arial Narrow" w:hAnsi="Arial Narrow"/>
                <w:b/>
                <w:sz w:val="20"/>
                <w:szCs w:val="20"/>
              </w:rPr>
              <w:t>OS (months)</w:t>
            </w:r>
          </w:p>
        </w:tc>
      </w:tr>
      <w:tr w:rsidR="009F6917" w:rsidRPr="00C76A12" w:rsidTr="009F6917">
        <w:trPr>
          <w:cantSplit/>
          <w:tblHeader/>
        </w:trPr>
        <w:tc>
          <w:tcPr>
            <w:tcW w:w="2671" w:type="pct"/>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rsidR="009F6917" w:rsidRPr="00C76A12" w:rsidRDefault="009F6917" w:rsidP="00F651F3">
            <w:pPr>
              <w:keepNext/>
              <w:keepLines/>
              <w:spacing w:line="256" w:lineRule="auto"/>
              <w:jc w:val="left"/>
              <w:rPr>
                <w:rFonts w:ascii="Arial Narrow" w:hAnsi="Arial Narrow"/>
                <w:b/>
                <w:sz w:val="20"/>
                <w:szCs w:val="20"/>
              </w:rPr>
            </w:pPr>
            <w:r>
              <w:rPr>
                <w:rFonts w:ascii="Arial Narrow" w:hAnsi="Arial Narrow"/>
                <w:b/>
                <w:sz w:val="20"/>
                <w:szCs w:val="20"/>
              </w:rPr>
              <w:t>RIBO+FULV</w:t>
            </w:r>
          </w:p>
        </w:tc>
        <w:tc>
          <w:tcPr>
            <w:tcW w:w="1164" w:type="pct"/>
            <w:tcBorders>
              <w:top w:val="single" w:sz="4" w:space="0" w:color="auto"/>
              <w:left w:val="nil"/>
              <w:bottom w:val="single" w:sz="4" w:space="0" w:color="auto"/>
              <w:right w:val="nil"/>
            </w:tcBorders>
            <w:tcMar>
              <w:top w:w="0" w:type="dxa"/>
              <w:left w:w="57" w:type="dxa"/>
              <w:bottom w:w="0" w:type="dxa"/>
              <w:right w:w="57" w:type="dxa"/>
            </w:tcMar>
            <w:vAlign w:val="center"/>
          </w:tcPr>
          <w:p w:rsidR="009F6917" w:rsidRPr="00C76A12" w:rsidRDefault="009F6917" w:rsidP="00F651F3">
            <w:pPr>
              <w:keepNext/>
              <w:keepLines/>
              <w:spacing w:line="256" w:lineRule="auto"/>
              <w:jc w:val="center"/>
              <w:rPr>
                <w:rFonts w:ascii="Arial Narrow" w:hAnsi="Arial Narrow" w:cs="Times New Roman"/>
                <w:b/>
                <w:sz w:val="20"/>
                <w:szCs w:val="20"/>
              </w:rPr>
            </w:pPr>
          </w:p>
        </w:tc>
        <w:tc>
          <w:tcPr>
            <w:tcW w:w="1165" w:type="pct"/>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9F6917" w:rsidRPr="00C76A12" w:rsidRDefault="009F6917" w:rsidP="00F651F3">
            <w:pPr>
              <w:keepNext/>
              <w:keepLines/>
              <w:spacing w:line="256" w:lineRule="auto"/>
              <w:jc w:val="center"/>
              <w:rPr>
                <w:rFonts w:ascii="Arial Narrow" w:hAnsi="Arial Narrow"/>
                <w:b/>
                <w:sz w:val="20"/>
                <w:szCs w:val="20"/>
              </w:rPr>
            </w:pPr>
          </w:p>
        </w:tc>
      </w:tr>
      <w:tr w:rsidR="009F6917" w:rsidRPr="00C76A12" w:rsidTr="009F6917">
        <w:trPr>
          <w:cantSplit/>
          <w:tblHeader/>
        </w:trPr>
        <w:tc>
          <w:tcPr>
            <w:tcW w:w="267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F6917" w:rsidRPr="00C307B0" w:rsidRDefault="009F6917" w:rsidP="009F6917">
            <w:pPr>
              <w:keepNext/>
              <w:keepLines/>
              <w:spacing w:line="256" w:lineRule="auto"/>
              <w:jc w:val="left"/>
              <w:rPr>
                <w:rFonts w:ascii="Arial Narrow" w:hAnsi="Arial Narrow"/>
                <w:sz w:val="20"/>
                <w:szCs w:val="20"/>
              </w:rPr>
            </w:pPr>
            <w:r w:rsidRPr="00C307B0">
              <w:rPr>
                <w:rFonts w:ascii="Arial Narrow" w:hAnsi="Arial Narrow"/>
                <w:sz w:val="20"/>
                <w:szCs w:val="20"/>
              </w:rPr>
              <w:t>Trial (</w:t>
            </w:r>
            <w:r>
              <w:rPr>
                <w:rFonts w:ascii="Arial Narrow" w:hAnsi="Arial Narrow"/>
                <w:sz w:val="20"/>
                <w:szCs w:val="20"/>
              </w:rPr>
              <w:t xml:space="preserve">median </w:t>
            </w:r>
            <w:r w:rsidRPr="00C307B0">
              <w:rPr>
                <w:rFonts w:ascii="Arial Narrow" w:hAnsi="Arial Narrow"/>
                <w:sz w:val="20"/>
                <w:szCs w:val="20"/>
              </w:rPr>
              <w:t>39.4 months</w:t>
            </w:r>
            <w:r>
              <w:rPr>
                <w:rFonts w:ascii="Arial Narrow" w:hAnsi="Arial Narrow"/>
                <w:sz w:val="20"/>
                <w:szCs w:val="20"/>
              </w:rPr>
              <w:t xml:space="preserve"> follow-up</w:t>
            </w:r>
            <w:r>
              <w:rPr>
                <w:rFonts w:ascii="Arial Narrow" w:hAnsi="Arial Narrow"/>
                <w:sz w:val="20"/>
                <w:szCs w:val="20"/>
                <w:vertAlign w:val="superscript"/>
              </w:rPr>
              <w:t>a</w:t>
            </w:r>
            <w:r w:rsidRPr="00C307B0">
              <w:rPr>
                <w:rFonts w:ascii="Arial Narrow" w:hAnsi="Arial Narrow"/>
                <w:sz w:val="20"/>
                <w:szCs w:val="20"/>
              </w:rPr>
              <w:t>)</w:t>
            </w:r>
          </w:p>
        </w:tc>
        <w:tc>
          <w:tcPr>
            <w:tcW w:w="1164" w:type="pct"/>
            <w:tcMar>
              <w:top w:w="0" w:type="dxa"/>
              <w:left w:w="57" w:type="dxa"/>
              <w:bottom w:w="0" w:type="dxa"/>
              <w:right w:w="57" w:type="dxa"/>
            </w:tcMar>
            <w:vAlign w:val="center"/>
          </w:tcPr>
          <w:p w:rsidR="009F6917" w:rsidRPr="00AB529A" w:rsidRDefault="009F6917" w:rsidP="00F651F3">
            <w:pPr>
              <w:keepNext/>
              <w:keepLines/>
              <w:spacing w:line="256" w:lineRule="auto"/>
              <w:jc w:val="center"/>
              <w:rPr>
                <w:rFonts w:ascii="Arial Narrow" w:hAnsi="Arial Narrow" w:cs="Times New Roman"/>
                <w:sz w:val="20"/>
                <w:szCs w:val="20"/>
              </w:rPr>
            </w:pPr>
            <w:r w:rsidRPr="00AB529A">
              <w:rPr>
                <w:rFonts w:ascii="Arial Narrow" w:hAnsi="Arial Narrow" w:cs="Times New Roman"/>
                <w:sz w:val="20"/>
                <w:szCs w:val="20"/>
              </w:rPr>
              <w:t>18.8</w:t>
            </w:r>
          </w:p>
        </w:tc>
        <w:tc>
          <w:tcPr>
            <w:tcW w:w="1165" w:type="pct"/>
            <w:tcMar>
              <w:top w:w="0" w:type="dxa"/>
              <w:left w:w="57" w:type="dxa"/>
              <w:bottom w:w="0" w:type="dxa"/>
              <w:right w:w="57" w:type="dxa"/>
            </w:tcMar>
            <w:vAlign w:val="center"/>
          </w:tcPr>
          <w:p w:rsidR="009F6917" w:rsidRPr="00AB529A" w:rsidRDefault="009F6917" w:rsidP="00F651F3">
            <w:pPr>
              <w:keepNext/>
              <w:keepLines/>
              <w:spacing w:line="256" w:lineRule="auto"/>
              <w:jc w:val="center"/>
              <w:rPr>
                <w:rFonts w:ascii="Arial Narrow" w:hAnsi="Arial Narrow" w:cs="Times New Roman"/>
                <w:sz w:val="20"/>
                <w:szCs w:val="20"/>
              </w:rPr>
            </w:pPr>
            <w:r w:rsidRPr="00AB529A">
              <w:rPr>
                <w:rFonts w:ascii="Arial Narrow" w:hAnsi="Arial Narrow" w:cs="Times New Roman"/>
                <w:sz w:val="20"/>
                <w:szCs w:val="20"/>
              </w:rPr>
              <w:t>NE</w:t>
            </w:r>
          </w:p>
        </w:tc>
      </w:tr>
      <w:tr w:rsidR="009F6917" w:rsidRPr="00C76A12" w:rsidTr="009F6917">
        <w:trPr>
          <w:cantSplit/>
          <w:tblHeader/>
        </w:trPr>
        <w:tc>
          <w:tcPr>
            <w:tcW w:w="267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F6917" w:rsidRPr="00C307B0" w:rsidRDefault="009F6917" w:rsidP="00F651F3">
            <w:pPr>
              <w:keepNext/>
              <w:keepLines/>
              <w:spacing w:line="256" w:lineRule="auto"/>
              <w:jc w:val="left"/>
              <w:rPr>
                <w:rFonts w:ascii="Arial Narrow" w:hAnsi="Arial Narrow"/>
                <w:sz w:val="20"/>
                <w:szCs w:val="20"/>
              </w:rPr>
            </w:pPr>
            <w:r w:rsidRPr="00C307B0">
              <w:rPr>
                <w:rFonts w:ascii="Arial Narrow" w:hAnsi="Arial Narrow"/>
                <w:sz w:val="20"/>
                <w:szCs w:val="20"/>
              </w:rPr>
              <w:t xml:space="preserve">Model </w:t>
            </w:r>
            <w:r>
              <w:rPr>
                <w:rFonts w:ascii="Arial Narrow" w:hAnsi="Arial Narrow"/>
                <w:sz w:val="20"/>
                <w:szCs w:val="20"/>
              </w:rPr>
              <w:t>(</w:t>
            </w:r>
            <w:r w:rsidRPr="00C307B0">
              <w:rPr>
                <w:rFonts w:ascii="Arial Narrow" w:hAnsi="Arial Narrow"/>
                <w:sz w:val="20"/>
                <w:szCs w:val="20"/>
              </w:rPr>
              <w:t>10</w:t>
            </w:r>
            <w:r>
              <w:rPr>
                <w:rFonts w:ascii="Arial Narrow" w:hAnsi="Arial Narrow"/>
                <w:sz w:val="20"/>
                <w:szCs w:val="20"/>
              </w:rPr>
              <w:t>-</w:t>
            </w:r>
            <w:r w:rsidRPr="00C307B0">
              <w:rPr>
                <w:rFonts w:ascii="Arial Narrow" w:hAnsi="Arial Narrow"/>
                <w:sz w:val="20"/>
                <w:szCs w:val="20"/>
              </w:rPr>
              <w:t>year</w:t>
            </w:r>
            <w:r>
              <w:rPr>
                <w:rFonts w:ascii="Arial Narrow" w:hAnsi="Arial Narrow"/>
                <w:sz w:val="20"/>
                <w:szCs w:val="20"/>
              </w:rPr>
              <w:t xml:space="preserve"> time horizon</w:t>
            </w:r>
            <w:r w:rsidRPr="00C307B0">
              <w:rPr>
                <w:rFonts w:ascii="Arial Narrow" w:hAnsi="Arial Narrow"/>
                <w:sz w:val="20"/>
                <w:szCs w:val="20"/>
              </w:rPr>
              <w:t>)</w:t>
            </w:r>
          </w:p>
        </w:tc>
        <w:tc>
          <w:tcPr>
            <w:tcW w:w="1164" w:type="pct"/>
            <w:tcMar>
              <w:top w:w="0" w:type="dxa"/>
              <w:left w:w="57" w:type="dxa"/>
              <w:bottom w:w="0" w:type="dxa"/>
              <w:right w:w="57" w:type="dxa"/>
            </w:tcMar>
            <w:vAlign w:val="center"/>
          </w:tcPr>
          <w:p w:rsidR="009F6917" w:rsidRPr="00AB529A" w:rsidRDefault="009F6917" w:rsidP="00F651F3">
            <w:pPr>
              <w:keepNext/>
              <w:keepLines/>
              <w:spacing w:line="256" w:lineRule="auto"/>
              <w:jc w:val="center"/>
              <w:rPr>
                <w:rFonts w:ascii="Arial Narrow" w:hAnsi="Arial Narrow" w:cs="Times New Roman"/>
                <w:sz w:val="20"/>
                <w:szCs w:val="20"/>
              </w:rPr>
            </w:pPr>
            <w:r w:rsidRPr="00AB529A">
              <w:rPr>
                <w:rFonts w:ascii="Arial Narrow" w:hAnsi="Arial Narrow" w:cs="Times New Roman"/>
                <w:sz w:val="20"/>
                <w:szCs w:val="20"/>
              </w:rPr>
              <w:t>18.4</w:t>
            </w:r>
          </w:p>
        </w:tc>
        <w:tc>
          <w:tcPr>
            <w:tcW w:w="1165" w:type="pct"/>
            <w:tcMar>
              <w:top w:w="0" w:type="dxa"/>
              <w:left w:w="57" w:type="dxa"/>
              <w:bottom w:w="0" w:type="dxa"/>
              <w:right w:w="57" w:type="dxa"/>
            </w:tcMar>
            <w:vAlign w:val="center"/>
          </w:tcPr>
          <w:p w:rsidR="009F6917" w:rsidRPr="00AB529A" w:rsidRDefault="009F6917" w:rsidP="00F651F3">
            <w:pPr>
              <w:keepNext/>
              <w:keepLines/>
              <w:spacing w:line="256" w:lineRule="auto"/>
              <w:jc w:val="center"/>
              <w:rPr>
                <w:rFonts w:ascii="Arial Narrow" w:hAnsi="Arial Narrow" w:cs="Times New Roman"/>
                <w:sz w:val="20"/>
                <w:szCs w:val="20"/>
              </w:rPr>
            </w:pPr>
            <w:r w:rsidRPr="00AB529A">
              <w:rPr>
                <w:rFonts w:ascii="Arial Narrow" w:hAnsi="Arial Narrow" w:cs="Times New Roman"/>
                <w:sz w:val="20"/>
                <w:szCs w:val="20"/>
              </w:rPr>
              <w:t>46.9</w:t>
            </w:r>
          </w:p>
        </w:tc>
      </w:tr>
      <w:tr w:rsidR="009F6917" w:rsidRPr="00C76A12" w:rsidTr="009F6917">
        <w:trPr>
          <w:cantSplit/>
          <w:tblHeader/>
        </w:trPr>
        <w:tc>
          <w:tcPr>
            <w:tcW w:w="267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F6917" w:rsidRPr="00C307B0" w:rsidRDefault="009F6917" w:rsidP="00F651F3">
            <w:pPr>
              <w:keepNext/>
              <w:keepLines/>
              <w:spacing w:line="256" w:lineRule="auto"/>
              <w:jc w:val="left"/>
              <w:rPr>
                <w:rFonts w:ascii="Arial Narrow" w:hAnsi="Arial Narrow"/>
                <w:sz w:val="20"/>
                <w:szCs w:val="20"/>
              </w:rPr>
            </w:pPr>
            <w:r>
              <w:rPr>
                <w:rFonts w:ascii="Arial Narrow" w:hAnsi="Arial Narrow"/>
                <w:sz w:val="20"/>
                <w:szCs w:val="20"/>
              </w:rPr>
              <w:t>Difference (modelled – observed)</w:t>
            </w:r>
          </w:p>
        </w:tc>
        <w:tc>
          <w:tcPr>
            <w:tcW w:w="1164" w:type="pct"/>
            <w:tcMar>
              <w:top w:w="0" w:type="dxa"/>
              <w:left w:w="57" w:type="dxa"/>
              <w:bottom w:w="0" w:type="dxa"/>
              <w:right w:w="57" w:type="dxa"/>
            </w:tcMar>
            <w:vAlign w:val="center"/>
          </w:tcPr>
          <w:p w:rsidR="009F6917" w:rsidRPr="00AB529A" w:rsidRDefault="009F6917" w:rsidP="00F651F3">
            <w:pPr>
              <w:keepNext/>
              <w:keepLines/>
              <w:spacing w:line="256" w:lineRule="auto"/>
              <w:jc w:val="center"/>
              <w:rPr>
                <w:rFonts w:ascii="Arial Narrow" w:hAnsi="Arial Narrow" w:cs="Times New Roman"/>
                <w:sz w:val="20"/>
                <w:szCs w:val="20"/>
              </w:rPr>
            </w:pPr>
            <w:r w:rsidRPr="00AB529A">
              <w:rPr>
                <w:rFonts w:ascii="Arial Narrow" w:hAnsi="Arial Narrow" w:cs="Times New Roman"/>
                <w:sz w:val="20"/>
                <w:szCs w:val="20"/>
              </w:rPr>
              <w:t>-0.4</w:t>
            </w:r>
          </w:p>
        </w:tc>
        <w:tc>
          <w:tcPr>
            <w:tcW w:w="1165" w:type="pct"/>
            <w:tcMar>
              <w:top w:w="0" w:type="dxa"/>
              <w:left w:w="57" w:type="dxa"/>
              <w:bottom w:w="0" w:type="dxa"/>
              <w:right w:w="57" w:type="dxa"/>
            </w:tcMar>
            <w:vAlign w:val="center"/>
          </w:tcPr>
          <w:p w:rsidR="009F6917" w:rsidRPr="00AB529A" w:rsidRDefault="009F6917" w:rsidP="00F651F3">
            <w:pPr>
              <w:keepNext/>
              <w:keepLines/>
              <w:spacing w:line="256" w:lineRule="auto"/>
              <w:jc w:val="center"/>
              <w:rPr>
                <w:rFonts w:ascii="Arial Narrow" w:hAnsi="Arial Narrow" w:cs="Times New Roman"/>
                <w:sz w:val="20"/>
                <w:szCs w:val="20"/>
              </w:rPr>
            </w:pPr>
            <w:r w:rsidRPr="00AB529A">
              <w:rPr>
                <w:rFonts w:ascii="Arial Narrow" w:hAnsi="Arial Narrow" w:cs="Times New Roman"/>
                <w:sz w:val="20"/>
                <w:szCs w:val="20"/>
              </w:rPr>
              <w:t>NE</w:t>
            </w:r>
          </w:p>
        </w:tc>
      </w:tr>
      <w:tr w:rsidR="009F6917" w:rsidRPr="00C76A12" w:rsidTr="009F6917">
        <w:trPr>
          <w:cantSplit/>
        </w:trPr>
        <w:tc>
          <w:tcPr>
            <w:tcW w:w="2671" w:type="pct"/>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rsidR="009F6917" w:rsidRPr="00C307B0" w:rsidRDefault="009F6917" w:rsidP="00F651F3">
            <w:pPr>
              <w:pStyle w:val="Tabletext"/>
              <w:keepNext/>
              <w:keepLines/>
              <w:spacing w:line="256" w:lineRule="auto"/>
              <w:rPr>
                <w:rFonts w:cs="Calibri"/>
                <w:iCs/>
                <w:szCs w:val="20"/>
              </w:rPr>
            </w:pPr>
            <w:r>
              <w:rPr>
                <w:b/>
                <w:szCs w:val="20"/>
              </w:rPr>
              <w:t>EVE+EXE</w:t>
            </w:r>
          </w:p>
        </w:tc>
        <w:tc>
          <w:tcPr>
            <w:tcW w:w="1164" w:type="pct"/>
            <w:tcBorders>
              <w:top w:val="single" w:sz="4" w:space="0" w:color="auto"/>
              <w:left w:val="nil"/>
              <w:bottom w:val="single" w:sz="4" w:space="0" w:color="auto"/>
              <w:right w:val="nil"/>
            </w:tcBorders>
            <w:tcMar>
              <w:top w:w="0" w:type="dxa"/>
              <w:left w:w="57" w:type="dxa"/>
              <w:bottom w:w="0" w:type="dxa"/>
              <w:right w:w="57" w:type="dxa"/>
            </w:tcMar>
            <w:vAlign w:val="center"/>
          </w:tcPr>
          <w:p w:rsidR="009F6917" w:rsidRPr="00AB529A" w:rsidRDefault="009F6917" w:rsidP="00F651F3">
            <w:pPr>
              <w:pStyle w:val="Tabletext"/>
              <w:keepNext/>
              <w:keepLines/>
              <w:spacing w:line="256" w:lineRule="auto"/>
              <w:jc w:val="center"/>
              <w:rPr>
                <w:rFonts w:cs="Calibri"/>
                <w:iCs/>
                <w:szCs w:val="20"/>
              </w:rPr>
            </w:pPr>
          </w:p>
        </w:tc>
        <w:tc>
          <w:tcPr>
            <w:tcW w:w="1165" w:type="pct"/>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9F6917" w:rsidRPr="00AB529A" w:rsidRDefault="009F6917" w:rsidP="00F651F3">
            <w:pPr>
              <w:pStyle w:val="Tabletext"/>
              <w:keepNext/>
              <w:keepLines/>
              <w:spacing w:line="256" w:lineRule="auto"/>
              <w:jc w:val="center"/>
              <w:rPr>
                <w:rFonts w:cs="Calibri"/>
                <w:iCs/>
                <w:szCs w:val="20"/>
              </w:rPr>
            </w:pPr>
          </w:p>
        </w:tc>
      </w:tr>
      <w:tr w:rsidR="009F6917" w:rsidRPr="00C76A12" w:rsidTr="009F6917">
        <w:trPr>
          <w:cantSplit/>
        </w:trPr>
        <w:tc>
          <w:tcPr>
            <w:tcW w:w="267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F6917" w:rsidRPr="00C307B0" w:rsidRDefault="009F6917" w:rsidP="009F6917">
            <w:pPr>
              <w:pStyle w:val="Tabletext"/>
              <w:keepNext/>
              <w:keepLines/>
              <w:spacing w:line="256" w:lineRule="auto"/>
              <w:rPr>
                <w:rFonts w:cs="Calibri"/>
                <w:iCs/>
                <w:szCs w:val="20"/>
              </w:rPr>
            </w:pPr>
            <w:r w:rsidRPr="00C307B0">
              <w:rPr>
                <w:szCs w:val="20"/>
              </w:rPr>
              <w:t>Trial (</w:t>
            </w:r>
            <w:r>
              <w:rPr>
                <w:szCs w:val="20"/>
              </w:rPr>
              <w:t xml:space="preserve">median </w:t>
            </w:r>
            <w:r w:rsidRPr="00C307B0">
              <w:rPr>
                <w:szCs w:val="20"/>
              </w:rPr>
              <w:t>17.7 months</w:t>
            </w:r>
            <w:r>
              <w:rPr>
                <w:szCs w:val="20"/>
              </w:rPr>
              <w:t xml:space="preserve"> follow-up</w:t>
            </w:r>
            <w:r>
              <w:rPr>
                <w:szCs w:val="20"/>
                <w:vertAlign w:val="superscript"/>
              </w:rPr>
              <w:t>b</w:t>
            </w:r>
            <w:r w:rsidRPr="00C307B0">
              <w:rPr>
                <w:szCs w:val="20"/>
              </w:rPr>
              <w:t>)</w:t>
            </w:r>
          </w:p>
        </w:tc>
        <w:tc>
          <w:tcPr>
            <w:tcW w:w="1164" w:type="pct"/>
            <w:tcMar>
              <w:top w:w="0" w:type="dxa"/>
              <w:left w:w="57" w:type="dxa"/>
              <w:bottom w:w="0" w:type="dxa"/>
              <w:right w:w="57" w:type="dxa"/>
            </w:tcMar>
            <w:vAlign w:val="center"/>
          </w:tcPr>
          <w:p w:rsidR="009F6917" w:rsidRPr="00AB529A" w:rsidRDefault="009F6917" w:rsidP="00F651F3">
            <w:pPr>
              <w:pStyle w:val="Tabletext"/>
              <w:keepNext/>
              <w:keepLines/>
              <w:spacing w:line="256" w:lineRule="auto"/>
              <w:jc w:val="center"/>
              <w:rPr>
                <w:rFonts w:cs="Calibri"/>
                <w:iCs/>
                <w:szCs w:val="20"/>
              </w:rPr>
            </w:pPr>
            <w:r w:rsidRPr="00AB529A">
              <w:rPr>
                <w:rFonts w:cs="Calibri"/>
                <w:iCs/>
                <w:szCs w:val="20"/>
              </w:rPr>
              <w:t>6.7</w:t>
            </w:r>
          </w:p>
        </w:tc>
        <w:tc>
          <w:tcPr>
            <w:tcW w:w="1165" w:type="pct"/>
            <w:tcMar>
              <w:top w:w="0" w:type="dxa"/>
              <w:left w:w="57" w:type="dxa"/>
              <w:bottom w:w="0" w:type="dxa"/>
              <w:right w:w="57" w:type="dxa"/>
            </w:tcMar>
            <w:vAlign w:val="center"/>
          </w:tcPr>
          <w:p w:rsidR="009F6917" w:rsidRPr="00AB529A" w:rsidRDefault="009F6917" w:rsidP="00F651F3">
            <w:pPr>
              <w:pStyle w:val="Tabletext"/>
              <w:keepNext/>
              <w:keepLines/>
              <w:spacing w:line="256" w:lineRule="auto"/>
              <w:jc w:val="center"/>
              <w:rPr>
                <w:rFonts w:cs="Calibri"/>
                <w:iCs/>
                <w:szCs w:val="20"/>
              </w:rPr>
            </w:pPr>
            <w:r w:rsidRPr="00AB529A">
              <w:rPr>
                <w:rFonts w:cs="Calibri"/>
                <w:iCs/>
                <w:szCs w:val="20"/>
              </w:rPr>
              <w:t>28.2</w:t>
            </w:r>
          </w:p>
        </w:tc>
      </w:tr>
      <w:tr w:rsidR="009F6917" w:rsidRPr="00C76A12" w:rsidTr="009F6917">
        <w:trPr>
          <w:cantSplit/>
        </w:trPr>
        <w:tc>
          <w:tcPr>
            <w:tcW w:w="267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F6917" w:rsidRPr="00C76A12" w:rsidRDefault="009F6917" w:rsidP="00F651F3">
            <w:pPr>
              <w:pStyle w:val="Tabletext"/>
              <w:keepNext/>
              <w:keepLines/>
              <w:spacing w:line="256" w:lineRule="auto"/>
              <w:rPr>
                <w:rFonts w:cs="Calibri"/>
                <w:iCs/>
                <w:szCs w:val="20"/>
              </w:rPr>
            </w:pPr>
            <w:r w:rsidRPr="00C76A12">
              <w:rPr>
                <w:szCs w:val="20"/>
              </w:rPr>
              <w:t>Model (</w:t>
            </w:r>
            <w:r>
              <w:rPr>
                <w:szCs w:val="20"/>
              </w:rPr>
              <w:t>1</w:t>
            </w:r>
            <w:r w:rsidRPr="00C76A12">
              <w:rPr>
                <w:szCs w:val="20"/>
              </w:rPr>
              <w:t>0</w:t>
            </w:r>
            <w:r>
              <w:rPr>
                <w:szCs w:val="20"/>
              </w:rPr>
              <w:t>-</w:t>
            </w:r>
            <w:r w:rsidRPr="00C76A12">
              <w:rPr>
                <w:szCs w:val="20"/>
              </w:rPr>
              <w:t>year</w:t>
            </w:r>
            <w:r>
              <w:rPr>
                <w:szCs w:val="20"/>
              </w:rPr>
              <w:t xml:space="preserve"> time horizon</w:t>
            </w:r>
            <w:r w:rsidRPr="00C76A12">
              <w:rPr>
                <w:szCs w:val="20"/>
              </w:rPr>
              <w:t>)</w:t>
            </w:r>
          </w:p>
        </w:tc>
        <w:tc>
          <w:tcPr>
            <w:tcW w:w="1164" w:type="pct"/>
            <w:tcMar>
              <w:top w:w="0" w:type="dxa"/>
              <w:left w:w="57" w:type="dxa"/>
              <w:bottom w:w="0" w:type="dxa"/>
              <w:right w:w="57" w:type="dxa"/>
            </w:tcMar>
            <w:vAlign w:val="center"/>
          </w:tcPr>
          <w:p w:rsidR="009F6917" w:rsidRPr="00AB529A" w:rsidRDefault="009F6917" w:rsidP="00F651F3">
            <w:pPr>
              <w:pStyle w:val="Tabletext"/>
              <w:keepNext/>
              <w:keepLines/>
              <w:spacing w:line="256" w:lineRule="auto"/>
              <w:jc w:val="center"/>
              <w:rPr>
                <w:rFonts w:cs="Calibri"/>
                <w:iCs/>
                <w:szCs w:val="20"/>
              </w:rPr>
            </w:pPr>
            <w:r w:rsidRPr="00AB529A">
              <w:rPr>
                <w:rFonts w:cs="Calibri"/>
                <w:iCs/>
                <w:szCs w:val="20"/>
              </w:rPr>
              <w:t>7.4</w:t>
            </w:r>
          </w:p>
        </w:tc>
        <w:tc>
          <w:tcPr>
            <w:tcW w:w="1165" w:type="pct"/>
            <w:tcMar>
              <w:top w:w="0" w:type="dxa"/>
              <w:left w:w="57" w:type="dxa"/>
              <w:bottom w:w="0" w:type="dxa"/>
              <w:right w:w="57" w:type="dxa"/>
            </w:tcMar>
            <w:vAlign w:val="center"/>
          </w:tcPr>
          <w:p w:rsidR="009F6917" w:rsidRPr="00AB529A" w:rsidRDefault="009F6917" w:rsidP="00F651F3">
            <w:pPr>
              <w:pStyle w:val="Tabletext"/>
              <w:keepNext/>
              <w:keepLines/>
              <w:spacing w:line="256" w:lineRule="auto"/>
              <w:jc w:val="center"/>
              <w:rPr>
                <w:rFonts w:cs="Calibri"/>
                <w:iCs/>
                <w:szCs w:val="20"/>
              </w:rPr>
            </w:pPr>
            <w:r w:rsidRPr="00AB529A">
              <w:rPr>
                <w:rFonts w:cs="Calibri"/>
                <w:iCs/>
                <w:szCs w:val="20"/>
              </w:rPr>
              <w:t>26.7</w:t>
            </w:r>
          </w:p>
        </w:tc>
      </w:tr>
      <w:tr w:rsidR="009F6917" w:rsidRPr="00C76A12" w:rsidTr="009F6917">
        <w:trPr>
          <w:cantSplit/>
        </w:trPr>
        <w:tc>
          <w:tcPr>
            <w:tcW w:w="267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F6917" w:rsidRPr="00C76A12" w:rsidRDefault="009F6917" w:rsidP="00F651F3">
            <w:pPr>
              <w:pStyle w:val="Tabletext"/>
              <w:keepNext/>
              <w:keepLines/>
              <w:spacing w:line="256" w:lineRule="auto"/>
              <w:rPr>
                <w:szCs w:val="20"/>
              </w:rPr>
            </w:pPr>
            <w:r>
              <w:rPr>
                <w:szCs w:val="20"/>
              </w:rPr>
              <w:t>Difference (modelled – observed)</w:t>
            </w:r>
          </w:p>
        </w:tc>
        <w:tc>
          <w:tcPr>
            <w:tcW w:w="1164" w:type="pct"/>
            <w:tcMar>
              <w:top w:w="0" w:type="dxa"/>
              <w:left w:w="57" w:type="dxa"/>
              <w:bottom w:w="0" w:type="dxa"/>
              <w:right w:w="57" w:type="dxa"/>
            </w:tcMar>
            <w:vAlign w:val="center"/>
          </w:tcPr>
          <w:p w:rsidR="009F6917" w:rsidRPr="00AB529A" w:rsidRDefault="009F6917" w:rsidP="00F651F3">
            <w:pPr>
              <w:pStyle w:val="Tabletext"/>
              <w:keepNext/>
              <w:keepLines/>
              <w:spacing w:line="256" w:lineRule="auto"/>
              <w:jc w:val="center"/>
              <w:rPr>
                <w:rFonts w:cs="Calibri"/>
                <w:iCs/>
                <w:szCs w:val="20"/>
              </w:rPr>
            </w:pPr>
            <w:r w:rsidRPr="00AB529A">
              <w:rPr>
                <w:rFonts w:cs="Calibri"/>
                <w:iCs/>
                <w:szCs w:val="20"/>
              </w:rPr>
              <w:t>0.7</w:t>
            </w:r>
          </w:p>
        </w:tc>
        <w:tc>
          <w:tcPr>
            <w:tcW w:w="1165" w:type="pct"/>
            <w:tcMar>
              <w:top w:w="0" w:type="dxa"/>
              <w:left w:w="57" w:type="dxa"/>
              <w:bottom w:w="0" w:type="dxa"/>
              <w:right w:w="57" w:type="dxa"/>
            </w:tcMar>
            <w:vAlign w:val="center"/>
          </w:tcPr>
          <w:p w:rsidR="009F6917" w:rsidRPr="00AB529A" w:rsidRDefault="009F6917" w:rsidP="00F651F3">
            <w:pPr>
              <w:pStyle w:val="Tabletext"/>
              <w:keepNext/>
              <w:keepLines/>
              <w:spacing w:line="256" w:lineRule="auto"/>
              <w:jc w:val="center"/>
              <w:rPr>
                <w:rFonts w:cs="Calibri"/>
                <w:iCs/>
                <w:szCs w:val="20"/>
              </w:rPr>
            </w:pPr>
            <w:r w:rsidRPr="00AB529A">
              <w:rPr>
                <w:rFonts w:cs="Calibri"/>
                <w:iCs/>
                <w:szCs w:val="20"/>
              </w:rPr>
              <w:t>-1.5</w:t>
            </w:r>
          </w:p>
        </w:tc>
      </w:tr>
    </w:tbl>
    <w:p w:rsidR="00F651F3" w:rsidRPr="00B919F4" w:rsidRDefault="00F651F3" w:rsidP="00C41CDB">
      <w:pPr>
        <w:pStyle w:val="TableFigureFooter"/>
        <w:keepNext/>
        <w:rPr>
          <w:i/>
        </w:rPr>
      </w:pPr>
      <w:r w:rsidRPr="007E0656">
        <w:t xml:space="preserve">Source: </w:t>
      </w:r>
      <w:r>
        <w:t xml:space="preserve">Table 3-19, p209 </w:t>
      </w:r>
      <w:r w:rsidRPr="007E0656">
        <w:t>of the submission</w:t>
      </w:r>
      <w:r>
        <w:t>; p160 of the submission; CUA Model workbook; Table 14.3-1.1, p12323 of MONALEESA-3 CSR; Table 12-1, p154 of BOLERO-2 CSR.</w:t>
      </w:r>
    </w:p>
    <w:p w:rsidR="00F651F3" w:rsidRDefault="00F651F3" w:rsidP="00C41CDB">
      <w:pPr>
        <w:pStyle w:val="TableFigureFooter"/>
        <w:keepNext/>
      </w:pPr>
      <w:r>
        <w:t>EVE+EXE = everolimus + exemestane; NE = not evaluable; NR = not reached; OS = overall survival; PFS = progression free survival; RIBO+FULV = ribociclib + fulvestrant</w:t>
      </w:r>
      <w:r w:rsidR="001D5687">
        <w:t>; TTD = time to discontinuation</w:t>
      </w:r>
      <w:r>
        <w:t>.</w:t>
      </w:r>
    </w:p>
    <w:p w:rsidR="00F651F3" w:rsidRDefault="009F6917" w:rsidP="00106E22">
      <w:pPr>
        <w:pStyle w:val="TableFigureFooter"/>
        <w:spacing w:after="240"/>
      </w:pPr>
      <w:r>
        <w:rPr>
          <w:vertAlign w:val="superscript"/>
        </w:rPr>
        <w:t>a</w:t>
      </w:r>
      <w:r w:rsidR="00F651F3">
        <w:t xml:space="preserve"> MONALEESA-3 June 2019 data cut</w:t>
      </w:r>
      <w:r w:rsidR="00072D7C">
        <w:t xml:space="preserve">; </w:t>
      </w:r>
      <w:r>
        <w:rPr>
          <w:vertAlign w:val="superscript"/>
        </w:rPr>
        <w:t>b</w:t>
      </w:r>
      <w:r w:rsidR="00F651F3">
        <w:t xml:space="preserve"> BOLERO-2 December 2011 data cut</w:t>
      </w:r>
    </w:p>
    <w:p w:rsidR="00A51A9A" w:rsidRDefault="00A51A9A" w:rsidP="00A51A9A">
      <w:pPr>
        <w:pStyle w:val="3-BodyText"/>
      </w:pPr>
      <w:r>
        <w:t>The PBAC considered that the disease management costs applied in the PFS and PPS health states appeared to be underestimated because</w:t>
      </w:r>
      <w:r w:rsidRPr="00A51A9A">
        <w:t xml:space="preserve"> </w:t>
      </w:r>
      <w:r>
        <w:t>the submission assumed that:</w:t>
      </w:r>
    </w:p>
    <w:p w:rsidR="00A51A9A" w:rsidRDefault="00A51A9A" w:rsidP="00843CD7">
      <w:pPr>
        <w:pStyle w:val="3-BodyText"/>
        <w:numPr>
          <w:ilvl w:val="0"/>
          <w:numId w:val="10"/>
        </w:numPr>
        <w:spacing w:after="0"/>
        <w:ind w:left="1276" w:hanging="425"/>
      </w:pPr>
      <w:r w:rsidRPr="002C6262">
        <w:t>patients in PFS off treatment receive no follow-up care</w:t>
      </w:r>
      <w:r>
        <w:t>; and</w:t>
      </w:r>
      <w:r w:rsidRPr="002C6262">
        <w:t xml:space="preserve"> </w:t>
      </w:r>
    </w:p>
    <w:p w:rsidR="00A51A9A" w:rsidRDefault="00A51A9A" w:rsidP="00843CD7">
      <w:pPr>
        <w:pStyle w:val="3-BodyText"/>
        <w:numPr>
          <w:ilvl w:val="0"/>
          <w:numId w:val="10"/>
        </w:numPr>
        <w:ind w:left="1276" w:hanging="425"/>
      </w:pPr>
      <w:r>
        <w:t xml:space="preserve">the only disease management cost applied </w:t>
      </w:r>
      <w:r w:rsidRPr="002C6262">
        <w:t xml:space="preserve">in the PPS health state </w:t>
      </w:r>
      <w:r>
        <w:t>was a</w:t>
      </w:r>
      <w:r w:rsidRPr="002C6262">
        <w:t xml:space="preserve"> monthly consultation with an oncologist (MBS item 105, $44.35)</w:t>
      </w:r>
      <w:r>
        <w:t>.</w:t>
      </w:r>
      <w:r w:rsidRPr="002C6262">
        <w:t xml:space="preserve"> </w:t>
      </w:r>
      <w:r>
        <w:t>T</w:t>
      </w:r>
      <w:r w:rsidRPr="002C6262">
        <w:t>his estimate of resource utilisation is lower than that presented in the RIBO+NSAI submission</w:t>
      </w:r>
      <w:r>
        <w:t xml:space="preserve"> (which estimated </w:t>
      </w:r>
      <w:r w:rsidRPr="002C6262">
        <w:t xml:space="preserve">PPS health state </w:t>
      </w:r>
      <w:r>
        <w:t xml:space="preserve">costs of </w:t>
      </w:r>
      <w:r w:rsidRPr="002C6262">
        <w:t xml:space="preserve">$212.70 </w:t>
      </w:r>
      <w:r>
        <w:t>per month for</w:t>
      </w:r>
      <w:r w:rsidRPr="002C6262">
        <w:t xml:space="preserve"> patients in second and later lines</w:t>
      </w:r>
      <w:r>
        <w:t>)</w:t>
      </w:r>
      <w:r w:rsidRPr="002C6262">
        <w:t xml:space="preserve">. </w:t>
      </w:r>
    </w:p>
    <w:p w:rsidR="00A51A9A" w:rsidRDefault="00A51A9A" w:rsidP="00A51A9A">
      <w:pPr>
        <w:pStyle w:val="3-BodyText"/>
        <w:numPr>
          <w:ilvl w:val="0"/>
          <w:numId w:val="0"/>
        </w:numPr>
        <w:ind w:left="720"/>
      </w:pPr>
      <w:r>
        <w:t>The PBAC noted that applying higher disease management increased the ICER slightly.</w:t>
      </w:r>
    </w:p>
    <w:p w:rsidR="00F651F3" w:rsidRPr="007E0B5F" w:rsidRDefault="00F651F3" w:rsidP="00F651F3">
      <w:pPr>
        <w:pStyle w:val="3-BodyText"/>
      </w:pPr>
      <w:r>
        <w:t>The submission incorrectly calculated the DPMQ of fulvestrant ($</w:t>
      </w:r>
      <w:r w:rsidR="005E31C0">
        <w:rPr>
          <w:noProof/>
          <w:color w:val="000000"/>
          <w:highlight w:val="black"/>
        </w:rPr>
        <w:t>'''''''''''''</w:t>
      </w:r>
      <w:r>
        <w:t>) from a proposed AEMP of $</w:t>
      </w:r>
      <w:r w:rsidR="005E31C0">
        <w:rPr>
          <w:noProof/>
          <w:color w:val="000000"/>
          <w:highlight w:val="black"/>
        </w:rPr>
        <w:t>'''''''</w:t>
      </w:r>
      <w:r>
        <w:t xml:space="preserve">. </w:t>
      </w:r>
      <w:r w:rsidRPr="007E0B5F">
        <w:t>The correct DPMQ for fulvestrant is $</w:t>
      </w:r>
      <w:r w:rsidR="005E31C0">
        <w:rPr>
          <w:noProof/>
          <w:color w:val="000000"/>
          <w:highlight w:val="black"/>
        </w:rPr>
        <w:t>''''''''''''</w:t>
      </w:r>
      <w:r>
        <w:rPr>
          <w:i/>
        </w:rPr>
        <w:t xml:space="preserve">. </w:t>
      </w:r>
      <w:r>
        <w:t xml:space="preserve">The submission did not include an initial and loading dose of fulvestrant in the first model cycle. </w:t>
      </w:r>
      <w:r w:rsidR="00AB24D4">
        <w:rPr>
          <w:iCs/>
        </w:rPr>
        <w:t xml:space="preserve">During </w:t>
      </w:r>
      <w:r w:rsidRPr="007E0B5F">
        <w:rPr>
          <w:iCs/>
        </w:rPr>
        <w:t>th</w:t>
      </w:r>
      <w:r w:rsidR="00AB24D4">
        <w:rPr>
          <w:iCs/>
        </w:rPr>
        <w:t>e</w:t>
      </w:r>
      <w:r w:rsidRPr="007E0B5F">
        <w:rPr>
          <w:iCs/>
        </w:rPr>
        <w:t xml:space="preserve"> evaluation, </w:t>
      </w:r>
      <w:r w:rsidRPr="007E0B5F">
        <w:t xml:space="preserve">the base case was respecified to correct these two </w:t>
      </w:r>
      <w:r w:rsidR="00C73ED1">
        <w:t>issue</w:t>
      </w:r>
      <w:r w:rsidR="00C73ED1" w:rsidRPr="007E0B5F">
        <w:t>s</w:t>
      </w:r>
      <w:r w:rsidRPr="007E0B5F">
        <w:t xml:space="preserve">. The ICER then increased slightly, from </w:t>
      </w:r>
      <w:r w:rsidR="00E971CB">
        <w:t>$55,000 to &lt; $</w:t>
      </w:r>
      <w:r w:rsidR="0048266F">
        <w:t>7</w:t>
      </w:r>
      <w:r w:rsidR="00E971CB">
        <w:t>5,000</w:t>
      </w:r>
      <w:r w:rsidRPr="007E0B5F">
        <w:t xml:space="preserve"> to </w:t>
      </w:r>
      <w:r w:rsidR="00E971CB">
        <w:t>$</w:t>
      </w:r>
      <w:r w:rsidR="0048266F">
        <w:t>5</w:t>
      </w:r>
      <w:r w:rsidR="00E971CB">
        <w:t>5,000 to &lt; $75,000</w:t>
      </w:r>
      <w:r w:rsidRPr="007E0B5F">
        <w:t xml:space="preserve"> per QALY.</w:t>
      </w:r>
    </w:p>
    <w:p w:rsidR="00F651F3" w:rsidRPr="008E0F08" w:rsidRDefault="00F651F3" w:rsidP="00F651F3">
      <w:pPr>
        <w:pStyle w:val="3-BodyText"/>
      </w:pPr>
      <w:r>
        <w:t xml:space="preserve">Table </w:t>
      </w:r>
      <w:r w:rsidR="009F768F">
        <w:t>1</w:t>
      </w:r>
      <w:r w:rsidR="00EE094F">
        <w:t>6</w:t>
      </w:r>
      <w:r w:rsidR="009F768F">
        <w:t xml:space="preserve"> </w:t>
      </w:r>
      <w:r>
        <w:t>presents the key drivers of the economic model.</w:t>
      </w:r>
    </w:p>
    <w:p w:rsidR="00F651F3" w:rsidRPr="00F30E90" w:rsidRDefault="00F651F3" w:rsidP="00F651F3">
      <w:pPr>
        <w:pStyle w:val="TableFigureHeading"/>
        <w:rPr>
          <w:rStyle w:val="CommentReference"/>
          <w:b/>
          <w:bCs w:val="0"/>
        </w:rPr>
      </w:pPr>
      <w:r w:rsidRPr="00F30E90">
        <w:rPr>
          <w:rStyle w:val="CommentReference"/>
          <w:b/>
          <w:bCs w:val="0"/>
        </w:rPr>
        <w:t xml:space="preserve">Table </w:t>
      </w:r>
      <w:r w:rsidR="009F768F">
        <w:rPr>
          <w:rStyle w:val="CommentReference"/>
          <w:b/>
          <w:bCs w:val="0"/>
        </w:rPr>
        <w:t>1</w:t>
      </w:r>
      <w:r w:rsidR="00EE094F">
        <w:rPr>
          <w:rStyle w:val="CommentReference"/>
          <w:b/>
          <w:bCs w:val="0"/>
        </w:rPr>
        <w:t>6</w:t>
      </w:r>
      <w:r w:rsidRPr="00F30E90">
        <w:rPr>
          <w:rStyle w:val="CommentReference"/>
          <w:b/>
          <w:bCs w:val="0"/>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5104"/>
        <w:gridCol w:w="2784"/>
      </w:tblGrid>
      <w:tr w:rsidR="00F651F3" w:rsidRPr="003D1DE4" w:rsidTr="003F4D02">
        <w:trPr>
          <w:tblHeader/>
        </w:trPr>
        <w:tc>
          <w:tcPr>
            <w:tcW w:w="626" w:type="pct"/>
            <w:shd w:val="clear" w:color="auto" w:fill="auto"/>
            <w:vAlign w:val="center"/>
          </w:tcPr>
          <w:p w:rsidR="00F651F3" w:rsidRPr="003D1DE4" w:rsidRDefault="00F651F3" w:rsidP="00F651F3">
            <w:pPr>
              <w:pStyle w:val="In-tableHeading"/>
              <w:jc w:val="center"/>
            </w:pPr>
            <w:r w:rsidRPr="003D1DE4">
              <w:t>Description</w:t>
            </w:r>
          </w:p>
        </w:tc>
        <w:tc>
          <w:tcPr>
            <w:tcW w:w="2830" w:type="pct"/>
            <w:shd w:val="clear" w:color="auto" w:fill="auto"/>
            <w:vAlign w:val="center"/>
          </w:tcPr>
          <w:p w:rsidR="00F651F3" w:rsidRPr="003D1DE4" w:rsidRDefault="00F651F3" w:rsidP="00F651F3">
            <w:pPr>
              <w:pStyle w:val="In-tableHeading"/>
              <w:jc w:val="center"/>
            </w:pPr>
            <w:r w:rsidRPr="003D1DE4">
              <w:t>Method/Value</w:t>
            </w:r>
          </w:p>
        </w:tc>
        <w:tc>
          <w:tcPr>
            <w:tcW w:w="1544" w:type="pct"/>
            <w:shd w:val="clear" w:color="auto" w:fill="auto"/>
            <w:vAlign w:val="center"/>
          </w:tcPr>
          <w:p w:rsidR="00F651F3" w:rsidRDefault="00F651F3" w:rsidP="00F651F3">
            <w:pPr>
              <w:pStyle w:val="In-tableHeading"/>
              <w:jc w:val="center"/>
            </w:pPr>
            <w:r w:rsidRPr="003D1DE4">
              <w:t>Impact</w:t>
            </w:r>
          </w:p>
          <w:p w:rsidR="00F651F3" w:rsidRPr="003D1DE4" w:rsidRDefault="00F651F3" w:rsidP="003F4D02">
            <w:pPr>
              <w:pStyle w:val="In-tableHeading"/>
              <w:jc w:val="center"/>
            </w:pPr>
            <w:r w:rsidRPr="00354F64">
              <w:rPr>
                <w:rFonts w:cs="Arial"/>
                <w:szCs w:val="20"/>
              </w:rPr>
              <w:t xml:space="preserve">Base case: </w:t>
            </w:r>
            <w:r w:rsidR="00187A1D" w:rsidRPr="00187A1D">
              <w:rPr>
                <w:rFonts w:cs="Arial"/>
                <w:szCs w:val="20"/>
              </w:rPr>
              <w:t>$55,000 to &lt; $75,000</w:t>
            </w:r>
            <w:r w:rsidR="003F4D02">
              <w:rPr>
                <w:rFonts w:cs="Arial"/>
                <w:szCs w:val="20"/>
              </w:rPr>
              <w:t>/QALY</w:t>
            </w:r>
          </w:p>
        </w:tc>
      </w:tr>
      <w:tr w:rsidR="00F651F3" w:rsidRPr="003D1DE4" w:rsidTr="003F4D02">
        <w:trPr>
          <w:tblHeader/>
        </w:trPr>
        <w:tc>
          <w:tcPr>
            <w:tcW w:w="626" w:type="pct"/>
            <w:shd w:val="clear" w:color="auto" w:fill="auto"/>
            <w:vAlign w:val="center"/>
          </w:tcPr>
          <w:p w:rsidR="00F651F3" w:rsidRPr="00295389" w:rsidRDefault="00F651F3" w:rsidP="00F651F3">
            <w:pPr>
              <w:pStyle w:val="In-tableHeading"/>
              <w:jc w:val="center"/>
              <w:rPr>
                <w:b w:val="0"/>
              </w:rPr>
            </w:pPr>
            <w:r>
              <w:rPr>
                <w:b w:val="0"/>
              </w:rPr>
              <w:t>Trial data analysis</w:t>
            </w:r>
          </w:p>
        </w:tc>
        <w:tc>
          <w:tcPr>
            <w:tcW w:w="2830" w:type="pct"/>
            <w:shd w:val="clear" w:color="auto" w:fill="auto"/>
            <w:vAlign w:val="center"/>
          </w:tcPr>
          <w:p w:rsidR="00F651F3" w:rsidRPr="00C41CDB" w:rsidRDefault="00F651F3" w:rsidP="00C73ED1">
            <w:pPr>
              <w:pStyle w:val="In-tableHeading"/>
              <w:rPr>
                <w:b w:val="0"/>
              </w:rPr>
            </w:pPr>
            <w:r w:rsidRPr="00C41CDB">
              <w:rPr>
                <w:b w:val="0"/>
              </w:rPr>
              <w:t xml:space="preserve">Modelled gains in PFS and OS are based on hazard ratios derived from </w:t>
            </w:r>
            <w:r w:rsidR="00FA0778">
              <w:rPr>
                <w:b w:val="0"/>
              </w:rPr>
              <w:t>the unanchored MAIC in the second-line setting</w:t>
            </w:r>
            <w:r w:rsidRPr="00C41CDB">
              <w:rPr>
                <w:b w:val="0"/>
              </w:rPr>
              <w:t>.</w:t>
            </w:r>
            <w:r w:rsidRPr="00C41CDB">
              <w:t xml:space="preserve"> </w:t>
            </w:r>
            <w:r w:rsidRPr="00C41CDB">
              <w:rPr>
                <w:b w:val="0"/>
              </w:rPr>
              <w:t>The model is highly sensitive to changes in the PFS and OS hazard ratios.</w:t>
            </w:r>
          </w:p>
        </w:tc>
        <w:tc>
          <w:tcPr>
            <w:tcW w:w="1544" w:type="pct"/>
            <w:shd w:val="clear" w:color="auto" w:fill="auto"/>
            <w:vAlign w:val="center"/>
          </w:tcPr>
          <w:p w:rsidR="00F651F3" w:rsidRPr="007E0B5F" w:rsidRDefault="00F651F3" w:rsidP="00F651F3">
            <w:pPr>
              <w:pStyle w:val="In-tableHeading"/>
              <w:jc w:val="center"/>
              <w:rPr>
                <w:b w:val="0"/>
              </w:rPr>
            </w:pPr>
            <w:r w:rsidRPr="007E0B5F">
              <w:rPr>
                <w:b w:val="0"/>
              </w:rPr>
              <w:t>Highly uncertain</w:t>
            </w:r>
          </w:p>
        </w:tc>
      </w:tr>
      <w:tr w:rsidR="00F651F3" w:rsidRPr="008D1AF1" w:rsidTr="003F4D02">
        <w:trPr>
          <w:tblHeader/>
        </w:trPr>
        <w:tc>
          <w:tcPr>
            <w:tcW w:w="626" w:type="pct"/>
            <w:shd w:val="clear" w:color="auto" w:fill="auto"/>
            <w:vAlign w:val="center"/>
          </w:tcPr>
          <w:p w:rsidR="00F651F3" w:rsidRPr="008D1AF1" w:rsidRDefault="00F651F3" w:rsidP="00F651F3">
            <w:pPr>
              <w:pStyle w:val="In-tableHeading"/>
              <w:jc w:val="center"/>
              <w:rPr>
                <w:b w:val="0"/>
              </w:rPr>
            </w:pPr>
            <w:r w:rsidRPr="008D1AF1">
              <w:rPr>
                <w:b w:val="0"/>
              </w:rPr>
              <w:t>Modelled OS benefit</w:t>
            </w:r>
          </w:p>
        </w:tc>
        <w:tc>
          <w:tcPr>
            <w:tcW w:w="2830" w:type="pct"/>
            <w:shd w:val="clear" w:color="auto" w:fill="auto"/>
            <w:vAlign w:val="center"/>
          </w:tcPr>
          <w:p w:rsidR="00F651F3" w:rsidRPr="008D1AF1" w:rsidRDefault="0026185A" w:rsidP="00D408D2">
            <w:pPr>
              <w:pStyle w:val="In-tableHeading"/>
              <w:rPr>
                <w:b w:val="0"/>
              </w:rPr>
            </w:pPr>
            <w:r>
              <w:rPr>
                <w:b w:val="0"/>
              </w:rPr>
              <w:t>Median survival for RIBO+FULV in MONALEESA-3 had not been reached</w:t>
            </w:r>
            <w:r w:rsidR="00FA0778" w:rsidRPr="008D1AF1">
              <w:rPr>
                <w:b w:val="0"/>
              </w:rPr>
              <w:t xml:space="preserve"> with only </w:t>
            </w:r>
            <w:r w:rsidR="00D408D2">
              <w:rPr>
                <w:b w:val="0"/>
              </w:rPr>
              <w:t>42</w:t>
            </w:r>
            <w:r w:rsidR="00FA0778" w:rsidRPr="008D1AF1">
              <w:rPr>
                <w:b w:val="0"/>
              </w:rPr>
              <w:t>% of patients having died (</w:t>
            </w:r>
            <w:r w:rsidR="00D408D2">
              <w:rPr>
                <w:b w:val="0"/>
              </w:rPr>
              <w:t xml:space="preserve">in the second-line </w:t>
            </w:r>
            <w:r w:rsidR="00FA0778" w:rsidRPr="008D1AF1">
              <w:rPr>
                <w:b w:val="0"/>
              </w:rPr>
              <w:t xml:space="preserve">population) at the </w:t>
            </w:r>
            <w:r>
              <w:rPr>
                <w:b w:val="0"/>
              </w:rPr>
              <w:t xml:space="preserve">June 2019 </w:t>
            </w:r>
            <w:r w:rsidR="00FA0778" w:rsidRPr="008D1AF1">
              <w:rPr>
                <w:b w:val="0"/>
              </w:rPr>
              <w:t xml:space="preserve">data-cut. </w:t>
            </w:r>
            <w:r w:rsidR="00F651F3" w:rsidRPr="008D1AF1">
              <w:rPr>
                <w:b w:val="0"/>
              </w:rPr>
              <w:t xml:space="preserve">The </w:t>
            </w:r>
            <w:r w:rsidR="00A628AD" w:rsidRPr="008D1AF1">
              <w:rPr>
                <w:b w:val="0"/>
              </w:rPr>
              <w:t xml:space="preserve">median </w:t>
            </w:r>
            <w:r w:rsidR="00F651F3" w:rsidRPr="008D1AF1">
              <w:rPr>
                <w:b w:val="0"/>
              </w:rPr>
              <w:t xml:space="preserve">modelled </w:t>
            </w:r>
            <w:r w:rsidR="00384F99" w:rsidRPr="008D1AF1">
              <w:rPr>
                <w:b w:val="0"/>
              </w:rPr>
              <w:t>OS</w:t>
            </w:r>
            <w:r w:rsidR="00F651F3" w:rsidRPr="008D1AF1">
              <w:rPr>
                <w:b w:val="0"/>
              </w:rPr>
              <w:t xml:space="preserve"> gain of </w:t>
            </w:r>
            <w:r w:rsidR="00F651F3" w:rsidRPr="00AB529A">
              <w:rPr>
                <w:b w:val="0"/>
              </w:rPr>
              <w:t>20.2 months is uncertain.</w:t>
            </w:r>
          </w:p>
        </w:tc>
        <w:tc>
          <w:tcPr>
            <w:tcW w:w="1544" w:type="pct"/>
            <w:shd w:val="clear" w:color="auto" w:fill="auto"/>
            <w:vAlign w:val="center"/>
          </w:tcPr>
          <w:p w:rsidR="00F651F3" w:rsidRPr="008D1AF1" w:rsidRDefault="0026185A" w:rsidP="00F651F3">
            <w:pPr>
              <w:pStyle w:val="In-tableHeading"/>
              <w:jc w:val="center"/>
              <w:rPr>
                <w:b w:val="0"/>
              </w:rPr>
            </w:pPr>
            <w:r>
              <w:rPr>
                <w:b w:val="0"/>
              </w:rPr>
              <w:t>U</w:t>
            </w:r>
            <w:r w:rsidR="00F651F3" w:rsidRPr="008D1AF1">
              <w:rPr>
                <w:b w:val="0"/>
              </w:rPr>
              <w:t>ncertain</w:t>
            </w:r>
          </w:p>
        </w:tc>
      </w:tr>
      <w:tr w:rsidR="00F651F3" w:rsidRPr="00E2771E" w:rsidTr="003F4D02">
        <w:tc>
          <w:tcPr>
            <w:tcW w:w="626" w:type="pct"/>
            <w:shd w:val="clear" w:color="auto" w:fill="auto"/>
            <w:vAlign w:val="center"/>
          </w:tcPr>
          <w:p w:rsidR="00F651F3" w:rsidRPr="00E2771E" w:rsidRDefault="00F651F3" w:rsidP="00F651F3">
            <w:pPr>
              <w:pStyle w:val="TableText0"/>
              <w:jc w:val="center"/>
              <w:rPr>
                <w:lang w:val="en-US"/>
              </w:rPr>
            </w:pPr>
            <w:r>
              <w:rPr>
                <w:lang w:val="en-US"/>
              </w:rPr>
              <w:t>Extrapolation</w:t>
            </w:r>
          </w:p>
        </w:tc>
        <w:tc>
          <w:tcPr>
            <w:tcW w:w="2830" w:type="pct"/>
            <w:shd w:val="clear" w:color="auto" w:fill="auto"/>
            <w:vAlign w:val="center"/>
          </w:tcPr>
          <w:p w:rsidR="00F651F3" w:rsidRPr="00F00B5F" w:rsidRDefault="00F651F3" w:rsidP="00B00828">
            <w:pPr>
              <w:pStyle w:val="TableText0"/>
              <w:rPr>
                <w:i/>
                <w:lang w:val="en-US"/>
              </w:rPr>
            </w:pPr>
            <w:r w:rsidRPr="00C41CDB">
              <w:rPr>
                <w:lang w:val="en-US"/>
              </w:rPr>
              <w:t>PFS, OS and time on treatment are estimated using parametric functions for the duration of the model.</w:t>
            </w:r>
            <w:r w:rsidR="00B00828">
              <w:t xml:space="preserve"> </w:t>
            </w:r>
            <w:r w:rsidR="00B00828" w:rsidRPr="008D1AF1">
              <w:rPr>
                <w:lang w:val="en-US"/>
              </w:rPr>
              <w:t>The ESC considered that the observed time to event data from the trials should have been used up to the time point at which the observed data became unreliable as a result of small numbers of patients remaining event-free.</w:t>
            </w:r>
          </w:p>
        </w:tc>
        <w:tc>
          <w:tcPr>
            <w:tcW w:w="1544" w:type="pct"/>
            <w:shd w:val="clear" w:color="auto" w:fill="auto"/>
            <w:vAlign w:val="center"/>
          </w:tcPr>
          <w:p w:rsidR="00F651F3" w:rsidRPr="007E0B5F" w:rsidRDefault="00F651F3" w:rsidP="00F651F3">
            <w:pPr>
              <w:pStyle w:val="TableText0"/>
              <w:jc w:val="center"/>
              <w:rPr>
                <w:lang w:val="en-US"/>
              </w:rPr>
            </w:pPr>
            <w:r w:rsidRPr="007E0B5F">
              <w:rPr>
                <w:lang w:val="en-US"/>
              </w:rPr>
              <w:t>Moderate, favours RIBO+FULV</w:t>
            </w:r>
          </w:p>
          <w:p w:rsidR="00F651F3" w:rsidRPr="007E0B5F" w:rsidRDefault="00F651F3" w:rsidP="00F651F3">
            <w:pPr>
              <w:pStyle w:val="TableText0"/>
              <w:jc w:val="center"/>
              <w:rPr>
                <w:rFonts w:cs="Arial"/>
                <w:szCs w:val="20"/>
              </w:rPr>
            </w:pPr>
            <w:r w:rsidRPr="007E0B5F">
              <w:rPr>
                <w:rFonts w:cs="Arial"/>
                <w:szCs w:val="20"/>
              </w:rPr>
              <w:t xml:space="preserve">Incorporating Kaplan-Meier data until median PFS/OS increased the ICER to </w:t>
            </w:r>
            <w:r w:rsidR="00E76BDF">
              <w:rPr>
                <w:rFonts w:cs="Arial"/>
                <w:szCs w:val="20"/>
              </w:rPr>
              <w:t>$55,000 to &lt; </w:t>
            </w:r>
            <w:r w:rsidR="00E76BDF" w:rsidRPr="00E76BDF">
              <w:rPr>
                <w:rFonts w:cs="Arial"/>
                <w:szCs w:val="20"/>
              </w:rPr>
              <w:t>$75,000</w:t>
            </w:r>
            <w:r w:rsidRPr="007E0B5F">
              <w:rPr>
                <w:rFonts w:cs="Arial"/>
                <w:szCs w:val="20"/>
              </w:rPr>
              <w:t xml:space="preserve">/QALY gained </w:t>
            </w:r>
          </w:p>
        </w:tc>
      </w:tr>
    </w:tbl>
    <w:p w:rsidR="00F651F3" w:rsidRDefault="00F651F3" w:rsidP="00F651F3">
      <w:pPr>
        <w:pStyle w:val="TableFigureFooter"/>
      </w:pPr>
      <w:r w:rsidRPr="003200B9">
        <w:t>Source: Table 3-15, p205 of the submission; pp 148, 160, 192, 195, 197 of the submission; sheets ‘Costs_Drug’ and ‘Regimens_Dose’ of CEA model workbook.</w:t>
      </w:r>
    </w:p>
    <w:p w:rsidR="00F651F3" w:rsidRPr="003200B9" w:rsidRDefault="00F651F3" w:rsidP="00FA0C59">
      <w:pPr>
        <w:pStyle w:val="TableFigureFooter"/>
        <w:spacing w:after="240"/>
        <w:contextualSpacing w:val="0"/>
      </w:pPr>
      <w:r>
        <w:t>DPMQ = dispensed price maximum quantity; EVE+EXE = everolimus + exemestane; ICER = incremental cost effectiveness ratio; OS = overall survival; PFS = progression free survival; QALY = quality adjusted life year; RIBO+FULV = ribociclib + fulvestrant</w:t>
      </w:r>
    </w:p>
    <w:p w:rsidR="00F651F3" w:rsidRPr="0015345B" w:rsidRDefault="00F651F3" w:rsidP="00F651F3">
      <w:pPr>
        <w:pStyle w:val="3-BodyText"/>
      </w:pPr>
      <w:r w:rsidRPr="0015345B">
        <w:t xml:space="preserve">The submission did not present a stepped analysis. The results of the economic evaluation are presented in </w:t>
      </w:r>
      <w:r>
        <w:t>T</w:t>
      </w:r>
      <w:r w:rsidRPr="0015345B">
        <w:t xml:space="preserve">able </w:t>
      </w:r>
      <w:r w:rsidR="009F768F">
        <w:t>1</w:t>
      </w:r>
      <w:r w:rsidR="00EE094F">
        <w:t>7</w:t>
      </w:r>
      <w:r w:rsidRPr="0015345B">
        <w:t xml:space="preserve">. </w:t>
      </w:r>
    </w:p>
    <w:p w:rsidR="00F651F3" w:rsidRPr="00F30E90" w:rsidRDefault="00F651F3" w:rsidP="00F651F3">
      <w:pPr>
        <w:pStyle w:val="TableFigureHeading"/>
        <w:rPr>
          <w:b w:val="0"/>
          <w:bCs w:val="0"/>
        </w:rPr>
      </w:pPr>
      <w:r w:rsidRPr="00F30E90">
        <w:rPr>
          <w:rStyle w:val="CommentReference"/>
          <w:b/>
          <w:bCs w:val="0"/>
        </w:rPr>
        <w:t xml:space="preserve">Table </w:t>
      </w:r>
      <w:r w:rsidR="009F768F">
        <w:rPr>
          <w:rStyle w:val="CommentReference"/>
          <w:b/>
          <w:bCs w:val="0"/>
        </w:rPr>
        <w:t>1</w:t>
      </w:r>
      <w:r w:rsidR="00EE094F">
        <w:rPr>
          <w:rStyle w:val="CommentReference"/>
          <w:b/>
          <w:bCs w:val="0"/>
        </w:rPr>
        <w:t>7</w:t>
      </w:r>
      <w:r w:rsidRPr="00F30E90">
        <w:rPr>
          <w:rStyle w:val="CommentReference"/>
          <w:b/>
          <w:bCs w:val="0"/>
        </w:rPr>
        <w:t>: Results of the economic evaluation – respecified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681"/>
        <w:gridCol w:w="1843"/>
        <w:gridCol w:w="1560"/>
        <w:gridCol w:w="1933"/>
      </w:tblGrid>
      <w:tr w:rsidR="00F651F3" w:rsidRPr="001F4081" w:rsidTr="00F30E90">
        <w:trPr>
          <w:cantSplit/>
          <w:tblHeader/>
        </w:trPr>
        <w:tc>
          <w:tcPr>
            <w:tcW w:w="2041" w:type="pct"/>
            <w:tcBorders>
              <w:bottom w:val="single" w:sz="4" w:space="0" w:color="auto"/>
            </w:tcBorders>
            <w:shd w:val="clear" w:color="auto" w:fill="FFFFFF"/>
          </w:tcPr>
          <w:p w:rsidR="00F651F3" w:rsidRPr="001F4081" w:rsidRDefault="00F651F3" w:rsidP="00F651F3">
            <w:pPr>
              <w:pStyle w:val="In-tableHeading"/>
              <w:jc w:val="center"/>
            </w:pPr>
          </w:p>
        </w:tc>
        <w:tc>
          <w:tcPr>
            <w:tcW w:w="1022" w:type="pct"/>
            <w:tcBorders>
              <w:bottom w:val="single" w:sz="4" w:space="0" w:color="auto"/>
            </w:tcBorders>
            <w:shd w:val="clear" w:color="auto" w:fill="FFFFFF"/>
          </w:tcPr>
          <w:p w:rsidR="00F651F3" w:rsidRPr="001F4081" w:rsidRDefault="00F651F3" w:rsidP="00F651F3">
            <w:pPr>
              <w:pStyle w:val="In-tableHeading"/>
              <w:jc w:val="center"/>
            </w:pPr>
            <w:r>
              <w:t>RIBO+FULV</w:t>
            </w:r>
          </w:p>
        </w:tc>
        <w:tc>
          <w:tcPr>
            <w:tcW w:w="865" w:type="pct"/>
            <w:tcBorders>
              <w:bottom w:val="single" w:sz="4" w:space="0" w:color="auto"/>
            </w:tcBorders>
            <w:shd w:val="clear" w:color="auto" w:fill="FFFFFF"/>
          </w:tcPr>
          <w:p w:rsidR="00F651F3" w:rsidRPr="001F4081" w:rsidRDefault="00F651F3" w:rsidP="00F651F3">
            <w:pPr>
              <w:pStyle w:val="In-tableHeading"/>
              <w:jc w:val="center"/>
            </w:pPr>
            <w:r>
              <w:t>EVE+EXE</w:t>
            </w:r>
          </w:p>
        </w:tc>
        <w:tc>
          <w:tcPr>
            <w:tcW w:w="1072" w:type="pct"/>
            <w:tcBorders>
              <w:bottom w:val="single" w:sz="4" w:space="0" w:color="auto"/>
            </w:tcBorders>
            <w:shd w:val="clear" w:color="auto" w:fill="FFFFFF"/>
            <w:vAlign w:val="center"/>
          </w:tcPr>
          <w:p w:rsidR="00F651F3" w:rsidRPr="001F4081" w:rsidRDefault="00F651F3" w:rsidP="00F651F3">
            <w:pPr>
              <w:pStyle w:val="In-tableHeading"/>
              <w:jc w:val="center"/>
            </w:pPr>
            <w:r w:rsidRPr="001F4081">
              <w:t>Increment</w:t>
            </w:r>
          </w:p>
        </w:tc>
      </w:tr>
      <w:tr w:rsidR="00F651F3" w:rsidRPr="001F4081" w:rsidTr="00F30E90">
        <w:trPr>
          <w:cantSplit/>
          <w:tblHeader/>
        </w:trPr>
        <w:tc>
          <w:tcPr>
            <w:tcW w:w="2041" w:type="pct"/>
            <w:tcBorders>
              <w:bottom w:val="nil"/>
            </w:tcBorders>
            <w:vAlign w:val="center"/>
          </w:tcPr>
          <w:p w:rsidR="00F651F3" w:rsidRPr="00ED4C78" w:rsidRDefault="00F651F3" w:rsidP="00F651F3">
            <w:pPr>
              <w:pStyle w:val="In-tableHeading"/>
              <w:rPr>
                <w:b w:val="0"/>
              </w:rPr>
            </w:pPr>
            <w:r w:rsidRPr="00ED4C78">
              <w:rPr>
                <w:b w:val="0"/>
              </w:rPr>
              <w:t>Costs</w:t>
            </w:r>
          </w:p>
        </w:tc>
        <w:tc>
          <w:tcPr>
            <w:tcW w:w="1022" w:type="pct"/>
            <w:tcBorders>
              <w:bottom w:val="single" w:sz="4" w:space="0" w:color="auto"/>
            </w:tcBorders>
            <w:vAlign w:val="center"/>
          </w:tcPr>
          <w:p w:rsidR="00F651F3" w:rsidRPr="00ED4C78" w:rsidRDefault="00F651F3" w:rsidP="00F651F3">
            <w:pPr>
              <w:pStyle w:val="In-tableHeading"/>
              <w:jc w:val="center"/>
              <w:rPr>
                <w:b w:val="0"/>
              </w:rPr>
            </w:pPr>
            <w:r w:rsidRPr="00ED4C78">
              <w:rPr>
                <w:b w:val="0"/>
              </w:rPr>
              <w:t>$</w:t>
            </w:r>
            <w:r w:rsidR="005E31C0">
              <w:rPr>
                <w:b w:val="0"/>
                <w:noProof/>
                <w:color w:val="000000"/>
                <w:highlight w:val="black"/>
              </w:rPr>
              <w:t>''''''''''''''''''''</w:t>
            </w:r>
          </w:p>
        </w:tc>
        <w:tc>
          <w:tcPr>
            <w:tcW w:w="865" w:type="pct"/>
            <w:tcBorders>
              <w:bottom w:val="single" w:sz="4" w:space="0" w:color="auto"/>
            </w:tcBorders>
            <w:vAlign w:val="center"/>
          </w:tcPr>
          <w:p w:rsidR="00F651F3" w:rsidRPr="00ED4C78" w:rsidRDefault="00F651F3" w:rsidP="00F651F3">
            <w:pPr>
              <w:pStyle w:val="In-tableHeading"/>
              <w:jc w:val="center"/>
              <w:rPr>
                <w:b w:val="0"/>
              </w:rPr>
            </w:pPr>
            <w:r w:rsidRPr="00ED4C78">
              <w:rPr>
                <w:b w:val="0"/>
              </w:rPr>
              <w:t>$</w:t>
            </w:r>
            <w:r w:rsidRPr="004D5AAC">
              <w:rPr>
                <w:b w:val="0"/>
              </w:rPr>
              <w:t>52,894</w:t>
            </w:r>
          </w:p>
        </w:tc>
        <w:tc>
          <w:tcPr>
            <w:tcW w:w="1072" w:type="pct"/>
            <w:tcBorders>
              <w:bottom w:val="single" w:sz="4" w:space="0" w:color="auto"/>
            </w:tcBorders>
            <w:vAlign w:val="center"/>
          </w:tcPr>
          <w:p w:rsidR="00F651F3" w:rsidRPr="005B1C4D" w:rsidRDefault="00F651F3" w:rsidP="00F651F3">
            <w:pPr>
              <w:pStyle w:val="In-tableHeading"/>
              <w:jc w:val="center"/>
              <w:rPr>
                <w:b w:val="0"/>
                <w:i/>
              </w:rPr>
            </w:pPr>
            <w:r w:rsidRPr="005B1C4D">
              <w:rPr>
                <w:b w:val="0"/>
                <w:i/>
              </w:rPr>
              <w:t>$</w:t>
            </w:r>
            <w:r w:rsidR="005E31C0">
              <w:rPr>
                <w:b w:val="0"/>
                <w:i/>
                <w:noProof/>
                <w:color w:val="000000"/>
                <w:highlight w:val="black"/>
              </w:rPr>
              <w:t>''''''''''''''''</w:t>
            </w:r>
          </w:p>
        </w:tc>
      </w:tr>
      <w:tr w:rsidR="00F651F3" w:rsidRPr="008D1AF1" w:rsidTr="00F30E90">
        <w:trPr>
          <w:cantSplit/>
        </w:trPr>
        <w:tc>
          <w:tcPr>
            <w:tcW w:w="2041" w:type="pct"/>
            <w:tcBorders>
              <w:top w:val="nil"/>
            </w:tcBorders>
            <w:shd w:val="clear" w:color="auto" w:fill="auto"/>
          </w:tcPr>
          <w:p w:rsidR="00F651F3" w:rsidRPr="008D1AF1" w:rsidRDefault="00F651F3" w:rsidP="00F651F3">
            <w:pPr>
              <w:pStyle w:val="TableText0"/>
            </w:pPr>
          </w:p>
        </w:tc>
        <w:tc>
          <w:tcPr>
            <w:tcW w:w="1022" w:type="pct"/>
            <w:tcBorders>
              <w:top w:val="single" w:sz="4" w:space="0" w:color="auto"/>
            </w:tcBorders>
            <w:vAlign w:val="center"/>
          </w:tcPr>
          <w:p w:rsidR="00F651F3" w:rsidRPr="005B1C4D" w:rsidRDefault="00F651F3" w:rsidP="00F651F3">
            <w:pPr>
              <w:pStyle w:val="TableText0"/>
              <w:jc w:val="center"/>
              <w:rPr>
                <w:i/>
              </w:rPr>
            </w:pPr>
            <w:r w:rsidRPr="005B1C4D">
              <w:rPr>
                <w:i/>
              </w:rPr>
              <w:t>$</w:t>
            </w:r>
            <w:r w:rsidR="005E31C0">
              <w:rPr>
                <w:i/>
                <w:noProof/>
                <w:color w:val="000000"/>
                <w:highlight w:val="black"/>
              </w:rPr>
              <w:t>''''''''''''''''''</w:t>
            </w:r>
          </w:p>
        </w:tc>
        <w:tc>
          <w:tcPr>
            <w:tcW w:w="865" w:type="pct"/>
            <w:tcBorders>
              <w:top w:val="single" w:sz="4" w:space="0" w:color="auto"/>
            </w:tcBorders>
            <w:vAlign w:val="center"/>
          </w:tcPr>
          <w:p w:rsidR="00F651F3" w:rsidRPr="008D1AF1" w:rsidRDefault="00FA0C59" w:rsidP="00F651F3">
            <w:pPr>
              <w:pStyle w:val="TableText0"/>
              <w:jc w:val="center"/>
            </w:pPr>
            <w:r w:rsidRPr="008D1AF1">
              <w:rPr>
                <w:rFonts w:cs="Times New Roman"/>
                <w:bCs w:val="0"/>
                <w:lang w:val="en-US"/>
              </w:rPr>
              <w:t>$</w:t>
            </w:r>
            <w:r w:rsidRPr="004D5AAC">
              <w:rPr>
                <w:rFonts w:cs="Times New Roman"/>
                <w:bCs w:val="0"/>
                <w:lang w:val="en-US"/>
              </w:rPr>
              <w:t>52,894</w:t>
            </w:r>
          </w:p>
        </w:tc>
        <w:tc>
          <w:tcPr>
            <w:tcW w:w="1072" w:type="pct"/>
            <w:tcBorders>
              <w:top w:val="single" w:sz="4" w:space="0" w:color="auto"/>
            </w:tcBorders>
            <w:vAlign w:val="center"/>
          </w:tcPr>
          <w:p w:rsidR="00F651F3" w:rsidRPr="005B1C4D" w:rsidRDefault="00F651F3" w:rsidP="00F651F3">
            <w:pPr>
              <w:pStyle w:val="TableText0"/>
              <w:jc w:val="center"/>
              <w:rPr>
                <w:i/>
              </w:rPr>
            </w:pPr>
            <w:r w:rsidRPr="005B1C4D">
              <w:rPr>
                <w:i/>
              </w:rPr>
              <w:t>$</w:t>
            </w:r>
            <w:r w:rsidR="005E31C0">
              <w:rPr>
                <w:i/>
                <w:noProof/>
                <w:color w:val="000000"/>
                <w:highlight w:val="black"/>
              </w:rPr>
              <w:t>''''''''''''''''</w:t>
            </w:r>
          </w:p>
        </w:tc>
      </w:tr>
      <w:tr w:rsidR="00F651F3" w:rsidRPr="001F4081" w:rsidTr="00F30E90">
        <w:trPr>
          <w:cantSplit/>
        </w:trPr>
        <w:tc>
          <w:tcPr>
            <w:tcW w:w="2041" w:type="pct"/>
            <w:shd w:val="clear" w:color="auto" w:fill="auto"/>
          </w:tcPr>
          <w:p w:rsidR="00F651F3" w:rsidRPr="001F4081" w:rsidRDefault="00F651F3" w:rsidP="00F651F3">
            <w:pPr>
              <w:pStyle w:val="TableText0"/>
            </w:pPr>
            <w:r w:rsidRPr="001F4081">
              <w:t>Life years</w:t>
            </w:r>
          </w:p>
        </w:tc>
        <w:tc>
          <w:tcPr>
            <w:tcW w:w="1022" w:type="pct"/>
            <w:vAlign w:val="center"/>
          </w:tcPr>
          <w:p w:rsidR="00F651F3" w:rsidRPr="005E31C0" w:rsidRDefault="005E31C0" w:rsidP="00F651F3">
            <w:pPr>
              <w:pStyle w:val="TableText0"/>
              <w:jc w:val="center"/>
              <w:rPr>
                <w:highlight w:val="black"/>
              </w:rPr>
            </w:pPr>
            <w:r>
              <w:rPr>
                <w:noProof/>
                <w:color w:val="000000"/>
                <w:highlight w:val="black"/>
              </w:rPr>
              <w:t>'''''''''''</w:t>
            </w:r>
          </w:p>
        </w:tc>
        <w:tc>
          <w:tcPr>
            <w:tcW w:w="865" w:type="pct"/>
            <w:vAlign w:val="center"/>
          </w:tcPr>
          <w:p w:rsidR="00F651F3" w:rsidRPr="005E31C0" w:rsidRDefault="005E31C0" w:rsidP="00F651F3">
            <w:pPr>
              <w:pStyle w:val="TableText0"/>
              <w:jc w:val="center"/>
              <w:rPr>
                <w:highlight w:val="black"/>
              </w:rPr>
            </w:pPr>
            <w:r>
              <w:rPr>
                <w:noProof/>
                <w:color w:val="000000"/>
                <w:highlight w:val="black"/>
              </w:rPr>
              <w:t>''''''''''''</w:t>
            </w:r>
          </w:p>
        </w:tc>
        <w:tc>
          <w:tcPr>
            <w:tcW w:w="1072" w:type="pct"/>
            <w:vAlign w:val="center"/>
          </w:tcPr>
          <w:p w:rsidR="00F651F3" w:rsidRPr="00AB529A" w:rsidRDefault="00F651F3" w:rsidP="00F651F3">
            <w:pPr>
              <w:pStyle w:val="TableText0"/>
              <w:jc w:val="center"/>
            </w:pPr>
            <w:r w:rsidRPr="00AB529A">
              <w:t>1.33</w:t>
            </w:r>
          </w:p>
        </w:tc>
      </w:tr>
      <w:tr w:rsidR="00F651F3" w:rsidRPr="001F4081" w:rsidTr="00F30E90">
        <w:trPr>
          <w:cantSplit/>
        </w:trPr>
        <w:tc>
          <w:tcPr>
            <w:tcW w:w="2041" w:type="pct"/>
            <w:tcBorders>
              <w:bottom w:val="single" w:sz="4" w:space="0" w:color="auto"/>
            </w:tcBorders>
            <w:shd w:val="clear" w:color="auto" w:fill="auto"/>
          </w:tcPr>
          <w:p w:rsidR="00F651F3" w:rsidRPr="001F4081" w:rsidRDefault="00F651F3" w:rsidP="00F651F3">
            <w:pPr>
              <w:pStyle w:val="TableText0"/>
            </w:pPr>
            <w:r w:rsidRPr="001F4081">
              <w:t>QALYS</w:t>
            </w:r>
          </w:p>
        </w:tc>
        <w:tc>
          <w:tcPr>
            <w:tcW w:w="1022" w:type="pct"/>
            <w:tcBorders>
              <w:bottom w:val="single" w:sz="4" w:space="0" w:color="auto"/>
            </w:tcBorders>
            <w:vAlign w:val="center"/>
          </w:tcPr>
          <w:p w:rsidR="00F651F3" w:rsidRPr="005E31C0" w:rsidRDefault="005E31C0" w:rsidP="00F651F3">
            <w:pPr>
              <w:pStyle w:val="TableText0"/>
              <w:jc w:val="center"/>
              <w:rPr>
                <w:highlight w:val="black"/>
              </w:rPr>
            </w:pPr>
            <w:r>
              <w:rPr>
                <w:noProof/>
                <w:color w:val="000000"/>
                <w:highlight w:val="black"/>
              </w:rPr>
              <w:t>''''''''''</w:t>
            </w:r>
          </w:p>
        </w:tc>
        <w:tc>
          <w:tcPr>
            <w:tcW w:w="865" w:type="pct"/>
            <w:tcBorders>
              <w:bottom w:val="single" w:sz="4" w:space="0" w:color="auto"/>
            </w:tcBorders>
            <w:vAlign w:val="center"/>
          </w:tcPr>
          <w:p w:rsidR="00F651F3" w:rsidRPr="005E31C0" w:rsidRDefault="005E31C0" w:rsidP="00F651F3">
            <w:pPr>
              <w:pStyle w:val="TableText0"/>
              <w:jc w:val="center"/>
              <w:rPr>
                <w:highlight w:val="black"/>
              </w:rPr>
            </w:pPr>
            <w:r>
              <w:rPr>
                <w:noProof/>
                <w:color w:val="000000"/>
                <w:highlight w:val="black"/>
              </w:rPr>
              <w:t>''''''''''</w:t>
            </w:r>
          </w:p>
        </w:tc>
        <w:tc>
          <w:tcPr>
            <w:tcW w:w="1072" w:type="pct"/>
            <w:tcBorders>
              <w:bottom w:val="single" w:sz="4" w:space="0" w:color="auto"/>
            </w:tcBorders>
            <w:vAlign w:val="center"/>
          </w:tcPr>
          <w:p w:rsidR="00F651F3" w:rsidRPr="00AB529A" w:rsidRDefault="00F651F3" w:rsidP="00F651F3">
            <w:pPr>
              <w:pStyle w:val="TableText0"/>
              <w:jc w:val="center"/>
            </w:pPr>
            <w:r w:rsidRPr="00AB529A">
              <w:t>0.96</w:t>
            </w:r>
          </w:p>
        </w:tc>
      </w:tr>
      <w:tr w:rsidR="00F651F3" w:rsidRPr="001F4081" w:rsidTr="00F30E90">
        <w:trPr>
          <w:cantSplit/>
        </w:trPr>
        <w:tc>
          <w:tcPr>
            <w:tcW w:w="3928" w:type="pct"/>
            <w:gridSpan w:val="3"/>
            <w:tcBorders>
              <w:bottom w:val="nil"/>
            </w:tcBorders>
            <w:shd w:val="clear" w:color="auto" w:fill="auto"/>
          </w:tcPr>
          <w:p w:rsidR="00F651F3" w:rsidRPr="00ED4C78" w:rsidRDefault="00F651F3" w:rsidP="00F651F3">
            <w:pPr>
              <w:pStyle w:val="TableText0"/>
              <w:rPr>
                <w:b/>
              </w:rPr>
            </w:pPr>
            <w:r w:rsidRPr="00ED4C78">
              <w:rPr>
                <w:b/>
              </w:rPr>
              <w:t>Incremental cost per life year gained</w:t>
            </w:r>
          </w:p>
        </w:tc>
        <w:tc>
          <w:tcPr>
            <w:tcW w:w="1072" w:type="pct"/>
            <w:tcBorders>
              <w:bottom w:val="single" w:sz="4" w:space="0" w:color="auto"/>
            </w:tcBorders>
            <w:vAlign w:val="center"/>
          </w:tcPr>
          <w:p w:rsidR="00F651F3" w:rsidRPr="005B1C4D" w:rsidRDefault="00F651F3" w:rsidP="00F651F3">
            <w:pPr>
              <w:pStyle w:val="TableText0"/>
              <w:jc w:val="center"/>
              <w:rPr>
                <w:b/>
              </w:rPr>
            </w:pPr>
            <w:r w:rsidRPr="005B1C4D">
              <w:rPr>
                <w:b/>
              </w:rPr>
              <w:t>$</w:t>
            </w:r>
            <w:r w:rsidR="005E31C0">
              <w:rPr>
                <w:b/>
                <w:noProof/>
                <w:color w:val="000000"/>
                <w:highlight w:val="black"/>
              </w:rPr>
              <w:t>'''''''''''''</w:t>
            </w:r>
          </w:p>
        </w:tc>
      </w:tr>
      <w:tr w:rsidR="00F651F3" w:rsidRPr="001F4081" w:rsidTr="00F30E90">
        <w:trPr>
          <w:cantSplit/>
        </w:trPr>
        <w:tc>
          <w:tcPr>
            <w:tcW w:w="3928" w:type="pct"/>
            <w:gridSpan w:val="3"/>
            <w:tcBorders>
              <w:top w:val="nil"/>
              <w:bottom w:val="single" w:sz="4" w:space="0" w:color="auto"/>
              <w:right w:val="single" w:sz="4" w:space="0" w:color="auto"/>
            </w:tcBorders>
            <w:shd w:val="clear" w:color="auto" w:fill="auto"/>
          </w:tcPr>
          <w:p w:rsidR="00F651F3" w:rsidRPr="001F4081" w:rsidRDefault="00F651F3" w:rsidP="00F651F3">
            <w:pPr>
              <w:pStyle w:val="In-tableHeading"/>
            </w:pPr>
          </w:p>
        </w:tc>
        <w:tc>
          <w:tcPr>
            <w:tcW w:w="1072" w:type="pct"/>
            <w:tcBorders>
              <w:top w:val="single" w:sz="4" w:space="0" w:color="auto"/>
              <w:left w:val="single" w:sz="4" w:space="0" w:color="auto"/>
              <w:bottom w:val="single" w:sz="4" w:space="0" w:color="auto"/>
            </w:tcBorders>
            <w:vAlign w:val="center"/>
          </w:tcPr>
          <w:p w:rsidR="00F651F3" w:rsidRPr="005B1C4D" w:rsidRDefault="00F651F3" w:rsidP="00F651F3">
            <w:pPr>
              <w:keepNext/>
              <w:keepLines/>
              <w:jc w:val="center"/>
              <w:rPr>
                <w:rFonts w:ascii="Arial Narrow" w:eastAsia="Calibri" w:hAnsi="Arial Narrow"/>
                <w:b/>
                <w:i/>
                <w:sz w:val="20"/>
                <w:szCs w:val="20"/>
              </w:rPr>
            </w:pPr>
            <w:r w:rsidRPr="005B1C4D">
              <w:rPr>
                <w:rFonts w:ascii="Arial Narrow" w:hAnsi="Arial Narrow"/>
                <w:b/>
                <w:i/>
                <w:sz w:val="20"/>
              </w:rPr>
              <w:t>$</w:t>
            </w:r>
            <w:r w:rsidR="005E31C0">
              <w:rPr>
                <w:rFonts w:ascii="Arial Narrow" w:hAnsi="Arial Narrow"/>
                <w:b/>
                <w:i/>
                <w:noProof/>
                <w:color w:val="000000"/>
                <w:sz w:val="20"/>
                <w:highlight w:val="black"/>
              </w:rPr>
              <w:t>''''''''''''</w:t>
            </w:r>
          </w:p>
        </w:tc>
      </w:tr>
      <w:tr w:rsidR="00F651F3" w:rsidRPr="001F4081" w:rsidTr="00F30E90">
        <w:trPr>
          <w:cantSplit/>
        </w:trPr>
        <w:tc>
          <w:tcPr>
            <w:tcW w:w="3928" w:type="pct"/>
            <w:gridSpan w:val="3"/>
            <w:tcBorders>
              <w:bottom w:val="nil"/>
              <w:right w:val="single" w:sz="4" w:space="0" w:color="auto"/>
            </w:tcBorders>
            <w:shd w:val="clear" w:color="auto" w:fill="auto"/>
          </w:tcPr>
          <w:p w:rsidR="00F651F3" w:rsidRPr="001F4081" w:rsidRDefault="00F651F3" w:rsidP="00F651F3">
            <w:pPr>
              <w:pStyle w:val="In-tableHeading"/>
            </w:pPr>
            <w:r w:rsidRPr="001F4081">
              <w:t>Incremental cost per QALY gained</w:t>
            </w:r>
          </w:p>
        </w:tc>
        <w:tc>
          <w:tcPr>
            <w:tcW w:w="1072" w:type="pct"/>
            <w:tcBorders>
              <w:left w:val="single" w:sz="4" w:space="0" w:color="auto"/>
              <w:bottom w:val="single" w:sz="4" w:space="0" w:color="auto"/>
            </w:tcBorders>
            <w:vAlign w:val="center"/>
          </w:tcPr>
          <w:p w:rsidR="00F651F3" w:rsidRPr="005B1C4D" w:rsidRDefault="00F651F3" w:rsidP="00F651F3">
            <w:pPr>
              <w:keepNext/>
              <w:keepLines/>
              <w:jc w:val="center"/>
              <w:rPr>
                <w:rFonts w:ascii="Arial Narrow" w:hAnsi="Arial Narrow"/>
                <w:b/>
                <w:i/>
                <w:sz w:val="20"/>
              </w:rPr>
            </w:pPr>
            <w:r w:rsidRPr="005B1C4D">
              <w:rPr>
                <w:rFonts w:ascii="Arial Narrow" w:hAnsi="Arial Narrow"/>
                <w:b/>
                <w:i/>
                <w:sz w:val="20"/>
              </w:rPr>
              <w:t>$</w:t>
            </w:r>
            <w:r w:rsidR="005E31C0">
              <w:rPr>
                <w:rFonts w:ascii="Arial Narrow" w:hAnsi="Arial Narrow"/>
                <w:b/>
                <w:i/>
                <w:noProof/>
                <w:color w:val="000000"/>
                <w:sz w:val="20"/>
                <w:highlight w:val="black"/>
              </w:rPr>
              <w:t>''''''''''''</w:t>
            </w:r>
          </w:p>
        </w:tc>
      </w:tr>
      <w:tr w:rsidR="00F651F3" w:rsidRPr="001F4081" w:rsidTr="00F30E90">
        <w:trPr>
          <w:cantSplit/>
        </w:trPr>
        <w:tc>
          <w:tcPr>
            <w:tcW w:w="3928" w:type="pct"/>
            <w:gridSpan w:val="3"/>
            <w:tcBorders>
              <w:top w:val="nil"/>
              <w:right w:val="single" w:sz="4" w:space="0" w:color="auto"/>
            </w:tcBorders>
            <w:shd w:val="clear" w:color="auto" w:fill="auto"/>
          </w:tcPr>
          <w:p w:rsidR="00F651F3" w:rsidRPr="001F4081" w:rsidRDefault="00F651F3" w:rsidP="00F651F3">
            <w:pPr>
              <w:pStyle w:val="In-tableHeading"/>
            </w:pPr>
          </w:p>
        </w:tc>
        <w:tc>
          <w:tcPr>
            <w:tcW w:w="1072" w:type="pct"/>
            <w:tcBorders>
              <w:top w:val="single" w:sz="4" w:space="0" w:color="auto"/>
              <w:left w:val="single" w:sz="4" w:space="0" w:color="auto"/>
            </w:tcBorders>
            <w:vAlign w:val="center"/>
          </w:tcPr>
          <w:p w:rsidR="00F651F3" w:rsidRPr="005B1C4D" w:rsidRDefault="00F651F3" w:rsidP="00F651F3">
            <w:pPr>
              <w:keepNext/>
              <w:keepLines/>
              <w:jc w:val="center"/>
              <w:rPr>
                <w:rFonts w:ascii="Arial Narrow" w:eastAsia="Calibri" w:hAnsi="Arial Narrow"/>
                <w:b/>
                <w:i/>
                <w:sz w:val="20"/>
                <w:szCs w:val="20"/>
              </w:rPr>
            </w:pPr>
            <w:r w:rsidRPr="005B1C4D">
              <w:rPr>
                <w:rFonts w:ascii="Arial Narrow" w:hAnsi="Arial Narrow"/>
                <w:b/>
                <w:i/>
                <w:sz w:val="20"/>
              </w:rPr>
              <w:t>$</w:t>
            </w:r>
            <w:r w:rsidR="005E31C0">
              <w:rPr>
                <w:rFonts w:ascii="Arial Narrow" w:hAnsi="Arial Narrow"/>
                <w:b/>
                <w:i/>
                <w:noProof/>
                <w:color w:val="000000"/>
                <w:sz w:val="20"/>
                <w:highlight w:val="black"/>
              </w:rPr>
              <w:t>''''''''''''''</w:t>
            </w:r>
          </w:p>
        </w:tc>
      </w:tr>
    </w:tbl>
    <w:p w:rsidR="00F651F3" w:rsidRPr="007E0B5F" w:rsidRDefault="00F651F3" w:rsidP="00F651F3">
      <w:pPr>
        <w:pStyle w:val="TableFigureFooter"/>
        <w:rPr>
          <w:iCs/>
        </w:rPr>
      </w:pPr>
      <w:r w:rsidRPr="007E0B5F">
        <w:t xml:space="preserve">Source: Table 3-24, p212 of the submission. </w:t>
      </w:r>
      <w:r w:rsidRPr="007E0B5F">
        <w:rPr>
          <w:iCs/>
        </w:rPr>
        <w:t>Italicised numbers calculated during the evaluation using the corrected DPMQ of fulvestrant and including initial + loading dose of fulvestrant in cycle 1.</w:t>
      </w:r>
    </w:p>
    <w:p w:rsidR="00F651F3" w:rsidRPr="007957B6" w:rsidRDefault="00F651F3" w:rsidP="00106E22">
      <w:pPr>
        <w:pStyle w:val="TableFigureFooter"/>
        <w:spacing w:after="240"/>
      </w:pPr>
      <w:r>
        <w:t xml:space="preserve">EVE+EXE = everolimus + exemestane; </w:t>
      </w:r>
      <w:r w:rsidRPr="007957B6">
        <w:t>QALY = quality adjusted life year</w:t>
      </w:r>
      <w:r>
        <w:t>; RIBO+FULV = ribociclib + fulvestrant</w:t>
      </w:r>
    </w:p>
    <w:p w:rsidR="00E76BDF" w:rsidRPr="00E76BDF" w:rsidRDefault="00E76BDF" w:rsidP="00E76BDF">
      <w:pPr>
        <w:pStyle w:val="3-BodyText"/>
        <w:numPr>
          <w:ilvl w:val="0"/>
          <w:numId w:val="0"/>
        </w:numPr>
        <w:ind w:left="720" w:hanging="720"/>
        <w:rPr>
          <w:i/>
        </w:rPr>
      </w:pPr>
      <w:r>
        <w:rPr>
          <w:i/>
        </w:rPr>
        <w:t xml:space="preserve">The redacted table shows ICERs in the range of $35,000 to &lt; $45,000 per life year gained; and </w:t>
      </w:r>
      <w:r w:rsidRPr="00E76BDF">
        <w:rPr>
          <w:i/>
        </w:rPr>
        <w:t>$55,000 to &lt; $75,000</w:t>
      </w:r>
      <w:r>
        <w:rPr>
          <w:i/>
        </w:rPr>
        <w:t xml:space="preserve"> per QALY gained.</w:t>
      </w:r>
    </w:p>
    <w:p w:rsidR="00F651F3" w:rsidRDefault="00F651F3" w:rsidP="00F651F3">
      <w:pPr>
        <w:pStyle w:val="3-BodyText"/>
      </w:pPr>
      <w:r w:rsidRPr="00D23D11">
        <w:t xml:space="preserve">The results of key sensitivity analyses are summarised </w:t>
      </w:r>
      <w:r>
        <w:t xml:space="preserve">in </w:t>
      </w:r>
      <w:r w:rsidR="00DF2949">
        <w:t>the table below</w:t>
      </w:r>
      <w:r w:rsidRPr="00D23D11">
        <w:t>.</w:t>
      </w:r>
      <w:r>
        <w:t xml:space="preserve"> </w:t>
      </w:r>
    </w:p>
    <w:p w:rsidR="00212B0E" w:rsidRPr="008D1AF1" w:rsidRDefault="00F651F3" w:rsidP="00910A5D">
      <w:pPr>
        <w:pStyle w:val="3-BodyText"/>
      </w:pPr>
      <w:r w:rsidRPr="007E0B5F">
        <w:t>The ICER is most sensitive to the hazard ratios applied to estimate EVE+EXE in PFS and OS</w:t>
      </w:r>
      <w:r w:rsidR="00212B0E">
        <w:t xml:space="preserve">. </w:t>
      </w:r>
      <w:r w:rsidR="00212B0E" w:rsidRPr="007E0B5F">
        <w:t xml:space="preserve">Using the results of the naïve indirect comparison (hazard ratios from </w:t>
      </w:r>
      <w:r w:rsidR="00212B0E">
        <w:t>the un</w:t>
      </w:r>
      <w:r w:rsidR="003F4D02">
        <w:t>a</w:t>
      </w:r>
      <w:r w:rsidR="00DF2949">
        <w:t>n</w:t>
      </w:r>
      <w:r w:rsidR="003F4D02">
        <w:t>chored</w:t>
      </w:r>
      <w:r w:rsidR="00212B0E">
        <w:t xml:space="preserve"> MAIC</w:t>
      </w:r>
      <w:r w:rsidR="00212B0E" w:rsidRPr="007E0B5F">
        <w:t xml:space="preserve">, unweighted in table below), the ICER increases from </w:t>
      </w:r>
      <w:r w:rsidR="00910A5D" w:rsidRPr="00910A5D">
        <w:t>$55,000 to &lt;</w:t>
      </w:r>
      <w:r w:rsidR="00910A5D">
        <w:t> </w:t>
      </w:r>
      <w:r w:rsidR="00910A5D" w:rsidRPr="00910A5D">
        <w:t>$75,000</w:t>
      </w:r>
      <w:r w:rsidR="00212B0E" w:rsidRPr="007E0B5F">
        <w:t xml:space="preserve">to </w:t>
      </w:r>
      <w:r w:rsidR="00910A5D" w:rsidRPr="00910A5D">
        <w:t>$55,000 to &lt; $75,000</w:t>
      </w:r>
      <w:r w:rsidR="00212B0E" w:rsidRPr="007E0B5F">
        <w:t xml:space="preserve"> per QALY. </w:t>
      </w:r>
      <w:r w:rsidR="00212B0E" w:rsidRPr="008D1AF1">
        <w:t xml:space="preserve">Using the PFS and OS results from the </w:t>
      </w:r>
      <w:r w:rsidR="008E1A8C" w:rsidRPr="008D1AF1">
        <w:t xml:space="preserve">multiple-stepwise </w:t>
      </w:r>
      <w:r w:rsidR="00212B0E" w:rsidRPr="008D1AF1">
        <w:t xml:space="preserve">indirect comparison (Analysis 1) the ICER increased to </w:t>
      </w:r>
      <w:r w:rsidR="00910A5D">
        <w:t>$155,000 to &lt; $255,000</w:t>
      </w:r>
      <w:r w:rsidR="00212B0E" w:rsidRPr="008D1AF1">
        <w:t xml:space="preserve"> per QALY. The ESC considered that all ICERs, including the base case ICER, are extremely uncertain</w:t>
      </w:r>
      <w:r w:rsidR="001C7E76" w:rsidRPr="008D1AF1">
        <w:t xml:space="preserve"> as they are based on comparisons of clinical trial data from distinctly different patient populations</w:t>
      </w:r>
      <w:r w:rsidR="00212B0E" w:rsidRPr="008D1AF1">
        <w:t>.</w:t>
      </w:r>
      <w:r w:rsidR="00B1034C" w:rsidRPr="008D1AF1">
        <w:t xml:space="preserve"> </w:t>
      </w:r>
    </w:p>
    <w:p w:rsidR="00B00828" w:rsidRPr="008D1AF1" w:rsidRDefault="00B00828" w:rsidP="00E57738">
      <w:pPr>
        <w:pStyle w:val="3-BodyText"/>
      </w:pPr>
      <w:r w:rsidRPr="008D1AF1">
        <w:t xml:space="preserve">The ESC considered that the 10 year time horizon may be too long, given that the results used were based on </w:t>
      </w:r>
      <w:r w:rsidR="00A63F63" w:rsidRPr="008D1AF1">
        <w:t xml:space="preserve">the </w:t>
      </w:r>
      <w:r w:rsidRPr="008D1AF1">
        <w:t xml:space="preserve">extrapolation of </w:t>
      </w:r>
      <w:r w:rsidR="00A63F63" w:rsidRPr="008D1AF1">
        <w:t xml:space="preserve">data from </w:t>
      </w:r>
      <w:r w:rsidRPr="008D1AF1">
        <w:t xml:space="preserve">an unanchored MAIC with a high level of uncertainty. The ESC considered that 7 years would be more appropriate to use in the base case of the model and noted that this would increase the ICER to </w:t>
      </w:r>
      <w:r w:rsidR="00E57738" w:rsidRPr="00E57738">
        <w:t>$55,000 to &lt; $75,000</w:t>
      </w:r>
      <w:r w:rsidRPr="008D1AF1">
        <w:t xml:space="preserve">. </w:t>
      </w:r>
      <w:r w:rsidR="00C81016">
        <w:t xml:space="preserve">The pre-PBAC response noted that in the model, 30% of patients </w:t>
      </w:r>
      <w:r w:rsidR="00114E8E">
        <w:t>remain</w:t>
      </w:r>
      <w:r w:rsidR="00C81016">
        <w:t xml:space="preserve"> alive at seven years. The PBAC noted that RIBO+NSAI was recommended on the basis of a </w:t>
      </w:r>
      <w:r w:rsidR="00114E8E">
        <w:t xml:space="preserve">model with a 7 year time horizon, reflecting uncertainty in the long term survival </w:t>
      </w:r>
      <w:r w:rsidR="00471E5B">
        <w:t xml:space="preserve">outcomes </w:t>
      </w:r>
      <w:r w:rsidR="00114E8E">
        <w:t xml:space="preserve">for RIBO+NSAI. </w:t>
      </w:r>
    </w:p>
    <w:p w:rsidR="00212B0E" w:rsidRPr="008D1AF1" w:rsidRDefault="00B00828" w:rsidP="00E57738">
      <w:pPr>
        <w:pStyle w:val="3-BodyText"/>
      </w:pPr>
      <w:r w:rsidRPr="008D1AF1">
        <w:t xml:space="preserve">No observed trial data were applied in the model. </w:t>
      </w:r>
      <w:r w:rsidR="00DF2949" w:rsidRPr="008D1AF1">
        <w:t xml:space="preserve">The ESC considered that the observed time to event data </w:t>
      </w:r>
      <w:r w:rsidR="00847499" w:rsidRPr="008D1AF1">
        <w:t xml:space="preserve">from the trials </w:t>
      </w:r>
      <w:r w:rsidR="00DF2949" w:rsidRPr="008D1AF1">
        <w:t xml:space="preserve">should have been used up to the time point at which the observed data became unreliable as a result of small numbers of patients remaining event-free, consistent with the PBAC Guidelines (paragraph 3A.4.3). </w:t>
      </w:r>
      <w:r w:rsidR="00C62EBB" w:rsidRPr="008D1AF1">
        <w:t xml:space="preserve">The ESC noted that </w:t>
      </w:r>
      <w:r w:rsidR="00D42A60">
        <w:t>using observed data until median PFS and OS</w:t>
      </w:r>
      <w:r w:rsidR="00C62EBB" w:rsidRPr="008D1AF1">
        <w:t xml:space="preserve"> increased the ICER to </w:t>
      </w:r>
      <w:r w:rsidR="00E57738" w:rsidRPr="00E57738">
        <w:t>$55,000 to &lt; $75,000</w:t>
      </w:r>
      <w:r w:rsidR="00C62EBB" w:rsidRPr="008D1AF1">
        <w:t xml:space="preserve"> per QALY.</w:t>
      </w:r>
      <w:r w:rsidR="00E1029E">
        <w:t xml:space="preserve"> The pre-PBAC </w:t>
      </w:r>
      <w:r w:rsidR="0019276E">
        <w:t xml:space="preserve">response </w:t>
      </w:r>
      <w:r w:rsidR="00E1029E">
        <w:t>disagreed with th</w:t>
      </w:r>
      <w:r w:rsidR="00697F28">
        <w:t>e evaluation’s</w:t>
      </w:r>
      <w:r w:rsidR="00E1029E">
        <w:t xml:space="preserve"> approach</w:t>
      </w:r>
      <w:r w:rsidR="00697F28">
        <w:t xml:space="preserve"> and presented a scenario which </w:t>
      </w:r>
      <w:r w:rsidR="0019276E">
        <w:t xml:space="preserve">used the trial data up to the point of median survival (27 months) and </w:t>
      </w:r>
      <w:r w:rsidR="00697F28">
        <w:t xml:space="preserve">calculated a </w:t>
      </w:r>
      <w:r w:rsidR="0019276E">
        <w:t>new</w:t>
      </w:r>
      <w:r w:rsidR="00697F28">
        <w:t xml:space="preserve"> </w:t>
      </w:r>
      <w:r w:rsidR="0019276E">
        <w:t>OS distribution</w:t>
      </w:r>
      <w:r w:rsidR="003348B1">
        <w:t xml:space="preserve">, applied </w:t>
      </w:r>
      <w:r w:rsidR="00697F28">
        <w:t>after</w:t>
      </w:r>
      <w:r w:rsidR="0019276E">
        <w:t xml:space="preserve"> </w:t>
      </w:r>
      <w:r w:rsidR="003348B1">
        <w:t>the</w:t>
      </w:r>
      <w:r w:rsidR="0019276E">
        <w:t xml:space="preserve"> point</w:t>
      </w:r>
      <w:r w:rsidR="003348B1">
        <w:t xml:space="preserve"> of median survival</w:t>
      </w:r>
      <w:r w:rsidR="00697F28">
        <w:t>. The PBAC considered that recalculating the survival distribution based on the remainder of the data after median follow-up (i</w:t>
      </w:r>
      <w:r w:rsidR="002A3C2B">
        <w:t>.</w:t>
      </w:r>
      <w:r w:rsidR="00697F28">
        <w:t>e. data that w</w:t>
      </w:r>
      <w:r w:rsidR="00D42A60">
        <w:t>ere more likely to be</w:t>
      </w:r>
      <w:r w:rsidR="00697F28">
        <w:t xml:space="preserve"> censored or unreliable) was not appropriate</w:t>
      </w:r>
      <w:r w:rsidR="003348B1">
        <w:t xml:space="preserve"> and considered the evaluation</w:t>
      </w:r>
      <w:r w:rsidR="00E82A38">
        <w:t>’s approach was reasonable</w:t>
      </w:r>
      <w:r w:rsidR="00697F28">
        <w:t xml:space="preserve">. </w:t>
      </w:r>
      <w:r w:rsidR="00E1029E">
        <w:t xml:space="preserve"> </w:t>
      </w:r>
    </w:p>
    <w:p w:rsidR="00F651F3" w:rsidRPr="00683E4D" w:rsidRDefault="00F651F3" w:rsidP="00F651F3">
      <w:pPr>
        <w:pStyle w:val="TableFigureHeading"/>
        <w:rPr>
          <w:rStyle w:val="CommentReference"/>
          <w:b/>
          <w:bCs w:val="0"/>
        </w:rPr>
      </w:pPr>
      <w:r w:rsidRPr="00683E4D">
        <w:rPr>
          <w:rStyle w:val="CommentReference"/>
          <w:b/>
          <w:bCs w:val="0"/>
        </w:rPr>
        <w:t xml:space="preserve">Table </w:t>
      </w:r>
      <w:r w:rsidR="009F768F">
        <w:rPr>
          <w:rStyle w:val="CommentReference"/>
          <w:b/>
          <w:bCs w:val="0"/>
        </w:rPr>
        <w:t>1</w:t>
      </w:r>
      <w:r w:rsidR="00EE094F">
        <w:rPr>
          <w:rStyle w:val="CommentReference"/>
          <w:b/>
          <w:bCs w:val="0"/>
        </w:rPr>
        <w:t>8</w:t>
      </w:r>
      <w:r w:rsidRPr="00683E4D">
        <w:rPr>
          <w:rStyle w:val="CommentReference"/>
          <w:b/>
          <w:bCs w:val="0"/>
        </w:rPr>
        <w:t>: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275"/>
        <w:gridCol w:w="1417"/>
        <w:gridCol w:w="943"/>
      </w:tblGrid>
      <w:tr w:rsidR="00AC2BC0" w:rsidRPr="008D1AF1" w:rsidTr="00384F99">
        <w:trPr>
          <w:cantSplit/>
          <w:tblHeader/>
        </w:trPr>
        <w:tc>
          <w:tcPr>
            <w:tcW w:w="2984" w:type="pct"/>
          </w:tcPr>
          <w:p w:rsidR="00AC2BC0" w:rsidRPr="008D1AF1" w:rsidRDefault="00AC2BC0" w:rsidP="00683E4D">
            <w:pPr>
              <w:pStyle w:val="In-tableHeading"/>
            </w:pPr>
            <w:r w:rsidRPr="008D1AF1">
              <w:t>Analyses</w:t>
            </w:r>
          </w:p>
        </w:tc>
        <w:tc>
          <w:tcPr>
            <w:tcW w:w="707" w:type="pct"/>
          </w:tcPr>
          <w:p w:rsidR="00AC2BC0" w:rsidRPr="008D1AF1" w:rsidRDefault="00AC2BC0" w:rsidP="00F651F3">
            <w:pPr>
              <w:pStyle w:val="In-tableHeading"/>
              <w:jc w:val="center"/>
            </w:pPr>
            <w:r w:rsidRPr="008D1AF1">
              <w:t>Incremental cost</w:t>
            </w:r>
          </w:p>
        </w:tc>
        <w:tc>
          <w:tcPr>
            <w:tcW w:w="786" w:type="pct"/>
          </w:tcPr>
          <w:p w:rsidR="00AC2BC0" w:rsidRPr="008D1AF1" w:rsidRDefault="00AC2BC0" w:rsidP="00F651F3">
            <w:pPr>
              <w:pStyle w:val="In-tableHeading"/>
              <w:jc w:val="center"/>
            </w:pPr>
            <w:r w:rsidRPr="008D1AF1">
              <w:t>Incremental QALY</w:t>
            </w:r>
          </w:p>
        </w:tc>
        <w:tc>
          <w:tcPr>
            <w:tcW w:w="523" w:type="pct"/>
            <w:vAlign w:val="center"/>
          </w:tcPr>
          <w:p w:rsidR="00AC2BC0" w:rsidRPr="008D1AF1" w:rsidRDefault="00AC2BC0" w:rsidP="00F651F3">
            <w:pPr>
              <w:pStyle w:val="In-tableHeading"/>
              <w:jc w:val="center"/>
            </w:pPr>
            <w:r w:rsidRPr="008D1AF1">
              <w:t>ICER</w:t>
            </w:r>
          </w:p>
        </w:tc>
      </w:tr>
      <w:tr w:rsidR="00AC2BC0" w:rsidRPr="008D1AF1" w:rsidTr="00384F99">
        <w:trPr>
          <w:cantSplit/>
        </w:trPr>
        <w:tc>
          <w:tcPr>
            <w:tcW w:w="2984" w:type="pct"/>
          </w:tcPr>
          <w:p w:rsidR="00AC2BC0" w:rsidRPr="008D1AF1" w:rsidRDefault="00AC2BC0" w:rsidP="00683E4D">
            <w:pPr>
              <w:pStyle w:val="TableText0"/>
              <w:rPr>
                <w:b/>
              </w:rPr>
            </w:pPr>
            <w:r w:rsidRPr="008D1AF1">
              <w:rPr>
                <w:b/>
              </w:rPr>
              <w:t>Base case (respecified)</w:t>
            </w:r>
            <w:r w:rsidRPr="008D1AF1">
              <w:rPr>
                <w:b/>
                <w:vertAlign w:val="superscript"/>
              </w:rPr>
              <w:t>a</w:t>
            </w:r>
          </w:p>
        </w:tc>
        <w:tc>
          <w:tcPr>
            <w:tcW w:w="707" w:type="pct"/>
            <w:tcBorders>
              <w:top w:val="nil"/>
              <w:left w:val="nil"/>
              <w:bottom w:val="single" w:sz="4" w:space="0" w:color="auto"/>
              <w:right w:val="single" w:sz="4" w:space="0" w:color="auto"/>
            </w:tcBorders>
            <w:shd w:val="clear" w:color="auto" w:fill="auto"/>
            <w:vAlign w:val="center"/>
          </w:tcPr>
          <w:p w:rsidR="00AC2BC0" w:rsidRPr="008D1AF1" w:rsidRDefault="00AC2BC0" w:rsidP="00A83F8B">
            <w:pPr>
              <w:pStyle w:val="TableText0"/>
              <w:jc w:val="center"/>
              <w:rPr>
                <w:b/>
                <w:highlight w:val="black"/>
              </w:rPr>
            </w:pPr>
            <w:r w:rsidRPr="008D1AF1">
              <w:rPr>
                <w:rFonts w:cs="Calibri"/>
                <w:b/>
                <w:bCs w:val="0"/>
                <w:iCs/>
                <w:color w:val="000000"/>
                <w:szCs w:val="20"/>
              </w:rPr>
              <w:t>$</w:t>
            </w:r>
            <w:r w:rsidR="005E31C0">
              <w:rPr>
                <w:rFonts w:cs="Calibri"/>
                <w:b/>
                <w:bCs w:val="0"/>
                <w:iCs/>
                <w:noProof/>
                <w:color w:val="000000"/>
                <w:szCs w:val="20"/>
                <w:highlight w:val="black"/>
              </w:rPr>
              <w:t>'''''''''''''''</w:t>
            </w:r>
          </w:p>
        </w:tc>
        <w:tc>
          <w:tcPr>
            <w:tcW w:w="786" w:type="pct"/>
            <w:tcBorders>
              <w:top w:val="nil"/>
              <w:left w:val="nil"/>
              <w:bottom w:val="single" w:sz="4" w:space="0" w:color="auto"/>
              <w:right w:val="single" w:sz="4" w:space="0" w:color="auto"/>
            </w:tcBorders>
            <w:shd w:val="clear" w:color="auto" w:fill="auto"/>
            <w:vAlign w:val="center"/>
          </w:tcPr>
          <w:p w:rsidR="00AC2BC0" w:rsidRPr="00AB529A" w:rsidRDefault="00AC2BC0" w:rsidP="00A83F8B">
            <w:pPr>
              <w:pStyle w:val="TableText0"/>
              <w:jc w:val="center"/>
              <w:rPr>
                <w:b/>
              </w:rPr>
            </w:pPr>
            <w:r w:rsidRPr="00AB529A">
              <w:rPr>
                <w:rFonts w:cs="Calibri"/>
                <w:b/>
                <w:bCs w:val="0"/>
                <w:color w:val="000000"/>
                <w:szCs w:val="20"/>
              </w:rPr>
              <w:t>0.96</w:t>
            </w:r>
          </w:p>
        </w:tc>
        <w:tc>
          <w:tcPr>
            <w:tcW w:w="523" w:type="pct"/>
            <w:tcBorders>
              <w:top w:val="nil"/>
              <w:left w:val="nil"/>
              <w:bottom w:val="single" w:sz="4" w:space="0" w:color="auto"/>
              <w:right w:val="single" w:sz="4" w:space="0" w:color="auto"/>
            </w:tcBorders>
            <w:shd w:val="clear" w:color="auto" w:fill="auto"/>
            <w:vAlign w:val="center"/>
          </w:tcPr>
          <w:p w:rsidR="00AC2BC0" w:rsidRPr="008D1AF1" w:rsidRDefault="00AC2BC0" w:rsidP="00A83F8B">
            <w:pPr>
              <w:pStyle w:val="TableText0"/>
              <w:jc w:val="center"/>
              <w:rPr>
                <w:rFonts w:eastAsia="Calibri"/>
                <w:b/>
                <w:szCs w:val="20"/>
              </w:rPr>
            </w:pPr>
            <w:r w:rsidRPr="008D1AF1">
              <w:rPr>
                <w:rFonts w:cs="Calibri"/>
                <w:b/>
                <w:bCs w:val="0"/>
                <w:iCs/>
                <w:color w:val="000000"/>
                <w:szCs w:val="20"/>
              </w:rPr>
              <w:t>$</w:t>
            </w:r>
            <w:r w:rsidR="005E31C0">
              <w:rPr>
                <w:rFonts w:cs="Calibri"/>
                <w:b/>
                <w:bCs w:val="0"/>
                <w:iCs/>
                <w:noProof/>
                <w:color w:val="000000"/>
                <w:szCs w:val="20"/>
                <w:highlight w:val="black"/>
              </w:rPr>
              <w:t>''''''''''''''</w:t>
            </w:r>
          </w:p>
        </w:tc>
      </w:tr>
      <w:tr w:rsidR="00FC18C0" w:rsidRPr="008D1AF1" w:rsidTr="00384F99">
        <w:trPr>
          <w:cantSplit/>
        </w:trPr>
        <w:tc>
          <w:tcPr>
            <w:tcW w:w="2984" w:type="pct"/>
          </w:tcPr>
          <w:p w:rsidR="00FC18C0" w:rsidRPr="008D1AF1" w:rsidRDefault="00FC18C0" w:rsidP="00FC18C0">
            <w:pPr>
              <w:pStyle w:val="TableText0"/>
            </w:pPr>
            <w:r w:rsidRPr="008D1AF1">
              <w:t>7 year time horizon (base case: 10 years)</w:t>
            </w:r>
          </w:p>
        </w:tc>
        <w:tc>
          <w:tcPr>
            <w:tcW w:w="707" w:type="pct"/>
            <w:tcBorders>
              <w:top w:val="nil"/>
              <w:left w:val="nil"/>
              <w:right w:val="single" w:sz="4" w:space="0" w:color="auto"/>
            </w:tcBorders>
            <w:shd w:val="clear" w:color="auto" w:fill="auto"/>
            <w:vAlign w:val="center"/>
          </w:tcPr>
          <w:p w:rsidR="00FC18C0" w:rsidRPr="008D1AF1" w:rsidRDefault="00FC18C0" w:rsidP="00FC18C0">
            <w:pPr>
              <w:pStyle w:val="TableText0"/>
              <w:jc w:val="center"/>
              <w:rPr>
                <w:rFonts w:cs="Calibri"/>
                <w:b/>
                <w:bCs w:val="0"/>
                <w:iCs/>
                <w:color w:val="000000"/>
                <w:szCs w:val="20"/>
              </w:rPr>
            </w:pPr>
            <w:r w:rsidRPr="008D1AF1">
              <w:rPr>
                <w:iCs/>
                <w:szCs w:val="20"/>
              </w:rPr>
              <w:t>$</w:t>
            </w:r>
            <w:r w:rsidR="005E31C0">
              <w:rPr>
                <w:iCs/>
                <w:noProof/>
                <w:color w:val="000000"/>
                <w:szCs w:val="20"/>
                <w:highlight w:val="black"/>
              </w:rPr>
              <w:t>'''''''''''''''</w:t>
            </w:r>
          </w:p>
        </w:tc>
        <w:tc>
          <w:tcPr>
            <w:tcW w:w="786" w:type="pct"/>
            <w:tcBorders>
              <w:top w:val="nil"/>
              <w:left w:val="nil"/>
              <w:right w:val="single" w:sz="4" w:space="0" w:color="auto"/>
            </w:tcBorders>
            <w:shd w:val="clear" w:color="auto" w:fill="auto"/>
            <w:vAlign w:val="center"/>
          </w:tcPr>
          <w:p w:rsidR="00FC18C0" w:rsidRPr="00AB529A" w:rsidRDefault="00FC18C0" w:rsidP="00FC18C0">
            <w:pPr>
              <w:pStyle w:val="TableText0"/>
              <w:jc w:val="center"/>
              <w:rPr>
                <w:rFonts w:cs="Calibri"/>
                <w:b/>
                <w:bCs w:val="0"/>
                <w:color w:val="000000"/>
                <w:szCs w:val="20"/>
              </w:rPr>
            </w:pPr>
            <w:r w:rsidRPr="00AB529A">
              <w:rPr>
                <w:szCs w:val="20"/>
              </w:rPr>
              <w:t>0.80</w:t>
            </w:r>
          </w:p>
        </w:tc>
        <w:tc>
          <w:tcPr>
            <w:tcW w:w="523" w:type="pct"/>
            <w:tcBorders>
              <w:top w:val="nil"/>
              <w:left w:val="nil"/>
              <w:right w:val="single" w:sz="4" w:space="0" w:color="auto"/>
            </w:tcBorders>
            <w:shd w:val="clear" w:color="auto" w:fill="auto"/>
            <w:vAlign w:val="center"/>
          </w:tcPr>
          <w:p w:rsidR="00FC18C0" w:rsidRPr="008D1AF1" w:rsidRDefault="00FC18C0" w:rsidP="00FC18C0">
            <w:pPr>
              <w:pStyle w:val="TableText0"/>
              <w:jc w:val="center"/>
              <w:rPr>
                <w:rFonts w:cs="Calibri"/>
                <w:b/>
                <w:bCs w:val="0"/>
                <w:iCs/>
                <w:color w:val="000000"/>
                <w:szCs w:val="20"/>
              </w:rPr>
            </w:pPr>
            <w:r w:rsidRPr="008D1AF1">
              <w:rPr>
                <w:iCs/>
                <w:szCs w:val="20"/>
              </w:rPr>
              <w:t>$</w:t>
            </w:r>
            <w:r w:rsidR="005E31C0">
              <w:rPr>
                <w:iCs/>
                <w:noProof/>
                <w:color w:val="000000"/>
                <w:szCs w:val="20"/>
                <w:highlight w:val="black"/>
              </w:rPr>
              <w:t>''''''''''''''''</w:t>
            </w:r>
          </w:p>
        </w:tc>
      </w:tr>
      <w:tr w:rsidR="00FC18C0" w:rsidRPr="008D1AF1" w:rsidTr="00384F99">
        <w:trPr>
          <w:cantSplit/>
        </w:trPr>
        <w:tc>
          <w:tcPr>
            <w:tcW w:w="2984" w:type="pct"/>
            <w:vAlign w:val="center"/>
          </w:tcPr>
          <w:p w:rsidR="00FC18C0" w:rsidRPr="008D1AF1" w:rsidRDefault="00FC18C0" w:rsidP="00FC18C0">
            <w:pPr>
              <w:pStyle w:val="TableText0"/>
              <w:rPr>
                <w:b/>
              </w:rPr>
            </w:pPr>
            <w:r w:rsidRPr="008D1AF1">
              <w:rPr>
                <w:rFonts w:cs="Calibri"/>
                <w:iCs/>
                <w:szCs w:val="20"/>
              </w:rPr>
              <w:t>Include KM data to median PFS and OS</w:t>
            </w:r>
          </w:p>
        </w:tc>
        <w:tc>
          <w:tcPr>
            <w:tcW w:w="707" w:type="pct"/>
            <w:tcBorders>
              <w:top w:val="nil"/>
              <w:left w:val="nil"/>
              <w:bottom w:val="single" w:sz="4" w:space="0" w:color="auto"/>
              <w:right w:val="single" w:sz="4" w:space="0" w:color="auto"/>
            </w:tcBorders>
            <w:shd w:val="clear" w:color="auto" w:fill="auto"/>
            <w:vAlign w:val="center"/>
          </w:tcPr>
          <w:p w:rsidR="00FC18C0" w:rsidRPr="008D1AF1" w:rsidRDefault="00FC18C0" w:rsidP="00FC18C0">
            <w:pPr>
              <w:pStyle w:val="TableText0"/>
              <w:jc w:val="center"/>
              <w:rPr>
                <w:rFonts w:cs="Calibri"/>
                <w:b/>
                <w:bCs w:val="0"/>
                <w:iCs/>
                <w:color w:val="000000"/>
                <w:szCs w:val="20"/>
              </w:rPr>
            </w:pPr>
            <w:r w:rsidRPr="008D1AF1">
              <w:rPr>
                <w:rFonts w:cs="Calibri"/>
                <w:iCs/>
                <w:szCs w:val="20"/>
              </w:rPr>
              <w:t>$</w:t>
            </w:r>
            <w:r w:rsidR="005E31C0">
              <w:rPr>
                <w:rFonts w:cs="Calibri"/>
                <w:iCs/>
                <w:noProof/>
                <w:color w:val="000000"/>
                <w:szCs w:val="20"/>
                <w:highlight w:val="black"/>
              </w:rPr>
              <w:t>''''''''''''''''</w:t>
            </w:r>
          </w:p>
        </w:tc>
        <w:tc>
          <w:tcPr>
            <w:tcW w:w="786" w:type="pct"/>
            <w:tcBorders>
              <w:top w:val="nil"/>
              <w:left w:val="nil"/>
              <w:bottom w:val="single" w:sz="4" w:space="0" w:color="auto"/>
              <w:right w:val="single" w:sz="4" w:space="0" w:color="auto"/>
            </w:tcBorders>
            <w:shd w:val="clear" w:color="auto" w:fill="auto"/>
            <w:vAlign w:val="center"/>
          </w:tcPr>
          <w:p w:rsidR="00FC18C0" w:rsidRPr="00AB529A" w:rsidRDefault="00FC18C0" w:rsidP="00FC18C0">
            <w:pPr>
              <w:pStyle w:val="TableText0"/>
              <w:jc w:val="center"/>
              <w:rPr>
                <w:rFonts w:cs="Calibri"/>
                <w:b/>
                <w:bCs w:val="0"/>
                <w:color w:val="000000"/>
                <w:szCs w:val="20"/>
              </w:rPr>
            </w:pPr>
            <w:r w:rsidRPr="00AB529A">
              <w:rPr>
                <w:rFonts w:cs="Calibri"/>
                <w:iCs/>
                <w:szCs w:val="20"/>
              </w:rPr>
              <w:t>0.87</w:t>
            </w:r>
          </w:p>
        </w:tc>
        <w:tc>
          <w:tcPr>
            <w:tcW w:w="523" w:type="pct"/>
            <w:tcBorders>
              <w:top w:val="nil"/>
              <w:left w:val="nil"/>
              <w:bottom w:val="single" w:sz="4" w:space="0" w:color="auto"/>
              <w:right w:val="single" w:sz="4" w:space="0" w:color="auto"/>
            </w:tcBorders>
            <w:shd w:val="clear" w:color="auto" w:fill="auto"/>
            <w:vAlign w:val="center"/>
          </w:tcPr>
          <w:p w:rsidR="00FC18C0" w:rsidRPr="008D1AF1" w:rsidRDefault="00FC18C0" w:rsidP="00FC18C0">
            <w:pPr>
              <w:pStyle w:val="TableText0"/>
              <w:jc w:val="center"/>
              <w:rPr>
                <w:rFonts w:cs="Calibri"/>
                <w:b/>
                <w:bCs w:val="0"/>
                <w:iCs/>
                <w:color w:val="000000"/>
                <w:szCs w:val="20"/>
              </w:rPr>
            </w:pPr>
            <w:r w:rsidRPr="008D1AF1">
              <w:rPr>
                <w:rFonts w:cs="Calibri"/>
                <w:iCs/>
                <w:szCs w:val="20"/>
              </w:rPr>
              <w:t>$</w:t>
            </w:r>
            <w:r w:rsidR="005E31C0">
              <w:rPr>
                <w:rFonts w:cs="Calibri"/>
                <w:iCs/>
                <w:noProof/>
                <w:color w:val="000000"/>
                <w:szCs w:val="20"/>
                <w:highlight w:val="black"/>
              </w:rPr>
              <w:t>''''''''''''''''</w:t>
            </w:r>
          </w:p>
        </w:tc>
      </w:tr>
      <w:tr w:rsidR="00FC18C0" w:rsidRPr="008D1AF1" w:rsidTr="00F651F3">
        <w:trPr>
          <w:cantSplit/>
          <w:trHeight w:val="283"/>
        </w:trPr>
        <w:tc>
          <w:tcPr>
            <w:tcW w:w="5000" w:type="pct"/>
            <w:gridSpan w:val="4"/>
            <w:tcBorders>
              <w:right w:val="single" w:sz="4" w:space="0" w:color="auto"/>
            </w:tcBorders>
            <w:vAlign w:val="center"/>
          </w:tcPr>
          <w:p w:rsidR="00FC18C0" w:rsidRPr="00AB529A" w:rsidRDefault="00FC18C0" w:rsidP="00FC18C0">
            <w:pPr>
              <w:pStyle w:val="TableText0"/>
              <w:rPr>
                <w:rFonts w:cs="Calibri"/>
                <w:iCs/>
                <w:szCs w:val="20"/>
              </w:rPr>
            </w:pPr>
            <w:r w:rsidRPr="00AB529A">
              <w:rPr>
                <w:rFonts w:cs="Calibri"/>
                <w:iCs/>
                <w:szCs w:val="20"/>
              </w:rPr>
              <w:t>Hazard ratio PFS (base case 2.52)</w:t>
            </w:r>
          </w:p>
        </w:tc>
      </w:tr>
      <w:tr w:rsidR="00FC18C0" w:rsidRPr="008D1AF1" w:rsidTr="00384F99">
        <w:trPr>
          <w:cantSplit/>
          <w:trHeight w:val="283"/>
        </w:trPr>
        <w:tc>
          <w:tcPr>
            <w:tcW w:w="2984" w:type="pct"/>
            <w:tcBorders>
              <w:left w:val="single" w:sz="4" w:space="0" w:color="auto"/>
              <w:right w:val="single" w:sz="4" w:space="0" w:color="auto"/>
            </w:tcBorders>
            <w:shd w:val="clear" w:color="auto" w:fill="auto"/>
            <w:vAlign w:val="center"/>
          </w:tcPr>
          <w:p w:rsidR="00FC18C0" w:rsidRPr="008D1AF1" w:rsidRDefault="00FC18C0" w:rsidP="00FC18C0">
            <w:pPr>
              <w:pStyle w:val="TableText0"/>
            </w:pPr>
            <w:r w:rsidRPr="008D1AF1">
              <w:rPr>
                <w:rFonts w:cs="Calibri"/>
                <w:iCs/>
                <w:szCs w:val="20"/>
              </w:rPr>
              <w:t>2.20 (unanchored MAIC, unweighted)</w:t>
            </w:r>
            <w:r w:rsidRPr="008D1AF1">
              <w:rPr>
                <w:rFonts w:cs="Calibri"/>
                <w:iCs/>
                <w:szCs w:val="20"/>
                <w:vertAlign w:val="superscript"/>
              </w:rPr>
              <w:t>b</w:t>
            </w:r>
          </w:p>
        </w:tc>
        <w:tc>
          <w:tcPr>
            <w:tcW w:w="707" w:type="pct"/>
            <w:tcBorders>
              <w:left w:val="single" w:sz="4" w:space="0" w:color="auto"/>
              <w:right w:val="single" w:sz="4" w:space="0" w:color="auto"/>
            </w:tcBorders>
            <w:shd w:val="clear" w:color="auto" w:fill="auto"/>
            <w:vAlign w:val="bottom"/>
          </w:tcPr>
          <w:p w:rsidR="00FC18C0" w:rsidRPr="008D1AF1" w:rsidRDefault="00FC18C0" w:rsidP="00FC18C0">
            <w:pPr>
              <w:pStyle w:val="TableText0"/>
              <w:jc w:val="center"/>
              <w:rPr>
                <w:rFonts w:cs="Calibri"/>
                <w:iCs/>
                <w:color w:val="000000"/>
                <w:szCs w:val="20"/>
              </w:rPr>
            </w:pPr>
            <w:r w:rsidRPr="008D1AF1">
              <w:rPr>
                <w:rFonts w:cs="Calibri"/>
                <w:iCs/>
                <w:color w:val="000000"/>
                <w:szCs w:val="20"/>
              </w:rPr>
              <w:t>$</w:t>
            </w:r>
            <w:r w:rsidR="005E31C0">
              <w:rPr>
                <w:rFonts w:cs="Calibri"/>
                <w:iCs/>
                <w:noProof/>
                <w:color w:val="000000"/>
                <w:szCs w:val="20"/>
                <w:highlight w:val="black"/>
              </w:rPr>
              <w:t>''''''''''''''''</w:t>
            </w:r>
          </w:p>
        </w:tc>
        <w:tc>
          <w:tcPr>
            <w:tcW w:w="786" w:type="pct"/>
            <w:tcBorders>
              <w:left w:val="nil"/>
              <w:right w:val="single" w:sz="4" w:space="0" w:color="auto"/>
            </w:tcBorders>
            <w:shd w:val="clear" w:color="auto" w:fill="auto"/>
            <w:vAlign w:val="bottom"/>
          </w:tcPr>
          <w:p w:rsidR="00FC18C0" w:rsidRPr="00AB529A" w:rsidRDefault="00FC18C0" w:rsidP="00FC18C0">
            <w:pPr>
              <w:pStyle w:val="TableText0"/>
              <w:jc w:val="center"/>
              <w:rPr>
                <w:rFonts w:cs="Calibri"/>
                <w:color w:val="000000"/>
                <w:szCs w:val="20"/>
              </w:rPr>
            </w:pPr>
            <w:r w:rsidRPr="00AB529A">
              <w:rPr>
                <w:rFonts w:cs="Calibri"/>
                <w:iCs/>
                <w:color w:val="000000"/>
                <w:szCs w:val="20"/>
              </w:rPr>
              <w:t>0.93</w:t>
            </w:r>
          </w:p>
        </w:tc>
        <w:tc>
          <w:tcPr>
            <w:tcW w:w="523" w:type="pct"/>
            <w:tcBorders>
              <w:left w:val="nil"/>
              <w:right w:val="single" w:sz="4" w:space="0" w:color="auto"/>
            </w:tcBorders>
            <w:shd w:val="clear" w:color="auto" w:fill="auto"/>
            <w:vAlign w:val="bottom"/>
          </w:tcPr>
          <w:p w:rsidR="00FC18C0" w:rsidRPr="008D1AF1" w:rsidRDefault="00FC18C0" w:rsidP="00FC18C0">
            <w:pPr>
              <w:pStyle w:val="TableText0"/>
              <w:jc w:val="center"/>
              <w:rPr>
                <w:rFonts w:cs="Calibri"/>
                <w:iCs/>
                <w:szCs w:val="20"/>
              </w:rPr>
            </w:pPr>
            <w:r w:rsidRPr="008D1AF1">
              <w:rPr>
                <w:rFonts w:cs="Calibri"/>
                <w:iCs/>
                <w:color w:val="000000"/>
                <w:szCs w:val="20"/>
              </w:rPr>
              <w:t>$</w:t>
            </w:r>
            <w:r w:rsidR="005E31C0">
              <w:rPr>
                <w:rFonts w:cs="Calibri"/>
                <w:iCs/>
                <w:noProof/>
                <w:color w:val="000000"/>
                <w:szCs w:val="20"/>
                <w:highlight w:val="black"/>
              </w:rPr>
              <w:t>''''''''''''''''</w:t>
            </w:r>
          </w:p>
        </w:tc>
      </w:tr>
      <w:tr w:rsidR="00FC18C0" w:rsidRPr="008D1AF1" w:rsidTr="00384F99">
        <w:trPr>
          <w:cantSplit/>
          <w:trHeight w:val="283"/>
        </w:trPr>
        <w:tc>
          <w:tcPr>
            <w:tcW w:w="2984" w:type="pct"/>
            <w:vAlign w:val="center"/>
          </w:tcPr>
          <w:p w:rsidR="00FC18C0" w:rsidRPr="008D1AF1" w:rsidRDefault="00FC18C0" w:rsidP="00FC18C0">
            <w:pPr>
              <w:pStyle w:val="TableText0"/>
            </w:pPr>
            <w:r w:rsidRPr="008D1AF1">
              <w:t>1.19 (Effectiveness Analysis 1</w:t>
            </w:r>
            <w:r w:rsidR="00384F99" w:rsidRPr="008D1AF1">
              <w:t>, multiple-stepwise indirect comparison</w:t>
            </w:r>
            <w:r w:rsidRPr="008D1AF1">
              <w:t>)</w:t>
            </w:r>
            <w:r w:rsidRPr="008D1AF1">
              <w:rPr>
                <w:vertAlign w:val="superscript"/>
              </w:rPr>
              <w:t>c</w:t>
            </w:r>
          </w:p>
        </w:tc>
        <w:tc>
          <w:tcPr>
            <w:tcW w:w="707" w:type="pct"/>
            <w:tcBorders>
              <w:top w:val="nil"/>
              <w:left w:val="nil"/>
              <w:bottom w:val="single" w:sz="4" w:space="0" w:color="auto"/>
              <w:right w:val="single" w:sz="4" w:space="0" w:color="auto"/>
            </w:tcBorders>
            <w:shd w:val="clear" w:color="auto" w:fill="auto"/>
            <w:vAlign w:val="bottom"/>
          </w:tcPr>
          <w:p w:rsidR="00FC18C0" w:rsidRPr="008D1AF1" w:rsidRDefault="00FC18C0" w:rsidP="00FC18C0">
            <w:pPr>
              <w:pStyle w:val="TableText0"/>
              <w:jc w:val="center"/>
              <w:rPr>
                <w:rFonts w:cs="Calibri"/>
                <w:iCs/>
                <w:color w:val="000000"/>
                <w:szCs w:val="20"/>
              </w:rPr>
            </w:pPr>
            <w:r w:rsidRPr="008D1AF1">
              <w:rPr>
                <w:rFonts w:cs="Calibri"/>
                <w:iCs/>
                <w:color w:val="000000"/>
                <w:szCs w:val="20"/>
              </w:rPr>
              <w:t>$</w:t>
            </w:r>
            <w:r w:rsidR="005E31C0">
              <w:rPr>
                <w:rFonts w:cs="Calibri"/>
                <w:iCs/>
                <w:noProof/>
                <w:color w:val="000000"/>
                <w:szCs w:val="20"/>
                <w:highlight w:val="black"/>
              </w:rPr>
              <w:t>''''''''''''''''</w:t>
            </w:r>
          </w:p>
        </w:tc>
        <w:tc>
          <w:tcPr>
            <w:tcW w:w="786" w:type="pct"/>
            <w:tcBorders>
              <w:top w:val="nil"/>
              <w:left w:val="nil"/>
              <w:bottom w:val="single" w:sz="4" w:space="0" w:color="auto"/>
              <w:right w:val="single" w:sz="4" w:space="0" w:color="auto"/>
            </w:tcBorders>
            <w:shd w:val="clear" w:color="auto" w:fill="auto"/>
            <w:vAlign w:val="bottom"/>
          </w:tcPr>
          <w:p w:rsidR="00FC18C0" w:rsidRPr="00AB529A" w:rsidRDefault="00FC18C0" w:rsidP="00FC18C0">
            <w:pPr>
              <w:pStyle w:val="TableText0"/>
              <w:jc w:val="center"/>
              <w:rPr>
                <w:rFonts w:cs="Calibri"/>
                <w:color w:val="000000"/>
                <w:szCs w:val="20"/>
              </w:rPr>
            </w:pPr>
            <w:r w:rsidRPr="00AB529A">
              <w:rPr>
                <w:rFonts w:cs="Calibri"/>
                <w:iCs/>
                <w:color w:val="000000"/>
                <w:szCs w:val="20"/>
              </w:rPr>
              <w:t>0.72</w:t>
            </w:r>
          </w:p>
        </w:tc>
        <w:tc>
          <w:tcPr>
            <w:tcW w:w="523" w:type="pct"/>
            <w:tcBorders>
              <w:top w:val="nil"/>
              <w:left w:val="nil"/>
              <w:bottom w:val="single" w:sz="4" w:space="0" w:color="auto"/>
              <w:right w:val="single" w:sz="4" w:space="0" w:color="auto"/>
            </w:tcBorders>
            <w:shd w:val="clear" w:color="auto" w:fill="auto"/>
            <w:vAlign w:val="bottom"/>
          </w:tcPr>
          <w:p w:rsidR="00FC18C0" w:rsidRPr="008D1AF1" w:rsidRDefault="00FC18C0" w:rsidP="00FC18C0">
            <w:pPr>
              <w:pStyle w:val="TableText0"/>
              <w:jc w:val="center"/>
              <w:rPr>
                <w:rFonts w:cs="Calibri"/>
                <w:iCs/>
                <w:szCs w:val="20"/>
              </w:rPr>
            </w:pPr>
            <w:r w:rsidRPr="008D1AF1">
              <w:rPr>
                <w:rFonts w:cs="Calibri"/>
                <w:iCs/>
                <w:color w:val="000000"/>
                <w:szCs w:val="20"/>
              </w:rPr>
              <w:t>$</w:t>
            </w:r>
            <w:r w:rsidR="005E31C0">
              <w:rPr>
                <w:rFonts w:cs="Calibri"/>
                <w:iCs/>
                <w:noProof/>
                <w:color w:val="000000"/>
                <w:szCs w:val="20"/>
                <w:highlight w:val="black"/>
              </w:rPr>
              <w:t>'''''''''''''''</w:t>
            </w:r>
          </w:p>
        </w:tc>
      </w:tr>
      <w:tr w:rsidR="00FC18C0" w:rsidRPr="008D1AF1" w:rsidTr="00AC2BC0">
        <w:trPr>
          <w:cantSplit/>
          <w:trHeight w:val="283"/>
        </w:trPr>
        <w:tc>
          <w:tcPr>
            <w:tcW w:w="5000" w:type="pct"/>
            <w:gridSpan w:val="4"/>
            <w:tcBorders>
              <w:right w:val="single" w:sz="4" w:space="0" w:color="auto"/>
            </w:tcBorders>
            <w:vAlign w:val="center"/>
          </w:tcPr>
          <w:p w:rsidR="00FC18C0" w:rsidRPr="00AB529A" w:rsidRDefault="00FC18C0" w:rsidP="00FC18C0">
            <w:pPr>
              <w:pStyle w:val="TableText0"/>
              <w:rPr>
                <w:rFonts w:cs="Calibri"/>
                <w:iCs/>
                <w:szCs w:val="20"/>
              </w:rPr>
            </w:pPr>
            <w:r w:rsidRPr="00AB529A">
              <w:rPr>
                <w:rFonts w:cs="Calibri"/>
                <w:iCs/>
                <w:szCs w:val="20"/>
              </w:rPr>
              <w:t>Hazard ratio OS (base case 1.78)</w:t>
            </w:r>
          </w:p>
        </w:tc>
      </w:tr>
      <w:tr w:rsidR="00FC18C0" w:rsidRPr="008D1AF1" w:rsidTr="00384F99">
        <w:trPr>
          <w:cantSplit/>
          <w:trHeight w:val="283"/>
        </w:trPr>
        <w:tc>
          <w:tcPr>
            <w:tcW w:w="2984" w:type="pct"/>
            <w:tcBorders>
              <w:left w:val="single" w:sz="4" w:space="0" w:color="auto"/>
              <w:right w:val="single" w:sz="4" w:space="0" w:color="auto"/>
            </w:tcBorders>
            <w:shd w:val="clear" w:color="auto" w:fill="auto"/>
            <w:vAlign w:val="center"/>
          </w:tcPr>
          <w:p w:rsidR="00FC18C0" w:rsidRPr="008D1AF1" w:rsidRDefault="00FC18C0" w:rsidP="00FC18C0">
            <w:pPr>
              <w:pStyle w:val="TableText0"/>
            </w:pPr>
            <w:r w:rsidRPr="008D1AF1">
              <w:rPr>
                <w:rFonts w:cs="Calibri"/>
                <w:iCs/>
                <w:szCs w:val="20"/>
              </w:rPr>
              <w:t>1.67 (unanchored MAIC, unweighted)</w:t>
            </w:r>
            <w:r w:rsidRPr="008D1AF1">
              <w:rPr>
                <w:rFonts w:cs="Calibri"/>
                <w:iCs/>
                <w:szCs w:val="20"/>
                <w:vertAlign w:val="superscript"/>
              </w:rPr>
              <w:t>d</w:t>
            </w:r>
          </w:p>
        </w:tc>
        <w:tc>
          <w:tcPr>
            <w:tcW w:w="707" w:type="pct"/>
            <w:tcBorders>
              <w:left w:val="single" w:sz="4" w:space="0" w:color="auto"/>
              <w:right w:val="single" w:sz="4" w:space="0" w:color="auto"/>
            </w:tcBorders>
            <w:shd w:val="clear" w:color="auto" w:fill="auto"/>
            <w:vAlign w:val="bottom"/>
          </w:tcPr>
          <w:p w:rsidR="00FC18C0" w:rsidRPr="008D1AF1" w:rsidRDefault="00FC18C0" w:rsidP="00FC18C0">
            <w:pPr>
              <w:pStyle w:val="TableText0"/>
              <w:jc w:val="center"/>
              <w:rPr>
                <w:rFonts w:cs="Calibri"/>
                <w:iCs/>
                <w:color w:val="000000"/>
                <w:szCs w:val="20"/>
              </w:rPr>
            </w:pPr>
            <w:r w:rsidRPr="008D1AF1">
              <w:rPr>
                <w:rFonts w:cs="Calibri"/>
                <w:iCs/>
                <w:color w:val="000000"/>
                <w:szCs w:val="20"/>
              </w:rPr>
              <w:t>$</w:t>
            </w:r>
            <w:r w:rsidR="005E31C0">
              <w:rPr>
                <w:rFonts w:cs="Calibri"/>
                <w:iCs/>
                <w:noProof/>
                <w:color w:val="000000"/>
                <w:szCs w:val="20"/>
                <w:highlight w:val="black"/>
              </w:rPr>
              <w:t>''''''''''''''''</w:t>
            </w:r>
          </w:p>
        </w:tc>
        <w:tc>
          <w:tcPr>
            <w:tcW w:w="786" w:type="pct"/>
            <w:tcBorders>
              <w:left w:val="nil"/>
              <w:right w:val="single" w:sz="4" w:space="0" w:color="auto"/>
            </w:tcBorders>
            <w:shd w:val="clear" w:color="auto" w:fill="auto"/>
            <w:vAlign w:val="bottom"/>
          </w:tcPr>
          <w:p w:rsidR="00FC18C0" w:rsidRPr="00AB529A" w:rsidRDefault="00FC18C0" w:rsidP="00FC18C0">
            <w:pPr>
              <w:pStyle w:val="TableText0"/>
              <w:jc w:val="center"/>
              <w:rPr>
                <w:rFonts w:cs="Calibri"/>
                <w:color w:val="000000"/>
                <w:szCs w:val="20"/>
              </w:rPr>
            </w:pPr>
            <w:r w:rsidRPr="00AB529A">
              <w:rPr>
                <w:rFonts w:cs="Calibri"/>
                <w:iCs/>
                <w:color w:val="000000"/>
                <w:szCs w:val="20"/>
              </w:rPr>
              <w:t>0.89</w:t>
            </w:r>
          </w:p>
        </w:tc>
        <w:tc>
          <w:tcPr>
            <w:tcW w:w="523" w:type="pct"/>
            <w:tcBorders>
              <w:left w:val="nil"/>
              <w:right w:val="single" w:sz="4" w:space="0" w:color="auto"/>
            </w:tcBorders>
            <w:shd w:val="clear" w:color="auto" w:fill="auto"/>
            <w:vAlign w:val="bottom"/>
          </w:tcPr>
          <w:p w:rsidR="00FC18C0" w:rsidRPr="008D1AF1" w:rsidRDefault="00FC18C0" w:rsidP="00FC18C0">
            <w:pPr>
              <w:pStyle w:val="TableText0"/>
              <w:jc w:val="center"/>
              <w:rPr>
                <w:rFonts w:cs="Calibri"/>
                <w:iCs/>
                <w:szCs w:val="20"/>
              </w:rPr>
            </w:pPr>
            <w:r w:rsidRPr="008D1AF1">
              <w:rPr>
                <w:rFonts w:cs="Calibri"/>
                <w:iCs/>
                <w:color w:val="000000"/>
                <w:szCs w:val="20"/>
              </w:rPr>
              <w:t>$</w:t>
            </w:r>
            <w:r w:rsidR="005E31C0">
              <w:rPr>
                <w:rFonts w:cs="Calibri"/>
                <w:iCs/>
                <w:noProof/>
                <w:color w:val="000000"/>
                <w:szCs w:val="20"/>
                <w:highlight w:val="black"/>
              </w:rPr>
              <w:t>'''''''''''''''</w:t>
            </w:r>
          </w:p>
        </w:tc>
      </w:tr>
      <w:tr w:rsidR="00FC18C0" w:rsidRPr="008D1AF1" w:rsidTr="00384F99">
        <w:trPr>
          <w:cantSplit/>
          <w:trHeight w:val="283"/>
        </w:trPr>
        <w:tc>
          <w:tcPr>
            <w:tcW w:w="2984" w:type="pct"/>
            <w:vAlign w:val="center"/>
          </w:tcPr>
          <w:p w:rsidR="00FC18C0" w:rsidRPr="008D1AF1" w:rsidRDefault="00FC18C0" w:rsidP="00FC18C0">
            <w:pPr>
              <w:pStyle w:val="TableText0"/>
            </w:pPr>
            <w:r w:rsidRPr="008D1AF1">
              <w:t>1.20 (Effectiveness Analysis 1</w:t>
            </w:r>
            <w:r w:rsidR="00384F99" w:rsidRPr="008D1AF1">
              <w:t>, multiple-stepwise indirect comparison</w:t>
            </w:r>
            <w:r w:rsidRPr="008D1AF1">
              <w:t>)</w:t>
            </w:r>
            <w:r w:rsidRPr="008D1AF1">
              <w:rPr>
                <w:vertAlign w:val="superscript"/>
              </w:rPr>
              <w:t>e</w:t>
            </w:r>
          </w:p>
        </w:tc>
        <w:tc>
          <w:tcPr>
            <w:tcW w:w="707" w:type="pct"/>
            <w:tcBorders>
              <w:top w:val="nil"/>
              <w:left w:val="nil"/>
              <w:bottom w:val="single" w:sz="4" w:space="0" w:color="auto"/>
              <w:right w:val="single" w:sz="4" w:space="0" w:color="auto"/>
            </w:tcBorders>
            <w:shd w:val="clear" w:color="auto" w:fill="auto"/>
            <w:vAlign w:val="bottom"/>
          </w:tcPr>
          <w:p w:rsidR="00FC18C0" w:rsidRPr="008D1AF1" w:rsidRDefault="00FC18C0" w:rsidP="00FC18C0">
            <w:pPr>
              <w:pStyle w:val="TableText0"/>
              <w:jc w:val="center"/>
              <w:rPr>
                <w:rFonts w:cs="Calibri"/>
                <w:iCs/>
                <w:color w:val="000000"/>
                <w:szCs w:val="20"/>
              </w:rPr>
            </w:pPr>
            <w:r w:rsidRPr="008D1AF1">
              <w:rPr>
                <w:rFonts w:cs="Calibri"/>
                <w:iCs/>
                <w:color w:val="000000"/>
                <w:szCs w:val="20"/>
              </w:rPr>
              <w:t>$</w:t>
            </w:r>
            <w:r w:rsidR="005E31C0">
              <w:rPr>
                <w:rFonts w:cs="Calibri"/>
                <w:iCs/>
                <w:noProof/>
                <w:color w:val="000000"/>
                <w:szCs w:val="20"/>
                <w:highlight w:val="black"/>
              </w:rPr>
              <w:t>''''''''''''''''''</w:t>
            </w:r>
          </w:p>
        </w:tc>
        <w:tc>
          <w:tcPr>
            <w:tcW w:w="786" w:type="pct"/>
            <w:tcBorders>
              <w:top w:val="nil"/>
              <w:left w:val="nil"/>
              <w:bottom w:val="single" w:sz="4" w:space="0" w:color="auto"/>
              <w:right w:val="single" w:sz="4" w:space="0" w:color="auto"/>
            </w:tcBorders>
            <w:shd w:val="clear" w:color="auto" w:fill="auto"/>
            <w:vAlign w:val="bottom"/>
          </w:tcPr>
          <w:p w:rsidR="00FC18C0" w:rsidRPr="00AB529A" w:rsidRDefault="00FC18C0" w:rsidP="00FC18C0">
            <w:pPr>
              <w:pStyle w:val="TableText0"/>
              <w:jc w:val="center"/>
              <w:rPr>
                <w:rFonts w:cs="Calibri"/>
                <w:iCs/>
                <w:color w:val="000000"/>
                <w:szCs w:val="20"/>
              </w:rPr>
            </w:pPr>
            <w:r w:rsidRPr="00AB529A">
              <w:rPr>
                <w:rFonts w:cs="Calibri"/>
                <w:iCs/>
                <w:color w:val="000000"/>
                <w:szCs w:val="20"/>
              </w:rPr>
              <w:t>0.52</w:t>
            </w:r>
          </w:p>
        </w:tc>
        <w:tc>
          <w:tcPr>
            <w:tcW w:w="523" w:type="pct"/>
            <w:tcBorders>
              <w:top w:val="nil"/>
              <w:left w:val="nil"/>
              <w:bottom w:val="single" w:sz="4" w:space="0" w:color="auto"/>
              <w:right w:val="single" w:sz="4" w:space="0" w:color="auto"/>
            </w:tcBorders>
            <w:shd w:val="clear" w:color="auto" w:fill="auto"/>
            <w:vAlign w:val="bottom"/>
          </w:tcPr>
          <w:p w:rsidR="00FC18C0" w:rsidRPr="008D1AF1" w:rsidRDefault="00FC18C0" w:rsidP="00FC18C0">
            <w:pPr>
              <w:pStyle w:val="TableText0"/>
              <w:jc w:val="center"/>
              <w:rPr>
                <w:rFonts w:cs="Calibri"/>
                <w:iCs/>
                <w:szCs w:val="20"/>
              </w:rPr>
            </w:pPr>
            <w:r w:rsidRPr="008D1AF1">
              <w:rPr>
                <w:rFonts w:cs="Calibri"/>
                <w:iCs/>
                <w:color w:val="000000"/>
                <w:szCs w:val="20"/>
              </w:rPr>
              <w:t>$</w:t>
            </w:r>
            <w:r w:rsidR="005E31C0">
              <w:rPr>
                <w:rFonts w:cs="Calibri"/>
                <w:iCs/>
                <w:noProof/>
                <w:color w:val="000000"/>
                <w:szCs w:val="20"/>
                <w:highlight w:val="black"/>
              </w:rPr>
              <w:t>''''''''''''''''''</w:t>
            </w:r>
          </w:p>
        </w:tc>
      </w:tr>
      <w:tr w:rsidR="00FC18C0" w:rsidRPr="008D1AF1" w:rsidTr="00F651F3">
        <w:trPr>
          <w:cantSplit/>
          <w:trHeight w:val="283"/>
        </w:trPr>
        <w:tc>
          <w:tcPr>
            <w:tcW w:w="5000" w:type="pct"/>
            <w:gridSpan w:val="4"/>
            <w:vAlign w:val="center"/>
          </w:tcPr>
          <w:p w:rsidR="00FC18C0" w:rsidRPr="00AB529A" w:rsidRDefault="00FC18C0" w:rsidP="00FC18C0">
            <w:pPr>
              <w:pStyle w:val="TableText0"/>
              <w:rPr>
                <w:rFonts w:eastAsia="Calibri"/>
                <w:b/>
                <w:szCs w:val="20"/>
              </w:rPr>
            </w:pPr>
            <w:r w:rsidRPr="00AB529A">
              <w:rPr>
                <w:rFonts w:eastAsia="Calibri"/>
                <w:b/>
                <w:szCs w:val="20"/>
              </w:rPr>
              <w:t>Multivariate analyses</w:t>
            </w:r>
          </w:p>
        </w:tc>
      </w:tr>
      <w:tr w:rsidR="00FC18C0" w:rsidRPr="008D1AF1" w:rsidTr="00384F99">
        <w:trPr>
          <w:cantSplit/>
          <w:trHeight w:val="283"/>
        </w:trPr>
        <w:tc>
          <w:tcPr>
            <w:tcW w:w="2984" w:type="pct"/>
            <w:tcBorders>
              <w:top w:val="nil"/>
              <w:left w:val="single" w:sz="4" w:space="0" w:color="auto"/>
              <w:bottom w:val="single" w:sz="4" w:space="0" w:color="auto"/>
              <w:right w:val="single" w:sz="4" w:space="0" w:color="auto"/>
            </w:tcBorders>
            <w:shd w:val="clear" w:color="auto" w:fill="auto"/>
            <w:vAlign w:val="center"/>
          </w:tcPr>
          <w:p w:rsidR="00FC18C0" w:rsidRPr="008D1AF1" w:rsidRDefault="00FC18C0" w:rsidP="00FC18C0">
            <w:pPr>
              <w:pStyle w:val="TableText0"/>
            </w:pPr>
            <w:r w:rsidRPr="008D1AF1">
              <w:rPr>
                <w:rFonts w:cs="Calibri"/>
                <w:iCs/>
                <w:szCs w:val="20"/>
              </w:rPr>
              <w:t>Hazard ratio PFS and OS from unanchored MAIC, unweighted</w:t>
            </w:r>
            <w:r w:rsidRPr="008D1AF1">
              <w:rPr>
                <w:rFonts w:cs="Calibri"/>
                <w:iCs/>
                <w:szCs w:val="20"/>
                <w:vertAlign w:val="superscript"/>
              </w:rPr>
              <w:t>b,d</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rsidR="00FC18C0" w:rsidRPr="008D1AF1" w:rsidRDefault="00FC18C0" w:rsidP="00FC18C0">
            <w:pPr>
              <w:pStyle w:val="TableText0"/>
              <w:jc w:val="center"/>
              <w:rPr>
                <w:rFonts w:eastAsia="Calibri"/>
                <w:szCs w:val="20"/>
              </w:rPr>
            </w:pPr>
            <w:r w:rsidRPr="008D1AF1">
              <w:rPr>
                <w:rFonts w:cs="Calibri"/>
                <w:iCs/>
                <w:color w:val="000000"/>
                <w:szCs w:val="20"/>
              </w:rPr>
              <w:t>$</w:t>
            </w:r>
            <w:r w:rsidR="005E31C0">
              <w:rPr>
                <w:rFonts w:cs="Calibri"/>
                <w:iCs/>
                <w:noProof/>
                <w:color w:val="000000"/>
                <w:szCs w:val="20"/>
                <w:highlight w:val="black"/>
              </w:rPr>
              <w:t>''''''''''''''''''</w:t>
            </w:r>
          </w:p>
        </w:tc>
        <w:tc>
          <w:tcPr>
            <w:tcW w:w="786" w:type="pct"/>
            <w:tcBorders>
              <w:top w:val="single" w:sz="4" w:space="0" w:color="auto"/>
              <w:left w:val="nil"/>
              <w:bottom w:val="single" w:sz="4" w:space="0" w:color="auto"/>
              <w:right w:val="single" w:sz="4" w:space="0" w:color="auto"/>
            </w:tcBorders>
            <w:shd w:val="clear" w:color="auto" w:fill="auto"/>
            <w:vAlign w:val="center"/>
          </w:tcPr>
          <w:p w:rsidR="00FC18C0" w:rsidRPr="00AB529A" w:rsidRDefault="00FC18C0" w:rsidP="00FC18C0">
            <w:pPr>
              <w:pStyle w:val="TableText0"/>
              <w:jc w:val="center"/>
              <w:rPr>
                <w:rFonts w:eastAsia="Calibri"/>
                <w:szCs w:val="20"/>
              </w:rPr>
            </w:pPr>
            <w:r w:rsidRPr="00AB529A">
              <w:rPr>
                <w:rFonts w:cs="Calibri"/>
                <w:iCs/>
                <w:color w:val="000000"/>
                <w:szCs w:val="20"/>
              </w:rPr>
              <w:t>0.86</w:t>
            </w:r>
          </w:p>
        </w:tc>
        <w:tc>
          <w:tcPr>
            <w:tcW w:w="523" w:type="pct"/>
            <w:tcBorders>
              <w:top w:val="single" w:sz="4" w:space="0" w:color="auto"/>
              <w:left w:val="nil"/>
              <w:bottom w:val="single" w:sz="4" w:space="0" w:color="auto"/>
              <w:right w:val="single" w:sz="4" w:space="0" w:color="auto"/>
            </w:tcBorders>
            <w:shd w:val="clear" w:color="auto" w:fill="auto"/>
            <w:vAlign w:val="center"/>
          </w:tcPr>
          <w:p w:rsidR="00FC18C0" w:rsidRPr="008D1AF1" w:rsidRDefault="00FC18C0" w:rsidP="00FC18C0">
            <w:pPr>
              <w:pStyle w:val="TableText0"/>
              <w:jc w:val="center"/>
              <w:rPr>
                <w:rFonts w:eastAsia="Calibri"/>
                <w:szCs w:val="20"/>
              </w:rPr>
            </w:pPr>
            <w:r w:rsidRPr="008D1AF1">
              <w:rPr>
                <w:rFonts w:cs="Calibri"/>
                <w:iCs/>
                <w:color w:val="000000"/>
                <w:szCs w:val="20"/>
              </w:rPr>
              <w:t>$</w:t>
            </w:r>
            <w:r w:rsidR="005E31C0">
              <w:rPr>
                <w:rFonts w:cs="Calibri"/>
                <w:iCs/>
                <w:noProof/>
                <w:color w:val="000000"/>
                <w:szCs w:val="20"/>
                <w:highlight w:val="black"/>
              </w:rPr>
              <w:t>'''''''''''''''</w:t>
            </w:r>
          </w:p>
        </w:tc>
      </w:tr>
      <w:tr w:rsidR="00FC18C0" w:rsidRPr="008D1AF1" w:rsidTr="00384F99">
        <w:trPr>
          <w:cantSplit/>
          <w:trHeight w:val="283"/>
        </w:trPr>
        <w:tc>
          <w:tcPr>
            <w:tcW w:w="2984" w:type="pct"/>
            <w:tcBorders>
              <w:top w:val="nil"/>
              <w:left w:val="single" w:sz="4" w:space="0" w:color="auto"/>
              <w:bottom w:val="single" w:sz="4" w:space="0" w:color="auto"/>
              <w:right w:val="single" w:sz="4" w:space="0" w:color="auto"/>
            </w:tcBorders>
            <w:shd w:val="clear" w:color="auto" w:fill="auto"/>
            <w:vAlign w:val="center"/>
          </w:tcPr>
          <w:p w:rsidR="00FC18C0" w:rsidRPr="008D1AF1" w:rsidRDefault="00FC18C0" w:rsidP="00FC18C0">
            <w:pPr>
              <w:pStyle w:val="TableText0"/>
              <w:rPr>
                <w:rFonts w:cs="Calibri"/>
                <w:iCs/>
                <w:color w:val="000000"/>
                <w:szCs w:val="20"/>
              </w:rPr>
            </w:pPr>
            <w:r w:rsidRPr="008D1AF1">
              <w:rPr>
                <w:rFonts w:cs="Calibri"/>
                <w:iCs/>
                <w:color w:val="000000"/>
                <w:szCs w:val="20"/>
              </w:rPr>
              <w:t>PFS and OS hazard ratios from Effectiveness Analysis 1</w:t>
            </w:r>
            <w:r w:rsidR="00384F99" w:rsidRPr="008D1AF1">
              <w:rPr>
                <w:rFonts w:cs="Calibri"/>
                <w:iCs/>
                <w:color w:val="000000"/>
                <w:szCs w:val="20"/>
              </w:rPr>
              <w:t xml:space="preserve">, </w:t>
            </w:r>
            <w:r w:rsidR="00384F99" w:rsidRPr="008D1AF1">
              <w:t xml:space="preserve">multiple-stepwise indirect comparison </w:t>
            </w:r>
            <w:r w:rsidRPr="008D1AF1">
              <w:rPr>
                <w:rFonts w:cs="Calibri"/>
                <w:iCs/>
                <w:color w:val="000000"/>
                <w:szCs w:val="20"/>
                <w:vertAlign w:val="superscript"/>
              </w:rPr>
              <w:t>c,e</w:t>
            </w:r>
          </w:p>
        </w:tc>
        <w:tc>
          <w:tcPr>
            <w:tcW w:w="707" w:type="pct"/>
            <w:tcBorders>
              <w:top w:val="nil"/>
              <w:left w:val="nil"/>
              <w:bottom w:val="single" w:sz="4" w:space="0" w:color="auto"/>
              <w:right w:val="single" w:sz="4" w:space="0" w:color="auto"/>
            </w:tcBorders>
            <w:shd w:val="clear" w:color="auto" w:fill="auto"/>
            <w:vAlign w:val="center"/>
          </w:tcPr>
          <w:p w:rsidR="00FC18C0" w:rsidRPr="008D1AF1" w:rsidRDefault="00FC18C0" w:rsidP="00FC18C0">
            <w:pPr>
              <w:pStyle w:val="TableText0"/>
              <w:jc w:val="center"/>
              <w:rPr>
                <w:rFonts w:cs="Calibri"/>
                <w:iCs/>
                <w:color w:val="000000"/>
                <w:szCs w:val="20"/>
              </w:rPr>
            </w:pPr>
            <w:r w:rsidRPr="008D1AF1">
              <w:rPr>
                <w:rFonts w:cs="Calibri"/>
                <w:iCs/>
                <w:color w:val="000000"/>
                <w:szCs w:val="20"/>
              </w:rPr>
              <w:t>$</w:t>
            </w:r>
            <w:r w:rsidR="005E31C0">
              <w:rPr>
                <w:rFonts w:cs="Calibri"/>
                <w:iCs/>
                <w:noProof/>
                <w:color w:val="000000"/>
                <w:szCs w:val="20"/>
                <w:highlight w:val="black"/>
              </w:rPr>
              <w:t>''''''''''''''''</w:t>
            </w:r>
          </w:p>
        </w:tc>
        <w:tc>
          <w:tcPr>
            <w:tcW w:w="786" w:type="pct"/>
            <w:tcBorders>
              <w:top w:val="nil"/>
              <w:left w:val="nil"/>
              <w:bottom w:val="single" w:sz="4" w:space="0" w:color="auto"/>
              <w:right w:val="single" w:sz="4" w:space="0" w:color="auto"/>
            </w:tcBorders>
            <w:shd w:val="clear" w:color="auto" w:fill="auto"/>
            <w:vAlign w:val="center"/>
          </w:tcPr>
          <w:p w:rsidR="00FC18C0" w:rsidRPr="00AB529A" w:rsidRDefault="00FC18C0" w:rsidP="00FC18C0">
            <w:pPr>
              <w:pStyle w:val="TableText0"/>
              <w:jc w:val="center"/>
              <w:rPr>
                <w:rFonts w:cs="Calibri"/>
                <w:iCs/>
                <w:color w:val="000000"/>
                <w:szCs w:val="20"/>
              </w:rPr>
            </w:pPr>
            <w:r w:rsidRPr="00AB529A">
              <w:rPr>
                <w:rFonts w:cs="Calibri"/>
                <w:iCs/>
                <w:color w:val="000000"/>
                <w:szCs w:val="20"/>
              </w:rPr>
              <w:t>0.28</w:t>
            </w:r>
          </w:p>
        </w:tc>
        <w:tc>
          <w:tcPr>
            <w:tcW w:w="523" w:type="pct"/>
            <w:tcBorders>
              <w:top w:val="nil"/>
              <w:left w:val="nil"/>
              <w:bottom w:val="single" w:sz="4" w:space="0" w:color="auto"/>
              <w:right w:val="single" w:sz="4" w:space="0" w:color="auto"/>
            </w:tcBorders>
            <w:shd w:val="clear" w:color="auto" w:fill="auto"/>
            <w:vAlign w:val="center"/>
          </w:tcPr>
          <w:p w:rsidR="00FC18C0" w:rsidRPr="008D1AF1" w:rsidRDefault="00FC18C0" w:rsidP="00FC18C0">
            <w:pPr>
              <w:pStyle w:val="TableText0"/>
              <w:jc w:val="center"/>
              <w:rPr>
                <w:rFonts w:cs="Calibri"/>
                <w:iCs/>
                <w:szCs w:val="20"/>
              </w:rPr>
            </w:pPr>
            <w:r w:rsidRPr="008D1AF1">
              <w:rPr>
                <w:rFonts w:cs="Calibri"/>
                <w:iCs/>
                <w:color w:val="000000"/>
                <w:szCs w:val="20"/>
              </w:rPr>
              <w:t>$</w:t>
            </w:r>
            <w:r w:rsidR="005E31C0">
              <w:rPr>
                <w:rFonts w:cs="Calibri"/>
                <w:iCs/>
                <w:noProof/>
                <w:color w:val="000000"/>
                <w:szCs w:val="20"/>
                <w:highlight w:val="black"/>
              </w:rPr>
              <w:t>'''''''''''''''''''''</w:t>
            </w:r>
          </w:p>
        </w:tc>
      </w:tr>
    </w:tbl>
    <w:p w:rsidR="00F651F3" w:rsidRPr="003A6106" w:rsidRDefault="00F651F3" w:rsidP="00F651F3">
      <w:pPr>
        <w:pStyle w:val="TableFigureFooter"/>
        <w:keepNext/>
        <w:rPr>
          <w:sz w:val="20"/>
        </w:rPr>
      </w:pPr>
      <w:r w:rsidRPr="003A6106">
        <w:t>Source: Table 3-25, pp214-216 of the submission. Conducted during the evaluation.</w:t>
      </w:r>
    </w:p>
    <w:p w:rsidR="00F651F3" w:rsidRDefault="00F651F3" w:rsidP="00F651F3">
      <w:pPr>
        <w:pStyle w:val="TableFigureFooter"/>
        <w:keepNext/>
        <w:rPr>
          <w:rFonts w:eastAsia="Calibri"/>
          <w:szCs w:val="20"/>
        </w:rPr>
      </w:pPr>
      <w:r>
        <w:rPr>
          <w:rFonts w:eastAsia="Calibri"/>
          <w:szCs w:val="20"/>
        </w:rPr>
        <w:t xml:space="preserve">ICER = incremental cost effectiveness ratio; KM = Kaplan-Meier; PFS = progression free survival; OS = overall survival; </w:t>
      </w:r>
      <w:r w:rsidRPr="001F4081">
        <w:rPr>
          <w:rFonts w:eastAsia="Calibri"/>
          <w:szCs w:val="20"/>
        </w:rPr>
        <w:t>QALY</w:t>
      </w:r>
      <w:r>
        <w:rPr>
          <w:rFonts w:eastAsia="Calibri"/>
          <w:szCs w:val="20"/>
        </w:rPr>
        <w:t xml:space="preserve"> =</w:t>
      </w:r>
      <w:r w:rsidRPr="001F4081">
        <w:rPr>
          <w:rFonts w:eastAsia="Calibri"/>
          <w:szCs w:val="20"/>
        </w:rPr>
        <w:t xml:space="preserve"> quality adjusted life year.</w:t>
      </w:r>
    </w:p>
    <w:p w:rsidR="00E57738" w:rsidRPr="00D602FE" w:rsidRDefault="00F651F3" w:rsidP="00F651F3">
      <w:pPr>
        <w:pStyle w:val="TableFigureFooter"/>
        <w:keepNext/>
        <w:rPr>
          <w:rFonts w:eastAsia="Calibri"/>
          <w:szCs w:val="20"/>
        </w:rPr>
      </w:pPr>
      <w:r w:rsidRPr="007E0B5F">
        <w:rPr>
          <w:rFonts w:eastAsia="Calibri"/>
          <w:szCs w:val="20"/>
          <w:vertAlign w:val="superscript"/>
        </w:rPr>
        <w:t>a</w:t>
      </w:r>
      <w:r w:rsidRPr="007E0B5F">
        <w:rPr>
          <w:rFonts w:eastAsia="Calibri"/>
          <w:szCs w:val="20"/>
        </w:rPr>
        <w:t xml:space="preserve"> change cells E17 &amp; E18 in sheet ‘Costs_Drug’ to $</w:t>
      </w:r>
      <w:r w:rsidR="00F50980">
        <w:rPr>
          <w:rFonts w:eastAsia="Calibri"/>
          <w:noProof/>
          <w:color w:val="000000"/>
          <w:szCs w:val="20"/>
          <w:highlight w:val="black"/>
        </w:rPr>
        <w:t>''''''''''''''''</w:t>
      </w:r>
      <w:r w:rsidRPr="007E0B5F">
        <w:rPr>
          <w:rFonts w:eastAsia="Calibri"/>
          <w:szCs w:val="20"/>
        </w:rPr>
        <w:t>, delete value in cell J15, sheet ‘Regimens_Dose’</w:t>
      </w:r>
      <w:r w:rsidR="00072D7C" w:rsidRPr="007E0B5F">
        <w:rPr>
          <w:rFonts w:eastAsia="Calibri"/>
          <w:szCs w:val="20"/>
        </w:rPr>
        <w:t xml:space="preserve">; </w:t>
      </w:r>
      <w:r w:rsidRPr="007E0B5F">
        <w:rPr>
          <w:rFonts w:eastAsia="Calibri"/>
          <w:szCs w:val="20"/>
          <w:vertAlign w:val="superscript"/>
        </w:rPr>
        <w:t>b</w:t>
      </w:r>
      <w:r w:rsidRPr="007E0B5F">
        <w:rPr>
          <w:rFonts w:eastAsia="Calibri"/>
          <w:szCs w:val="20"/>
        </w:rPr>
        <w:t xml:space="preserve"> change cell Q21 in sheet ‘Efficacy_PFS’ to 0.454</w:t>
      </w:r>
      <w:r w:rsidR="00072D7C" w:rsidRPr="007E0B5F">
        <w:rPr>
          <w:rFonts w:eastAsia="Calibri"/>
          <w:szCs w:val="20"/>
        </w:rPr>
        <w:t xml:space="preserve">; </w:t>
      </w:r>
      <w:r w:rsidRPr="007E0B5F">
        <w:rPr>
          <w:rFonts w:eastAsia="Calibri"/>
          <w:szCs w:val="20"/>
          <w:vertAlign w:val="superscript"/>
        </w:rPr>
        <w:t>c</w:t>
      </w:r>
      <w:r w:rsidRPr="007E0B5F">
        <w:rPr>
          <w:rFonts w:eastAsia="Calibri"/>
          <w:szCs w:val="20"/>
        </w:rPr>
        <w:t xml:space="preserve"> change cell Q21 in sheet ‘Efficacy_PFS’ to 0.84</w:t>
      </w:r>
      <w:r w:rsidR="00072D7C" w:rsidRPr="007E0B5F">
        <w:rPr>
          <w:rFonts w:eastAsia="Calibri"/>
          <w:szCs w:val="20"/>
        </w:rPr>
        <w:t xml:space="preserve">; </w:t>
      </w:r>
      <w:r w:rsidRPr="007E0B5F">
        <w:rPr>
          <w:rFonts w:eastAsia="Calibri"/>
          <w:szCs w:val="20"/>
          <w:vertAlign w:val="superscript"/>
        </w:rPr>
        <w:t>d</w:t>
      </w:r>
      <w:r w:rsidRPr="007E0B5F">
        <w:rPr>
          <w:rFonts w:eastAsia="Calibri"/>
          <w:szCs w:val="20"/>
        </w:rPr>
        <w:t xml:space="preserve"> change cell O19 in sheet ‘Efficacy_PPS_OS’ to 0.600</w:t>
      </w:r>
      <w:r w:rsidR="00072D7C" w:rsidRPr="007E0B5F">
        <w:rPr>
          <w:rFonts w:eastAsia="Calibri"/>
          <w:szCs w:val="20"/>
        </w:rPr>
        <w:t xml:space="preserve">; </w:t>
      </w:r>
      <w:r w:rsidRPr="007E0B5F">
        <w:rPr>
          <w:rFonts w:eastAsia="Calibri"/>
          <w:szCs w:val="20"/>
          <w:vertAlign w:val="superscript"/>
        </w:rPr>
        <w:t>e</w:t>
      </w:r>
      <w:r w:rsidRPr="007E0B5F">
        <w:rPr>
          <w:rFonts w:eastAsia="Calibri"/>
          <w:szCs w:val="20"/>
        </w:rPr>
        <w:t xml:space="preserve"> change cell O19 in sheet ‘Efficacy_PPS_OS’ to 0.83</w:t>
      </w:r>
      <w:r w:rsidR="00072D7C" w:rsidRPr="007E0B5F">
        <w:rPr>
          <w:rFonts w:eastAsia="Calibri"/>
          <w:szCs w:val="20"/>
        </w:rPr>
        <w:t xml:space="preserve">; </w:t>
      </w:r>
    </w:p>
    <w:p w:rsidR="00E57738" w:rsidRPr="00D602FE" w:rsidRDefault="00E57738" w:rsidP="00486CF6">
      <w:pPr>
        <w:pStyle w:val="3-BodyText"/>
        <w:numPr>
          <w:ilvl w:val="0"/>
          <w:numId w:val="0"/>
        </w:numPr>
        <w:rPr>
          <w:i/>
        </w:rPr>
      </w:pPr>
      <w:r w:rsidRPr="00E57738">
        <w:rPr>
          <w:i/>
        </w:rPr>
        <w:t xml:space="preserve">The redacted table shows ICERs in the range of $55,000 to </w:t>
      </w:r>
      <w:r w:rsidR="00486CF6">
        <w:rPr>
          <w:i/>
        </w:rPr>
        <w:t xml:space="preserve">&lt; $75,000/QALY, $75,000 to </w:t>
      </w:r>
      <w:r w:rsidR="00482EB1">
        <w:rPr>
          <w:i/>
        </w:rPr>
        <w:t xml:space="preserve">&lt; $95,000/QALY, $95,000 - &lt; $115,000/QALY, and $155,000 to </w:t>
      </w:r>
      <w:r w:rsidRPr="00E57738">
        <w:rPr>
          <w:i/>
        </w:rPr>
        <w:t xml:space="preserve">&lt; 255,000/QALY. </w:t>
      </w:r>
    </w:p>
    <w:p w:rsidR="00683E4D" w:rsidRDefault="00683E4D" w:rsidP="00683E4D">
      <w:pPr>
        <w:pStyle w:val="4-SubsectionHeading"/>
      </w:pPr>
      <w:bookmarkStart w:id="47" w:name="_Toc22897646"/>
      <w:bookmarkStart w:id="48" w:name="_Toc38290348"/>
      <w:bookmarkStart w:id="49" w:name="_Toc40716952"/>
      <w:r w:rsidRPr="002C2775">
        <w:t>Drug cost/patient/course</w:t>
      </w:r>
      <w:bookmarkEnd w:id="47"/>
      <w:bookmarkEnd w:id="48"/>
      <w:bookmarkEnd w:id="49"/>
    </w:p>
    <w:p w:rsidR="00072D7C" w:rsidRPr="003A6106" w:rsidRDefault="00072D7C" w:rsidP="00210DDA">
      <w:pPr>
        <w:pStyle w:val="3-BodyText"/>
      </w:pPr>
      <w:r>
        <w:t xml:space="preserve">Table </w:t>
      </w:r>
      <w:r w:rsidR="009F768F">
        <w:t>1</w:t>
      </w:r>
      <w:r w:rsidR="00EE094F">
        <w:t>9</w:t>
      </w:r>
      <w:r>
        <w:t xml:space="preserve"> compares the drug cost per patient per course of first line treatment for RIBO+FULV and RIBO+NSAI in MONALEESA-3, MONALEESA-2, the cost-minimisation analysis and financial estim</w:t>
      </w:r>
      <w:r w:rsidR="00430490">
        <w:t>a</w:t>
      </w:r>
      <w:r>
        <w:t xml:space="preserve">tes. </w:t>
      </w:r>
      <w:r w:rsidR="00210DDA" w:rsidRPr="003A6106">
        <w:t>Trial dose and duration apply dosing information from the safety population sets (first and second line treatment</w:t>
      </w:r>
      <w:r w:rsidR="00666B51" w:rsidRPr="003A6106">
        <w:t>s</w:t>
      </w:r>
      <w:r w:rsidR="00210DDA" w:rsidRPr="003A6106">
        <w:t>)</w:t>
      </w:r>
      <w:r w:rsidR="00860556">
        <w:t xml:space="preserve"> as information </w:t>
      </w:r>
      <w:r w:rsidR="00210DDA" w:rsidRPr="003A6106">
        <w:t>specific to first line patients were not provided in the submission.</w:t>
      </w:r>
      <w:r w:rsidR="00852917">
        <w:t xml:space="preserve"> The pre-PBAC response amended the duration of RIBO+FULV therapy in the financial estimates from 30.0 months to 20.2 months, which would lower the drug cost/patient/course of RIBO+FULV in the financial estimates (table not updated to reflect this change).</w:t>
      </w:r>
    </w:p>
    <w:p w:rsidR="00210DDA" w:rsidRPr="00210DDA" w:rsidRDefault="00210DDA" w:rsidP="00210DDA">
      <w:pPr>
        <w:pStyle w:val="TableFigureHeading"/>
        <w:rPr>
          <w:rStyle w:val="CommentReference"/>
          <w:b/>
          <w:bCs w:val="0"/>
        </w:rPr>
      </w:pPr>
      <w:r w:rsidRPr="00210DDA">
        <w:rPr>
          <w:rStyle w:val="CommentReference"/>
          <w:b/>
          <w:bCs w:val="0"/>
        </w:rPr>
        <w:t xml:space="preserve">Table </w:t>
      </w:r>
      <w:r w:rsidR="009F768F">
        <w:rPr>
          <w:rStyle w:val="CommentReference"/>
          <w:b/>
          <w:bCs w:val="0"/>
        </w:rPr>
        <w:t>1</w:t>
      </w:r>
      <w:r w:rsidR="00EE094F">
        <w:rPr>
          <w:rStyle w:val="CommentReference"/>
          <w:b/>
          <w:bCs w:val="0"/>
        </w:rPr>
        <w:t>9</w:t>
      </w:r>
      <w:r w:rsidRPr="00210DDA">
        <w:rPr>
          <w:rStyle w:val="CommentReference"/>
          <w:b/>
          <w:bCs w:val="0"/>
        </w:rPr>
        <w:t>: Drug cost per patient for proposed and comparator drugs</w:t>
      </w:r>
      <w:r>
        <w:rPr>
          <w:rStyle w:val="CommentReference"/>
          <w:b/>
          <w:bCs w:val="0"/>
        </w:rPr>
        <w:t xml:space="preserve"> – first line </w:t>
      </w:r>
      <w:r w:rsidR="00852917">
        <w:rPr>
          <w:rStyle w:val="CommentReference"/>
          <w:b/>
          <w:bCs w:val="0"/>
        </w:rPr>
        <w:t>(as estimated in the submission)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2"/>
        <w:gridCol w:w="1558"/>
        <w:gridCol w:w="1134"/>
        <w:gridCol w:w="1134"/>
        <w:gridCol w:w="1560"/>
        <w:gridCol w:w="1275"/>
        <w:gridCol w:w="1084"/>
      </w:tblGrid>
      <w:tr w:rsidR="00860556" w:rsidRPr="00E2771E" w:rsidTr="00860556">
        <w:trPr>
          <w:cantSplit/>
          <w:tblHeader/>
          <w:jc w:val="center"/>
        </w:trPr>
        <w:tc>
          <w:tcPr>
            <w:tcW w:w="705" w:type="pct"/>
            <w:shd w:val="clear" w:color="auto" w:fill="auto"/>
            <w:vAlign w:val="center"/>
          </w:tcPr>
          <w:p w:rsidR="00860556" w:rsidRPr="00E2771E" w:rsidRDefault="00860556" w:rsidP="00834619">
            <w:pPr>
              <w:pStyle w:val="In-tableHeading"/>
              <w:jc w:val="center"/>
            </w:pPr>
          </w:p>
        </w:tc>
        <w:tc>
          <w:tcPr>
            <w:tcW w:w="2122" w:type="pct"/>
            <w:gridSpan w:val="3"/>
            <w:shd w:val="clear" w:color="auto" w:fill="auto"/>
            <w:vAlign w:val="center"/>
          </w:tcPr>
          <w:p w:rsidR="00860556" w:rsidRDefault="00860556" w:rsidP="00860556">
            <w:pPr>
              <w:pStyle w:val="In-tableHeading"/>
              <w:jc w:val="center"/>
            </w:pPr>
            <w:r>
              <w:t>RIBO+FULV</w:t>
            </w:r>
          </w:p>
        </w:tc>
        <w:tc>
          <w:tcPr>
            <w:tcW w:w="2173" w:type="pct"/>
            <w:gridSpan w:val="3"/>
            <w:shd w:val="clear" w:color="auto" w:fill="auto"/>
            <w:vAlign w:val="center"/>
          </w:tcPr>
          <w:p w:rsidR="00860556" w:rsidRDefault="00860556" w:rsidP="00860556">
            <w:pPr>
              <w:pStyle w:val="In-tableHeading"/>
              <w:jc w:val="center"/>
            </w:pPr>
            <w:r>
              <w:t>RIBO+NSAI</w:t>
            </w:r>
          </w:p>
        </w:tc>
      </w:tr>
      <w:tr w:rsidR="00210DDA" w:rsidRPr="00E2771E" w:rsidTr="00860556">
        <w:trPr>
          <w:cantSplit/>
          <w:tblHeader/>
          <w:jc w:val="center"/>
        </w:trPr>
        <w:tc>
          <w:tcPr>
            <w:tcW w:w="705" w:type="pct"/>
            <w:shd w:val="clear" w:color="auto" w:fill="auto"/>
            <w:vAlign w:val="center"/>
          </w:tcPr>
          <w:p w:rsidR="00210DDA" w:rsidRPr="00E2771E" w:rsidRDefault="00210DDA" w:rsidP="00834619">
            <w:pPr>
              <w:pStyle w:val="In-tableHeading"/>
              <w:jc w:val="center"/>
            </w:pPr>
          </w:p>
        </w:tc>
        <w:tc>
          <w:tcPr>
            <w:tcW w:w="864" w:type="pct"/>
            <w:shd w:val="clear" w:color="auto" w:fill="auto"/>
            <w:vAlign w:val="center"/>
          </w:tcPr>
          <w:p w:rsidR="00210DDA" w:rsidRPr="00F65EAA" w:rsidRDefault="00210DDA" w:rsidP="00834619">
            <w:pPr>
              <w:pStyle w:val="In-tableHeading"/>
              <w:jc w:val="center"/>
            </w:pPr>
            <w:r w:rsidRPr="00F65EAA">
              <w:t>Trial</w:t>
            </w:r>
            <w:r>
              <w:t xml:space="preserve"> </w:t>
            </w:r>
            <w:r w:rsidRPr="00F65EAA">
              <w:t>dos</w:t>
            </w:r>
            <w:r>
              <w:t>e</w:t>
            </w:r>
            <w:r w:rsidRPr="00F65EAA">
              <w:t xml:space="preserve"> and duration</w:t>
            </w:r>
          </w:p>
        </w:tc>
        <w:tc>
          <w:tcPr>
            <w:tcW w:w="629" w:type="pct"/>
            <w:shd w:val="clear" w:color="auto" w:fill="auto"/>
            <w:vAlign w:val="center"/>
          </w:tcPr>
          <w:p w:rsidR="00210DDA" w:rsidRPr="00E2771E" w:rsidRDefault="00834619" w:rsidP="00834619">
            <w:pPr>
              <w:pStyle w:val="In-tableHeading"/>
              <w:jc w:val="center"/>
            </w:pPr>
            <w:r>
              <w:t>CMA</w:t>
            </w:r>
          </w:p>
        </w:tc>
        <w:tc>
          <w:tcPr>
            <w:tcW w:w="629" w:type="pct"/>
            <w:shd w:val="clear" w:color="auto" w:fill="auto"/>
            <w:vAlign w:val="center"/>
          </w:tcPr>
          <w:p w:rsidR="00210DDA" w:rsidRPr="00E2771E" w:rsidRDefault="00210DDA" w:rsidP="00834619">
            <w:pPr>
              <w:pStyle w:val="In-tableHeading"/>
              <w:jc w:val="center"/>
            </w:pPr>
            <w:r>
              <w:t>Financial estimates</w:t>
            </w:r>
          </w:p>
        </w:tc>
        <w:tc>
          <w:tcPr>
            <w:tcW w:w="865" w:type="pct"/>
            <w:shd w:val="clear" w:color="auto" w:fill="auto"/>
            <w:vAlign w:val="center"/>
          </w:tcPr>
          <w:p w:rsidR="00210DDA" w:rsidRPr="00E2771E" w:rsidRDefault="00210DDA" w:rsidP="00834619">
            <w:pPr>
              <w:pStyle w:val="In-tableHeading"/>
              <w:jc w:val="center"/>
            </w:pPr>
            <w:r>
              <w:t>Trial dose and duration</w:t>
            </w:r>
          </w:p>
        </w:tc>
        <w:tc>
          <w:tcPr>
            <w:tcW w:w="707" w:type="pct"/>
            <w:shd w:val="clear" w:color="auto" w:fill="auto"/>
            <w:vAlign w:val="center"/>
          </w:tcPr>
          <w:p w:rsidR="00210DDA" w:rsidRPr="00E2771E" w:rsidRDefault="00834619" w:rsidP="00860556">
            <w:pPr>
              <w:pStyle w:val="In-tableHeading"/>
              <w:jc w:val="center"/>
            </w:pPr>
            <w:r>
              <w:t>CMA</w:t>
            </w:r>
          </w:p>
        </w:tc>
        <w:tc>
          <w:tcPr>
            <w:tcW w:w="601" w:type="pct"/>
          </w:tcPr>
          <w:p w:rsidR="00210DDA" w:rsidRDefault="00210DDA" w:rsidP="00834619">
            <w:pPr>
              <w:pStyle w:val="In-tableHeading"/>
              <w:jc w:val="center"/>
            </w:pPr>
            <w:r>
              <w:t>Financial estimates</w:t>
            </w:r>
          </w:p>
        </w:tc>
      </w:tr>
      <w:tr w:rsidR="000023CF" w:rsidRPr="00E2771E" w:rsidTr="00860556">
        <w:trPr>
          <w:cantSplit/>
          <w:jc w:val="center"/>
        </w:trPr>
        <w:tc>
          <w:tcPr>
            <w:tcW w:w="705" w:type="pct"/>
            <w:shd w:val="clear" w:color="auto" w:fill="auto"/>
            <w:vAlign w:val="center"/>
          </w:tcPr>
          <w:p w:rsidR="000023CF" w:rsidRPr="00AD3160" w:rsidRDefault="000023CF" w:rsidP="000023CF">
            <w:pPr>
              <w:pStyle w:val="TableText0"/>
              <w:rPr>
                <w:lang w:val="en-US"/>
              </w:rPr>
            </w:pPr>
            <w:r w:rsidRPr="00AD3160">
              <w:rPr>
                <w:lang w:val="en-US"/>
              </w:rPr>
              <w:t>Mean daily dose (on treatment days)</w:t>
            </w:r>
          </w:p>
        </w:tc>
        <w:tc>
          <w:tcPr>
            <w:tcW w:w="864" w:type="pct"/>
            <w:shd w:val="clear" w:color="auto" w:fill="auto"/>
            <w:vAlign w:val="center"/>
          </w:tcPr>
          <w:p w:rsidR="000023CF" w:rsidRPr="00AB529A" w:rsidRDefault="000023CF" w:rsidP="000023CF">
            <w:pPr>
              <w:pStyle w:val="TableText0"/>
              <w:jc w:val="center"/>
              <w:rPr>
                <w:lang w:val="en-US"/>
              </w:rPr>
            </w:pPr>
            <w:r w:rsidRPr="00AB529A">
              <w:rPr>
                <w:lang w:val="en-US"/>
              </w:rPr>
              <w:t>R: 512.5 mg</w:t>
            </w:r>
            <w:r w:rsidRPr="00AB529A">
              <w:rPr>
                <w:vertAlign w:val="superscript"/>
                <w:lang w:val="en-US"/>
              </w:rPr>
              <w:t>a</w:t>
            </w:r>
          </w:p>
          <w:p w:rsidR="000023CF" w:rsidRPr="00AB529A" w:rsidRDefault="000023CF" w:rsidP="000023CF">
            <w:pPr>
              <w:pStyle w:val="TableText0"/>
              <w:jc w:val="center"/>
              <w:rPr>
                <w:lang w:val="en-US"/>
              </w:rPr>
            </w:pPr>
            <w:r w:rsidRPr="00AB529A">
              <w:rPr>
                <w:lang w:val="en-US"/>
              </w:rPr>
              <w:t>F: 511.2 mg</w:t>
            </w:r>
            <w:r w:rsidRPr="00AB529A">
              <w:rPr>
                <w:vertAlign w:val="superscript"/>
                <w:lang w:val="en-US"/>
              </w:rPr>
              <w:t>a</w:t>
            </w:r>
            <w:r w:rsidRPr="00AB529A">
              <w:rPr>
                <w:lang w:val="en-US"/>
              </w:rPr>
              <w:t xml:space="preserve"> + </w:t>
            </w:r>
            <w:r w:rsidRPr="00AB529A">
              <w:rPr>
                <w:lang w:val="en-US"/>
              </w:rPr>
              <w:br/>
              <w:t>500mg loading</w:t>
            </w:r>
          </w:p>
        </w:tc>
        <w:tc>
          <w:tcPr>
            <w:tcW w:w="629" w:type="pct"/>
            <w:shd w:val="clear" w:color="auto" w:fill="auto"/>
            <w:vAlign w:val="center"/>
          </w:tcPr>
          <w:p w:rsidR="000023CF" w:rsidRPr="00AB529A" w:rsidRDefault="000023CF" w:rsidP="000023CF">
            <w:pPr>
              <w:pStyle w:val="TableText0"/>
              <w:jc w:val="center"/>
              <w:rPr>
                <w:lang w:val="en-US"/>
              </w:rPr>
            </w:pPr>
            <w:r w:rsidRPr="00AB529A">
              <w:rPr>
                <w:lang w:val="en-US"/>
              </w:rPr>
              <w:t>R: 51</w:t>
            </w:r>
            <w:r w:rsidR="00AD7724" w:rsidRPr="00AB529A">
              <w:rPr>
                <w:lang w:val="en-US"/>
              </w:rPr>
              <w:t>1.0</w:t>
            </w:r>
            <w:r w:rsidRPr="00AB529A">
              <w:rPr>
                <w:lang w:val="en-US"/>
              </w:rPr>
              <w:t xml:space="preserve"> mg</w:t>
            </w:r>
            <w:r w:rsidR="00AD7724" w:rsidRPr="00AB529A">
              <w:rPr>
                <w:vertAlign w:val="superscript"/>
                <w:lang w:val="en-US"/>
              </w:rPr>
              <w:t>b</w:t>
            </w:r>
          </w:p>
          <w:p w:rsidR="000023CF" w:rsidRPr="00AB529A" w:rsidRDefault="000023CF" w:rsidP="000023CF">
            <w:pPr>
              <w:pStyle w:val="TableText0"/>
              <w:jc w:val="center"/>
              <w:rPr>
                <w:lang w:val="en-US"/>
              </w:rPr>
            </w:pPr>
            <w:r w:rsidRPr="00AB529A">
              <w:rPr>
                <w:lang w:val="en-US"/>
              </w:rPr>
              <w:t xml:space="preserve">F: 500 mg + </w:t>
            </w:r>
            <w:r w:rsidRPr="00AB529A">
              <w:rPr>
                <w:lang w:val="en-US"/>
              </w:rPr>
              <w:br/>
              <w:t>500mg loading</w:t>
            </w:r>
          </w:p>
        </w:tc>
        <w:tc>
          <w:tcPr>
            <w:tcW w:w="629" w:type="pct"/>
            <w:shd w:val="clear" w:color="auto" w:fill="auto"/>
            <w:vAlign w:val="center"/>
          </w:tcPr>
          <w:p w:rsidR="00732B2C" w:rsidRPr="00AB529A" w:rsidRDefault="00732B2C" w:rsidP="00732B2C">
            <w:pPr>
              <w:pStyle w:val="TableText0"/>
              <w:jc w:val="center"/>
              <w:rPr>
                <w:lang w:val="en-US"/>
              </w:rPr>
            </w:pPr>
            <w:r w:rsidRPr="00AB529A">
              <w:rPr>
                <w:lang w:val="en-US"/>
              </w:rPr>
              <w:t>R: 510.0 mg</w:t>
            </w:r>
            <w:r w:rsidRPr="00AB529A">
              <w:rPr>
                <w:vertAlign w:val="superscript"/>
                <w:lang w:val="en-US"/>
              </w:rPr>
              <w:t>c</w:t>
            </w:r>
          </w:p>
          <w:p w:rsidR="000023CF" w:rsidRPr="00AB529A" w:rsidRDefault="00732B2C" w:rsidP="00732B2C">
            <w:pPr>
              <w:pStyle w:val="TableText0"/>
              <w:jc w:val="center"/>
              <w:rPr>
                <w:b/>
                <w:lang w:val="en-US"/>
              </w:rPr>
            </w:pPr>
            <w:r w:rsidRPr="00AB529A">
              <w:rPr>
                <w:lang w:val="en-US"/>
              </w:rPr>
              <w:t xml:space="preserve">F: 500 mg + </w:t>
            </w:r>
            <w:r w:rsidRPr="00AB529A">
              <w:rPr>
                <w:lang w:val="en-US"/>
              </w:rPr>
              <w:br/>
              <w:t>500mg loading</w:t>
            </w:r>
          </w:p>
        </w:tc>
        <w:tc>
          <w:tcPr>
            <w:tcW w:w="865" w:type="pct"/>
            <w:shd w:val="clear" w:color="auto" w:fill="auto"/>
            <w:vAlign w:val="center"/>
          </w:tcPr>
          <w:p w:rsidR="000023CF" w:rsidRPr="00AB529A" w:rsidRDefault="000023CF" w:rsidP="000023CF">
            <w:pPr>
              <w:pStyle w:val="TableText0"/>
              <w:jc w:val="center"/>
              <w:rPr>
                <w:lang w:val="en-US"/>
              </w:rPr>
            </w:pPr>
            <w:r w:rsidRPr="00AB529A">
              <w:rPr>
                <w:lang w:val="en-US"/>
              </w:rPr>
              <w:t xml:space="preserve">R: </w:t>
            </w:r>
            <w:r w:rsidR="00AD7724" w:rsidRPr="00AB529A">
              <w:rPr>
                <w:lang w:val="en-US"/>
              </w:rPr>
              <w:t>482.9</w:t>
            </w:r>
            <w:r w:rsidRPr="00AB529A">
              <w:rPr>
                <w:lang w:val="en-US"/>
              </w:rPr>
              <w:t xml:space="preserve"> mg</w:t>
            </w:r>
            <w:r w:rsidR="00AD7724" w:rsidRPr="00AB529A">
              <w:rPr>
                <w:vertAlign w:val="superscript"/>
                <w:lang w:val="en-US"/>
              </w:rPr>
              <w:t>a</w:t>
            </w:r>
          </w:p>
          <w:p w:rsidR="000023CF" w:rsidRPr="00AB529A" w:rsidRDefault="000023CF" w:rsidP="000023CF">
            <w:pPr>
              <w:pStyle w:val="TableText0"/>
              <w:jc w:val="center"/>
              <w:rPr>
                <w:lang w:val="en-US"/>
              </w:rPr>
            </w:pPr>
            <w:r w:rsidRPr="00AB529A">
              <w:rPr>
                <w:lang w:val="en-US"/>
              </w:rPr>
              <w:t>L: 2.5 mg</w:t>
            </w:r>
            <w:r w:rsidR="00AD7724" w:rsidRPr="00AB529A">
              <w:rPr>
                <w:vertAlign w:val="superscript"/>
                <w:lang w:val="en-US"/>
              </w:rPr>
              <w:t>a</w:t>
            </w:r>
          </w:p>
        </w:tc>
        <w:tc>
          <w:tcPr>
            <w:tcW w:w="707" w:type="pct"/>
            <w:shd w:val="clear" w:color="auto" w:fill="auto"/>
            <w:vAlign w:val="center"/>
          </w:tcPr>
          <w:p w:rsidR="000023CF" w:rsidRPr="00AB529A" w:rsidRDefault="000023CF" w:rsidP="000023CF">
            <w:pPr>
              <w:pStyle w:val="TableText0"/>
              <w:jc w:val="center"/>
              <w:rPr>
                <w:lang w:val="en-US"/>
              </w:rPr>
            </w:pPr>
            <w:r w:rsidRPr="00AB529A">
              <w:rPr>
                <w:lang w:val="en-US"/>
              </w:rPr>
              <w:t xml:space="preserve">R: </w:t>
            </w:r>
            <w:r w:rsidR="00AD7724" w:rsidRPr="00AB529A">
              <w:rPr>
                <w:lang w:val="en-US"/>
              </w:rPr>
              <w:t>511.0</w:t>
            </w:r>
            <w:r w:rsidRPr="00AB529A">
              <w:rPr>
                <w:lang w:val="en-US"/>
              </w:rPr>
              <w:t xml:space="preserve"> mg</w:t>
            </w:r>
            <w:r w:rsidR="00AD7724" w:rsidRPr="00AB529A">
              <w:rPr>
                <w:vertAlign w:val="superscript"/>
                <w:lang w:val="en-US"/>
              </w:rPr>
              <w:t>b</w:t>
            </w:r>
          </w:p>
          <w:p w:rsidR="000023CF" w:rsidRPr="00AB529A" w:rsidRDefault="000023CF" w:rsidP="000023CF">
            <w:pPr>
              <w:pStyle w:val="TableText0"/>
              <w:jc w:val="center"/>
              <w:rPr>
                <w:lang w:val="en-US"/>
              </w:rPr>
            </w:pPr>
            <w:r w:rsidRPr="00AB529A">
              <w:rPr>
                <w:lang w:val="en-US"/>
              </w:rPr>
              <w:t>L: 2.5 mg</w:t>
            </w:r>
          </w:p>
        </w:tc>
        <w:tc>
          <w:tcPr>
            <w:tcW w:w="601" w:type="pct"/>
            <w:vAlign w:val="center"/>
          </w:tcPr>
          <w:p w:rsidR="00732B2C" w:rsidRPr="00AB529A" w:rsidRDefault="00732B2C" w:rsidP="00732B2C">
            <w:pPr>
              <w:pStyle w:val="TableText0"/>
              <w:jc w:val="center"/>
              <w:rPr>
                <w:lang w:val="en-US"/>
              </w:rPr>
            </w:pPr>
            <w:r w:rsidRPr="00AB529A">
              <w:rPr>
                <w:lang w:val="en-US"/>
              </w:rPr>
              <w:t>R: 510.0 mg</w:t>
            </w:r>
            <w:r w:rsidRPr="00AB529A">
              <w:rPr>
                <w:vertAlign w:val="superscript"/>
                <w:lang w:val="en-US"/>
              </w:rPr>
              <w:t>c</w:t>
            </w:r>
          </w:p>
          <w:p w:rsidR="000023CF" w:rsidRPr="00AB529A" w:rsidRDefault="00732B2C" w:rsidP="00732B2C">
            <w:pPr>
              <w:pStyle w:val="TableText0"/>
              <w:jc w:val="center"/>
              <w:rPr>
                <w:b/>
                <w:lang w:val="en-US"/>
              </w:rPr>
            </w:pPr>
            <w:r w:rsidRPr="00AB529A">
              <w:rPr>
                <w:lang w:val="en-US"/>
              </w:rPr>
              <w:t>L: 2.5 mg</w:t>
            </w:r>
          </w:p>
        </w:tc>
      </w:tr>
      <w:tr w:rsidR="000023CF" w:rsidRPr="00E2771E" w:rsidTr="00860556">
        <w:trPr>
          <w:cantSplit/>
          <w:jc w:val="center"/>
        </w:trPr>
        <w:tc>
          <w:tcPr>
            <w:tcW w:w="705" w:type="pct"/>
            <w:shd w:val="clear" w:color="auto" w:fill="auto"/>
            <w:vAlign w:val="center"/>
          </w:tcPr>
          <w:p w:rsidR="000023CF" w:rsidRPr="00AD3160" w:rsidRDefault="000023CF" w:rsidP="000023CF">
            <w:pPr>
              <w:pStyle w:val="TableText0"/>
              <w:rPr>
                <w:lang w:val="en-US"/>
              </w:rPr>
            </w:pPr>
            <w:r w:rsidRPr="00AD3160">
              <w:rPr>
                <w:lang w:val="en-US"/>
              </w:rPr>
              <w:t>Mean duration (months)</w:t>
            </w:r>
          </w:p>
        </w:tc>
        <w:tc>
          <w:tcPr>
            <w:tcW w:w="864" w:type="pct"/>
            <w:shd w:val="clear" w:color="auto" w:fill="auto"/>
            <w:vAlign w:val="center"/>
          </w:tcPr>
          <w:p w:rsidR="000023CF" w:rsidRPr="00AD3160" w:rsidRDefault="000023CF" w:rsidP="000023CF">
            <w:pPr>
              <w:pStyle w:val="TableText0"/>
              <w:jc w:val="center"/>
              <w:rPr>
                <w:lang w:val="en-US"/>
              </w:rPr>
            </w:pPr>
            <w:r w:rsidRPr="00AD3160">
              <w:rPr>
                <w:lang w:val="en-US"/>
              </w:rPr>
              <w:t xml:space="preserve">R: 12.11 </w:t>
            </w:r>
            <w:r w:rsidRPr="00AD3160">
              <w:rPr>
                <w:lang w:val="en-US"/>
              </w:rPr>
              <w:br/>
              <w:t>F: 13.15</w:t>
            </w:r>
          </w:p>
        </w:tc>
        <w:tc>
          <w:tcPr>
            <w:tcW w:w="629" w:type="pct"/>
            <w:shd w:val="clear" w:color="auto" w:fill="auto"/>
            <w:vAlign w:val="center"/>
          </w:tcPr>
          <w:p w:rsidR="000023CF" w:rsidRPr="00AD3160" w:rsidRDefault="000023CF" w:rsidP="000023CF">
            <w:pPr>
              <w:pStyle w:val="TableText0"/>
              <w:jc w:val="center"/>
              <w:rPr>
                <w:lang w:val="en-US"/>
              </w:rPr>
            </w:pPr>
            <w:r w:rsidRPr="00AD3160">
              <w:rPr>
                <w:lang w:val="en-US"/>
              </w:rPr>
              <w:t>Not considered</w:t>
            </w:r>
          </w:p>
        </w:tc>
        <w:tc>
          <w:tcPr>
            <w:tcW w:w="629" w:type="pct"/>
            <w:shd w:val="clear" w:color="auto" w:fill="auto"/>
            <w:vAlign w:val="center"/>
          </w:tcPr>
          <w:p w:rsidR="000023CF" w:rsidRPr="00AD3160" w:rsidRDefault="00732B2C" w:rsidP="000023CF">
            <w:pPr>
              <w:pStyle w:val="TableText0"/>
              <w:jc w:val="center"/>
              <w:rPr>
                <w:lang w:val="en-US"/>
              </w:rPr>
            </w:pPr>
            <w:r w:rsidRPr="00AD3160">
              <w:rPr>
                <w:lang w:val="en-US"/>
              </w:rPr>
              <w:t>30.0</w:t>
            </w:r>
          </w:p>
        </w:tc>
        <w:tc>
          <w:tcPr>
            <w:tcW w:w="865" w:type="pct"/>
            <w:shd w:val="clear" w:color="auto" w:fill="auto"/>
            <w:vAlign w:val="center"/>
          </w:tcPr>
          <w:p w:rsidR="000023CF" w:rsidRPr="00AD3160" w:rsidRDefault="000023CF" w:rsidP="000023CF">
            <w:pPr>
              <w:pStyle w:val="TableText0"/>
              <w:jc w:val="center"/>
              <w:rPr>
                <w:lang w:val="en-US"/>
              </w:rPr>
            </w:pPr>
            <w:r w:rsidRPr="00AD3160">
              <w:rPr>
                <w:lang w:val="en-US"/>
              </w:rPr>
              <w:t>R: 10.9</w:t>
            </w:r>
          </w:p>
          <w:p w:rsidR="000023CF" w:rsidRPr="00AD3160" w:rsidRDefault="000023CF" w:rsidP="000023CF">
            <w:pPr>
              <w:pStyle w:val="TableText0"/>
              <w:jc w:val="center"/>
              <w:rPr>
                <w:lang w:val="en-US"/>
              </w:rPr>
            </w:pPr>
            <w:r w:rsidRPr="00AD3160">
              <w:rPr>
                <w:lang w:val="en-US"/>
              </w:rPr>
              <w:t>L: 11.8</w:t>
            </w:r>
          </w:p>
        </w:tc>
        <w:tc>
          <w:tcPr>
            <w:tcW w:w="707" w:type="pct"/>
            <w:shd w:val="clear" w:color="auto" w:fill="auto"/>
            <w:vAlign w:val="center"/>
          </w:tcPr>
          <w:p w:rsidR="000023CF" w:rsidRPr="00AD3160" w:rsidRDefault="000023CF" w:rsidP="000023CF">
            <w:pPr>
              <w:pStyle w:val="TableText0"/>
              <w:jc w:val="center"/>
              <w:rPr>
                <w:lang w:val="en-US"/>
              </w:rPr>
            </w:pPr>
            <w:r w:rsidRPr="00AD3160">
              <w:rPr>
                <w:lang w:val="en-US"/>
              </w:rPr>
              <w:t>Not considered</w:t>
            </w:r>
          </w:p>
        </w:tc>
        <w:tc>
          <w:tcPr>
            <w:tcW w:w="601" w:type="pct"/>
            <w:vAlign w:val="center"/>
          </w:tcPr>
          <w:p w:rsidR="000023CF" w:rsidRPr="00AD3160" w:rsidRDefault="00732B2C" w:rsidP="000023CF">
            <w:pPr>
              <w:pStyle w:val="TableText0"/>
              <w:jc w:val="center"/>
              <w:rPr>
                <w:lang w:val="en-US"/>
              </w:rPr>
            </w:pPr>
            <w:r w:rsidRPr="00AD3160">
              <w:rPr>
                <w:lang w:val="en-US"/>
              </w:rPr>
              <w:t>25.3</w:t>
            </w:r>
          </w:p>
        </w:tc>
      </w:tr>
      <w:tr w:rsidR="000023CF" w:rsidRPr="00E2771E" w:rsidTr="00860556">
        <w:trPr>
          <w:cantSplit/>
          <w:jc w:val="center"/>
        </w:trPr>
        <w:tc>
          <w:tcPr>
            <w:tcW w:w="705" w:type="pct"/>
            <w:shd w:val="clear" w:color="auto" w:fill="auto"/>
            <w:vAlign w:val="center"/>
          </w:tcPr>
          <w:p w:rsidR="000023CF" w:rsidRPr="00AD3160" w:rsidRDefault="000023CF" w:rsidP="000023CF">
            <w:pPr>
              <w:pStyle w:val="TableText0"/>
              <w:rPr>
                <w:lang w:val="en-US"/>
              </w:rPr>
            </w:pPr>
            <w:r w:rsidRPr="00AD3160">
              <w:rPr>
                <w:lang w:val="en-US"/>
              </w:rPr>
              <w:t>Cost/patient/ /course</w:t>
            </w:r>
          </w:p>
        </w:tc>
        <w:tc>
          <w:tcPr>
            <w:tcW w:w="864" w:type="pct"/>
            <w:shd w:val="clear" w:color="auto" w:fill="auto"/>
            <w:vAlign w:val="center"/>
          </w:tcPr>
          <w:p w:rsidR="000023CF" w:rsidRPr="00AD3160" w:rsidRDefault="000023CF" w:rsidP="000023CF">
            <w:pPr>
              <w:pStyle w:val="TableText0"/>
              <w:jc w:val="center"/>
              <w:rPr>
                <w:lang w:val="en-US"/>
              </w:rPr>
            </w:pPr>
            <w:r w:rsidRPr="00AD3160">
              <w:rPr>
                <w:lang w:val="en-US"/>
              </w:rPr>
              <w:t>$</w:t>
            </w:r>
            <w:r w:rsidR="005E31C0">
              <w:rPr>
                <w:noProof/>
                <w:color w:val="000000"/>
                <w:highlight w:val="black"/>
                <w:lang w:val="en-US"/>
              </w:rPr>
              <w:t>'''''''''''''''</w:t>
            </w:r>
            <w:r w:rsidR="00860556" w:rsidRPr="00AD3160">
              <w:rPr>
                <w:lang w:val="en-US"/>
              </w:rPr>
              <w:t xml:space="preserve"> (based on truncated means)</w:t>
            </w:r>
          </w:p>
        </w:tc>
        <w:tc>
          <w:tcPr>
            <w:tcW w:w="629" w:type="pct"/>
            <w:shd w:val="clear" w:color="auto" w:fill="auto"/>
            <w:vAlign w:val="center"/>
          </w:tcPr>
          <w:p w:rsidR="000023CF" w:rsidRPr="00AD3160" w:rsidRDefault="000023CF" w:rsidP="000023CF">
            <w:pPr>
              <w:pStyle w:val="TableText0"/>
              <w:jc w:val="center"/>
              <w:rPr>
                <w:lang w:val="en-US"/>
              </w:rPr>
            </w:pPr>
            <w:r w:rsidRPr="00AD3160">
              <w:rPr>
                <w:lang w:val="en-US"/>
              </w:rPr>
              <w:t>Not calculated</w:t>
            </w:r>
          </w:p>
        </w:tc>
        <w:tc>
          <w:tcPr>
            <w:tcW w:w="629" w:type="pct"/>
            <w:shd w:val="clear" w:color="auto" w:fill="auto"/>
            <w:vAlign w:val="center"/>
          </w:tcPr>
          <w:p w:rsidR="000023CF" w:rsidRPr="00AD3160" w:rsidRDefault="00834619" w:rsidP="000023CF">
            <w:pPr>
              <w:pStyle w:val="TableText0"/>
              <w:jc w:val="center"/>
              <w:rPr>
                <w:lang w:val="en-US"/>
              </w:rPr>
            </w:pPr>
            <w:r w:rsidRPr="00AD3160">
              <w:rPr>
                <w:lang w:val="en-US"/>
              </w:rPr>
              <w:t>$</w:t>
            </w:r>
            <w:r w:rsidR="005E31C0">
              <w:rPr>
                <w:noProof/>
                <w:color w:val="000000"/>
                <w:highlight w:val="black"/>
                <w:lang w:val="en-US"/>
              </w:rPr>
              <w:t>''''''''''''''''</w:t>
            </w:r>
          </w:p>
        </w:tc>
        <w:tc>
          <w:tcPr>
            <w:tcW w:w="865" w:type="pct"/>
            <w:shd w:val="clear" w:color="auto" w:fill="auto"/>
            <w:vAlign w:val="center"/>
          </w:tcPr>
          <w:p w:rsidR="000023CF" w:rsidRPr="00AD3160" w:rsidRDefault="000023CF" w:rsidP="000023CF">
            <w:pPr>
              <w:pStyle w:val="TableText0"/>
              <w:jc w:val="center"/>
              <w:rPr>
                <w:lang w:val="en-US"/>
              </w:rPr>
            </w:pPr>
            <w:r w:rsidRPr="00AD3160">
              <w:rPr>
                <w:lang w:val="en-US"/>
              </w:rPr>
              <w:t>$</w:t>
            </w:r>
            <w:r w:rsidR="005E31C0">
              <w:rPr>
                <w:noProof/>
                <w:color w:val="000000"/>
                <w:highlight w:val="black"/>
                <w:lang w:val="en-US"/>
              </w:rPr>
              <w:t>''''''''''''''''</w:t>
            </w:r>
            <w:r w:rsidR="00860556" w:rsidRPr="00AD3160">
              <w:rPr>
                <w:lang w:val="en-US"/>
              </w:rPr>
              <w:t xml:space="preserve"> (based on truncated means)</w:t>
            </w:r>
          </w:p>
        </w:tc>
        <w:tc>
          <w:tcPr>
            <w:tcW w:w="707" w:type="pct"/>
            <w:shd w:val="clear" w:color="auto" w:fill="auto"/>
            <w:vAlign w:val="center"/>
          </w:tcPr>
          <w:p w:rsidR="000023CF" w:rsidRPr="00AD3160" w:rsidRDefault="000023CF" w:rsidP="000023CF">
            <w:pPr>
              <w:pStyle w:val="TableText0"/>
              <w:jc w:val="center"/>
              <w:rPr>
                <w:lang w:val="en-US"/>
              </w:rPr>
            </w:pPr>
            <w:r w:rsidRPr="00AD3160">
              <w:rPr>
                <w:lang w:val="en-US"/>
              </w:rPr>
              <w:t>Not calculated</w:t>
            </w:r>
          </w:p>
        </w:tc>
        <w:tc>
          <w:tcPr>
            <w:tcW w:w="601" w:type="pct"/>
            <w:vAlign w:val="center"/>
          </w:tcPr>
          <w:p w:rsidR="000023CF" w:rsidRPr="00AD3160" w:rsidRDefault="00834619" w:rsidP="000023CF">
            <w:pPr>
              <w:pStyle w:val="TableText0"/>
              <w:jc w:val="center"/>
              <w:rPr>
                <w:lang w:val="en-US"/>
              </w:rPr>
            </w:pPr>
            <w:r w:rsidRPr="00AD3160">
              <w:rPr>
                <w:lang w:val="en-US"/>
              </w:rPr>
              <w:t>$</w:t>
            </w:r>
            <w:r w:rsidR="005E31C0">
              <w:rPr>
                <w:noProof/>
                <w:color w:val="000000"/>
                <w:highlight w:val="black"/>
                <w:lang w:val="en-US"/>
              </w:rPr>
              <w:t>'''''''''''''''</w:t>
            </w:r>
          </w:p>
        </w:tc>
      </w:tr>
    </w:tbl>
    <w:p w:rsidR="003A7D66" w:rsidRPr="003A6106" w:rsidRDefault="003A7D66" w:rsidP="00210DDA">
      <w:pPr>
        <w:pStyle w:val="TableFigureFooter"/>
      </w:pPr>
      <w:r w:rsidRPr="007F1017">
        <w:t xml:space="preserve">Source: </w:t>
      </w:r>
      <w:r w:rsidR="00834619">
        <w:t xml:space="preserve">pp221-222 of the submission; </w:t>
      </w:r>
      <w:r w:rsidR="00AD7724">
        <w:t xml:space="preserve">CMA workbook; </w:t>
      </w:r>
      <w:r w:rsidR="00834619">
        <w:t xml:space="preserve">Section 4 workbook; </w:t>
      </w:r>
      <w:r w:rsidRPr="007F1017">
        <w:t>Table</w:t>
      </w:r>
      <w:r>
        <w:t xml:space="preserve">s 12-1, 12-2 &amp; 14.3-1.2, pp172-173 &amp; 12324 of the </w:t>
      </w:r>
      <w:r w:rsidRPr="003A6106">
        <w:t>MONALEESA-3 CSR, Tables 12-1 &amp; 12-2, pp94-95 of the MONALEESA-2 CSR</w:t>
      </w:r>
      <w:r w:rsidR="00AD7724" w:rsidRPr="003A6106">
        <w:t>. Italicised values include adjusted price of fulvestrant and respecified price for ribociclib</w:t>
      </w:r>
      <w:r w:rsidR="00834619" w:rsidRPr="003A6106">
        <w:t xml:space="preserve"> in the CMA</w:t>
      </w:r>
      <w:r w:rsidR="00AD7724" w:rsidRPr="003A6106">
        <w:t>.</w:t>
      </w:r>
    </w:p>
    <w:p w:rsidR="00210DDA" w:rsidRPr="00210DDA" w:rsidRDefault="00834619" w:rsidP="00210DDA">
      <w:pPr>
        <w:pStyle w:val="TableFigureFooter"/>
      </w:pPr>
      <w:r>
        <w:t>CMA</w:t>
      </w:r>
      <w:r w:rsidR="00210DDA">
        <w:t xml:space="preserve"> = cost minimisation analysis; F = fulvestrant; </w:t>
      </w:r>
      <w:r w:rsidR="0039557C">
        <w:t xml:space="preserve">L= letrozole; </w:t>
      </w:r>
      <w:r w:rsidR="00210DDA">
        <w:t>R = ribociclib; RIBO+FULV = ribociclib + fulvestrant; RIBO+NSAI = ribociclib + non-steroidal aromatase inhibitor</w:t>
      </w:r>
    </w:p>
    <w:p w:rsidR="00210DDA" w:rsidRDefault="00210DDA" w:rsidP="00210DDA">
      <w:pPr>
        <w:pStyle w:val="TableFigureFooter"/>
      </w:pPr>
      <w:r w:rsidRPr="001B7AAD">
        <w:rPr>
          <w:vertAlign w:val="superscript"/>
        </w:rPr>
        <w:t>a</w:t>
      </w:r>
      <w:r>
        <w:rPr>
          <w:vertAlign w:val="superscript"/>
        </w:rPr>
        <w:t xml:space="preserve"> </w:t>
      </w:r>
      <w:r w:rsidRPr="00544C5E">
        <w:t>me</w:t>
      </w:r>
      <w:r>
        <w:t>a</w:t>
      </w:r>
      <w:r w:rsidRPr="00544C5E">
        <w:t>n d</w:t>
      </w:r>
      <w:r>
        <w:t>aily dose = [mean total dose received] / {[mean duration (months), converted to 28-day cycles]/ # dosing days per cycle}</w:t>
      </w:r>
      <w:r w:rsidR="00AD7724">
        <w:t xml:space="preserve">; </w:t>
      </w:r>
      <w:r w:rsidR="00AD7724" w:rsidRPr="00AD7724">
        <w:rPr>
          <w:vertAlign w:val="superscript"/>
        </w:rPr>
        <w:t>b</w:t>
      </w:r>
      <w:r w:rsidR="00AD7724">
        <w:t xml:space="preserve"> prescribed </w:t>
      </w:r>
      <w:r w:rsidR="00AD7724" w:rsidRPr="00AB529A">
        <w:t xml:space="preserve">dose x 85.16% (relative dose intensity); </w:t>
      </w:r>
      <w:r w:rsidR="00732B2C" w:rsidRPr="00AB529A">
        <w:rPr>
          <w:vertAlign w:val="superscript"/>
        </w:rPr>
        <w:t>c</w:t>
      </w:r>
      <w:r w:rsidR="00732B2C" w:rsidRPr="00AB529A">
        <w:t xml:space="preserve"> prescribed dose x 85.00% (relative dose intensity);</w:t>
      </w:r>
    </w:p>
    <w:p w:rsidR="00B65A92" w:rsidRPr="003A6106" w:rsidRDefault="00EE094F" w:rsidP="00B65A92">
      <w:pPr>
        <w:pStyle w:val="3-BodyText"/>
      </w:pPr>
      <w:r>
        <w:rPr>
          <w:snapToGrid/>
        </w:rPr>
        <w:t>Table 20</w:t>
      </w:r>
      <w:r w:rsidR="00B65A92">
        <w:rPr>
          <w:snapToGrid/>
        </w:rPr>
        <w:t xml:space="preserve"> compares the drug cost per patient per course</w:t>
      </w:r>
      <w:r w:rsidR="00072D7C">
        <w:rPr>
          <w:snapToGrid/>
        </w:rPr>
        <w:t xml:space="preserve"> of second line treatment</w:t>
      </w:r>
      <w:r w:rsidR="00B65A92">
        <w:rPr>
          <w:snapToGrid/>
        </w:rPr>
        <w:t xml:space="preserve"> for </w:t>
      </w:r>
      <w:r w:rsidR="007B1252">
        <w:rPr>
          <w:snapToGrid/>
        </w:rPr>
        <w:t>RIBO+FULV</w:t>
      </w:r>
      <w:r w:rsidR="00B65A92">
        <w:rPr>
          <w:snapToGrid/>
        </w:rPr>
        <w:t xml:space="preserve"> and </w:t>
      </w:r>
      <w:r w:rsidR="007B1252">
        <w:rPr>
          <w:snapToGrid/>
        </w:rPr>
        <w:t>EVE+EXE</w:t>
      </w:r>
      <w:r w:rsidR="00B65A92">
        <w:rPr>
          <w:snapToGrid/>
        </w:rPr>
        <w:t xml:space="preserve"> in MONALEESA-3, BOLERO-2, the economic evaluation and financial estimates</w:t>
      </w:r>
      <w:r w:rsidR="00B65A92" w:rsidRPr="003A6106">
        <w:rPr>
          <w:snapToGrid/>
        </w:rPr>
        <w:t>. Trial dose and duration apply dosing information from the safety population sets (</w:t>
      </w:r>
      <w:r w:rsidR="005442BB" w:rsidRPr="003A6106">
        <w:rPr>
          <w:snapToGrid/>
        </w:rPr>
        <w:t>first</w:t>
      </w:r>
      <w:r w:rsidR="00B65A92" w:rsidRPr="003A6106">
        <w:rPr>
          <w:snapToGrid/>
        </w:rPr>
        <w:t xml:space="preserve"> and </w:t>
      </w:r>
      <w:r w:rsidR="005442BB" w:rsidRPr="003A6106">
        <w:rPr>
          <w:snapToGrid/>
        </w:rPr>
        <w:t>second</w:t>
      </w:r>
      <w:r w:rsidR="00B65A92" w:rsidRPr="003A6106">
        <w:rPr>
          <w:snapToGrid/>
        </w:rPr>
        <w:t xml:space="preserve"> line treatment). Trial dose and duration of treatment specific to </w:t>
      </w:r>
      <w:r w:rsidR="00BF7D6B" w:rsidRPr="003A6106">
        <w:rPr>
          <w:snapToGrid/>
        </w:rPr>
        <w:t>second</w:t>
      </w:r>
      <w:r w:rsidR="00B65A92" w:rsidRPr="003A6106">
        <w:rPr>
          <w:snapToGrid/>
        </w:rPr>
        <w:t xml:space="preserve"> line patients were not provided in the submission.</w:t>
      </w:r>
      <w:r w:rsidR="00852917">
        <w:rPr>
          <w:snapToGrid/>
        </w:rPr>
        <w:t xml:space="preserve"> </w:t>
      </w:r>
      <w:r w:rsidR="00852917">
        <w:t>The pre-PBAC response amended the duration of RIBO+FULV therapy in the financial estimates from 18.8 months to 13.3 months, which would lower the drug cost/patient/course of RIBO+FULV in the financial estimates (table not updated to reflect this change).</w:t>
      </w:r>
    </w:p>
    <w:p w:rsidR="00B65A92" w:rsidRPr="00B65A92" w:rsidRDefault="00EE094F" w:rsidP="003C30C2">
      <w:pPr>
        <w:pStyle w:val="TableFigureHeading"/>
        <w:spacing w:before="240"/>
        <w:rPr>
          <w:rStyle w:val="CommentReference"/>
          <w:b/>
          <w:bCs w:val="0"/>
        </w:rPr>
      </w:pPr>
      <w:r>
        <w:rPr>
          <w:rStyle w:val="CommentReference"/>
          <w:b/>
          <w:bCs w:val="0"/>
        </w:rPr>
        <w:t>Table 20</w:t>
      </w:r>
      <w:r w:rsidR="00B65A92" w:rsidRPr="00B65A92">
        <w:rPr>
          <w:rStyle w:val="CommentReference"/>
          <w:b/>
          <w:bCs w:val="0"/>
        </w:rPr>
        <w:t>: Drug cost per patient for proposed and comparator drugs</w:t>
      </w:r>
      <w:r w:rsidR="00210DDA">
        <w:rPr>
          <w:rStyle w:val="CommentReference"/>
          <w:b/>
          <w:bCs w:val="0"/>
        </w:rPr>
        <w:t xml:space="preserve"> – second line</w:t>
      </w:r>
      <w:r w:rsidR="00852917">
        <w:rPr>
          <w:rStyle w:val="CommentReference"/>
          <w:b/>
          <w:bCs w:val="0"/>
        </w:rPr>
        <w:t xml:space="preserve"> (as estimated in the submission)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1361"/>
        <w:gridCol w:w="1151"/>
        <w:gridCol w:w="1259"/>
        <w:gridCol w:w="1255"/>
        <w:gridCol w:w="1261"/>
        <w:gridCol w:w="1261"/>
      </w:tblGrid>
      <w:tr w:rsidR="00860556" w:rsidRPr="00E2771E" w:rsidTr="00860556">
        <w:trPr>
          <w:cantSplit/>
          <w:tblHeader/>
          <w:jc w:val="center"/>
        </w:trPr>
        <w:tc>
          <w:tcPr>
            <w:tcW w:w="815" w:type="pct"/>
            <w:shd w:val="clear" w:color="auto" w:fill="auto"/>
            <w:vAlign w:val="center"/>
          </w:tcPr>
          <w:p w:rsidR="00860556" w:rsidRPr="00E2771E" w:rsidRDefault="00860556" w:rsidP="005121EE">
            <w:pPr>
              <w:pStyle w:val="In-tableHeading"/>
              <w:jc w:val="center"/>
            </w:pPr>
          </w:p>
        </w:tc>
        <w:tc>
          <w:tcPr>
            <w:tcW w:w="2091" w:type="pct"/>
            <w:gridSpan w:val="3"/>
            <w:shd w:val="clear" w:color="auto" w:fill="auto"/>
            <w:vAlign w:val="center"/>
          </w:tcPr>
          <w:p w:rsidR="00860556" w:rsidRDefault="00860556" w:rsidP="00860556">
            <w:pPr>
              <w:pStyle w:val="In-tableHeading"/>
              <w:jc w:val="center"/>
            </w:pPr>
            <w:r>
              <w:t>RIBO+FULV</w:t>
            </w:r>
          </w:p>
        </w:tc>
        <w:tc>
          <w:tcPr>
            <w:tcW w:w="2094" w:type="pct"/>
            <w:gridSpan w:val="3"/>
            <w:shd w:val="clear" w:color="auto" w:fill="auto"/>
            <w:vAlign w:val="center"/>
          </w:tcPr>
          <w:p w:rsidR="00860556" w:rsidRDefault="00860556" w:rsidP="00860556">
            <w:pPr>
              <w:pStyle w:val="In-tableHeading"/>
              <w:jc w:val="center"/>
            </w:pPr>
            <w:r>
              <w:t>EVE+EXE</w:t>
            </w:r>
          </w:p>
        </w:tc>
      </w:tr>
      <w:tr w:rsidR="00B65A92" w:rsidRPr="00E2771E" w:rsidTr="00E673BC">
        <w:trPr>
          <w:cantSplit/>
          <w:tblHeader/>
          <w:jc w:val="center"/>
        </w:trPr>
        <w:tc>
          <w:tcPr>
            <w:tcW w:w="815" w:type="pct"/>
            <w:shd w:val="clear" w:color="auto" w:fill="auto"/>
            <w:vAlign w:val="center"/>
          </w:tcPr>
          <w:p w:rsidR="00B65A92" w:rsidRPr="00E2771E" w:rsidRDefault="00B65A92" w:rsidP="005121EE">
            <w:pPr>
              <w:pStyle w:val="In-tableHeading"/>
              <w:jc w:val="center"/>
            </w:pPr>
          </w:p>
        </w:tc>
        <w:tc>
          <w:tcPr>
            <w:tcW w:w="755" w:type="pct"/>
            <w:shd w:val="clear" w:color="auto" w:fill="auto"/>
            <w:vAlign w:val="center"/>
          </w:tcPr>
          <w:p w:rsidR="00B65A92" w:rsidRPr="00F65EAA" w:rsidRDefault="00B65A92" w:rsidP="005121EE">
            <w:pPr>
              <w:pStyle w:val="In-tableHeading"/>
              <w:jc w:val="center"/>
            </w:pPr>
            <w:r w:rsidRPr="00F65EAA">
              <w:t>Trial</w:t>
            </w:r>
            <w:r>
              <w:t xml:space="preserve"> </w:t>
            </w:r>
            <w:r w:rsidRPr="00F65EAA">
              <w:t>dos</w:t>
            </w:r>
            <w:r>
              <w:t>e</w:t>
            </w:r>
            <w:r w:rsidRPr="00F65EAA">
              <w:t xml:space="preserve"> and duration</w:t>
            </w:r>
          </w:p>
        </w:tc>
        <w:tc>
          <w:tcPr>
            <w:tcW w:w="638" w:type="pct"/>
            <w:shd w:val="clear" w:color="auto" w:fill="auto"/>
            <w:vAlign w:val="center"/>
          </w:tcPr>
          <w:p w:rsidR="00B65A92" w:rsidRPr="00E2771E" w:rsidRDefault="00B65A92" w:rsidP="005121EE">
            <w:pPr>
              <w:pStyle w:val="In-tableHeading"/>
              <w:jc w:val="center"/>
            </w:pPr>
            <w:r>
              <w:t>Model</w:t>
            </w:r>
          </w:p>
        </w:tc>
        <w:tc>
          <w:tcPr>
            <w:tcW w:w="698" w:type="pct"/>
            <w:shd w:val="clear" w:color="auto" w:fill="auto"/>
            <w:vAlign w:val="center"/>
          </w:tcPr>
          <w:p w:rsidR="00B65A92" w:rsidRPr="00E2771E" w:rsidRDefault="00B65A92" w:rsidP="005121EE">
            <w:pPr>
              <w:pStyle w:val="In-tableHeading"/>
              <w:jc w:val="center"/>
            </w:pPr>
            <w:r>
              <w:t>Financial estimates</w:t>
            </w:r>
          </w:p>
        </w:tc>
        <w:tc>
          <w:tcPr>
            <w:tcW w:w="696" w:type="pct"/>
            <w:shd w:val="clear" w:color="auto" w:fill="auto"/>
            <w:vAlign w:val="center"/>
          </w:tcPr>
          <w:p w:rsidR="00B65A92" w:rsidRPr="00E2771E" w:rsidRDefault="00B65A92" w:rsidP="005121EE">
            <w:pPr>
              <w:pStyle w:val="In-tableHeading"/>
              <w:jc w:val="center"/>
            </w:pPr>
            <w:r>
              <w:t>Trial dose and duration</w:t>
            </w:r>
          </w:p>
        </w:tc>
        <w:tc>
          <w:tcPr>
            <w:tcW w:w="699" w:type="pct"/>
            <w:shd w:val="clear" w:color="auto" w:fill="auto"/>
            <w:vAlign w:val="center"/>
          </w:tcPr>
          <w:p w:rsidR="00B65A92" w:rsidRPr="00E2771E" w:rsidRDefault="00B65A92" w:rsidP="005121EE">
            <w:pPr>
              <w:pStyle w:val="In-tableHeading"/>
              <w:jc w:val="center"/>
            </w:pPr>
            <w:r>
              <w:t>Model</w:t>
            </w:r>
          </w:p>
        </w:tc>
        <w:tc>
          <w:tcPr>
            <w:tcW w:w="699" w:type="pct"/>
          </w:tcPr>
          <w:p w:rsidR="00B65A92" w:rsidRDefault="00B65A92" w:rsidP="005121EE">
            <w:pPr>
              <w:pStyle w:val="In-tableHeading"/>
              <w:jc w:val="center"/>
            </w:pPr>
            <w:r>
              <w:t>Financial estimates</w:t>
            </w:r>
          </w:p>
        </w:tc>
      </w:tr>
      <w:tr w:rsidR="00B65A92" w:rsidRPr="00E2771E" w:rsidTr="00E673BC">
        <w:trPr>
          <w:cantSplit/>
          <w:jc w:val="center"/>
        </w:trPr>
        <w:tc>
          <w:tcPr>
            <w:tcW w:w="815" w:type="pct"/>
            <w:shd w:val="clear" w:color="auto" w:fill="auto"/>
            <w:vAlign w:val="center"/>
          </w:tcPr>
          <w:p w:rsidR="00B65A92" w:rsidRPr="001F5BDA" w:rsidRDefault="00B65A92" w:rsidP="005121EE">
            <w:pPr>
              <w:pStyle w:val="TableText0"/>
              <w:rPr>
                <w:lang w:val="en-US"/>
              </w:rPr>
            </w:pPr>
            <w:r>
              <w:rPr>
                <w:lang w:val="en-US"/>
              </w:rPr>
              <w:t>Mean daily dose (on treatment days)</w:t>
            </w:r>
          </w:p>
        </w:tc>
        <w:tc>
          <w:tcPr>
            <w:tcW w:w="755" w:type="pct"/>
            <w:shd w:val="clear" w:color="auto" w:fill="auto"/>
            <w:vAlign w:val="center"/>
          </w:tcPr>
          <w:p w:rsidR="00B65A92" w:rsidRPr="00AB529A" w:rsidRDefault="00B65A92" w:rsidP="005121EE">
            <w:pPr>
              <w:pStyle w:val="TableText0"/>
              <w:jc w:val="center"/>
              <w:rPr>
                <w:lang w:val="en-US"/>
              </w:rPr>
            </w:pPr>
            <w:r w:rsidRPr="00AB529A">
              <w:rPr>
                <w:lang w:val="en-US"/>
              </w:rPr>
              <w:t>R: 512.5 mg</w:t>
            </w:r>
            <w:r w:rsidRPr="00AB529A">
              <w:rPr>
                <w:vertAlign w:val="superscript"/>
                <w:lang w:val="en-US"/>
              </w:rPr>
              <w:t>a</w:t>
            </w:r>
          </w:p>
          <w:p w:rsidR="00B65A92" w:rsidRPr="00AB529A" w:rsidRDefault="00B65A92" w:rsidP="005121EE">
            <w:pPr>
              <w:pStyle w:val="TableText0"/>
              <w:jc w:val="center"/>
              <w:rPr>
                <w:lang w:val="en-US"/>
              </w:rPr>
            </w:pPr>
            <w:r w:rsidRPr="00AB529A">
              <w:rPr>
                <w:lang w:val="en-US"/>
              </w:rPr>
              <w:t>F: 511.2 mg</w:t>
            </w:r>
            <w:r w:rsidRPr="00AB529A">
              <w:rPr>
                <w:vertAlign w:val="superscript"/>
                <w:lang w:val="en-US"/>
              </w:rPr>
              <w:t>a</w:t>
            </w:r>
            <w:r w:rsidRPr="00AB529A">
              <w:rPr>
                <w:lang w:val="en-US"/>
              </w:rPr>
              <w:t xml:space="preserve"> + </w:t>
            </w:r>
            <w:r w:rsidRPr="00AB529A">
              <w:rPr>
                <w:lang w:val="en-US"/>
              </w:rPr>
              <w:br/>
              <w:t>500mg loading</w:t>
            </w:r>
          </w:p>
        </w:tc>
        <w:tc>
          <w:tcPr>
            <w:tcW w:w="638" w:type="pct"/>
            <w:shd w:val="clear" w:color="auto" w:fill="auto"/>
            <w:vAlign w:val="center"/>
          </w:tcPr>
          <w:p w:rsidR="00B65A92" w:rsidRPr="00AB529A" w:rsidRDefault="00B65A92" w:rsidP="005121EE">
            <w:pPr>
              <w:pStyle w:val="TableText0"/>
              <w:jc w:val="center"/>
              <w:rPr>
                <w:lang w:val="en-US"/>
              </w:rPr>
            </w:pPr>
            <w:r w:rsidRPr="00AB529A">
              <w:rPr>
                <w:lang w:val="en-US"/>
              </w:rPr>
              <w:t>R: 510.0 mg</w:t>
            </w:r>
            <w:r w:rsidRPr="00AB529A">
              <w:rPr>
                <w:vertAlign w:val="superscript"/>
                <w:lang w:val="en-US"/>
              </w:rPr>
              <w:t>b</w:t>
            </w:r>
          </w:p>
          <w:p w:rsidR="00B65A92" w:rsidRPr="00AB529A" w:rsidRDefault="00B65A92" w:rsidP="005121EE">
            <w:pPr>
              <w:pStyle w:val="TableText0"/>
              <w:jc w:val="center"/>
              <w:rPr>
                <w:lang w:val="en-US"/>
              </w:rPr>
            </w:pPr>
            <w:r w:rsidRPr="00AB529A">
              <w:rPr>
                <w:lang w:val="en-US"/>
              </w:rPr>
              <w:t>F: 500.0 mg</w:t>
            </w:r>
            <w:r w:rsidRPr="00AB529A">
              <w:rPr>
                <w:vertAlign w:val="superscript"/>
                <w:lang w:val="en-US"/>
              </w:rPr>
              <w:t>b</w:t>
            </w:r>
            <w:r w:rsidRPr="00AB529A">
              <w:rPr>
                <w:lang w:val="en-US"/>
              </w:rPr>
              <w:t xml:space="preserve"> + 500mg loading</w:t>
            </w:r>
          </w:p>
        </w:tc>
        <w:tc>
          <w:tcPr>
            <w:tcW w:w="698" w:type="pct"/>
            <w:shd w:val="clear" w:color="auto" w:fill="auto"/>
            <w:vAlign w:val="center"/>
          </w:tcPr>
          <w:p w:rsidR="00B65A92" w:rsidRPr="00AB529A" w:rsidRDefault="00B65A92" w:rsidP="005121EE">
            <w:pPr>
              <w:pStyle w:val="TableText0"/>
              <w:jc w:val="center"/>
              <w:rPr>
                <w:lang w:val="en-US"/>
              </w:rPr>
            </w:pPr>
            <w:r w:rsidRPr="00AB529A">
              <w:rPr>
                <w:lang w:val="en-US"/>
              </w:rPr>
              <w:t>R: 510.0 mg</w:t>
            </w:r>
            <w:r w:rsidRPr="00AB529A">
              <w:rPr>
                <w:vertAlign w:val="superscript"/>
                <w:lang w:val="en-US"/>
              </w:rPr>
              <w:t>b</w:t>
            </w:r>
          </w:p>
          <w:p w:rsidR="00B65A92" w:rsidRPr="00AB529A" w:rsidRDefault="00B65A92" w:rsidP="005121EE">
            <w:pPr>
              <w:pStyle w:val="TableText0"/>
              <w:jc w:val="center"/>
              <w:rPr>
                <w:b/>
                <w:lang w:val="en-US"/>
              </w:rPr>
            </w:pPr>
            <w:r w:rsidRPr="00AB529A">
              <w:rPr>
                <w:lang w:val="en-US"/>
              </w:rPr>
              <w:t>F: 500.0 mg</w:t>
            </w:r>
            <w:r w:rsidRPr="00AB529A">
              <w:rPr>
                <w:vertAlign w:val="superscript"/>
                <w:lang w:val="en-US"/>
              </w:rPr>
              <w:t>b</w:t>
            </w:r>
            <w:r w:rsidRPr="00AB529A">
              <w:rPr>
                <w:lang w:val="en-US"/>
              </w:rPr>
              <w:t xml:space="preserve"> + 500mg loading</w:t>
            </w:r>
          </w:p>
        </w:tc>
        <w:tc>
          <w:tcPr>
            <w:tcW w:w="696" w:type="pct"/>
            <w:shd w:val="clear" w:color="auto" w:fill="auto"/>
            <w:vAlign w:val="center"/>
          </w:tcPr>
          <w:p w:rsidR="00B65A92" w:rsidRPr="00AB529A" w:rsidRDefault="00B65A92" w:rsidP="005121EE">
            <w:pPr>
              <w:pStyle w:val="TableText0"/>
              <w:jc w:val="center"/>
              <w:rPr>
                <w:lang w:val="en-US"/>
              </w:rPr>
            </w:pPr>
            <w:r w:rsidRPr="00AB529A">
              <w:rPr>
                <w:lang w:val="en-US"/>
              </w:rPr>
              <w:t>EVE: 8.3 mg</w:t>
            </w:r>
            <w:r w:rsidRPr="00AB529A">
              <w:rPr>
                <w:vertAlign w:val="superscript"/>
                <w:lang w:val="en-US"/>
              </w:rPr>
              <w:t>a</w:t>
            </w:r>
          </w:p>
          <w:p w:rsidR="00B65A92" w:rsidRPr="00AB529A" w:rsidRDefault="00B65A92" w:rsidP="005121EE">
            <w:pPr>
              <w:pStyle w:val="TableText0"/>
              <w:jc w:val="center"/>
              <w:rPr>
                <w:lang w:val="en-US"/>
              </w:rPr>
            </w:pPr>
            <w:r w:rsidRPr="00AB529A">
              <w:rPr>
                <w:lang w:val="en-US"/>
              </w:rPr>
              <w:t>EXE: 24.7 mg</w:t>
            </w:r>
            <w:r w:rsidRPr="00AB529A">
              <w:rPr>
                <w:vertAlign w:val="superscript"/>
                <w:lang w:val="en-US"/>
              </w:rPr>
              <w:t>a</w:t>
            </w:r>
          </w:p>
        </w:tc>
        <w:tc>
          <w:tcPr>
            <w:tcW w:w="699" w:type="pct"/>
            <w:shd w:val="clear" w:color="auto" w:fill="auto"/>
            <w:vAlign w:val="center"/>
          </w:tcPr>
          <w:p w:rsidR="00B65A92" w:rsidRPr="00AB529A" w:rsidRDefault="00B65A92" w:rsidP="005121EE">
            <w:pPr>
              <w:pStyle w:val="TableText0"/>
              <w:jc w:val="center"/>
              <w:rPr>
                <w:lang w:val="en-US"/>
              </w:rPr>
            </w:pPr>
            <w:r w:rsidRPr="00AB529A">
              <w:rPr>
                <w:lang w:val="en-US"/>
              </w:rPr>
              <w:t>EVE: 7.9 mg</w:t>
            </w:r>
            <w:r w:rsidRPr="00AB529A">
              <w:rPr>
                <w:vertAlign w:val="superscript"/>
                <w:lang w:val="en-US"/>
              </w:rPr>
              <w:t>b</w:t>
            </w:r>
          </w:p>
          <w:p w:rsidR="00B65A92" w:rsidRPr="00AB529A" w:rsidRDefault="00B65A92" w:rsidP="005121EE">
            <w:pPr>
              <w:pStyle w:val="TableText0"/>
              <w:jc w:val="center"/>
              <w:rPr>
                <w:lang w:val="en-US"/>
              </w:rPr>
            </w:pPr>
            <w:r w:rsidRPr="00AB529A">
              <w:rPr>
                <w:lang w:val="en-US"/>
              </w:rPr>
              <w:t>EXE: 24.5 mg</w:t>
            </w:r>
            <w:r w:rsidRPr="00AB529A">
              <w:rPr>
                <w:vertAlign w:val="superscript"/>
                <w:lang w:val="en-US"/>
              </w:rPr>
              <w:t>b</w:t>
            </w:r>
          </w:p>
        </w:tc>
        <w:tc>
          <w:tcPr>
            <w:tcW w:w="699" w:type="pct"/>
            <w:vAlign w:val="center"/>
          </w:tcPr>
          <w:p w:rsidR="00B65A92" w:rsidRPr="00AB529A" w:rsidRDefault="00B65A92" w:rsidP="005121EE">
            <w:pPr>
              <w:pStyle w:val="TableText0"/>
              <w:jc w:val="center"/>
              <w:rPr>
                <w:lang w:val="en-US"/>
              </w:rPr>
            </w:pPr>
            <w:r w:rsidRPr="00AB529A">
              <w:rPr>
                <w:lang w:val="en-US"/>
              </w:rPr>
              <w:t>EVE: 7.9 mg</w:t>
            </w:r>
            <w:r w:rsidRPr="00AB529A">
              <w:rPr>
                <w:vertAlign w:val="superscript"/>
                <w:lang w:val="en-US"/>
              </w:rPr>
              <w:t>b</w:t>
            </w:r>
          </w:p>
          <w:p w:rsidR="00B65A92" w:rsidRPr="00AB529A" w:rsidRDefault="00B65A92" w:rsidP="005121EE">
            <w:pPr>
              <w:pStyle w:val="TableText0"/>
              <w:jc w:val="center"/>
              <w:rPr>
                <w:b/>
                <w:lang w:val="en-US"/>
              </w:rPr>
            </w:pPr>
            <w:r w:rsidRPr="00AB529A">
              <w:rPr>
                <w:lang w:val="en-US"/>
              </w:rPr>
              <w:t>EXE: 25 mg</w:t>
            </w:r>
          </w:p>
        </w:tc>
      </w:tr>
      <w:tr w:rsidR="00B65A92" w:rsidRPr="00E2771E" w:rsidTr="00E673BC">
        <w:trPr>
          <w:cantSplit/>
          <w:jc w:val="center"/>
        </w:trPr>
        <w:tc>
          <w:tcPr>
            <w:tcW w:w="815" w:type="pct"/>
            <w:shd w:val="clear" w:color="auto" w:fill="auto"/>
            <w:vAlign w:val="center"/>
          </w:tcPr>
          <w:p w:rsidR="00B65A92" w:rsidRPr="001F5BDA" w:rsidRDefault="00B65A92" w:rsidP="005121EE">
            <w:pPr>
              <w:pStyle w:val="TableText0"/>
              <w:rPr>
                <w:lang w:val="en-US"/>
              </w:rPr>
            </w:pPr>
            <w:r w:rsidRPr="001F5BDA">
              <w:rPr>
                <w:lang w:val="en-US"/>
              </w:rPr>
              <w:t>Mean duration</w:t>
            </w:r>
            <w:r>
              <w:rPr>
                <w:lang w:val="en-US"/>
              </w:rPr>
              <w:t xml:space="preserve"> (months)</w:t>
            </w:r>
          </w:p>
        </w:tc>
        <w:tc>
          <w:tcPr>
            <w:tcW w:w="755" w:type="pct"/>
            <w:shd w:val="clear" w:color="auto" w:fill="auto"/>
            <w:vAlign w:val="center"/>
          </w:tcPr>
          <w:p w:rsidR="00B65A92" w:rsidRPr="00FD6425" w:rsidRDefault="00B65A92" w:rsidP="005121EE">
            <w:pPr>
              <w:pStyle w:val="TableText0"/>
              <w:jc w:val="center"/>
              <w:rPr>
                <w:lang w:val="en-US"/>
              </w:rPr>
            </w:pPr>
            <w:r>
              <w:rPr>
                <w:lang w:val="en-US"/>
              </w:rPr>
              <w:t xml:space="preserve">R: </w:t>
            </w:r>
            <w:r w:rsidRPr="00FD6425">
              <w:rPr>
                <w:lang w:val="en-US"/>
              </w:rPr>
              <w:t xml:space="preserve">12.11 </w:t>
            </w:r>
            <w:r>
              <w:rPr>
                <w:lang w:val="en-US"/>
              </w:rPr>
              <w:br/>
              <w:t xml:space="preserve">F: </w:t>
            </w:r>
            <w:r w:rsidRPr="00FD6425">
              <w:rPr>
                <w:lang w:val="en-US"/>
              </w:rPr>
              <w:t>13.15</w:t>
            </w:r>
          </w:p>
        </w:tc>
        <w:tc>
          <w:tcPr>
            <w:tcW w:w="638" w:type="pct"/>
            <w:shd w:val="clear" w:color="auto" w:fill="auto"/>
            <w:vAlign w:val="center"/>
          </w:tcPr>
          <w:p w:rsidR="003E5FA7" w:rsidRPr="0011340E" w:rsidRDefault="00B65A92" w:rsidP="005121EE">
            <w:pPr>
              <w:pStyle w:val="TableText0"/>
              <w:jc w:val="center"/>
              <w:rPr>
                <w:lang w:val="en-US"/>
              </w:rPr>
            </w:pPr>
            <w:r w:rsidRPr="0011340E">
              <w:rPr>
                <w:lang w:val="en-US"/>
              </w:rPr>
              <w:t>n/</w:t>
            </w:r>
            <w:r w:rsidRPr="003E5FA7">
              <w:rPr>
                <w:i/>
                <w:lang w:val="en-US"/>
              </w:rPr>
              <w:t>a</w:t>
            </w:r>
          </w:p>
        </w:tc>
        <w:tc>
          <w:tcPr>
            <w:tcW w:w="698" w:type="pct"/>
            <w:shd w:val="clear" w:color="auto" w:fill="auto"/>
            <w:vAlign w:val="center"/>
          </w:tcPr>
          <w:p w:rsidR="00B65A92" w:rsidRPr="00AE7893" w:rsidRDefault="00B65A92" w:rsidP="005121EE">
            <w:pPr>
              <w:pStyle w:val="TableText0"/>
              <w:jc w:val="center"/>
              <w:rPr>
                <w:lang w:val="en-US"/>
              </w:rPr>
            </w:pPr>
            <w:r w:rsidRPr="00AE7893">
              <w:rPr>
                <w:lang w:val="en-US"/>
              </w:rPr>
              <w:t>18.8</w:t>
            </w:r>
          </w:p>
        </w:tc>
        <w:tc>
          <w:tcPr>
            <w:tcW w:w="696" w:type="pct"/>
            <w:shd w:val="clear" w:color="auto" w:fill="auto"/>
            <w:vAlign w:val="center"/>
          </w:tcPr>
          <w:p w:rsidR="00B65A92" w:rsidRPr="00291C98" w:rsidRDefault="00B65A92" w:rsidP="005121EE">
            <w:pPr>
              <w:pStyle w:val="TableText0"/>
              <w:jc w:val="center"/>
              <w:rPr>
                <w:lang w:val="en-US"/>
              </w:rPr>
            </w:pPr>
            <w:r w:rsidRPr="00291C98">
              <w:rPr>
                <w:lang w:val="en-US"/>
              </w:rPr>
              <w:t>EV</w:t>
            </w:r>
            <w:r w:rsidR="003E5FA7">
              <w:rPr>
                <w:lang w:val="en-US"/>
              </w:rPr>
              <w:t>E</w:t>
            </w:r>
            <w:r w:rsidRPr="00291C98">
              <w:rPr>
                <w:lang w:val="en-US"/>
              </w:rPr>
              <w:t>: 4.55</w:t>
            </w:r>
          </w:p>
          <w:p w:rsidR="00B65A92" w:rsidRPr="00291C98" w:rsidRDefault="00B65A92" w:rsidP="005121EE">
            <w:pPr>
              <w:pStyle w:val="TableText0"/>
              <w:jc w:val="center"/>
              <w:rPr>
                <w:lang w:val="en-US"/>
              </w:rPr>
            </w:pPr>
            <w:r w:rsidRPr="00291C98">
              <w:rPr>
                <w:lang w:val="en-US"/>
              </w:rPr>
              <w:t>EX</w:t>
            </w:r>
            <w:r w:rsidR="003E5FA7">
              <w:rPr>
                <w:lang w:val="en-US"/>
              </w:rPr>
              <w:t>E</w:t>
            </w:r>
            <w:r w:rsidRPr="00291C98">
              <w:rPr>
                <w:lang w:val="en-US"/>
              </w:rPr>
              <w:t>: 4.89</w:t>
            </w:r>
          </w:p>
        </w:tc>
        <w:tc>
          <w:tcPr>
            <w:tcW w:w="699" w:type="pct"/>
            <w:shd w:val="clear" w:color="auto" w:fill="auto"/>
            <w:vAlign w:val="center"/>
          </w:tcPr>
          <w:p w:rsidR="003E5FA7" w:rsidRPr="004D2ACE" w:rsidRDefault="00BF44BF" w:rsidP="005121EE">
            <w:pPr>
              <w:pStyle w:val="TableText0"/>
              <w:jc w:val="center"/>
              <w:rPr>
                <w:lang w:val="en-US"/>
              </w:rPr>
            </w:pPr>
            <w:r w:rsidRPr="0011340E">
              <w:rPr>
                <w:lang w:val="en-US"/>
              </w:rPr>
              <w:t>n/</w:t>
            </w:r>
            <w:r w:rsidRPr="003E5FA7">
              <w:rPr>
                <w:i/>
                <w:lang w:val="en-US"/>
              </w:rPr>
              <w:t>a</w:t>
            </w:r>
          </w:p>
        </w:tc>
        <w:tc>
          <w:tcPr>
            <w:tcW w:w="699" w:type="pct"/>
            <w:vAlign w:val="center"/>
          </w:tcPr>
          <w:p w:rsidR="00B65A92" w:rsidRPr="00AE7893" w:rsidRDefault="00B65A92" w:rsidP="005121EE">
            <w:pPr>
              <w:pStyle w:val="TableText0"/>
              <w:jc w:val="center"/>
              <w:rPr>
                <w:lang w:val="en-US"/>
              </w:rPr>
            </w:pPr>
            <w:r>
              <w:rPr>
                <w:lang w:val="en-US"/>
              </w:rPr>
              <w:t>7</w:t>
            </w:r>
            <w:r w:rsidRPr="00AE7893">
              <w:rPr>
                <w:lang w:val="en-US"/>
              </w:rPr>
              <w:t>.8</w:t>
            </w:r>
          </w:p>
        </w:tc>
      </w:tr>
      <w:tr w:rsidR="00B65A92" w:rsidRPr="00E2771E" w:rsidTr="00E673BC">
        <w:trPr>
          <w:cantSplit/>
          <w:jc w:val="center"/>
        </w:trPr>
        <w:tc>
          <w:tcPr>
            <w:tcW w:w="815" w:type="pct"/>
            <w:shd w:val="clear" w:color="auto" w:fill="auto"/>
            <w:vAlign w:val="center"/>
          </w:tcPr>
          <w:p w:rsidR="00B65A92" w:rsidRPr="00E2771E" w:rsidRDefault="00B65A92" w:rsidP="005121EE">
            <w:pPr>
              <w:pStyle w:val="TableText0"/>
              <w:rPr>
                <w:lang w:val="en-US"/>
              </w:rPr>
            </w:pPr>
            <w:r>
              <w:rPr>
                <w:lang w:val="en-US"/>
              </w:rPr>
              <w:t>Cost/patient/ /course</w:t>
            </w:r>
          </w:p>
        </w:tc>
        <w:tc>
          <w:tcPr>
            <w:tcW w:w="755" w:type="pct"/>
            <w:shd w:val="clear" w:color="auto" w:fill="auto"/>
            <w:vAlign w:val="center"/>
          </w:tcPr>
          <w:p w:rsidR="00B65A92" w:rsidRPr="00E2771E" w:rsidRDefault="00B65A92" w:rsidP="005121EE">
            <w:pPr>
              <w:pStyle w:val="TableText0"/>
              <w:jc w:val="center"/>
              <w:rPr>
                <w:lang w:val="en-US"/>
              </w:rPr>
            </w:pPr>
            <w:r>
              <w:rPr>
                <w:lang w:val="en-US"/>
              </w:rPr>
              <w:t>$</w:t>
            </w:r>
            <w:r w:rsidR="005E31C0">
              <w:rPr>
                <w:noProof/>
                <w:color w:val="000000"/>
                <w:highlight w:val="black"/>
                <w:lang w:val="en-US"/>
              </w:rPr>
              <w:t>''''''''''''''''''</w:t>
            </w:r>
          </w:p>
        </w:tc>
        <w:tc>
          <w:tcPr>
            <w:tcW w:w="638" w:type="pct"/>
            <w:shd w:val="clear" w:color="auto" w:fill="auto"/>
            <w:vAlign w:val="center"/>
          </w:tcPr>
          <w:p w:rsidR="00B65A92" w:rsidRPr="003A6106" w:rsidRDefault="00B65A92" w:rsidP="005121EE">
            <w:pPr>
              <w:pStyle w:val="TableText0"/>
              <w:jc w:val="center"/>
              <w:rPr>
                <w:lang w:val="en-US"/>
              </w:rPr>
            </w:pPr>
            <w:r w:rsidRPr="003A6106">
              <w:rPr>
                <w:lang w:val="en-US"/>
              </w:rPr>
              <w:t>$</w:t>
            </w:r>
            <w:r w:rsidR="005E31C0">
              <w:rPr>
                <w:noProof/>
                <w:color w:val="000000"/>
                <w:highlight w:val="black"/>
                <w:lang w:val="en-US"/>
              </w:rPr>
              <w:t>'''''''''''''''''''''</w:t>
            </w:r>
          </w:p>
        </w:tc>
        <w:tc>
          <w:tcPr>
            <w:tcW w:w="698" w:type="pct"/>
            <w:shd w:val="clear" w:color="auto" w:fill="auto"/>
            <w:vAlign w:val="center"/>
          </w:tcPr>
          <w:p w:rsidR="00B65A92" w:rsidRPr="003A6106" w:rsidRDefault="00B65A92" w:rsidP="005121EE">
            <w:pPr>
              <w:pStyle w:val="TableText0"/>
              <w:jc w:val="center"/>
              <w:rPr>
                <w:lang w:val="en-US"/>
              </w:rPr>
            </w:pPr>
            <w:r w:rsidRPr="003A6106">
              <w:rPr>
                <w:lang w:val="en-US"/>
              </w:rPr>
              <w:t>$</w:t>
            </w:r>
            <w:r w:rsidR="005E31C0">
              <w:rPr>
                <w:noProof/>
                <w:color w:val="000000"/>
                <w:highlight w:val="black"/>
                <w:lang w:val="en-US"/>
              </w:rPr>
              <w:t>''''''''''''''''</w:t>
            </w:r>
            <w:r w:rsidR="00607C70" w:rsidRPr="003A6106">
              <w:rPr>
                <w:vertAlign w:val="superscript"/>
                <w:lang w:val="en-US"/>
              </w:rPr>
              <w:t>d</w:t>
            </w:r>
          </w:p>
        </w:tc>
        <w:tc>
          <w:tcPr>
            <w:tcW w:w="696" w:type="pct"/>
            <w:shd w:val="clear" w:color="auto" w:fill="auto"/>
            <w:vAlign w:val="center"/>
          </w:tcPr>
          <w:p w:rsidR="00B65A92" w:rsidRPr="00E2771E" w:rsidRDefault="00B65A92" w:rsidP="005121EE">
            <w:pPr>
              <w:pStyle w:val="TableText0"/>
              <w:jc w:val="center"/>
              <w:rPr>
                <w:lang w:val="en-US"/>
              </w:rPr>
            </w:pPr>
            <w:r>
              <w:rPr>
                <w:lang w:val="en-US"/>
              </w:rPr>
              <w:t>$</w:t>
            </w:r>
            <w:r w:rsidRPr="004D5AAC">
              <w:rPr>
                <w:lang w:val="en-US"/>
              </w:rPr>
              <w:t>6,924</w:t>
            </w:r>
          </w:p>
        </w:tc>
        <w:tc>
          <w:tcPr>
            <w:tcW w:w="699" w:type="pct"/>
            <w:shd w:val="clear" w:color="auto" w:fill="auto"/>
            <w:vAlign w:val="center"/>
          </w:tcPr>
          <w:p w:rsidR="00B65A92" w:rsidRPr="00E2771E" w:rsidRDefault="00B65A92" w:rsidP="005121EE">
            <w:pPr>
              <w:pStyle w:val="TableText0"/>
              <w:jc w:val="center"/>
              <w:rPr>
                <w:lang w:val="en-US"/>
              </w:rPr>
            </w:pPr>
            <w:r>
              <w:rPr>
                <w:lang w:val="en-US"/>
              </w:rPr>
              <w:t>$</w:t>
            </w:r>
            <w:r w:rsidRPr="004D5AAC">
              <w:rPr>
                <w:lang w:val="en-US"/>
              </w:rPr>
              <w:t>11,859</w:t>
            </w:r>
          </w:p>
        </w:tc>
        <w:tc>
          <w:tcPr>
            <w:tcW w:w="699" w:type="pct"/>
            <w:vAlign w:val="center"/>
          </w:tcPr>
          <w:p w:rsidR="00B65A92" w:rsidRPr="00E2771E" w:rsidRDefault="00B65A92" w:rsidP="005121EE">
            <w:pPr>
              <w:pStyle w:val="TableText0"/>
              <w:jc w:val="center"/>
              <w:rPr>
                <w:lang w:val="en-US"/>
              </w:rPr>
            </w:pPr>
            <w:r>
              <w:rPr>
                <w:lang w:val="en-US"/>
              </w:rPr>
              <w:t>$</w:t>
            </w:r>
            <w:r w:rsidRPr="004D5AAC">
              <w:rPr>
                <w:lang w:val="en-US"/>
              </w:rPr>
              <w:t>11,420</w:t>
            </w:r>
          </w:p>
        </w:tc>
      </w:tr>
    </w:tbl>
    <w:p w:rsidR="00B65A92" w:rsidRDefault="00B65A92" w:rsidP="005121EE">
      <w:pPr>
        <w:pStyle w:val="TableFigureFooter"/>
        <w:keepNext/>
        <w:rPr>
          <w:i/>
        </w:rPr>
      </w:pPr>
      <w:r w:rsidRPr="007F1017">
        <w:t>Source: Table</w:t>
      </w:r>
      <w:r>
        <w:t xml:space="preserve">s 12-1, 12-2 &amp; 14.3-1.2, pp172-173 &amp; 12324 of the MONALEESA-3 CSR, Tables 12-1 &amp; 12-2, pp154-155 of the BOLERO-2 CSR, sheets ‘Regimens_Dose’, ‘Comp1.Calc’ &amp; ‘Comp5.Calc’ of CEA Model workbook. </w:t>
      </w:r>
    </w:p>
    <w:p w:rsidR="00B65A92" w:rsidRPr="006B085A" w:rsidRDefault="00B65A92" w:rsidP="005121EE">
      <w:pPr>
        <w:pStyle w:val="TableFigureFooter"/>
        <w:keepNext/>
      </w:pPr>
      <w:r>
        <w:t xml:space="preserve">F = fulvestrant; EVE = everolimus; EXE = exemestane; R = ribociclib; RIBO+FULV = ribociclib + fulvestrant; </w:t>
      </w:r>
      <w:r w:rsidR="003E5FA7">
        <w:t>TTD = time to treatment discontinuation</w:t>
      </w:r>
    </w:p>
    <w:p w:rsidR="00B65A92" w:rsidRPr="00544C5E" w:rsidRDefault="00B65A92" w:rsidP="005121EE">
      <w:pPr>
        <w:pStyle w:val="TableFigureFooter"/>
        <w:keepNext/>
        <w:rPr>
          <w:vertAlign w:val="superscript"/>
        </w:rPr>
      </w:pPr>
      <w:r w:rsidRPr="001B7AAD">
        <w:rPr>
          <w:vertAlign w:val="superscript"/>
        </w:rPr>
        <w:t>a</w:t>
      </w:r>
      <w:r>
        <w:rPr>
          <w:vertAlign w:val="superscript"/>
        </w:rPr>
        <w:t xml:space="preserve"> </w:t>
      </w:r>
      <w:r w:rsidRPr="00544C5E">
        <w:t>me</w:t>
      </w:r>
      <w:r>
        <w:t>a</w:t>
      </w:r>
      <w:r w:rsidRPr="00544C5E">
        <w:t>n d</w:t>
      </w:r>
      <w:r>
        <w:t>aily dose = [mean total dose received] / {[mean duration (months), converted to 28-day cycles]/ # dosing days per cycle}</w:t>
      </w:r>
      <w:r w:rsidR="00AD7724">
        <w:t xml:space="preserve">; </w:t>
      </w:r>
      <w:r w:rsidRPr="00544C5E">
        <w:rPr>
          <w:vertAlign w:val="superscript"/>
        </w:rPr>
        <w:t>b</w:t>
      </w:r>
      <w:r>
        <w:rPr>
          <w:vertAlign w:val="superscript"/>
        </w:rPr>
        <w:t xml:space="preserve"> </w:t>
      </w:r>
      <w:r w:rsidRPr="00544C5E">
        <w:t xml:space="preserve">mean </w:t>
      </w:r>
      <w:r>
        <w:t>daily dose = [prescribed daily dose] * [relative dose intensity]</w:t>
      </w:r>
      <w:r w:rsidR="00AD7724">
        <w:t>;</w:t>
      </w:r>
      <w:r w:rsidR="00AD7724" w:rsidRPr="003A6106">
        <w:t xml:space="preserve"> </w:t>
      </w:r>
      <w:r w:rsidR="00BF44BF" w:rsidRPr="003A6106">
        <w:rPr>
          <w:vertAlign w:val="superscript"/>
        </w:rPr>
        <w:t>c</w:t>
      </w:r>
      <w:r w:rsidRPr="003A6106">
        <w:t>Amended during the evaluation to apply updated fulvestrant DPMQ and count loading and initial dose of fulvestrant in cycle 1</w:t>
      </w:r>
      <w:r w:rsidR="00AD7724" w:rsidRPr="003A6106">
        <w:t xml:space="preserve">; </w:t>
      </w:r>
      <w:r w:rsidR="00CC2FB9" w:rsidRPr="003A6106">
        <w:rPr>
          <w:vertAlign w:val="superscript"/>
        </w:rPr>
        <w:t>d</w:t>
      </w:r>
      <w:r w:rsidRPr="003A6106">
        <w:rPr>
          <w:vertAlign w:val="superscript"/>
        </w:rPr>
        <w:t xml:space="preserve"> </w:t>
      </w:r>
      <w:r w:rsidRPr="003A6106">
        <w:t xml:space="preserve">Calculated during the evaluation using the proposed </w:t>
      </w:r>
      <w:r w:rsidR="00BF7D6B" w:rsidRPr="003A6106">
        <w:t>second</w:t>
      </w:r>
      <w:r w:rsidRPr="003A6106">
        <w:t xml:space="preserve"> line price for ribociclib and updated fulvestrant DPMQ.</w:t>
      </w:r>
    </w:p>
    <w:p w:rsidR="00B60939" w:rsidRPr="00C9624D" w:rsidRDefault="00B60939" w:rsidP="00B65A92">
      <w:pPr>
        <w:pStyle w:val="4-SubsectionHeading"/>
      </w:pPr>
      <w:bookmarkStart w:id="50" w:name="_Toc22897647"/>
      <w:bookmarkStart w:id="51" w:name="_Toc38290349"/>
      <w:bookmarkStart w:id="52" w:name="_Toc40716953"/>
      <w:r w:rsidRPr="00C9624D">
        <w:t>Estimated PBS usage &amp; financial implications</w:t>
      </w:r>
      <w:bookmarkEnd w:id="50"/>
      <w:bookmarkEnd w:id="51"/>
      <w:bookmarkEnd w:id="52"/>
    </w:p>
    <w:p w:rsidR="001A2112" w:rsidRDefault="00830ED6" w:rsidP="00830ED6">
      <w:pPr>
        <w:pStyle w:val="3-BodyText"/>
      </w:pPr>
      <w:bookmarkStart w:id="53" w:name="_Toc38290350"/>
      <w:bookmarkStart w:id="54" w:name="_Toc40716954"/>
      <w:r w:rsidRPr="00B65A92">
        <w:t xml:space="preserve">The submission used a combined epidemiological and market share approach to estimate four patient populations. Patients eligible for </w:t>
      </w:r>
      <w:r>
        <w:t>first</w:t>
      </w:r>
      <w:r w:rsidRPr="00B65A92">
        <w:t xml:space="preserve"> line treatment were </w:t>
      </w:r>
      <w:r w:rsidR="00051C50">
        <w:t>estimated</w:t>
      </w:r>
      <w:r w:rsidR="00051C50" w:rsidRPr="00B65A92">
        <w:t xml:space="preserve"> </w:t>
      </w:r>
      <w:r w:rsidR="00051C50">
        <w:t>using</w:t>
      </w:r>
      <w:r w:rsidRPr="00B65A92">
        <w:t xml:space="preserve"> an epidemiological approach using data from the March 2018 PBAC RIBO+NSAI submission. </w:t>
      </w:r>
    </w:p>
    <w:p w:rsidR="00830ED6" w:rsidRPr="00B65A92" w:rsidRDefault="00830ED6" w:rsidP="00830ED6">
      <w:pPr>
        <w:pStyle w:val="3-BodyText"/>
      </w:pPr>
      <w:r w:rsidRPr="00B65A92">
        <w:t>Population 1 (</w:t>
      </w:r>
      <w:r>
        <w:t>first</w:t>
      </w:r>
      <w:r w:rsidRPr="00B65A92">
        <w:t xml:space="preserve"> line</w:t>
      </w:r>
      <w:r w:rsidR="001A2112">
        <w:t>, patients substituting RIBO+FULV for CDKI+NSAI</w:t>
      </w:r>
      <w:r w:rsidRPr="00B65A92">
        <w:t>) was defined by a market share approach using PBS data for CDK4/6 inhibitors from 2018 to 2019. Population 2 (</w:t>
      </w:r>
      <w:r>
        <w:t>first</w:t>
      </w:r>
      <w:r w:rsidRPr="00B65A92">
        <w:t xml:space="preserve"> line</w:t>
      </w:r>
      <w:r w:rsidR="001A2112">
        <w:t>, growth of CDKI market</w:t>
      </w:r>
      <w:r w:rsidRPr="00B65A92">
        <w:t xml:space="preserve">) was defined by subtracting Population 1 from the eligible </w:t>
      </w:r>
      <w:r>
        <w:t>first</w:t>
      </w:r>
      <w:r w:rsidRPr="00B65A92">
        <w:t xml:space="preserve"> line population. Population 3 (</w:t>
      </w:r>
      <w:r>
        <w:t>second</w:t>
      </w:r>
      <w:r w:rsidRPr="00B65A92">
        <w:t xml:space="preserve"> line</w:t>
      </w:r>
      <w:r w:rsidR="001A2112">
        <w:t>, patients displacing EVE+EXE</w:t>
      </w:r>
      <w:r w:rsidRPr="00B65A92">
        <w:t>) was defined by a market share approach using PBS data for everolimus from 2014 to 2019. Population 4 (</w:t>
      </w:r>
      <w:r>
        <w:t>second</w:t>
      </w:r>
      <w:r w:rsidRPr="00B65A92">
        <w:t xml:space="preserve"> line</w:t>
      </w:r>
      <w:r w:rsidR="001A2112">
        <w:t xml:space="preserve">, </w:t>
      </w:r>
      <w:r w:rsidR="00586A77">
        <w:t>patients displacing EXE</w:t>
      </w:r>
      <w:r w:rsidRPr="00B65A92">
        <w:t xml:space="preserve">) was defined by subtracting Population 3 from patients not treated with chemotherapy in Population 2. </w:t>
      </w:r>
      <w:r w:rsidRPr="00830ED6">
        <w:t xml:space="preserve">The </w:t>
      </w:r>
      <w:r w:rsidR="001A2112">
        <w:t>PBAC considered that</w:t>
      </w:r>
      <w:r w:rsidRPr="00830ED6">
        <w:t xml:space="preserve"> many assumptions </w:t>
      </w:r>
      <w:r w:rsidR="00AD7E75">
        <w:t>applied</w:t>
      </w:r>
      <w:r w:rsidR="001A2112">
        <w:t xml:space="preserve"> in this approach were </w:t>
      </w:r>
      <w:r w:rsidRPr="00830ED6">
        <w:t>unjustified and uncertain.</w:t>
      </w:r>
      <w:r w:rsidR="001A2112">
        <w:t xml:space="preserve"> The PBAC noted that the relative proportion of patients in fi</w:t>
      </w:r>
      <w:r w:rsidR="00656CDD">
        <w:t>r</w:t>
      </w:r>
      <w:r w:rsidR="001A2112">
        <w:t xml:space="preserve">st and subsequent line populations is important because it impacts </w:t>
      </w:r>
      <w:r w:rsidR="00AD7E75">
        <w:t xml:space="preserve">on </w:t>
      </w:r>
      <w:r w:rsidR="001A2112">
        <w:t xml:space="preserve">the weighted price for ribociclib. </w:t>
      </w:r>
    </w:p>
    <w:p w:rsidR="00830ED6" w:rsidRPr="00B65A92" w:rsidRDefault="00830ED6" w:rsidP="00830ED6">
      <w:pPr>
        <w:pStyle w:val="3-BodyText"/>
      </w:pPr>
      <w:r w:rsidRPr="00B65A92">
        <w:t xml:space="preserve">Table </w:t>
      </w:r>
      <w:r w:rsidR="00596697">
        <w:t>2</w:t>
      </w:r>
      <w:r>
        <w:t>1</w:t>
      </w:r>
      <w:r w:rsidRPr="00B65A92">
        <w:t xml:space="preserve"> outlines the key inputs in the financial estimates.</w:t>
      </w:r>
    </w:p>
    <w:p w:rsidR="00830ED6" w:rsidRPr="00B65A92" w:rsidRDefault="00830ED6" w:rsidP="00830ED6">
      <w:pPr>
        <w:pStyle w:val="3-BodyText"/>
        <w:keepNext/>
        <w:numPr>
          <w:ilvl w:val="0"/>
          <w:numId w:val="0"/>
        </w:numPr>
        <w:spacing w:after="0"/>
        <w:rPr>
          <w:rStyle w:val="CommentReference"/>
        </w:rPr>
      </w:pPr>
      <w:r w:rsidRPr="00B65A92">
        <w:rPr>
          <w:rStyle w:val="CommentReference"/>
        </w:rPr>
        <w:t xml:space="preserve">Table </w:t>
      </w:r>
      <w:r w:rsidR="00596697">
        <w:rPr>
          <w:rStyle w:val="CommentReference"/>
        </w:rPr>
        <w:t>21</w:t>
      </w:r>
      <w:r w:rsidRPr="00B65A92">
        <w:rPr>
          <w:rStyle w:val="CommentReference"/>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5"/>
        <w:gridCol w:w="3118"/>
        <w:gridCol w:w="4344"/>
      </w:tblGrid>
      <w:tr w:rsidR="00830ED6" w:rsidRPr="00830ED6" w:rsidTr="007C646E">
        <w:trPr>
          <w:tblHeader/>
        </w:trPr>
        <w:tc>
          <w:tcPr>
            <w:tcW w:w="862" w:type="pct"/>
            <w:shd w:val="clear" w:color="auto" w:fill="auto"/>
            <w:vAlign w:val="center"/>
          </w:tcPr>
          <w:p w:rsidR="00830ED6" w:rsidRPr="00830ED6" w:rsidRDefault="00830ED6" w:rsidP="007C646E">
            <w:pPr>
              <w:pStyle w:val="3-BodyText"/>
              <w:keepNext/>
              <w:numPr>
                <w:ilvl w:val="0"/>
                <w:numId w:val="0"/>
              </w:numPr>
              <w:spacing w:after="0"/>
              <w:jc w:val="left"/>
              <w:rPr>
                <w:rFonts w:ascii="Arial Narrow" w:hAnsi="Arial Narrow"/>
                <w:b/>
                <w:sz w:val="20"/>
                <w:szCs w:val="20"/>
                <w:lang w:val="en-US"/>
              </w:rPr>
            </w:pPr>
            <w:r w:rsidRPr="00830ED6">
              <w:rPr>
                <w:rFonts w:ascii="Arial Narrow" w:hAnsi="Arial Narrow"/>
                <w:b/>
                <w:sz w:val="20"/>
                <w:szCs w:val="20"/>
                <w:lang w:val="en-US"/>
              </w:rPr>
              <w:t>Parameter</w:t>
            </w:r>
          </w:p>
        </w:tc>
        <w:tc>
          <w:tcPr>
            <w:tcW w:w="1729" w:type="pct"/>
            <w:shd w:val="clear" w:color="auto" w:fill="auto"/>
            <w:vAlign w:val="center"/>
          </w:tcPr>
          <w:p w:rsidR="00830ED6" w:rsidRPr="00830ED6" w:rsidRDefault="00830ED6" w:rsidP="007C646E">
            <w:pPr>
              <w:pStyle w:val="3-BodyText"/>
              <w:keepNext/>
              <w:numPr>
                <w:ilvl w:val="0"/>
                <w:numId w:val="0"/>
              </w:numPr>
              <w:spacing w:after="0"/>
              <w:rPr>
                <w:rFonts w:ascii="Arial Narrow" w:hAnsi="Arial Narrow"/>
                <w:b/>
                <w:sz w:val="20"/>
                <w:szCs w:val="20"/>
                <w:lang w:val="en-US"/>
              </w:rPr>
            </w:pPr>
            <w:r w:rsidRPr="00830ED6">
              <w:rPr>
                <w:rFonts w:ascii="Arial Narrow" w:hAnsi="Arial Narrow"/>
                <w:b/>
                <w:sz w:val="20"/>
                <w:szCs w:val="20"/>
                <w:lang w:val="en-US"/>
              </w:rPr>
              <w:t>Value applied and source</w:t>
            </w:r>
          </w:p>
        </w:tc>
        <w:tc>
          <w:tcPr>
            <w:tcW w:w="2409" w:type="pct"/>
            <w:shd w:val="clear" w:color="auto" w:fill="auto"/>
            <w:vAlign w:val="center"/>
          </w:tcPr>
          <w:p w:rsidR="00830ED6" w:rsidRPr="00830ED6" w:rsidRDefault="00830ED6" w:rsidP="007C646E">
            <w:pPr>
              <w:pStyle w:val="3-BodyText"/>
              <w:keepNext/>
              <w:numPr>
                <w:ilvl w:val="0"/>
                <w:numId w:val="0"/>
              </w:numPr>
              <w:spacing w:after="0"/>
              <w:rPr>
                <w:rFonts w:ascii="Arial Narrow" w:hAnsi="Arial Narrow"/>
                <w:b/>
                <w:sz w:val="20"/>
                <w:szCs w:val="20"/>
                <w:lang w:val="en-US"/>
              </w:rPr>
            </w:pPr>
            <w:r w:rsidRPr="00830ED6">
              <w:rPr>
                <w:rFonts w:ascii="Arial Narrow" w:hAnsi="Arial Narrow"/>
                <w:b/>
                <w:sz w:val="20"/>
                <w:szCs w:val="20"/>
                <w:lang w:val="en-US"/>
              </w:rPr>
              <w:t>Comment</w:t>
            </w:r>
          </w:p>
        </w:tc>
      </w:tr>
      <w:tr w:rsidR="002D24E8" w:rsidRPr="00830ED6" w:rsidTr="007C646E">
        <w:tc>
          <w:tcPr>
            <w:tcW w:w="862" w:type="pct"/>
            <w:shd w:val="clear" w:color="auto" w:fill="auto"/>
            <w:vAlign w:val="center"/>
          </w:tcPr>
          <w:p w:rsidR="002D24E8" w:rsidRPr="00830ED6" w:rsidRDefault="002D24E8" w:rsidP="002D24E8">
            <w:pPr>
              <w:pStyle w:val="3-BodyText"/>
              <w:keepNext/>
              <w:numPr>
                <w:ilvl w:val="0"/>
                <w:numId w:val="0"/>
              </w:numPr>
              <w:spacing w:after="0"/>
              <w:jc w:val="left"/>
              <w:rPr>
                <w:rFonts w:ascii="Arial Narrow" w:hAnsi="Arial Narrow"/>
                <w:bCs/>
                <w:sz w:val="20"/>
                <w:szCs w:val="20"/>
                <w:lang w:val="en-US"/>
              </w:rPr>
            </w:pPr>
            <w:r w:rsidRPr="00830ED6">
              <w:rPr>
                <w:rFonts w:ascii="Arial Narrow" w:hAnsi="Arial Narrow"/>
                <w:bCs/>
                <w:sz w:val="20"/>
                <w:szCs w:val="20"/>
                <w:lang w:val="en-US"/>
              </w:rPr>
              <w:t>Prevalent population – HR+, HER2- advanced breast cancer, post-menopausal, ECOG status ≤1</w:t>
            </w:r>
          </w:p>
        </w:tc>
        <w:tc>
          <w:tcPr>
            <w:tcW w:w="1729" w:type="pct"/>
            <w:shd w:val="clear" w:color="auto" w:fill="auto"/>
            <w:vAlign w:val="center"/>
          </w:tcPr>
          <w:p w:rsidR="002D24E8" w:rsidRPr="00830ED6" w:rsidRDefault="002D24E8" w:rsidP="002D24E8">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3,527 in 2018 (IPSOS 2016)</w:t>
            </w:r>
          </w:p>
        </w:tc>
        <w:tc>
          <w:tcPr>
            <w:tcW w:w="2409" w:type="pct"/>
            <w:shd w:val="clear" w:color="auto" w:fill="auto"/>
            <w:vAlign w:val="center"/>
          </w:tcPr>
          <w:p w:rsidR="002D24E8" w:rsidRPr="00830ED6" w:rsidRDefault="002D24E8" w:rsidP="002D24E8">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Consistent with data presented in the RIBO+NSAI submission for a similar indication. The primary endocrine resistance restriction was removed for this submission</w:t>
            </w:r>
          </w:p>
        </w:tc>
      </w:tr>
      <w:tr w:rsidR="002D24E8" w:rsidRPr="00830ED6" w:rsidTr="007C646E">
        <w:tc>
          <w:tcPr>
            <w:tcW w:w="862" w:type="pct"/>
            <w:shd w:val="clear" w:color="auto" w:fill="auto"/>
            <w:vAlign w:val="center"/>
          </w:tcPr>
          <w:p w:rsidR="002D24E8" w:rsidRPr="00830ED6" w:rsidRDefault="002D24E8" w:rsidP="002D24E8">
            <w:pPr>
              <w:pStyle w:val="3-BodyText"/>
              <w:keepNext/>
              <w:numPr>
                <w:ilvl w:val="0"/>
                <w:numId w:val="0"/>
              </w:numPr>
              <w:spacing w:after="0"/>
              <w:jc w:val="left"/>
              <w:rPr>
                <w:rFonts w:ascii="Arial Narrow" w:hAnsi="Arial Narrow"/>
                <w:bCs/>
                <w:sz w:val="20"/>
                <w:szCs w:val="20"/>
                <w:lang w:val="en-US"/>
              </w:rPr>
            </w:pPr>
            <w:r w:rsidRPr="00830ED6">
              <w:rPr>
                <w:rFonts w:ascii="Arial Narrow" w:hAnsi="Arial Narrow"/>
                <w:bCs/>
                <w:sz w:val="20"/>
                <w:szCs w:val="20"/>
                <w:lang w:val="en-US"/>
              </w:rPr>
              <w:t>Growth of prevalent patients</w:t>
            </w:r>
          </w:p>
        </w:tc>
        <w:tc>
          <w:tcPr>
            <w:tcW w:w="1729" w:type="pct"/>
            <w:shd w:val="clear" w:color="auto" w:fill="auto"/>
            <w:vAlign w:val="center"/>
          </w:tcPr>
          <w:p w:rsidR="002D24E8" w:rsidRPr="00830ED6" w:rsidRDefault="002D24E8" w:rsidP="002D24E8">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6% (RIBO+NSAI submission)</w:t>
            </w:r>
          </w:p>
        </w:tc>
        <w:tc>
          <w:tcPr>
            <w:tcW w:w="2409" w:type="pct"/>
            <w:shd w:val="clear" w:color="auto" w:fill="auto"/>
            <w:vAlign w:val="center"/>
          </w:tcPr>
          <w:p w:rsidR="002D24E8" w:rsidRPr="00830ED6" w:rsidRDefault="002D24E8" w:rsidP="002D24E8">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Consistent with RIBO+NSAI submission</w:t>
            </w:r>
          </w:p>
        </w:tc>
      </w:tr>
      <w:tr w:rsidR="002D24E8" w:rsidRPr="00830ED6" w:rsidTr="007C646E">
        <w:tc>
          <w:tcPr>
            <w:tcW w:w="862" w:type="pct"/>
            <w:shd w:val="clear" w:color="auto" w:fill="auto"/>
            <w:vAlign w:val="center"/>
          </w:tcPr>
          <w:p w:rsidR="002D24E8" w:rsidRPr="00830ED6" w:rsidRDefault="002D24E8" w:rsidP="002D24E8">
            <w:pPr>
              <w:pStyle w:val="3-BodyText"/>
              <w:keepNext/>
              <w:numPr>
                <w:ilvl w:val="0"/>
                <w:numId w:val="0"/>
              </w:numPr>
              <w:spacing w:after="0"/>
              <w:jc w:val="left"/>
              <w:rPr>
                <w:rFonts w:ascii="Arial Narrow" w:hAnsi="Arial Narrow"/>
                <w:bCs/>
                <w:sz w:val="20"/>
                <w:szCs w:val="20"/>
                <w:lang w:val="en-US"/>
              </w:rPr>
            </w:pPr>
            <w:r w:rsidRPr="00830ED6">
              <w:rPr>
                <w:rFonts w:ascii="Arial Narrow" w:hAnsi="Arial Narrow"/>
                <w:bCs/>
                <w:sz w:val="20"/>
                <w:szCs w:val="20"/>
                <w:lang w:val="en-US"/>
              </w:rPr>
              <w:t>Growth of CDK4/6 market</w:t>
            </w:r>
          </w:p>
        </w:tc>
        <w:tc>
          <w:tcPr>
            <w:tcW w:w="1729" w:type="pct"/>
            <w:shd w:val="clear" w:color="auto" w:fill="auto"/>
            <w:vAlign w:val="center"/>
          </w:tcPr>
          <w:p w:rsidR="002D24E8" w:rsidRPr="00830ED6" w:rsidRDefault="002D24E8" w:rsidP="002D24E8">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19% in Year 1, 12% in year 2 to 6% in Years 3+ (no source provided)</w:t>
            </w:r>
          </w:p>
        </w:tc>
        <w:tc>
          <w:tcPr>
            <w:tcW w:w="2409" w:type="pct"/>
            <w:shd w:val="clear" w:color="auto" w:fill="auto"/>
            <w:vAlign w:val="center"/>
          </w:tcPr>
          <w:p w:rsidR="002D24E8" w:rsidRPr="00830ED6" w:rsidRDefault="002D24E8" w:rsidP="002D24E8">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Uncertain</w:t>
            </w:r>
            <w:r>
              <w:rPr>
                <w:rFonts w:ascii="Arial Narrow" w:hAnsi="Arial Narrow"/>
                <w:bCs/>
                <w:sz w:val="20"/>
                <w:szCs w:val="20"/>
                <w:lang w:val="en-US"/>
              </w:rPr>
              <w:t>. DUSC considered annual market growth of up to 19% was unlikely to be observed as the market is expected to have stabilised</w:t>
            </w:r>
            <w:r w:rsidRPr="00830ED6">
              <w:rPr>
                <w:rFonts w:ascii="Arial Narrow" w:hAnsi="Arial Narrow"/>
                <w:bCs/>
                <w:sz w:val="20"/>
                <w:szCs w:val="20"/>
                <w:lang w:val="en-US"/>
              </w:rPr>
              <w:t>.</w:t>
            </w:r>
          </w:p>
        </w:tc>
      </w:tr>
      <w:tr w:rsidR="002D24E8" w:rsidRPr="00830ED6" w:rsidTr="007C646E">
        <w:tc>
          <w:tcPr>
            <w:tcW w:w="862" w:type="pct"/>
            <w:shd w:val="clear" w:color="auto" w:fill="auto"/>
            <w:vAlign w:val="center"/>
          </w:tcPr>
          <w:p w:rsidR="002D24E8" w:rsidRPr="00830ED6" w:rsidRDefault="002D24E8" w:rsidP="002D24E8">
            <w:pPr>
              <w:pStyle w:val="3-BodyText"/>
              <w:keepNext/>
              <w:numPr>
                <w:ilvl w:val="0"/>
                <w:numId w:val="0"/>
              </w:numPr>
              <w:spacing w:after="0"/>
              <w:jc w:val="left"/>
              <w:rPr>
                <w:rFonts w:ascii="Arial Narrow" w:hAnsi="Arial Narrow"/>
                <w:bCs/>
                <w:sz w:val="20"/>
                <w:szCs w:val="20"/>
                <w:lang w:val="en-US"/>
              </w:rPr>
            </w:pPr>
            <w:r w:rsidRPr="00830ED6">
              <w:rPr>
                <w:rFonts w:ascii="Arial Narrow" w:hAnsi="Arial Narrow"/>
                <w:bCs/>
                <w:sz w:val="20"/>
                <w:szCs w:val="20"/>
                <w:lang w:val="en-US"/>
              </w:rPr>
              <w:t>Growth of everolimus market</w:t>
            </w:r>
          </w:p>
        </w:tc>
        <w:tc>
          <w:tcPr>
            <w:tcW w:w="1729" w:type="pct"/>
            <w:shd w:val="clear" w:color="auto" w:fill="auto"/>
            <w:vAlign w:val="center"/>
          </w:tcPr>
          <w:p w:rsidR="002D24E8" w:rsidRPr="00830ED6" w:rsidRDefault="002D24E8" w:rsidP="002D24E8">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0% in all years (no source provided)</w:t>
            </w:r>
          </w:p>
        </w:tc>
        <w:tc>
          <w:tcPr>
            <w:tcW w:w="2409" w:type="pct"/>
            <w:shd w:val="clear" w:color="auto" w:fill="auto"/>
            <w:vAlign w:val="center"/>
          </w:tcPr>
          <w:p w:rsidR="002D24E8" w:rsidRPr="00830ED6" w:rsidRDefault="002D24E8" w:rsidP="002D24E8">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Uncertain; PBS data provided with the submission suggests the market is contracting.</w:t>
            </w:r>
          </w:p>
        </w:tc>
      </w:tr>
      <w:tr w:rsidR="002D24E8" w:rsidRPr="00830ED6" w:rsidTr="007C646E">
        <w:tc>
          <w:tcPr>
            <w:tcW w:w="862" w:type="pct"/>
            <w:shd w:val="clear" w:color="auto" w:fill="auto"/>
            <w:vAlign w:val="center"/>
          </w:tcPr>
          <w:p w:rsidR="002D24E8" w:rsidRPr="00830ED6" w:rsidRDefault="002D24E8" w:rsidP="002D24E8">
            <w:pPr>
              <w:pStyle w:val="3-BodyText"/>
              <w:keepNext/>
              <w:numPr>
                <w:ilvl w:val="0"/>
                <w:numId w:val="0"/>
              </w:numPr>
              <w:spacing w:after="0"/>
              <w:jc w:val="left"/>
              <w:rPr>
                <w:rFonts w:ascii="Arial Narrow" w:hAnsi="Arial Narrow"/>
                <w:bCs/>
                <w:sz w:val="20"/>
                <w:szCs w:val="20"/>
                <w:lang w:val="en-US"/>
              </w:rPr>
            </w:pPr>
            <w:r w:rsidRPr="00830ED6">
              <w:rPr>
                <w:rFonts w:ascii="Arial Narrow" w:hAnsi="Arial Narrow"/>
                <w:bCs/>
                <w:sz w:val="20"/>
                <w:szCs w:val="20"/>
                <w:lang w:val="en-US"/>
              </w:rPr>
              <w:t>Uptake rate – Population 1</w:t>
            </w:r>
          </w:p>
        </w:tc>
        <w:tc>
          <w:tcPr>
            <w:tcW w:w="1729" w:type="pct"/>
            <w:shd w:val="clear" w:color="auto" w:fill="auto"/>
            <w:vAlign w:val="center"/>
          </w:tcPr>
          <w:p w:rsidR="002D24E8" w:rsidRPr="00830ED6" w:rsidRDefault="002D24E8" w:rsidP="002D24E8">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20% in Year 1 to 30% in Years 3+ (no source provided)</w:t>
            </w:r>
          </w:p>
        </w:tc>
        <w:tc>
          <w:tcPr>
            <w:tcW w:w="2409" w:type="pct"/>
            <w:shd w:val="clear" w:color="auto" w:fill="auto"/>
            <w:vAlign w:val="center"/>
          </w:tcPr>
          <w:p w:rsidR="002D24E8" w:rsidRPr="00830ED6" w:rsidRDefault="002D24E8" w:rsidP="002D24E8">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Uncertain</w:t>
            </w:r>
          </w:p>
        </w:tc>
      </w:tr>
      <w:tr w:rsidR="002D24E8" w:rsidRPr="00830ED6" w:rsidTr="007C646E">
        <w:tc>
          <w:tcPr>
            <w:tcW w:w="862" w:type="pct"/>
            <w:shd w:val="clear" w:color="auto" w:fill="auto"/>
            <w:vAlign w:val="center"/>
          </w:tcPr>
          <w:p w:rsidR="002D24E8" w:rsidRPr="00830ED6" w:rsidRDefault="002D24E8" w:rsidP="002D24E8">
            <w:pPr>
              <w:pStyle w:val="3-BodyText"/>
              <w:keepNext/>
              <w:numPr>
                <w:ilvl w:val="0"/>
                <w:numId w:val="0"/>
              </w:numPr>
              <w:spacing w:after="0"/>
              <w:jc w:val="left"/>
              <w:rPr>
                <w:rFonts w:ascii="Arial Narrow" w:hAnsi="Arial Narrow"/>
                <w:bCs/>
                <w:sz w:val="20"/>
                <w:szCs w:val="20"/>
                <w:lang w:val="en-US"/>
              </w:rPr>
            </w:pPr>
            <w:r w:rsidRPr="00830ED6">
              <w:rPr>
                <w:rFonts w:ascii="Arial Narrow" w:hAnsi="Arial Narrow"/>
                <w:bCs/>
                <w:sz w:val="20"/>
                <w:szCs w:val="20"/>
                <w:lang w:val="en-US"/>
              </w:rPr>
              <w:t>Uptake rate – Population 2</w:t>
            </w:r>
          </w:p>
        </w:tc>
        <w:tc>
          <w:tcPr>
            <w:tcW w:w="1729" w:type="pct"/>
            <w:shd w:val="clear" w:color="auto" w:fill="auto"/>
            <w:vAlign w:val="center"/>
          </w:tcPr>
          <w:p w:rsidR="002D24E8" w:rsidRPr="00830ED6" w:rsidRDefault="002D24E8" w:rsidP="002D24E8">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Chemotherapy: 10% in Year 1 to 20% in Year 6 (no source provided)</w:t>
            </w:r>
          </w:p>
          <w:p w:rsidR="002D24E8" w:rsidRPr="00830ED6" w:rsidRDefault="002D24E8" w:rsidP="002D24E8">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NSAI: 0% in all years</w:t>
            </w:r>
          </w:p>
          <w:p w:rsidR="002D24E8" w:rsidRPr="00830ED6" w:rsidRDefault="002D24E8" w:rsidP="002D24E8">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(no source provided)</w:t>
            </w:r>
          </w:p>
        </w:tc>
        <w:tc>
          <w:tcPr>
            <w:tcW w:w="2409" w:type="pct"/>
            <w:shd w:val="clear" w:color="auto" w:fill="auto"/>
            <w:vAlign w:val="center"/>
          </w:tcPr>
          <w:p w:rsidR="002D24E8" w:rsidRPr="00830ED6" w:rsidRDefault="002D24E8" w:rsidP="002D24E8">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Inconsistent with treatment algorithm presented in Section 1, where patients receiving chemo</w:t>
            </w:r>
            <w:r>
              <w:rPr>
                <w:rFonts w:ascii="Arial Narrow" w:hAnsi="Arial Narrow"/>
                <w:bCs/>
                <w:sz w:val="20"/>
                <w:szCs w:val="20"/>
                <w:lang w:val="en-US"/>
              </w:rPr>
              <w:t>therapy</w:t>
            </w:r>
            <w:r w:rsidRPr="00830ED6">
              <w:rPr>
                <w:rFonts w:ascii="Arial Narrow" w:hAnsi="Arial Narrow"/>
                <w:bCs/>
                <w:sz w:val="20"/>
                <w:szCs w:val="20"/>
                <w:lang w:val="en-US"/>
              </w:rPr>
              <w:t xml:space="preserve"> are not suitable for treatment with CDK4/6 inhibitors</w:t>
            </w:r>
            <w:r>
              <w:rPr>
                <w:rFonts w:ascii="Arial Narrow" w:hAnsi="Arial Narrow"/>
                <w:bCs/>
                <w:sz w:val="20"/>
                <w:szCs w:val="20"/>
                <w:lang w:val="en-US"/>
              </w:rPr>
              <w:t>. DUSC considered this was likely to be overestimated.</w:t>
            </w:r>
          </w:p>
        </w:tc>
      </w:tr>
      <w:tr w:rsidR="002D24E8" w:rsidRPr="00830ED6" w:rsidTr="007C646E">
        <w:tc>
          <w:tcPr>
            <w:tcW w:w="862" w:type="pct"/>
            <w:shd w:val="clear" w:color="auto" w:fill="auto"/>
            <w:vAlign w:val="center"/>
          </w:tcPr>
          <w:p w:rsidR="002D24E8" w:rsidRPr="00830ED6" w:rsidRDefault="002D24E8" w:rsidP="002D24E8">
            <w:pPr>
              <w:pStyle w:val="3-BodyText"/>
              <w:keepNext/>
              <w:numPr>
                <w:ilvl w:val="0"/>
                <w:numId w:val="0"/>
              </w:numPr>
              <w:spacing w:after="0"/>
              <w:jc w:val="left"/>
              <w:rPr>
                <w:rFonts w:ascii="Arial Narrow" w:hAnsi="Arial Narrow"/>
                <w:bCs/>
                <w:sz w:val="20"/>
                <w:szCs w:val="20"/>
                <w:lang w:val="en-US"/>
              </w:rPr>
            </w:pPr>
            <w:r w:rsidRPr="00830ED6">
              <w:rPr>
                <w:rFonts w:ascii="Arial Narrow" w:hAnsi="Arial Narrow"/>
                <w:bCs/>
                <w:sz w:val="20"/>
                <w:szCs w:val="20"/>
                <w:lang w:val="en-US"/>
              </w:rPr>
              <w:t>Uptake rate – Population 3</w:t>
            </w:r>
          </w:p>
        </w:tc>
        <w:tc>
          <w:tcPr>
            <w:tcW w:w="1729" w:type="pct"/>
            <w:shd w:val="clear" w:color="auto" w:fill="auto"/>
            <w:vAlign w:val="center"/>
          </w:tcPr>
          <w:p w:rsidR="002D24E8" w:rsidRPr="00830ED6" w:rsidRDefault="002D24E8" w:rsidP="002D24E8">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80% in Year 1 to 95% in Years 4+ (no source provided)</w:t>
            </w:r>
          </w:p>
        </w:tc>
        <w:tc>
          <w:tcPr>
            <w:tcW w:w="2409" w:type="pct"/>
            <w:shd w:val="clear" w:color="auto" w:fill="auto"/>
            <w:vAlign w:val="center"/>
          </w:tcPr>
          <w:p w:rsidR="002D24E8" w:rsidRPr="00830ED6" w:rsidRDefault="002D24E8" w:rsidP="002D24E8">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Uncertain</w:t>
            </w:r>
            <w:r>
              <w:rPr>
                <w:rFonts w:ascii="Arial Narrow" w:hAnsi="Arial Narrow"/>
                <w:bCs/>
                <w:sz w:val="20"/>
                <w:szCs w:val="20"/>
                <w:lang w:val="en-US"/>
              </w:rPr>
              <w:t>. DUSC considered it is more likely that RIBO+FULV will add an additional line of therapy in this population and thus predicted cost savings will not be observed.</w:t>
            </w:r>
          </w:p>
        </w:tc>
      </w:tr>
      <w:tr w:rsidR="002D24E8" w:rsidRPr="00830ED6" w:rsidTr="007C646E">
        <w:tc>
          <w:tcPr>
            <w:tcW w:w="862" w:type="pct"/>
            <w:shd w:val="clear" w:color="auto" w:fill="auto"/>
            <w:vAlign w:val="center"/>
          </w:tcPr>
          <w:p w:rsidR="002D24E8" w:rsidRPr="00830ED6" w:rsidRDefault="002D24E8" w:rsidP="002D24E8">
            <w:pPr>
              <w:pStyle w:val="3-BodyText"/>
              <w:keepNext/>
              <w:numPr>
                <w:ilvl w:val="0"/>
                <w:numId w:val="0"/>
              </w:numPr>
              <w:spacing w:after="0"/>
              <w:jc w:val="left"/>
              <w:rPr>
                <w:rFonts w:ascii="Arial Narrow" w:hAnsi="Arial Narrow"/>
                <w:bCs/>
                <w:sz w:val="20"/>
                <w:szCs w:val="20"/>
                <w:lang w:val="en-US"/>
              </w:rPr>
            </w:pPr>
            <w:r w:rsidRPr="00830ED6">
              <w:rPr>
                <w:rFonts w:ascii="Arial Narrow" w:hAnsi="Arial Narrow"/>
                <w:bCs/>
                <w:sz w:val="20"/>
                <w:szCs w:val="20"/>
                <w:lang w:val="en-US"/>
              </w:rPr>
              <w:t>Uptake rate – Population 4</w:t>
            </w:r>
          </w:p>
        </w:tc>
        <w:tc>
          <w:tcPr>
            <w:tcW w:w="1729" w:type="pct"/>
            <w:shd w:val="clear" w:color="auto" w:fill="auto"/>
            <w:vAlign w:val="center"/>
          </w:tcPr>
          <w:p w:rsidR="002D24E8" w:rsidRPr="00830ED6" w:rsidRDefault="002D24E8" w:rsidP="002D24E8">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50% in all years (no source provided)</w:t>
            </w:r>
          </w:p>
        </w:tc>
        <w:tc>
          <w:tcPr>
            <w:tcW w:w="2409" w:type="pct"/>
            <w:shd w:val="clear" w:color="auto" w:fill="auto"/>
            <w:vAlign w:val="center"/>
          </w:tcPr>
          <w:p w:rsidR="002D24E8" w:rsidRPr="00830ED6" w:rsidRDefault="002D24E8" w:rsidP="002D24E8">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Uncertain. Assumes all patients who progress after first line NSAI receive exemestane and are suitable for substitution. Does not consider patients receiving chemo or best supportive care</w:t>
            </w:r>
            <w:r>
              <w:rPr>
                <w:rFonts w:ascii="Arial Narrow" w:hAnsi="Arial Narrow"/>
                <w:bCs/>
                <w:sz w:val="20"/>
                <w:szCs w:val="20"/>
                <w:lang w:val="en-US"/>
              </w:rPr>
              <w:t xml:space="preserve">. </w:t>
            </w:r>
            <w:r w:rsidRPr="0012620E">
              <w:rPr>
                <w:rFonts w:ascii="Arial Narrow" w:hAnsi="Arial Narrow"/>
                <w:bCs/>
                <w:sz w:val="20"/>
                <w:szCs w:val="20"/>
                <w:lang w:val="en-US"/>
              </w:rPr>
              <w:t>DUSC considered that the estimated 50% of patients not fit for CDKi in the first line setting who are subsequently eligible for these agents in the second line setting is overestimated.</w:t>
            </w:r>
          </w:p>
        </w:tc>
      </w:tr>
      <w:tr w:rsidR="00830ED6" w:rsidRPr="00830ED6" w:rsidTr="007C646E">
        <w:tc>
          <w:tcPr>
            <w:tcW w:w="862" w:type="pct"/>
            <w:shd w:val="clear" w:color="auto" w:fill="auto"/>
            <w:vAlign w:val="center"/>
          </w:tcPr>
          <w:p w:rsidR="00830ED6" w:rsidRPr="00830ED6" w:rsidRDefault="00830ED6" w:rsidP="007C646E">
            <w:pPr>
              <w:pStyle w:val="3-BodyText"/>
              <w:keepNext/>
              <w:numPr>
                <w:ilvl w:val="0"/>
                <w:numId w:val="0"/>
              </w:numPr>
              <w:spacing w:after="0"/>
              <w:jc w:val="left"/>
              <w:rPr>
                <w:rFonts w:ascii="Arial Narrow" w:hAnsi="Arial Narrow"/>
                <w:bCs/>
                <w:sz w:val="20"/>
                <w:szCs w:val="20"/>
                <w:lang w:val="en-US"/>
              </w:rPr>
            </w:pPr>
            <w:r w:rsidRPr="00830ED6">
              <w:rPr>
                <w:rFonts w:ascii="Arial Narrow" w:hAnsi="Arial Narrow"/>
                <w:bCs/>
                <w:sz w:val="20"/>
                <w:szCs w:val="20"/>
                <w:lang w:val="en-US"/>
              </w:rPr>
              <w:t>Duration of treatment – Population 1</w:t>
            </w:r>
          </w:p>
        </w:tc>
        <w:tc>
          <w:tcPr>
            <w:tcW w:w="1729" w:type="pct"/>
            <w:shd w:val="clear" w:color="auto" w:fill="auto"/>
            <w:vAlign w:val="center"/>
          </w:tcPr>
          <w:p w:rsidR="00830ED6" w:rsidRPr="00830ED6" w:rsidRDefault="00830ED6" w:rsidP="007C646E">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 xml:space="preserve">RIBO+FULV: 30 months </w:t>
            </w:r>
            <w:r w:rsidR="00852917">
              <w:rPr>
                <w:rFonts w:ascii="Arial Narrow" w:hAnsi="Arial Narrow"/>
                <w:bCs/>
                <w:sz w:val="20"/>
                <w:szCs w:val="20"/>
                <w:lang w:val="en-US"/>
              </w:rPr>
              <w:t>(changed to 20.2 months in the pre-PBAC response)</w:t>
            </w:r>
          </w:p>
          <w:p w:rsidR="00830ED6" w:rsidRPr="00830ED6" w:rsidRDefault="00830ED6" w:rsidP="007C646E">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RIBO+NSAI: 25.3 months</w:t>
            </w:r>
          </w:p>
        </w:tc>
        <w:tc>
          <w:tcPr>
            <w:tcW w:w="2409" w:type="pct"/>
            <w:shd w:val="clear" w:color="auto" w:fill="auto"/>
            <w:vAlign w:val="center"/>
          </w:tcPr>
          <w:p w:rsidR="00830ED6" w:rsidRPr="00830ED6" w:rsidRDefault="00830ED6" w:rsidP="00AD7E75">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rPr>
              <w:t xml:space="preserve">Mean duration of treatment in MONALEESA-3 was 13.3 months. Using median PFS for MONALEESA-2 is inappropriate. </w:t>
            </w:r>
            <w:r w:rsidR="00852917">
              <w:rPr>
                <w:rFonts w:ascii="Arial Narrow" w:hAnsi="Arial Narrow"/>
                <w:bCs/>
                <w:sz w:val="20"/>
                <w:szCs w:val="20"/>
              </w:rPr>
              <w:t>The pre-PBAC response updated the duration of therapy for the RIBO+FULV arm.</w:t>
            </w:r>
          </w:p>
        </w:tc>
      </w:tr>
      <w:tr w:rsidR="00830ED6" w:rsidRPr="00830ED6" w:rsidTr="007C646E">
        <w:tc>
          <w:tcPr>
            <w:tcW w:w="862" w:type="pct"/>
            <w:shd w:val="clear" w:color="auto" w:fill="auto"/>
            <w:vAlign w:val="center"/>
          </w:tcPr>
          <w:p w:rsidR="00830ED6" w:rsidRPr="00830ED6" w:rsidRDefault="00830ED6" w:rsidP="007C646E">
            <w:pPr>
              <w:pStyle w:val="3-BodyText"/>
              <w:keepNext/>
              <w:numPr>
                <w:ilvl w:val="0"/>
                <w:numId w:val="0"/>
              </w:numPr>
              <w:spacing w:after="0"/>
              <w:jc w:val="left"/>
              <w:rPr>
                <w:rFonts w:ascii="Arial Narrow" w:hAnsi="Arial Narrow"/>
                <w:bCs/>
                <w:sz w:val="20"/>
                <w:szCs w:val="20"/>
                <w:lang w:val="en-US"/>
              </w:rPr>
            </w:pPr>
            <w:r w:rsidRPr="00830ED6">
              <w:rPr>
                <w:rFonts w:ascii="Arial Narrow" w:hAnsi="Arial Narrow"/>
                <w:bCs/>
                <w:sz w:val="20"/>
                <w:szCs w:val="20"/>
                <w:lang w:val="en-US"/>
              </w:rPr>
              <w:t>Duration of treatment – Population 2</w:t>
            </w:r>
          </w:p>
        </w:tc>
        <w:tc>
          <w:tcPr>
            <w:tcW w:w="1729" w:type="pct"/>
            <w:shd w:val="clear" w:color="auto" w:fill="auto"/>
            <w:vAlign w:val="center"/>
          </w:tcPr>
          <w:p w:rsidR="00830ED6" w:rsidRPr="00830ED6" w:rsidRDefault="00830ED6" w:rsidP="007C646E">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RIBO+FULV: 30 months</w:t>
            </w:r>
            <w:r w:rsidR="00852917">
              <w:rPr>
                <w:rFonts w:ascii="Arial Narrow" w:hAnsi="Arial Narrow"/>
                <w:bCs/>
                <w:sz w:val="20"/>
                <w:szCs w:val="20"/>
                <w:lang w:val="en-US"/>
              </w:rPr>
              <w:t xml:space="preserve"> (changed to 20.2 months in the pre-PBAC response)</w:t>
            </w:r>
          </w:p>
          <w:p w:rsidR="00830ED6" w:rsidRPr="00830ED6" w:rsidRDefault="00830ED6" w:rsidP="007C646E">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Chemo: 12 months</w:t>
            </w:r>
          </w:p>
        </w:tc>
        <w:tc>
          <w:tcPr>
            <w:tcW w:w="2409" w:type="pct"/>
            <w:shd w:val="clear" w:color="auto" w:fill="auto"/>
            <w:vAlign w:val="center"/>
          </w:tcPr>
          <w:p w:rsidR="00830ED6" w:rsidRPr="00830ED6" w:rsidRDefault="00830ED6" w:rsidP="00AD7E75">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rPr>
              <w:t xml:space="preserve">Mean duration of treatment in MONALEESA-3 was 13.3 months. Assumption for chemo is not justified. </w:t>
            </w:r>
            <w:r w:rsidR="00852917">
              <w:rPr>
                <w:rFonts w:ascii="Arial Narrow" w:hAnsi="Arial Narrow"/>
                <w:bCs/>
                <w:sz w:val="20"/>
                <w:szCs w:val="20"/>
              </w:rPr>
              <w:t>The pre-PBAC response updated the duration of therapy for the RIBO+FULV arm.</w:t>
            </w:r>
          </w:p>
        </w:tc>
      </w:tr>
      <w:tr w:rsidR="00830ED6" w:rsidRPr="00830ED6" w:rsidTr="007C646E">
        <w:tc>
          <w:tcPr>
            <w:tcW w:w="862" w:type="pct"/>
            <w:shd w:val="clear" w:color="auto" w:fill="auto"/>
            <w:vAlign w:val="center"/>
          </w:tcPr>
          <w:p w:rsidR="00830ED6" w:rsidRPr="00830ED6" w:rsidRDefault="00830ED6" w:rsidP="007C646E">
            <w:pPr>
              <w:pStyle w:val="3-BodyText"/>
              <w:keepNext/>
              <w:numPr>
                <w:ilvl w:val="0"/>
                <w:numId w:val="0"/>
              </w:numPr>
              <w:spacing w:after="0"/>
              <w:jc w:val="left"/>
              <w:rPr>
                <w:rFonts w:ascii="Arial Narrow" w:hAnsi="Arial Narrow"/>
                <w:bCs/>
                <w:sz w:val="20"/>
                <w:szCs w:val="20"/>
                <w:lang w:val="en-US"/>
              </w:rPr>
            </w:pPr>
            <w:r w:rsidRPr="00830ED6">
              <w:rPr>
                <w:rFonts w:ascii="Arial Narrow" w:hAnsi="Arial Narrow"/>
                <w:bCs/>
                <w:sz w:val="20"/>
                <w:szCs w:val="20"/>
                <w:lang w:val="en-US"/>
              </w:rPr>
              <w:t xml:space="preserve">Duration of treatment – Population 3 </w:t>
            </w:r>
          </w:p>
        </w:tc>
        <w:tc>
          <w:tcPr>
            <w:tcW w:w="1729" w:type="pct"/>
            <w:shd w:val="clear" w:color="auto" w:fill="auto"/>
            <w:vAlign w:val="center"/>
          </w:tcPr>
          <w:p w:rsidR="00830ED6" w:rsidRPr="00830ED6" w:rsidRDefault="00830ED6" w:rsidP="007C646E">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RIBO+FULV: 18.8 months</w:t>
            </w:r>
            <w:r w:rsidR="00852917">
              <w:rPr>
                <w:rFonts w:ascii="Arial Narrow" w:hAnsi="Arial Narrow"/>
                <w:bCs/>
                <w:sz w:val="20"/>
                <w:szCs w:val="20"/>
                <w:lang w:val="en-US"/>
              </w:rPr>
              <w:t xml:space="preserve"> (changed to 13.3 months in the pre-PBAC response)</w:t>
            </w:r>
          </w:p>
          <w:p w:rsidR="00830ED6" w:rsidRPr="00830ED6" w:rsidRDefault="00830ED6" w:rsidP="007C646E">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EVE+EXE: 7.8 months</w:t>
            </w:r>
          </w:p>
        </w:tc>
        <w:tc>
          <w:tcPr>
            <w:tcW w:w="2409" w:type="pct"/>
            <w:shd w:val="clear" w:color="auto" w:fill="auto"/>
            <w:vAlign w:val="center"/>
          </w:tcPr>
          <w:p w:rsidR="00830ED6" w:rsidRPr="00830ED6" w:rsidRDefault="00830ED6" w:rsidP="00AD7E75">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Mean duration of treatment in MONALEESA-3 was 13.3 months, compared wit</w:t>
            </w:r>
            <w:r w:rsidR="00AD7E75">
              <w:rPr>
                <w:rFonts w:ascii="Arial Narrow" w:hAnsi="Arial Narrow"/>
                <w:bCs/>
                <w:sz w:val="20"/>
                <w:szCs w:val="20"/>
                <w:lang w:val="en-US"/>
              </w:rPr>
              <w:t xml:space="preserve">h 4.6 in BOLERO-2 for EVE+EXE. </w:t>
            </w:r>
            <w:r w:rsidR="00852917">
              <w:rPr>
                <w:rFonts w:ascii="Arial Narrow" w:hAnsi="Arial Narrow"/>
                <w:bCs/>
                <w:sz w:val="20"/>
                <w:szCs w:val="20"/>
                <w:lang w:val="en-US"/>
              </w:rPr>
              <w:t xml:space="preserve"> </w:t>
            </w:r>
            <w:r w:rsidR="00852917">
              <w:rPr>
                <w:rFonts w:ascii="Arial Narrow" w:hAnsi="Arial Narrow"/>
                <w:bCs/>
                <w:sz w:val="20"/>
                <w:szCs w:val="20"/>
              </w:rPr>
              <w:t>The pre-PBAC response updated the duration of therapy for the RIBO+FULV arm.</w:t>
            </w:r>
            <w:r w:rsidRPr="00830ED6">
              <w:rPr>
                <w:rFonts w:ascii="Arial Narrow" w:hAnsi="Arial Narrow"/>
                <w:bCs/>
                <w:sz w:val="20"/>
                <w:szCs w:val="20"/>
                <w:lang w:val="en-US"/>
              </w:rPr>
              <w:t xml:space="preserve"> </w:t>
            </w:r>
          </w:p>
        </w:tc>
      </w:tr>
      <w:tr w:rsidR="00830ED6" w:rsidRPr="00830ED6" w:rsidTr="007C646E">
        <w:tc>
          <w:tcPr>
            <w:tcW w:w="862" w:type="pct"/>
            <w:shd w:val="clear" w:color="auto" w:fill="auto"/>
            <w:vAlign w:val="center"/>
          </w:tcPr>
          <w:p w:rsidR="00830ED6" w:rsidRPr="00830ED6" w:rsidRDefault="00830ED6" w:rsidP="007C646E">
            <w:pPr>
              <w:pStyle w:val="3-BodyText"/>
              <w:keepNext/>
              <w:numPr>
                <w:ilvl w:val="0"/>
                <w:numId w:val="0"/>
              </w:numPr>
              <w:spacing w:after="0"/>
              <w:jc w:val="left"/>
              <w:rPr>
                <w:rFonts w:ascii="Arial Narrow" w:hAnsi="Arial Narrow"/>
                <w:bCs/>
                <w:sz w:val="20"/>
                <w:szCs w:val="20"/>
                <w:lang w:val="en-US"/>
              </w:rPr>
            </w:pPr>
            <w:r w:rsidRPr="00830ED6">
              <w:rPr>
                <w:rFonts w:ascii="Arial Narrow" w:hAnsi="Arial Narrow"/>
                <w:bCs/>
                <w:sz w:val="20"/>
                <w:szCs w:val="20"/>
                <w:lang w:val="en-US"/>
              </w:rPr>
              <w:t>Duration of treatment – Population 4</w:t>
            </w:r>
          </w:p>
        </w:tc>
        <w:tc>
          <w:tcPr>
            <w:tcW w:w="1729" w:type="pct"/>
            <w:shd w:val="clear" w:color="auto" w:fill="auto"/>
            <w:vAlign w:val="center"/>
          </w:tcPr>
          <w:p w:rsidR="00830ED6" w:rsidRPr="00830ED6" w:rsidRDefault="00830ED6" w:rsidP="007C646E">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RIBO+FULV: 18.8 months</w:t>
            </w:r>
            <w:r w:rsidR="00852917">
              <w:rPr>
                <w:rFonts w:ascii="Arial Narrow" w:hAnsi="Arial Narrow"/>
                <w:bCs/>
                <w:sz w:val="20"/>
                <w:szCs w:val="20"/>
                <w:lang w:val="en-US"/>
              </w:rPr>
              <w:t xml:space="preserve"> (changed to 13.3 months in the pre-PBAC response)</w:t>
            </w:r>
          </w:p>
          <w:p w:rsidR="00830ED6" w:rsidRPr="00830ED6" w:rsidRDefault="00830ED6" w:rsidP="007C646E">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EXE: 4.1 months</w:t>
            </w:r>
          </w:p>
        </w:tc>
        <w:tc>
          <w:tcPr>
            <w:tcW w:w="2409" w:type="pct"/>
            <w:shd w:val="clear" w:color="auto" w:fill="auto"/>
            <w:vAlign w:val="center"/>
          </w:tcPr>
          <w:p w:rsidR="00830ED6" w:rsidRPr="00830ED6" w:rsidRDefault="00830ED6" w:rsidP="00AD7E75">
            <w:pPr>
              <w:pStyle w:val="3-BodyText"/>
              <w:keepNext/>
              <w:numPr>
                <w:ilvl w:val="0"/>
                <w:numId w:val="0"/>
              </w:numPr>
              <w:spacing w:after="0"/>
              <w:rPr>
                <w:rFonts w:ascii="Arial Narrow" w:hAnsi="Arial Narrow"/>
                <w:bCs/>
                <w:sz w:val="20"/>
                <w:szCs w:val="20"/>
                <w:lang w:val="en-US"/>
              </w:rPr>
            </w:pPr>
            <w:r w:rsidRPr="00830ED6">
              <w:rPr>
                <w:rFonts w:ascii="Arial Narrow" w:hAnsi="Arial Narrow"/>
                <w:bCs/>
                <w:sz w:val="20"/>
                <w:szCs w:val="20"/>
              </w:rPr>
              <w:t xml:space="preserve">Mean duration of treatment in MONALEESA-3 was 13.3 months, compared with 5.0 months in BOLERO-2 for EVE.  </w:t>
            </w:r>
            <w:r w:rsidR="00852917">
              <w:rPr>
                <w:rFonts w:ascii="Arial Narrow" w:hAnsi="Arial Narrow"/>
                <w:bCs/>
                <w:sz w:val="20"/>
                <w:szCs w:val="20"/>
              </w:rPr>
              <w:t>The pre-PBAC response updated the duration of therapy for the RIBO+FULV arm.</w:t>
            </w:r>
          </w:p>
        </w:tc>
      </w:tr>
      <w:tr w:rsidR="00830ED6" w:rsidRPr="00830ED6" w:rsidTr="007C646E">
        <w:tc>
          <w:tcPr>
            <w:tcW w:w="862" w:type="pct"/>
            <w:shd w:val="clear" w:color="auto" w:fill="auto"/>
            <w:vAlign w:val="center"/>
          </w:tcPr>
          <w:p w:rsidR="00830ED6" w:rsidRPr="00830ED6" w:rsidRDefault="00830ED6" w:rsidP="007C646E">
            <w:pPr>
              <w:pStyle w:val="3-BodyText"/>
              <w:numPr>
                <w:ilvl w:val="0"/>
                <w:numId w:val="0"/>
              </w:numPr>
              <w:spacing w:after="0"/>
              <w:jc w:val="left"/>
              <w:rPr>
                <w:rFonts w:ascii="Arial Narrow" w:hAnsi="Arial Narrow"/>
                <w:bCs/>
                <w:sz w:val="20"/>
                <w:szCs w:val="20"/>
                <w:lang w:val="en-US"/>
              </w:rPr>
            </w:pPr>
            <w:r w:rsidRPr="00830ED6">
              <w:rPr>
                <w:rFonts w:ascii="Arial Narrow" w:hAnsi="Arial Narrow"/>
                <w:bCs/>
                <w:sz w:val="20"/>
                <w:szCs w:val="20"/>
                <w:lang w:val="en-US"/>
              </w:rPr>
              <w:t>Compliance rate – ribociclib dose</w:t>
            </w:r>
          </w:p>
        </w:tc>
        <w:tc>
          <w:tcPr>
            <w:tcW w:w="1729" w:type="pct"/>
            <w:shd w:val="clear" w:color="auto" w:fill="auto"/>
            <w:vAlign w:val="center"/>
          </w:tcPr>
          <w:p w:rsidR="00830ED6" w:rsidRPr="00830ED6" w:rsidRDefault="00830ED6" w:rsidP="007C646E">
            <w:pPr>
              <w:pStyle w:val="3-BodyT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 xml:space="preserve">200 mg/day: 10%, 400 mg/day: 25%, </w:t>
            </w:r>
          </w:p>
          <w:p w:rsidR="00830ED6" w:rsidRPr="00830ED6" w:rsidRDefault="00830ED6" w:rsidP="007C646E">
            <w:pPr>
              <w:pStyle w:val="3-BodyT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 xml:space="preserve">600 mg/day: 65%, estimated </w:t>
            </w:r>
            <w:r w:rsidRPr="00AB529A">
              <w:rPr>
                <w:rFonts w:ascii="Arial Narrow" w:hAnsi="Arial Narrow"/>
                <w:bCs/>
                <w:sz w:val="20"/>
                <w:szCs w:val="20"/>
                <w:lang w:val="en-US"/>
              </w:rPr>
              <w:t>based in 85</w:t>
            </w:r>
            <w:r w:rsidRPr="00830ED6">
              <w:rPr>
                <w:rFonts w:ascii="Arial Narrow" w:hAnsi="Arial Narrow"/>
                <w:bCs/>
                <w:sz w:val="20"/>
                <w:szCs w:val="20"/>
                <w:lang w:val="en-US"/>
              </w:rPr>
              <w:t>% RDI from MONALEESA-3</w:t>
            </w:r>
          </w:p>
        </w:tc>
        <w:tc>
          <w:tcPr>
            <w:tcW w:w="2409" w:type="pct"/>
            <w:shd w:val="clear" w:color="auto" w:fill="auto"/>
            <w:vAlign w:val="center"/>
          </w:tcPr>
          <w:p w:rsidR="00830ED6" w:rsidRPr="00830ED6" w:rsidRDefault="00830ED6" w:rsidP="007C646E">
            <w:pPr>
              <w:pStyle w:val="3-BodyT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This is uncertain. PBS data for CDK4/6 inhibitors used with NSAI suggest a RDI of 89%.</w:t>
            </w:r>
          </w:p>
        </w:tc>
      </w:tr>
      <w:tr w:rsidR="00830ED6" w:rsidRPr="00830ED6" w:rsidTr="007C646E">
        <w:tc>
          <w:tcPr>
            <w:tcW w:w="862" w:type="pct"/>
            <w:shd w:val="clear" w:color="auto" w:fill="auto"/>
            <w:vAlign w:val="center"/>
          </w:tcPr>
          <w:p w:rsidR="00830ED6" w:rsidRPr="00830ED6" w:rsidRDefault="00830ED6" w:rsidP="007C646E">
            <w:pPr>
              <w:pStyle w:val="3-BodyText"/>
              <w:numPr>
                <w:ilvl w:val="0"/>
                <w:numId w:val="0"/>
              </w:numPr>
              <w:spacing w:after="0"/>
              <w:jc w:val="left"/>
              <w:rPr>
                <w:rFonts w:ascii="Arial Narrow" w:hAnsi="Arial Narrow"/>
                <w:bCs/>
                <w:sz w:val="20"/>
                <w:szCs w:val="20"/>
                <w:lang w:val="en-US"/>
              </w:rPr>
            </w:pPr>
            <w:r w:rsidRPr="00830ED6">
              <w:rPr>
                <w:rFonts w:ascii="Arial Narrow" w:hAnsi="Arial Narrow"/>
                <w:bCs/>
                <w:sz w:val="20"/>
                <w:szCs w:val="20"/>
                <w:lang w:val="en-US"/>
              </w:rPr>
              <w:t>MBS items included</w:t>
            </w:r>
          </w:p>
        </w:tc>
        <w:tc>
          <w:tcPr>
            <w:tcW w:w="1729" w:type="pct"/>
            <w:shd w:val="clear" w:color="auto" w:fill="auto"/>
            <w:vAlign w:val="center"/>
          </w:tcPr>
          <w:p w:rsidR="00830ED6" w:rsidRPr="00830ED6" w:rsidRDefault="00830ED6" w:rsidP="007C646E">
            <w:pPr>
              <w:pStyle w:val="3-BodyT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MBS item 66503 - blood lipids</w:t>
            </w:r>
          </w:p>
          <w:p w:rsidR="00830ED6" w:rsidRPr="00830ED6" w:rsidRDefault="00830ED6" w:rsidP="007C646E">
            <w:pPr>
              <w:pStyle w:val="3-BodyT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MBS item 66512 – liver function</w:t>
            </w:r>
          </w:p>
          <w:p w:rsidR="00830ED6" w:rsidRPr="00830ED6" w:rsidRDefault="00830ED6" w:rsidP="007C646E">
            <w:pPr>
              <w:pStyle w:val="3-BodyT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MBS item 66509 – serum electrolytes</w:t>
            </w:r>
          </w:p>
          <w:p w:rsidR="00830ED6" w:rsidRPr="00830ED6" w:rsidRDefault="00830ED6" w:rsidP="007C646E">
            <w:pPr>
              <w:pStyle w:val="3-BodyT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MBS item 65070 – complete blood count</w:t>
            </w:r>
          </w:p>
          <w:p w:rsidR="00830ED6" w:rsidRPr="00830ED6" w:rsidRDefault="00830ED6" w:rsidP="007C646E">
            <w:pPr>
              <w:pStyle w:val="3-BodyT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MBS item 11711 - electrocardiograph</w:t>
            </w:r>
          </w:p>
          <w:p w:rsidR="00830ED6" w:rsidRPr="00830ED6" w:rsidRDefault="00830ED6" w:rsidP="007C646E">
            <w:pPr>
              <w:pStyle w:val="3-BodyT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MBS Item 82200 – clinic nurse</w:t>
            </w:r>
          </w:p>
          <w:p w:rsidR="00830ED6" w:rsidRPr="00830ED6" w:rsidRDefault="00830ED6" w:rsidP="007C646E">
            <w:pPr>
              <w:pStyle w:val="3-BodyT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MBS item 12306 – bone densitometry</w:t>
            </w:r>
          </w:p>
        </w:tc>
        <w:tc>
          <w:tcPr>
            <w:tcW w:w="2409" w:type="pct"/>
            <w:shd w:val="clear" w:color="auto" w:fill="auto"/>
            <w:vAlign w:val="center"/>
          </w:tcPr>
          <w:p w:rsidR="00830ED6" w:rsidRPr="00830ED6" w:rsidRDefault="00830ED6" w:rsidP="007C646E">
            <w:pPr>
              <w:pStyle w:val="3-BodyText"/>
              <w:numPr>
                <w:ilvl w:val="0"/>
                <w:numId w:val="0"/>
              </w:numPr>
              <w:spacing w:after="0"/>
              <w:rPr>
                <w:rFonts w:ascii="Arial Narrow" w:hAnsi="Arial Narrow"/>
                <w:bCs/>
                <w:sz w:val="20"/>
                <w:szCs w:val="20"/>
                <w:lang w:val="en-US"/>
              </w:rPr>
            </w:pPr>
            <w:r w:rsidRPr="00830ED6">
              <w:rPr>
                <w:rFonts w:ascii="Arial Narrow" w:hAnsi="Arial Narrow"/>
                <w:bCs/>
                <w:sz w:val="20"/>
                <w:szCs w:val="20"/>
                <w:lang w:val="en-US"/>
              </w:rPr>
              <w:t xml:space="preserve">Consistent with Section 3; frequency of bone densitometry monitoring for anastrozole, letrozole, and exemestane is uncertain. Including bone densitometry as monitoring for chemotherapy is inappropriate. </w:t>
            </w:r>
          </w:p>
        </w:tc>
      </w:tr>
    </w:tbl>
    <w:p w:rsidR="00830ED6" w:rsidRPr="00B65A92" w:rsidRDefault="00830ED6" w:rsidP="00830ED6">
      <w:pPr>
        <w:pStyle w:val="TableFigureFooter"/>
      </w:pPr>
      <w:r w:rsidRPr="00B65A92">
        <w:t>Source: Tables 4-2, 4-3, 4-4, 4-5, 4-7, 4-9, 4-11 &amp; 4-29, pp220-226 &amp; 235-236 of the submission}; p221 of the submission; Section 4 workbook; RIBO + NSAI Section 4 workbook, March 2018 PBAC submission.</w:t>
      </w:r>
    </w:p>
    <w:p w:rsidR="00AD7E75" w:rsidRPr="00AD7E75" w:rsidRDefault="00830ED6" w:rsidP="00AD7E75">
      <w:pPr>
        <w:pStyle w:val="3-BodyText"/>
        <w:rPr>
          <w:rFonts w:ascii="Arial Narrow" w:hAnsi="Arial Narrow"/>
          <w:b/>
          <w:sz w:val="20"/>
          <w:szCs w:val="16"/>
        </w:rPr>
      </w:pPr>
      <w:r w:rsidRPr="00B65A92">
        <w:t xml:space="preserve">Table </w:t>
      </w:r>
      <w:r w:rsidR="00596697">
        <w:t>22</w:t>
      </w:r>
      <w:r w:rsidRPr="00B65A92">
        <w:t xml:space="preserve"> presents the estimated use and financial implications of listing </w:t>
      </w:r>
      <w:r>
        <w:t>RIBO+FULV</w:t>
      </w:r>
      <w:r w:rsidR="003C637B">
        <w:t>, as estimated in the submission</w:t>
      </w:r>
      <w:r w:rsidRPr="00B65A92">
        <w:t>.</w:t>
      </w:r>
      <w:r w:rsidR="003C637B">
        <w:t xml:space="preserve"> </w:t>
      </w:r>
    </w:p>
    <w:p w:rsidR="00830ED6" w:rsidRPr="00B65A92" w:rsidRDefault="00830ED6" w:rsidP="00AD7E75">
      <w:pPr>
        <w:pStyle w:val="3-BodyText"/>
        <w:numPr>
          <w:ilvl w:val="0"/>
          <w:numId w:val="0"/>
        </w:numPr>
        <w:spacing w:after="0"/>
        <w:rPr>
          <w:rStyle w:val="CommentReference"/>
        </w:rPr>
      </w:pPr>
      <w:r w:rsidRPr="00B65A92">
        <w:rPr>
          <w:rStyle w:val="CommentReference"/>
        </w:rPr>
        <w:t xml:space="preserve">Table </w:t>
      </w:r>
      <w:r w:rsidR="00596697">
        <w:rPr>
          <w:rStyle w:val="CommentReference"/>
        </w:rPr>
        <w:t>22</w:t>
      </w:r>
      <w:r w:rsidRPr="00B65A92">
        <w:rPr>
          <w:rStyle w:val="CommentReference"/>
        </w:rPr>
        <w:t>: Estimated use and financial implications</w:t>
      </w:r>
      <w:r w:rsidR="003C637B">
        <w:rPr>
          <w:rStyle w:val="CommentReference"/>
        </w:rPr>
        <w:t xml:space="preserve"> (</w:t>
      </w:r>
      <w:r w:rsidR="007B03D5">
        <w:rPr>
          <w:rStyle w:val="CommentReference"/>
        </w:rPr>
        <w:t>per</w:t>
      </w:r>
      <w:r w:rsidR="003C637B">
        <w:rPr>
          <w:rStyle w:val="CommentReference"/>
        </w:rPr>
        <w:t xml:space="preserve">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830ED6" w:rsidRPr="00830ED6" w:rsidTr="007C646E">
        <w:trPr>
          <w:tblHeader/>
        </w:trPr>
        <w:tc>
          <w:tcPr>
            <w:tcW w:w="1116" w:type="pct"/>
            <w:shd w:val="clear" w:color="auto" w:fill="auto"/>
            <w:vAlign w:val="center"/>
          </w:tcPr>
          <w:p w:rsidR="00830ED6" w:rsidRPr="00830ED6" w:rsidRDefault="00830ED6" w:rsidP="007C646E">
            <w:pPr>
              <w:pStyle w:val="3-BodyText"/>
              <w:keepNext/>
              <w:keepLines/>
              <w:numPr>
                <w:ilvl w:val="0"/>
                <w:numId w:val="0"/>
              </w:numPr>
              <w:spacing w:after="0"/>
              <w:jc w:val="left"/>
              <w:rPr>
                <w:rFonts w:ascii="Arial Narrow" w:hAnsi="Arial Narrow"/>
                <w:b/>
                <w:sz w:val="20"/>
                <w:szCs w:val="20"/>
                <w:lang w:val="en-US"/>
              </w:rPr>
            </w:pP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center"/>
              <w:rPr>
                <w:rFonts w:ascii="Arial Narrow" w:hAnsi="Arial Narrow"/>
                <w:b/>
                <w:sz w:val="20"/>
                <w:szCs w:val="20"/>
                <w:lang w:val="en-US"/>
              </w:rPr>
            </w:pPr>
            <w:r w:rsidRPr="00830ED6">
              <w:rPr>
                <w:rFonts w:ascii="Arial Narrow" w:hAnsi="Arial Narrow"/>
                <w:b/>
                <w:sz w:val="20"/>
                <w:szCs w:val="20"/>
                <w:lang w:val="en-US"/>
              </w:rPr>
              <w:t>Year 1</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center"/>
              <w:rPr>
                <w:rFonts w:ascii="Arial Narrow" w:hAnsi="Arial Narrow"/>
                <w:b/>
                <w:sz w:val="20"/>
                <w:szCs w:val="20"/>
                <w:lang w:val="en-US"/>
              </w:rPr>
            </w:pPr>
            <w:r w:rsidRPr="00830ED6">
              <w:rPr>
                <w:rFonts w:ascii="Arial Narrow" w:hAnsi="Arial Narrow"/>
                <w:b/>
                <w:sz w:val="20"/>
                <w:szCs w:val="20"/>
                <w:lang w:val="en-US"/>
              </w:rPr>
              <w:t>Year 2</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center"/>
              <w:rPr>
                <w:rFonts w:ascii="Arial Narrow" w:hAnsi="Arial Narrow"/>
                <w:b/>
                <w:sz w:val="20"/>
                <w:szCs w:val="20"/>
                <w:lang w:val="en-US"/>
              </w:rPr>
            </w:pPr>
            <w:r w:rsidRPr="00830ED6">
              <w:rPr>
                <w:rFonts w:ascii="Arial Narrow" w:hAnsi="Arial Narrow"/>
                <w:b/>
                <w:sz w:val="20"/>
                <w:szCs w:val="20"/>
                <w:lang w:val="en-US"/>
              </w:rPr>
              <w:t>Year 3</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center"/>
              <w:rPr>
                <w:rFonts w:ascii="Arial Narrow" w:hAnsi="Arial Narrow"/>
                <w:b/>
                <w:sz w:val="20"/>
                <w:szCs w:val="20"/>
                <w:lang w:val="en-US"/>
              </w:rPr>
            </w:pPr>
            <w:r w:rsidRPr="00830ED6">
              <w:rPr>
                <w:rFonts w:ascii="Arial Narrow" w:hAnsi="Arial Narrow"/>
                <w:b/>
                <w:sz w:val="20"/>
                <w:szCs w:val="20"/>
                <w:lang w:val="en-US"/>
              </w:rPr>
              <w:t>Year 4</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center"/>
              <w:rPr>
                <w:rFonts w:ascii="Arial Narrow" w:hAnsi="Arial Narrow"/>
                <w:b/>
                <w:sz w:val="20"/>
                <w:szCs w:val="20"/>
                <w:lang w:val="en-US"/>
              </w:rPr>
            </w:pPr>
            <w:r w:rsidRPr="00830ED6">
              <w:rPr>
                <w:rFonts w:ascii="Arial Narrow" w:hAnsi="Arial Narrow"/>
                <w:b/>
                <w:sz w:val="20"/>
                <w:szCs w:val="20"/>
                <w:lang w:val="en-US"/>
              </w:rPr>
              <w:t>Year 5</w:t>
            </w:r>
          </w:p>
        </w:tc>
        <w:tc>
          <w:tcPr>
            <w:tcW w:w="649" w:type="pct"/>
            <w:vAlign w:val="center"/>
          </w:tcPr>
          <w:p w:rsidR="00830ED6" w:rsidRPr="00830ED6" w:rsidRDefault="00830ED6" w:rsidP="007C646E">
            <w:pPr>
              <w:pStyle w:val="3-BodyText"/>
              <w:keepNext/>
              <w:keepLines/>
              <w:numPr>
                <w:ilvl w:val="0"/>
                <w:numId w:val="0"/>
              </w:numPr>
              <w:spacing w:after="0"/>
              <w:jc w:val="center"/>
              <w:rPr>
                <w:rFonts w:ascii="Arial Narrow" w:hAnsi="Arial Narrow"/>
                <w:b/>
                <w:sz w:val="20"/>
                <w:szCs w:val="20"/>
                <w:lang w:val="en-US"/>
              </w:rPr>
            </w:pPr>
            <w:r w:rsidRPr="00830ED6">
              <w:rPr>
                <w:rFonts w:ascii="Arial Narrow" w:hAnsi="Arial Narrow"/>
                <w:b/>
                <w:sz w:val="20"/>
                <w:szCs w:val="20"/>
                <w:lang w:val="en-US"/>
              </w:rPr>
              <w:t>Year 6</w:t>
            </w:r>
          </w:p>
        </w:tc>
      </w:tr>
      <w:tr w:rsidR="00830ED6" w:rsidRPr="00830ED6" w:rsidTr="007C646E">
        <w:tc>
          <w:tcPr>
            <w:tcW w:w="5000" w:type="pct"/>
            <w:gridSpan w:val="7"/>
            <w:shd w:val="clear" w:color="auto" w:fill="auto"/>
            <w:vAlign w:val="center"/>
          </w:tcPr>
          <w:p w:rsidR="00830ED6" w:rsidRPr="00830ED6" w:rsidRDefault="00830ED6" w:rsidP="007C646E">
            <w:pPr>
              <w:pStyle w:val="3-BodyText"/>
              <w:keepNext/>
              <w:keepLines/>
              <w:numPr>
                <w:ilvl w:val="0"/>
                <w:numId w:val="0"/>
              </w:numPr>
              <w:spacing w:after="0"/>
              <w:jc w:val="left"/>
              <w:rPr>
                <w:rFonts w:ascii="Arial Narrow" w:hAnsi="Arial Narrow"/>
                <w:b/>
                <w:bCs/>
                <w:sz w:val="20"/>
                <w:szCs w:val="20"/>
                <w:lang w:val="en-US"/>
              </w:rPr>
            </w:pPr>
            <w:r w:rsidRPr="00830ED6">
              <w:rPr>
                <w:rFonts w:ascii="Arial Narrow" w:hAnsi="Arial Narrow"/>
                <w:b/>
                <w:bCs/>
                <w:sz w:val="20"/>
                <w:szCs w:val="20"/>
                <w:lang w:val="en-US"/>
              </w:rPr>
              <w:t>Estimated extent of use</w:t>
            </w:r>
          </w:p>
        </w:tc>
      </w:tr>
      <w:tr w:rsidR="00830ED6" w:rsidRPr="00830ED6" w:rsidTr="007C646E">
        <w:tc>
          <w:tcPr>
            <w:tcW w:w="5000" w:type="pct"/>
            <w:gridSpan w:val="7"/>
            <w:shd w:val="clear" w:color="auto" w:fill="auto"/>
            <w:vAlign w:val="center"/>
          </w:tcPr>
          <w:p w:rsidR="00830ED6" w:rsidRPr="00830ED6" w:rsidRDefault="00830ED6" w:rsidP="007C646E">
            <w:pPr>
              <w:pStyle w:val="3-BodyText"/>
              <w:keepNext/>
              <w:keepLines/>
              <w:numPr>
                <w:ilvl w:val="0"/>
                <w:numId w:val="0"/>
              </w:numPr>
              <w:spacing w:after="0"/>
              <w:jc w:val="left"/>
              <w:rPr>
                <w:rFonts w:ascii="Arial Narrow" w:hAnsi="Arial Narrow"/>
                <w:b/>
                <w:bCs/>
                <w:sz w:val="20"/>
                <w:szCs w:val="20"/>
                <w:lang w:val="en-US"/>
              </w:rPr>
            </w:pPr>
            <w:r w:rsidRPr="00830ED6">
              <w:rPr>
                <w:rFonts w:ascii="Arial Narrow" w:hAnsi="Arial Narrow"/>
                <w:b/>
                <w:bCs/>
                <w:sz w:val="20"/>
                <w:szCs w:val="20"/>
                <w:lang w:val="en-US"/>
              </w:rPr>
              <w:t>First line treatment</w:t>
            </w:r>
          </w:p>
        </w:tc>
      </w:tr>
      <w:tr w:rsidR="00830ED6" w:rsidRPr="00830ED6" w:rsidTr="007C646E">
        <w:tc>
          <w:tcPr>
            <w:tcW w:w="1116" w:type="pct"/>
            <w:shd w:val="clear" w:color="auto" w:fill="auto"/>
            <w:vAlign w:val="center"/>
          </w:tcPr>
          <w:p w:rsidR="00830ED6" w:rsidRPr="00830ED6" w:rsidRDefault="00830ED6" w:rsidP="007C646E">
            <w:pPr>
              <w:pStyle w:val="3-BodyText"/>
              <w:keepNext/>
              <w:keepLines/>
              <w:numPr>
                <w:ilvl w:val="0"/>
                <w:numId w:val="0"/>
              </w:numPr>
              <w:spacing w:after="0"/>
              <w:jc w:val="left"/>
              <w:rPr>
                <w:rFonts w:ascii="Arial Narrow" w:hAnsi="Arial Narrow"/>
                <w:bCs/>
                <w:sz w:val="20"/>
                <w:szCs w:val="20"/>
              </w:rPr>
            </w:pPr>
            <w:r w:rsidRPr="00830ED6">
              <w:rPr>
                <w:rFonts w:ascii="Arial Narrow" w:hAnsi="Arial Narrow"/>
                <w:bCs/>
                <w:sz w:val="20"/>
                <w:szCs w:val="20"/>
              </w:rPr>
              <w:t>Number of patients treated</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9"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r>
      <w:tr w:rsidR="00830ED6" w:rsidRPr="00830ED6" w:rsidTr="007C646E">
        <w:tc>
          <w:tcPr>
            <w:tcW w:w="1116" w:type="pct"/>
            <w:shd w:val="clear" w:color="auto" w:fill="auto"/>
            <w:vAlign w:val="center"/>
          </w:tcPr>
          <w:p w:rsidR="00830ED6" w:rsidRPr="00830ED6" w:rsidRDefault="00830ED6" w:rsidP="007C646E">
            <w:pPr>
              <w:pStyle w:val="3-BodyText"/>
              <w:keepNext/>
              <w:keepLines/>
              <w:numPr>
                <w:ilvl w:val="0"/>
                <w:numId w:val="0"/>
              </w:numPr>
              <w:spacing w:after="0"/>
              <w:jc w:val="left"/>
              <w:rPr>
                <w:rFonts w:ascii="Arial Narrow" w:hAnsi="Arial Narrow"/>
                <w:bCs/>
                <w:sz w:val="20"/>
                <w:szCs w:val="20"/>
              </w:rPr>
            </w:pPr>
            <w:r w:rsidRPr="00830ED6">
              <w:rPr>
                <w:rFonts w:ascii="Arial Narrow" w:hAnsi="Arial Narrow"/>
                <w:bCs/>
                <w:sz w:val="20"/>
                <w:szCs w:val="20"/>
              </w:rPr>
              <w:t>Number of ribociclib scripts dispensed</w:t>
            </w:r>
            <w:r w:rsidRPr="00830ED6">
              <w:rPr>
                <w:rFonts w:ascii="Arial Narrow" w:hAnsi="Arial Narrow"/>
                <w:bCs/>
                <w:sz w:val="20"/>
                <w:szCs w:val="20"/>
                <w:vertAlign w:val="superscript"/>
              </w:rPr>
              <w:t>a</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9"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r>
      <w:tr w:rsidR="00830ED6" w:rsidRPr="00830ED6" w:rsidTr="007C646E">
        <w:tc>
          <w:tcPr>
            <w:tcW w:w="1116" w:type="pct"/>
            <w:shd w:val="clear" w:color="auto" w:fill="auto"/>
            <w:vAlign w:val="center"/>
          </w:tcPr>
          <w:p w:rsidR="00830ED6" w:rsidRPr="00830ED6" w:rsidRDefault="00830ED6" w:rsidP="007C646E">
            <w:pPr>
              <w:pStyle w:val="3-BodyText"/>
              <w:keepNext/>
              <w:keepLines/>
              <w:numPr>
                <w:ilvl w:val="0"/>
                <w:numId w:val="0"/>
              </w:numPr>
              <w:spacing w:after="0"/>
              <w:jc w:val="left"/>
              <w:rPr>
                <w:rFonts w:ascii="Arial Narrow" w:hAnsi="Arial Narrow"/>
                <w:bCs/>
                <w:sz w:val="20"/>
                <w:szCs w:val="20"/>
              </w:rPr>
            </w:pPr>
            <w:r w:rsidRPr="00830ED6">
              <w:rPr>
                <w:rFonts w:ascii="Arial Narrow" w:hAnsi="Arial Narrow"/>
                <w:bCs/>
                <w:sz w:val="20"/>
                <w:szCs w:val="20"/>
              </w:rPr>
              <w:t>Number of fulvestrant scripts dispensed</w:t>
            </w:r>
            <w:r w:rsidRPr="00830ED6">
              <w:rPr>
                <w:rFonts w:ascii="Arial Narrow" w:hAnsi="Arial Narrow"/>
                <w:bCs/>
                <w:sz w:val="20"/>
                <w:szCs w:val="20"/>
                <w:vertAlign w:val="superscript"/>
              </w:rPr>
              <w:t>b</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9"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r>
      <w:tr w:rsidR="00830ED6" w:rsidRPr="00830ED6" w:rsidTr="007C646E">
        <w:tc>
          <w:tcPr>
            <w:tcW w:w="5000" w:type="pct"/>
            <w:gridSpan w:val="7"/>
            <w:shd w:val="clear" w:color="auto" w:fill="auto"/>
            <w:vAlign w:val="center"/>
          </w:tcPr>
          <w:p w:rsidR="00830ED6" w:rsidRPr="00830ED6" w:rsidRDefault="00830ED6" w:rsidP="007C646E">
            <w:pPr>
              <w:pStyle w:val="3-BodyText"/>
              <w:keepNext/>
              <w:keepLines/>
              <w:numPr>
                <w:ilvl w:val="0"/>
                <w:numId w:val="0"/>
              </w:numPr>
              <w:spacing w:after="0"/>
              <w:jc w:val="left"/>
              <w:rPr>
                <w:rFonts w:ascii="Arial Narrow" w:hAnsi="Arial Narrow"/>
                <w:bCs/>
                <w:sz w:val="20"/>
                <w:szCs w:val="20"/>
              </w:rPr>
            </w:pPr>
            <w:r w:rsidRPr="00830ED6">
              <w:rPr>
                <w:rFonts w:ascii="Arial Narrow" w:hAnsi="Arial Narrow"/>
                <w:b/>
                <w:bCs/>
                <w:sz w:val="20"/>
                <w:szCs w:val="20"/>
              </w:rPr>
              <w:t>Second line treatment</w:t>
            </w:r>
          </w:p>
        </w:tc>
      </w:tr>
      <w:tr w:rsidR="00830ED6" w:rsidRPr="00830ED6" w:rsidTr="007C646E">
        <w:tc>
          <w:tcPr>
            <w:tcW w:w="1116" w:type="pct"/>
            <w:shd w:val="clear" w:color="auto" w:fill="auto"/>
            <w:vAlign w:val="center"/>
          </w:tcPr>
          <w:p w:rsidR="00830ED6" w:rsidRPr="00830ED6" w:rsidRDefault="00830ED6" w:rsidP="007C646E">
            <w:pPr>
              <w:pStyle w:val="3-BodyText"/>
              <w:keepNext/>
              <w:keepLines/>
              <w:numPr>
                <w:ilvl w:val="0"/>
                <w:numId w:val="0"/>
              </w:numPr>
              <w:spacing w:after="0"/>
              <w:jc w:val="left"/>
              <w:rPr>
                <w:rFonts w:ascii="Arial Narrow" w:hAnsi="Arial Narrow"/>
                <w:bCs/>
                <w:sz w:val="20"/>
                <w:szCs w:val="20"/>
              </w:rPr>
            </w:pPr>
            <w:r w:rsidRPr="00830ED6">
              <w:rPr>
                <w:rFonts w:ascii="Arial Narrow" w:hAnsi="Arial Narrow"/>
                <w:bCs/>
                <w:sz w:val="20"/>
                <w:szCs w:val="20"/>
              </w:rPr>
              <w:t>Number of patients treated</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9"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r>
      <w:tr w:rsidR="00830ED6" w:rsidRPr="00830ED6" w:rsidTr="007C646E">
        <w:tc>
          <w:tcPr>
            <w:tcW w:w="1116" w:type="pct"/>
            <w:shd w:val="clear" w:color="auto" w:fill="auto"/>
            <w:vAlign w:val="center"/>
          </w:tcPr>
          <w:p w:rsidR="00830ED6" w:rsidRPr="00830ED6" w:rsidRDefault="00830ED6" w:rsidP="007C646E">
            <w:pPr>
              <w:pStyle w:val="3-BodyText"/>
              <w:keepNext/>
              <w:keepLines/>
              <w:numPr>
                <w:ilvl w:val="0"/>
                <w:numId w:val="0"/>
              </w:numPr>
              <w:spacing w:after="0"/>
              <w:jc w:val="left"/>
              <w:rPr>
                <w:rFonts w:ascii="Arial Narrow" w:hAnsi="Arial Narrow"/>
                <w:bCs/>
                <w:sz w:val="20"/>
                <w:szCs w:val="20"/>
              </w:rPr>
            </w:pPr>
            <w:r w:rsidRPr="00830ED6">
              <w:rPr>
                <w:rFonts w:ascii="Arial Narrow" w:hAnsi="Arial Narrow"/>
                <w:bCs/>
                <w:sz w:val="20"/>
                <w:szCs w:val="20"/>
              </w:rPr>
              <w:t>Number of ribociclib scripts dispensed</w:t>
            </w:r>
            <w:r w:rsidRPr="00830ED6">
              <w:rPr>
                <w:rFonts w:ascii="Arial Narrow" w:hAnsi="Arial Narrow"/>
                <w:bCs/>
                <w:sz w:val="20"/>
                <w:szCs w:val="20"/>
                <w:vertAlign w:val="superscript"/>
              </w:rPr>
              <w:t>c</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9"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r>
      <w:tr w:rsidR="00830ED6" w:rsidRPr="00830ED6" w:rsidTr="007C646E">
        <w:tc>
          <w:tcPr>
            <w:tcW w:w="1116" w:type="pct"/>
            <w:shd w:val="clear" w:color="auto" w:fill="auto"/>
            <w:vAlign w:val="center"/>
          </w:tcPr>
          <w:p w:rsidR="00830ED6" w:rsidRPr="00830ED6" w:rsidRDefault="00830ED6" w:rsidP="007C646E">
            <w:pPr>
              <w:pStyle w:val="3-BodyText"/>
              <w:keepNext/>
              <w:keepLines/>
              <w:numPr>
                <w:ilvl w:val="0"/>
                <w:numId w:val="0"/>
              </w:numPr>
              <w:spacing w:after="0"/>
              <w:jc w:val="left"/>
              <w:rPr>
                <w:rFonts w:ascii="Arial Narrow" w:hAnsi="Arial Narrow"/>
                <w:bCs/>
                <w:sz w:val="20"/>
                <w:szCs w:val="20"/>
              </w:rPr>
            </w:pPr>
            <w:r w:rsidRPr="00830ED6">
              <w:rPr>
                <w:rFonts w:ascii="Arial Narrow" w:hAnsi="Arial Narrow"/>
                <w:bCs/>
                <w:sz w:val="20"/>
                <w:szCs w:val="20"/>
              </w:rPr>
              <w:t>Number of fulvestrant scripts dispensed</w:t>
            </w:r>
            <w:r w:rsidRPr="00830ED6">
              <w:rPr>
                <w:rFonts w:ascii="Arial Narrow" w:hAnsi="Arial Narrow"/>
                <w:bCs/>
                <w:sz w:val="20"/>
                <w:szCs w:val="20"/>
                <w:vertAlign w:val="superscript"/>
              </w:rPr>
              <w:t>b</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7"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9" w:type="pct"/>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r>
      <w:tr w:rsidR="00830ED6" w:rsidRPr="00830ED6" w:rsidTr="007C646E">
        <w:tc>
          <w:tcPr>
            <w:tcW w:w="5000" w:type="pct"/>
            <w:gridSpan w:val="7"/>
            <w:shd w:val="clear" w:color="auto" w:fill="auto"/>
            <w:vAlign w:val="center"/>
          </w:tcPr>
          <w:p w:rsidR="00830ED6" w:rsidRPr="00830ED6" w:rsidRDefault="00830ED6" w:rsidP="007C646E">
            <w:pPr>
              <w:pStyle w:val="3-BodyText"/>
              <w:keepNext/>
              <w:keepLines/>
              <w:numPr>
                <w:ilvl w:val="0"/>
                <w:numId w:val="0"/>
              </w:numPr>
              <w:spacing w:after="0"/>
              <w:jc w:val="left"/>
              <w:rPr>
                <w:rFonts w:ascii="Arial Narrow" w:hAnsi="Arial Narrow"/>
                <w:b/>
                <w:sz w:val="20"/>
                <w:szCs w:val="20"/>
                <w:lang w:val="en-US"/>
              </w:rPr>
            </w:pPr>
            <w:r w:rsidRPr="00830ED6">
              <w:rPr>
                <w:rFonts w:ascii="Arial Narrow" w:hAnsi="Arial Narrow"/>
                <w:b/>
                <w:sz w:val="20"/>
                <w:szCs w:val="20"/>
                <w:lang w:val="en-US"/>
              </w:rPr>
              <w:t>Estimated financial implications of RIBO+FULV</w:t>
            </w:r>
          </w:p>
        </w:tc>
      </w:tr>
      <w:tr w:rsidR="00830ED6" w:rsidRPr="00830ED6" w:rsidTr="007C646E">
        <w:tc>
          <w:tcPr>
            <w:tcW w:w="1116" w:type="pct"/>
            <w:shd w:val="clear" w:color="auto" w:fill="auto"/>
            <w:vAlign w:val="center"/>
          </w:tcPr>
          <w:p w:rsidR="00830ED6" w:rsidRPr="00830ED6" w:rsidRDefault="00830ED6" w:rsidP="007C646E">
            <w:pPr>
              <w:pStyle w:val="3-BodyText"/>
              <w:keepNext/>
              <w:keepLines/>
              <w:numPr>
                <w:ilvl w:val="0"/>
                <w:numId w:val="0"/>
              </w:numPr>
              <w:spacing w:after="0"/>
              <w:jc w:val="left"/>
              <w:rPr>
                <w:rFonts w:ascii="Arial Narrow" w:hAnsi="Arial Narrow"/>
                <w:bCs/>
                <w:sz w:val="20"/>
                <w:szCs w:val="20"/>
              </w:rPr>
            </w:pPr>
            <w:r w:rsidRPr="00830ED6">
              <w:rPr>
                <w:rFonts w:ascii="Arial Narrow" w:hAnsi="Arial Narrow"/>
                <w:bCs/>
                <w:sz w:val="20"/>
                <w:szCs w:val="20"/>
              </w:rPr>
              <w:t>Cost to PBS/RPBS less copayments</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sz w:val="20"/>
                <w:szCs w:val="20"/>
              </w:rPr>
              <w:t>$</w:t>
            </w:r>
            <w:r w:rsidR="005E31C0">
              <w:rPr>
                <w:rFonts w:ascii="Arial Narrow" w:hAnsi="Arial Narrow"/>
                <w:noProof/>
                <w:color w:val="000000"/>
                <w:sz w:val="20"/>
                <w:szCs w:val="20"/>
                <w:highlight w:val="black"/>
              </w:rPr>
              <w:t>''''''''''''''''''''''''''''</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sz w:val="20"/>
                <w:szCs w:val="20"/>
              </w:rPr>
              <w:t>$</w:t>
            </w:r>
            <w:r w:rsidR="005E31C0">
              <w:rPr>
                <w:rFonts w:ascii="Arial Narrow" w:hAnsi="Arial Narrow"/>
                <w:noProof/>
                <w:color w:val="000000"/>
                <w:sz w:val="20"/>
                <w:szCs w:val="20"/>
                <w:highlight w:val="black"/>
              </w:rPr>
              <w:t>'''''''''''''''''''''''''''''</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sz w:val="20"/>
                <w:szCs w:val="20"/>
              </w:rPr>
              <w:t>$</w:t>
            </w:r>
            <w:r w:rsidR="005E31C0">
              <w:rPr>
                <w:rFonts w:ascii="Arial Narrow" w:hAnsi="Arial Narrow"/>
                <w:noProof/>
                <w:color w:val="000000"/>
                <w:sz w:val="20"/>
                <w:szCs w:val="20"/>
                <w:highlight w:val="black"/>
              </w:rPr>
              <w:t>'''''''''''''''''''''''''</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sz w:val="20"/>
                <w:szCs w:val="20"/>
              </w:rPr>
              <w:t>$</w:t>
            </w:r>
            <w:r w:rsidR="005E31C0">
              <w:rPr>
                <w:rFonts w:ascii="Arial Narrow" w:hAnsi="Arial Narrow"/>
                <w:noProof/>
                <w:color w:val="000000"/>
                <w:sz w:val="20"/>
                <w:szCs w:val="20"/>
                <w:highlight w:val="black"/>
              </w:rPr>
              <w:t>''''''''''''''''''''''''</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sz w:val="20"/>
                <w:szCs w:val="20"/>
              </w:rPr>
              <w:t>$</w:t>
            </w:r>
            <w:r w:rsidR="005E31C0">
              <w:rPr>
                <w:rFonts w:ascii="Arial Narrow" w:hAnsi="Arial Narrow"/>
                <w:noProof/>
                <w:color w:val="000000"/>
                <w:sz w:val="20"/>
                <w:szCs w:val="20"/>
                <w:highlight w:val="black"/>
              </w:rPr>
              <w:t>'''''''''''''''''''''''</w:t>
            </w:r>
          </w:p>
        </w:tc>
        <w:tc>
          <w:tcPr>
            <w:tcW w:w="649"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sz w:val="20"/>
                <w:szCs w:val="20"/>
              </w:rPr>
              <w:t>$</w:t>
            </w:r>
            <w:r w:rsidR="005E31C0">
              <w:rPr>
                <w:rFonts w:ascii="Arial Narrow" w:hAnsi="Arial Narrow"/>
                <w:noProof/>
                <w:color w:val="000000"/>
                <w:sz w:val="20"/>
                <w:szCs w:val="20"/>
                <w:highlight w:val="black"/>
              </w:rPr>
              <w:t>''''''''''''''''''''''''''''</w:t>
            </w:r>
          </w:p>
        </w:tc>
      </w:tr>
      <w:tr w:rsidR="00830ED6" w:rsidRPr="00830ED6" w:rsidTr="007C646E">
        <w:tc>
          <w:tcPr>
            <w:tcW w:w="5000" w:type="pct"/>
            <w:gridSpan w:val="7"/>
            <w:shd w:val="clear" w:color="auto" w:fill="auto"/>
            <w:vAlign w:val="center"/>
          </w:tcPr>
          <w:p w:rsidR="00830ED6" w:rsidRPr="00830ED6" w:rsidRDefault="00830ED6" w:rsidP="007C646E">
            <w:pPr>
              <w:pStyle w:val="3-BodyText"/>
              <w:keepNext/>
              <w:keepLines/>
              <w:numPr>
                <w:ilvl w:val="0"/>
                <w:numId w:val="0"/>
              </w:numPr>
              <w:spacing w:after="0"/>
              <w:jc w:val="left"/>
              <w:rPr>
                <w:rFonts w:ascii="Arial Narrow" w:hAnsi="Arial Narrow"/>
                <w:bCs/>
                <w:sz w:val="20"/>
                <w:szCs w:val="20"/>
              </w:rPr>
            </w:pPr>
            <w:r w:rsidRPr="00830ED6">
              <w:rPr>
                <w:rFonts w:ascii="Arial Narrow" w:hAnsi="Arial Narrow"/>
                <w:bCs/>
                <w:sz w:val="20"/>
                <w:szCs w:val="20"/>
              </w:rPr>
              <w:t>Estimated financial implications for offset medicines</w:t>
            </w:r>
          </w:p>
        </w:tc>
      </w:tr>
      <w:tr w:rsidR="00830ED6" w:rsidRPr="00830ED6" w:rsidTr="007C646E">
        <w:tc>
          <w:tcPr>
            <w:tcW w:w="1116" w:type="pct"/>
            <w:shd w:val="clear" w:color="auto" w:fill="auto"/>
            <w:vAlign w:val="center"/>
          </w:tcPr>
          <w:p w:rsidR="00830ED6" w:rsidRPr="00830ED6" w:rsidRDefault="00830ED6" w:rsidP="007C646E">
            <w:pPr>
              <w:pStyle w:val="3-BodyText"/>
              <w:keepNext/>
              <w:keepLines/>
              <w:numPr>
                <w:ilvl w:val="0"/>
                <w:numId w:val="0"/>
              </w:numPr>
              <w:spacing w:after="0"/>
              <w:jc w:val="left"/>
              <w:rPr>
                <w:rFonts w:ascii="Arial Narrow" w:hAnsi="Arial Narrow"/>
                <w:bCs/>
                <w:sz w:val="20"/>
                <w:szCs w:val="20"/>
              </w:rPr>
            </w:pPr>
            <w:r w:rsidRPr="00830ED6">
              <w:rPr>
                <w:rFonts w:ascii="Arial Narrow" w:hAnsi="Arial Narrow"/>
                <w:bCs/>
                <w:sz w:val="20"/>
                <w:szCs w:val="20"/>
              </w:rPr>
              <w:t>Number of ribociclib scripts offset</w:t>
            </w:r>
          </w:p>
        </w:tc>
        <w:tc>
          <w:tcPr>
            <w:tcW w:w="647" w:type="pct"/>
            <w:tcBorders>
              <w:top w:val="single" w:sz="4" w:space="0" w:color="auto"/>
              <w:left w:val="nil"/>
              <w:bottom w:val="single" w:sz="4" w:space="0" w:color="auto"/>
              <w:right w:val="single" w:sz="4" w:space="0" w:color="auto"/>
            </w:tcBorders>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cs="Calibri"/>
                <w:noProof/>
                <w:color w:val="000000"/>
                <w:sz w:val="2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cs="Calibri"/>
                <w:noProof/>
                <w:color w:val="000000"/>
                <w:sz w:val="2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cs="Calibri"/>
                <w:noProof/>
                <w:color w:val="000000"/>
                <w:sz w:val="2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cs="Calibri"/>
                <w:noProof/>
                <w:color w:val="000000"/>
                <w:sz w:val="2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cs="Calibri"/>
                <w:noProof/>
                <w:color w:val="000000"/>
                <w:sz w:val="20"/>
                <w:szCs w:val="20"/>
                <w:highlight w:val="black"/>
              </w:rPr>
              <w:t>''''''''''''''</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830ED6" w:rsidRPr="005E31C0" w:rsidRDefault="005E31C0" w:rsidP="007C646E">
            <w:pPr>
              <w:pStyle w:val="3-BodyText"/>
              <w:keepNext/>
              <w:keepLines/>
              <w:numPr>
                <w:ilvl w:val="0"/>
                <w:numId w:val="0"/>
              </w:numPr>
              <w:spacing w:after="0"/>
              <w:jc w:val="center"/>
              <w:rPr>
                <w:rFonts w:ascii="Arial Narrow" w:hAnsi="Arial Narrow"/>
                <w:bCs/>
                <w:sz w:val="20"/>
                <w:szCs w:val="20"/>
                <w:highlight w:val="black"/>
              </w:rPr>
            </w:pPr>
            <w:r>
              <w:rPr>
                <w:rFonts w:ascii="Arial Narrow" w:hAnsi="Arial Narrow" w:cs="Calibri"/>
                <w:noProof/>
                <w:color w:val="000000"/>
                <w:sz w:val="20"/>
                <w:szCs w:val="20"/>
                <w:highlight w:val="black"/>
              </w:rPr>
              <w:t>''''''''''''''</w:t>
            </w:r>
          </w:p>
        </w:tc>
      </w:tr>
      <w:tr w:rsidR="00830ED6" w:rsidRPr="00830ED6" w:rsidTr="007C646E">
        <w:tc>
          <w:tcPr>
            <w:tcW w:w="1116" w:type="pct"/>
            <w:shd w:val="clear" w:color="auto" w:fill="auto"/>
            <w:vAlign w:val="center"/>
          </w:tcPr>
          <w:p w:rsidR="00830ED6" w:rsidRPr="00830ED6" w:rsidRDefault="00830ED6" w:rsidP="007C646E">
            <w:pPr>
              <w:pStyle w:val="3-BodyText"/>
              <w:keepNext/>
              <w:keepLines/>
              <w:numPr>
                <w:ilvl w:val="0"/>
                <w:numId w:val="0"/>
              </w:numPr>
              <w:spacing w:after="0"/>
              <w:jc w:val="left"/>
              <w:rPr>
                <w:rFonts w:ascii="Arial Narrow" w:hAnsi="Arial Narrow"/>
                <w:bCs/>
                <w:sz w:val="20"/>
                <w:szCs w:val="20"/>
              </w:rPr>
            </w:pPr>
            <w:r w:rsidRPr="00830ED6">
              <w:rPr>
                <w:rFonts w:ascii="Arial Narrow" w:hAnsi="Arial Narrow"/>
                <w:bCs/>
                <w:sz w:val="20"/>
                <w:szCs w:val="20"/>
              </w:rPr>
              <w:t>Cost to PBS/RPBS less copayments</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bCs/>
                <w:sz w:val="20"/>
                <w:szCs w:val="20"/>
              </w:rPr>
              <w:t>-$</w:t>
            </w:r>
            <w:r w:rsidR="005E31C0">
              <w:rPr>
                <w:rFonts w:ascii="Arial Narrow" w:hAnsi="Arial Narrow"/>
                <w:bCs/>
                <w:noProof/>
                <w:color w:val="000000"/>
                <w:sz w:val="20"/>
                <w:szCs w:val="20"/>
                <w:highlight w:val="black"/>
              </w:rPr>
              <w:t>''''''''''''''''''''''''''</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bCs/>
                <w:sz w:val="20"/>
                <w:szCs w:val="20"/>
              </w:rPr>
              <w:t>-$</w:t>
            </w:r>
            <w:r w:rsidR="005E31C0">
              <w:rPr>
                <w:rFonts w:ascii="Arial Narrow" w:hAnsi="Arial Narrow"/>
                <w:bCs/>
                <w:noProof/>
                <w:color w:val="000000"/>
                <w:sz w:val="20"/>
                <w:szCs w:val="20"/>
                <w:highlight w:val="black"/>
              </w:rPr>
              <w:t>'''''''''''''''''''''''</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bCs/>
                <w:sz w:val="20"/>
                <w:szCs w:val="20"/>
              </w:rPr>
              <w:t>-$</w:t>
            </w:r>
            <w:r w:rsidR="005E31C0">
              <w:rPr>
                <w:rFonts w:ascii="Arial Narrow" w:hAnsi="Arial Narrow"/>
                <w:bCs/>
                <w:noProof/>
                <w:color w:val="000000"/>
                <w:sz w:val="20"/>
                <w:szCs w:val="20"/>
                <w:highlight w:val="black"/>
              </w:rPr>
              <w:t>'''''''''''''''''''''''''''''</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bCs/>
                <w:sz w:val="20"/>
                <w:szCs w:val="20"/>
              </w:rPr>
              <w:t>-$</w:t>
            </w:r>
            <w:r w:rsidR="005E31C0">
              <w:rPr>
                <w:rFonts w:ascii="Arial Narrow" w:hAnsi="Arial Narrow"/>
                <w:bCs/>
                <w:noProof/>
                <w:color w:val="000000"/>
                <w:sz w:val="20"/>
                <w:szCs w:val="20"/>
                <w:highlight w:val="black"/>
              </w:rPr>
              <w:t>'''''''''''''''''''''''''''</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bCs/>
                <w:sz w:val="20"/>
                <w:szCs w:val="20"/>
              </w:rPr>
              <w:t>-$</w:t>
            </w:r>
            <w:r w:rsidR="005E31C0">
              <w:rPr>
                <w:rFonts w:ascii="Arial Narrow" w:hAnsi="Arial Narrow"/>
                <w:bCs/>
                <w:noProof/>
                <w:color w:val="000000"/>
                <w:sz w:val="20"/>
                <w:szCs w:val="20"/>
                <w:highlight w:val="black"/>
              </w:rPr>
              <w:t>'''''''''''''''''''''''''''</w:t>
            </w:r>
          </w:p>
        </w:tc>
        <w:tc>
          <w:tcPr>
            <w:tcW w:w="649"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bCs/>
                <w:sz w:val="20"/>
                <w:szCs w:val="20"/>
              </w:rPr>
              <w:t>-$</w:t>
            </w:r>
            <w:r w:rsidR="005E31C0">
              <w:rPr>
                <w:rFonts w:ascii="Arial Narrow" w:hAnsi="Arial Narrow"/>
                <w:bCs/>
                <w:noProof/>
                <w:color w:val="000000"/>
                <w:sz w:val="20"/>
                <w:szCs w:val="20"/>
                <w:highlight w:val="black"/>
              </w:rPr>
              <w:t>'''''''''''''''''''''''''</w:t>
            </w:r>
          </w:p>
        </w:tc>
      </w:tr>
      <w:tr w:rsidR="00830ED6" w:rsidRPr="00830ED6" w:rsidTr="007C646E">
        <w:tc>
          <w:tcPr>
            <w:tcW w:w="5000" w:type="pct"/>
            <w:gridSpan w:val="7"/>
            <w:shd w:val="clear" w:color="auto" w:fill="auto"/>
            <w:vAlign w:val="center"/>
          </w:tcPr>
          <w:p w:rsidR="00830ED6" w:rsidRPr="00830ED6" w:rsidRDefault="00830ED6" w:rsidP="007C646E">
            <w:pPr>
              <w:pStyle w:val="3-BodyText"/>
              <w:keepNext/>
              <w:keepLines/>
              <w:numPr>
                <w:ilvl w:val="0"/>
                <w:numId w:val="0"/>
              </w:numPr>
              <w:spacing w:after="0"/>
              <w:jc w:val="left"/>
              <w:rPr>
                <w:rFonts w:ascii="Arial Narrow" w:hAnsi="Arial Narrow"/>
                <w:b/>
                <w:sz w:val="20"/>
                <w:szCs w:val="20"/>
                <w:lang w:val="en-US"/>
              </w:rPr>
            </w:pPr>
            <w:r w:rsidRPr="00830ED6">
              <w:rPr>
                <w:rFonts w:ascii="Arial Narrow" w:hAnsi="Arial Narrow"/>
                <w:b/>
                <w:sz w:val="20"/>
                <w:szCs w:val="20"/>
                <w:lang w:val="en-US"/>
              </w:rPr>
              <w:t xml:space="preserve">Net financial implications </w:t>
            </w:r>
          </w:p>
        </w:tc>
      </w:tr>
      <w:tr w:rsidR="00830ED6" w:rsidRPr="00830ED6" w:rsidTr="007C646E">
        <w:tc>
          <w:tcPr>
            <w:tcW w:w="1116" w:type="pct"/>
            <w:shd w:val="clear" w:color="auto" w:fill="auto"/>
            <w:vAlign w:val="center"/>
          </w:tcPr>
          <w:p w:rsidR="00830ED6" w:rsidRPr="00830ED6" w:rsidRDefault="00830ED6" w:rsidP="007C646E">
            <w:pPr>
              <w:pStyle w:val="3-BodyText"/>
              <w:keepNext/>
              <w:keepLines/>
              <w:numPr>
                <w:ilvl w:val="0"/>
                <w:numId w:val="0"/>
              </w:numPr>
              <w:spacing w:after="0"/>
              <w:jc w:val="left"/>
              <w:rPr>
                <w:rFonts w:ascii="Arial Narrow" w:hAnsi="Arial Narrow"/>
                <w:bCs/>
                <w:sz w:val="20"/>
                <w:szCs w:val="20"/>
              </w:rPr>
            </w:pPr>
            <w:r w:rsidRPr="00830ED6">
              <w:rPr>
                <w:rFonts w:ascii="Arial Narrow" w:hAnsi="Arial Narrow"/>
                <w:bCs/>
                <w:sz w:val="20"/>
                <w:szCs w:val="20"/>
              </w:rPr>
              <w:t>Net cost to PBS/RPBS</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sz w:val="20"/>
                <w:szCs w:val="20"/>
              </w:rPr>
              <w:t>$</w:t>
            </w:r>
            <w:r w:rsidR="005E31C0">
              <w:rPr>
                <w:rFonts w:ascii="Arial Narrow" w:hAnsi="Arial Narrow"/>
                <w:noProof/>
                <w:color w:val="000000"/>
                <w:sz w:val="20"/>
                <w:szCs w:val="20"/>
                <w:highlight w:val="black"/>
              </w:rPr>
              <w:t>'''''''''''''''''''''''''</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sz w:val="20"/>
                <w:szCs w:val="20"/>
              </w:rPr>
              <w:t>$</w:t>
            </w:r>
            <w:r w:rsidR="005E31C0">
              <w:rPr>
                <w:rFonts w:ascii="Arial Narrow" w:hAnsi="Arial Narrow"/>
                <w:noProof/>
                <w:color w:val="000000"/>
                <w:sz w:val="20"/>
                <w:szCs w:val="20"/>
                <w:highlight w:val="black"/>
              </w:rPr>
              <w:t>'''''''''''''''''''''''''''</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sz w:val="20"/>
                <w:szCs w:val="20"/>
              </w:rPr>
              <w:t>$</w:t>
            </w:r>
            <w:r w:rsidR="005E31C0">
              <w:rPr>
                <w:rFonts w:ascii="Arial Narrow" w:hAnsi="Arial Narrow"/>
                <w:noProof/>
                <w:color w:val="000000"/>
                <w:sz w:val="20"/>
                <w:szCs w:val="20"/>
                <w:highlight w:val="black"/>
              </w:rPr>
              <w:t>''''''''''''''''''''''''''</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sz w:val="20"/>
                <w:szCs w:val="20"/>
              </w:rPr>
              <w:t>$</w:t>
            </w:r>
            <w:r w:rsidR="005E31C0">
              <w:rPr>
                <w:rFonts w:ascii="Arial Narrow" w:hAnsi="Arial Narrow"/>
                <w:noProof/>
                <w:color w:val="000000"/>
                <w:sz w:val="20"/>
                <w:szCs w:val="20"/>
                <w:highlight w:val="black"/>
              </w:rPr>
              <w:t>''''''''''''''''''''''''''''</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sz w:val="20"/>
                <w:szCs w:val="20"/>
              </w:rPr>
              <w:t>$</w:t>
            </w:r>
            <w:r w:rsidR="005E31C0">
              <w:rPr>
                <w:rFonts w:ascii="Arial Narrow" w:hAnsi="Arial Narrow"/>
                <w:noProof/>
                <w:color w:val="000000"/>
                <w:sz w:val="20"/>
                <w:szCs w:val="20"/>
                <w:highlight w:val="black"/>
              </w:rPr>
              <w:t>'''''''''''''''''''''''''''</w:t>
            </w:r>
          </w:p>
        </w:tc>
        <w:tc>
          <w:tcPr>
            <w:tcW w:w="649"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sz w:val="20"/>
                <w:szCs w:val="20"/>
              </w:rPr>
              <w:t>$</w:t>
            </w:r>
            <w:r w:rsidR="005E31C0">
              <w:rPr>
                <w:rFonts w:ascii="Arial Narrow" w:hAnsi="Arial Narrow"/>
                <w:noProof/>
                <w:color w:val="000000"/>
                <w:sz w:val="20"/>
                <w:szCs w:val="20"/>
                <w:highlight w:val="black"/>
              </w:rPr>
              <w:t>''''''''''''''''''''''''</w:t>
            </w:r>
          </w:p>
        </w:tc>
      </w:tr>
      <w:tr w:rsidR="00830ED6" w:rsidRPr="00830ED6" w:rsidTr="007C646E">
        <w:tc>
          <w:tcPr>
            <w:tcW w:w="1116" w:type="pct"/>
            <w:shd w:val="clear" w:color="auto" w:fill="auto"/>
            <w:vAlign w:val="center"/>
          </w:tcPr>
          <w:p w:rsidR="00830ED6" w:rsidRPr="00830ED6" w:rsidRDefault="00830ED6" w:rsidP="007C646E">
            <w:pPr>
              <w:pStyle w:val="3-BodyText"/>
              <w:keepNext/>
              <w:keepLines/>
              <w:numPr>
                <w:ilvl w:val="0"/>
                <w:numId w:val="0"/>
              </w:numPr>
              <w:spacing w:after="0"/>
              <w:jc w:val="left"/>
              <w:rPr>
                <w:rFonts w:ascii="Arial Narrow" w:hAnsi="Arial Narrow"/>
                <w:bCs/>
                <w:sz w:val="20"/>
                <w:szCs w:val="20"/>
              </w:rPr>
            </w:pPr>
            <w:r w:rsidRPr="00830ED6">
              <w:rPr>
                <w:rFonts w:ascii="Arial Narrow" w:hAnsi="Arial Narrow"/>
                <w:bCs/>
                <w:sz w:val="20"/>
                <w:szCs w:val="20"/>
              </w:rPr>
              <w:t>Net cost to MBS</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sz w:val="20"/>
                <w:szCs w:val="20"/>
              </w:rPr>
              <w:t>-$</w:t>
            </w:r>
            <w:r w:rsidR="005E31C0">
              <w:rPr>
                <w:rFonts w:ascii="Arial Narrow" w:hAnsi="Arial Narrow"/>
                <w:noProof/>
                <w:color w:val="000000"/>
                <w:sz w:val="20"/>
                <w:szCs w:val="20"/>
                <w:highlight w:val="black"/>
              </w:rPr>
              <w:t>''''''''''''''''''</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sz w:val="20"/>
                <w:szCs w:val="20"/>
              </w:rPr>
              <w:t>-$</w:t>
            </w:r>
            <w:r w:rsidR="005E31C0">
              <w:rPr>
                <w:rFonts w:ascii="Arial Narrow" w:hAnsi="Arial Narrow"/>
                <w:noProof/>
                <w:color w:val="000000"/>
                <w:sz w:val="20"/>
                <w:szCs w:val="20"/>
                <w:highlight w:val="black"/>
              </w:rPr>
              <w:t>''''''''''''''''''</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sz w:val="20"/>
                <w:szCs w:val="20"/>
              </w:rPr>
              <w:t>-$</w:t>
            </w:r>
            <w:r w:rsidR="005E31C0">
              <w:rPr>
                <w:rFonts w:ascii="Arial Narrow" w:hAnsi="Arial Narrow"/>
                <w:noProof/>
                <w:color w:val="000000"/>
                <w:sz w:val="20"/>
                <w:szCs w:val="20"/>
                <w:highlight w:val="black"/>
              </w:rPr>
              <w:t>''''''''''''''''''</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sz w:val="20"/>
                <w:szCs w:val="20"/>
              </w:rPr>
              <w:t>-$</w:t>
            </w:r>
            <w:r w:rsidR="005E31C0">
              <w:rPr>
                <w:rFonts w:ascii="Arial Narrow" w:hAnsi="Arial Narrow"/>
                <w:noProof/>
                <w:color w:val="000000"/>
                <w:sz w:val="20"/>
                <w:szCs w:val="20"/>
                <w:highlight w:val="black"/>
              </w:rPr>
              <w:t>'''''''''''''''''''''</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sz w:val="20"/>
                <w:szCs w:val="20"/>
              </w:rPr>
              <w:t>-$</w:t>
            </w:r>
            <w:r w:rsidR="005E31C0">
              <w:rPr>
                <w:rFonts w:ascii="Arial Narrow" w:hAnsi="Arial Narrow"/>
                <w:noProof/>
                <w:color w:val="000000"/>
                <w:sz w:val="20"/>
                <w:szCs w:val="20"/>
                <w:highlight w:val="black"/>
              </w:rPr>
              <w:t>'''''''''''''''''''</w:t>
            </w:r>
          </w:p>
        </w:tc>
        <w:tc>
          <w:tcPr>
            <w:tcW w:w="649"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sz w:val="20"/>
                <w:szCs w:val="20"/>
              </w:rPr>
              <w:t>-$</w:t>
            </w:r>
            <w:r w:rsidR="005E31C0">
              <w:rPr>
                <w:rFonts w:ascii="Arial Narrow" w:hAnsi="Arial Narrow"/>
                <w:noProof/>
                <w:color w:val="000000"/>
                <w:sz w:val="20"/>
                <w:szCs w:val="20"/>
                <w:highlight w:val="black"/>
              </w:rPr>
              <w:t>''''''''''''''''''</w:t>
            </w:r>
          </w:p>
        </w:tc>
      </w:tr>
      <w:tr w:rsidR="00830ED6" w:rsidRPr="00830ED6" w:rsidTr="007C646E">
        <w:tc>
          <w:tcPr>
            <w:tcW w:w="1116" w:type="pct"/>
            <w:shd w:val="clear" w:color="auto" w:fill="auto"/>
            <w:vAlign w:val="center"/>
          </w:tcPr>
          <w:p w:rsidR="00830ED6" w:rsidRPr="00830ED6" w:rsidRDefault="00830ED6" w:rsidP="007C646E">
            <w:pPr>
              <w:pStyle w:val="3-BodyText"/>
              <w:keepNext/>
              <w:keepLines/>
              <w:numPr>
                <w:ilvl w:val="0"/>
                <w:numId w:val="0"/>
              </w:numPr>
              <w:spacing w:after="0"/>
              <w:jc w:val="left"/>
              <w:rPr>
                <w:rFonts w:ascii="Arial Narrow" w:hAnsi="Arial Narrow"/>
                <w:bCs/>
                <w:sz w:val="20"/>
                <w:szCs w:val="20"/>
              </w:rPr>
            </w:pPr>
            <w:r w:rsidRPr="00830ED6">
              <w:rPr>
                <w:rFonts w:ascii="Arial Narrow" w:hAnsi="Arial Narrow"/>
                <w:bCs/>
                <w:sz w:val="20"/>
                <w:szCs w:val="20"/>
              </w:rPr>
              <w:t>Net cost to health budget</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b/>
                <w:sz w:val="20"/>
                <w:szCs w:val="20"/>
              </w:rPr>
              <w:t>$</w:t>
            </w:r>
            <w:r w:rsidR="005E31C0">
              <w:rPr>
                <w:rFonts w:ascii="Arial Narrow" w:hAnsi="Arial Narrow"/>
                <w:b/>
                <w:noProof/>
                <w:color w:val="000000"/>
                <w:sz w:val="20"/>
                <w:szCs w:val="20"/>
                <w:highlight w:val="black"/>
              </w:rPr>
              <w:t>''''''''''''''''''''</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b/>
                <w:sz w:val="20"/>
                <w:szCs w:val="20"/>
              </w:rPr>
              <w:t>$</w:t>
            </w:r>
            <w:r w:rsidR="005E31C0">
              <w:rPr>
                <w:rFonts w:ascii="Arial Narrow" w:hAnsi="Arial Narrow"/>
                <w:b/>
                <w:noProof/>
                <w:color w:val="000000"/>
                <w:sz w:val="20"/>
                <w:szCs w:val="20"/>
                <w:highlight w:val="black"/>
              </w:rPr>
              <w:t>''''''''''''''''''''''</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b/>
                <w:sz w:val="20"/>
                <w:szCs w:val="20"/>
              </w:rPr>
              <w:t>$</w:t>
            </w:r>
            <w:r w:rsidR="005E31C0">
              <w:rPr>
                <w:rFonts w:ascii="Arial Narrow" w:hAnsi="Arial Narrow"/>
                <w:b/>
                <w:noProof/>
                <w:color w:val="000000"/>
                <w:sz w:val="20"/>
                <w:szCs w:val="20"/>
                <w:highlight w:val="black"/>
              </w:rPr>
              <w:t>'''''''''''''''''''''</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b/>
                <w:sz w:val="20"/>
                <w:szCs w:val="20"/>
              </w:rPr>
              <w:t>$</w:t>
            </w:r>
            <w:r w:rsidR="005E31C0">
              <w:rPr>
                <w:rFonts w:ascii="Arial Narrow" w:hAnsi="Arial Narrow"/>
                <w:b/>
                <w:noProof/>
                <w:color w:val="000000"/>
                <w:sz w:val="20"/>
                <w:szCs w:val="20"/>
                <w:highlight w:val="black"/>
              </w:rPr>
              <w:t>'''''''''''''''''''''''</w:t>
            </w:r>
          </w:p>
        </w:tc>
        <w:tc>
          <w:tcPr>
            <w:tcW w:w="647"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b/>
                <w:sz w:val="20"/>
                <w:szCs w:val="20"/>
              </w:rPr>
              <w:t>$</w:t>
            </w:r>
            <w:r w:rsidR="005E31C0">
              <w:rPr>
                <w:rFonts w:ascii="Arial Narrow" w:hAnsi="Arial Narrow"/>
                <w:b/>
                <w:noProof/>
                <w:color w:val="000000"/>
                <w:sz w:val="20"/>
                <w:szCs w:val="20"/>
                <w:highlight w:val="black"/>
              </w:rPr>
              <w:t>'''''''''''''''''''</w:t>
            </w:r>
          </w:p>
        </w:tc>
        <w:tc>
          <w:tcPr>
            <w:tcW w:w="649" w:type="pct"/>
            <w:shd w:val="clear" w:color="auto" w:fill="auto"/>
            <w:vAlign w:val="center"/>
          </w:tcPr>
          <w:p w:rsidR="00830ED6" w:rsidRPr="00830ED6" w:rsidRDefault="00830ED6" w:rsidP="007C646E">
            <w:pPr>
              <w:pStyle w:val="3-BodyText"/>
              <w:keepNext/>
              <w:keepLines/>
              <w:numPr>
                <w:ilvl w:val="0"/>
                <w:numId w:val="0"/>
              </w:numPr>
              <w:spacing w:after="0"/>
              <w:jc w:val="right"/>
              <w:rPr>
                <w:rFonts w:ascii="Arial Narrow" w:hAnsi="Arial Narrow"/>
                <w:bCs/>
                <w:sz w:val="20"/>
                <w:szCs w:val="20"/>
              </w:rPr>
            </w:pPr>
            <w:r w:rsidRPr="00830ED6">
              <w:rPr>
                <w:rFonts w:ascii="Arial Narrow" w:hAnsi="Arial Narrow"/>
                <w:b/>
                <w:sz w:val="20"/>
                <w:szCs w:val="20"/>
              </w:rPr>
              <w:t>$</w:t>
            </w:r>
            <w:r w:rsidR="005E31C0">
              <w:rPr>
                <w:rFonts w:ascii="Arial Narrow" w:hAnsi="Arial Narrow"/>
                <w:b/>
                <w:noProof/>
                <w:color w:val="000000"/>
                <w:sz w:val="20"/>
                <w:szCs w:val="20"/>
                <w:highlight w:val="black"/>
              </w:rPr>
              <w:t>''''''''''''''''''''</w:t>
            </w:r>
          </w:p>
        </w:tc>
      </w:tr>
    </w:tbl>
    <w:p w:rsidR="00830ED6" w:rsidRPr="00B65A92" w:rsidRDefault="00830ED6" w:rsidP="00830ED6">
      <w:pPr>
        <w:pStyle w:val="TableFigureFooter"/>
        <w:keepNext/>
        <w:keepLines/>
        <w:rPr>
          <w:b/>
        </w:rPr>
      </w:pPr>
      <w:r w:rsidRPr="00B65A92">
        <w:t xml:space="preserve">Source: Tables 4-14, </w:t>
      </w:r>
      <w:r>
        <w:t xml:space="preserve">4-17, </w:t>
      </w:r>
      <w:r w:rsidRPr="00B65A92">
        <w:t>4-25 &amp; 4-29, pp228</w:t>
      </w:r>
      <w:r>
        <w:t>, 230-231</w:t>
      </w:r>
      <w:r w:rsidRPr="00B65A92">
        <w:t xml:space="preserve"> &amp; 234-236 of the submission.</w:t>
      </w:r>
      <w:r w:rsidRPr="00830ED6">
        <w:t xml:space="preserve"> Revised estimates include the corrected price of fulvestrant</w:t>
      </w:r>
    </w:p>
    <w:p w:rsidR="00830ED6" w:rsidRPr="00B65A92" w:rsidRDefault="00830ED6" w:rsidP="00830ED6">
      <w:pPr>
        <w:pStyle w:val="TableFigureFooter"/>
        <w:keepNext/>
        <w:keepLines/>
      </w:pPr>
      <w:r w:rsidRPr="00B65A92">
        <w:rPr>
          <w:vertAlign w:val="superscript"/>
        </w:rPr>
        <w:t>a</w:t>
      </w:r>
      <w:r w:rsidRPr="00B65A92">
        <w:t xml:space="preserve"> Assuming 32.6 scripts per year for </w:t>
      </w:r>
      <w:r>
        <w:t>first</w:t>
      </w:r>
      <w:r w:rsidRPr="00B65A92">
        <w:t xml:space="preserve"> line treatment as estimated by the submission.</w:t>
      </w:r>
    </w:p>
    <w:p w:rsidR="00830ED6" w:rsidRPr="00B65A92" w:rsidRDefault="00830ED6" w:rsidP="00830ED6">
      <w:pPr>
        <w:pStyle w:val="TableFigureFooter"/>
        <w:keepNext/>
        <w:keepLines/>
        <w:rPr>
          <w:i/>
        </w:rPr>
      </w:pPr>
      <w:r w:rsidRPr="00B65A92">
        <w:rPr>
          <w:vertAlign w:val="superscript"/>
        </w:rPr>
        <w:t>b</w:t>
      </w:r>
      <w:r w:rsidRPr="00B65A92">
        <w:t xml:space="preserve"> Number of ribociclib scripts x (14.04/13.04). </w:t>
      </w:r>
      <w:r w:rsidRPr="00852917">
        <w:t>Workbook calculations include rounding.</w:t>
      </w:r>
    </w:p>
    <w:p w:rsidR="00830ED6" w:rsidRPr="00B65A92" w:rsidRDefault="00830ED6" w:rsidP="00830ED6">
      <w:pPr>
        <w:pStyle w:val="TableFigureFooter"/>
        <w:keepNext/>
        <w:keepLines/>
      </w:pPr>
      <w:r w:rsidRPr="00B65A92">
        <w:rPr>
          <w:vertAlign w:val="superscript"/>
        </w:rPr>
        <w:t>c</w:t>
      </w:r>
      <w:r w:rsidRPr="00B65A92">
        <w:t xml:space="preserve"> Assuming 20.44 scripts per year for </w:t>
      </w:r>
      <w:r>
        <w:t>second</w:t>
      </w:r>
      <w:r w:rsidRPr="00B65A92">
        <w:t xml:space="preserve"> line treatment per year as estimated by the submission.</w:t>
      </w:r>
    </w:p>
    <w:p w:rsidR="00AD7E75" w:rsidRPr="00AD7E75" w:rsidRDefault="00830ED6" w:rsidP="004931A6">
      <w:pPr>
        <w:pStyle w:val="3-BodyText"/>
        <w:rPr>
          <w:b/>
        </w:rPr>
      </w:pPr>
      <w:r w:rsidRPr="00B65A92">
        <w:t xml:space="preserve">The </w:t>
      </w:r>
      <w:r w:rsidR="007B03D5">
        <w:t xml:space="preserve">submission estimated that the </w:t>
      </w:r>
      <w:r w:rsidRPr="00B65A92">
        <w:t xml:space="preserve">total cost to the PBS/RPBS of listing </w:t>
      </w:r>
      <w:r>
        <w:t>RIBO+FULV</w:t>
      </w:r>
      <w:r w:rsidRPr="00B65A92">
        <w:t xml:space="preserve"> </w:t>
      </w:r>
      <w:r w:rsidR="007B03D5">
        <w:t>would</w:t>
      </w:r>
      <w:r w:rsidRPr="00B65A92">
        <w:t xml:space="preserve"> be </w:t>
      </w:r>
      <w:r w:rsidR="00E7032F">
        <w:t xml:space="preserve">$50 million to &lt; $60 </w:t>
      </w:r>
      <w:r w:rsidRPr="00B65A92">
        <w:t xml:space="preserve">million in Year 6, and a total of </w:t>
      </w:r>
      <w:r w:rsidR="00E7032F">
        <w:t>$200 million to &lt; $300</w:t>
      </w:r>
      <w:r w:rsidRPr="00B65A92">
        <w:t xml:space="preserve"> million in the first 6 years of listing.</w:t>
      </w:r>
      <w:r w:rsidR="00AD7E75">
        <w:t xml:space="preserve"> The pre-PBAC response proposed shorter durations of therapy for RIBO+FULV, which would reduce the financial impact.</w:t>
      </w:r>
      <w:r w:rsidR="00AD7E75" w:rsidRPr="00B65A92">
        <w:t xml:space="preserve"> </w:t>
      </w:r>
    </w:p>
    <w:p w:rsidR="004931A6" w:rsidRPr="00513F9A" w:rsidRDefault="004931A6" w:rsidP="004931A6">
      <w:pPr>
        <w:pStyle w:val="3-BodyText"/>
        <w:rPr>
          <w:b/>
        </w:rPr>
      </w:pPr>
      <w:r w:rsidRPr="004931A6">
        <w:t xml:space="preserve">DUSC considered the estimates presented in the submission to be significantly overestimated due to the issues outlined </w:t>
      </w:r>
      <w:r w:rsidR="00AD3160">
        <w:t>below</w:t>
      </w:r>
      <w:r w:rsidRPr="004931A6">
        <w:t xml:space="preserve">. </w:t>
      </w:r>
    </w:p>
    <w:p w:rsidR="00C119AB" w:rsidRPr="00C119AB" w:rsidRDefault="00830ED6" w:rsidP="00C119AB">
      <w:pPr>
        <w:pStyle w:val="3-BodyText"/>
      </w:pPr>
      <w:r w:rsidRPr="00830ED6">
        <w:t xml:space="preserve">The duration of treatment with RIBO+FULV presented in the financial estimates </w:t>
      </w:r>
      <w:r w:rsidR="00E71D2D">
        <w:t>wa</w:t>
      </w:r>
      <w:r w:rsidRPr="00830ED6">
        <w:t>s not consistent with the trial evidence presented or the cost effectiveness model and appear</w:t>
      </w:r>
      <w:r w:rsidR="00E71D2D">
        <w:t>ed</w:t>
      </w:r>
      <w:r w:rsidRPr="00830ED6">
        <w:t xml:space="preserve"> to be substantially overestimated. The duration of treatment specific to first- and second-line therapy </w:t>
      </w:r>
      <w:r w:rsidR="00AD7E75">
        <w:t>was not</w:t>
      </w:r>
      <w:r w:rsidRPr="00830ED6">
        <w:t xml:space="preserve"> provide</w:t>
      </w:r>
      <w:r w:rsidR="00AD7E75">
        <w:t>d, and would have resulted in</w:t>
      </w:r>
      <w:r w:rsidRPr="00830ED6">
        <w:t xml:space="preserve"> more certain estimates.</w:t>
      </w:r>
      <w:r w:rsidR="00AD7E75">
        <w:t xml:space="preserve"> DUSC considered that, given the data available, </w:t>
      </w:r>
      <w:r w:rsidR="00A61DEC" w:rsidRPr="00A61DEC">
        <w:t>it</w:t>
      </w:r>
      <w:r w:rsidR="00E71D2D">
        <w:t xml:space="preserve"> would be</w:t>
      </w:r>
      <w:r w:rsidR="00A61DEC" w:rsidRPr="00A61DEC">
        <w:t xml:space="preserve"> more reliable to base the estimate on the treatment exposure in the clinical trial setting.</w:t>
      </w:r>
      <w:r w:rsidR="00C119AB">
        <w:t xml:space="preserve"> </w:t>
      </w:r>
      <w:r w:rsidR="00C119AB" w:rsidRPr="00C119AB">
        <w:t>DUSC suggested using the median treatment exposure of 20.2 months of letrozole + ribociclib in MONALEESA-2 for first line</w:t>
      </w:r>
      <w:r w:rsidR="00E71D2D">
        <w:t>,</w:t>
      </w:r>
      <w:r w:rsidR="00C119AB" w:rsidRPr="00C119AB">
        <w:t xml:space="preserve"> and mean prescription duration of 13.3 months </w:t>
      </w:r>
      <w:r w:rsidR="00AD3160">
        <w:t>observed</w:t>
      </w:r>
      <w:r w:rsidR="00C119AB" w:rsidRPr="00C119AB">
        <w:t xml:space="preserve"> in MONALEESA-3 for second line estimates. </w:t>
      </w:r>
      <w:r w:rsidR="00C119AB">
        <w:t>This approach was accepted by the sponsor in the pre-PBAC response.</w:t>
      </w:r>
      <w:r w:rsidR="00AD7E75">
        <w:t xml:space="preserve"> The PBAC considered this was appropriate.</w:t>
      </w:r>
    </w:p>
    <w:p w:rsidR="00C119AB" w:rsidRPr="00C119AB" w:rsidRDefault="00C119AB" w:rsidP="00C119AB">
      <w:pPr>
        <w:pStyle w:val="3-BodyText"/>
      </w:pPr>
      <w:r>
        <w:t>DUSC considered t</w:t>
      </w:r>
      <w:r w:rsidRPr="00830ED6">
        <w:t xml:space="preserve">he estimated growth in the </w:t>
      </w:r>
      <w:r w:rsidR="006F586C">
        <w:t>CDKI</w:t>
      </w:r>
      <w:r w:rsidRPr="00830ED6">
        <w:t xml:space="preserve"> market </w:t>
      </w:r>
      <w:r w:rsidR="00AD3160">
        <w:t>wa</w:t>
      </w:r>
      <w:r w:rsidRPr="00830ED6">
        <w:t xml:space="preserve">s overestimated. This drug class has been PBS subsidised in Australia since July 2018 and </w:t>
      </w:r>
      <w:r w:rsidR="00E71D2D">
        <w:t xml:space="preserve">the estimated annual market growth of </w:t>
      </w:r>
      <w:r w:rsidRPr="00830ED6">
        <w:t>up to 19% is unlikely to be observed as the market is expected to have stabilised.</w:t>
      </w:r>
      <w:r>
        <w:t xml:space="preserve"> The pre-PBAC response disagreed that the market has stabilised, and stated that PBS statistics for CDKIs support the submission’s estimated growth </w:t>
      </w:r>
      <w:r w:rsidRPr="00AB529A">
        <w:t>rates of 19% in 2021, 12% in 2022, and 6% in year from</w:t>
      </w:r>
      <w:r w:rsidRPr="00C119AB">
        <w:t xml:space="preserve"> 2023 to 2026</w:t>
      </w:r>
      <w:r>
        <w:t xml:space="preserve">. </w:t>
      </w:r>
    </w:p>
    <w:p w:rsidR="00AC59A4" w:rsidRPr="00830ED6" w:rsidRDefault="00AC59A4" w:rsidP="00AC59A4">
      <w:pPr>
        <w:pStyle w:val="3-BodyText"/>
      </w:pPr>
      <w:r>
        <w:t>DUSC noted that g</w:t>
      </w:r>
      <w:r w:rsidRPr="00830ED6">
        <w:t xml:space="preserve">rowth in the utilisation of everolimus </w:t>
      </w:r>
      <w:r w:rsidR="00E64401">
        <w:t>wa</w:t>
      </w:r>
      <w:r w:rsidRPr="00830ED6">
        <w:t xml:space="preserve">s assumed to be flat over the forward estimates period, but </w:t>
      </w:r>
      <w:r w:rsidR="00051C50">
        <w:t xml:space="preserve">PBS </w:t>
      </w:r>
      <w:r w:rsidRPr="00830ED6">
        <w:t>Authorities data demonstrates that there has been a significant decrease in everolimus utilisation for breast cancer.</w:t>
      </w:r>
      <w:r w:rsidR="00051C50">
        <w:t xml:space="preserve"> Therefore DUSC considered that the projected offsets are likely to be overestimated.</w:t>
      </w:r>
    </w:p>
    <w:p w:rsidR="00AC59A4" w:rsidRPr="00513F9A" w:rsidRDefault="00AC59A4" w:rsidP="00AC59A4">
      <w:pPr>
        <w:pStyle w:val="3-BodyText"/>
      </w:pPr>
      <w:r w:rsidRPr="00513F9A">
        <w:t xml:space="preserve">Five different uptake rates </w:t>
      </w:r>
      <w:r w:rsidR="00051C50">
        <w:t>we</w:t>
      </w:r>
      <w:r w:rsidRPr="00513F9A">
        <w:t>re used across the four patient populations</w:t>
      </w:r>
      <w:r w:rsidR="00051C50">
        <w:t>. DUSC considered that the uptake assumptions</w:t>
      </w:r>
      <w:r w:rsidRPr="00513F9A">
        <w:t xml:space="preserve"> </w:t>
      </w:r>
      <w:r w:rsidR="00254F9B">
        <w:t>were</w:t>
      </w:r>
      <w:r w:rsidRPr="00513F9A">
        <w:t xml:space="preserve"> </w:t>
      </w:r>
      <w:r w:rsidR="00051C50">
        <w:t xml:space="preserve">highly uncertain and not adequately </w:t>
      </w:r>
      <w:r w:rsidRPr="00513F9A">
        <w:t xml:space="preserve">justified. </w:t>
      </w:r>
    </w:p>
    <w:p w:rsidR="00AC59A4" w:rsidRPr="00830ED6" w:rsidRDefault="00AC59A4" w:rsidP="00A40BD1">
      <w:pPr>
        <w:pStyle w:val="ListParagraph"/>
        <w:numPr>
          <w:ilvl w:val="1"/>
          <w:numId w:val="12"/>
        </w:numPr>
        <w:spacing w:after="0"/>
        <w:contextualSpacing/>
        <w:rPr>
          <w:rFonts w:cstheme="minorHAnsi"/>
        </w:rPr>
      </w:pPr>
      <w:r w:rsidRPr="00830ED6">
        <w:rPr>
          <w:rFonts w:cstheme="minorHAnsi"/>
        </w:rPr>
        <w:t>Population 1 –</w:t>
      </w:r>
      <w:r w:rsidR="0065167C">
        <w:rPr>
          <w:rFonts w:cstheme="minorHAnsi"/>
        </w:rPr>
        <w:t xml:space="preserve"> </w:t>
      </w:r>
      <w:r w:rsidR="00A40BD1" w:rsidRPr="00A40BD1">
        <w:rPr>
          <w:rFonts w:cstheme="minorHAnsi"/>
        </w:rPr>
        <w:t xml:space="preserve">DUSC considered that the uptake rate in population 1 </w:t>
      </w:r>
      <w:r w:rsidR="00A40BD1">
        <w:rPr>
          <w:rFonts w:cstheme="minorHAnsi"/>
        </w:rPr>
        <w:t>was</w:t>
      </w:r>
      <w:r w:rsidR="00A40BD1" w:rsidRPr="00A40BD1">
        <w:rPr>
          <w:rFonts w:cstheme="minorHAnsi"/>
        </w:rPr>
        <w:t xml:space="preserve"> likely to be overestimated as patients may be hesitant to switch to a parenteral treatment</w:t>
      </w:r>
      <w:r w:rsidR="00A40BD1">
        <w:rPr>
          <w:rFonts w:cstheme="minorHAnsi"/>
        </w:rPr>
        <w:t>.</w:t>
      </w:r>
    </w:p>
    <w:p w:rsidR="00AC59A4" w:rsidRPr="00AB529A" w:rsidRDefault="00AC59A4" w:rsidP="00A40BD1">
      <w:pPr>
        <w:pStyle w:val="ListParagraph"/>
        <w:numPr>
          <w:ilvl w:val="1"/>
          <w:numId w:val="12"/>
        </w:numPr>
        <w:spacing w:after="0"/>
        <w:contextualSpacing/>
        <w:rPr>
          <w:rFonts w:cstheme="minorHAnsi"/>
        </w:rPr>
      </w:pPr>
      <w:r w:rsidRPr="00830ED6">
        <w:rPr>
          <w:rFonts w:cstheme="minorHAnsi"/>
        </w:rPr>
        <w:t xml:space="preserve">Population 2 – </w:t>
      </w:r>
      <w:r w:rsidR="00A40BD1">
        <w:rPr>
          <w:rFonts w:cstheme="minorHAnsi"/>
        </w:rPr>
        <w:t xml:space="preserve">the assumption </w:t>
      </w:r>
      <w:r w:rsidR="00A40BD1" w:rsidRPr="00AB529A">
        <w:rPr>
          <w:rFonts w:cstheme="minorHAnsi"/>
        </w:rPr>
        <w:t xml:space="preserve">of </w:t>
      </w:r>
      <w:r w:rsidRPr="00AB529A">
        <w:rPr>
          <w:rFonts w:cstheme="minorHAnsi"/>
        </w:rPr>
        <w:t>up to 20% uptake</w:t>
      </w:r>
      <w:r w:rsidRPr="00830ED6">
        <w:rPr>
          <w:rFonts w:cstheme="minorHAnsi"/>
        </w:rPr>
        <w:t xml:space="preserve"> in patients currently receiving chemotherapy is likely to be overestimated as there is no evidence to suggest that </w:t>
      </w:r>
      <w:r w:rsidR="00DA6C83">
        <w:rPr>
          <w:rFonts w:cstheme="minorHAnsi"/>
        </w:rPr>
        <w:t>RIBO+FULV</w:t>
      </w:r>
      <w:r w:rsidRPr="00830ED6">
        <w:rPr>
          <w:rFonts w:cstheme="minorHAnsi"/>
        </w:rPr>
        <w:t xml:space="preserve"> is more effective in treating visceral disease than</w:t>
      </w:r>
      <w:r w:rsidR="00DA6C83">
        <w:rPr>
          <w:rFonts w:cstheme="minorHAnsi"/>
        </w:rPr>
        <w:t xml:space="preserve"> RIBO</w:t>
      </w:r>
      <w:r w:rsidRPr="00830ED6">
        <w:rPr>
          <w:rFonts w:cstheme="minorHAnsi"/>
        </w:rPr>
        <w:t>+NSAI</w:t>
      </w:r>
      <w:r w:rsidR="00A40BD1">
        <w:rPr>
          <w:rFonts w:cstheme="minorHAnsi"/>
        </w:rPr>
        <w:t>,</w:t>
      </w:r>
      <w:r w:rsidRPr="00AC59A4">
        <w:t xml:space="preserve"> </w:t>
      </w:r>
      <w:r w:rsidR="00A40BD1" w:rsidRPr="00A40BD1">
        <w:t xml:space="preserve">and therefore neither protocol is likely to displace chemotherapy. </w:t>
      </w:r>
      <w:r w:rsidR="00A40BD1">
        <w:t>Section 1 of the submission noted that p</w:t>
      </w:r>
      <w:r w:rsidRPr="00830ED6">
        <w:t xml:space="preserve">atients receiving chemotherapy are </w:t>
      </w:r>
      <w:r w:rsidR="00DA6C83">
        <w:t xml:space="preserve">those </w:t>
      </w:r>
      <w:r w:rsidRPr="00830ED6">
        <w:t xml:space="preserve">not considered suitable candidates for </w:t>
      </w:r>
      <w:r w:rsidR="00DA6C83">
        <w:t>CDKI+</w:t>
      </w:r>
      <w:r w:rsidRPr="00830ED6">
        <w:t>NSAI or EVE+EXE (therefore unlikely to be suitable for RIBO+FULV), while Section 4 assumes all uptake in Population 2 is from chemotherapy patients.</w:t>
      </w:r>
      <w:r w:rsidRPr="00AC59A4">
        <w:t xml:space="preserve"> </w:t>
      </w:r>
      <w:r w:rsidR="00E71D2D">
        <w:t xml:space="preserve">The submission </w:t>
      </w:r>
      <w:r w:rsidR="00E71D2D" w:rsidRPr="00AB529A">
        <w:t>a</w:t>
      </w:r>
      <w:r w:rsidRPr="00AB529A">
        <w:t>ssum</w:t>
      </w:r>
      <w:r w:rsidR="00E71D2D" w:rsidRPr="00AB529A">
        <w:t>ed</w:t>
      </w:r>
      <w:r w:rsidRPr="00AB529A">
        <w:t xml:space="preserve"> 0% uptake in patients receiving first line aromatase inhibitor monotherapy</w:t>
      </w:r>
      <w:r w:rsidR="00E71D2D" w:rsidRPr="00AB529A">
        <w:t xml:space="preserve">, which </w:t>
      </w:r>
      <w:r w:rsidR="00D36F5C" w:rsidRPr="00AB529A">
        <w:t xml:space="preserve">maximises </w:t>
      </w:r>
      <w:r w:rsidRPr="00AB529A">
        <w:t>the eligible second line population</w:t>
      </w:r>
      <w:r w:rsidR="00D36F5C" w:rsidRPr="00AB529A">
        <w:t>, which the PBAC considered was not reasonable</w:t>
      </w:r>
      <w:r w:rsidRPr="00AB529A">
        <w:t>.</w:t>
      </w:r>
    </w:p>
    <w:p w:rsidR="00AC59A4" w:rsidRPr="00AB529A" w:rsidRDefault="00AC59A4" w:rsidP="00843CD7">
      <w:pPr>
        <w:pStyle w:val="ListParagraph"/>
        <w:numPr>
          <w:ilvl w:val="1"/>
          <w:numId w:val="12"/>
        </w:numPr>
        <w:spacing w:after="0"/>
        <w:contextualSpacing/>
        <w:rPr>
          <w:rFonts w:cstheme="minorHAnsi"/>
        </w:rPr>
      </w:pPr>
      <w:r w:rsidRPr="00AB529A">
        <w:rPr>
          <w:rFonts w:cstheme="minorHAnsi"/>
        </w:rPr>
        <w:t xml:space="preserve">Population 3 – the submission estimates displacement of </w:t>
      </w:r>
      <w:r w:rsidR="00051C50" w:rsidRPr="00AB529A">
        <w:rPr>
          <w:rFonts w:cstheme="minorHAnsi"/>
        </w:rPr>
        <w:t>EVE+EXE</w:t>
      </w:r>
      <w:r w:rsidRPr="00AB529A">
        <w:rPr>
          <w:rFonts w:cstheme="minorHAnsi"/>
        </w:rPr>
        <w:t xml:space="preserve"> by up to 95% in year 4. This assumes that patients treated with </w:t>
      </w:r>
      <w:r w:rsidR="00051C50" w:rsidRPr="00AB529A">
        <w:rPr>
          <w:rFonts w:cstheme="minorHAnsi"/>
        </w:rPr>
        <w:t>RIBO+FULV</w:t>
      </w:r>
      <w:r w:rsidRPr="00AB529A">
        <w:rPr>
          <w:rFonts w:cstheme="minorHAnsi"/>
        </w:rPr>
        <w:t xml:space="preserve"> will not receive </w:t>
      </w:r>
      <w:r w:rsidR="00051C50" w:rsidRPr="00AB529A">
        <w:rPr>
          <w:rFonts w:cstheme="minorHAnsi"/>
        </w:rPr>
        <w:t>EVE+EXE</w:t>
      </w:r>
      <w:r w:rsidRPr="00AB529A">
        <w:rPr>
          <w:rFonts w:cstheme="minorHAnsi"/>
        </w:rPr>
        <w:t xml:space="preserve"> in subsequent lines of treatment. It is more likely that </w:t>
      </w:r>
      <w:r w:rsidR="00A40BD1" w:rsidRPr="00AB529A">
        <w:rPr>
          <w:rFonts w:cstheme="minorHAnsi"/>
        </w:rPr>
        <w:t>RIBO+FULV</w:t>
      </w:r>
      <w:r w:rsidRPr="00AB529A">
        <w:rPr>
          <w:rFonts w:cstheme="minorHAnsi"/>
        </w:rPr>
        <w:t xml:space="preserve"> will add an additional line of therapy </w:t>
      </w:r>
      <w:r w:rsidR="00BD5E9F" w:rsidRPr="00AB529A">
        <w:rPr>
          <w:rFonts w:cstheme="minorHAnsi"/>
        </w:rPr>
        <w:t xml:space="preserve">in this patient group </w:t>
      </w:r>
      <w:r w:rsidRPr="00AB529A">
        <w:rPr>
          <w:rFonts w:cstheme="minorHAnsi"/>
        </w:rPr>
        <w:t>and thus the predicted cost savings will not be observed.</w:t>
      </w:r>
    </w:p>
    <w:p w:rsidR="00AC59A4" w:rsidRPr="00830ED6" w:rsidRDefault="00AC59A4" w:rsidP="00843CD7">
      <w:pPr>
        <w:pStyle w:val="ListParagraph"/>
        <w:numPr>
          <w:ilvl w:val="1"/>
          <w:numId w:val="12"/>
        </w:numPr>
        <w:spacing w:before="120" w:after="0"/>
        <w:contextualSpacing/>
        <w:rPr>
          <w:rFonts w:cstheme="minorHAnsi"/>
        </w:rPr>
      </w:pPr>
      <w:r w:rsidRPr="00AB529A">
        <w:rPr>
          <w:rFonts w:cstheme="minorHAnsi"/>
        </w:rPr>
        <w:t xml:space="preserve">Population 4 – the prevalent pool of patients with their disease controlled on first line endocrine therapy prior to July 2018 </w:t>
      </w:r>
      <w:r w:rsidR="00E71D2D" w:rsidRPr="00AB529A">
        <w:rPr>
          <w:rFonts w:cstheme="minorHAnsi"/>
        </w:rPr>
        <w:t>wa</w:t>
      </w:r>
      <w:r w:rsidRPr="00AB529A">
        <w:rPr>
          <w:rFonts w:cstheme="minorHAnsi"/>
        </w:rPr>
        <w:t xml:space="preserve">s </w:t>
      </w:r>
      <w:r w:rsidR="00051C50" w:rsidRPr="00AB529A">
        <w:rPr>
          <w:rFonts w:cstheme="minorHAnsi"/>
        </w:rPr>
        <w:t xml:space="preserve">likely to be </w:t>
      </w:r>
      <w:r w:rsidRPr="00AB529A">
        <w:rPr>
          <w:rFonts w:cstheme="minorHAnsi"/>
        </w:rPr>
        <w:t xml:space="preserve">underestimated. However, </w:t>
      </w:r>
      <w:r w:rsidR="00E71D2D" w:rsidRPr="00AB529A">
        <w:rPr>
          <w:rFonts w:cstheme="minorHAnsi"/>
        </w:rPr>
        <w:t xml:space="preserve">DUSC considered that </w:t>
      </w:r>
      <w:r w:rsidRPr="00AB529A">
        <w:rPr>
          <w:rFonts w:cstheme="minorHAnsi"/>
        </w:rPr>
        <w:t>the estimated 50% of patie</w:t>
      </w:r>
      <w:r>
        <w:rPr>
          <w:rFonts w:cstheme="minorHAnsi"/>
        </w:rPr>
        <w:t>nts not fit for CDKI</w:t>
      </w:r>
      <w:r w:rsidRPr="00830ED6">
        <w:rPr>
          <w:rFonts w:cstheme="minorHAnsi"/>
        </w:rPr>
        <w:t xml:space="preserve"> in the first line setting who are subsequently eligible for these agents in the second line setting </w:t>
      </w:r>
      <w:r w:rsidR="00E71D2D">
        <w:rPr>
          <w:rFonts w:cstheme="minorHAnsi"/>
        </w:rPr>
        <w:t>wa</w:t>
      </w:r>
      <w:r w:rsidRPr="00830ED6">
        <w:rPr>
          <w:rFonts w:cstheme="minorHAnsi"/>
        </w:rPr>
        <w:t>s overestimated.</w:t>
      </w:r>
    </w:p>
    <w:p w:rsidR="00830ED6" w:rsidRDefault="00830ED6" w:rsidP="004931A6">
      <w:pPr>
        <w:pStyle w:val="3-BodyText"/>
        <w:spacing w:before="120"/>
      </w:pPr>
      <w:r w:rsidRPr="00B65A92">
        <w:t xml:space="preserve">Grandfathered patients were not </w:t>
      </w:r>
      <w:r>
        <w:t>accounted for</w:t>
      </w:r>
      <w:r w:rsidRPr="00B65A92">
        <w:t xml:space="preserve"> in the </w:t>
      </w:r>
      <w:r>
        <w:t>financial estimates</w:t>
      </w:r>
      <w:r w:rsidRPr="00B65A92">
        <w:t xml:space="preserve">. </w:t>
      </w:r>
    </w:p>
    <w:p w:rsidR="001713C8" w:rsidRDefault="00BA480F" w:rsidP="004931A6">
      <w:pPr>
        <w:pStyle w:val="3-BodyText"/>
        <w:spacing w:before="120"/>
      </w:pPr>
      <w:r>
        <w:t>The submission proposed a weighted price between the first and second-line settings of $</w:t>
      </w:r>
      <w:r w:rsidR="005E31C0">
        <w:rPr>
          <w:noProof/>
          <w:color w:val="000000"/>
          <w:highlight w:val="black"/>
        </w:rPr>
        <w:t>'''''''''''''''</w:t>
      </w:r>
      <w:r w:rsidR="00D36F5C">
        <w:t xml:space="preserve"> for the 600 mg dose (63 tablets per pack).</w:t>
      </w:r>
      <w:r>
        <w:t xml:space="preserve"> </w:t>
      </w:r>
      <w:r w:rsidR="001713C8">
        <w:t xml:space="preserve">The pre-PBAC response proposed </w:t>
      </w:r>
      <w:r>
        <w:t xml:space="preserve">revised durations of therapy in the first and second-line settings which resulted in </w:t>
      </w:r>
      <w:r w:rsidR="001713C8">
        <w:t>a</w:t>
      </w:r>
      <w:r>
        <w:t xml:space="preserve"> revised</w:t>
      </w:r>
      <w:r w:rsidR="001713C8">
        <w:t xml:space="preserve"> weighted price of $</w:t>
      </w:r>
      <w:r w:rsidR="005E31C0">
        <w:rPr>
          <w:noProof/>
          <w:color w:val="000000"/>
          <w:highlight w:val="black"/>
        </w:rPr>
        <w:t>'''''''''''''''</w:t>
      </w:r>
      <w:r w:rsidR="001713C8">
        <w:t xml:space="preserve"> which was based on:</w:t>
      </w:r>
    </w:p>
    <w:p w:rsidR="001713C8" w:rsidRPr="00C93650" w:rsidRDefault="005E31C0" w:rsidP="00C823D7">
      <w:pPr>
        <w:pStyle w:val="ListParagraph"/>
        <w:numPr>
          <w:ilvl w:val="1"/>
          <w:numId w:val="12"/>
        </w:numPr>
        <w:spacing w:before="120" w:after="0"/>
        <w:contextualSpacing/>
      </w:pPr>
      <w:r>
        <w:rPr>
          <w:noProof/>
          <w:color w:val="000000"/>
          <w:highlight w:val="black"/>
        </w:rPr>
        <w:t>''''''''</w:t>
      </w:r>
      <w:r w:rsidR="001713C8" w:rsidRPr="00C93650">
        <w:t>% of total use of ribociclib (when used in combination with fulvestrant) would be in the first-line setting with an AEMP of $</w:t>
      </w:r>
      <w:r>
        <w:rPr>
          <w:noProof/>
          <w:color w:val="000000"/>
          <w:highlight w:val="black"/>
        </w:rPr>
        <w:t>'''''''''''''''''</w:t>
      </w:r>
    </w:p>
    <w:p w:rsidR="001713C8" w:rsidRDefault="005E31C0" w:rsidP="00C823D7">
      <w:pPr>
        <w:pStyle w:val="ListParagraph"/>
        <w:numPr>
          <w:ilvl w:val="1"/>
          <w:numId w:val="12"/>
        </w:numPr>
        <w:spacing w:before="120"/>
        <w:ind w:left="1077" w:hanging="357"/>
      </w:pPr>
      <w:r>
        <w:rPr>
          <w:noProof/>
          <w:color w:val="000000"/>
          <w:highlight w:val="black"/>
        </w:rPr>
        <w:t>''''''''</w:t>
      </w:r>
      <w:r w:rsidR="001713C8" w:rsidRPr="00C93650">
        <w:t>%</w:t>
      </w:r>
      <w:r w:rsidR="001713C8">
        <w:t xml:space="preserve"> of total use of ribociclib (when used in combination with fulvestrant) would be in the second-line setting with an AEMP of $</w:t>
      </w:r>
      <w:r>
        <w:rPr>
          <w:noProof/>
          <w:color w:val="000000"/>
          <w:highlight w:val="black"/>
        </w:rPr>
        <w:t>''''''''''''''''</w:t>
      </w:r>
      <w:r w:rsidR="001713C8">
        <w:t>.</w:t>
      </w:r>
    </w:p>
    <w:p w:rsidR="00BA480F" w:rsidRPr="00BA480F" w:rsidRDefault="00BA480F" w:rsidP="00BA480F">
      <w:pPr>
        <w:pStyle w:val="ListBullet"/>
        <w:numPr>
          <w:ilvl w:val="0"/>
          <w:numId w:val="0"/>
        </w:numPr>
        <w:ind w:left="360"/>
      </w:pPr>
      <w:r>
        <w:t>The PBAC noted that the revised weighted price remained higher than the current AEMP for ribociclib in its existing listing ($</w:t>
      </w:r>
      <w:r w:rsidR="005E31C0">
        <w:rPr>
          <w:noProof/>
          <w:color w:val="000000"/>
          <w:highlight w:val="black"/>
        </w:rPr>
        <w:t>''''''''''''''''</w:t>
      </w:r>
      <w:r>
        <w:t>).</w:t>
      </w:r>
    </w:p>
    <w:p w:rsidR="00830ED6" w:rsidRPr="00513F9A" w:rsidRDefault="00830ED6" w:rsidP="00830ED6">
      <w:pPr>
        <w:rPr>
          <w:b/>
        </w:rPr>
      </w:pPr>
    </w:p>
    <w:p w:rsidR="00576972" w:rsidRPr="00C9624D" w:rsidRDefault="00576972" w:rsidP="00606FBA">
      <w:pPr>
        <w:pStyle w:val="4-SubsectionHeading"/>
      </w:pPr>
      <w:bookmarkStart w:id="55" w:name="_Toc22897649"/>
      <w:bookmarkStart w:id="56" w:name="_Toc38290351"/>
      <w:bookmarkStart w:id="57" w:name="_Toc40716955"/>
      <w:bookmarkEnd w:id="53"/>
      <w:bookmarkEnd w:id="54"/>
      <w:r w:rsidRPr="00C9624D">
        <w:t>Financial Management – Risk Sharing Arrangements</w:t>
      </w:r>
      <w:bookmarkEnd w:id="55"/>
      <w:bookmarkEnd w:id="56"/>
      <w:bookmarkEnd w:id="57"/>
    </w:p>
    <w:p w:rsidR="00C62EBB" w:rsidRPr="00C62EBB" w:rsidRDefault="00AC6E79" w:rsidP="00AC6E79">
      <w:pPr>
        <w:pStyle w:val="3-BodyText"/>
        <w:rPr>
          <w:i/>
        </w:rPr>
      </w:pPr>
      <w:r w:rsidRPr="00AC6E79">
        <w:t xml:space="preserve">The submission </w:t>
      </w:r>
      <w:r w:rsidR="00B069C6">
        <w:t>considered that</w:t>
      </w:r>
      <w:r w:rsidR="00B069C6" w:rsidRPr="00AC6E79">
        <w:t xml:space="preserve"> </w:t>
      </w:r>
      <w:r w:rsidRPr="00AC6E79">
        <w:t xml:space="preserve">the population in the current submission extends beyond that previously negotiated for ribociclib and offered to work with the PBAC and Department to manage uncertainty associated with this submission, whilst considering risk sharing </w:t>
      </w:r>
      <w:r w:rsidR="00437062">
        <w:t>arrangements</w:t>
      </w:r>
      <w:r w:rsidR="00437062" w:rsidRPr="00AC6E79">
        <w:t xml:space="preserve"> </w:t>
      </w:r>
      <w:r w:rsidR="003C2E18">
        <w:t xml:space="preserve">(RSAs) </w:t>
      </w:r>
      <w:r w:rsidRPr="00AC6E79">
        <w:t xml:space="preserve">already negotiated. </w:t>
      </w:r>
      <w:r w:rsidR="003305EA">
        <w:t>The pre-PBAC response proposed revised increases to the annual caps for CDKIs as shown in Table 2</w:t>
      </w:r>
      <w:r w:rsidR="00A63765">
        <w:t>3</w:t>
      </w:r>
      <w:r w:rsidR="00C823D7">
        <w:t>,</w:t>
      </w:r>
      <w:r w:rsidR="00293C79">
        <w:t xml:space="preserve"> based on </w:t>
      </w:r>
      <w:r w:rsidR="00BA480F">
        <w:t>revised durations of therapy for RIBO+FULV in the first and second-line settings which reduced the</w:t>
      </w:r>
      <w:r w:rsidR="00293C79">
        <w:t xml:space="preserve"> weighted price for ribociclib</w:t>
      </w:r>
      <w:r w:rsidR="00BA480F">
        <w:t xml:space="preserve"> (versus the price proposed in the submission)</w:t>
      </w:r>
      <w:r w:rsidR="003305EA">
        <w:t xml:space="preserve">. </w:t>
      </w:r>
      <w:r w:rsidRPr="003A6106">
        <w:t xml:space="preserve"> </w:t>
      </w:r>
    </w:p>
    <w:p w:rsidR="00AC6E79" w:rsidRDefault="004C4C4E" w:rsidP="00AC6E79">
      <w:pPr>
        <w:pStyle w:val="3-BodyText"/>
        <w:rPr>
          <w:i/>
        </w:rPr>
      </w:pPr>
      <w:r>
        <w:t xml:space="preserve">The increases to </w:t>
      </w:r>
      <w:r w:rsidR="00BA480F">
        <w:t xml:space="preserve">the financial </w:t>
      </w:r>
      <w:r>
        <w:t>caps pro</w:t>
      </w:r>
      <w:r w:rsidR="00BA480F">
        <w:t>posed</w:t>
      </w:r>
      <w:r>
        <w:t xml:space="preserve"> in the pre-PBAC response</w:t>
      </w:r>
      <w:r w:rsidR="00BA480F">
        <w:t xml:space="preserve"> would</w:t>
      </w:r>
      <w:r>
        <w:t xml:space="preserve"> result in a net cost to PBS/RPBS of </w:t>
      </w:r>
      <w:r w:rsidR="001E4B42">
        <w:t>$100 million to &lt; $200</w:t>
      </w:r>
      <w:r>
        <w:t xml:space="preserve"> million over the first 6 years of listing</w:t>
      </w:r>
      <w:r w:rsidR="00AC6E79" w:rsidRPr="003A6106">
        <w:t xml:space="preserve">. </w:t>
      </w:r>
      <w:r w:rsidR="003C2E18" w:rsidRPr="003A6106">
        <w:t xml:space="preserve">There is likely to be </w:t>
      </w:r>
      <w:r w:rsidR="00C46DF5">
        <w:t xml:space="preserve">significant </w:t>
      </w:r>
      <w:r w:rsidR="003C2E18" w:rsidRPr="003A6106">
        <w:t>overlap between the proposed and existing populations and any offsets for reduced use of CDK</w:t>
      </w:r>
      <w:r w:rsidR="00852EB2" w:rsidRPr="003A6106">
        <w:t>I</w:t>
      </w:r>
      <w:r w:rsidR="003C2E18" w:rsidRPr="003A6106">
        <w:t xml:space="preserve">s under the existing listing would need to be adequately accounted for in RSAs. </w:t>
      </w:r>
    </w:p>
    <w:p w:rsidR="003305EA" w:rsidRPr="003305EA" w:rsidRDefault="003305EA" w:rsidP="00343BAC">
      <w:pPr>
        <w:pStyle w:val="2-SectionHeading"/>
        <w:numPr>
          <w:ilvl w:val="0"/>
          <w:numId w:val="0"/>
        </w:numPr>
        <w:spacing w:after="0"/>
        <w:outlineLvl w:val="9"/>
        <w:rPr>
          <w:rStyle w:val="CommentReference"/>
          <w:b/>
        </w:rPr>
      </w:pPr>
      <w:bookmarkStart w:id="58" w:name="_Ref44352726"/>
      <w:r w:rsidRPr="003305EA">
        <w:rPr>
          <w:rStyle w:val="CommentReference"/>
          <w:b/>
        </w:rPr>
        <w:t>Table</w:t>
      </w:r>
      <w:bookmarkEnd w:id="58"/>
      <w:r>
        <w:rPr>
          <w:rStyle w:val="CommentReference"/>
          <w:b/>
        </w:rPr>
        <w:t xml:space="preserve"> 2</w:t>
      </w:r>
      <w:r w:rsidR="00596697">
        <w:rPr>
          <w:rStyle w:val="CommentReference"/>
          <w:b/>
        </w:rPr>
        <w:t>3</w:t>
      </w:r>
      <w:r w:rsidRPr="003305EA">
        <w:rPr>
          <w:rStyle w:val="CommentReference"/>
          <w:b/>
        </w:rPr>
        <w:t>: P</w:t>
      </w:r>
      <w:r>
        <w:rPr>
          <w:rStyle w:val="CommentReference"/>
          <w:b/>
        </w:rPr>
        <w:t>re-PBAC response p</w:t>
      </w:r>
      <w:r w:rsidRPr="003305EA">
        <w:rPr>
          <w:rStyle w:val="CommentReference"/>
          <w:b/>
        </w:rPr>
        <w:t>roposed increase to the RSA caps for CDKIs</w:t>
      </w:r>
    </w:p>
    <w:tbl>
      <w:tblPr>
        <w:tblStyle w:val="TableGrid"/>
        <w:tblW w:w="0" w:type="auto"/>
        <w:tblLayout w:type="fixed"/>
        <w:tblLook w:val="04A0" w:firstRow="1" w:lastRow="0" w:firstColumn="1" w:lastColumn="0" w:noHBand="0" w:noVBand="1"/>
      </w:tblPr>
      <w:tblGrid>
        <w:gridCol w:w="1943"/>
        <w:gridCol w:w="1179"/>
        <w:gridCol w:w="1179"/>
        <w:gridCol w:w="1179"/>
        <w:gridCol w:w="1179"/>
        <w:gridCol w:w="1179"/>
        <w:gridCol w:w="1179"/>
      </w:tblGrid>
      <w:tr w:rsidR="003305EA" w:rsidRPr="00A273CB" w:rsidTr="003305EA">
        <w:tc>
          <w:tcPr>
            <w:tcW w:w="1943" w:type="dxa"/>
            <w:noWrap/>
            <w:hideMark/>
          </w:tcPr>
          <w:p w:rsidR="003305EA" w:rsidRPr="00A273CB" w:rsidRDefault="003305EA" w:rsidP="005058A8">
            <w:pPr>
              <w:pStyle w:val="In-tableHeading"/>
              <w:rPr>
                <w:szCs w:val="20"/>
              </w:rPr>
            </w:pPr>
            <w:r w:rsidRPr="00A273CB">
              <w:rPr>
                <w:szCs w:val="20"/>
              </w:rPr>
              <w:t xml:space="preserve">Net impact to the PBS </w:t>
            </w:r>
          </w:p>
        </w:tc>
        <w:tc>
          <w:tcPr>
            <w:tcW w:w="1179" w:type="dxa"/>
            <w:hideMark/>
          </w:tcPr>
          <w:p w:rsidR="003305EA" w:rsidRPr="00A273CB" w:rsidRDefault="003305EA" w:rsidP="005058A8">
            <w:pPr>
              <w:pStyle w:val="In-tableHeading"/>
              <w:rPr>
                <w:szCs w:val="20"/>
              </w:rPr>
            </w:pPr>
            <w:r w:rsidRPr="00A273CB">
              <w:rPr>
                <w:szCs w:val="20"/>
              </w:rPr>
              <w:t>2021</w:t>
            </w:r>
          </w:p>
        </w:tc>
        <w:tc>
          <w:tcPr>
            <w:tcW w:w="1179" w:type="dxa"/>
            <w:hideMark/>
          </w:tcPr>
          <w:p w:rsidR="003305EA" w:rsidRPr="00A273CB" w:rsidRDefault="003305EA" w:rsidP="005058A8">
            <w:pPr>
              <w:pStyle w:val="In-tableHeading"/>
              <w:rPr>
                <w:szCs w:val="20"/>
              </w:rPr>
            </w:pPr>
            <w:r w:rsidRPr="00A273CB">
              <w:rPr>
                <w:szCs w:val="20"/>
              </w:rPr>
              <w:t>2022</w:t>
            </w:r>
          </w:p>
        </w:tc>
        <w:tc>
          <w:tcPr>
            <w:tcW w:w="1179" w:type="dxa"/>
            <w:hideMark/>
          </w:tcPr>
          <w:p w:rsidR="003305EA" w:rsidRPr="00A273CB" w:rsidRDefault="003305EA" w:rsidP="005058A8">
            <w:pPr>
              <w:pStyle w:val="In-tableHeading"/>
              <w:rPr>
                <w:szCs w:val="20"/>
              </w:rPr>
            </w:pPr>
            <w:r w:rsidRPr="00A273CB">
              <w:rPr>
                <w:szCs w:val="20"/>
              </w:rPr>
              <w:t>2023</w:t>
            </w:r>
          </w:p>
        </w:tc>
        <w:tc>
          <w:tcPr>
            <w:tcW w:w="1179" w:type="dxa"/>
            <w:hideMark/>
          </w:tcPr>
          <w:p w:rsidR="003305EA" w:rsidRPr="00A273CB" w:rsidRDefault="003305EA" w:rsidP="005058A8">
            <w:pPr>
              <w:pStyle w:val="In-tableHeading"/>
              <w:rPr>
                <w:szCs w:val="20"/>
              </w:rPr>
            </w:pPr>
            <w:r w:rsidRPr="00A273CB">
              <w:rPr>
                <w:szCs w:val="20"/>
              </w:rPr>
              <w:t>2024</w:t>
            </w:r>
          </w:p>
        </w:tc>
        <w:tc>
          <w:tcPr>
            <w:tcW w:w="1179" w:type="dxa"/>
            <w:hideMark/>
          </w:tcPr>
          <w:p w:rsidR="003305EA" w:rsidRPr="00A273CB" w:rsidRDefault="003305EA" w:rsidP="005058A8">
            <w:pPr>
              <w:pStyle w:val="In-tableHeading"/>
              <w:rPr>
                <w:szCs w:val="20"/>
              </w:rPr>
            </w:pPr>
            <w:r w:rsidRPr="00A273CB">
              <w:rPr>
                <w:szCs w:val="20"/>
              </w:rPr>
              <w:t>2025</w:t>
            </w:r>
          </w:p>
        </w:tc>
        <w:tc>
          <w:tcPr>
            <w:tcW w:w="1179" w:type="dxa"/>
            <w:hideMark/>
          </w:tcPr>
          <w:p w:rsidR="003305EA" w:rsidRPr="00A273CB" w:rsidRDefault="003305EA" w:rsidP="005058A8">
            <w:pPr>
              <w:pStyle w:val="In-tableHeading"/>
              <w:rPr>
                <w:szCs w:val="20"/>
              </w:rPr>
            </w:pPr>
            <w:r w:rsidRPr="00A273CB">
              <w:rPr>
                <w:szCs w:val="20"/>
              </w:rPr>
              <w:t>2026</w:t>
            </w:r>
          </w:p>
        </w:tc>
      </w:tr>
      <w:tr w:rsidR="003305EA" w:rsidRPr="00A273CB" w:rsidTr="0081383F">
        <w:tc>
          <w:tcPr>
            <w:tcW w:w="1943" w:type="dxa"/>
            <w:noWrap/>
          </w:tcPr>
          <w:p w:rsidR="003305EA" w:rsidRPr="00A273CB" w:rsidRDefault="003305EA" w:rsidP="005058A8">
            <w:pPr>
              <w:pStyle w:val="In-tableHeading"/>
              <w:rPr>
                <w:b w:val="0"/>
                <w:szCs w:val="20"/>
              </w:rPr>
            </w:pPr>
            <w:r>
              <w:rPr>
                <w:b w:val="0"/>
                <w:szCs w:val="20"/>
              </w:rPr>
              <w:t>RIBO net impact – Population 1</w:t>
            </w:r>
          </w:p>
        </w:tc>
        <w:tc>
          <w:tcPr>
            <w:tcW w:w="1179" w:type="dxa"/>
            <w:noWrap/>
            <w:vAlign w:val="center"/>
          </w:tcPr>
          <w:p w:rsidR="003305EA" w:rsidRPr="005E31C0" w:rsidRDefault="005E31C0" w:rsidP="0081383F">
            <w:pPr>
              <w:pStyle w:val="In-tableHeading"/>
              <w:jc w:val="center"/>
              <w:rPr>
                <w:b w:val="0"/>
                <w:color w:val="000000"/>
                <w:szCs w:val="20"/>
                <w:highlight w:val="black"/>
              </w:rPr>
            </w:pPr>
            <w:r>
              <w:rPr>
                <w:b w:val="0"/>
                <w:noProof/>
                <w:color w:val="000000"/>
                <w:highlight w:val="black"/>
              </w:rPr>
              <w:t>'''''''''''''''''''''''''''</w:t>
            </w:r>
          </w:p>
        </w:tc>
        <w:tc>
          <w:tcPr>
            <w:tcW w:w="1179" w:type="dxa"/>
            <w:noWrap/>
            <w:vAlign w:val="center"/>
          </w:tcPr>
          <w:p w:rsidR="003305EA" w:rsidRPr="005E31C0" w:rsidRDefault="005E31C0" w:rsidP="0081383F">
            <w:pPr>
              <w:pStyle w:val="In-tableHeading"/>
              <w:jc w:val="center"/>
              <w:rPr>
                <w:b w:val="0"/>
                <w:color w:val="000000"/>
                <w:szCs w:val="20"/>
                <w:highlight w:val="black"/>
              </w:rPr>
            </w:pPr>
            <w:r>
              <w:rPr>
                <w:b w:val="0"/>
                <w:noProof/>
                <w:color w:val="000000"/>
                <w:highlight w:val="black"/>
              </w:rPr>
              <w:t>'''''''''''''''''''''''''''</w:t>
            </w:r>
          </w:p>
        </w:tc>
        <w:tc>
          <w:tcPr>
            <w:tcW w:w="1179" w:type="dxa"/>
            <w:noWrap/>
            <w:vAlign w:val="center"/>
          </w:tcPr>
          <w:p w:rsidR="003305EA" w:rsidRPr="005E31C0" w:rsidRDefault="005E31C0" w:rsidP="0081383F">
            <w:pPr>
              <w:pStyle w:val="In-tableHeading"/>
              <w:jc w:val="center"/>
              <w:rPr>
                <w:b w:val="0"/>
                <w:color w:val="000000"/>
                <w:szCs w:val="20"/>
                <w:highlight w:val="black"/>
              </w:rPr>
            </w:pPr>
            <w:r>
              <w:rPr>
                <w:b w:val="0"/>
                <w:noProof/>
                <w:color w:val="000000"/>
                <w:highlight w:val="black"/>
              </w:rPr>
              <w:t>''''''''''''''''''''''''''''</w:t>
            </w:r>
          </w:p>
        </w:tc>
        <w:tc>
          <w:tcPr>
            <w:tcW w:w="1179" w:type="dxa"/>
            <w:noWrap/>
            <w:vAlign w:val="center"/>
          </w:tcPr>
          <w:p w:rsidR="003305EA" w:rsidRPr="005E31C0" w:rsidRDefault="005E31C0" w:rsidP="0081383F">
            <w:pPr>
              <w:pStyle w:val="In-tableHeading"/>
              <w:jc w:val="center"/>
              <w:rPr>
                <w:b w:val="0"/>
                <w:color w:val="000000"/>
                <w:szCs w:val="20"/>
                <w:highlight w:val="black"/>
              </w:rPr>
            </w:pPr>
            <w:r>
              <w:rPr>
                <w:b w:val="0"/>
                <w:noProof/>
                <w:color w:val="000000"/>
                <w:highlight w:val="black"/>
              </w:rPr>
              <w:t>'''''''''''''''''''''''''''''</w:t>
            </w:r>
          </w:p>
        </w:tc>
        <w:tc>
          <w:tcPr>
            <w:tcW w:w="1179" w:type="dxa"/>
            <w:noWrap/>
            <w:vAlign w:val="center"/>
          </w:tcPr>
          <w:p w:rsidR="003305EA" w:rsidRPr="005E31C0" w:rsidRDefault="005E31C0" w:rsidP="0081383F">
            <w:pPr>
              <w:pStyle w:val="In-tableHeading"/>
              <w:jc w:val="center"/>
              <w:rPr>
                <w:b w:val="0"/>
                <w:color w:val="000000"/>
                <w:szCs w:val="20"/>
                <w:highlight w:val="black"/>
              </w:rPr>
            </w:pPr>
            <w:r>
              <w:rPr>
                <w:b w:val="0"/>
                <w:noProof/>
                <w:color w:val="000000"/>
                <w:highlight w:val="black"/>
              </w:rPr>
              <w:t>''''''''''''''''''''''''''</w:t>
            </w:r>
          </w:p>
        </w:tc>
        <w:tc>
          <w:tcPr>
            <w:tcW w:w="1179" w:type="dxa"/>
            <w:noWrap/>
            <w:vAlign w:val="center"/>
          </w:tcPr>
          <w:p w:rsidR="003305EA" w:rsidRPr="005E31C0" w:rsidRDefault="005E31C0" w:rsidP="0081383F">
            <w:pPr>
              <w:pStyle w:val="In-tableHeading"/>
              <w:jc w:val="center"/>
              <w:rPr>
                <w:b w:val="0"/>
                <w:highlight w:val="black"/>
              </w:rPr>
            </w:pPr>
            <w:r>
              <w:rPr>
                <w:b w:val="0"/>
                <w:noProof/>
                <w:color w:val="000000"/>
                <w:highlight w:val="black"/>
              </w:rPr>
              <w:t>''''''''''''''''''''''''''</w:t>
            </w:r>
          </w:p>
        </w:tc>
      </w:tr>
      <w:tr w:rsidR="003305EA" w:rsidRPr="00A273CB" w:rsidTr="0081383F">
        <w:tc>
          <w:tcPr>
            <w:tcW w:w="1943" w:type="dxa"/>
            <w:noWrap/>
            <w:hideMark/>
          </w:tcPr>
          <w:p w:rsidR="003305EA" w:rsidRPr="00A273CB" w:rsidRDefault="003305EA" w:rsidP="005058A8">
            <w:pPr>
              <w:pStyle w:val="In-tableHeading"/>
              <w:rPr>
                <w:b w:val="0"/>
                <w:szCs w:val="20"/>
              </w:rPr>
            </w:pPr>
            <w:r w:rsidRPr="00A273CB">
              <w:rPr>
                <w:b w:val="0"/>
                <w:szCs w:val="20"/>
              </w:rPr>
              <w:t>RIBO</w:t>
            </w:r>
            <w:r>
              <w:rPr>
                <w:b w:val="0"/>
                <w:szCs w:val="20"/>
              </w:rPr>
              <w:t xml:space="preserve"> cost to govt.</w:t>
            </w:r>
            <w:r w:rsidRPr="00A273CB">
              <w:rPr>
                <w:b w:val="0"/>
                <w:szCs w:val="20"/>
              </w:rPr>
              <w:t>- Population 2</w:t>
            </w:r>
          </w:p>
        </w:tc>
        <w:tc>
          <w:tcPr>
            <w:tcW w:w="1179" w:type="dxa"/>
            <w:noWrap/>
            <w:vAlign w:val="center"/>
            <w:hideMark/>
          </w:tcPr>
          <w:p w:rsidR="003305EA" w:rsidRPr="005E31C0" w:rsidRDefault="005E31C0" w:rsidP="005058A8">
            <w:pPr>
              <w:pStyle w:val="In-tableHeading"/>
              <w:rPr>
                <w:b w:val="0"/>
                <w:szCs w:val="20"/>
                <w:highlight w:val="black"/>
              </w:rPr>
            </w:pPr>
            <w:r>
              <w:rPr>
                <w:b w:val="0"/>
                <w:noProof/>
                <w:color w:val="000000"/>
                <w:szCs w:val="20"/>
                <w:highlight w:val="black"/>
              </w:rPr>
              <w:t>'''''''''''''''''''''''''''</w:t>
            </w:r>
          </w:p>
        </w:tc>
        <w:tc>
          <w:tcPr>
            <w:tcW w:w="1179" w:type="dxa"/>
            <w:noWrap/>
            <w:vAlign w:val="center"/>
            <w:hideMark/>
          </w:tcPr>
          <w:p w:rsidR="003305EA" w:rsidRPr="005E31C0" w:rsidRDefault="005E31C0" w:rsidP="005058A8">
            <w:pPr>
              <w:pStyle w:val="In-tableHeading"/>
              <w:rPr>
                <w:b w:val="0"/>
                <w:szCs w:val="20"/>
                <w:highlight w:val="black"/>
              </w:rPr>
            </w:pPr>
            <w:r>
              <w:rPr>
                <w:b w:val="0"/>
                <w:noProof/>
                <w:color w:val="000000"/>
                <w:szCs w:val="20"/>
                <w:highlight w:val="black"/>
              </w:rPr>
              <w:t>'''''''''''''''''''''''</w:t>
            </w:r>
          </w:p>
        </w:tc>
        <w:tc>
          <w:tcPr>
            <w:tcW w:w="1179" w:type="dxa"/>
            <w:noWrap/>
            <w:vAlign w:val="center"/>
            <w:hideMark/>
          </w:tcPr>
          <w:p w:rsidR="003305EA" w:rsidRPr="005E31C0" w:rsidRDefault="005E31C0" w:rsidP="005058A8">
            <w:pPr>
              <w:pStyle w:val="In-tableHeading"/>
              <w:rPr>
                <w:b w:val="0"/>
                <w:szCs w:val="20"/>
                <w:highlight w:val="black"/>
              </w:rPr>
            </w:pPr>
            <w:r>
              <w:rPr>
                <w:b w:val="0"/>
                <w:noProof/>
                <w:color w:val="000000"/>
                <w:szCs w:val="20"/>
                <w:highlight w:val="black"/>
              </w:rPr>
              <w:t>''''''''''''''''''''''''</w:t>
            </w:r>
          </w:p>
        </w:tc>
        <w:tc>
          <w:tcPr>
            <w:tcW w:w="1179" w:type="dxa"/>
            <w:noWrap/>
            <w:vAlign w:val="center"/>
            <w:hideMark/>
          </w:tcPr>
          <w:p w:rsidR="003305EA" w:rsidRPr="005E31C0" w:rsidRDefault="005E31C0" w:rsidP="005058A8">
            <w:pPr>
              <w:pStyle w:val="In-tableHeading"/>
              <w:rPr>
                <w:b w:val="0"/>
                <w:szCs w:val="20"/>
                <w:highlight w:val="black"/>
              </w:rPr>
            </w:pPr>
            <w:r>
              <w:rPr>
                <w:b w:val="0"/>
                <w:noProof/>
                <w:color w:val="000000"/>
                <w:szCs w:val="20"/>
                <w:highlight w:val="black"/>
              </w:rPr>
              <w:t>''''''''''''''''''''''''''</w:t>
            </w:r>
          </w:p>
        </w:tc>
        <w:tc>
          <w:tcPr>
            <w:tcW w:w="1179" w:type="dxa"/>
            <w:noWrap/>
            <w:vAlign w:val="center"/>
            <w:hideMark/>
          </w:tcPr>
          <w:p w:rsidR="003305EA" w:rsidRPr="005E31C0" w:rsidRDefault="005E31C0" w:rsidP="005058A8">
            <w:pPr>
              <w:pStyle w:val="In-tableHeading"/>
              <w:rPr>
                <w:b w:val="0"/>
                <w:szCs w:val="20"/>
                <w:highlight w:val="black"/>
              </w:rPr>
            </w:pPr>
            <w:r>
              <w:rPr>
                <w:b w:val="0"/>
                <w:noProof/>
                <w:color w:val="000000"/>
                <w:szCs w:val="20"/>
                <w:highlight w:val="black"/>
              </w:rPr>
              <w:t>''''''''''''''''''''''''</w:t>
            </w:r>
          </w:p>
        </w:tc>
        <w:tc>
          <w:tcPr>
            <w:tcW w:w="1179" w:type="dxa"/>
            <w:noWrap/>
            <w:vAlign w:val="center"/>
          </w:tcPr>
          <w:p w:rsidR="003305EA" w:rsidRPr="005E31C0" w:rsidRDefault="005E31C0" w:rsidP="0081383F">
            <w:pPr>
              <w:pStyle w:val="In-tableHeading"/>
              <w:jc w:val="center"/>
              <w:rPr>
                <w:b w:val="0"/>
                <w:szCs w:val="20"/>
                <w:highlight w:val="black"/>
              </w:rPr>
            </w:pPr>
            <w:r>
              <w:rPr>
                <w:b w:val="0"/>
                <w:noProof/>
                <w:color w:val="000000"/>
                <w:highlight w:val="black"/>
              </w:rPr>
              <w:t>''''''''''''''''''''''''''''</w:t>
            </w:r>
          </w:p>
        </w:tc>
      </w:tr>
      <w:tr w:rsidR="003305EA" w:rsidRPr="00A273CB" w:rsidTr="0081383F">
        <w:tc>
          <w:tcPr>
            <w:tcW w:w="1943" w:type="dxa"/>
            <w:noWrap/>
            <w:hideMark/>
          </w:tcPr>
          <w:p w:rsidR="003305EA" w:rsidRPr="00A273CB" w:rsidRDefault="003305EA" w:rsidP="005058A8">
            <w:pPr>
              <w:pStyle w:val="In-tableHeading"/>
              <w:rPr>
                <w:b w:val="0"/>
                <w:szCs w:val="20"/>
              </w:rPr>
            </w:pPr>
            <w:r w:rsidRPr="00A273CB">
              <w:rPr>
                <w:b w:val="0"/>
                <w:szCs w:val="20"/>
              </w:rPr>
              <w:t xml:space="preserve">RIBO </w:t>
            </w:r>
            <w:r>
              <w:rPr>
                <w:b w:val="0"/>
                <w:szCs w:val="20"/>
              </w:rPr>
              <w:t>cost to govt.</w:t>
            </w:r>
            <w:r w:rsidRPr="00A273CB">
              <w:rPr>
                <w:b w:val="0"/>
                <w:szCs w:val="20"/>
              </w:rPr>
              <w:t xml:space="preserve"> - Population 3</w:t>
            </w:r>
          </w:p>
        </w:tc>
        <w:tc>
          <w:tcPr>
            <w:tcW w:w="1179" w:type="dxa"/>
            <w:noWrap/>
            <w:vAlign w:val="center"/>
            <w:hideMark/>
          </w:tcPr>
          <w:p w:rsidR="003305EA" w:rsidRPr="005E31C0" w:rsidRDefault="005E31C0" w:rsidP="005058A8">
            <w:pPr>
              <w:pStyle w:val="In-tableHeading"/>
              <w:rPr>
                <w:b w:val="0"/>
                <w:szCs w:val="20"/>
                <w:highlight w:val="black"/>
              </w:rPr>
            </w:pPr>
            <w:r>
              <w:rPr>
                <w:b w:val="0"/>
                <w:noProof/>
                <w:color w:val="000000"/>
                <w:szCs w:val="20"/>
                <w:highlight w:val="black"/>
              </w:rPr>
              <w:t>''''''''''''''''''''''''''''</w:t>
            </w:r>
          </w:p>
        </w:tc>
        <w:tc>
          <w:tcPr>
            <w:tcW w:w="1179" w:type="dxa"/>
            <w:noWrap/>
            <w:vAlign w:val="center"/>
            <w:hideMark/>
          </w:tcPr>
          <w:p w:rsidR="003305EA" w:rsidRPr="005E31C0" w:rsidRDefault="005E31C0" w:rsidP="005058A8">
            <w:pPr>
              <w:pStyle w:val="In-tableHeading"/>
              <w:rPr>
                <w:b w:val="0"/>
                <w:szCs w:val="20"/>
                <w:highlight w:val="black"/>
              </w:rPr>
            </w:pPr>
            <w:r>
              <w:rPr>
                <w:b w:val="0"/>
                <w:noProof/>
                <w:color w:val="000000"/>
                <w:szCs w:val="20"/>
                <w:highlight w:val="black"/>
              </w:rPr>
              <w:t>''''''''''''''''''''''''</w:t>
            </w:r>
          </w:p>
        </w:tc>
        <w:tc>
          <w:tcPr>
            <w:tcW w:w="1179" w:type="dxa"/>
            <w:noWrap/>
            <w:vAlign w:val="center"/>
            <w:hideMark/>
          </w:tcPr>
          <w:p w:rsidR="003305EA" w:rsidRPr="005E31C0" w:rsidRDefault="005E31C0" w:rsidP="005058A8">
            <w:pPr>
              <w:pStyle w:val="In-tableHeading"/>
              <w:rPr>
                <w:b w:val="0"/>
                <w:szCs w:val="20"/>
                <w:highlight w:val="black"/>
              </w:rPr>
            </w:pPr>
            <w:r>
              <w:rPr>
                <w:b w:val="0"/>
                <w:noProof/>
                <w:color w:val="000000"/>
                <w:szCs w:val="20"/>
                <w:highlight w:val="black"/>
              </w:rPr>
              <w:t>'''''''''''''''''''''''''''''</w:t>
            </w:r>
          </w:p>
        </w:tc>
        <w:tc>
          <w:tcPr>
            <w:tcW w:w="1179" w:type="dxa"/>
            <w:noWrap/>
            <w:vAlign w:val="center"/>
            <w:hideMark/>
          </w:tcPr>
          <w:p w:rsidR="003305EA" w:rsidRPr="005E31C0" w:rsidRDefault="005E31C0" w:rsidP="005058A8">
            <w:pPr>
              <w:pStyle w:val="In-tableHeading"/>
              <w:rPr>
                <w:b w:val="0"/>
                <w:szCs w:val="20"/>
                <w:highlight w:val="black"/>
              </w:rPr>
            </w:pPr>
            <w:r>
              <w:rPr>
                <w:b w:val="0"/>
                <w:noProof/>
                <w:color w:val="000000"/>
                <w:szCs w:val="20"/>
                <w:highlight w:val="black"/>
              </w:rPr>
              <w:t>'''''''''''''''''''''''''</w:t>
            </w:r>
          </w:p>
        </w:tc>
        <w:tc>
          <w:tcPr>
            <w:tcW w:w="1179" w:type="dxa"/>
            <w:noWrap/>
            <w:vAlign w:val="center"/>
            <w:hideMark/>
          </w:tcPr>
          <w:p w:rsidR="003305EA" w:rsidRPr="005E31C0" w:rsidRDefault="005E31C0" w:rsidP="005058A8">
            <w:pPr>
              <w:pStyle w:val="In-tableHeading"/>
              <w:rPr>
                <w:b w:val="0"/>
                <w:szCs w:val="20"/>
                <w:highlight w:val="black"/>
              </w:rPr>
            </w:pPr>
            <w:r>
              <w:rPr>
                <w:b w:val="0"/>
                <w:noProof/>
                <w:color w:val="000000"/>
                <w:szCs w:val="20"/>
                <w:highlight w:val="black"/>
              </w:rPr>
              <w:t>'''''''''''''''''''''''''</w:t>
            </w:r>
          </w:p>
        </w:tc>
        <w:tc>
          <w:tcPr>
            <w:tcW w:w="1179" w:type="dxa"/>
            <w:noWrap/>
            <w:vAlign w:val="center"/>
          </w:tcPr>
          <w:p w:rsidR="003305EA" w:rsidRPr="005E31C0" w:rsidRDefault="005E31C0" w:rsidP="0081383F">
            <w:pPr>
              <w:pStyle w:val="In-tableHeading"/>
              <w:jc w:val="center"/>
              <w:rPr>
                <w:b w:val="0"/>
                <w:szCs w:val="20"/>
                <w:highlight w:val="black"/>
              </w:rPr>
            </w:pPr>
            <w:r>
              <w:rPr>
                <w:b w:val="0"/>
                <w:noProof/>
                <w:color w:val="000000"/>
                <w:highlight w:val="black"/>
              </w:rPr>
              <w:t>'''''''''''''''''''''''</w:t>
            </w:r>
          </w:p>
        </w:tc>
      </w:tr>
      <w:tr w:rsidR="003305EA" w:rsidRPr="00A273CB" w:rsidTr="0081383F">
        <w:tc>
          <w:tcPr>
            <w:tcW w:w="1943" w:type="dxa"/>
            <w:noWrap/>
            <w:hideMark/>
          </w:tcPr>
          <w:p w:rsidR="003305EA" w:rsidRPr="00A273CB" w:rsidRDefault="003305EA" w:rsidP="005058A8">
            <w:pPr>
              <w:pStyle w:val="In-tableHeading"/>
              <w:rPr>
                <w:b w:val="0"/>
                <w:szCs w:val="20"/>
              </w:rPr>
            </w:pPr>
            <w:r>
              <w:rPr>
                <w:b w:val="0"/>
                <w:szCs w:val="20"/>
              </w:rPr>
              <w:t>RIBO cost</w:t>
            </w:r>
            <w:r w:rsidRPr="00A273CB">
              <w:rPr>
                <w:b w:val="0"/>
                <w:szCs w:val="20"/>
              </w:rPr>
              <w:t xml:space="preserve"> </w:t>
            </w:r>
            <w:r>
              <w:rPr>
                <w:b w:val="0"/>
                <w:szCs w:val="20"/>
              </w:rPr>
              <w:t xml:space="preserve">to govt. </w:t>
            </w:r>
            <w:r w:rsidRPr="00A273CB">
              <w:rPr>
                <w:b w:val="0"/>
                <w:szCs w:val="20"/>
              </w:rPr>
              <w:t>- Population 4</w:t>
            </w:r>
          </w:p>
        </w:tc>
        <w:tc>
          <w:tcPr>
            <w:tcW w:w="1179" w:type="dxa"/>
            <w:noWrap/>
            <w:vAlign w:val="center"/>
            <w:hideMark/>
          </w:tcPr>
          <w:p w:rsidR="003305EA" w:rsidRPr="005E31C0" w:rsidRDefault="005E31C0" w:rsidP="005058A8">
            <w:pPr>
              <w:pStyle w:val="In-tableHeading"/>
              <w:rPr>
                <w:b w:val="0"/>
                <w:szCs w:val="20"/>
                <w:highlight w:val="black"/>
              </w:rPr>
            </w:pPr>
            <w:r>
              <w:rPr>
                <w:b w:val="0"/>
                <w:noProof/>
                <w:color w:val="000000"/>
                <w:szCs w:val="20"/>
                <w:highlight w:val="black"/>
              </w:rPr>
              <w:t>''''''''''''''''''''''''''''</w:t>
            </w:r>
          </w:p>
        </w:tc>
        <w:tc>
          <w:tcPr>
            <w:tcW w:w="1179" w:type="dxa"/>
            <w:noWrap/>
            <w:vAlign w:val="center"/>
            <w:hideMark/>
          </w:tcPr>
          <w:p w:rsidR="003305EA" w:rsidRPr="005E31C0" w:rsidRDefault="005E31C0" w:rsidP="005058A8">
            <w:pPr>
              <w:pStyle w:val="In-tableHeading"/>
              <w:rPr>
                <w:b w:val="0"/>
                <w:szCs w:val="20"/>
                <w:highlight w:val="black"/>
              </w:rPr>
            </w:pPr>
            <w:r>
              <w:rPr>
                <w:b w:val="0"/>
                <w:noProof/>
                <w:color w:val="000000"/>
                <w:szCs w:val="20"/>
                <w:highlight w:val="black"/>
              </w:rPr>
              <w:t>'''''''''''''''''''''''''</w:t>
            </w:r>
          </w:p>
        </w:tc>
        <w:tc>
          <w:tcPr>
            <w:tcW w:w="1179" w:type="dxa"/>
            <w:noWrap/>
            <w:vAlign w:val="center"/>
            <w:hideMark/>
          </w:tcPr>
          <w:p w:rsidR="003305EA" w:rsidRPr="005E31C0" w:rsidRDefault="005E31C0" w:rsidP="005058A8">
            <w:pPr>
              <w:pStyle w:val="In-tableHeading"/>
              <w:rPr>
                <w:b w:val="0"/>
                <w:szCs w:val="20"/>
                <w:highlight w:val="black"/>
              </w:rPr>
            </w:pPr>
            <w:r>
              <w:rPr>
                <w:b w:val="0"/>
                <w:noProof/>
                <w:color w:val="000000"/>
                <w:szCs w:val="20"/>
                <w:highlight w:val="black"/>
              </w:rPr>
              <w:t>'''''''''''''''''''''''''''</w:t>
            </w:r>
          </w:p>
        </w:tc>
        <w:tc>
          <w:tcPr>
            <w:tcW w:w="1179" w:type="dxa"/>
            <w:noWrap/>
            <w:vAlign w:val="center"/>
            <w:hideMark/>
          </w:tcPr>
          <w:p w:rsidR="003305EA" w:rsidRPr="005E31C0" w:rsidRDefault="005E31C0" w:rsidP="005058A8">
            <w:pPr>
              <w:pStyle w:val="In-tableHeading"/>
              <w:rPr>
                <w:b w:val="0"/>
                <w:szCs w:val="20"/>
                <w:highlight w:val="black"/>
              </w:rPr>
            </w:pPr>
            <w:r>
              <w:rPr>
                <w:b w:val="0"/>
                <w:noProof/>
                <w:color w:val="000000"/>
                <w:szCs w:val="20"/>
                <w:highlight w:val="black"/>
              </w:rPr>
              <w:t>''''''''''''''''''''''''''</w:t>
            </w:r>
          </w:p>
        </w:tc>
        <w:tc>
          <w:tcPr>
            <w:tcW w:w="1179" w:type="dxa"/>
            <w:noWrap/>
            <w:vAlign w:val="center"/>
            <w:hideMark/>
          </w:tcPr>
          <w:p w:rsidR="003305EA" w:rsidRPr="005E31C0" w:rsidRDefault="005E31C0" w:rsidP="005058A8">
            <w:pPr>
              <w:pStyle w:val="In-tableHeading"/>
              <w:rPr>
                <w:b w:val="0"/>
                <w:szCs w:val="20"/>
                <w:highlight w:val="black"/>
              </w:rPr>
            </w:pPr>
            <w:r>
              <w:rPr>
                <w:b w:val="0"/>
                <w:noProof/>
                <w:color w:val="000000"/>
                <w:szCs w:val="20"/>
                <w:highlight w:val="black"/>
              </w:rPr>
              <w:t>''''''''''''''''''''''''''''</w:t>
            </w:r>
          </w:p>
        </w:tc>
        <w:tc>
          <w:tcPr>
            <w:tcW w:w="1179" w:type="dxa"/>
            <w:noWrap/>
            <w:vAlign w:val="center"/>
          </w:tcPr>
          <w:p w:rsidR="003305EA" w:rsidRPr="005E31C0" w:rsidRDefault="005E31C0" w:rsidP="0081383F">
            <w:pPr>
              <w:pStyle w:val="In-tableHeading"/>
              <w:jc w:val="center"/>
              <w:rPr>
                <w:b w:val="0"/>
                <w:szCs w:val="20"/>
                <w:highlight w:val="black"/>
              </w:rPr>
            </w:pPr>
            <w:r>
              <w:rPr>
                <w:b w:val="0"/>
                <w:noProof/>
                <w:color w:val="000000"/>
                <w:highlight w:val="black"/>
              </w:rPr>
              <w:t>''''''''''''''''''''''''''''''''</w:t>
            </w:r>
          </w:p>
        </w:tc>
      </w:tr>
      <w:tr w:rsidR="003305EA" w:rsidRPr="00A273CB" w:rsidTr="003305EA">
        <w:tc>
          <w:tcPr>
            <w:tcW w:w="1943" w:type="dxa"/>
            <w:noWrap/>
            <w:hideMark/>
          </w:tcPr>
          <w:p w:rsidR="003305EA" w:rsidRPr="00A273CB" w:rsidRDefault="003305EA" w:rsidP="005058A8">
            <w:pPr>
              <w:pStyle w:val="In-tableHeading"/>
              <w:rPr>
                <w:szCs w:val="20"/>
              </w:rPr>
            </w:pPr>
            <w:r w:rsidRPr="00A273CB">
              <w:rPr>
                <w:szCs w:val="20"/>
              </w:rPr>
              <w:t>Total</w:t>
            </w:r>
          </w:p>
        </w:tc>
        <w:tc>
          <w:tcPr>
            <w:tcW w:w="1179" w:type="dxa"/>
            <w:noWrap/>
            <w:vAlign w:val="bottom"/>
            <w:hideMark/>
          </w:tcPr>
          <w:p w:rsidR="003305EA" w:rsidRPr="005E31C0" w:rsidRDefault="005E31C0" w:rsidP="005058A8">
            <w:pPr>
              <w:pStyle w:val="In-tableHeading"/>
              <w:rPr>
                <w:szCs w:val="20"/>
                <w:highlight w:val="black"/>
              </w:rPr>
            </w:pPr>
            <w:r>
              <w:rPr>
                <w:rFonts w:cs="Calibri"/>
                <w:bCs/>
                <w:noProof/>
                <w:color w:val="000000"/>
                <w:szCs w:val="20"/>
                <w:highlight w:val="black"/>
              </w:rPr>
              <w:t>''''''''''''''''''''''</w:t>
            </w:r>
          </w:p>
        </w:tc>
        <w:tc>
          <w:tcPr>
            <w:tcW w:w="1179" w:type="dxa"/>
            <w:noWrap/>
            <w:vAlign w:val="bottom"/>
            <w:hideMark/>
          </w:tcPr>
          <w:p w:rsidR="003305EA" w:rsidRPr="005E31C0" w:rsidRDefault="005E31C0" w:rsidP="005058A8">
            <w:pPr>
              <w:pStyle w:val="In-tableHeading"/>
              <w:rPr>
                <w:szCs w:val="20"/>
                <w:highlight w:val="black"/>
              </w:rPr>
            </w:pPr>
            <w:r>
              <w:rPr>
                <w:rFonts w:cs="Calibri"/>
                <w:bCs/>
                <w:noProof/>
                <w:color w:val="000000"/>
                <w:szCs w:val="20"/>
                <w:highlight w:val="black"/>
              </w:rPr>
              <w:t>'''''''''''''''''''''''''</w:t>
            </w:r>
          </w:p>
        </w:tc>
        <w:tc>
          <w:tcPr>
            <w:tcW w:w="1179" w:type="dxa"/>
            <w:noWrap/>
            <w:vAlign w:val="bottom"/>
            <w:hideMark/>
          </w:tcPr>
          <w:p w:rsidR="003305EA" w:rsidRPr="005E31C0" w:rsidRDefault="005E31C0" w:rsidP="005058A8">
            <w:pPr>
              <w:pStyle w:val="In-tableHeading"/>
              <w:rPr>
                <w:szCs w:val="20"/>
                <w:highlight w:val="black"/>
              </w:rPr>
            </w:pPr>
            <w:r>
              <w:rPr>
                <w:rFonts w:cs="Calibri"/>
                <w:bCs/>
                <w:noProof/>
                <w:color w:val="000000"/>
                <w:szCs w:val="20"/>
                <w:highlight w:val="black"/>
              </w:rPr>
              <w:t>''''''''''''''''''''''''</w:t>
            </w:r>
          </w:p>
        </w:tc>
        <w:tc>
          <w:tcPr>
            <w:tcW w:w="1179" w:type="dxa"/>
            <w:noWrap/>
            <w:vAlign w:val="bottom"/>
            <w:hideMark/>
          </w:tcPr>
          <w:p w:rsidR="003305EA" w:rsidRPr="005E31C0" w:rsidRDefault="005E31C0" w:rsidP="005058A8">
            <w:pPr>
              <w:pStyle w:val="In-tableHeading"/>
              <w:rPr>
                <w:szCs w:val="20"/>
                <w:highlight w:val="black"/>
              </w:rPr>
            </w:pPr>
            <w:r>
              <w:rPr>
                <w:rFonts w:cs="Calibri"/>
                <w:bCs/>
                <w:noProof/>
                <w:color w:val="000000"/>
                <w:szCs w:val="20"/>
                <w:highlight w:val="black"/>
              </w:rPr>
              <w:t>'''''''''''''''''''''''''</w:t>
            </w:r>
          </w:p>
        </w:tc>
        <w:tc>
          <w:tcPr>
            <w:tcW w:w="1179" w:type="dxa"/>
            <w:noWrap/>
            <w:vAlign w:val="bottom"/>
            <w:hideMark/>
          </w:tcPr>
          <w:p w:rsidR="003305EA" w:rsidRPr="005E31C0" w:rsidRDefault="005E31C0" w:rsidP="005058A8">
            <w:pPr>
              <w:pStyle w:val="In-tableHeading"/>
              <w:rPr>
                <w:szCs w:val="20"/>
                <w:highlight w:val="black"/>
              </w:rPr>
            </w:pPr>
            <w:r>
              <w:rPr>
                <w:rFonts w:cs="Calibri"/>
                <w:bCs/>
                <w:noProof/>
                <w:color w:val="000000"/>
                <w:szCs w:val="20"/>
                <w:highlight w:val="black"/>
              </w:rPr>
              <w:t>''''''''''''''''''''''</w:t>
            </w:r>
          </w:p>
        </w:tc>
        <w:tc>
          <w:tcPr>
            <w:tcW w:w="1179" w:type="dxa"/>
            <w:noWrap/>
            <w:vAlign w:val="bottom"/>
          </w:tcPr>
          <w:p w:rsidR="003305EA" w:rsidRPr="005E31C0" w:rsidRDefault="005E31C0" w:rsidP="005058A8">
            <w:pPr>
              <w:pStyle w:val="In-tableHeading"/>
              <w:rPr>
                <w:szCs w:val="20"/>
                <w:highlight w:val="black"/>
              </w:rPr>
            </w:pPr>
            <w:r>
              <w:rPr>
                <w:rFonts w:cs="Calibri"/>
                <w:bCs/>
                <w:noProof/>
                <w:color w:val="000000"/>
                <w:szCs w:val="20"/>
                <w:highlight w:val="black"/>
              </w:rPr>
              <w:t>''''''''''''''''''''''</w:t>
            </w:r>
          </w:p>
        </w:tc>
      </w:tr>
    </w:tbl>
    <w:p w:rsidR="003305EA" w:rsidRPr="002E32AF" w:rsidRDefault="003305EA" w:rsidP="00C823D7">
      <w:pPr>
        <w:pStyle w:val="TableNotes"/>
        <w:spacing w:after="240"/>
      </w:pPr>
      <w:r w:rsidRPr="002E32AF">
        <w:t>*Based on a confidential weighted effective AEMP of $</w:t>
      </w:r>
      <w:r w:rsidR="005E31C0">
        <w:rPr>
          <w:noProof/>
          <w:color w:val="000000"/>
          <w:highlight w:val="black"/>
        </w:rPr>
        <w:t>'''''''''''</w:t>
      </w:r>
      <w:r>
        <w:t xml:space="preserve"> revised as per DUSC recommendations for first and second line treatment durations.</w:t>
      </w:r>
    </w:p>
    <w:p w:rsidR="00BA480F" w:rsidRDefault="00BA480F" w:rsidP="001713C8">
      <w:pPr>
        <w:pStyle w:val="3-BodyText"/>
      </w:pPr>
      <w:r>
        <w:t xml:space="preserve">The PBAC noted that the revised financial </w:t>
      </w:r>
      <w:r w:rsidR="00C823D7">
        <w:t>caps were not</w:t>
      </w:r>
      <w:r>
        <w:t xml:space="preserve"> evaluated as they were provided in the pre-PBAC response.</w:t>
      </w:r>
      <w:r w:rsidR="00C823D7">
        <w:t xml:space="preserve"> The PBAC considered it was unclear why there was a proposed increase to the CDKI caps for population 1 given this population was intended to represent first-line patients substituting CDKI+NSAI</w:t>
      </w:r>
      <w:r w:rsidR="0081383F">
        <w:t>.</w:t>
      </w:r>
    </w:p>
    <w:p w:rsidR="001713C8" w:rsidRDefault="001713C8" w:rsidP="000320C4">
      <w:pPr>
        <w:pStyle w:val="3-BodyText"/>
      </w:pPr>
      <w:r w:rsidRPr="003A6106">
        <w:t xml:space="preserve">In its March 2018 recommendation of ribociclib, the PBAC considered that cost-effectiveness (in that setting) could be improved “via a reduction in price in conjunction with financial caps” (Para 6.1, ribociclib PSD, March 2019). </w:t>
      </w:r>
      <w:r>
        <w:t xml:space="preserve">The PBAC noted that caps were intended to be exceeded by 27% to achieve cost-effective net pricing. </w:t>
      </w:r>
    </w:p>
    <w:p w:rsidR="00C77827" w:rsidRPr="00C77827" w:rsidRDefault="00C77827" w:rsidP="000320C4">
      <w:pPr>
        <w:pStyle w:val="3-BodyText"/>
        <w:numPr>
          <w:ilvl w:val="0"/>
          <w:numId w:val="0"/>
        </w:numPr>
        <w:ind w:firstLine="720"/>
        <w:rPr>
          <w:i/>
        </w:rPr>
      </w:pPr>
      <w:r w:rsidRPr="00C77827">
        <w:rPr>
          <w:i/>
        </w:rPr>
        <w:t>For more detail on PBAC’s view, see section 7 PBAC outcome.</w:t>
      </w:r>
    </w:p>
    <w:p w:rsidR="00830ED6" w:rsidRPr="00D52702" w:rsidRDefault="00830ED6" w:rsidP="00830ED6">
      <w:pPr>
        <w:pStyle w:val="2-SectionHeading"/>
      </w:pPr>
      <w:r w:rsidRPr="00D52702">
        <w:t>PBAC Outcome</w:t>
      </w:r>
    </w:p>
    <w:p w:rsidR="00471E5B" w:rsidRPr="00471E5B" w:rsidRDefault="00471E5B" w:rsidP="00471E5B">
      <w:pPr>
        <w:widowControl w:val="0"/>
        <w:numPr>
          <w:ilvl w:val="1"/>
          <w:numId w:val="1"/>
        </w:numPr>
        <w:spacing w:after="120"/>
        <w:rPr>
          <w:rFonts w:asciiTheme="minorHAnsi" w:hAnsiTheme="minorHAnsi"/>
          <w:bCs/>
          <w:snapToGrid w:val="0"/>
          <w:lang w:val="en-GB"/>
        </w:rPr>
      </w:pPr>
      <w:r w:rsidRPr="00471E5B">
        <w:rPr>
          <w:rFonts w:asciiTheme="minorHAnsi" w:hAnsiTheme="minorHAnsi"/>
          <w:bCs/>
          <w:snapToGrid w:val="0"/>
          <w:lang w:val="en-GB"/>
        </w:rPr>
        <w:t>The PBAC deferred making a recommendation to extend the listing of ribociclib to include use in combination with fulvestrant for the treatment of patients with hormone receptor positive (HR+) and human epidermal growth factor receptor 2 negative (HER2-) unresectable advanced or metastatic breast cancer. The PBAC recognised the clinical need for this combination therapy. The PBAC w</w:t>
      </w:r>
      <w:r w:rsidR="0065167C">
        <w:rPr>
          <w:rFonts w:asciiTheme="minorHAnsi" w:hAnsiTheme="minorHAnsi"/>
          <w:bCs/>
          <w:snapToGrid w:val="0"/>
          <w:lang w:val="en-GB"/>
        </w:rPr>
        <w:t>as</w:t>
      </w:r>
      <w:r w:rsidRPr="00471E5B">
        <w:rPr>
          <w:rFonts w:asciiTheme="minorHAnsi" w:hAnsiTheme="minorHAnsi"/>
          <w:bCs/>
          <w:snapToGrid w:val="0"/>
          <w:lang w:val="en-GB"/>
        </w:rPr>
        <w:t xml:space="preserve"> of a mind to recommend ribociclib in combination with fulvestrant</w:t>
      </w:r>
      <w:r w:rsidR="009E123D">
        <w:rPr>
          <w:rFonts w:asciiTheme="minorHAnsi" w:hAnsiTheme="minorHAnsi"/>
          <w:bCs/>
          <w:snapToGrid w:val="0"/>
          <w:lang w:val="en-GB"/>
        </w:rPr>
        <w:t xml:space="preserve"> (RIBO+FULV)</w:t>
      </w:r>
      <w:r w:rsidRPr="00471E5B">
        <w:rPr>
          <w:rFonts w:asciiTheme="minorHAnsi" w:hAnsiTheme="minorHAnsi"/>
          <w:bCs/>
          <w:snapToGrid w:val="0"/>
          <w:lang w:val="en-GB"/>
        </w:rPr>
        <w:t>, but considered that there remains a need to resolve the appropriate weighted price, financial impact and changes to risk sharing arrangements for ribociclib.</w:t>
      </w:r>
      <w:r w:rsidR="00CB5B1C">
        <w:rPr>
          <w:rFonts w:asciiTheme="minorHAnsi" w:hAnsiTheme="minorHAnsi"/>
          <w:bCs/>
          <w:snapToGrid w:val="0"/>
          <w:lang w:val="en-GB"/>
        </w:rPr>
        <w:t xml:space="preserve"> </w:t>
      </w:r>
    </w:p>
    <w:p w:rsidR="00830ED6" w:rsidRPr="00525B39" w:rsidRDefault="009E123D" w:rsidP="00830ED6">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The PBAC wa</w:t>
      </w:r>
      <w:r w:rsidR="00830ED6" w:rsidRPr="00525B39">
        <w:rPr>
          <w:rFonts w:asciiTheme="minorHAnsi" w:hAnsiTheme="minorHAnsi"/>
          <w:bCs/>
          <w:snapToGrid w:val="0"/>
          <w:lang w:val="en-GB"/>
        </w:rPr>
        <w:t xml:space="preserve">s satisfied that </w:t>
      </w:r>
      <w:r>
        <w:rPr>
          <w:rFonts w:asciiTheme="minorHAnsi" w:hAnsiTheme="minorHAnsi"/>
          <w:bCs/>
          <w:snapToGrid w:val="0"/>
          <w:lang w:val="en-GB"/>
        </w:rPr>
        <w:t xml:space="preserve">RIBO+FULV </w:t>
      </w:r>
      <w:r w:rsidR="00471E5B">
        <w:rPr>
          <w:rFonts w:asciiTheme="minorHAnsi" w:hAnsiTheme="minorHAnsi"/>
          <w:bCs/>
          <w:snapToGrid w:val="0"/>
          <w:lang w:val="en-GB"/>
        </w:rPr>
        <w:t xml:space="preserve">is non-inferior to </w:t>
      </w:r>
      <w:r>
        <w:rPr>
          <w:rFonts w:asciiTheme="minorHAnsi" w:hAnsiTheme="minorHAnsi"/>
          <w:bCs/>
          <w:snapToGrid w:val="0"/>
          <w:lang w:val="en-GB"/>
        </w:rPr>
        <w:t>RIBO+NSAI in terms of PFS. The PBAC wa</w:t>
      </w:r>
      <w:r w:rsidR="00471E5B">
        <w:rPr>
          <w:rFonts w:asciiTheme="minorHAnsi" w:hAnsiTheme="minorHAnsi"/>
          <w:bCs/>
          <w:snapToGrid w:val="0"/>
          <w:lang w:val="en-GB"/>
        </w:rPr>
        <w:t xml:space="preserve">s satisfied that RIBO+FULV </w:t>
      </w:r>
      <w:r w:rsidR="00830ED6" w:rsidRPr="00525B39">
        <w:rPr>
          <w:rFonts w:asciiTheme="minorHAnsi" w:hAnsiTheme="minorHAnsi"/>
          <w:bCs/>
          <w:snapToGrid w:val="0"/>
          <w:lang w:val="en-GB"/>
        </w:rPr>
        <w:t xml:space="preserve">provides, for some patients, a significant improvement in </w:t>
      </w:r>
      <w:r w:rsidR="00471E5B">
        <w:rPr>
          <w:rFonts w:asciiTheme="minorHAnsi" w:hAnsiTheme="minorHAnsi"/>
          <w:bCs/>
          <w:snapToGrid w:val="0"/>
          <w:lang w:val="en-GB"/>
        </w:rPr>
        <w:t>PFS and a</w:t>
      </w:r>
      <w:r w:rsidR="00830ED6" w:rsidRPr="00525B39">
        <w:rPr>
          <w:rFonts w:asciiTheme="minorHAnsi" w:hAnsiTheme="minorHAnsi"/>
          <w:bCs/>
          <w:snapToGrid w:val="0"/>
          <w:lang w:val="en-GB"/>
        </w:rPr>
        <w:t xml:space="preserve"> reduction in toxicity over </w:t>
      </w:r>
      <w:r w:rsidR="00471E5B">
        <w:rPr>
          <w:rFonts w:asciiTheme="minorHAnsi" w:hAnsiTheme="minorHAnsi"/>
          <w:bCs/>
          <w:snapToGrid w:val="0"/>
          <w:lang w:val="en-GB"/>
        </w:rPr>
        <w:t>EVE+EXE</w:t>
      </w:r>
      <w:r w:rsidR="00830ED6" w:rsidRPr="00525B39">
        <w:rPr>
          <w:rFonts w:asciiTheme="minorHAnsi" w:hAnsiTheme="minorHAnsi"/>
          <w:bCs/>
          <w:snapToGrid w:val="0"/>
          <w:lang w:val="en-GB"/>
        </w:rPr>
        <w:t>.</w:t>
      </w:r>
    </w:p>
    <w:p w:rsidR="007D6EED" w:rsidRDefault="007D6EED" w:rsidP="007D6EED">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 xml:space="preserve">The PBAC </w:t>
      </w:r>
      <w:r w:rsidR="005D1971">
        <w:rPr>
          <w:rFonts w:asciiTheme="minorHAnsi" w:hAnsiTheme="minorHAnsi"/>
          <w:bCs/>
          <w:snapToGrid w:val="0"/>
          <w:lang w:val="en-GB"/>
        </w:rPr>
        <w:t>agreed with comments from BCNA and MOGA breast cancer expert group</w:t>
      </w:r>
      <w:r>
        <w:rPr>
          <w:rFonts w:asciiTheme="minorHAnsi" w:hAnsiTheme="minorHAnsi"/>
          <w:bCs/>
          <w:snapToGrid w:val="0"/>
          <w:lang w:val="en-GB"/>
        </w:rPr>
        <w:t xml:space="preserve"> that the main clinical need for RIBO+FULV combination therapy was:</w:t>
      </w:r>
    </w:p>
    <w:p w:rsidR="007D6EED" w:rsidRDefault="007D6EED" w:rsidP="00843CD7">
      <w:pPr>
        <w:pStyle w:val="3-BodyText"/>
        <w:numPr>
          <w:ilvl w:val="1"/>
          <w:numId w:val="13"/>
        </w:numPr>
        <w:snapToGrid w:val="0"/>
        <w:ind w:left="1276" w:hanging="283"/>
      </w:pPr>
      <w:r>
        <w:rPr>
          <w:bCs/>
          <w:lang w:val="en-GB"/>
        </w:rPr>
        <w:t>In the first-line setting:</w:t>
      </w:r>
      <w:r w:rsidR="002C28ED" w:rsidRPr="007F2EC2">
        <w:rPr>
          <w:bCs/>
        </w:rPr>
        <w:t xml:space="preserve"> </w:t>
      </w:r>
      <w:r>
        <w:t xml:space="preserve">patients </w:t>
      </w:r>
      <w:r w:rsidR="002C28ED">
        <w:t>who relapse</w:t>
      </w:r>
      <w:r>
        <w:t xml:space="preserve"> </w:t>
      </w:r>
      <w:r w:rsidR="002C28ED">
        <w:t xml:space="preserve">on or </w:t>
      </w:r>
      <w:r>
        <w:t xml:space="preserve">within 12 months of prior (neo)adjuvant </w:t>
      </w:r>
      <w:r>
        <w:rPr>
          <w:lang w:val="en-US"/>
        </w:rPr>
        <w:t>treatment with an AI for early breast cancer (NSAI-resistant).</w:t>
      </w:r>
    </w:p>
    <w:p w:rsidR="00A046F7" w:rsidRPr="00B02907" w:rsidRDefault="007D6EED" w:rsidP="00A825ED">
      <w:pPr>
        <w:pStyle w:val="3-BodyText"/>
        <w:numPr>
          <w:ilvl w:val="1"/>
          <w:numId w:val="13"/>
        </w:numPr>
        <w:snapToGrid w:val="0"/>
        <w:ind w:left="1276" w:hanging="283"/>
        <w:rPr>
          <w:lang w:val="en-US"/>
        </w:rPr>
      </w:pPr>
      <w:r>
        <w:rPr>
          <w:bCs/>
          <w:lang w:val="en-GB"/>
        </w:rPr>
        <w:t xml:space="preserve">In the </w:t>
      </w:r>
      <w:r w:rsidRPr="002F66F8">
        <w:rPr>
          <w:bCs/>
          <w:lang w:val="en-GB"/>
        </w:rPr>
        <w:t>subsequent</w:t>
      </w:r>
      <w:r>
        <w:rPr>
          <w:bCs/>
          <w:lang w:val="en-GB"/>
        </w:rPr>
        <w:t>-</w:t>
      </w:r>
      <w:r w:rsidRPr="002F66F8">
        <w:rPr>
          <w:bCs/>
          <w:lang w:val="en-GB"/>
        </w:rPr>
        <w:t>line</w:t>
      </w:r>
      <w:r w:rsidR="00343BAC">
        <w:rPr>
          <w:bCs/>
          <w:lang w:val="en-GB"/>
        </w:rPr>
        <w:t xml:space="preserve"> setting</w:t>
      </w:r>
      <w:r>
        <w:rPr>
          <w:bCs/>
          <w:lang w:val="en-GB"/>
        </w:rPr>
        <w:t xml:space="preserve">: </w:t>
      </w:r>
      <w:r w:rsidR="00A046F7" w:rsidRPr="00B02907">
        <w:rPr>
          <w:lang w:val="en-US"/>
        </w:rPr>
        <w:t>for patients who received single-agent NSAI first-line before the CDKIs were available</w:t>
      </w:r>
      <w:r w:rsidR="00BB2A6E">
        <w:rPr>
          <w:lang w:val="en-US"/>
        </w:rPr>
        <w:t>.</w:t>
      </w:r>
      <w:r w:rsidR="00A825ED">
        <w:rPr>
          <w:lang w:val="en-US"/>
        </w:rPr>
        <w:t xml:space="preserve"> The </w:t>
      </w:r>
      <w:r w:rsidR="00A825ED" w:rsidRPr="00A825ED">
        <w:rPr>
          <w:lang w:val="en-US"/>
        </w:rPr>
        <w:t>PBAC also considered that there may be a small group of patients who are elderly or who have poor performance status, in whom single-agent NSAIs may be used first-line, but who are then considered suitable for CDKI combination therapy in the second-line setting.</w:t>
      </w:r>
    </w:p>
    <w:p w:rsidR="00BB2A6E" w:rsidRPr="00F87E45" w:rsidRDefault="005D1971" w:rsidP="00D408D2">
      <w:pPr>
        <w:pStyle w:val="3-BodyText"/>
        <w:rPr>
          <w:lang w:val="en-GB"/>
        </w:rPr>
      </w:pPr>
      <w:r>
        <w:rPr>
          <w:lang w:val="en-GB"/>
        </w:rPr>
        <w:t xml:space="preserve">The PBAC noted that the consumer comments also reflected these areas of </w:t>
      </w:r>
      <w:r w:rsidR="00D85121">
        <w:rPr>
          <w:lang w:val="en-GB"/>
        </w:rPr>
        <w:t xml:space="preserve">high </w:t>
      </w:r>
      <w:r>
        <w:rPr>
          <w:lang w:val="en-GB"/>
        </w:rPr>
        <w:t xml:space="preserve">clinical need. </w:t>
      </w:r>
      <w:r w:rsidR="00BB2A6E">
        <w:rPr>
          <w:lang w:val="en-GB"/>
        </w:rPr>
        <w:t xml:space="preserve">The PBAC considered that the majority of use in the longer term is likely to be in the first-line setting, as use of CDKIs as initial treatment is the standard of care for most patients. </w:t>
      </w:r>
      <w:r w:rsidR="006164D9">
        <w:rPr>
          <w:lang w:val="en-GB"/>
        </w:rPr>
        <w:t xml:space="preserve">The PBAC considered that use of RIBO+FULV was </w:t>
      </w:r>
      <w:r>
        <w:rPr>
          <w:lang w:val="en-GB"/>
        </w:rPr>
        <w:t>likely to be the preferred approach</w:t>
      </w:r>
      <w:r w:rsidR="006164D9">
        <w:rPr>
          <w:lang w:val="en-GB"/>
        </w:rPr>
        <w:t xml:space="preserve"> </w:t>
      </w:r>
      <w:r w:rsidR="00A825ED">
        <w:rPr>
          <w:lang w:val="en-GB"/>
        </w:rPr>
        <w:t>in</w:t>
      </w:r>
      <w:r w:rsidR="006164D9">
        <w:rPr>
          <w:lang w:val="en-GB"/>
        </w:rPr>
        <w:t xml:space="preserve"> patients </w:t>
      </w:r>
      <w:r w:rsidR="00A825ED">
        <w:rPr>
          <w:lang w:val="en-GB"/>
        </w:rPr>
        <w:t xml:space="preserve">who </w:t>
      </w:r>
      <w:r w:rsidR="006164D9">
        <w:rPr>
          <w:lang w:val="en-GB"/>
        </w:rPr>
        <w:t xml:space="preserve">relapsed on NSAI in the adjuvant setting. </w:t>
      </w:r>
      <w:r w:rsidR="006164D9" w:rsidRPr="00BB2A6E">
        <w:rPr>
          <w:lang w:val="en-GB"/>
        </w:rPr>
        <w:t xml:space="preserve">The PBAC considered that there would be </w:t>
      </w:r>
      <w:r w:rsidR="006164D9" w:rsidRPr="00F87E45">
        <w:rPr>
          <w:lang w:val="en-GB"/>
        </w:rPr>
        <w:t>relatively few patients eligible for treatment under the subsequent-line listing and this number is likely to be declining, though the clinical need for access to ribociclib for these patients is high.</w:t>
      </w:r>
    </w:p>
    <w:p w:rsidR="007D6EED" w:rsidRPr="00F87E45" w:rsidRDefault="001E2DA6" w:rsidP="003B5EF6">
      <w:pPr>
        <w:pStyle w:val="3-BodyText"/>
        <w:rPr>
          <w:lang w:val="en-GB"/>
        </w:rPr>
      </w:pPr>
      <w:r w:rsidRPr="00F87E45">
        <w:t xml:space="preserve">The submission proposed amending the existing listings for ribociclib (initial and continuing) </w:t>
      </w:r>
      <w:r w:rsidR="00A95A65">
        <w:t>by</w:t>
      </w:r>
      <w:r w:rsidR="0004779C">
        <w:t>:</w:t>
      </w:r>
      <w:r w:rsidR="00A95A65">
        <w:t xml:space="preserve"> (1) </w:t>
      </w:r>
      <w:r w:rsidR="0004779C">
        <w:t>allowing</w:t>
      </w:r>
      <w:r w:rsidR="00A95A65">
        <w:t xml:space="preserve"> </w:t>
      </w:r>
      <w:r w:rsidRPr="00F87E45">
        <w:t>use in combination with</w:t>
      </w:r>
      <w:r w:rsidR="00A95A65">
        <w:t xml:space="preserve"> </w:t>
      </w:r>
      <w:r w:rsidRPr="00F87E45">
        <w:t>fulvestrant</w:t>
      </w:r>
      <w:r w:rsidR="005254A6">
        <w:t xml:space="preserve"> </w:t>
      </w:r>
      <w:r w:rsidR="0004779C">
        <w:t>(</w:t>
      </w:r>
      <w:r w:rsidR="00A95A65">
        <w:t>or</w:t>
      </w:r>
      <w:r w:rsidR="0004779C">
        <w:t xml:space="preserve">, per the </w:t>
      </w:r>
      <w:r w:rsidR="00A95A65">
        <w:t xml:space="preserve">existing </w:t>
      </w:r>
      <w:r w:rsidR="0004779C">
        <w:t xml:space="preserve">listing, with anastrazole or </w:t>
      </w:r>
      <w:r w:rsidR="005254A6">
        <w:t>letrozole</w:t>
      </w:r>
      <w:r w:rsidR="0004779C">
        <w:t>);</w:t>
      </w:r>
      <w:r w:rsidR="00A95A65">
        <w:t xml:space="preserve"> </w:t>
      </w:r>
      <w:r w:rsidRPr="00F87E45">
        <w:t>and</w:t>
      </w:r>
      <w:r w:rsidR="00A95A65">
        <w:t xml:space="preserve"> (2)</w:t>
      </w:r>
      <w:r w:rsidRPr="00F87E45">
        <w:t xml:space="preserve"> adding new second-line treatment listings for ribociclib. New grandfather listings were also requested for both lines of treatment. </w:t>
      </w:r>
    </w:p>
    <w:p w:rsidR="00830ED6" w:rsidRPr="007D6EED" w:rsidRDefault="007D6EED" w:rsidP="00F87E45">
      <w:pPr>
        <w:widowControl w:val="0"/>
        <w:numPr>
          <w:ilvl w:val="1"/>
          <w:numId w:val="1"/>
        </w:numPr>
        <w:spacing w:after="120"/>
        <w:rPr>
          <w:rFonts w:asciiTheme="minorHAnsi" w:hAnsiTheme="minorHAnsi"/>
          <w:bCs/>
          <w:snapToGrid w:val="0"/>
          <w:lang w:val="en-GB"/>
        </w:rPr>
      </w:pPr>
      <w:r w:rsidRPr="007D6EED">
        <w:rPr>
          <w:lang w:val="en-US"/>
        </w:rPr>
        <w:t>The submission nominated RIBO+NSAI as the main comparator for the first-line</w:t>
      </w:r>
      <w:r w:rsidR="003F366D">
        <w:rPr>
          <w:lang w:val="en-US"/>
        </w:rPr>
        <w:t xml:space="preserve"> setting</w:t>
      </w:r>
      <w:r w:rsidRPr="007D6EED">
        <w:rPr>
          <w:lang w:val="en-US"/>
        </w:rPr>
        <w:t xml:space="preserve">, and EVE+EXE for the second-line </w:t>
      </w:r>
      <w:r w:rsidR="008B3B87">
        <w:rPr>
          <w:lang w:val="en-US"/>
        </w:rPr>
        <w:t>setting</w:t>
      </w:r>
      <w:r w:rsidRPr="007D6EED">
        <w:rPr>
          <w:lang w:val="en-US"/>
        </w:rPr>
        <w:t>.</w:t>
      </w:r>
      <w:r w:rsidRPr="007D6EED">
        <w:rPr>
          <w:iCs/>
          <w:lang w:val="en-US"/>
        </w:rPr>
        <w:t xml:space="preserve"> The</w:t>
      </w:r>
      <w:r w:rsidR="003F366D">
        <w:rPr>
          <w:iCs/>
          <w:lang w:val="en-US"/>
        </w:rPr>
        <w:t xml:space="preserve"> PBAC</w:t>
      </w:r>
      <w:r w:rsidRPr="007D6EED">
        <w:rPr>
          <w:iCs/>
          <w:lang w:val="en-US"/>
        </w:rPr>
        <w:t xml:space="preserve"> </w:t>
      </w:r>
      <w:r w:rsidR="00D85121">
        <w:rPr>
          <w:iCs/>
          <w:lang w:val="en-US"/>
        </w:rPr>
        <w:t>considered</w:t>
      </w:r>
      <w:r w:rsidRPr="007D6EED">
        <w:rPr>
          <w:iCs/>
          <w:lang w:val="en-US"/>
        </w:rPr>
        <w:t xml:space="preserve"> that the nominated comparator in the first-line setting was appropriate.</w:t>
      </w:r>
      <w:r>
        <w:rPr>
          <w:iCs/>
          <w:lang w:val="en-US"/>
        </w:rPr>
        <w:t xml:space="preserve"> </w:t>
      </w:r>
      <w:r w:rsidRPr="007D6EED">
        <w:rPr>
          <w:iCs/>
          <w:lang w:val="en-US"/>
        </w:rPr>
        <w:t xml:space="preserve">The </w:t>
      </w:r>
      <w:r w:rsidR="00D85121">
        <w:rPr>
          <w:iCs/>
          <w:lang w:val="en-US"/>
        </w:rPr>
        <w:t>PBAC</w:t>
      </w:r>
      <w:r w:rsidRPr="007D6EED">
        <w:rPr>
          <w:iCs/>
          <w:lang w:val="en-US"/>
        </w:rPr>
        <w:t xml:space="preserve"> considered that</w:t>
      </w:r>
      <w:r w:rsidR="008B3B87">
        <w:rPr>
          <w:iCs/>
          <w:lang w:val="en-US"/>
        </w:rPr>
        <w:t xml:space="preserve">, in the second-line setting, </w:t>
      </w:r>
      <w:r w:rsidRPr="007D6EED">
        <w:rPr>
          <w:iCs/>
          <w:lang w:val="en-US"/>
        </w:rPr>
        <w:t>a mix of other treatments such as chemotherapy (e.g. capecitabine) and endocrine therapies (e.g. tamoxifen</w:t>
      </w:r>
      <w:r w:rsidR="00D85121">
        <w:rPr>
          <w:iCs/>
          <w:lang w:val="en-US"/>
        </w:rPr>
        <w:t xml:space="preserve"> or fulvestrant monotherapy</w:t>
      </w:r>
      <w:r w:rsidRPr="007D6EED">
        <w:rPr>
          <w:iCs/>
          <w:lang w:val="en-US"/>
        </w:rPr>
        <w:t>) could also be considered comparators for some patients.</w:t>
      </w:r>
    </w:p>
    <w:p w:rsidR="00DC204C" w:rsidRPr="00DC204C" w:rsidRDefault="00E81292" w:rsidP="008E232A">
      <w:pPr>
        <w:widowControl w:val="0"/>
        <w:numPr>
          <w:ilvl w:val="1"/>
          <w:numId w:val="1"/>
        </w:numPr>
        <w:spacing w:after="120"/>
        <w:rPr>
          <w:color w:val="000000" w:themeColor="text1"/>
        </w:rPr>
      </w:pPr>
      <w:r>
        <w:rPr>
          <w:lang w:val="en-US"/>
        </w:rPr>
        <w:t xml:space="preserve">The clinical evidence was based on three main trials, which were the basis of the unanchored MAICs presented. MONALEESA-3, MONLEESA-2 and BOLERO-2 were all randomized double-blind studies. </w:t>
      </w:r>
      <w:r w:rsidR="00DC204C">
        <w:rPr>
          <w:lang w:val="en-US"/>
        </w:rPr>
        <w:t xml:space="preserve">The PBAC noted that </w:t>
      </w:r>
      <w:r w:rsidR="00DC204C">
        <w:t xml:space="preserve">unanchored MAICs can be more prone to uncertainty than anchored MAICs and considered that </w:t>
      </w:r>
      <w:r w:rsidR="00DC204C">
        <w:rPr>
          <w:iCs/>
        </w:rPr>
        <w:t>the risk of bias due to the indirect nature of the comparisons was high.</w:t>
      </w:r>
    </w:p>
    <w:p w:rsidR="00E60A66" w:rsidRDefault="00285898" w:rsidP="008E232A">
      <w:pPr>
        <w:widowControl w:val="0"/>
        <w:numPr>
          <w:ilvl w:val="1"/>
          <w:numId w:val="1"/>
        </w:numPr>
        <w:spacing w:after="120"/>
        <w:rPr>
          <w:color w:val="000000" w:themeColor="text1"/>
        </w:rPr>
      </w:pPr>
      <w:r>
        <w:t>For</w:t>
      </w:r>
      <w:r w:rsidR="00E60A66">
        <w:t xml:space="preserve"> the first-line treatment setting, the submission presented an unanchored MAIC between the RIBO+FULV arm of MONALEESA-3 (subgroup of patients with no prior treatment in the advanced/metastatic setting excluding those who were resistant to (neo)adjuvant NSAI) and the RIBO+NSAI arm of MONALEESA-2</w:t>
      </w:r>
      <w:r w:rsidR="00362CDD">
        <w:t xml:space="preserve">. </w:t>
      </w:r>
      <w:r w:rsidR="00DC204C">
        <w:t>T</w:t>
      </w:r>
      <w:r w:rsidR="00DC204C">
        <w:rPr>
          <w:iCs/>
          <w:color w:val="000000" w:themeColor="text1"/>
        </w:rPr>
        <w:t xml:space="preserve">he PBAC </w:t>
      </w:r>
      <w:r w:rsidR="00E13752">
        <w:rPr>
          <w:iCs/>
          <w:color w:val="000000" w:themeColor="text1"/>
        </w:rPr>
        <w:t xml:space="preserve">considered </w:t>
      </w:r>
      <w:r w:rsidR="00DC204C">
        <w:rPr>
          <w:iCs/>
          <w:color w:val="000000" w:themeColor="text1"/>
        </w:rPr>
        <w:t xml:space="preserve">that </w:t>
      </w:r>
      <w:r w:rsidR="00E13752">
        <w:rPr>
          <w:iCs/>
          <w:color w:val="000000" w:themeColor="text1"/>
        </w:rPr>
        <w:t xml:space="preserve">the </w:t>
      </w:r>
      <w:r w:rsidR="00DC204C">
        <w:rPr>
          <w:iCs/>
          <w:color w:val="000000" w:themeColor="text1"/>
        </w:rPr>
        <w:t>baseline characteristics of MONALEESA-2 and the included subgroup of MONALEESA-3 were reasonably well balanced even before weighting</w:t>
      </w:r>
      <w:r w:rsidR="000B07BD">
        <w:rPr>
          <w:color w:val="000000" w:themeColor="text1"/>
        </w:rPr>
        <w:t xml:space="preserve">. </w:t>
      </w:r>
      <w:r w:rsidR="003B7997">
        <w:t xml:space="preserve">The PBAC considered that the covariates included in the analysis (including prior chemotherapy) appeared reasonable. </w:t>
      </w:r>
      <w:r w:rsidR="000B07BD">
        <w:rPr>
          <w:color w:val="000000" w:themeColor="text1"/>
        </w:rPr>
        <w:t>The PBAC a</w:t>
      </w:r>
      <w:r w:rsidR="00DC204C">
        <w:rPr>
          <w:color w:val="000000" w:themeColor="text1"/>
        </w:rPr>
        <w:t xml:space="preserve">greed with the ESC that the unanchored MAIC for the endpoint of PFS was likely to be valid for the claim of non-inferiority to RIBO+NSAI in the first-line setting. </w:t>
      </w:r>
    </w:p>
    <w:p w:rsidR="00F87E45" w:rsidRDefault="00F87E45" w:rsidP="008E232A">
      <w:pPr>
        <w:widowControl w:val="0"/>
        <w:numPr>
          <w:ilvl w:val="1"/>
          <w:numId w:val="1"/>
        </w:numPr>
        <w:spacing w:after="120"/>
        <w:rPr>
          <w:lang w:eastAsia="en-US"/>
        </w:rPr>
      </w:pPr>
      <w:r w:rsidRPr="00F87E45">
        <w:rPr>
          <w:color w:val="000000" w:themeColor="text1"/>
        </w:rPr>
        <w:t>For the fi</w:t>
      </w:r>
      <w:r w:rsidR="008E232A">
        <w:rPr>
          <w:color w:val="000000" w:themeColor="text1"/>
        </w:rPr>
        <w:t>r</w:t>
      </w:r>
      <w:r w:rsidRPr="00F87E45">
        <w:rPr>
          <w:color w:val="000000" w:themeColor="text1"/>
        </w:rPr>
        <w:t>st-line analysis</w:t>
      </w:r>
      <w:r w:rsidR="00343BAC">
        <w:rPr>
          <w:color w:val="000000" w:themeColor="text1"/>
        </w:rPr>
        <w:t>,</w:t>
      </w:r>
      <w:r w:rsidRPr="00F87E45">
        <w:rPr>
          <w:color w:val="000000" w:themeColor="text1"/>
        </w:rPr>
        <w:t xml:space="preserve"> the PBAC noted that </w:t>
      </w:r>
      <w:r w:rsidRPr="00AB529A">
        <w:rPr>
          <w:color w:val="000000" w:themeColor="text1"/>
        </w:rPr>
        <w:t xml:space="preserve">the PFS HR was </w:t>
      </w:r>
      <w:r w:rsidR="00A47EF8" w:rsidRPr="00AB529A">
        <w:rPr>
          <w:color w:val="000000" w:themeColor="text1"/>
        </w:rPr>
        <w:t xml:space="preserve">0.92 (0.72, 1.18) and the upper confidence interval was below the non-inferiority margin of 1.4 accepted in PBAC considerations of palbociclib (March 2018 PBAC meeting) and abemaciclib (March 2019 PBAC meeting). However, the PBAC considered that the OS data from MONALEESA-2 were immature and the confidence intervals from the unanchored MAIC were wide (HR for OS: 1.08 (95% CI: 0.73, 1.60)) but improved slightly when prior chemotherapy was included as a covariate (HR for OS: 1.03 (95% CI: 0.69, 1.52). </w:t>
      </w:r>
      <w:r w:rsidRPr="00AB529A">
        <w:rPr>
          <w:color w:val="000000" w:themeColor="text1"/>
        </w:rPr>
        <w:t>The PBAC noted that recommendations for palbociclib and abemaciclib were based on</w:t>
      </w:r>
      <w:r>
        <w:rPr>
          <w:color w:val="000000" w:themeColor="text1"/>
        </w:rPr>
        <w:t xml:space="preserve"> </w:t>
      </w:r>
      <w:r w:rsidR="00362CDD">
        <w:rPr>
          <w:color w:val="000000" w:themeColor="text1"/>
        </w:rPr>
        <w:t xml:space="preserve">non-inferior </w:t>
      </w:r>
      <w:r>
        <w:rPr>
          <w:color w:val="000000" w:themeColor="text1"/>
        </w:rPr>
        <w:t xml:space="preserve">PFS and </w:t>
      </w:r>
      <w:r>
        <w:rPr>
          <w:lang w:eastAsia="en-US"/>
        </w:rPr>
        <w:t xml:space="preserve">considered that the claim of non-inferior comparative effectiveness in the first line setting </w:t>
      </w:r>
      <w:r w:rsidR="002271B6">
        <w:rPr>
          <w:lang w:eastAsia="en-US"/>
        </w:rPr>
        <w:t xml:space="preserve">based on the outcome of PFS </w:t>
      </w:r>
      <w:r>
        <w:rPr>
          <w:lang w:eastAsia="en-US"/>
        </w:rPr>
        <w:t>was reasonable.</w:t>
      </w:r>
    </w:p>
    <w:p w:rsidR="00F87E45" w:rsidRPr="00E214B1" w:rsidRDefault="00343BAC" w:rsidP="008E232A">
      <w:pPr>
        <w:widowControl w:val="0"/>
        <w:numPr>
          <w:ilvl w:val="1"/>
          <w:numId w:val="1"/>
        </w:numPr>
        <w:spacing w:after="120"/>
        <w:rPr>
          <w:lang w:eastAsia="en-US"/>
        </w:rPr>
      </w:pPr>
      <w:r>
        <w:rPr>
          <w:lang w:eastAsia="en-US"/>
        </w:rPr>
        <w:t>Th</w:t>
      </w:r>
      <w:r w:rsidR="00F87E45">
        <w:rPr>
          <w:lang w:eastAsia="en-US"/>
        </w:rPr>
        <w:t xml:space="preserve">e PBAC considered that the claim of non-inferior comparative safety </w:t>
      </w:r>
      <w:r>
        <w:rPr>
          <w:lang w:eastAsia="en-US"/>
        </w:rPr>
        <w:t xml:space="preserve">versus RIBO+NSAI </w:t>
      </w:r>
      <w:r w:rsidR="00F87E45">
        <w:rPr>
          <w:lang w:eastAsia="en-US"/>
        </w:rPr>
        <w:t>in the first line setting was reasonable.</w:t>
      </w:r>
      <w:r w:rsidR="005C5B23" w:rsidRPr="005C5B23">
        <w:rPr>
          <w:lang w:eastAsia="en-US"/>
        </w:rPr>
        <w:t xml:space="preserve"> </w:t>
      </w:r>
      <w:r w:rsidR="005C5B23">
        <w:rPr>
          <w:lang w:eastAsia="en-US"/>
        </w:rPr>
        <w:t xml:space="preserve">However, the PBAC noted that the MONALEESA-3 trial indicated that combination therapy with RIBO+FULV </w:t>
      </w:r>
      <w:r w:rsidR="0065167C">
        <w:rPr>
          <w:lang w:eastAsia="en-US"/>
        </w:rPr>
        <w:t>had</w:t>
      </w:r>
      <w:r w:rsidR="005C5B23">
        <w:rPr>
          <w:lang w:eastAsia="en-US"/>
        </w:rPr>
        <w:t xml:space="preserve"> substantively inferior </w:t>
      </w:r>
      <w:r w:rsidR="0065167C">
        <w:rPr>
          <w:lang w:eastAsia="en-US"/>
        </w:rPr>
        <w:t xml:space="preserve">safety </w:t>
      </w:r>
      <w:r w:rsidR="005C5B23">
        <w:rPr>
          <w:lang w:eastAsia="en-US"/>
        </w:rPr>
        <w:t>to fulvestrant alone.</w:t>
      </w:r>
    </w:p>
    <w:p w:rsidR="00E60A66" w:rsidRDefault="00E60A66" w:rsidP="00540F44">
      <w:pPr>
        <w:pStyle w:val="3-BodyText"/>
        <w:rPr>
          <w:lang w:eastAsia="en-US"/>
        </w:rPr>
      </w:pPr>
      <w:r>
        <w:t xml:space="preserve">For the second-line treatment setting, the submission presented an unanchored MAIC between </w:t>
      </w:r>
      <w:r w:rsidR="00285898">
        <w:t xml:space="preserve">the </w:t>
      </w:r>
      <w:r>
        <w:t>subgroup</w:t>
      </w:r>
      <w:r w:rsidR="00DC204C">
        <w:t xml:space="preserve"> of second-line</w:t>
      </w:r>
      <w:r>
        <w:t xml:space="preserve"> </w:t>
      </w:r>
      <w:r w:rsidR="00E15442">
        <w:t xml:space="preserve">patients in </w:t>
      </w:r>
      <w:r>
        <w:t xml:space="preserve">the RIBO+FULV arm of MONALEESA-3 and the </w:t>
      </w:r>
      <w:r w:rsidR="002271B6">
        <w:t xml:space="preserve">subgroup of second-line patients in the </w:t>
      </w:r>
      <w:r>
        <w:t>EVE+EXE arm of BOLERO-2.</w:t>
      </w:r>
      <w:r w:rsidR="00285898">
        <w:t xml:space="preserve"> </w:t>
      </w:r>
      <w:r w:rsidR="00540F44">
        <w:t>The reliance on subgroups substantially reduced the size of the population available for analysis</w:t>
      </w:r>
      <w:r w:rsidR="00540F44" w:rsidRPr="008D1AF1">
        <w:rPr>
          <w:iCs/>
          <w:color w:val="000000" w:themeColor="text1"/>
        </w:rPr>
        <w:t xml:space="preserve">. </w:t>
      </w:r>
      <w:r w:rsidR="00285898">
        <w:t xml:space="preserve">The PBAC </w:t>
      </w:r>
      <w:r w:rsidR="007117AD">
        <w:t xml:space="preserve">considered there were significant </w:t>
      </w:r>
      <w:r w:rsidR="007117AD" w:rsidRPr="007117AD">
        <w:rPr>
          <w:rFonts w:ascii="Calibri" w:hAnsi="Calibri"/>
          <w:snapToGrid/>
        </w:rPr>
        <w:t>imbalances between the baseline</w:t>
      </w:r>
      <w:r w:rsidR="007117AD">
        <w:rPr>
          <w:rFonts w:ascii="Calibri" w:hAnsi="Calibri"/>
          <w:snapToGrid/>
        </w:rPr>
        <w:t xml:space="preserve"> characteristics of the</w:t>
      </w:r>
      <w:r w:rsidR="007117AD" w:rsidRPr="007117AD">
        <w:rPr>
          <w:rFonts w:ascii="Calibri" w:hAnsi="Calibri"/>
          <w:snapToGrid/>
        </w:rPr>
        <w:t xml:space="preserve"> MONALEESA-3 and BOLERO 2 subgroups (e.g. in terms of age, proportion of patients with visceral disease and number of metastatic sites involved). While weighting may have corrected for these factors, the </w:t>
      </w:r>
      <w:r w:rsidR="007117AD">
        <w:rPr>
          <w:rFonts w:ascii="Calibri" w:hAnsi="Calibri"/>
          <w:snapToGrid/>
        </w:rPr>
        <w:t>PBAC</w:t>
      </w:r>
      <w:r w:rsidR="007117AD" w:rsidRPr="007117AD">
        <w:rPr>
          <w:rFonts w:ascii="Calibri" w:hAnsi="Calibri"/>
          <w:snapToGrid/>
        </w:rPr>
        <w:t xml:space="preserve"> considered these </w:t>
      </w:r>
      <w:r w:rsidR="00540F44">
        <w:rPr>
          <w:rFonts w:ascii="Calibri" w:hAnsi="Calibri"/>
          <w:snapToGrid/>
        </w:rPr>
        <w:t>imbalances</w:t>
      </w:r>
      <w:r w:rsidR="007117AD" w:rsidRPr="007117AD">
        <w:rPr>
          <w:rFonts w:ascii="Calibri" w:hAnsi="Calibri"/>
          <w:snapToGrid/>
        </w:rPr>
        <w:t xml:space="preserve"> indicated </w:t>
      </w:r>
      <w:r w:rsidR="007117AD">
        <w:rPr>
          <w:rFonts w:ascii="Calibri" w:hAnsi="Calibri"/>
          <w:snapToGrid/>
        </w:rPr>
        <w:t xml:space="preserve">differences in </w:t>
      </w:r>
      <w:r w:rsidR="007117AD" w:rsidRPr="007117AD">
        <w:rPr>
          <w:rFonts w:ascii="Calibri" w:hAnsi="Calibri"/>
          <w:snapToGrid/>
        </w:rPr>
        <w:t xml:space="preserve">the patient populations, increasing the likelihood of bias due to </w:t>
      </w:r>
      <w:r w:rsidR="007117AD">
        <w:rPr>
          <w:rFonts w:ascii="Calibri" w:hAnsi="Calibri"/>
          <w:snapToGrid/>
        </w:rPr>
        <w:t xml:space="preserve">unobserved confounders. </w:t>
      </w:r>
      <w:r w:rsidR="00540F44">
        <w:rPr>
          <w:color w:val="000000" w:themeColor="text1"/>
        </w:rPr>
        <w:t xml:space="preserve">Notwithstanding </w:t>
      </w:r>
      <w:r w:rsidR="00F53108">
        <w:rPr>
          <w:color w:val="000000" w:themeColor="text1"/>
        </w:rPr>
        <w:t xml:space="preserve">these </w:t>
      </w:r>
      <w:r w:rsidR="00540F44">
        <w:rPr>
          <w:color w:val="000000" w:themeColor="text1"/>
        </w:rPr>
        <w:t>limitations, t</w:t>
      </w:r>
      <w:r w:rsidR="00F65911">
        <w:rPr>
          <w:color w:val="000000" w:themeColor="text1"/>
        </w:rPr>
        <w:t xml:space="preserve">he PBAC considered that it appeared that the subgroups included in the unanchored MAIC were </w:t>
      </w:r>
      <w:r w:rsidR="005C5B23" w:rsidRPr="00AB529A">
        <w:rPr>
          <w:color w:val="000000" w:themeColor="text1"/>
        </w:rPr>
        <w:t>sufficient</w:t>
      </w:r>
      <w:r w:rsidR="00F65911" w:rsidRPr="00AB529A">
        <w:rPr>
          <w:color w:val="000000" w:themeColor="text1"/>
        </w:rPr>
        <w:t>ly balanced for the comparison to be informative.</w:t>
      </w:r>
      <w:r w:rsidR="00F65911" w:rsidRPr="00AB529A">
        <w:rPr>
          <w:lang w:eastAsia="en-US"/>
        </w:rPr>
        <w:t xml:space="preserve"> </w:t>
      </w:r>
      <w:r w:rsidR="002271B6" w:rsidRPr="00AB529A">
        <w:rPr>
          <w:color w:val="000000" w:themeColor="text1"/>
        </w:rPr>
        <w:t>The PBAC noted the results of the unanchored MAIC for RIBO+FULV compared with EVE+EXE in the second-line setting were: HR</w:t>
      </w:r>
      <w:r w:rsidR="00AA4C88" w:rsidRPr="00AB529A">
        <w:rPr>
          <w:color w:val="000000" w:themeColor="text1"/>
        </w:rPr>
        <w:t xml:space="preserve"> for</w:t>
      </w:r>
      <w:r w:rsidR="002271B6" w:rsidRPr="00AB529A">
        <w:rPr>
          <w:color w:val="000000" w:themeColor="text1"/>
        </w:rPr>
        <w:t xml:space="preserve"> </w:t>
      </w:r>
      <w:r w:rsidR="00AA4C88" w:rsidRPr="00AB529A">
        <w:rPr>
          <w:color w:val="000000" w:themeColor="text1"/>
        </w:rPr>
        <w:t xml:space="preserve">PFS of </w:t>
      </w:r>
      <w:r w:rsidR="00A47EF8" w:rsidRPr="00AB529A">
        <w:rPr>
          <w:color w:val="000000" w:themeColor="text1"/>
        </w:rPr>
        <w:t>0.40 (95%CI: 0.27, 0.56) and HR for OS of 0.56 (95%CI: 0.38, 0.80).</w:t>
      </w:r>
      <w:r w:rsidR="00A47EF8" w:rsidRPr="00AB529A">
        <w:rPr>
          <w:rFonts w:ascii="Calibri" w:hAnsi="Calibri"/>
          <w:snapToGrid/>
        </w:rPr>
        <w:t xml:space="preserve"> </w:t>
      </w:r>
      <w:r w:rsidR="00AA4C88" w:rsidRPr="00AB529A">
        <w:rPr>
          <w:rFonts w:ascii="Calibri" w:hAnsi="Calibri"/>
          <w:snapToGrid/>
        </w:rPr>
        <w:t>T</w:t>
      </w:r>
      <w:r w:rsidR="002271B6" w:rsidRPr="00AB529A">
        <w:rPr>
          <w:rFonts w:ascii="Calibri" w:hAnsi="Calibri"/>
          <w:snapToGrid/>
        </w:rPr>
        <w:t>he PBAC considered that the true uncertainty in the PFS and OS hazard ratios is likely to be much greater than reported.</w:t>
      </w:r>
    </w:p>
    <w:p w:rsidR="00362CDD" w:rsidRPr="00F87E45" w:rsidRDefault="00F65911" w:rsidP="006F0AC7">
      <w:pPr>
        <w:pStyle w:val="3-BodyText"/>
        <w:rPr>
          <w:lang w:eastAsia="en-US"/>
        </w:rPr>
      </w:pPr>
      <w:r>
        <w:rPr>
          <w:lang w:eastAsia="en-US"/>
        </w:rPr>
        <w:t xml:space="preserve">The PBAC considered that the claim of superior comparative effectiveness in the second-line treatment setting was supported, however, the magnitude of benefit for RIBO+FULV over EVE+EXE was </w:t>
      </w:r>
      <w:r w:rsidR="007117AD">
        <w:rPr>
          <w:lang w:eastAsia="en-US"/>
        </w:rPr>
        <w:t xml:space="preserve">highly </w:t>
      </w:r>
      <w:r>
        <w:rPr>
          <w:lang w:eastAsia="en-US"/>
        </w:rPr>
        <w:t>uncertain given the potential for bias in the unanchored MAIC.</w:t>
      </w:r>
      <w:r w:rsidR="002D72B2">
        <w:rPr>
          <w:lang w:eastAsia="en-US"/>
        </w:rPr>
        <w:t xml:space="preserve"> Given the significant limitations of the clinical data, i</w:t>
      </w:r>
      <w:r w:rsidR="006F0AC7" w:rsidRPr="006F0AC7">
        <w:rPr>
          <w:lang w:eastAsia="en-US"/>
        </w:rPr>
        <w:t xml:space="preserve">n accepting this claim, the PBAC took into account the high clinical need in a </w:t>
      </w:r>
      <w:r w:rsidR="009C25F3">
        <w:rPr>
          <w:lang w:eastAsia="en-US"/>
        </w:rPr>
        <w:t xml:space="preserve">very </w:t>
      </w:r>
      <w:r w:rsidR="006F0AC7" w:rsidRPr="006F0AC7">
        <w:rPr>
          <w:lang w:eastAsia="en-US"/>
        </w:rPr>
        <w:t>small patient population.</w:t>
      </w:r>
    </w:p>
    <w:p w:rsidR="00362CDD" w:rsidRPr="00F87E45" w:rsidRDefault="00362CDD" w:rsidP="008E232A">
      <w:pPr>
        <w:widowControl w:val="0"/>
        <w:numPr>
          <w:ilvl w:val="1"/>
          <w:numId w:val="1"/>
        </w:numPr>
        <w:spacing w:after="120"/>
        <w:rPr>
          <w:lang w:eastAsia="en-US"/>
        </w:rPr>
      </w:pPr>
      <w:r w:rsidRPr="00F87E45">
        <w:rPr>
          <w:lang w:eastAsia="en-US"/>
        </w:rPr>
        <w:t>The PBAC considered that the claim of superior comparative safety was based on limited clinical data but appeared clinically reasonable.</w:t>
      </w:r>
    </w:p>
    <w:p w:rsidR="00362CDD" w:rsidRDefault="0066507D" w:rsidP="004D7B49">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For the first-line setting, t</w:t>
      </w:r>
      <w:r w:rsidR="00C0297D">
        <w:rPr>
          <w:rFonts w:asciiTheme="minorHAnsi" w:hAnsiTheme="minorHAnsi"/>
          <w:bCs/>
          <w:snapToGrid w:val="0"/>
          <w:lang w:val="en-GB"/>
        </w:rPr>
        <w:t xml:space="preserve">he PBAC considered that </w:t>
      </w:r>
      <w:r>
        <w:rPr>
          <w:rFonts w:asciiTheme="minorHAnsi" w:hAnsiTheme="minorHAnsi"/>
          <w:bCs/>
          <w:snapToGrid w:val="0"/>
          <w:lang w:val="en-GB"/>
        </w:rPr>
        <w:t xml:space="preserve">a </w:t>
      </w:r>
      <w:r w:rsidR="00C0297D">
        <w:rPr>
          <w:rFonts w:asciiTheme="minorHAnsi" w:hAnsiTheme="minorHAnsi"/>
          <w:bCs/>
          <w:snapToGrid w:val="0"/>
          <w:lang w:val="en-GB"/>
        </w:rPr>
        <w:t xml:space="preserve">cost-minimisation </w:t>
      </w:r>
      <w:r w:rsidR="00E370E1">
        <w:rPr>
          <w:rFonts w:asciiTheme="minorHAnsi" w:hAnsiTheme="minorHAnsi"/>
          <w:bCs/>
          <w:snapToGrid w:val="0"/>
          <w:lang w:val="en-GB"/>
        </w:rPr>
        <w:t xml:space="preserve">analysis </w:t>
      </w:r>
      <w:r w:rsidR="00C0297D">
        <w:rPr>
          <w:rFonts w:asciiTheme="minorHAnsi" w:hAnsiTheme="minorHAnsi"/>
          <w:bCs/>
          <w:snapToGrid w:val="0"/>
          <w:lang w:val="en-GB"/>
        </w:rPr>
        <w:t>was reasonable, given the clinical claim of non-inferior effectiveness and safety</w:t>
      </w:r>
      <w:r w:rsidR="00E370E1">
        <w:rPr>
          <w:rFonts w:asciiTheme="minorHAnsi" w:hAnsiTheme="minorHAnsi"/>
          <w:bCs/>
          <w:snapToGrid w:val="0"/>
          <w:lang w:val="en-GB"/>
        </w:rPr>
        <w:t xml:space="preserve"> was</w:t>
      </w:r>
      <w:r w:rsidR="00C0297D">
        <w:rPr>
          <w:rFonts w:asciiTheme="minorHAnsi" w:hAnsiTheme="minorHAnsi"/>
          <w:bCs/>
          <w:snapToGrid w:val="0"/>
          <w:lang w:val="en-GB"/>
        </w:rPr>
        <w:t xml:space="preserve"> accepted for RIBO+FULV compared with RIBO+NSAI. The PBAC noted that the cost-minimisation of RIBO+FULV was dependent on availability of generic fulvestrant at the price proposed in the submission.</w:t>
      </w:r>
      <w:r w:rsidR="004D7B49">
        <w:t xml:space="preserve"> The PBAC considered that the </w:t>
      </w:r>
      <w:r w:rsidR="003C3BBF">
        <w:t>comparator price for currently listed</w:t>
      </w:r>
      <w:r w:rsidR="004D7B49" w:rsidRPr="00E370E1">
        <w:t xml:space="preserve"> </w:t>
      </w:r>
      <w:r w:rsidR="004D7B49">
        <w:t xml:space="preserve">ribociclib (in combination with </w:t>
      </w:r>
      <w:r w:rsidR="003C3BBF">
        <w:t>NSAIs</w:t>
      </w:r>
      <w:r w:rsidR="004D7B49">
        <w:t>) applied in the cost-minimisation analysis sh</w:t>
      </w:r>
      <w:r w:rsidR="004D7B49" w:rsidRPr="00E370E1">
        <w:t xml:space="preserve">ould </w:t>
      </w:r>
      <w:r w:rsidR="004D7B49" w:rsidRPr="00EF5378">
        <w:t xml:space="preserve">take into </w:t>
      </w:r>
      <w:r w:rsidR="004D7B49" w:rsidRPr="004D7B49">
        <w:t xml:space="preserve">account the effective price that was intended for RIBO+NSAI including both the effective price and the intended RSA rebate for breaching the subsidisation caps, given the cost-effective </w:t>
      </w:r>
      <w:r w:rsidR="00956E4C">
        <w:t>net cost</w:t>
      </w:r>
      <w:r w:rsidR="004D7B49" w:rsidRPr="004D7B49">
        <w:t xml:space="preserve"> of ribociclib (in that setting) was intended to be achieved through both the AEMP and rebates achieved through the financial caps</w:t>
      </w:r>
      <w:r w:rsidR="004D7B49">
        <w:t>.</w:t>
      </w:r>
    </w:p>
    <w:p w:rsidR="00D50707" w:rsidRDefault="00494E89" w:rsidP="004D7B49">
      <w:pPr>
        <w:widowControl w:val="0"/>
        <w:numPr>
          <w:ilvl w:val="1"/>
          <w:numId w:val="1"/>
        </w:numPr>
        <w:spacing w:after="120"/>
      </w:pPr>
      <w:r>
        <w:rPr>
          <w:bCs/>
          <w:lang w:val="en-GB"/>
        </w:rPr>
        <w:t>The PBAC considered that the structure of the economic model f</w:t>
      </w:r>
      <w:r w:rsidR="00D408D2">
        <w:rPr>
          <w:bCs/>
          <w:lang w:val="en-GB"/>
        </w:rPr>
        <w:t xml:space="preserve">or the second line comparison </w:t>
      </w:r>
      <w:r>
        <w:rPr>
          <w:bCs/>
          <w:lang w:val="en-GB"/>
        </w:rPr>
        <w:t>with EVE+EXE was reasonable. However</w:t>
      </w:r>
      <w:r w:rsidR="00D42A60">
        <w:rPr>
          <w:bCs/>
          <w:lang w:val="en-GB"/>
        </w:rPr>
        <w:t>,</w:t>
      </w:r>
      <w:r>
        <w:rPr>
          <w:bCs/>
          <w:lang w:val="en-GB"/>
        </w:rPr>
        <w:t xml:space="preserve"> t</w:t>
      </w:r>
      <w:r w:rsidR="00D408D2">
        <w:rPr>
          <w:bCs/>
          <w:lang w:val="en-GB"/>
        </w:rPr>
        <w:t>he PBAC noted that the economic model relied on hazard ratios from the unanchored MAIC, which it considered had a high level of inherent uncertainty</w:t>
      </w:r>
      <w:r>
        <w:rPr>
          <w:bCs/>
          <w:lang w:val="en-GB"/>
        </w:rPr>
        <w:t xml:space="preserve"> resulting in </w:t>
      </w:r>
      <w:r w:rsidR="003C3BBF">
        <w:rPr>
          <w:bCs/>
          <w:lang w:val="en-GB"/>
        </w:rPr>
        <w:t xml:space="preserve">an </w:t>
      </w:r>
      <w:r>
        <w:rPr>
          <w:bCs/>
          <w:lang w:val="en-GB"/>
        </w:rPr>
        <w:t>uncertain magnitude of benefit for RIBO+FULV compared with EVE+EXE</w:t>
      </w:r>
      <w:r w:rsidR="00D50707">
        <w:rPr>
          <w:bCs/>
          <w:lang w:val="en-GB"/>
        </w:rPr>
        <w:t xml:space="preserve"> as discussed </w:t>
      </w:r>
      <w:r w:rsidR="00D42A60">
        <w:rPr>
          <w:bCs/>
          <w:lang w:val="en-GB"/>
        </w:rPr>
        <w:t>above</w:t>
      </w:r>
      <w:r w:rsidR="00D408D2">
        <w:rPr>
          <w:bCs/>
          <w:lang w:val="en-GB"/>
        </w:rPr>
        <w:t xml:space="preserve">. </w:t>
      </w:r>
      <w:r w:rsidR="00D408D2">
        <w:t xml:space="preserve">The </w:t>
      </w:r>
      <w:r w:rsidR="00D50707">
        <w:t xml:space="preserve">PBAC noted that the </w:t>
      </w:r>
      <w:r>
        <w:t>ICER wa</w:t>
      </w:r>
      <w:r w:rsidR="00D408D2">
        <w:t xml:space="preserve">s sensitive to the hazard ratios applied to estimate </w:t>
      </w:r>
      <w:r w:rsidR="003C3BBF">
        <w:t xml:space="preserve">PFS and OS for </w:t>
      </w:r>
      <w:r w:rsidR="00D408D2">
        <w:t xml:space="preserve">EVE+EXE </w:t>
      </w:r>
      <w:r>
        <w:t>and therefore the ICERs generated were uncertain and may be underestimated.</w:t>
      </w:r>
    </w:p>
    <w:p w:rsidR="0066507D" w:rsidRDefault="0066507D" w:rsidP="0066507D">
      <w:pPr>
        <w:pStyle w:val="3-BodyText"/>
      </w:pPr>
      <w:r w:rsidRPr="0066507D">
        <w:t xml:space="preserve">The PBAC considered that the extrapolation of the highly uncertain data from the unanchored MAIC to 10 years substantially increased the </w:t>
      </w:r>
      <w:r w:rsidRPr="0066507D">
        <w:rPr>
          <w:rFonts w:ascii="Calibri" w:hAnsi="Calibri"/>
          <w:snapToGrid/>
        </w:rPr>
        <w:t>uncertainty of the cost-effectiveness estimates</w:t>
      </w:r>
      <w:r w:rsidR="002271B6">
        <w:rPr>
          <w:rFonts w:ascii="Calibri" w:hAnsi="Calibri"/>
          <w:snapToGrid/>
        </w:rPr>
        <w:t xml:space="preserve">. </w:t>
      </w:r>
      <w:r w:rsidR="006A564E">
        <w:rPr>
          <w:rFonts w:ascii="Calibri" w:hAnsi="Calibri"/>
          <w:snapToGrid/>
        </w:rPr>
        <w:t>The PBAC considered</w:t>
      </w:r>
      <w:r w:rsidR="006A564E" w:rsidRPr="0066507D">
        <w:rPr>
          <w:rFonts w:ascii="Calibri" w:hAnsi="Calibri"/>
          <w:snapToGrid/>
        </w:rPr>
        <w:t xml:space="preserve"> that greater confidence would be derived by limiting the time horizon to a shorter duration, more in line with that previously accepted for RIBO+NSAI.</w:t>
      </w:r>
      <w:r w:rsidR="006A564E">
        <w:rPr>
          <w:rFonts w:ascii="Calibri" w:hAnsi="Calibri"/>
          <w:snapToGrid/>
        </w:rPr>
        <w:t xml:space="preserve"> </w:t>
      </w:r>
      <w:r w:rsidR="002271B6">
        <w:t>The PBAC noted that RIBO+NSAI was recommended on the basis of a model with a 7 year time horizon, reflecting uncertainty in the long term survival outcomes for RIBO+NSAI</w:t>
      </w:r>
      <w:r w:rsidR="006A564E">
        <w:t xml:space="preserve">. </w:t>
      </w:r>
    </w:p>
    <w:p w:rsidR="0086162C" w:rsidRDefault="0086162C" w:rsidP="00C73ED1">
      <w:pPr>
        <w:pStyle w:val="3-BodyText"/>
      </w:pPr>
      <w:r>
        <w:t>The PBAC noted that PFS and OS for RIBO+FULV were extrapolated using exponential functions, and no observed trial data were applied in the model. PFS and OS for EVE+EXE w</w:t>
      </w:r>
      <w:r w:rsidR="00D42A60">
        <w:t>ere</w:t>
      </w:r>
      <w:r>
        <w:t xml:space="preserve"> estimated by applying hazard ratios from the unanchored MAIC to PFS and OS in the RIBO+FULV arm. </w:t>
      </w:r>
      <w:r w:rsidR="0035375F">
        <w:t xml:space="preserve">The PBAC </w:t>
      </w:r>
      <w:r w:rsidR="000C473E">
        <w:t xml:space="preserve">considered </w:t>
      </w:r>
      <w:r w:rsidR="0035375F">
        <w:t xml:space="preserve">that </w:t>
      </w:r>
      <w:r>
        <w:t xml:space="preserve">the extrapolation </w:t>
      </w:r>
      <w:r w:rsidR="000C473E">
        <w:t>appeared to be</w:t>
      </w:r>
      <w:r>
        <w:t xml:space="preserve"> a poor </w:t>
      </w:r>
      <w:r w:rsidR="000C473E">
        <w:t xml:space="preserve">visual </w:t>
      </w:r>
      <w:r>
        <w:t>fit</w:t>
      </w:r>
      <w:r w:rsidR="0035375F">
        <w:t xml:space="preserve"> </w:t>
      </w:r>
      <w:r w:rsidR="000C473E" w:rsidRPr="007E0B5F">
        <w:t xml:space="preserve">to the observed data, </w:t>
      </w:r>
      <w:r w:rsidR="0035375F">
        <w:t>and appeared to underestimate the OS for EVE+EXE in the first 3 years of the model</w:t>
      </w:r>
      <w:r w:rsidR="000C473E">
        <w:t>.</w:t>
      </w:r>
      <w:r>
        <w:t xml:space="preserve"> </w:t>
      </w:r>
      <w:r w:rsidR="00C0067A">
        <w:t xml:space="preserve">The PBAC considered that the model should use </w:t>
      </w:r>
      <w:r w:rsidR="000C473E">
        <w:t xml:space="preserve">observed </w:t>
      </w:r>
      <w:r w:rsidR="00C0067A">
        <w:t xml:space="preserve">KM data </w:t>
      </w:r>
      <w:r w:rsidR="00C73ED1" w:rsidRPr="00C73ED1">
        <w:t>up to the time point at which the observed data bec</w:t>
      </w:r>
      <w:r w:rsidR="00C73ED1">
        <w:t>o</w:t>
      </w:r>
      <w:r w:rsidR="00C73ED1" w:rsidRPr="00C73ED1">
        <w:t>me</w:t>
      </w:r>
      <w:r w:rsidR="00C73ED1">
        <w:t>s</w:t>
      </w:r>
      <w:r w:rsidR="00C73ED1" w:rsidRPr="00C73ED1">
        <w:t xml:space="preserve"> unreliable as a result of small numbers of patients remaining event-free</w:t>
      </w:r>
      <w:r w:rsidR="00C73ED1">
        <w:t>. E</w:t>
      </w:r>
      <w:r w:rsidR="00C0067A">
        <w:t xml:space="preserve">xtrapolations </w:t>
      </w:r>
      <w:r w:rsidR="00047CF2">
        <w:t xml:space="preserve">applied beyond this point </w:t>
      </w:r>
      <w:r w:rsidR="00C0067A">
        <w:t xml:space="preserve">should be informed by all available data. </w:t>
      </w:r>
      <w:r w:rsidR="000C473E">
        <w:t>The PBAC considered that the methodology used by the evaluation to correct for this (which resulted in an ICER of $</w:t>
      </w:r>
      <w:r w:rsidR="00C273F8">
        <w:t>55,000 to &lt; $75,000</w:t>
      </w:r>
      <w:r w:rsidR="000C473E">
        <w:t>/QALY) was appropriate.</w:t>
      </w:r>
    </w:p>
    <w:p w:rsidR="00E056EB" w:rsidRPr="00E056EB" w:rsidRDefault="003834EC" w:rsidP="00E056EB">
      <w:pPr>
        <w:pStyle w:val="3-BodyText"/>
      </w:pPr>
      <w:r>
        <w:t xml:space="preserve">The PBAC considered that the economic model </w:t>
      </w:r>
      <w:r w:rsidR="002A17E5">
        <w:t xml:space="preserve">in the second-line setting </w:t>
      </w:r>
      <w:r>
        <w:t>should use Kaplan-Meier data up t</w:t>
      </w:r>
      <w:r w:rsidR="00B83A2B">
        <w:t>o the point of median follow-up</w:t>
      </w:r>
      <w:r w:rsidR="00843CD7">
        <w:t xml:space="preserve"> (using the evaluation’s methodology)</w:t>
      </w:r>
      <w:r w:rsidR="00B83A2B">
        <w:t xml:space="preserve">, </w:t>
      </w:r>
      <w:r>
        <w:t xml:space="preserve">and use a time horizon of </w:t>
      </w:r>
      <w:r w:rsidR="00843CD7">
        <w:t>7</w:t>
      </w:r>
      <w:r>
        <w:t xml:space="preserve"> years. The PBAC considered that w</w:t>
      </w:r>
      <w:r w:rsidR="00F304EC">
        <w:t>ith the model respecified in this</w:t>
      </w:r>
      <w:r>
        <w:t xml:space="preserve"> way, the second-line price for RIBO+FULV </w:t>
      </w:r>
      <w:r w:rsidR="00B83A2B">
        <w:t>should be reduced s</w:t>
      </w:r>
      <w:r>
        <w:t xml:space="preserve">o that the ICER </w:t>
      </w:r>
      <w:r w:rsidR="0066507D">
        <w:t xml:space="preserve">is </w:t>
      </w:r>
      <w:r>
        <w:t xml:space="preserve">below </w:t>
      </w:r>
      <w:r w:rsidR="00E056EB">
        <w:t>$</w:t>
      </w:r>
      <w:r w:rsidR="00E82F8A">
        <w:t>55,000 to &lt; $75,000</w:t>
      </w:r>
      <w:r w:rsidR="00B83A2B">
        <w:t xml:space="preserve"> per </w:t>
      </w:r>
      <w:r w:rsidR="00E056EB">
        <w:t>QALY</w:t>
      </w:r>
      <w:r w:rsidR="00B83A2B">
        <w:t>. The PBAC considered this ICER would be acceptable in the context of a small and decreasing second line population</w:t>
      </w:r>
      <w:r w:rsidR="00F304EC">
        <w:t>.</w:t>
      </w:r>
    </w:p>
    <w:p w:rsidR="00A223F4" w:rsidRDefault="001344E6" w:rsidP="001344E6">
      <w:pPr>
        <w:pStyle w:val="3-BodyText"/>
        <w:rPr>
          <w:bCs/>
          <w:lang w:val="en-GB"/>
        </w:rPr>
      </w:pPr>
      <w:r>
        <w:rPr>
          <w:bCs/>
          <w:lang w:val="en-GB"/>
        </w:rPr>
        <w:t xml:space="preserve">The submission estimated the number of patients in first and second line using a mixed market share and epidemiological approach, </w:t>
      </w:r>
      <w:r w:rsidR="00852917">
        <w:rPr>
          <w:bCs/>
          <w:lang w:val="en-GB"/>
        </w:rPr>
        <w:t xml:space="preserve">dividing </w:t>
      </w:r>
      <w:r w:rsidR="00F53108">
        <w:rPr>
          <w:bCs/>
          <w:lang w:val="en-GB"/>
        </w:rPr>
        <w:t>patients</w:t>
      </w:r>
      <w:r>
        <w:rPr>
          <w:bCs/>
          <w:lang w:val="en-GB"/>
        </w:rPr>
        <w:t xml:space="preserve"> into four populations.</w:t>
      </w:r>
      <w:r w:rsidR="00A223F4">
        <w:rPr>
          <w:bCs/>
          <w:lang w:val="en-GB"/>
        </w:rPr>
        <w:t xml:space="preserve"> The PBAC considered that </w:t>
      </w:r>
      <w:r w:rsidR="00586A77">
        <w:rPr>
          <w:bCs/>
          <w:lang w:val="en-GB"/>
        </w:rPr>
        <w:t xml:space="preserve">many of the assumptions </w:t>
      </w:r>
      <w:r w:rsidR="0066507D">
        <w:rPr>
          <w:bCs/>
          <w:lang w:val="en-GB"/>
        </w:rPr>
        <w:t xml:space="preserve">used </w:t>
      </w:r>
      <w:r w:rsidR="00A223F4">
        <w:rPr>
          <w:bCs/>
          <w:lang w:val="en-GB"/>
        </w:rPr>
        <w:t>were</w:t>
      </w:r>
      <w:r w:rsidR="00586A77">
        <w:rPr>
          <w:bCs/>
          <w:lang w:val="en-GB"/>
        </w:rPr>
        <w:t xml:space="preserve"> uncertain and </w:t>
      </w:r>
      <w:r w:rsidR="00AD3160">
        <w:rPr>
          <w:bCs/>
          <w:lang w:val="en-GB"/>
        </w:rPr>
        <w:t xml:space="preserve">likely </w:t>
      </w:r>
      <w:r w:rsidR="00D36F5C">
        <w:rPr>
          <w:bCs/>
          <w:lang w:val="en-GB"/>
        </w:rPr>
        <w:t xml:space="preserve">substantially </w:t>
      </w:r>
      <w:r w:rsidR="00A223F4">
        <w:rPr>
          <w:bCs/>
          <w:lang w:val="en-GB"/>
        </w:rPr>
        <w:t xml:space="preserve">overestimated </w:t>
      </w:r>
      <w:r w:rsidR="00AD3160">
        <w:rPr>
          <w:bCs/>
          <w:lang w:val="en-GB"/>
        </w:rPr>
        <w:t xml:space="preserve">the number of treated patients </w:t>
      </w:r>
      <w:r w:rsidR="00A223F4">
        <w:rPr>
          <w:bCs/>
          <w:lang w:val="en-GB"/>
        </w:rPr>
        <w:t>because:</w:t>
      </w:r>
    </w:p>
    <w:p w:rsidR="00A223F4" w:rsidRDefault="004009CA" w:rsidP="00C823D7">
      <w:pPr>
        <w:pStyle w:val="ListParagraph"/>
        <w:numPr>
          <w:ilvl w:val="1"/>
          <w:numId w:val="12"/>
        </w:numPr>
        <w:spacing w:before="120" w:after="0"/>
        <w:contextualSpacing/>
      </w:pPr>
      <w:r>
        <w:t>Population 1 (first-</w:t>
      </w:r>
      <w:r w:rsidR="00A223F4" w:rsidRPr="00A223F4">
        <w:t xml:space="preserve">line, patients substituting RIBO+FULV for CDKI+NSAI) was overestimated as </w:t>
      </w:r>
      <w:r w:rsidR="00746146">
        <w:t xml:space="preserve">the PBAC considered that is was </w:t>
      </w:r>
      <w:r w:rsidR="00586A77">
        <w:t xml:space="preserve">unlikely </w:t>
      </w:r>
      <w:r w:rsidR="00746146">
        <w:t>that patients would</w:t>
      </w:r>
      <w:r w:rsidR="00586A77">
        <w:t xml:space="preserve"> </w:t>
      </w:r>
      <w:r w:rsidR="00AA1372">
        <w:t xml:space="preserve">prefer </w:t>
      </w:r>
      <w:r w:rsidR="00586A77">
        <w:t xml:space="preserve">a </w:t>
      </w:r>
      <w:r w:rsidR="00485EAF">
        <w:t>parenteral</w:t>
      </w:r>
      <w:r w:rsidR="00586A77">
        <w:t xml:space="preserve"> treatment (fulvestrant) over </w:t>
      </w:r>
      <w:r w:rsidR="00485EAF">
        <w:t>an oral NSAI</w:t>
      </w:r>
      <w:r w:rsidR="00A223F4" w:rsidRPr="00A223F4">
        <w:t>. The PBAC also considered that the rates of growth of the market for this population appear to be overestimated</w:t>
      </w:r>
      <w:r>
        <w:t xml:space="preserve"> and are likely to stabili</w:t>
      </w:r>
      <w:r w:rsidR="002014B5">
        <w:t xml:space="preserve">se </w:t>
      </w:r>
      <w:r>
        <w:t>as CDKIs have been subsidised on the PBS since July 2018</w:t>
      </w:r>
      <w:r w:rsidR="00A223F4" w:rsidRPr="00A223F4">
        <w:t>.</w:t>
      </w:r>
      <w:r w:rsidR="00A223F4">
        <w:t xml:space="preserve"> </w:t>
      </w:r>
    </w:p>
    <w:p w:rsidR="004009CA" w:rsidRDefault="004009CA" w:rsidP="00C823D7">
      <w:pPr>
        <w:pStyle w:val="ListParagraph"/>
        <w:numPr>
          <w:ilvl w:val="1"/>
          <w:numId w:val="12"/>
        </w:numPr>
        <w:spacing w:before="120" w:after="0"/>
        <w:contextualSpacing/>
      </w:pPr>
      <w:r>
        <w:t>Population 2 (first-</w:t>
      </w:r>
      <w:r w:rsidR="00A223F4" w:rsidRPr="004009CA">
        <w:t>line, growth of CDKI market</w:t>
      </w:r>
      <w:r w:rsidRPr="004009CA">
        <w:t xml:space="preserve"> from patients </w:t>
      </w:r>
      <w:r>
        <w:t>substituting for</w:t>
      </w:r>
      <w:r w:rsidRPr="004009CA">
        <w:t xml:space="preserve"> chemotherapy or AI monotherapy</w:t>
      </w:r>
      <w:r>
        <w:t>)</w:t>
      </w:r>
      <w:r w:rsidR="00A223F4" w:rsidRPr="004009CA">
        <w:t>.</w:t>
      </w:r>
      <w:r w:rsidRPr="004009CA">
        <w:t xml:space="preserve"> The PBAC considered that </w:t>
      </w:r>
      <w:r>
        <w:t xml:space="preserve">uptake in this population </w:t>
      </w:r>
      <w:r w:rsidR="006A3303">
        <w:t>is likely to be very small as</w:t>
      </w:r>
      <w:r>
        <w:t xml:space="preserve"> patients currently receiving chemotherapy would largely be intolerant to or unsuitable for treatment with a CDKI</w:t>
      </w:r>
      <w:r w:rsidR="00F53108">
        <w:t>, and only a very small proportion of patients currently receiving AI monotherapy would be suitable for second-line treatment with a CDKI.</w:t>
      </w:r>
    </w:p>
    <w:p w:rsidR="004009CA" w:rsidRDefault="006A3303" w:rsidP="00C823D7">
      <w:pPr>
        <w:pStyle w:val="ListParagraph"/>
        <w:numPr>
          <w:ilvl w:val="1"/>
          <w:numId w:val="12"/>
        </w:numPr>
        <w:spacing w:before="120" w:after="0"/>
        <w:contextualSpacing/>
      </w:pPr>
      <w:r>
        <w:t>Population 3 (second-</w:t>
      </w:r>
      <w:r w:rsidR="00A223F4" w:rsidRPr="004009CA">
        <w:t>line, patients displacing EVE+EXE)</w:t>
      </w:r>
      <w:r>
        <w:t>.</w:t>
      </w:r>
      <w:r w:rsidR="00A223F4" w:rsidRPr="004009CA">
        <w:t xml:space="preserve"> </w:t>
      </w:r>
      <w:r>
        <w:t>The PBAC considered that this population appeared to be overestimated as</w:t>
      </w:r>
      <w:r w:rsidR="00485EAF">
        <w:t xml:space="preserve"> growth in everolimus was assumed to be stable over</w:t>
      </w:r>
      <w:r w:rsidR="00D36F5C">
        <w:t xml:space="preserve"> the</w:t>
      </w:r>
      <w:r w:rsidR="00485EAF">
        <w:t xml:space="preserve"> forward estimates, whereas DUSC noted that its use is</w:t>
      </w:r>
      <w:r>
        <w:t xml:space="preserve"> declining.</w:t>
      </w:r>
    </w:p>
    <w:p w:rsidR="00485EAF" w:rsidRDefault="00A223F4" w:rsidP="00C823D7">
      <w:pPr>
        <w:pStyle w:val="ListParagraph"/>
        <w:numPr>
          <w:ilvl w:val="1"/>
          <w:numId w:val="12"/>
        </w:numPr>
        <w:spacing w:before="120"/>
        <w:ind w:left="1077" w:hanging="357"/>
        <w:contextualSpacing/>
      </w:pPr>
      <w:r w:rsidRPr="004009CA">
        <w:t>Population 4 (second</w:t>
      </w:r>
      <w:r w:rsidR="002014B5">
        <w:t>-</w:t>
      </w:r>
      <w:r w:rsidRPr="004009CA">
        <w:t xml:space="preserve">line, </w:t>
      </w:r>
      <w:r w:rsidR="006A3303">
        <w:t>patients displacing EXE only</w:t>
      </w:r>
      <w:r w:rsidRPr="004009CA">
        <w:t>).</w:t>
      </w:r>
      <w:r w:rsidR="001344E6" w:rsidRPr="004009CA">
        <w:t xml:space="preserve"> </w:t>
      </w:r>
      <w:r w:rsidR="00586A77">
        <w:t xml:space="preserve">The PBAC considered that </w:t>
      </w:r>
      <w:r w:rsidR="00586A77" w:rsidRPr="00485EAF">
        <w:t>the</w:t>
      </w:r>
      <w:r w:rsidR="00485EAF" w:rsidRPr="00485EAF">
        <w:t xml:space="preserve"> </w:t>
      </w:r>
      <w:r w:rsidR="00485EAF" w:rsidRPr="00C44274">
        <w:rPr>
          <w:rFonts w:cstheme="minorHAnsi"/>
          <w:color w:val="000000" w:themeColor="text1"/>
        </w:rPr>
        <w:t xml:space="preserve">estimated 50% of patients not fit for CDKI in the first line setting who are subsequently eligible for these agents in the second line setting </w:t>
      </w:r>
      <w:r w:rsidR="00D36F5C" w:rsidRPr="00C44274">
        <w:rPr>
          <w:rFonts w:cstheme="minorHAnsi"/>
          <w:color w:val="000000" w:themeColor="text1"/>
        </w:rPr>
        <w:t>was substantially</w:t>
      </w:r>
      <w:r w:rsidR="00485EAF" w:rsidRPr="00C44274">
        <w:rPr>
          <w:rFonts w:cstheme="minorHAnsi"/>
          <w:color w:val="000000" w:themeColor="text1"/>
        </w:rPr>
        <w:t xml:space="preserve"> overestimated</w:t>
      </w:r>
      <w:r w:rsidR="00F65911" w:rsidRPr="00C44274">
        <w:rPr>
          <w:rFonts w:cstheme="minorHAnsi"/>
          <w:color w:val="000000" w:themeColor="text1"/>
        </w:rPr>
        <w:t xml:space="preserve"> and </w:t>
      </w:r>
      <w:r w:rsidR="00BD5E9F" w:rsidRPr="00C44274">
        <w:rPr>
          <w:rFonts w:cstheme="minorHAnsi"/>
          <w:color w:val="000000" w:themeColor="text1"/>
        </w:rPr>
        <w:t>this population was</w:t>
      </w:r>
      <w:r w:rsidR="00F65911" w:rsidRPr="00C44274">
        <w:rPr>
          <w:rFonts w:cstheme="minorHAnsi"/>
          <w:color w:val="000000" w:themeColor="text1"/>
        </w:rPr>
        <w:t xml:space="preserve"> likely to be very small</w:t>
      </w:r>
      <w:r w:rsidR="00485EAF" w:rsidRPr="00C44274">
        <w:rPr>
          <w:rFonts w:cstheme="minorHAnsi"/>
          <w:color w:val="000000" w:themeColor="text1"/>
        </w:rPr>
        <w:t>.</w:t>
      </w:r>
      <w:r w:rsidR="00586A77" w:rsidRPr="00485EAF">
        <w:t xml:space="preserve"> </w:t>
      </w:r>
    </w:p>
    <w:p w:rsidR="00A24C37" w:rsidRPr="00A24C37" w:rsidRDefault="00A24C37" w:rsidP="00A24C37">
      <w:pPr>
        <w:pStyle w:val="3-BodyText"/>
      </w:pPr>
      <w:r w:rsidRPr="00A24C37">
        <w:t xml:space="preserve">The PBAC noted that the group of prevalent patients who began treatment with AI monotherapy prior to listing of RIBO+NSAI would be included in populations 3 and 4. The PBAC considered that this would be the key use of RIBO+FULV in the second-line setting, but that this would be a relatively small and declining population. Overall, the PBAC considered that the relative use of RIBO+FULV in the second and subsequent-line setting would be substantially smaller than </w:t>
      </w:r>
      <w:r w:rsidR="002014B5">
        <w:t xml:space="preserve">in </w:t>
      </w:r>
      <w:r w:rsidRPr="00A24C37">
        <w:t>the first-line setting.</w:t>
      </w:r>
    </w:p>
    <w:p w:rsidR="00485EAF" w:rsidRPr="00485EAF" w:rsidRDefault="006A3303" w:rsidP="00A24C37">
      <w:pPr>
        <w:pStyle w:val="3-BodyText"/>
      </w:pPr>
      <w:r>
        <w:t xml:space="preserve">The PBAC </w:t>
      </w:r>
      <w:r w:rsidR="00A24C37">
        <w:t>agreed with DUSC that c</w:t>
      </w:r>
      <w:r w:rsidR="00485EAF">
        <w:t xml:space="preserve">ost offsets from </w:t>
      </w:r>
      <w:r w:rsidR="006A564E">
        <w:t>EVE+EXE we</w:t>
      </w:r>
      <w:r w:rsidR="00485EAF">
        <w:t>re overestimated as these treatments are likely to be displaced to a later line of therapy rather than replaced by RIBO+FULV.</w:t>
      </w:r>
    </w:p>
    <w:p w:rsidR="00746146" w:rsidRDefault="0099697D" w:rsidP="00C0297D">
      <w:pPr>
        <w:pStyle w:val="3-BodyText"/>
      </w:pPr>
      <w:r w:rsidRPr="00C0297D">
        <w:t xml:space="preserve">The PBAC noted that the </w:t>
      </w:r>
      <w:r w:rsidR="00254F9B">
        <w:t xml:space="preserve">price proposed for first-line treatment </w:t>
      </w:r>
      <w:r w:rsidR="00CC09E1">
        <w:t xml:space="preserve">was lower than the current price for ribociclib (due to the higher price for fulvestrant compared with NSAI) and the </w:t>
      </w:r>
      <w:r w:rsidRPr="00C0297D">
        <w:t xml:space="preserve">submission proposed a </w:t>
      </w:r>
      <w:r w:rsidR="006A564E">
        <w:t xml:space="preserve">significantly </w:t>
      </w:r>
      <w:r w:rsidRPr="00C0297D">
        <w:t>higher price for ribociclib in subsequent-line therapy</w:t>
      </w:r>
      <w:r w:rsidR="00CC09E1">
        <w:t xml:space="preserve"> based on the claim of superior efficacy to EVE+EXE</w:t>
      </w:r>
      <w:r w:rsidRPr="00C0297D">
        <w:t xml:space="preserve">. </w:t>
      </w:r>
      <w:r w:rsidR="00CC09E1">
        <w:t xml:space="preserve">The weighted </w:t>
      </w:r>
      <w:r w:rsidR="005058A8">
        <w:t xml:space="preserve">effective AEMP </w:t>
      </w:r>
      <w:r w:rsidR="00CC09E1">
        <w:t>proposed in the submission was</w:t>
      </w:r>
      <w:r w:rsidR="005058A8">
        <w:t xml:space="preserve"> $</w:t>
      </w:r>
      <w:r w:rsidR="005E31C0">
        <w:rPr>
          <w:noProof/>
          <w:color w:val="000000"/>
          <w:highlight w:val="black"/>
        </w:rPr>
        <w:t>'''''''''''''''</w:t>
      </w:r>
      <w:r w:rsidR="005058A8">
        <w:t xml:space="preserve"> for the 600 mg dose (63 tablets per pack)</w:t>
      </w:r>
      <w:r w:rsidR="00CC09E1">
        <w:t xml:space="preserve">. </w:t>
      </w:r>
      <w:r w:rsidR="005058A8">
        <w:t xml:space="preserve">The relative use of ribociclib in the first-line and subsequent line settings impacted on the weighted effective price and </w:t>
      </w:r>
      <w:r w:rsidR="001A2112">
        <w:t xml:space="preserve">use in each setting was dependent on both the assumed </w:t>
      </w:r>
      <w:r w:rsidR="005058A8">
        <w:t xml:space="preserve">patient </w:t>
      </w:r>
      <w:r w:rsidR="001A2112">
        <w:t>split</w:t>
      </w:r>
      <w:r w:rsidR="005058A8">
        <w:t xml:space="preserve"> and the </w:t>
      </w:r>
      <w:r w:rsidR="001A2112">
        <w:t>treatment duration in each setting</w:t>
      </w:r>
      <w:r w:rsidR="005058A8">
        <w:t xml:space="preserve">. </w:t>
      </w:r>
      <w:r w:rsidR="00CC09E1">
        <w:t>After applying DUSC’s estimates of mean prescription duration of 20.2 mo</w:t>
      </w:r>
      <w:r w:rsidR="001A2112">
        <w:t>n</w:t>
      </w:r>
      <w:r w:rsidR="00CC09E1">
        <w:t>ths for first line and 13.3 months for subsequent line</w:t>
      </w:r>
      <w:r w:rsidR="00D36F5C">
        <w:t>s</w:t>
      </w:r>
      <w:r w:rsidR="00746146">
        <w:t>,</w:t>
      </w:r>
      <w:r w:rsidR="00CC09E1">
        <w:t xml:space="preserve"> the weighted effective AEMP for ribociclib </w:t>
      </w:r>
      <w:r w:rsidR="006A564E">
        <w:t xml:space="preserve">proposed in the pre-PBAC response was </w:t>
      </w:r>
      <w:r w:rsidR="00CC09E1">
        <w:t>reduced to $</w:t>
      </w:r>
      <w:r w:rsidR="005E31C0">
        <w:rPr>
          <w:noProof/>
          <w:color w:val="000000"/>
          <w:highlight w:val="black"/>
        </w:rPr>
        <w:t>'''''''''''''''''</w:t>
      </w:r>
      <w:r w:rsidR="00AA4C88">
        <w:t xml:space="preserve">. The PBAC noted that this was based on the assumption </w:t>
      </w:r>
      <w:r w:rsidR="00AA4C88" w:rsidRPr="00574A47">
        <w:t xml:space="preserve">that </w:t>
      </w:r>
      <w:r w:rsidR="005E31C0">
        <w:rPr>
          <w:noProof/>
          <w:color w:val="000000"/>
          <w:highlight w:val="black"/>
        </w:rPr>
        <w:t>'''''''''</w:t>
      </w:r>
      <w:r w:rsidR="00CC09E1" w:rsidRPr="00574A47">
        <w:t xml:space="preserve">% </w:t>
      </w:r>
      <w:r w:rsidR="005058A8" w:rsidRPr="00574A47">
        <w:t xml:space="preserve">of </w:t>
      </w:r>
      <w:r w:rsidR="00CC09E1" w:rsidRPr="00574A47">
        <w:t>use</w:t>
      </w:r>
      <w:r w:rsidR="005058A8">
        <w:t xml:space="preserve"> </w:t>
      </w:r>
      <w:r w:rsidR="00AA4C88">
        <w:t xml:space="preserve">would be </w:t>
      </w:r>
      <w:r w:rsidR="005058A8">
        <w:t>in the first-line setting</w:t>
      </w:r>
      <w:r w:rsidR="00AA4C88">
        <w:t>, which the PBAC considered was uncertain and likely underestimated</w:t>
      </w:r>
      <w:r w:rsidR="00CC09E1">
        <w:t xml:space="preserve">. </w:t>
      </w:r>
    </w:p>
    <w:p w:rsidR="00BC4959" w:rsidRPr="00C0297D" w:rsidRDefault="005B6802" w:rsidP="00536FAE">
      <w:pPr>
        <w:pStyle w:val="3-BodyText"/>
      </w:pPr>
      <w:r>
        <w:t>T</w:t>
      </w:r>
      <w:r w:rsidR="00BC4959">
        <w:t>he pre-PBAC response requested an increase in the financial caps of $</w:t>
      </w:r>
      <w:r w:rsidR="00C273F8">
        <w:t>100 million to &lt; $200</w:t>
      </w:r>
      <w:r w:rsidR="00BC4959">
        <w:t xml:space="preserve"> million over the first 6 years of listing. The PBAC considered that the submission had substantially overestimated the likely </w:t>
      </w:r>
      <w:r w:rsidR="00142C7A">
        <w:t xml:space="preserve">increase in use of CDKIs that would occur with the listing of </w:t>
      </w:r>
      <w:r w:rsidR="00BC4959">
        <w:t>RIBO+</w:t>
      </w:r>
      <w:r w:rsidR="00142C7A">
        <w:t>FULV,</w:t>
      </w:r>
      <w:r w:rsidR="00BC4959">
        <w:t xml:space="preserve"> and that the total increase in the CDKI market as a result of listing RIBO+FULV would be very small</w:t>
      </w:r>
      <w:r w:rsidR="00962CE1">
        <w:t xml:space="preserve"> (as outlined in Paragraphs 7.3 and 7.4).</w:t>
      </w:r>
      <w:r w:rsidR="00BC4959">
        <w:t xml:space="preserve"> Overall, the PBAC considered that only a small increase in financial caps would be justifiable.</w:t>
      </w:r>
    </w:p>
    <w:p w:rsidR="0099697D" w:rsidRPr="005249BB" w:rsidRDefault="008874B7" w:rsidP="005B6802">
      <w:pPr>
        <w:pStyle w:val="3-BodyText"/>
      </w:pPr>
      <w:r>
        <w:t xml:space="preserve">The PBAC noted that the existing CDKI caps were intended to be exceeded by 27% in order to achieve cost-effective net </w:t>
      </w:r>
      <w:r w:rsidR="00956E4C">
        <w:t>cost</w:t>
      </w:r>
      <w:r>
        <w:t xml:space="preserve"> as per the RIBO+NSAI submission. The PBAC noted that these caps are not currently being reached and therefore the cost-effectiveness of ribociclib (and other CDKIs) </w:t>
      </w:r>
      <w:r w:rsidR="00956E4C">
        <w:t>in the current listing is uncertain</w:t>
      </w:r>
      <w:r>
        <w:t xml:space="preserve">. </w:t>
      </w:r>
      <w:r w:rsidR="005B6802" w:rsidRPr="005B6802">
        <w:t xml:space="preserve">Given the highly uncertain patient </w:t>
      </w:r>
      <w:r w:rsidR="005B6802">
        <w:t>numbers for the proposed new listing</w:t>
      </w:r>
      <w:r w:rsidR="005B6802" w:rsidRPr="005B6802">
        <w:t>, the PBAC consi</w:t>
      </w:r>
      <w:r w:rsidR="005B6802">
        <w:t>dered that the</w:t>
      </w:r>
      <w:r w:rsidR="005B6802" w:rsidRPr="005B6802">
        <w:t xml:space="preserve"> </w:t>
      </w:r>
      <w:r w:rsidR="005B6802">
        <w:t xml:space="preserve">AEMP </w:t>
      </w:r>
      <w:r w:rsidR="005B6802" w:rsidRPr="005B6802">
        <w:t xml:space="preserve">in the </w:t>
      </w:r>
      <w:r w:rsidR="005B6802">
        <w:t xml:space="preserve">first-line </w:t>
      </w:r>
      <w:r w:rsidR="005B6802" w:rsidRPr="005B6802">
        <w:t xml:space="preserve">setting </w:t>
      </w:r>
      <w:r w:rsidR="005B6802">
        <w:t xml:space="preserve">(which was cost-minimised against RIBO+NSAI) </w:t>
      </w:r>
      <w:r w:rsidR="005B6802" w:rsidRPr="005B6802">
        <w:t>should be based on the</w:t>
      </w:r>
      <w:r w:rsidR="005B6802">
        <w:t xml:space="preserve"> intended cost-effective</w:t>
      </w:r>
      <w:r w:rsidR="005B6802" w:rsidRPr="005B6802">
        <w:t xml:space="preserve"> price for the existing listing of ribociclib (i.e. the effective </w:t>
      </w:r>
      <w:r w:rsidR="00956E4C">
        <w:t>net cost</w:t>
      </w:r>
      <w:r w:rsidR="005B6802" w:rsidRPr="005B6802">
        <w:t xml:space="preserve"> that was intended for ribociclib including both the effective price and the intended RSA rebate for breaching the subsidisation caps</w:t>
      </w:r>
      <w:r w:rsidR="00142C7A">
        <w:t>)</w:t>
      </w:r>
      <w:r w:rsidR="005B6802">
        <w:t>.</w:t>
      </w:r>
    </w:p>
    <w:p w:rsidR="00977092" w:rsidRPr="00977092" w:rsidRDefault="005249BB" w:rsidP="005249BB">
      <w:pPr>
        <w:pStyle w:val="3-BodyText"/>
        <w:rPr>
          <w:rFonts w:ascii="Calibri" w:hAnsi="Calibri"/>
          <w:snapToGrid/>
          <w:lang w:val="en-GB"/>
        </w:rPr>
      </w:pPr>
      <w:r w:rsidRPr="005249BB">
        <w:t xml:space="preserve">The PBAC considered that </w:t>
      </w:r>
      <w:r w:rsidR="00977092">
        <w:t xml:space="preserve">the sponsor should provide the following further information: </w:t>
      </w:r>
    </w:p>
    <w:p w:rsidR="00977092" w:rsidRPr="00977092" w:rsidRDefault="00977092" w:rsidP="00977092">
      <w:pPr>
        <w:pStyle w:val="ListParagraph"/>
        <w:numPr>
          <w:ilvl w:val="1"/>
          <w:numId w:val="12"/>
        </w:numPr>
        <w:spacing w:before="120" w:after="0"/>
        <w:contextualSpacing/>
        <w:rPr>
          <w:rFonts w:ascii="Calibri" w:hAnsi="Calibri"/>
          <w:snapToGrid/>
          <w:lang w:val="en-GB"/>
        </w:rPr>
      </w:pPr>
      <w:r>
        <w:t xml:space="preserve">revise </w:t>
      </w:r>
      <w:r w:rsidR="005249BB" w:rsidRPr="005249BB">
        <w:t xml:space="preserve">the economic model </w:t>
      </w:r>
      <w:r w:rsidR="005B6802">
        <w:t xml:space="preserve">in the second-line setting </w:t>
      </w:r>
      <w:r w:rsidR="009C364B">
        <w:t>as outlined in paragraph 7.1</w:t>
      </w:r>
      <w:r w:rsidR="005B6802">
        <w:t>8</w:t>
      </w:r>
      <w:r w:rsidR="005249BB" w:rsidRPr="005249BB">
        <w:t xml:space="preserve">. </w:t>
      </w:r>
    </w:p>
    <w:p w:rsidR="005249BB" w:rsidRPr="005249BB" w:rsidRDefault="00977092" w:rsidP="00977092">
      <w:pPr>
        <w:pStyle w:val="ListParagraph"/>
        <w:numPr>
          <w:ilvl w:val="1"/>
          <w:numId w:val="12"/>
        </w:numPr>
        <w:spacing w:before="120" w:after="0"/>
        <w:contextualSpacing/>
        <w:rPr>
          <w:rFonts w:ascii="Calibri" w:hAnsi="Calibri"/>
          <w:snapToGrid/>
          <w:lang w:val="en-GB"/>
        </w:rPr>
      </w:pPr>
      <w:r>
        <w:t xml:space="preserve">revise </w:t>
      </w:r>
      <w:r w:rsidR="005249BB" w:rsidRPr="005249BB">
        <w:t>the financial estimates</w:t>
      </w:r>
      <w:r w:rsidR="005B6802">
        <w:t xml:space="preserve">, weighted price </w:t>
      </w:r>
      <w:r w:rsidR="005249BB" w:rsidRPr="005249BB">
        <w:t xml:space="preserve">and proposed increase to </w:t>
      </w:r>
      <w:r w:rsidR="005B6802">
        <w:t xml:space="preserve">the RSA </w:t>
      </w:r>
      <w:r w:rsidR="005249BB" w:rsidRPr="005249BB">
        <w:t xml:space="preserve">caps </w:t>
      </w:r>
      <w:r w:rsidR="005B6802">
        <w:t>as outlined above</w:t>
      </w:r>
      <w:r w:rsidR="005249BB" w:rsidRPr="005249BB">
        <w:t xml:space="preserve">. </w:t>
      </w:r>
    </w:p>
    <w:p w:rsidR="00830ED6" w:rsidRPr="00525B39" w:rsidRDefault="00830ED6" w:rsidP="00830ED6">
      <w:pPr>
        <w:spacing w:before="240"/>
        <w:rPr>
          <w:rFonts w:asciiTheme="minorHAnsi" w:hAnsiTheme="minorHAnsi"/>
          <w:b/>
          <w:bCs/>
          <w:snapToGrid w:val="0"/>
          <w:lang w:val="en-GB"/>
        </w:rPr>
      </w:pPr>
      <w:r w:rsidRPr="00525B39">
        <w:rPr>
          <w:rFonts w:asciiTheme="minorHAnsi" w:hAnsiTheme="minorHAnsi"/>
          <w:b/>
          <w:bCs/>
          <w:snapToGrid w:val="0"/>
          <w:lang w:val="en-GB"/>
        </w:rPr>
        <w:t>Outcome:</w:t>
      </w:r>
    </w:p>
    <w:p w:rsidR="00830ED6" w:rsidRDefault="00830ED6" w:rsidP="00830ED6">
      <w:pPr>
        <w:rPr>
          <w:rFonts w:asciiTheme="minorHAnsi" w:hAnsiTheme="minorHAnsi"/>
          <w:bCs/>
          <w:snapToGrid w:val="0"/>
          <w:lang w:val="en-GB"/>
        </w:rPr>
      </w:pPr>
      <w:r w:rsidRPr="00525B39">
        <w:rPr>
          <w:rFonts w:asciiTheme="minorHAnsi" w:hAnsiTheme="minorHAnsi"/>
          <w:bCs/>
          <w:snapToGrid w:val="0"/>
          <w:lang w:val="en-GB"/>
        </w:rPr>
        <w:t>Def</w:t>
      </w:r>
      <w:r w:rsidR="005249BB">
        <w:rPr>
          <w:rFonts w:asciiTheme="minorHAnsi" w:hAnsiTheme="minorHAnsi"/>
          <w:bCs/>
          <w:snapToGrid w:val="0"/>
          <w:lang w:val="en-GB"/>
        </w:rPr>
        <w:t>erred</w:t>
      </w:r>
    </w:p>
    <w:p w:rsidR="003D7C23" w:rsidRDefault="003D7C23" w:rsidP="00830ED6">
      <w:pPr>
        <w:rPr>
          <w:rFonts w:asciiTheme="minorHAnsi" w:hAnsiTheme="minorHAnsi"/>
          <w:bCs/>
          <w:snapToGrid w:val="0"/>
          <w:lang w:val="en-GB"/>
        </w:rPr>
      </w:pPr>
    </w:p>
    <w:p w:rsidR="003D7C23" w:rsidRPr="003D7C23" w:rsidRDefault="003D7C23" w:rsidP="003D7C23">
      <w:pPr>
        <w:pStyle w:val="2-SectionHeading"/>
      </w:pPr>
      <w:r w:rsidRPr="00C07617">
        <w:t>Context for Decision</w:t>
      </w:r>
    </w:p>
    <w:p w:rsidR="003D7C23" w:rsidRPr="007129F2" w:rsidRDefault="003D7C23" w:rsidP="00AB529A">
      <w:pPr>
        <w:spacing w:after="1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3D7C23" w:rsidRPr="003D7C23" w:rsidRDefault="003D7C23" w:rsidP="003D7C23">
      <w:pPr>
        <w:pStyle w:val="2-SectionHeading"/>
      </w:pPr>
      <w:r w:rsidRPr="00C07617" w:rsidDel="007129F2">
        <w:t xml:space="preserve"> </w:t>
      </w:r>
      <w:r>
        <w:t>Sponsor’s Comment</w:t>
      </w:r>
    </w:p>
    <w:p w:rsidR="003D7C23" w:rsidRPr="00525B39" w:rsidRDefault="00A47EF8" w:rsidP="00AB529A">
      <w:pPr>
        <w:rPr>
          <w:rFonts w:asciiTheme="minorHAnsi" w:hAnsiTheme="minorHAnsi"/>
          <w:bCs/>
          <w:snapToGrid w:val="0"/>
          <w:lang w:val="en-GB"/>
        </w:rPr>
      </w:pPr>
      <w:r w:rsidRPr="00A47EF8">
        <w:rPr>
          <w:rFonts w:asciiTheme="minorHAnsi" w:hAnsiTheme="minorHAnsi"/>
          <w:bCs/>
          <w:lang w:val="en-GB"/>
        </w:rPr>
        <w:t>Novartis are committed to working with the PBAC to achieve sustainable PBS listing conditions and timely patient access to Kisqali® (ribociclib) in combination with fulvestrant.</w:t>
      </w:r>
    </w:p>
    <w:sectPr w:rsidR="003D7C23" w:rsidRPr="00525B39" w:rsidSect="005249BB">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D402C" w16cex:dateUtc="2020-08-11T06:05:00Z"/>
  <w16cex:commentExtensible w16cex:durableId="22DD44BE" w16cex:dateUtc="2020-08-11T06:24:00Z"/>
  <w16cex:commentExtensible w16cex:durableId="22DD44ED" w16cex:dateUtc="2020-08-11T06:25:00Z"/>
  <w16cex:commentExtensible w16cex:durableId="22DD5E48" w16cex:dateUtc="2020-08-11T08:13:00Z"/>
  <w16cex:commentExtensible w16cex:durableId="22DD5E5F" w16cex:dateUtc="2020-08-11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EC4C5E" w16cid:durableId="22DD3F1A"/>
  <w16cid:commentId w16cid:paraId="6DCDED8F" w16cid:durableId="22DD402C"/>
  <w16cid:commentId w16cid:paraId="5A17DCB2" w16cid:durableId="22DD3F1B"/>
  <w16cid:commentId w16cid:paraId="09E87B95" w16cid:durableId="22DD44BE"/>
  <w16cid:commentId w16cid:paraId="20F0E0B5" w16cid:durableId="22DD3F1C"/>
  <w16cid:commentId w16cid:paraId="55C54D33" w16cid:durableId="22DD44ED"/>
  <w16cid:commentId w16cid:paraId="02512DBB" w16cid:durableId="22DD5E48"/>
  <w16cid:commentId w16cid:paraId="309F53C4" w16cid:durableId="22DD5E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980" w:rsidRDefault="00F50980" w:rsidP="00124A51">
      <w:r>
        <w:separator/>
      </w:r>
    </w:p>
    <w:p w:rsidR="00F50980" w:rsidRDefault="00F50980"/>
  </w:endnote>
  <w:endnote w:type="continuationSeparator" w:id="0">
    <w:p w:rsidR="00F50980" w:rsidRDefault="00F50980" w:rsidP="00124A51">
      <w:r>
        <w:continuationSeparator/>
      </w:r>
    </w:p>
    <w:p w:rsidR="00F50980" w:rsidRDefault="00F50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onstantia"/>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980" w:rsidRDefault="00F50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BD" w:rsidRDefault="00196BBD" w:rsidP="00BB5520">
    <w:pPr>
      <w:ind w:right="360"/>
      <w:jc w:val="center"/>
    </w:pPr>
  </w:p>
  <w:p w:rsidR="00196BBD" w:rsidRPr="00C77827" w:rsidRDefault="00196BBD" w:rsidP="00895871">
    <w:pPr>
      <w:ind w:right="360"/>
      <w:jc w:val="center"/>
      <w:rPr>
        <w:b/>
      </w:rPr>
    </w:pPr>
    <w:r w:rsidRPr="00C77827">
      <w:rPr>
        <w:b/>
      </w:rPr>
      <w:fldChar w:fldCharType="begin"/>
    </w:r>
    <w:r w:rsidRPr="00C77827">
      <w:rPr>
        <w:b/>
      </w:rPr>
      <w:instrText xml:space="preserve"> PAGE   \* MERGEFORMAT </w:instrText>
    </w:r>
    <w:r w:rsidRPr="00C77827">
      <w:rPr>
        <w:b/>
      </w:rPr>
      <w:fldChar w:fldCharType="separate"/>
    </w:r>
    <w:r w:rsidR="00476ACD">
      <w:rPr>
        <w:b/>
        <w:noProof/>
      </w:rPr>
      <w:t>1</w:t>
    </w:r>
    <w:r w:rsidRPr="00C77827">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980" w:rsidRDefault="00F50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980" w:rsidRDefault="00F50980" w:rsidP="00124A51">
      <w:r>
        <w:separator/>
      </w:r>
    </w:p>
    <w:p w:rsidR="00F50980" w:rsidRDefault="00F50980"/>
  </w:footnote>
  <w:footnote w:type="continuationSeparator" w:id="0">
    <w:p w:rsidR="00F50980" w:rsidRDefault="00F50980" w:rsidP="00124A51">
      <w:r>
        <w:continuationSeparator/>
      </w:r>
    </w:p>
    <w:p w:rsidR="00F50980" w:rsidRDefault="00F50980"/>
  </w:footnote>
  <w:footnote w:id="1">
    <w:p w:rsidR="00196BBD" w:rsidRPr="00140263" w:rsidRDefault="00196BBD" w:rsidP="00EA6208">
      <w:pPr>
        <w:pStyle w:val="FootnoteText"/>
        <w:rPr>
          <w:rFonts w:cs="Calibri"/>
          <w:lang w:val="en-US"/>
        </w:rPr>
      </w:pPr>
      <w:r w:rsidRPr="00140263">
        <w:rPr>
          <w:rStyle w:val="FootnoteReference"/>
          <w:rFonts w:eastAsiaTheme="majorEastAsia" w:cs="Calibri"/>
        </w:rPr>
        <w:footnoteRef/>
      </w:r>
      <w:r w:rsidRPr="00140263">
        <w:rPr>
          <w:rFonts w:cs="Calibri"/>
        </w:rPr>
        <w:t xml:space="preserve"> Bray, F., et al. Global cancer statistics 2018: GLOBOCAN estimates of incidence and mortality worldwide for 36 cancers in 185 countries. CA: a cancer journal for clinicians. 2018 Nov;68(6):394-424.</w:t>
      </w:r>
    </w:p>
  </w:footnote>
  <w:footnote w:id="2">
    <w:p w:rsidR="00196BBD" w:rsidRPr="005A4DCE" w:rsidRDefault="00196BBD" w:rsidP="00CC0C6A">
      <w:pPr>
        <w:pStyle w:val="FootnoteText"/>
        <w:rPr>
          <w:lang w:val="en-US"/>
        </w:rPr>
      </w:pPr>
      <w:r w:rsidRPr="00140263">
        <w:rPr>
          <w:rStyle w:val="FootnoteReference"/>
          <w:rFonts w:eastAsiaTheme="majorEastAsia" w:cs="Calibri"/>
        </w:rPr>
        <w:footnoteRef/>
      </w:r>
      <w:r w:rsidRPr="00140263">
        <w:rPr>
          <w:rFonts w:cs="Calibri"/>
        </w:rPr>
        <w:t xml:space="preserve"> PBAC (November 2014) Public Summary Document: Anastrozole, Everolimus, Exemestane, Goserelin and Letrozole.</w:t>
      </w:r>
      <w:r>
        <w:t xml:space="preserve"> </w:t>
      </w:r>
    </w:p>
  </w:footnote>
  <w:footnote w:id="3">
    <w:p w:rsidR="00196BBD" w:rsidRPr="009741EC" w:rsidRDefault="00196BBD">
      <w:pPr>
        <w:pStyle w:val="FootnoteText"/>
        <w:rPr>
          <w:sz w:val="18"/>
          <w:szCs w:val="18"/>
        </w:rPr>
      </w:pPr>
      <w:r w:rsidRPr="009741EC">
        <w:rPr>
          <w:rStyle w:val="FootnoteReference"/>
          <w:sz w:val="18"/>
          <w:szCs w:val="18"/>
        </w:rPr>
        <w:footnoteRef/>
      </w:r>
      <w:r w:rsidRPr="009741EC">
        <w:rPr>
          <w:sz w:val="18"/>
          <w:szCs w:val="18"/>
        </w:rPr>
        <w:t xml:space="preserve"> </w:t>
      </w:r>
      <w:r w:rsidRPr="009741EC">
        <w:rPr>
          <w:bCs/>
          <w:sz w:val="18"/>
          <w:szCs w:val="18"/>
        </w:rPr>
        <w:t>Cherny NI, Dafni U, Bogaerts J, et al: ESMO-Magnitude of Clinical Benefit Scale version 1.1. Annals of Oncology 28:2340-2366, 2017</w:t>
      </w:r>
    </w:p>
  </w:footnote>
  <w:footnote w:id="4">
    <w:p w:rsidR="00196BBD" w:rsidRPr="00720D61" w:rsidRDefault="00196BBD" w:rsidP="00890E89">
      <w:pPr>
        <w:pStyle w:val="FootnoteText"/>
        <w:rPr>
          <w:lang w:val="en-US"/>
        </w:rPr>
      </w:pPr>
      <w:r>
        <w:rPr>
          <w:rStyle w:val="FootnoteReference"/>
          <w:rFonts w:eastAsiaTheme="majorEastAsia"/>
        </w:rPr>
        <w:footnoteRef/>
      </w:r>
      <w:r>
        <w:t xml:space="preserve"> </w:t>
      </w:r>
      <w:r w:rsidRPr="00720D61">
        <w:t>Newly diagnosed advanced/metastatic breast cancer, treatment naïve</w:t>
      </w:r>
      <w:r>
        <w:t>.</w:t>
      </w:r>
    </w:p>
  </w:footnote>
  <w:footnote w:id="5">
    <w:p w:rsidR="00196BBD" w:rsidRPr="00720D61" w:rsidRDefault="00196BBD" w:rsidP="00890E89">
      <w:pPr>
        <w:pStyle w:val="FootnoteText"/>
        <w:rPr>
          <w:lang w:val="en-US"/>
        </w:rPr>
      </w:pPr>
      <w:r>
        <w:rPr>
          <w:rStyle w:val="FootnoteReference"/>
          <w:rFonts w:eastAsiaTheme="majorEastAsia"/>
        </w:rPr>
        <w:footnoteRef/>
      </w:r>
      <w:r>
        <w:t xml:space="preserve"> Disease relapse occurred </w:t>
      </w:r>
      <w:r w:rsidRPr="00720D61">
        <w:t>more than 12 months from completion of (neo) adjuvant endocrine therapy</w:t>
      </w:r>
      <w:r>
        <w:t xml:space="preserve"> (ET)</w:t>
      </w:r>
      <w:r w:rsidRPr="00720D61">
        <w:t xml:space="preserve"> with no treatment for </w:t>
      </w:r>
      <w:r>
        <w:t>ABC.</w:t>
      </w:r>
    </w:p>
  </w:footnote>
  <w:footnote w:id="6">
    <w:p w:rsidR="00196BBD" w:rsidRPr="00B02907" w:rsidRDefault="00196BBD">
      <w:pPr>
        <w:pStyle w:val="FootnoteText"/>
      </w:pPr>
      <w:r>
        <w:rPr>
          <w:rStyle w:val="FootnoteReference"/>
        </w:rPr>
        <w:footnoteRef/>
      </w:r>
      <w:r>
        <w:t xml:space="preserve"> Disease relapse occurred </w:t>
      </w:r>
      <w:r w:rsidRPr="00720D61">
        <w:t xml:space="preserve">on or within 12 months from completion of (neo)adjuvant endocrine therapy with no treatment for </w:t>
      </w:r>
      <w:r>
        <w:t xml:space="preserve">ABC (i.e. endocrine-resistant). </w:t>
      </w:r>
      <w:r w:rsidRPr="00B02907">
        <w:t xml:space="preserve">The subgroup used in the first-line MAIC, excluding those whose last (neo) adjuvant endocrine therapy was with anastrozole or letrozole. Thus, only 65 patients from this subgroup were included in the first-line MAIC. </w:t>
      </w:r>
    </w:p>
  </w:footnote>
  <w:footnote w:id="7">
    <w:p w:rsidR="00196BBD" w:rsidRPr="00720D61" w:rsidRDefault="00196BBD" w:rsidP="00890E89">
      <w:pPr>
        <w:pStyle w:val="FootnoteText"/>
        <w:rPr>
          <w:lang w:val="en-US"/>
        </w:rPr>
      </w:pPr>
      <w:r>
        <w:rPr>
          <w:rStyle w:val="FootnoteReference"/>
          <w:rFonts w:eastAsiaTheme="majorEastAsia"/>
        </w:rPr>
        <w:footnoteRef/>
      </w:r>
      <w:r>
        <w:t xml:space="preserve"> Disease relapsed</w:t>
      </w:r>
      <w:r w:rsidRPr="00720D61">
        <w:t xml:space="preserve"> more than 12 months from completion of (neo)adjuvant </w:t>
      </w:r>
      <w:r>
        <w:t>ET</w:t>
      </w:r>
      <w:r w:rsidRPr="00720D61">
        <w:t xml:space="preserve"> and then subsequently progressed with documented evidence of progression after one line of </w:t>
      </w:r>
      <w:r>
        <w:t>ET</w:t>
      </w:r>
      <w:r w:rsidRPr="00720D61">
        <w:t xml:space="preserve"> (with either an anti-</w:t>
      </w:r>
      <w:r>
        <w:t>o</w:t>
      </w:r>
      <w:r w:rsidRPr="00720D61">
        <w:t xml:space="preserve">estrogen or an AI) for </w:t>
      </w:r>
      <w:r>
        <w:t xml:space="preserve">ABC (second-line endocrine resistant) OR </w:t>
      </w:r>
      <w:r w:rsidRPr="00720D61">
        <w:rPr>
          <w:lang w:val="en-US"/>
        </w:rPr>
        <w:t xml:space="preserve">Advanced/metastatic breast cancer at diagnosis with documented evidence of progression after one line of </w:t>
      </w:r>
      <w:r>
        <w:rPr>
          <w:lang w:val="en-US"/>
        </w:rPr>
        <w:t>ET</w:t>
      </w:r>
      <w:r w:rsidRPr="00720D61">
        <w:rPr>
          <w:lang w:val="en-US"/>
        </w:rPr>
        <w:t xml:space="preserve"> (with either an anti-</w:t>
      </w:r>
      <w:r>
        <w:rPr>
          <w:lang w:val="en-US"/>
        </w:rPr>
        <w:t>o</w:t>
      </w:r>
      <w:r w:rsidRPr="00720D61">
        <w:rPr>
          <w:lang w:val="en-US"/>
        </w:rPr>
        <w:t>estrogen or an AI).</w:t>
      </w:r>
    </w:p>
  </w:footnote>
  <w:footnote w:id="8">
    <w:p w:rsidR="00681911" w:rsidRDefault="00681911">
      <w:pPr>
        <w:pStyle w:val="FootnoteText"/>
      </w:pPr>
      <w:r>
        <w:rPr>
          <w:rStyle w:val="FootnoteReference"/>
        </w:rPr>
        <w:footnoteRef/>
      </w:r>
      <w:r>
        <w:t xml:space="preserve"> </w:t>
      </w:r>
      <w:r w:rsidRPr="00681911">
        <w:rPr>
          <w:i/>
        </w:rPr>
        <w:t>Note that the results prese</w:t>
      </w:r>
      <w:r>
        <w:rPr>
          <w:i/>
        </w:rPr>
        <w:t xml:space="preserve">nted in MAIC are derived from </w:t>
      </w:r>
      <w:r w:rsidRPr="00681911">
        <w:rPr>
          <w:i/>
        </w:rPr>
        <w:t>post-hoc analyses conducted by the applicant specifically for the purposes of informing the PBAC consideration. These analyses were not part of the pre-specified statistical plan for MONALEESA-2 or MONALEESA-3.  Interpretation of the results and their application should therefore be limited to seeking to understand the basis for the PBAC outcome and should not be used for any other purpose.</w:t>
      </w:r>
    </w:p>
  </w:footnote>
  <w:footnote w:id="9">
    <w:p w:rsidR="00196BBD" w:rsidRPr="00E81292" w:rsidRDefault="00196BBD">
      <w:pPr>
        <w:pStyle w:val="FootnoteText"/>
        <w:rPr>
          <w:rFonts w:asciiTheme="minorHAnsi" w:hAnsiTheme="minorHAnsi"/>
        </w:rPr>
      </w:pPr>
      <w:r w:rsidRPr="00B02907">
        <w:rPr>
          <w:rStyle w:val="FootnoteReference"/>
        </w:rPr>
        <w:footnoteRef/>
      </w:r>
      <w:r w:rsidRPr="00B02907">
        <w:t xml:space="preserve"> Only a subgroup of first-line endocrine-resistant patients were included in the MAIC – it excluded patients whose last endocrine therapy in the (neo)adjuvant setting was anastrozole or letrozole and who had a disease </w:t>
      </w:r>
      <w:r w:rsidRPr="00E81292">
        <w:rPr>
          <w:rFonts w:asciiTheme="minorHAnsi" w:hAnsiTheme="minorHAnsi"/>
        </w:rPr>
        <w:t>free interval &lt; 12 months.</w:t>
      </w:r>
    </w:p>
  </w:footnote>
  <w:footnote w:id="10">
    <w:p w:rsidR="00196BBD" w:rsidRPr="00356600" w:rsidRDefault="00196BBD" w:rsidP="00014BDE">
      <w:pPr>
        <w:pStyle w:val="FootnoteText"/>
        <w:rPr>
          <w:rFonts w:ascii="Arial Narrow" w:hAnsi="Arial Narrow"/>
          <w:lang w:val="en-US"/>
        </w:rPr>
      </w:pPr>
      <w:r w:rsidRPr="00E81292">
        <w:rPr>
          <w:rStyle w:val="FootnoteReference"/>
          <w:rFonts w:asciiTheme="minorHAnsi" w:eastAsiaTheme="majorEastAsia" w:hAnsiTheme="minorHAnsi"/>
        </w:rPr>
        <w:footnoteRef/>
      </w:r>
      <w:r w:rsidRPr="00E81292">
        <w:rPr>
          <w:rFonts w:asciiTheme="minorHAnsi" w:hAnsiTheme="minorHAnsi"/>
        </w:rPr>
        <w:t xml:space="preserve"> </w:t>
      </w:r>
      <w:r w:rsidRPr="00E81292">
        <w:rPr>
          <w:rFonts w:asciiTheme="minorHAnsi" w:hAnsiTheme="minorHAnsi" w:cstheme="minorHAnsi"/>
        </w:rPr>
        <w:t>Austin PC, Stuart EA. Moving towards best practice when using inverse probability of treatment weighting (IPTW) using the propensity score to estimate causal treatment effects in observational studies. Statistics in medicine. 2015 Dec 10;34(28):3661-79.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980" w:rsidRDefault="00F50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BD" w:rsidRPr="00C77827" w:rsidRDefault="00196BBD" w:rsidP="00C77827">
    <w:pPr>
      <w:pStyle w:val="Header"/>
      <w:tabs>
        <w:tab w:val="clear" w:pos="4513"/>
        <w:tab w:val="center" w:pos="8931"/>
      </w:tabs>
      <w:rPr>
        <w:i/>
      </w:rPr>
    </w:pPr>
    <w:r>
      <w:rPr>
        <w:i/>
      </w:rPr>
      <w:t xml:space="preserve">Public Summary Document </w:t>
    </w:r>
    <w:r w:rsidRPr="00C77827">
      <w:rPr>
        <w:i/>
      </w:rPr>
      <w:t>– July 2020 PBAC Meeting</w:t>
    </w:r>
  </w:p>
  <w:p w:rsidR="00196BBD" w:rsidRDefault="00196B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980" w:rsidRDefault="00F50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EB806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E1C7F"/>
    <w:multiLevelType w:val="hybridMultilevel"/>
    <w:tmpl w:val="D4208D6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 w15:restartNumberingAfterBreak="0">
    <w:nsid w:val="0FF015E7"/>
    <w:multiLevelType w:val="hybridMultilevel"/>
    <w:tmpl w:val="067C0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B6C7D47"/>
    <w:multiLevelType w:val="hybridMultilevel"/>
    <w:tmpl w:val="87C2B9AA"/>
    <w:lvl w:ilvl="0" w:tplc="57CA38C0">
      <w:start w:val="1"/>
      <w:numFmt w:val="bullet"/>
      <w:lvlText w:val=""/>
      <w:lvlJc w:val="left"/>
      <w:pPr>
        <w:ind w:left="1080" w:hanging="360"/>
      </w:pPr>
      <w:rPr>
        <w:rFonts w:ascii="Symbol" w:hAnsi="Symbol" w:hint="default"/>
        <w:i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B95374C"/>
    <w:multiLevelType w:val="hybridMultilevel"/>
    <w:tmpl w:val="450669D2"/>
    <w:lvl w:ilvl="0" w:tplc="504289F0">
      <w:numFmt w:val="bullet"/>
      <w:lvlText w:val="-"/>
      <w:lvlJc w:val="left"/>
      <w:pPr>
        <w:ind w:left="1069" w:hanging="360"/>
      </w:pPr>
      <w:rPr>
        <w:rFonts w:ascii="Calibri" w:eastAsia="Times New Roman" w:hAnsi="Calibri" w:cs="Calibri"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2DBB0801"/>
    <w:multiLevelType w:val="hybridMultilevel"/>
    <w:tmpl w:val="52CA8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7D4FE2"/>
    <w:multiLevelType w:val="hybridMultilevel"/>
    <w:tmpl w:val="CD04C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D67A6"/>
    <w:multiLevelType w:val="hybridMultilevel"/>
    <w:tmpl w:val="7DC44466"/>
    <w:lvl w:ilvl="0" w:tplc="87763022">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9E3488"/>
    <w:multiLevelType w:val="hybridMultilevel"/>
    <w:tmpl w:val="0A3CF2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F557B98"/>
    <w:multiLevelType w:val="multilevel"/>
    <w:tmpl w:val="9BD6CF5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08198B"/>
    <w:multiLevelType w:val="hybridMultilevel"/>
    <w:tmpl w:val="B66CCBA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228EF93A">
      <w:numFmt w:val="bullet"/>
      <w:lvlText w:val="-"/>
      <w:lvlJc w:val="left"/>
      <w:pPr>
        <w:ind w:left="2520" w:hanging="360"/>
      </w:pPr>
      <w:rPr>
        <w:rFonts w:ascii="Calibri" w:eastAsia="Times New Roman" w:hAnsi="Calibri" w:cs="Calibri"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1E35888"/>
    <w:multiLevelType w:val="hybridMultilevel"/>
    <w:tmpl w:val="5914D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BD166C8"/>
    <w:multiLevelType w:val="hybridMultilevel"/>
    <w:tmpl w:val="2EBE81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8"/>
  </w:num>
  <w:num w:numId="4">
    <w:abstractNumId w:val="0"/>
  </w:num>
  <w:num w:numId="5">
    <w:abstractNumId w:val="1"/>
  </w:num>
  <w:num w:numId="6">
    <w:abstractNumId w:val="12"/>
  </w:num>
  <w:num w:numId="7">
    <w:abstractNumId w:val="2"/>
  </w:num>
  <w:num w:numId="8">
    <w:abstractNumId w:val="6"/>
  </w:num>
  <w:num w:numId="9">
    <w:abstractNumId w:val="3"/>
  </w:num>
  <w:num w:numId="10">
    <w:abstractNumId w:val="5"/>
  </w:num>
  <w:num w:numId="11">
    <w:abstractNumId w:val="14"/>
  </w:num>
  <w:num w:numId="12">
    <w:abstractNumId w:val="11"/>
  </w:num>
  <w:num w:numId="13">
    <w:abstractNumId w:val="10"/>
  </w:num>
  <w:num w:numId="14">
    <w:abstractNumId w:val="8"/>
  </w:num>
  <w:num w:numId="15">
    <w:abstractNumId w:val="8"/>
  </w:num>
  <w:num w:numId="16">
    <w:abstractNumId w:val="13"/>
  </w:num>
  <w:num w:numId="17">
    <w:abstractNumId w:val="13"/>
  </w:num>
  <w:num w:numId="18">
    <w:abstractNumId w:val="13"/>
  </w:num>
  <w:num w:numId="19">
    <w:abstractNumId w:val="13"/>
  </w:num>
  <w:num w:numId="20">
    <w:abstractNumId w:val="13"/>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13"/>
  </w:num>
  <w:num w:numId="32">
    <w:abstractNumId w:val="13"/>
  </w:num>
  <w:num w:numId="33">
    <w:abstractNumId w:val="13"/>
  </w:num>
  <w:num w:numId="34">
    <w:abstractNumId w:val="9"/>
  </w:num>
  <w:num w:numId="35">
    <w:abstractNumId w:val="13"/>
  </w:num>
  <w:num w:numId="36">
    <w:abstractNumId w:val="4"/>
  </w:num>
  <w:num w:numId="37">
    <w:abstractNumId w:val="13"/>
  </w:num>
  <w:num w:numId="38">
    <w:abstractNumId w:val="13"/>
  </w:num>
  <w:num w:numId="39">
    <w:abstractNumId w:val="8"/>
  </w:num>
  <w:num w:numId="40">
    <w:abstractNumId w:val="8"/>
  </w:num>
  <w:num w:numId="41">
    <w:abstractNumId w:val="8"/>
  </w:num>
  <w:num w:numId="42">
    <w:abstractNumId w:val="13"/>
  </w:num>
  <w:num w:numId="43">
    <w:abstractNumId w:val="13"/>
  </w:num>
  <w:num w:numId="44">
    <w:abstractNumId w:val="13"/>
  </w:num>
  <w:num w:numId="45">
    <w:abstractNumId w:val="13"/>
  </w:num>
  <w:num w:numId="46">
    <w:abstractNumId w:val="13"/>
  </w:num>
  <w:num w:numId="4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NTE0NDM2NzI2MjBV0lEKTi0uzszPAykwtqwFALOFVwktAAAA"/>
  </w:docVars>
  <w:rsids>
    <w:rsidRoot w:val="00E65E79"/>
    <w:rsid w:val="00000790"/>
    <w:rsid w:val="0000110B"/>
    <w:rsid w:val="000023CF"/>
    <w:rsid w:val="00003341"/>
    <w:rsid w:val="00003499"/>
    <w:rsid w:val="000039B7"/>
    <w:rsid w:val="0000639A"/>
    <w:rsid w:val="00007D00"/>
    <w:rsid w:val="00013247"/>
    <w:rsid w:val="000134C2"/>
    <w:rsid w:val="00013F98"/>
    <w:rsid w:val="000140B5"/>
    <w:rsid w:val="00014BDE"/>
    <w:rsid w:val="0001517E"/>
    <w:rsid w:val="00015269"/>
    <w:rsid w:val="00015886"/>
    <w:rsid w:val="000162EF"/>
    <w:rsid w:val="000207C9"/>
    <w:rsid w:val="000211F4"/>
    <w:rsid w:val="0002225F"/>
    <w:rsid w:val="0002233F"/>
    <w:rsid w:val="00022974"/>
    <w:rsid w:val="00022E2B"/>
    <w:rsid w:val="0002368B"/>
    <w:rsid w:val="00023763"/>
    <w:rsid w:val="00026611"/>
    <w:rsid w:val="0002745F"/>
    <w:rsid w:val="000274B8"/>
    <w:rsid w:val="000320C4"/>
    <w:rsid w:val="00033863"/>
    <w:rsid w:val="000347B7"/>
    <w:rsid w:val="00035DC0"/>
    <w:rsid w:val="00036829"/>
    <w:rsid w:val="000376EA"/>
    <w:rsid w:val="00037826"/>
    <w:rsid w:val="00040895"/>
    <w:rsid w:val="00041335"/>
    <w:rsid w:val="000435EE"/>
    <w:rsid w:val="00043C37"/>
    <w:rsid w:val="00045017"/>
    <w:rsid w:val="00045A2B"/>
    <w:rsid w:val="00045A59"/>
    <w:rsid w:val="0004698F"/>
    <w:rsid w:val="00046A68"/>
    <w:rsid w:val="0004779C"/>
    <w:rsid w:val="000478C8"/>
    <w:rsid w:val="00047CF2"/>
    <w:rsid w:val="00051C50"/>
    <w:rsid w:val="00052D83"/>
    <w:rsid w:val="000539D0"/>
    <w:rsid w:val="00054621"/>
    <w:rsid w:val="000546D7"/>
    <w:rsid w:val="000555DD"/>
    <w:rsid w:val="00056ECF"/>
    <w:rsid w:val="0005722C"/>
    <w:rsid w:val="00057E7A"/>
    <w:rsid w:val="000604DF"/>
    <w:rsid w:val="0006146A"/>
    <w:rsid w:val="0006330C"/>
    <w:rsid w:val="00063FF4"/>
    <w:rsid w:val="00064E64"/>
    <w:rsid w:val="000653B5"/>
    <w:rsid w:val="00066360"/>
    <w:rsid w:val="00066465"/>
    <w:rsid w:val="00066AF8"/>
    <w:rsid w:val="00071248"/>
    <w:rsid w:val="00071DD3"/>
    <w:rsid w:val="00071E61"/>
    <w:rsid w:val="000720B9"/>
    <w:rsid w:val="00072D7C"/>
    <w:rsid w:val="000734A6"/>
    <w:rsid w:val="00073735"/>
    <w:rsid w:val="000737F7"/>
    <w:rsid w:val="00075E21"/>
    <w:rsid w:val="0007672F"/>
    <w:rsid w:val="00076B54"/>
    <w:rsid w:val="0007710C"/>
    <w:rsid w:val="000774F0"/>
    <w:rsid w:val="00080909"/>
    <w:rsid w:val="000812CA"/>
    <w:rsid w:val="00081E63"/>
    <w:rsid w:val="0008204A"/>
    <w:rsid w:val="0008258D"/>
    <w:rsid w:val="00083D71"/>
    <w:rsid w:val="00083E99"/>
    <w:rsid w:val="00084876"/>
    <w:rsid w:val="00084FA8"/>
    <w:rsid w:val="000856C5"/>
    <w:rsid w:val="00085C31"/>
    <w:rsid w:val="00086F36"/>
    <w:rsid w:val="0008701C"/>
    <w:rsid w:val="000902D9"/>
    <w:rsid w:val="00090C7E"/>
    <w:rsid w:val="00090FBD"/>
    <w:rsid w:val="0009171B"/>
    <w:rsid w:val="00092600"/>
    <w:rsid w:val="0009262B"/>
    <w:rsid w:val="000927BA"/>
    <w:rsid w:val="00093310"/>
    <w:rsid w:val="0009445C"/>
    <w:rsid w:val="00094C0D"/>
    <w:rsid w:val="00095200"/>
    <w:rsid w:val="00095FE5"/>
    <w:rsid w:val="00096284"/>
    <w:rsid w:val="00097813"/>
    <w:rsid w:val="000A1BC0"/>
    <w:rsid w:val="000A227F"/>
    <w:rsid w:val="000A6039"/>
    <w:rsid w:val="000A7453"/>
    <w:rsid w:val="000A7D08"/>
    <w:rsid w:val="000B0121"/>
    <w:rsid w:val="000B0670"/>
    <w:rsid w:val="000B07BD"/>
    <w:rsid w:val="000B0E75"/>
    <w:rsid w:val="000B1A02"/>
    <w:rsid w:val="000B2DCB"/>
    <w:rsid w:val="000B3C8B"/>
    <w:rsid w:val="000B5CE0"/>
    <w:rsid w:val="000B68B9"/>
    <w:rsid w:val="000B6CAC"/>
    <w:rsid w:val="000B7612"/>
    <w:rsid w:val="000B78AE"/>
    <w:rsid w:val="000C02B4"/>
    <w:rsid w:val="000C0BC7"/>
    <w:rsid w:val="000C0DBC"/>
    <w:rsid w:val="000C11D9"/>
    <w:rsid w:val="000C1337"/>
    <w:rsid w:val="000C1B02"/>
    <w:rsid w:val="000C1EE5"/>
    <w:rsid w:val="000C24B5"/>
    <w:rsid w:val="000C32D8"/>
    <w:rsid w:val="000C3DD4"/>
    <w:rsid w:val="000C3DF9"/>
    <w:rsid w:val="000C473E"/>
    <w:rsid w:val="000C6713"/>
    <w:rsid w:val="000D12B4"/>
    <w:rsid w:val="000D1BFC"/>
    <w:rsid w:val="000D1D5D"/>
    <w:rsid w:val="000D1E8F"/>
    <w:rsid w:val="000D281A"/>
    <w:rsid w:val="000D2848"/>
    <w:rsid w:val="000D326A"/>
    <w:rsid w:val="000D48ED"/>
    <w:rsid w:val="000D51FB"/>
    <w:rsid w:val="000D69F3"/>
    <w:rsid w:val="000E0640"/>
    <w:rsid w:val="000E135D"/>
    <w:rsid w:val="000E13D1"/>
    <w:rsid w:val="000E15C9"/>
    <w:rsid w:val="000E37F3"/>
    <w:rsid w:val="000E472B"/>
    <w:rsid w:val="000E560D"/>
    <w:rsid w:val="000E6816"/>
    <w:rsid w:val="000F00BA"/>
    <w:rsid w:val="000F1221"/>
    <w:rsid w:val="000F1732"/>
    <w:rsid w:val="000F260D"/>
    <w:rsid w:val="000F316A"/>
    <w:rsid w:val="000F3C74"/>
    <w:rsid w:val="000F3E34"/>
    <w:rsid w:val="000F4A78"/>
    <w:rsid w:val="000F4BB8"/>
    <w:rsid w:val="000F4FA9"/>
    <w:rsid w:val="000F53FB"/>
    <w:rsid w:val="000F5C4B"/>
    <w:rsid w:val="000F7127"/>
    <w:rsid w:val="000F7853"/>
    <w:rsid w:val="000F7B54"/>
    <w:rsid w:val="00100CF3"/>
    <w:rsid w:val="00100F8A"/>
    <w:rsid w:val="0010442F"/>
    <w:rsid w:val="0010452E"/>
    <w:rsid w:val="00105AE2"/>
    <w:rsid w:val="001060C6"/>
    <w:rsid w:val="00106B80"/>
    <w:rsid w:val="00106E22"/>
    <w:rsid w:val="001074F0"/>
    <w:rsid w:val="0011032E"/>
    <w:rsid w:val="00110952"/>
    <w:rsid w:val="00111770"/>
    <w:rsid w:val="0011348B"/>
    <w:rsid w:val="001138C3"/>
    <w:rsid w:val="00113A08"/>
    <w:rsid w:val="001142ED"/>
    <w:rsid w:val="00114E8E"/>
    <w:rsid w:val="0011592E"/>
    <w:rsid w:val="00115982"/>
    <w:rsid w:val="00116C53"/>
    <w:rsid w:val="001171FA"/>
    <w:rsid w:val="00120DD4"/>
    <w:rsid w:val="001216C9"/>
    <w:rsid w:val="00121799"/>
    <w:rsid w:val="001222FC"/>
    <w:rsid w:val="00122812"/>
    <w:rsid w:val="00122A2F"/>
    <w:rsid w:val="00123902"/>
    <w:rsid w:val="0012473D"/>
    <w:rsid w:val="00124939"/>
    <w:rsid w:val="00124A51"/>
    <w:rsid w:val="00124F41"/>
    <w:rsid w:val="00125A55"/>
    <w:rsid w:val="0012620E"/>
    <w:rsid w:val="00126390"/>
    <w:rsid w:val="00126621"/>
    <w:rsid w:val="00126B1D"/>
    <w:rsid w:val="00127B5A"/>
    <w:rsid w:val="001301E9"/>
    <w:rsid w:val="00130DA9"/>
    <w:rsid w:val="00131D82"/>
    <w:rsid w:val="00132B22"/>
    <w:rsid w:val="00133D36"/>
    <w:rsid w:val="0013436A"/>
    <w:rsid w:val="001344E6"/>
    <w:rsid w:val="00134B43"/>
    <w:rsid w:val="00135709"/>
    <w:rsid w:val="00136314"/>
    <w:rsid w:val="00137645"/>
    <w:rsid w:val="0014015A"/>
    <w:rsid w:val="00140263"/>
    <w:rsid w:val="00140E99"/>
    <w:rsid w:val="00141952"/>
    <w:rsid w:val="00142082"/>
    <w:rsid w:val="00142C7A"/>
    <w:rsid w:val="00142DF6"/>
    <w:rsid w:val="001431DD"/>
    <w:rsid w:val="00143F67"/>
    <w:rsid w:val="00145007"/>
    <w:rsid w:val="00145540"/>
    <w:rsid w:val="001456B0"/>
    <w:rsid w:val="00146A88"/>
    <w:rsid w:val="001472E2"/>
    <w:rsid w:val="00152022"/>
    <w:rsid w:val="001531D8"/>
    <w:rsid w:val="00153ECC"/>
    <w:rsid w:val="00154E54"/>
    <w:rsid w:val="001553DA"/>
    <w:rsid w:val="001567BD"/>
    <w:rsid w:val="00156D2E"/>
    <w:rsid w:val="00156F8F"/>
    <w:rsid w:val="00157130"/>
    <w:rsid w:val="001576B1"/>
    <w:rsid w:val="001602F0"/>
    <w:rsid w:val="0016047B"/>
    <w:rsid w:val="001606F0"/>
    <w:rsid w:val="00160A4C"/>
    <w:rsid w:val="00161E13"/>
    <w:rsid w:val="001627FF"/>
    <w:rsid w:val="00162913"/>
    <w:rsid w:val="001629CD"/>
    <w:rsid w:val="00163EFF"/>
    <w:rsid w:val="00163F66"/>
    <w:rsid w:val="00165064"/>
    <w:rsid w:val="001661FB"/>
    <w:rsid w:val="001671A0"/>
    <w:rsid w:val="0016767F"/>
    <w:rsid w:val="00167C4F"/>
    <w:rsid w:val="001713C8"/>
    <w:rsid w:val="001728D6"/>
    <w:rsid w:val="001734F6"/>
    <w:rsid w:val="00173565"/>
    <w:rsid w:val="00173B07"/>
    <w:rsid w:val="001751FA"/>
    <w:rsid w:val="001775F4"/>
    <w:rsid w:val="00177E78"/>
    <w:rsid w:val="001805FF"/>
    <w:rsid w:val="00181D9C"/>
    <w:rsid w:val="0018205E"/>
    <w:rsid w:val="00182497"/>
    <w:rsid w:val="00184B0E"/>
    <w:rsid w:val="0018606B"/>
    <w:rsid w:val="0018632F"/>
    <w:rsid w:val="0018752F"/>
    <w:rsid w:val="00187A1D"/>
    <w:rsid w:val="00190183"/>
    <w:rsid w:val="00191AC2"/>
    <w:rsid w:val="0019276E"/>
    <w:rsid w:val="001927AE"/>
    <w:rsid w:val="001928C9"/>
    <w:rsid w:val="0019297B"/>
    <w:rsid w:val="00192AB2"/>
    <w:rsid w:val="00192FA6"/>
    <w:rsid w:val="00193838"/>
    <w:rsid w:val="00193FD4"/>
    <w:rsid w:val="00194314"/>
    <w:rsid w:val="001945A3"/>
    <w:rsid w:val="00194AD8"/>
    <w:rsid w:val="00195222"/>
    <w:rsid w:val="00195AFF"/>
    <w:rsid w:val="001965A1"/>
    <w:rsid w:val="00196BBD"/>
    <w:rsid w:val="00196D9D"/>
    <w:rsid w:val="001975D8"/>
    <w:rsid w:val="001A0377"/>
    <w:rsid w:val="001A14E8"/>
    <w:rsid w:val="001A178E"/>
    <w:rsid w:val="001A1D9F"/>
    <w:rsid w:val="001A2112"/>
    <w:rsid w:val="001A2311"/>
    <w:rsid w:val="001A43FA"/>
    <w:rsid w:val="001A47C5"/>
    <w:rsid w:val="001A4802"/>
    <w:rsid w:val="001A59FB"/>
    <w:rsid w:val="001A5E9E"/>
    <w:rsid w:val="001A6354"/>
    <w:rsid w:val="001A6366"/>
    <w:rsid w:val="001A7319"/>
    <w:rsid w:val="001A73D1"/>
    <w:rsid w:val="001A7AE8"/>
    <w:rsid w:val="001B10B6"/>
    <w:rsid w:val="001B204E"/>
    <w:rsid w:val="001B2372"/>
    <w:rsid w:val="001B2E5E"/>
    <w:rsid w:val="001B2F9C"/>
    <w:rsid w:val="001B330B"/>
    <w:rsid w:val="001B33C3"/>
    <w:rsid w:val="001B3443"/>
    <w:rsid w:val="001B3A41"/>
    <w:rsid w:val="001B4D20"/>
    <w:rsid w:val="001B6157"/>
    <w:rsid w:val="001B7635"/>
    <w:rsid w:val="001C2178"/>
    <w:rsid w:val="001C2A9B"/>
    <w:rsid w:val="001C2E01"/>
    <w:rsid w:val="001C37F7"/>
    <w:rsid w:val="001C3B56"/>
    <w:rsid w:val="001C4299"/>
    <w:rsid w:val="001C4874"/>
    <w:rsid w:val="001C5F94"/>
    <w:rsid w:val="001C64B3"/>
    <w:rsid w:val="001C6837"/>
    <w:rsid w:val="001C6E66"/>
    <w:rsid w:val="001C7E76"/>
    <w:rsid w:val="001D051B"/>
    <w:rsid w:val="001D1100"/>
    <w:rsid w:val="001D1391"/>
    <w:rsid w:val="001D25D7"/>
    <w:rsid w:val="001D26D0"/>
    <w:rsid w:val="001D2DC7"/>
    <w:rsid w:val="001D50B2"/>
    <w:rsid w:val="001D5687"/>
    <w:rsid w:val="001D5840"/>
    <w:rsid w:val="001D6900"/>
    <w:rsid w:val="001D7645"/>
    <w:rsid w:val="001E0F3E"/>
    <w:rsid w:val="001E11C6"/>
    <w:rsid w:val="001E1A26"/>
    <w:rsid w:val="001E1E86"/>
    <w:rsid w:val="001E2339"/>
    <w:rsid w:val="001E238E"/>
    <w:rsid w:val="001E2483"/>
    <w:rsid w:val="001E2B1E"/>
    <w:rsid w:val="001E2CFF"/>
    <w:rsid w:val="001E2DA6"/>
    <w:rsid w:val="001E2F24"/>
    <w:rsid w:val="001E30D4"/>
    <w:rsid w:val="001E34DF"/>
    <w:rsid w:val="001E4B42"/>
    <w:rsid w:val="001E52EB"/>
    <w:rsid w:val="001E61D2"/>
    <w:rsid w:val="001E740C"/>
    <w:rsid w:val="001E7D40"/>
    <w:rsid w:val="001F0E06"/>
    <w:rsid w:val="001F1235"/>
    <w:rsid w:val="001F1CB3"/>
    <w:rsid w:val="001F1D47"/>
    <w:rsid w:val="001F27D5"/>
    <w:rsid w:val="001F2926"/>
    <w:rsid w:val="001F38B5"/>
    <w:rsid w:val="001F4081"/>
    <w:rsid w:val="001F6068"/>
    <w:rsid w:val="001F629A"/>
    <w:rsid w:val="001F6341"/>
    <w:rsid w:val="001F6575"/>
    <w:rsid w:val="001F6DE0"/>
    <w:rsid w:val="001F7361"/>
    <w:rsid w:val="001F75E6"/>
    <w:rsid w:val="002011B0"/>
    <w:rsid w:val="002014B5"/>
    <w:rsid w:val="002028C8"/>
    <w:rsid w:val="0020299C"/>
    <w:rsid w:val="00203181"/>
    <w:rsid w:val="00203783"/>
    <w:rsid w:val="0020385F"/>
    <w:rsid w:val="00204B58"/>
    <w:rsid w:val="002068A0"/>
    <w:rsid w:val="00206DC8"/>
    <w:rsid w:val="00207021"/>
    <w:rsid w:val="0020732F"/>
    <w:rsid w:val="002076F6"/>
    <w:rsid w:val="00207D00"/>
    <w:rsid w:val="002105C1"/>
    <w:rsid w:val="00210DDA"/>
    <w:rsid w:val="0021277C"/>
    <w:rsid w:val="00212B0E"/>
    <w:rsid w:val="00213796"/>
    <w:rsid w:val="00213EF5"/>
    <w:rsid w:val="00214481"/>
    <w:rsid w:val="00214A6B"/>
    <w:rsid w:val="00215057"/>
    <w:rsid w:val="002154C2"/>
    <w:rsid w:val="002168C3"/>
    <w:rsid w:val="00216BF5"/>
    <w:rsid w:val="00220768"/>
    <w:rsid w:val="0022189D"/>
    <w:rsid w:val="00222F23"/>
    <w:rsid w:val="00223B49"/>
    <w:rsid w:val="00223D5A"/>
    <w:rsid w:val="00224DD4"/>
    <w:rsid w:val="002271B6"/>
    <w:rsid w:val="002275E1"/>
    <w:rsid w:val="002278A0"/>
    <w:rsid w:val="002309CC"/>
    <w:rsid w:val="00230F0D"/>
    <w:rsid w:val="0023198D"/>
    <w:rsid w:val="00231E48"/>
    <w:rsid w:val="0023209F"/>
    <w:rsid w:val="00232700"/>
    <w:rsid w:val="00232BDB"/>
    <w:rsid w:val="00233C01"/>
    <w:rsid w:val="00233D5E"/>
    <w:rsid w:val="0023413C"/>
    <w:rsid w:val="0023454E"/>
    <w:rsid w:val="002346F0"/>
    <w:rsid w:val="0023629D"/>
    <w:rsid w:val="00236F35"/>
    <w:rsid w:val="00237255"/>
    <w:rsid w:val="002374D6"/>
    <w:rsid w:val="002415BC"/>
    <w:rsid w:val="002424AF"/>
    <w:rsid w:val="002427C0"/>
    <w:rsid w:val="00242E2A"/>
    <w:rsid w:val="002439DC"/>
    <w:rsid w:val="00243D67"/>
    <w:rsid w:val="002441D2"/>
    <w:rsid w:val="00244DC8"/>
    <w:rsid w:val="002458BA"/>
    <w:rsid w:val="00245CE9"/>
    <w:rsid w:val="0024627D"/>
    <w:rsid w:val="0024636C"/>
    <w:rsid w:val="00247925"/>
    <w:rsid w:val="00247C59"/>
    <w:rsid w:val="00251006"/>
    <w:rsid w:val="002524D5"/>
    <w:rsid w:val="00253B1D"/>
    <w:rsid w:val="00254087"/>
    <w:rsid w:val="00254DCF"/>
    <w:rsid w:val="00254F9B"/>
    <w:rsid w:val="0025534B"/>
    <w:rsid w:val="00255BB7"/>
    <w:rsid w:val="00257541"/>
    <w:rsid w:val="00257A39"/>
    <w:rsid w:val="00257AC4"/>
    <w:rsid w:val="00257ECD"/>
    <w:rsid w:val="0026185A"/>
    <w:rsid w:val="00261EEF"/>
    <w:rsid w:val="00262A1A"/>
    <w:rsid w:val="00262A87"/>
    <w:rsid w:val="0026454C"/>
    <w:rsid w:val="00264B8E"/>
    <w:rsid w:val="00264D26"/>
    <w:rsid w:val="00264D8D"/>
    <w:rsid w:val="00267642"/>
    <w:rsid w:val="00267AEA"/>
    <w:rsid w:val="002700E6"/>
    <w:rsid w:val="0027087C"/>
    <w:rsid w:val="002720C8"/>
    <w:rsid w:val="0027269C"/>
    <w:rsid w:val="0027294B"/>
    <w:rsid w:val="00272ECC"/>
    <w:rsid w:val="00273B64"/>
    <w:rsid w:val="00273EB4"/>
    <w:rsid w:val="00274682"/>
    <w:rsid w:val="00274A85"/>
    <w:rsid w:val="00275C5A"/>
    <w:rsid w:val="00280435"/>
    <w:rsid w:val="00281014"/>
    <w:rsid w:val="00283B3F"/>
    <w:rsid w:val="0028466B"/>
    <w:rsid w:val="0028502C"/>
    <w:rsid w:val="00285898"/>
    <w:rsid w:val="00285E9C"/>
    <w:rsid w:val="0028665D"/>
    <w:rsid w:val="00290383"/>
    <w:rsid w:val="002934E9"/>
    <w:rsid w:val="00293C79"/>
    <w:rsid w:val="00293D19"/>
    <w:rsid w:val="0029612B"/>
    <w:rsid w:val="002968CA"/>
    <w:rsid w:val="00297384"/>
    <w:rsid w:val="002A01A3"/>
    <w:rsid w:val="002A050B"/>
    <w:rsid w:val="002A0E88"/>
    <w:rsid w:val="002A14AB"/>
    <w:rsid w:val="002A17E5"/>
    <w:rsid w:val="002A2ADE"/>
    <w:rsid w:val="002A2F50"/>
    <w:rsid w:val="002A3C2B"/>
    <w:rsid w:val="002A4512"/>
    <w:rsid w:val="002A4CF9"/>
    <w:rsid w:val="002A6E49"/>
    <w:rsid w:val="002B05A1"/>
    <w:rsid w:val="002B09A4"/>
    <w:rsid w:val="002B1C1F"/>
    <w:rsid w:val="002B1C21"/>
    <w:rsid w:val="002B2DB7"/>
    <w:rsid w:val="002B432F"/>
    <w:rsid w:val="002B44B2"/>
    <w:rsid w:val="002B4862"/>
    <w:rsid w:val="002B4D25"/>
    <w:rsid w:val="002B62B3"/>
    <w:rsid w:val="002B6754"/>
    <w:rsid w:val="002B6B55"/>
    <w:rsid w:val="002B6CCE"/>
    <w:rsid w:val="002B7598"/>
    <w:rsid w:val="002B7C25"/>
    <w:rsid w:val="002B7CF3"/>
    <w:rsid w:val="002C0742"/>
    <w:rsid w:val="002C2510"/>
    <w:rsid w:val="002C2775"/>
    <w:rsid w:val="002C27C1"/>
    <w:rsid w:val="002C28BB"/>
    <w:rsid w:val="002C28ED"/>
    <w:rsid w:val="002C4CB6"/>
    <w:rsid w:val="002C5099"/>
    <w:rsid w:val="002C5889"/>
    <w:rsid w:val="002C5EB2"/>
    <w:rsid w:val="002C5FE2"/>
    <w:rsid w:val="002C6262"/>
    <w:rsid w:val="002C62BB"/>
    <w:rsid w:val="002C666E"/>
    <w:rsid w:val="002C71CE"/>
    <w:rsid w:val="002C7732"/>
    <w:rsid w:val="002D0647"/>
    <w:rsid w:val="002D08F8"/>
    <w:rsid w:val="002D24E8"/>
    <w:rsid w:val="002D3084"/>
    <w:rsid w:val="002D577C"/>
    <w:rsid w:val="002D72B2"/>
    <w:rsid w:val="002E0C10"/>
    <w:rsid w:val="002E1071"/>
    <w:rsid w:val="002E15B9"/>
    <w:rsid w:val="002E1F17"/>
    <w:rsid w:val="002E2158"/>
    <w:rsid w:val="002E4F02"/>
    <w:rsid w:val="002E5CD9"/>
    <w:rsid w:val="002E6A2C"/>
    <w:rsid w:val="002E7722"/>
    <w:rsid w:val="002F07BA"/>
    <w:rsid w:val="002F0DA9"/>
    <w:rsid w:val="002F1014"/>
    <w:rsid w:val="002F137F"/>
    <w:rsid w:val="002F4290"/>
    <w:rsid w:val="002F45D3"/>
    <w:rsid w:val="002F4A7E"/>
    <w:rsid w:val="002F4ABD"/>
    <w:rsid w:val="002F4BF0"/>
    <w:rsid w:val="002F5412"/>
    <w:rsid w:val="002F643C"/>
    <w:rsid w:val="002F64F0"/>
    <w:rsid w:val="002F71C0"/>
    <w:rsid w:val="002F74F1"/>
    <w:rsid w:val="002F7D95"/>
    <w:rsid w:val="00301017"/>
    <w:rsid w:val="0030155F"/>
    <w:rsid w:val="003027E2"/>
    <w:rsid w:val="00303A72"/>
    <w:rsid w:val="00304B00"/>
    <w:rsid w:val="0030587B"/>
    <w:rsid w:val="00305E5D"/>
    <w:rsid w:val="00306ABA"/>
    <w:rsid w:val="00306D98"/>
    <w:rsid w:val="0030786C"/>
    <w:rsid w:val="0031031A"/>
    <w:rsid w:val="003103CD"/>
    <w:rsid w:val="00310981"/>
    <w:rsid w:val="0031134A"/>
    <w:rsid w:val="003124D9"/>
    <w:rsid w:val="00312594"/>
    <w:rsid w:val="00315498"/>
    <w:rsid w:val="00315A97"/>
    <w:rsid w:val="00316474"/>
    <w:rsid w:val="00317C9F"/>
    <w:rsid w:val="0032007C"/>
    <w:rsid w:val="00322107"/>
    <w:rsid w:val="00322355"/>
    <w:rsid w:val="00322846"/>
    <w:rsid w:val="003232A3"/>
    <w:rsid w:val="0032330F"/>
    <w:rsid w:val="003257C6"/>
    <w:rsid w:val="00325EFE"/>
    <w:rsid w:val="00326854"/>
    <w:rsid w:val="00326DA7"/>
    <w:rsid w:val="003270E4"/>
    <w:rsid w:val="00327816"/>
    <w:rsid w:val="00327B0D"/>
    <w:rsid w:val="003305EA"/>
    <w:rsid w:val="00330DAA"/>
    <w:rsid w:val="00330F5C"/>
    <w:rsid w:val="00331C3E"/>
    <w:rsid w:val="003335F2"/>
    <w:rsid w:val="0033400E"/>
    <w:rsid w:val="003348B1"/>
    <w:rsid w:val="003359CC"/>
    <w:rsid w:val="003366C9"/>
    <w:rsid w:val="00336C48"/>
    <w:rsid w:val="003371B0"/>
    <w:rsid w:val="00340DF1"/>
    <w:rsid w:val="00343BAC"/>
    <w:rsid w:val="00344E94"/>
    <w:rsid w:val="00346D83"/>
    <w:rsid w:val="00346DE8"/>
    <w:rsid w:val="00347020"/>
    <w:rsid w:val="003515B4"/>
    <w:rsid w:val="003517F9"/>
    <w:rsid w:val="00351BA9"/>
    <w:rsid w:val="00351D48"/>
    <w:rsid w:val="00352727"/>
    <w:rsid w:val="00352791"/>
    <w:rsid w:val="0035375F"/>
    <w:rsid w:val="00354F64"/>
    <w:rsid w:val="00355E88"/>
    <w:rsid w:val="0035620E"/>
    <w:rsid w:val="00356406"/>
    <w:rsid w:val="00356600"/>
    <w:rsid w:val="00356806"/>
    <w:rsid w:val="00356B2B"/>
    <w:rsid w:val="00360345"/>
    <w:rsid w:val="00360D0A"/>
    <w:rsid w:val="00361A05"/>
    <w:rsid w:val="00361C95"/>
    <w:rsid w:val="003624C4"/>
    <w:rsid w:val="00362CDD"/>
    <w:rsid w:val="00363B00"/>
    <w:rsid w:val="0036514B"/>
    <w:rsid w:val="003654AC"/>
    <w:rsid w:val="00367FEB"/>
    <w:rsid w:val="003707C3"/>
    <w:rsid w:val="0037107F"/>
    <w:rsid w:val="003710CF"/>
    <w:rsid w:val="00371D08"/>
    <w:rsid w:val="00371DD5"/>
    <w:rsid w:val="0037358A"/>
    <w:rsid w:val="003737EC"/>
    <w:rsid w:val="00373E2B"/>
    <w:rsid w:val="00374F7E"/>
    <w:rsid w:val="003750F6"/>
    <w:rsid w:val="00375A97"/>
    <w:rsid w:val="003760FC"/>
    <w:rsid w:val="00376361"/>
    <w:rsid w:val="00376390"/>
    <w:rsid w:val="003804F2"/>
    <w:rsid w:val="003834EC"/>
    <w:rsid w:val="0038365C"/>
    <w:rsid w:val="0038369B"/>
    <w:rsid w:val="0038390D"/>
    <w:rsid w:val="00383B0D"/>
    <w:rsid w:val="00383B78"/>
    <w:rsid w:val="0038470F"/>
    <w:rsid w:val="00384F99"/>
    <w:rsid w:val="00385A9D"/>
    <w:rsid w:val="00390277"/>
    <w:rsid w:val="003902B1"/>
    <w:rsid w:val="00391554"/>
    <w:rsid w:val="0039179C"/>
    <w:rsid w:val="003949F8"/>
    <w:rsid w:val="00394CB1"/>
    <w:rsid w:val="0039557C"/>
    <w:rsid w:val="00396896"/>
    <w:rsid w:val="00396FD0"/>
    <w:rsid w:val="003A081D"/>
    <w:rsid w:val="003A1A7A"/>
    <w:rsid w:val="003A2392"/>
    <w:rsid w:val="003A2831"/>
    <w:rsid w:val="003A2DF6"/>
    <w:rsid w:val="003A3CB6"/>
    <w:rsid w:val="003A3ED1"/>
    <w:rsid w:val="003A44DB"/>
    <w:rsid w:val="003A4BBB"/>
    <w:rsid w:val="003A6106"/>
    <w:rsid w:val="003A7D66"/>
    <w:rsid w:val="003B1045"/>
    <w:rsid w:val="003B126C"/>
    <w:rsid w:val="003B1E3D"/>
    <w:rsid w:val="003B28A5"/>
    <w:rsid w:val="003B2AA1"/>
    <w:rsid w:val="003B3971"/>
    <w:rsid w:val="003B40C9"/>
    <w:rsid w:val="003B442C"/>
    <w:rsid w:val="003B4AB1"/>
    <w:rsid w:val="003B5595"/>
    <w:rsid w:val="003B55D1"/>
    <w:rsid w:val="003B5B48"/>
    <w:rsid w:val="003B5B61"/>
    <w:rsid w:val="003B5B6C"/>
    <w:rsid w:val="003B5EF6"/>
    <w:rsid w:val="003B6E55"/>
    <w:rsid w:val="003B78C8"/>
    <w:rsid w:val="003B7997"/>
    <w:rsid w:val="003C1654"/>
    <w:rsid w:val="003C238F"/>
    <w:rsid w:val="003C2E18"/>
    <w:rsid w:val="003C30C2"/>
    <w:rsid w:val="003C3BBF"/>
    <w:rsid w:val="003C4B23"/>
    <w:rsid w:val="003C50A4"/>
    <w:rsid w:val="003C5542"/>
    <w:rsid w:val="003C5A8E"/>
    <w:rsid w:val="003C61BD"/>
    <w:rsid w:val="003C637B"/>
    <w:rsid w:val="003C7D19"/>
    <w:rsid w:val="003C7D2F"/>
    <w:rsid w:val="003D0054"/>
    <w:rsid w:val="003D1828"/>
    <w:rsid w:val="003D1857"/>
    <w:rsid w:val="003D194B"/>
    <w:rsid w:val="003D1DE4"/>
    <w:rsid w:val="003D1E1F"/>
    <w:rsid w:val="003D1E9A"/>
    <w:rsid w:val="003D2422"/>
    <w:rsid w:val="003D2C45"/>
    <w:rsid w:val="003D3253"/>
    <w:rsid w:val="003D39A1"/>
    <w:rsid w:val="003D3F67"/>
    <w:rsid w:val="003D3FBF"/>
    <w:rsid w:val="003D4A30"/>
    <w:rsid w:val="003D4E1A"/>
    <w:rsid w:val="003D5259"/>
    <w:rsid w:val="003D5F9D"/>
    <w:rsid w:val="003D62EA"/>
    <w:rsid w:val="003D7452"/>
    <w:rsid w:val="003D79BB"/>
    <w:rsid w:val="003D7B8A"/>
    <w:rsid w:val="003D7C23"/>
    <w:rsid w:val="003D7C98"/>
    <w:rsid w:val="003D7D9D"/>
    <w:rsid w:val="003E0338"/>
    <w:rsid w:val="003E0543"/>
    <w:rsid w:val="003E19E7"/>
    <w:rsid w:val="003E1B2A"/>
    <w:rsid w:val="003E2EE2"/>
    <w:rsid w:val="003E34D8"/>
    <w:rsid w:val="003E390B"/>
    <w:rsid w:val="003E3F27"/>
    <w:rsid w:val="003E4D7E"/>
    <w:rsid w:val="003E5598"/>
    <w:rsid w:val="003E5617"/>
    <w:rsid w:val="003E5FA7"/>
    <w:rsid w:val="003E6420"/>
    <w:rsid w:val="003E64C6"/>
    <w:rsid w:val="003E65F0"/>
    <w:rsid w:val="003E749E"/>
    <w:rsid w:val="003E7B11"/>
    <w:rsid w:val="003F27C8"/>
    <w:rsid w:val="003F3245"/>
    <w:rsid w:val="003F3628"/>
    <w:rsid w:val="003F366D"/>
    <w:rsid w:val="003F39B1"/>
    <w:rsid w:val="003F4156"/>
    <w:rsid w:val="003F4D02"/>
    <w:rsid w:val="003F5ADF"/>
    <w:rsid w:val="003F5D11"/>
    <w:rsid w:val="003F7BBA"/>
    <w:rsid w:val="004009CA"/>
    <w:rsid w:val="00400B29"/>
    <w:rsid w:val="00401B96"/>
    <w:rsid w:val="0040231F"/>
    <w:rsid w:val="0040232A"/>
    <w:rsid w:val="0040429D"/>
    <w:rsid w:val="0040504B"/>
    <w:rsid w:val="004059F4"/>
    <w:rsid w:val="00406DA8"/>
    <w:rsid w:val="00406E30"/>
    <w:rsid w:val="00407FE5"/>
    <w:rsid w:val="004101B0"/>
    <w:rsid w:val="00410326"/>
    <w:rsid w:val="004106AF"/>
    <w:rsid w:val="00410708"/>
    <w:rsid w:val="0041074C"/>
    <w:rsid w:val="00410EC7"/>
    <w:rsid w:val="00411B39"/>
    <w:rsid w:val="00412099"/>
    <w:rsid w:val="004125EA"/>
    <w:rsid w:val="004127A7"/>
    <w:rsid w:val="00412E2A"/>
    <w:rsid w:val="00413A1E"/>
    <w:rsid w:val="00414476"/>
    <w:rsid w:val="00414C2E"/>
    <w:rsid w:val="004151CF"/>
    <w:rsid w:val="00416364"/>
    <w:rsid w:val="004167FC"/>
    <w:rsid w:val="00416EA6"/>
    <w:rsid w:val="00417045"/>
    <w:rsid w:val="00417FE5"/>
    <w:rsid w:val="0042047F"/>
    <w:rsid w:val="00420AA6"/>
    <w:rsid w:val="00420B9F"/>
    <w:rsid w:val="0042192C"/>
    <w:rsid w:val="00422260"/>
    <w:rsid w:val="00423C7A"/>
    <w:rsid w:val="0042413F"/>
    <w:rsid w:val="00424B8A"/>
    <w:rsid w:val="00425F30"/>
    <w:rsid w:val="00426969"/>
    <w:rsid w:val="004272DC"/>
    <w:rsid w:val="00430490"/>
    <w:rsid w:val="00430C26"/>
    <w:rsid w:val="00430CBA"/>
    <w:rsid w:val="004319F8"/>
    <w:rsid w:val="00431E55"/>
    <w:rsid w:val="004321F6"/>
    <w:rsid w:val="00433044"/>
    <w:rsid w:val="00433062"/>
    <w:rsid w:val="00433293"/>
    <w:rsid w:val="00434088"/>
    <w:rsid w:val="004349D8"/>
    <w:rsid w:val="004350ED"/>
    <w:rsid w:val="00435B7C"/>
    <w:rsid w:val="00435E60"/>
    <w:rsid w:val="00437062"/>
    <w:rsid w:val="0043725E"/>
    <w:rsid w:val="004375B9"/>
    <w:rsid w:val="00437935"/>
    <w:rsid w:val="00437D9C"/>
    <w:rsid w:val="0044158A"/>
    <w:rsid w:val="0044179D"/>
    <w:rsid w:val="00442251"/>
    <w:rsid w:val="0044281A"/>
    <w:rsid w:val="004428D0"/>
    <w:rsid w:val="00443FAF"/>
    <w:rsid w:val="00444185"/>
    <w:rsid w:val="004443A7"/>
    <w:rsid w:val="0044442C"/>
    <w:rsid w:val="0044447F"/>
    <w:rsid w:val="00445941"/>
    <w:rsid w:val="004464EB"/>
    <w:rsid w:val="004470A0"/>
    <w:rsid w:val="0044722C"/>
    <w:rsid w:val="00447D26"/>
    <w:rsid w:val="00447DFC"/>
    <w:rsid w:val="004517BB"/>
    <w:rsid w:val="00451D57"/>
    <w:rsid w:val="00451F4B"/>
    <w:rsid w:val="004529F9"/>
    <w:rsid w:val="0045337E"/>
    <w:rsid w:val="00453DF5"/>
    <w:rsid w:val="00454574"/>
    <w:rsid w:val="00454FFF"/>
    <w:rsid w:val="00455D45"/>
    <w:rsid w:val="00460507"/>
    <w:rsid w:val="00461423"/>
    <w:rsid w:val="004619AB"/>
    <w:rsid w:val="00464595"/>
    <w:rsid w:val="004646E8"/>
    <w:rsid w:val="00464C0D"/>
    <w:rsid w:val="004658B5"/>
    <w:rsid w:val="004674B0"/>
    <w:rsid w:val="0046779E"/>
    <w:rsid w:val="00471418"/>
    <w:rsid w:val="00471A28"/>
    <w:rsid w:val="00471E5B"/>
    <w:rsid w:val="00471EA5"/>
    <w:rsid w:val="00472863"/>
    <w:rsid w:val="00472A79"/>
    <w:rsid w:val="00473F19"/>
    <w:rsid w:val="00475E22"/>
    <w:rsid w:val="004760B9"/>
    <w:rsid w:val="00476ACD"/>
    <w:rsid w:val="00477A49"/>
    <w:rsid w:val="0048088E"/>
    <w:rsid w:val="00480F2B"/>
    <w:rsid w:val="0048266F"/>
    <w:rsid w:val="00482720"/>
    <w:rsid w:val="004827D7"/>
    <w:rsid w:val="00482EB1"/>
    <w:rsid w:val="004835E7"/>
    <w:rsid w:val="00483A47"/>
    <w:rsid w:val="0048433E"/>
    <w:rsid w:val="004843DC"/>
    <w:rsid w:val="00485EAF"/>
    <w:rsid w:val="004867E2"/>
    <w:rsid w:val="00486CF6"/>
    <w:rsid w:val="00487A0B"/>
    <w:rsid w:val="004904FC"/>
    <w:rsid w:val="004908CC"/>
    <w:rsid w:val="00490B17"/>
    <w:rsid w:val="00491B3A"/>
    <w:rsid w:val="00492889"/>
    <w:rsid w:val="00492CFD"/>
    <w:rsid w:val="004931A6"/>
    <w:rsid w:val="00494207"/>
    <w:rsid w:val="00494DD5"/>
    <w:rsid w:val="00494E89"/>
    <w:rsid w:val="00495230"/>
    <w:rsid w:val="004962D2"/>
    <w:rsid w:val="004963E5"/>
    <w:rsid w:val="00497BFE"/>
    <w:rsid w:val="004A0DA1"/>
    <w:rsid w:val="004A13D6"/>
    <w:rsid w:val="004A19FE"/>
    <w:rsid w:val="004A1F48"/>
    <w:rsid w:val="004A2D0D"/>
    <w:rsid w:val="004A312B"/>
    <w:rsid w:val="004A52E9"/>
    <w:rsid w:val="004A5D1F"/>
    <w:rsid w:val="004A6040"/>
    <w:rsid w:val="004A654E"/>
    <w:rsid w:val="004A6597"/>
    <w:rsid w:val="004A6D36"/>
    <w:rsid w:val="004A6DDD"/>
    <w:rsid w:val="004A7848"/>
    <w:rsid w:val="004B186E"/>
    <w:rsid w:val="004B1CB4"/>
    <w:rsid w:val="004B2F18"/>
    <w:rsid w:val="004B3DDB"/>
    <w:rsid w:val="004B44FD"/>
    <w:rsid w:val="004B4D6A"/>
    <w:rsid w:val="004B5CFC"/>
    <w:rsid w:val="004B6F79"/>
    <w:rsid w:val="004B713D"/>
    <w:rsid w:val="004B774D"/>
    <w:rsid w:val="004C30BE"/>
    <w:rsid w:val="004C38AA"/>
    <w:rsid w:val="004C3EF7"/>
    <w:rsid w:val="004C47F4"/>
    <w:rsid w:val="004C49CB"/>
    <w:rsid w:val="004C4AED"/>
    <w:rsid w:val="004C4C4E"/>
    <w:rsid w:val="004C5BC5"/>
    <w:rsid w:val="004C6FFB"/>
    <w:rsid w:val="004C7B03"/>
    <w:rsid w:val="004D02DB"/>
    <w:rsid w:val="004D2B59"/>
    <w:rsid w:val="004D2C2D"/>
    <w:rsid w:val="004D2D8E"/>
    <w:rsid w:val="004D34A0"/>
    <w:rsid w:val="004D3F0C"/>
    <w:rsid w:val="004D3F73"/>
    <w:rsid w:val="004D43F0"/>
    <w:rsid w:val="004D5665"/>
    <w:rsid w:val="004D5AAC"/>
    <w:rsid w:val="004D69B5"/>
    <w:rsid w:val="004D7227"/>
    <w:rsid w:val="004D7B49"/>
    <w:rsid w:val="004E0D11"/>
    <w:rsid w:val="004E0E7F"/>
    <w:rsid w:val="004E0EB8"/>
    <w:rsid w:val="004E1867"/>
    <w:rsid w:val="004E18E9"/>
    <w:rsid w:val="004E2ADC"/>
    <w:rsid w:val="004E36A7"/>
    <w:rsid w:val="004E43B2"/>
    <w:rsid w:val="004E4E76"/>
    <w:rsid w:val="004E500B"/>
    <w:rsid w:val="004F1364"/>
    <w:rsid w:val="004F1CA1"/>
    <w:rsid w:val="004F1D02"/>
    <w:rsid w:val="004F224F"/>
    <w:rsid w:val="004F2679"/>
    <w:rsid w:val="004F2F21"/>
    <w:rsid w:val="004F3DE5"/>
    <w:rsid w:val="004F5D9F"/>
    <w:rsid w:val="004F674D"/>
    <w:rsid w:val="004F6913"/>
    <w:rsid w:val="004F6C5F"/>
    <w:rsid w:val="004F7865"/>
    <w:rsid w:val="00500694"/>
    <w:rsid w:val="0050174E"/>
    <w:rsid w:val="00501854"/>
    <w:rsid w:val="0050219B"/>
    <w:rsid w:val="0050248D"/>
    <w:rsid w:val="00503F17"/>
    <w:rsid w:val="00504F65"/>
    <w:rsid w:val="005058A8"/>
    <w:rsid w:val="00506928"/>
    <w:rsid w:val="005077EF"/>
    <w:rsid w:val="00507BC6"/>
    <w:rsid w:val="0051043A"/>
    <w:rsid w:val="00510F79"/>
    <w:rsid w:val="00511604"/>
    <w:rsid w:val="00511AD5"/>
    <w:rsid w:val="00511DC7"/>
    <w:rsid w:val="005121B7"/>
    <w:rsid w:val="005121EE"/>
    <w:rsid w:val="00513E49"/>
    <w:rsid w:val="005142C5"/>
    <w:rsid w:val="00514452"/>
    <w:rsid w:val="005148F1"/>
    <w:rsid w:val="0051501B"/>
    <w:rsid w:val="005152B5"/>
    <w:rsid w:val="005169EB"/>
    <w:rsid w:val="005201C8"/>
    <w:rsid w:val="0052123C"/>
    <w:rsid w:val="005212F7"/>
    <w:rsid w:val="00521319"/>
    <w:rsid w:val="00522BC8"/>
    <w:rsid w:val="00522E26"/>
    <w:rsid w:val="00522FD0"/>
    <w:rsid w:val="0052337E"/>
    <w:rsid w:val="00523C28"/>
    <w:rsid w:val="005249BB"/>
    <w:rsid w:val="00524ED1"/>
    <w:rsid w:val="005254A6"/>
    <w:rsid w:val="00526507"/>
    <w:rsid w:val="0052685A"/>
    <w:rsid w:val="00530F86"/>
    <w:rsid w:val="0053176B"/>
    <w:rsid w:val="005326DC"/>
    <w:rsid w:val="005339BF"/>
    <w:rsid w:val="00533BDE"/>
    <w:rsid w:val="00534490"/>
    <w:rsid w:val="00536B40"/>
    <w:rsid w:val="00536F42"/>
    <w:rsid w:val="00536FAE"/>
    <w:rsid w:val="00537182"/>
    <w:rsid w:val="0054068D"/>
    <w:rsid w:val="00540AB4"/>
    <w:rsid w:val="00540AE8"/>
    <w:rsid w:val="00540F44"/>
    <w:rsid w:val="0054130C"/>
    <w:rsid w:val="005417FC"/>
    <w:rsid w:val="00541EDD"/>
    <w:rsid w:val="00542743"/>
    <w:rsid w:val="00542C2D"/>
    <w:rsid w:val="005442BB"/>
    <w:rsid w:val="00544834"/>
    <w:rsid w:val="00545025"/>
    <w:rsid w:val="00545CB6"/>
    <w:rsid w:val="00546A50"/>
    <w:rsid w:val="00546A6B"/>
    <w:rsid w:val="005478BD"/>
    <w:rsid w:val="005479E3"/>
    <w:rsid w:val="00547A4F"/>
    <w:rsid w:val="005511A8"/>
    <w:rsid w:val="0055166C"/>
    <w:rsid w:val="00551985"/>
    <w:rsid w:val="00552760"/>
    <w:rsid w:val="00552BD3"/>
    <w:rsid w:val="005532A0"/>
    <w:rsid w:val="005545F5"/>
    <w:rsid w:val="00554DB6"/>
    <w:rsid w:val="00554FAF"/>
    <w:rsid w:val="00555109"/>
    <w:rsid w:val="0055524C"/>
    <w:rsid w:val="00556B35"/>
    <w:rsid w:val="0055741A"/>
    <w:rsid w:val="00557A30"/>
    <w:rsid w:val="005602A5"/>
    <w:rsid w:val="005611B7"/>
    <w:rsid w:val="005618D4"/>
    <w:rsid w:val="00561C00"/>
    <w:rsid w:val="005626CD"/>
    <w:rsid w:val="00565DF0"/>
    <w:rsid w:val="0056696F"/>
    <w:rsid w:val="00570161"/>
    <w:rsid w:val="00572269"/>
    <w:rsid w:val="0057244A"/>
    <w:rsid w:val="00572F26"/>
    <w:rsid w:val="0057320D"/>
    <w:rsid w:val="005736EA"/>
    <w:rsid w:val="00574366"/>
    <w:rsid w:val="005749E2"/>
    <w:rsid w:val="00574A47"/>
    <w:rsid w:val="005750C5"/>
    <w:rsid w:val="005752DE"/>
    <w:rsid w:val="00575D8D"/>
    <w:rsid w:val="00576972"/>
    <w:rsid w:val="0057761E"/>
    <w:rsid w:val="0058151E"/>
    <w:rsid w:val="00581A02"/>
    <w:rsid w:val="00583699"/>
    <w:rsid w:val="00584FC2"/>
    <w:rsid w:val="00585A78"/>
    <w:rsid w:val="00585CDD"/>
    <w:rsid w:val="0058639C"/>
    <w:rsid w:val="00586A77"/>
    <w:rsid w:val="00586FB1"/>
    <w:rsid w:val="00587058"/>
    <w:rsid w:val="0058711F"/>
    <w:rsid w:val="005904A3"/>
    <w:rsid w:val="00591957"/>
    <w:rsid w:val="00593572"/>
    <w:rsid w:val="00593AF4"/>
    <w:rsid w:val="005958FF"/>
    <w:rsid w:val="00596697"/>
    <w:rsid w:val="00596FA7"/>
    <w:rsid w:val="00597BF9"/>
    <w:rsid w:val="005A309A"/>
    <w:rsid w:val="005A373D"/>
    <w:rsid w:val="005A3C93"/>
    <w:rsid w:val="005A61F0"/>
    <w:rsid w:val="005A6324"/>
    <w:rsid w:val="005A78D5"/>
    <w:rsid w:val="005A7D71"/>
    <w:rsid w:val="005A7E0A"/>
    <w:rsid w:val="005B06F6"/>
    <w:rsid w:val="005B0B58"/>
    <w:rsid w:val="005B1C4D"/>
    <w:rsid w:val="005B2B2D"/>
    <w:rsid w:val="005B3922"/>
    <w:rsid w:val="005B4E53"/>
    <w:rsid w:val="005B50C8"/>
    <w:rsid w:val="005B5857"/>
    <w:rsid w:val="005B6802"/>
    <w:rsid w:val="005C001E"/>
    <w:rsid w:val="005C0BC4"/>
    <w:rsid w:val="005C1136"/>
    <w:rsid w:val="005C1B83"/>
    <w:rsid w:val="005C1FE7"/>
    <w:rsid w:val="005C254A"/>
    <w:rsid w:val="005C25FF"/>
    <w:rsid w:val="005C2AC2"/>
    <w:rsid w:val="005C2D55"/>
    <w:rsid w:val="005C346B"/>
    <w:rsid w:val="005C3EFB"/>
    <w:rsid w:val="005C4949"/>
    <w:rsid w:val="005C5B23"/>
    <w:rsid w:val="005D044D"/>
    <w:rsid w:val="005D0ABD"/>
    <w:rsid w:val="005D1036"/>
    <w:rsid w:val="005D18AD"/>
    <w:rsid w:val="005D1971"/>
    <w:rsid w:val="005D25D0"/>
    <w:rsid w:val="005D26B4"/>
    <w:rsid w:val="005D2CC5"/>
    <w:rsid w:val="005D663F"/>
    <w:rsid w:val="005D6B63"/>
    <w:rsid w:val="005D7323"/>
    <w:rsid w:val="005E22F1"/>
    <w:rsid w:val="005E31C0"/>
    <w:rsid w:val="005E4F09"/>
    <w:rsid w:val="005E597E"/>
    <w:rsid w:val="005E5E03"/>
    <w:rsid w:val="005E6CBC"/>
    <w:rsid w:val="005E72FF"/>
    <w:rsid w:val="005E73C0"/>
    <w:rsid w:val="005E73FE"/>
    <w:rsid w:val="005E7FEB"/>
    <w:rsid w:val="005F1022"/>
    <w:rsid w:val="005F175F"/>
    <w:rsid w:val="005F2706"/>
    <w:rsid w:val="005F37A7"/>
    <w:rsid w:val="005F68D2"/>
    <w:rsid w:val="005F6A8F"/>
    <w:rsid w:val="005F6BB7"/>
    <w:rsid w:val="005F7588"/>
    <w:rsid w:val="006011B4"/>
    <w:rsid w:val="00602598"/>
    <w:rsid w:val="006028B7"/>
    <w:rsid w:val="00603DB9"/>
    <w:rsid w:val="006051D9"/>
    <w:rsid w:val="00606E1E"/>
    <w:rsid w:val="00606FBA"/>
    <w:rsid w:val="00607669"/>
    <w:rsid w:val="006076F4"/>
    <w:rsid w:val="00607AFD"/>
    <w:rsid w:val="00607C70"/>
    <w:rsid w:val="00610499"/>
    <w:rsid w:val="00610C7D"/>
    <w:rsid w:val="00610D2D"/>
    <w:rsid w:val="00610FA7"/>
    <w:rsid w:val="00612806"/>
    <w:rsid w:val="00612DE2"/>
    <w:rsid w:val="00612F97"/>
    <w:rsid w:val="0061345D"/>
    <w:rsid w:val="0061353A"/>
    <w:rsid w:val="00614628"/>
    <w:rsid w:val="0061549B"/>
    <w:rsid w:val="006164D9"/>
    <w:rsid w:val="00616802"/>
    <w:rsid w:val="006176AA"/>
    <w:rsid w:val="00617E12"/>
    <w:rsid w:val="006203A4"/>
    <w:rsid w:val="00620AB0"/>
    <w:rsid w:val="00620C25"/>
    <w:rsid w:val="00621477"/>
    <w:rsid w:val="00621ADA"/>
    <w:rsid w:val="00622586"/>
    <w:rsid w:val="006231BC"/>
    <w:rsid w:val="00623F7B"/>
    <w:rsid w:val="00624BA7"/>
    <w:rsid w:val="0062560D"/>
    <w:rsid w:val="006261E4"/>
    <w:rsid w:val="0062656B"/>
    <w:rsid w:val="00630228"/>
    <w:rsid w:val="00631273"/>
    <w:rsid w:val="0063158F"/>
    <w:rsid w:val="00631D6B"/>
    <w:rsid w:val="00632183"/>
    <w:rsid w:val="006330A1"/>
    <w:rsid w:val="006331DD"/>
    <w:rsid w:val="0063479F"/>
    <w:rsid w:val="00634A20"/>
    <w:rsid w:val="006353F0"/>
    <w:rsid w:val="006357B5"/>
    <w:rsid w:val="00636018"/>
    <w:rsid w:val="006364A1"/>
    <w:rsid w:val="0063678E"/>
    <w:rsid w:val="006375B1"/>
    <w:rsid w:val="00637BFD"/>
    <w:rsid w:val="00637E45"/>
    <w:rsid w:val="00640364"/>
    <w:rsid w:val="00641296"/>
    <w:rsid w:val="0064148B"/>
    <w:rsid w:val="006419ED"/>
    <w:rsid w:val="00641C4E"/>
    <w:rsid w:val="00641FB3"/>
    <w:rsid w:val="0064223F"/>
    <w:rsid w:val="0064434C"/>
    <w:rsid w:val="0064463F"/>
    <w:rsid w:val="00645E2E"/>
    <w:rsid w:val="00646278"/>
    <w:rsid w:val="006462A4"/>
    <w:rsid w:val="006471CC"/>
    <w:rsid w:val="00647A29"/>
    <w:rsid w:val="00647D91"/>
    <w:rsid w:val="00650491"/>
    <w:rsid w:val="0065079F"/>
    <w:rsid w:val="00651387"/>
    <w:rsid w:val="0065167C"/>
    <w:rsid w:val="00651912"/>
    <w:rsid w:val="00652A28"/>
    <w:rsid w:val="0065379F"/>
    <w:rsid w:val="006545DA"/>
    <w:rsid w:val="00656188"/>
    <w:rsid w:val="00656CDD"/>
    <w:rsid w:val="0065715A"/>
    <w:rsid w:val="006578B5"/>
    <w:rsid w:val="00660DF2"/>
    <w:rsid w:val="006610F1"/>
    <w:rsid w:val="00661C6B"/>
    <w:rsid w:val="00662DD9"/>
    <w:rsid w:val="006637BD"/>
    <w:rsid w:val="00663BBD"/>
    <w:rsid w:val="006642FF"/>
    <w:rsid w:val="0066507D"/>
    <w:rsid w:val="00666B51"/>
    <w:rsid w:val="00667442"/>
    <w:rsid w:val="00667C94"/>
    <w:rsid w:val="00671004"/>
    <w:rsid w:val="006716B0"/>
    <w:rsid w:val="006723D5"/>
    <w:rsid w:val="00672646"/>
    <w:rsid w:val="00672B24"/>
    <w:rsid w:val="00672C5F"/>
    <w:rsid w:val="006738E7"/>
    <w:rsid w:val="00674E42"/>
    <w:rsid w:val="00675955"/>
    <w:rsid w:val="00676C49"/>
    <w:rsid w:val="00676C78"/>
    <w:rsid w:val="00677184"/>
    <w:rsid w:val="00677193"/>
    <w:rsid w:val="00681236"/>
    <w:rsid w:val="006813F8"/>
    <w:rsid w:val="00681911"/>
    <w:rsid w:val="00682112"/>
    <w:rsid w:val="00682BA6"/>
    <w:rsid w:val="00682F59"/>
    <w:rsid w:val="00683E4D"/>
    <w:rsid w:val="00684915"/>
    <w:rsid w:val="00686865"/>
    <w:rsid w:val="00686957"/>
    <w:rsid w:val="006872BA"/>
    <w:rsid w:val="00687529"/>
    <w:rsid w:val="006878D8"/>
    <w:rsid w:val="00690795"/>
    <w:rsid w:val="00690A66"/>
    <w:rsid w:val="00691648"/>
    <w:rsid w:val="006917D7"/>
    <w:rsid w:val="00692599"/>
    <w:rsid w:val="0069387B"/>
    <w:rsid w:val="0069434C"/>
    <w:rsid w:val="00694F44"/>
    <w:rsid w:val="00696005"/>
    <w:rsid w:val="00696018"/>
    <w:rsid w:val="00696F51"/>
    <w:rsid w:val="006979A5"/>
    <w:rsid w:val="00697F28"/>
    <w:rsid w:val="006A14E6"/>
    <w:rsid w:val="006A2123"/>
    <w:rsid w:val="006A21EC"/>
    <w:rsid w:val="006A2526"/>
    <w:rsid w:val="006A25D1"/>
    <w:rsid w:val="006A293A"/>
    <w:rsid w:val="006A3303"/>
    <w:rsid w:val="006A4F9F"/>
    <w:rsid w:val="006A540A"/>
    <w:rsid w:val="006A564E"/>
    <w:rsid w:val="006A68B9"/>
    <w:rsid w:val="006A6B99"/>
    <w:rsid w:val="006A733C"/>
    <w:rsid w:val="006A7BF0"/>
    <w:rsid w:val="006A7E5F"/>
    <w:rsid w:val="006B06D6"/>
    <w:rsid w:val="006B1686"/>
    <w:rsid w:val="006B1B41"/>
    <w:rsid w:val="006B21AC"/>
    <w:rsid w:val="006B261B"/>
    <w:rsid w:val="006B2C90"/>
    <w:rsid w:val="006B3316"/>
    <w:rsid w:val="006B35E6"/>
    <w:rsid w:val="006B465A"/>
    <w:rsid w:val="006B486E"/>
    <w:rsid w:val="006B543C"/>
    <w:rsid w:val="006B689C"/>
    <w:rsid w:val="006B6DD0"/>
    <w:rsid w:val="006B772E"/>
    <w:rsid w:val="006C0399"/>
    <w:rsid w:val="006C18FD"/>
    <w:rsid w:val="006C19D3"/>
    <w:rsid w:val="006C1C56"/>
    <w:rsid w:val="006C2305"/>
    <w:rsid w:val="006C29E1"/>
    <w:rsid w:val="006C2A8E"/>
    <w:rsid w:val="006C3255"/>
    <w:rsid w:val="006C3DE0"/>
    <w:rsid w:val="006C3F26"/>
    <w:rsid w:val="006C4EBA"/>
    <w:rsid w:val="006C53B8"/>
    <w:rsid w:val="006C5BFB"/>
    <w:rsid w:val="006C653B"/>
    <w:rsid w:val="006C7602"/>
    <w:rsid w:val="006D0829"/>
    <w:rsid w:val="006D0D17"/>
    <w:rsid w:val="006D3AC1"/>
    <w:rsid w:val="006D3C7D"/>
    <w:rsid w:val="006D3D63"/>
    <w:rsid w:val="006D4659"/>
    <w:rsid w:val="006D57D8"/>
    <w:rsid w:val="006D5D5F"/>
    <w:rsid w:val="006D68FB"/>
    <w:rsid w:val="006D772B"/>
    <w:rsid w:val="006D793A"/>
    <w:rsid w:val="006E0636"/>
    <w:rsid w:val="006E18E2"/>
    <w:rsid w:val="006E1FD2"/>
    <w:rsid w:val="006E2868"/>
    <w:rsid w:val="006E346A"/>
    <w:rsid w:val="006E54C9"/>
    <w:rsid w:val="006E55BE"/>
    <w:rsid w:val="006E564C"/>
    <w:rsid w:val="006E5A4D"/>
    <w:rsid w:val="006E5AD7"/>
    <w:rsid w:val="006F0AC7"/>
    <w:rsid w:val="006F1E7D"/>
    <w:rsid w:val="006F2750"/>
    <w:rsid w:val="006F2FE3"/>
    <w:rsid w:val="006F306C"/>
    <w:rsid w:val="006F3948"/>
    <w:rsid w:val="006F586C"/>
    <w:rsid w:val="006F5BB6"/>
    <w:rsid w:val="006F5CF5"/>
    <w:rsid w:val="006F63A5"/>
    <w:rsid w:val="006F649A"/>
    <w:rsid w:val="006F73BB"/>
    <w:rsid w:val="0070027D"/>
    <w:rsid w:val="0070142B"/>
    <w:rsid w:val="00701B51"/>
    <w:rsid w:val="00701F9F"/>
    <w:rsid w:val="00702018"/>
    <w:rsid w:val="0070276E"/>
    <w:rsid w:val="00702F8F"/>
    <w:rsid w:val="007032BE"/>
    <w:rsid w:val="0070333A"/>
    <w:rsid w:val="00705F6A"/>
    <w:rsid w:val="007061A3"/>
    <w:rsid w:val="007061B3"/>
    <w:rsid w:val="00707774"/>
    <w:rsid w:val="007079FC"/>
    <w:rsid w:val="00707E4A"/>
    <w:rsid w:val="00710BE6"/>
    <w:rsid w:val="007117AD"/>
    <w:rsid w:val="00711A36"/>
    <w:rsid w:val="00711BE7"/>
    <w:rsid w:val="00712E64"/>
    <w:rsid w:val="00714C26"/>
    <w:rsid w:val="0071529C"/>
    <w:rsid w:val="00715444"/>
    <w:rsid w:val="007170DA"/>
    <w:rsid w:val="007172AD"/>
    <w:rsid w:val="00717581"/>
    <w:rsid w:val="007202E9"/>
    <w:rsid w:val="00720370"/>
    <w:rsid w:val="00720801"/>
    <w:rsid w:val="00722846"/>
    <w:rsid w:val="00722B1B"/>
    <w:rsid w:val="00722D09"/>
    <w:rsid w:val="00723157"/>
    <w:rsid w:val="00723287"/>
    <w:rsid w:val="00723C15"/>
    <w:rsid w:val="0072416F"/>
    <w:rsid w:val="0072530F"/>
    <w:rsid w:val="00725CD0"/>
    <w:rsid w:val="00727AB3"/>
    <w:rsid w:val="00727C94"/>
    <w:rsid w:val="0073157F"/>
    <w:rsid w:val="00731B0A"/>
    <w:rsid w:val="00731EAE"/>
    <w:rsid w:val="007320AC"/>
    <w:rsid w:val="00732B2C"/>
    <w:rsid w:val="00732E1F"/>
    <w:rsid w:val="00733073"/>
    <w:rsid w:val="00733123"/>
    <w:rsid w:val="007343BC"/>
    <w:rsid w:val="00734560"/>
    <w:rsid w:val="00735033"/>
    <w:rsid w:val="00735328"/>
    <w:rsid w:val="0073685B"/>
    <w:rsid w:val="0073716F"/>
    <w:rsid w:val="007373AD"/>
    <w:rsid w:val="007403EF"/>
    <w:rsid w:val="00740475"/>
    <w:rsid w:val="007407EA"/>
    <w:rsid w:val="00740866"/>
    <w:rsid w:val="00740BFC"/>
    <w:rsid w:val="00741187"/>
    <w:rsid w:val="00741467"/>
    <w:rsid w:val="00741E1B"/>
    <w:rsid w:val="007449BF"/>
    <w:rsid w:val="007456D8"/>
    <w:rsid w:val="00746146"/>
    <w:rsid w:val="00746BC0"/>
    <w:rsid w:val="00747749"/>
    <w:rsid w:val="0075109B"/>
    <w:rsid w:val="007510B4"/>
    <w:rsid w:val="00752142"/>
    <w:rsid w:val="007523F9"/>
    <w:rsid w:val="0075357E"/>
    <w:rsid w:val="007557CB"/>
    <w:rsid w:val="00757116"/>
    <w:rsid w:val="007573E8"/>
    <w:rsid w:val="007574BB"/>
    <w:rsid w:val="00760C02"/>
    <w:rsid w:val="00760C4E"/>
    <w:rsid w:val="00760F9E"/>
    <w:rsid w:val="007627BE"/>
    <w:rsid w:val="0076331D"/>
    <w:rsid w:val="0076386A"/>
    <w:rsid w:val="00764673"/>
    <w:rsid w:val="00764709"/>
    <w:rsid w:val="00764F03"/>
    <w:rsid w:val="00765B1A"/>
    <w:rsid w:val="007665A3"/>
    <w:rsid w:val="0076679C"/>
    <w:rsid w:val="00766AD7"/>
    <w:rsid w:val="0076793E"/>
    <w:rsid w:val="0077285F"/>
    <w:rsid w:val="00772AE7"/>
    <w:rsid w:val="00773414"/>
    <w:rsid w:val="007745D2"/>
    <w:rsid w:val="007745DD"/>
    <w:rsid w:val="007747BC"/>
    <w:rsid w:val="00775444"/>
    <w:rsid w:val="00776CEB"/>
    <w:rsid w:val="00777335"/>
    <w:rsid w:val="007809D3"/>
    <w:rsid w:val="00780C06"/>
    <w:rsid w:val="0078200A"/>
    <w:rsid w:val="00782EBC"/>
    <w:rsid w:val="0078381F"/>
    <w:rsid w:val="00783DA5"/>
    <w:rsid w:val="00783E58"/>
    <w:rsid w:val="00783FA7"/>
    <w:rsid w:val="007843F2"/>
    <w:rsid w:val="00784500"/>
    <w:rsid w:val="00785A9F"/>
    <w:rsid w:val="00787BA1"/>
    <w:rsid w:val="00790CA9"/>
    <w:rsid w:val="00791242"/>
    <w:rsid w:val="007916B2"/>
    <w:rsid w:val="007925DF"/>
    <w:rsid w:val="007927EB"/>
    <w:rsid w:val="00794871"/>
    <w:rsid w:val="0079596C"/>
    <w:rsid w:val="0079640F"/>
    <w:rsid w:val="007A08AA"/>
    <w:rsid w:val="007A0A12"/>
    <w:rsid w:val="007A132D"/>
    <w:rsid w:val="007A1345"/>
    <w:rsid w:val="007A1988"/>
    <w:rsid w:val="007A29F9"/>
    <w:rsid w:val="007A2C4C"/>
    <w:rsid w:val="007A2DDB"/>
    <w:rsid w:val="007A3134"/>
    <w:rsid w:val="007A47DD"/>
    <w:rsid w:val="007A4E84"/>
    <w:rsid w:val="007A51D2"/>
    <w:rsid w:val="007A5269"/>
    <w:rsid w:val="007A5E9D"/>
    <w:rsid w:val="007A6548"/>
    <w:rsid w:val="007A70BA"/>
    <w:rsid w:val="007B03D5"/>
    <w:rsid w:val="007B0D68"/>
    <w:rsid w:val="007B0F92"/>
    <w:rsid w:val="007B1252"/>
    <w:rsid w:val="007B14F0"/>
    <w:rsid w:val="007B1566"/>
    <w:rsid w:val="007B251D"/>
    <w:rsid w:val="007B277E"/>
    <w:rsid w:val="007B2A40"/>
    <w:rsid w:val="007B4F58"/>
    <w:rsid w:val="007B50AE"/>
    <w:rsid w:val="007B528D"/>
    <w:rsid w:val="007B56CF"/>
    <w:rsid w:val="007B57D8"/>
    <w:rsid w:val="007B6021"/>
    <w:rsid w:val="007B63CA"/>
    <w:rsid w:val="007B77D1"/>
    <w:rsid w:val="007C07C7"/>
    <w:rsid w:val="007C1307"/>
    <w:rsid w:val="007C1C5D"/>
    <w:rsid w:val="007C1CD9"/>
    <w:rsid w:val="007C2257"/>
    <w:rsid w:val="007C32EF"/>
    <w:rsid w:val="007C361D"/>
    <w:rsid w:val="007C40F9"/>
    <w:rsid w:val="007C49E7"/>
    <w:rsid w:val="007C4B84"/>
    <w:rsid w:val="007C5558"/>
    <w:rsid w:val="007C5D08"/>
    <w:rsid w:val="007C646E"/>
    <w:rsid w:val="007C6BB8"/>
    <w:rsid w:val="007C70FF"/>
    <w:rsid w:val="007C7A65"/>
    <w:rsid w:val="007C7BB5"/>
    <w:rsid w:val="007C7C25"/>
    <w:rsid w:val="007D004F"/>
    <w:rsid w:val="007D0B38"/>
    <w:rsid w:val="007D1FE0"/>
    <w:rsid w:val="007D24E2"/>
    <w:rsid w:val="007D281E"/>
    <w:rsid w:val="007D35CA"/>
    <w:rsid w:val="007D3C51"/>
    <w:rsid w:val="007D5440"/>
    <w:rsid w:val="007D6818"/>
    <w:rsid w:val="007D68EF"/>
    <w:rsid w:val="007D69EB"/>
    <w:rsid w:val="007D6EED"/>
    <w:rsid w:val="007D755B"/>
    <w:rsid w:val="007D76ED"/>
    <w:rsid w:val="007E0B5F"/>
    <w:rsid w:val="007E128F"/>
    <w:rsid w:val="007E16E9"/>
    <w:rsid w:val="007E183B"/>
    <w:rsid w:val="007E2D6B"/>
    <w:rsid w:val="007E593A"/>
    <w:rsid w:val="007E599B"/>
    <w:rsid w:val="007E70F6"/>
    <w:rsid w:val="007F1017"/>
    <w:rsid w:val="007F1F99"/>
    <w:rsid w:val="007F2355"/>
    <w:rsid w:val="007F2489"/>
    <w:rsid w:val="007F2EC2"/>
    <w:rsid w:val="007F39E1"/>
    <w:rsid w:val="007F4A3F"/>
    <w:rsid w:val="007F4A61"/>
    <w:rsid w:val="007F4AB2"/>
    <w:rsid w:val="007F5255"/>
    <w:rsid w:val="007F56CC"/>
    <w:rsid w:val="007F61C2"/>
    <w:rsid w:val="007F64DA"/>
    <w:rsid w:val="00800293"/>
    <w:rsid w:val="00800689"/>
    <w:rsid w:val="008016F1"/>
    <w:rsid w:val="00801D8F"/>
    <w:rsid w:val="00802BCF"/>
    <w:rsid w:val="008033AE"/>
    <w:rsid w:val="00805142"/>
    <w:rsid w:val="00805DFB"/>
    <w:rsid w:val="00805FCE"/>
    <w:rsid w:val="0080614A"/>
    <w:rsid w:val="00806A48"/>
    <w:rsid w:val="00806D7D"/>
    <w:rsid w:val="00807448"/>
    <w:rsid w:val="00807A8B"/>
    <w:rsid w:val="00811383"/>
    <w:rsid w:val="00812149"/>
    <w:rsid w:val="00812A42"/>
    <w:rsid w:val="00812CAC"/>
    <w:rsid w:val="008131BA"/>
    <w:rsid w:val="00813683"/>
    <w:rsid w:val="0081383F"/>
    <w:rsid w:val="00816361"/>
    <w:rsid w:val="008166EF"/>
    <w:rsid w:val="00816FEF"/>
    <w:rsid w:val="00820A8C"/>
    <w:rsid w:val="008215FB"/>
    <w:rsid w:val="008224BC"/>
    <w:rsid w:val="00822F02"/>
    <w:rsid w:val="00822FE2"/>
    <w:rsid w:val="00823174"/>
    <w:rsid w:val="00823D94"/>
    <w:rsid w:val="00823E98"/>
    <w:rsid w:val="00824A62"/>
    <w:rsid w:val="00825751"/>
    <w:rsid w:val="0082629B"/>
    <w:rsid w:val="008264EB"/>
    <w:rsid w:val="00826574"/>
    <w:rsid w:val="00826A40"/>
    <w:rsid w:val="00830160"/>
    <w:rsid w:val="008303A0"/>
    <w:rsid w:val="00830ED6"/>
    <w:rsid w:val="00833B05"/>
    <w:rsid w:val="00834619"/>
    <w:rsid w:val="008353A9"/>
    <w:rsid w:val="008362B4"/>
    <w:rsid w:val="00837C2E"/>
    <w:rsid w:val="00840BB6"/>
    <w:rsid w:val="00840CA2"/>
    <w:rsid w:val="00842EBC"/>
    <w:rsid w:val="0084374F"/>
    <w:rsid w:val="00843CD7"/>
    <w:rsid w:val="00844A22"/>
    <w:rsid w:val="0084597A"/>
    <w:rsid w:val="00846D19"/>
    <w:rsid w:val="00847499"/>
    <w:rsid w:val="00847703"/>
    <w:rsid w:val="00847DF5"/>
    <w:rsid w:val="00850546"/>
    <w:rsid w:val="0085068B"/>
    <w:rsid w:val="00851594"/>
    <w:rsid w:val="00851E48"/>
    <w:rsid w:val="00852784"/>
    <w:rsid w:val="008528AD"/>
    <w:rsid w:val="00852917"/>
    <w:rsid w:val="00852EB2"/>
    <w:rsid w:val="0085309D"/>
    <w:rsid w:val="0085431E"/>
    <w:rsid w:val="00854E6D"/>
    <w:rsid w:val="008554C3"/>
    <w:rsid w:val="0085601C"/>
    <w:rsid w:val="00856897"/>
    <w:rsid w:val="00856E9A"/>
    <w:rsid w:val="00860556"/>
    <w:rsid w:val="0086075D"/>
    <w:rsid w:val="00860B78"/>
    <w:rsid w:val="0086162C"/>
    <w:rsid w:val="00861C4B"/>
    <w:rsid w:val="00862502"/>
    <w:rsid w:val="00862643"/>
    <w:rsid w:val="0086273E"/>
    <w:rsid w:val="00862937"/>
    <w:rsid w:val="00862CC1"/>
    <w:rsid w:val="0086443A"/>
    <w:rsid w:val="00865EE8"/>
    <w:rsid w:val="008660D4"/>
    <w:rsid w:val="008669E0"/>
    <w:rsid w:val="00870C70"/>
    <w:rsid w:val="008718A7"/>
    <w:rsid w:val="00871FA9"/>
    <w:rsid w:val="00872002"/>
    <w:rsid w:val="0087255B"/>
    <w:rsid w:val="008728E9"/>
    <w:rsid w:val="00875900"/>
    <w:rsid w:val="00877097"/>
    <w:rsid w:val="00880021"/>
    <w:rsid w:val="00882874"/>
    <w:rsid w:val="00882E3C"/>
    <w:rsid w:val="00883632"/>
    <w:rsid w:val="00883787"/>
    <w:rsid w:val="00884B8D"/>
    <w:rsid w:val="008852D9"/>
    <w:rsid w:val="00885377"/>
    <w:rsid w:val="008855E4"/>
    <w:rsid w:val="00886CD2"/>
    <w:rsid w:val="00887369"/>
    <w:rsid w:val="00887421"/>
    <w:rsid w:val="008874B7"/>
    <w:rsid w:val="00890E89"/>
    <w:rsid w:val="00890F40"/>
    <w:rsid w:val="00891E6F"/>
    <w:rsid w:val="0089275D"/>
    <w:rsid w:val="00892A36"/>
    <w:rsid w:val="00893239"/>
    <w:rsid w:val="008939F5"/>
    <w:rsid w:val="00893A04"/>
    <w:rsid w:val="00894489"/>
    <w:rsid w:val="00894D63"/>
    <w:rsid w:val="00895344"/>
    <w:rsid w:val="00895871"/>
    <w:rsid w:val="008963A5"/>
    <w:rsid w:val="00896D5D"/>
    <w:rsid w:val="00896E7D"/>
    <w:rsid w:val="008971CF"/>
    <w:rsid w:val="00897456"/>
    <w:rsid w:val="00897F7E"/>
    <w:rsid w:val="008A1701"/>
    <w:rsid w:val="008A1AE6"/>
    <w:rsid w:val="008A3363"/>
    <w:rsid w:val="008A3371"/>
    <w:rsid w:val="008A38A5"/>
    <w:rsid w:val="008A3C3E"/>
    <w:rsid w:val="008A45F2"/>
    <w:rsid w:val="008A6C4A"/>
    <w:rsid w:val="008A79DE"/>
    <w:rsid w:val="008B0BF4"/>
    <w:rsid w:val="008B0F85"/>
    <w:rsid w:val="008B1757"/>
    <w:rsid w:val="008B3806"/>
    <w:rsid w:val="008B3B87"/>
    <w:rsid w:val="008B59D9"/>
    <w:rsid w:val="008B68A9"/>
    <w:rsid w:val="008B699A"/>
    <w:rsid w:val="008B7992"/>
    <w:rsid w:val="008B7D7E"/>
    <w:rsid w:val="008C2568"/>
    <w:rsid w:val="008C2FDE"/>
    <w:rsid w:val="008C3822"/>
    <w:rsid w:val="008C529B"/>
    <w:rsid w:val="008C5610"/>
    <w:rsid w:val="008C5739"/>
    <w:rsid w:val="008C700F"/>
    <w:rsid w:val="008C7CAA"/>
    <w:rsid w:val="008C7ECB"/>
    <w:rsid w:val="008D1AF1"/>
    <w:rsid w:val="008D22CD"/>
    <w:rsid w:val="008D235A"/>
    <w:rsid w:val="008D38ED"/>
    <w:rsid w:val="008D3B86"/>
    <w:rsid w:val="008D4515"/>
    <w:rsid w:val="008D4755"/>
    <w:rsid w:val="008D4C3D"/>
    <w:rsid w:val="008D4D4D"/>
    <w:rsid w:val="008D6967"/>
    <w:rsid w:val="008D7095"/>
    <w:rsid w:val="008D743C"/>
    <w:rsid w:val="008D76C0"/>
    <w:rsid w:val="008E0D3C"/>
    <w:rsid w:val="008E1A8C"/>
    <w:rsid w:val="008E1B9E"/>
    <w:rsid w:val="008E232A"/>
    <w:rsid w:val="008E4243"/>
    <w:rsid w:val="008E4AA2"/>
    <w:rsid w:val="008E4E67"/>
    <w:rsid w:val="008E52F2"/>
    <w:rsid w:val="008E55AB"/>
    <w:rsid w:val="008F00B4"/>
    <w:rsid w:val="008F120A"/>
    <w:rsid w:val="008F12A6"/>
    <w:rsid w:val="008F1CD8"/>
    <w:rsid w:val="008F27E0"/>
    <w:rsid w:val="008F3130"/>
    <w:rsid w:val="008F48EB"/>
    <w:rsid w:val="008F4F0B"/>
    <w:rsid w:val="008F5ABB"/>
    <w:rsid w:val="008F7179"/>
    <w:rsid w:val="008F72C9"/>
    <w:rsid w:val="008F799D"/>
    <w:rsid w:val="00901346"/>
    <w:rsid w:val="00901578"/>
    <w:rsid w:val="0090213A"/>
    <w:rsid w:val="009032AB"/>
    <w:rsid w:val="00903716"/>
    <w:rsid w:val="009046C4"/>
    <w:rsid w:val="00905783"/>
    <w:rsid w:val="00905ABA"/>
    <w:rsid w:val="009062A5"/>
    <w:rsid w:val="00907388"/>
    <w:rsid w:val="00910A5D"/>
    <w:rsid w:val="00910FA7"/>
    <w:rsid w:val="00911272"/>
    <w:rsid w:val="00912FE1"/>
    <w:rsid w:val="009135D6"/>
    <w:rsid w:val="00913CDE"/>
    <w:rsid w:val="00914C77"/>
    <w:rsid w:val="00914D8E"/>
    <w:rsid w:val="0091597C"/>
    <w:rsid w:val="00920D7B"/>
    <w:rsid w:val="00921ACB"/>
    <w:rsid w:val="0092369B"/>
    <w:rsid w:val="0092450E"/>
    <w:rsid w:val="00924E40"/>
    <w:rsid w:val="0092638E"/>
    <w:rsid w:val="00930F7B"/>
    <w:rsid w:val="009321F4"/>
    <w:rsid w:val="00933375"/>
    <w:rsid w:val="00934988"/>
    <w:rsid w:val="00936A8E"/>
    <w:rsid w:val="00937089"/>
    <w:rsid w:val="00937BF1"/>
    <w:rsid w:val="009402C8"/>
    <w:rsid w:val="0094161B"/>
    <w:rsid w:val="00941EA3"/>
    <w:rsid w:val="00942823"/>
    <w:rsid w:val="00943D06"/>
    <w:rsid w:val="00943F10"/>
    <w:rsid w:val="00944E19"/>
    <w:rsid w:val="00944F8A"/>
    <w:rsid w:val="00945A6A"/>
    <w:rsid w:val="0094603A"/>
    <w:rsid w:val="00946C8C"/>
    <w:rsid w:val="00946F78"/>
    <w:rsid w:val="009507B3"/>
    <w:rsid w:val="00950860"/>
    <w:rsid w:val="00950A6A"/>
    <w:rsid w:val="009510A2"/>
    <w:rsid w:val="00951666"/>
    <w:rsid w:val="00952195"/>
    <w:rsid w:val="00953257"/>
    <w:rsid w:val="0095474C"/>
    <w:rsid w:val="00954936"/>
    <w:rsid w:val="00954E2C"/>
    <w:rsid w:val="0095588B"/>
    <w:rsid w:val="00956E4C"/>
    <w:rsid w:val="00957002"/>
    <w:rsid w:val="009601FB"/>
    <w:rsid w:val="00960706"/>
    <w:rsid w:val="009617FB"/>
    <w:rsid w:val="00962CB9"/>
    <w:rsid w:val="00962CE1"/>
    <w:rsid w:val="00964312"/>
    <w:rsid w:val="00965950"/>
    <w:rsid w:val="00965B8A"/>
    <w:rsid w:val="00966666"/>
    <w:rsid w:val="00966EF3"/>
    <w:rsid w:val="00967A64"/>
    <w:rsid w:val="0097071F"/>
    <w:rsid w:val="009717AC"/>
    <w:rsid w:val="0097219D"/>
    <w:rsid w:val="00972299"/>
    <w:rsid w:val="00972748"/>
    <w:rsid w:val="009741EC"/>
    <w:rsid w:val="009751C1"/>
    <w:rsid w:val="0097529E"/>
    <w:rsid w:val="00976E28"/>
    <w:rsid w:val="00977092"/>
    <w:rsid w:val="00977D46"/>
    <w:rsid w:val="00977E42"/>
    <w:rsid w:val="00981021"/>
    <w:rsid w:val="009811F1"/>
    <w:rsid w:val="009821FA"/>
    <w:rsid w:val="00983E57"/>
    <w:rsid w:val="00985DE2"/>
    <w:rsid w:val="0098675D"/>
    <w:rsid w:val="00986F3E"/>
    <w:rsid w:val="00990DC1"/>
    <w:rsid w:val="009926E0"/>
    <w:rsid w:val="0099451E"/>
    <w:rsid w:val="00995F0F"/>
    <w:rsid w:val="0099697D"/>
    <w:rsid w:val="00996B1A"/>
    <w:rsid w:val="009970A4"/>
    <w:rsid w:val="009A101F"/>
    <w:rsid w:val="009A1D47"/>
    <w:rsid w:val="009A2DCC"/>
    <w:rsid w:val="009A30ED"/>
    <w:rsid w:val="009A5ABC"/>
    <w:rsid w:val="009A6786"/>
    <w:rsid w:val="009A7F10"/>
    <w:rsid w:val="009B0267"/>
    <w:rsid w:val="009B08B1"/>
    <w:rsid w:val="009B39AD"/>
    <w:rsid w:val="009B3E26"/>
    <w:rsid w:val="009B503F"/>
    <w:rsid w:val="009B6177"/>
    <w:rsid w:val="009B79F0"/>
    <w:rsid w:val="009B7A96"/>
    <w:rsid w:val="009C00B5"/>
    <w:rsid w:val="009C0EB7"/>
    <w:rsid w:val="009C20BC"/>
    <w:rsid w:val="009C25F3"/>
    <w:rsid w:val="009C364B"/>
    <w:rsid w:val="009C3706"/>
    <w:rsid w:val="009C3996"/>
    <w:rsid w:val="009C3A3A"/>
    <w:rsid w:val="009C607D"/>
    <w:rsid w:val="009C6CEA"/>
    <w:rsid w:val="009C7B85"/>
    <w:rsid w:val="009D0254"/>
    <w:rsid w:val="009D0C0E"/>
    <w:rsid w:val="009D197B"/>
    <w:rsid w:val="009D1A64"/>
    <w:rsid w:val="009D29CD"/>
    <w:rsid w:val="009D586C"/>
    <w:rsid w:val="009D5B91"/>
    <w:rsid w:val="009D6297"/>
    <w:rsid w:val="009D7139"/>
    <w:rsid w:val="009D792E"/>
    <w:rsid w:val="009D7DCA"/>
    <w:rsid w:val="009E0458"/>
    <w:rsid w:val="009E0DFE"/>
    <w:rsid w:val="009E123D"/>
    <w:rsid w:val="009E31F6"/>
    <w:rsid w:val="009E4204"/>
    <w:rsid w:val="009E47F0"/>
    <w:rsid w:val="009E4C07"/>
    <w:rsid w:val="009E524D"/>
    <w:rsid w:val="009E5854"/>
    <w:rsid w:val="009E72B5"/>
    <w:rsid w:val="009F0E20"/>
    <w:rsid w:val="009F1A64"/>
    <w:rsid w:val="009F2F6B"/>
    <w:rsid w:val="009F47F6"/>
    <w:rsid w:val="009F5CB2"/>
    <w:rsid w:val="009F6917"/>
    <w:rsid w:val="009F72EB"/>
    <w:rsid w:val="009F768F"/>
    <w:rsid w:val="00A01184"/>
    <w:rsid w:val="00A037C2"/>
    <w:rsid w:val="00A03D43"/>
    <w:rsid w:val="00A04380"/>
    <w:rsid w:val="00A046F7"/>
    <w:rsid w:val="00A05472"/>
    <w:rsid w:val="00A05C32"/>
    <w:rsid w:val="00A0653F"/>
    <w:rsid w:val="00A1080A"/>
    <w:rsid w:val="00A10B41"/>
    <w:rsid w:val="00A11B3A"/>
    <w:rsid w:val="00A11CD0"/>
    <w:rsid w:val="00A122C8"/>
    <w:rsid w:val="00A13948"/>
    <w:rsid w:val="00A139B7"/>
    <w:rsid w:val="00A1555B"/>
    <w:rsid w:val="00A155C5"/>
    <w:rsid w:val="00A163C2"/>
    <w:rsid w:val="00A16562"/>
    <w:rsid w:val="00A166FD"/>
    <w:rsid w:val="00A168BB"/>
    <w:rsid w:val="00A16AD8"/>
    <w:rsid w:val="00A17746"/>
    <w:rsid w:val="00A21C95"/>
    <w:rsid w:val="00A21CF3"/>
    <w:rsid w:val="00A223F4"/>
    <w:rsid w:val="00A22C46"/>
    <w:rsid w:val="00A2381D"/>
    <w:rsid w:val="00A23C4D"/>
    <w:rsid w:val="00A2469B"/>
    <w:rsid w:val="00A24813"/>
    <w:rsid w:val="00A24C37"/>
    <w:rsid w:val="00A2502F"/>
    <w:rsid w:val="00A25E5B"/>
    <w:rsid w:val="00A27AEC"/>
    <w:rsid w:val="00A30288"/>
    <w:rsid w:val="00A303B1"/>
    <w:rsid w:val="00A320DB"/>
    <w:rsid w:val="00A322B9"/>
    <w:rsid w:val="00A32FB1"/>
    <w:rsid w:val="00A332D6"/>
    <w:rsid w:val="00A336A0"/>
    <w:rsid w:val="00A33AE6"/>
    <w:rsid w:val="00A35D16"/>
    <w:rsid w:val="00A369BF"/>
    <w:rsid w:val="00A37BCD"/>
    <w:rsid w:val="00A40BD1"/>
    <w:rsid w:val="00A41689"/>
    <w:rsid w:val="00A42592"/>
    <w:rsid w:val="00A43C59"/>
    <w:rsid w:val="00A44B4A"/>
    <w:rsid w:val="00A44D49"/>
    <w:rsid w:val="00A456C7"/>
    <w:rsid w:val="00A46BBF"/>
    <w:rsid w:val="00A46BE9"/>
    <w:rsid w:val="00A47EF8"/>
    <w:rsid w:val="00A50ECD"/>
    <w:rsid w:val="00A510AF"/>
    <w:rsid w:val="00A518F3"/>
    <w:rsid w:val="00A51A9A"/>
    <w:rsid w:val="00A52729"/>
    <w:rsid w:val="00A53675"/>
    <w:rsid w:val="00A54052"/>
    <w:rsid w:val="00A54C74"/>
    <w:rsid w:val="00A54CD0"/>
    <w:rsid w:val="00A54F3B"/>
    <w:rsid w:val="00A54F6B"/>
    <w:rsid w:val="00A564D7"/>
    <w:rsid w:val="00A56B6A"/>
    <w:rsid w:val="00A572CC"/>
    <w:rsid w:val="00A578DC"/>
    <w:rsid w:val="00A61DEC"/>
    <w:rsid w:val="00A627AA"/>
    <w:rsid w:val="00A628AD"/>
    <w:rsid w:val="00A636D7"/>
    <w:rsid w:val="00A63765"/>
    <w:rsid w:val="00A63F63"/>
    <w:rsid w:val="00A640E2"/>
    <w:rsid w:val="00A64D65"/>
    <w:rsid w:val="00A65A07"/>
    <w:rsid w:val="00A6725B"/>
    <w:rsid w:val="00A67F06"/>
    <w:rsid w:val="00A70605"/>
    <w:rsid w:val="00A70A9A"/>
    <w:rsid w:val="00A72FB6"/>
    <w:rsid w:val="00A73134"/>
    <w:rsid w:val="00A74313"/>
    <w:rsid w:val="00A758CB"/>
    <w:rsid w:val="00A76001"/>
    <w:rsid w:val="00A76DD9"/>
    <w:rsid w:val="00A777B2"/>
    <w:rsid w:val="00A825D4"/>
    <w:rsid w:val="00A825ED"/>
    <w:rsid w:val="00A828F6"/>
    <w:rsid w:val="00A82B73"/>
    <w:rsid w:val="00A82BF5"/>
    <w:rsid w:val="00A83F8B"/>
    <w:rsid w:val="00A85201"/>
    <w:rsid w:val="00A853B5"/>
    <w:rsid w:val="00A85FCB"/>
    <w:rsid w:val="00A863C0"/>
    <w:rsid w:val="00A86E8B"/>
    <w:rsid w:val="00A87071"/>
    <w:rsid w:val="00A87164"/>
    <w:rsid w:val="00A9158E"/>
    <w:rsid w:val="00A92A11"/>
    <w:rsid w:val="00A92B76"/>
    <w:rsid w:val="00A92D2C"/>
    <w:rsid w:val="00A93072"/>
    <w:rsid w:val="00A938BD"/>
    <w:rsid w:val="00A93953"/>
    <w:rsid w:val="00A959D8"/>
    <w:rsid w:val="00A95A65"/>
    <w:rsid w:val="00A9626E"/>
    <w:rsid w:val="00A96C63"/>
    <w:rsid w:val="00A96E97"/>
    <w:rsid w:val="00A97F87"/>
    <w:rsid w:val="00A97FB4"/>
    <w:rsid w:val="00AA0BDD"/>
    <w:rsid w:val="00AA0F29"/>
    <w:rsid w:val="00AA113D"/>
    <w:rsid w:val="00AA1372"/>
    <w:rsid w:val="00AA270A"/>
    <w:rsid w:val="00AA441E"/>
    <w:rsid w:val="00AA4C88"/>
    <w:rsid w:val="00AA5850"/>
    <w:rsid w:val="00AA5A75"/>
    <w:rsid w:val="00AA5BF7"/>
    <w:rsid w:val="00AA6B38"/>
    <w:rsid w:val="00AA6BD5"/>
    <w:rsid w:val="00AA6BD8"/>
    <w:rsid w:val="00AA6C7D"/>
    <w:rsid w:val="00AA7FD6"/>
    <w:rsid w:val="00AB042A"/>
    <w:rsid w:val="00AB063D"/>
    <w:rsid w:val="00AB19EF"/>
    <w:rsid w:val="00AB24D4"/>
    <w:rsid w:val="00AB2C38"/>
    <w:rsid w:val="00AB2D34"/>
    <w:rsid w:val="00AB3430"/>
    <w:rsid w:val="00AB37B9"/>
    <w:rsid w:val="00AB4AD1"/>
    <w:rsid w:val="00AB529A"/>
    <w:rsid w:val="00AB5918"/>
    <w:rsid w:val="00AB5B02"/>
    <w:rsid w:val="00AB5BF6"/>
    <w:rsid w:val="00AB5C4B"/>
    <w:rsid w:val="00AB5E07"/>
    <w:rsid w:val="00AB5E93"/>
    <w:rsid w:val="00AB7CFA"/>
    <w:rsid w:val="00AC1E71"/>
    <w:rsid w:val="00AC246C"/>
    <w:rsid w:val="00AC28A6"/>
    <w:rsid w:val="00AC2BC0"/>
    <w:rsid w:val="00AC46B4"/>
    <w:rsid w:val="00AC59A4"/>
    <w:rsid w:val="00AC5B48"/>
    <w:rsid w:val="00AC6E79"/>
    <w:rsid w:val="00AD0A1C"/>
    <w:rsid w:val="00AD1450"/>
    <w:rsid w:val="00AD3160"/>
    <w:rsid w:val="00AD34E5"/>
    <w:rsid w:val="00AD3563"/>
    <w:rsid w:val="00AD4279"/>
    <w:rsid w:val="00AD520B"/>
    <w:rsid w:val="00AD5ABE"/>
    <w:rsid w:val="00AD6502"/>
    <w:rsid w:val="00AD716E"/>
    <w:rsid w:val="00AD7250"/>
    <w:rsid w:val="00AD7724"/>
    <w:rsid w:val="00AD7D78"/>
    <w:rsid w:val="00AD7E75"/>
    <w:rsid w:val="00AE0695"/>
    <w:rsid w:val="00AE2C82"/>
    <w:rsid w:val="00AE3DCF"/>
    <w:rsid w:val="00AE3E7E"/>
    <w:rsid w:val="00AE3E98"/>
    <w:rsid w:val="00AE4CFA"/>
    <w:rsid w:val="00AE54AD"/>
    <w:rsid w:val="00AE741D"/>
    <w:rsid w:val="00AF01D6"/>
    <w:rsid w:val="00AF1315"/>
    <w:rsid w:val="00AF19BF"/>
    <w:rsid w:val="00AF2DC3"/>
    <w:rsid w:val="00AF3019"/>
    <w:rsid w:val="00AF3F51"/>
    <w:rsid w:val="00AF4F5F"/>
    <w:rsid w:val="00AF5F1A"/>
    <w:rsid w:val="00AF6293"/>
    <w:rsid w:val="00AF6562"/>
    <w:rsid w:val="00AF7C3D"/>
    <w:rsid w:val="00B003A8"/>
    <w:rsid w:val="00B00689"/>
    <w:rsid w:val="00B00754"/>
    <w:rsid w:val="00B00828"/>
    <w:rsid w:val="00B01DA0"/>
    <w:rsid w:val="00B027D6"/>
    <w:rsid w:val="00B02907"/>
    <w:rsid w:val="00B033E5"/>
    <w:rsid w:val="00B037A2"/>
    <w:rsid w:val="00B03A63"/>
    <w:rsid w:val="00B05E12"/>
    <w:rsid w:val="00B069C6"/>
    <w:rsid w:val="00B06BE2"/>
    <w:rsid w:val="00B1034C"/>
    <w:rsid w:val="00B1113A"/>
    <w:rsid w:val="00B122EB"/>
    <w:rsid w:val="00B13D93"/>
    <w:rsid w:val="00B14F8C"/>
    <w:rsid w:val="00B153C0"/>
    <w:rsid w:val="00B15762"/>
    <w:rsid w:val="00B16647"/>
    <w:rsid w:val="00B17C4B"/>
    <w:rsid w:val="00B201A4"/>
    <w:rsid w:val="00B201D1"/>
    <w:rsid w:val="00B20BB9"/>
    <w:rsid w:val="00B20DFE"/>
    <w:rsid w:val="00B213A6"/>
    <w:rsid w:val="00B235B0"/>
    <w:rsid w:val="00B24DF6"/>
    <w:rsid w:val="00B25EBF"/>
    <w:rsid w:val="00B2623F"/>
    <w:rsid w:val="00B27CE9"/>
    <w:rsid w:val="00B33124"/>
    <w:rsid w:val="00B348BD"/>
    <w:rsid w:val="00B34FE2"/>
    <w:rsid w:val="00B34FEB"/>
    <w:rsid w:val="00B35166"/>
    <w:rsid w:val="00B357D8"/>
    <w:rsid w:val="00B360F4"/>
    <w:rsid w:val="00B364D9"/>
    <w:rsid w:val="00B36A00"/>
    <w:rsid w:val="00B36A93"/>
    <w:rsid w:val="00B36B04"/>
    <w:rsid w:val="00B37515"/>
    <w:rsid w:val="00B37BFC"/>
    <w:rsid w:val="00B37CE8"/>
    <w:rsid w:val="00B40358"/>
    <w:rsid w:val="00B40514"/>
    <w:rsid w:val="00B40B93"/>
    <w:rsid w:val="00B41614"/>
    <w:rsid w:val="00B41C44"/>
    <w:rsid w:val="00B41CE2"/>
    <w:rsid w:val="00B41EA6"/>
    <w:rsid w:val="00B42851"/>
    <w:rsid w:val="00B4298C"/>
    <w:rsid w:val="00B42A96"/>
    <w:rsid w:val="00B42F80"/>
    <w:rsid w:val="00B435CB"/>
    <w:rsid w:val="00B45BEC"/>
    <w:rsid w:val="00B505C8"/>
    <w:rsid w:val="00B50DB8"/>
    <w:rsid w:val="00B52E6A"/>
    <w:rsid w:val="00B52E81"/>
    <w:rsid w:val="00B52FCC"/>
    <w:rsid w:val="00B53654"/>
    <w:rsid w:val="00B53853"/>
    <w:rsid w:val="00B53905"/>
    <w:rsid w:val="00B54B5B"/>
    <w:rsid w:val="00B54D0D"/>
    <w:rsid w:val="00B5562E"/>
    <w:rsid w:val="00B55D65"/>
    <w:rsid w:val="00B57000"/>
    <w:rsid w:val="00B57704"/>
    <w:rsid w:val="00B60939"/>
    <w:rsid w:val="00B60AFD"/>
    <w:rsid w:val="00B611F9"/>
    <w:rsid w:val="00B62715"/>
    <w:rsid w:val="00B65611"/>
    <w:rsid w:val="00B65A92"/>
    <w:rsid w:val="00B668ED"/>
    <w:rsid w:val="00B66919"/>
    <w:rsid w:val="00B67E2D"/>
    <w:rsid w:val="00B70005"/>
    <w:rsid w:val="00B70219"/>
    <w:rsid w:val="00B70E8E"/>
    <w:rsid w:val="00B711B6"/>
    <w:rsid w:val="00B71612"/>
    <w:rsid w:val="00B71E05"/>
    <w:rsid w:val="00B72AEF"/>
    <w:rsid w:val="00B7566A"/>
    <w:rsid w:val="00B75C50"/>
    <w:rsid w:val="00B76422"/>
    <w:rsid w:val="00B76C92"/>
    <w:rsid w:val="00B80B9D"/>
    <w:rsid w:val="00B80E80"/>
    <w:rsid w:val="00B811B8"/>
    <w:rsid w:val="00B818A4"/>
    <w:rsid w:val="00B82CFE"/>
    <w:rsid w:val="00B83A1C"/>
    <w:rsid w:val="00B83A2B"/>
    <w:rsid w:val="00B84117"/>
    <w:rsid w:val="00B846DD"/>
    <w:rsid w:val="00B84D8F"/>
    <w:rsid w:val="00B8514C"/>
    <w:rsid w:val="00B858F0"/>
    <w:rsid w:val="00B85AA1"/>
    <w:rsid w:val="00B85AA2"/>
    <w:rsid w:val="00B8649C"/>
    <w:rsid w:val="00B8695D"/>
    <w:rsid w:val="00B87F0A"/>
    <w:rsid w:val="00B91AC5"/>
    <w:rsid w:val="00B92D0B"/>
    <w:rsid w:val="00B93173"/>
    <w:rsid w:val="00B94945"/>
    <w:rsid w:val="00B94DD6"/>
    <w:rsid w:val="00B96E2B"/>
    <w:rsid w:val="00B97695"/>
    <w:rsid w:val="00BA1415"/>
    <w:rsid w:val="00BA2AC7"/>
    <w:rsid w:val="00BA2C9A"/>
    <w:rsid w:val="00BA310F"/>
    <w:rsid w:val="00BA322D"/>
    <w:rsid w:val="00BA35A3"/>
    <w:rsid w:val="00BA42FC"/>
    <w:rsid w:val="00BA480F"/>
    <w:rsid w:val="00BA49D2"/>
    <w:rsid w:val="00BA4A16"/>
    <w:rsid w:val="00BA4C6F"/>
    <w:rsid w:val="00BA63FA"/>
    <w:rsid w:val="00BB00B3"/>
    <w:rsid w:val="00BB0223"/>
    <w:rsid w:val="00BB052D"/>
    <w:rsid w:val="00BB09B0"/>
    <w:rsid w:val="00BB0BDD"/>
    <w:rsid w:val="00BB176C"/>
    <w:rsid w:val="00BB2A6E"/>
    <w:rsid w:val="00BB2A73"/>
    <w:rsid w:val="00BB2E11"/>
    <w:rsid w:val="00BB38E0"/>
    <w:rsid w:val="00BB3A45"/>
    <w:rsid w:val="00BB3B69"/>
    <w:rsid w:val="00BB3BD9"/>
    <w:rsid w:val="00BB4ACC"/>
    <w:rsid w:val="00BB5520"/>
    <w:rsid w:val="00BB6B25"/>
    <w:rsid w:val="00BB703E"/>
    <w:rsid w:val="00BB732D"/>
    <w:rsid w:val="00BB7405"/>
    <w:rsid w:val="00BB7EB8"/>
    <w:rsid w:val="00BC0355"/>
    <w:rsid w:val="00BC22E7"/>
    <w:rsid w:val="00BC267B"/>
    <w:rsid w:val="00BC2B39"/>
    <w:rsid w:val="00BC34D2"/>
    <w:rsid w:val="00BC3631"/>
    <w:rsid w:val="00BC4209"/>
    <w:rsid w:val="00BC4680"/>
    <w:rsid w:val="00BC4959"/>
    <w:rsid w:val="00BC591F"/>
    <w:rsid w:val="00BC675C"/>
    <w:rsid w:val="00BC6CDB"/>
    <w:rsid w:val="00BC7BA9"/>
    <w:rsid w:val="00BC7D6D"/>
    <w:rsid w:val="00BD05FF"/>
    <w:rsid w:val="00BD0CC1"/>
    <w:rsid w:val="00BD1A8A"/>
    <w:rsid w:val="00BD1EF3"/>
    <w:rsid w:val="00BD2108"/>
    <w:rsid w:val="00BD28E5"/>
    <w:rsid w:val="00BD3A35"/>
    <w:rsid w:val="00BD5E9F"/>
    <w:rsid w:val="00BD68A3"/>
    <w:rsid w:val="00BD6938"/>
    <w:rsid w:val="00BD6CF3"/>
    <w:rsid w:val="00BD7DFE"/>
    <w:rsid w:val="00BD7E08"/>
    <w:rsid w:val="00BE0019"/>
    <w:rsid w:val="00BE069D"/>
    <w:rsid w:val="00BE06E4"/>
    <w:rsid w:val="00BE0980"/>
    <w:rsid w:val="00BE0ECA"/>
    <w:rsid w:val="00BE1347"/>
    <w:rsid w:val="00BE1B13"/>
    <w:rsid w:val="00BE2180"/>
    <w:rsid w:val="00BE21F2"/>
    <w:rsid w:val="00BE2555"/>
    <w:rsid w:val="00BE2CB8"/>
    <w:rsid w:val="00BE2F87"/>
    <w:rsid w:val="00BE37A6"/>
    <w:rsid w:val="00BE4275"/>
    <w:rsid w:val="00BE5D47"/>
    <w:rsid w:val="00BE6B70"/>
    <w:rsid w:val="00BE6F07"/>
    <w:rsid w:val="00BF06AE"/>
    <w:rsid w:val="00BF0F95"/>
    <w:rsid w:val="00BF15AE"/>
    <w:rsid w:val="00BF1809"/>
    <w:rsid w:val="00BF1C63"/>
    <w:rsid w:val="00BF2433"/>
    <w:rsid w:val="00BF2E87"/>
    <w:rsid w:val="00BF3390"/>
    <w:rsid w:val="00BF3A22"/>
    <w:rsid w:val="00BF44BF"/>
    <w:rsid w:val="00BF61C9"/>
    <w:rsid w:val="00BF6C94"/>
    <w:rsid w:val="00BF6D84"/>
    <w:rsid w:val="00BF6FB7"/>
    <w:rsid w:val="00BF72BE"/>
    <w:rsid w:val="00BF7D6B"/>
    <w:rsid w:val="00C00424"/>
    <w:rsid w:val="00C0067A"/>
    <w:rsid w:val="00C0297D"/>
    <w:rsid w:val="00C02D9E"/>
    <w:rsid w:val="00C03FA4"/>
    <w:rsid w:val="00C051BF"/>
    <w:rsid w:val="00C0600E"/>
    <w:rsid w:val="00C067FE"/>
    <w:rsid w:val="00C06B95"/>
    <w:rsid w:val="00C0721C"/>
    <w:rsid w:val="00C1035F"/>
    <w:rsid w:val="00C1179F"/>
    <w:rsid w:val="00C119AB"/>
    <w:rsid w:val="00C12C14"/>
    <w:rsid w:val="00C12CB1"/>
    <w:rsid w:val="00C12D01"/>
    <w:rsid w:val="00C131FB"/>
    <w:rsid w:val="00C15F04"/>
    <w:rsid w:val="00C16CA5"/>
    <w:rsid w:val="00C179B3"/>
    <w:rsid w:val="00C17E3F"/>
    <w:rsid w:val="00C200AA"/>
    <w:rsid w:val="00C201F3"/>
    <w:rsid w:val="00C2072D"/>
    <w:rsid w:val="00C207D3"/>
    <w:rsid w:val="00C22D4A"/>
    <w:rsid w:val="00C22F0F"/>
    <w:rsid w:val="00C237ED"/>
    <w:rsid w:val="00C24632"/>
    <w:rsid w:val="00C25418"/>
    <w:rsid w:val="00C25D9C"/>
    <w:rsid w:val="00C26725"/>
    <w:rsid w:val="00C26CFE"/>
    <w:rsid w:val="00C273F8"/>
    <w:rsid w:val="00C2778B"/>
    <w:rsid w:val="00C279B5"/>
    <w:rsid w:val="00C30D58"/>
    <w:rsid w:val="00C31649"/>
    <w:rsid w:val="00C32FE3"/>
    <w:rsid w:val="00C3434C"/>
    <w:rsid w:val="00C34AF9"/>
    <w:rsid w:val="00C34BA0"/>
    <w:rsid w:val="00C36726"/>
    <w:rsid w:val="00C40385"/>
    <w:rsid w:val="00C41679"/>
    <w:rsid w:val="00C41768"/>
    <w:rsid w:val="00C41CDB"/>
    <w:rsid w:val="00C4339E"/>
    <w:rsid w:val="00C44274"/>
    <w:rsid w:val="00C45295"/>
    <w:rsid w:val="00C46A16"/>
    <w:rsid w:val="00C46A5C"/>
    <w:rsid w:val="00C46DB7"/>
    <w:rsid w:val="00C46DF5"/>
    <w:rsid w:val="00C475AA"/>
    <w:rsid w:val="00C47B5A"/>
    <w:rsid w:val="00C536F6"/>
    <w:rsid w:val="00C53C98"/>
    <w:rsid w:val="00C5448C"/>
    <w:rsid w:val="00C55257"/>
    <w:rsid w:val="00C56FCF"/>
    <w:rsid w:val="00C57B6C"/>
    <w:rsid w:val="00C6089C"/>
    <w:rsid w:val="00C60A12"/>
    <w:rsid w:val="00C625A4"/>
    <w:rsid w:val="00C628A6"/>
    <w:rsid w:val="00C62A99"/>
    <w:rsid w:val="00C62EBB"/>
    <w:rsid w:val="00C635C2"/>
    <w:rsid w:val="00C64339"/>
    <w:rsid w:val="00C64344"/>
    <w:rsid w:val="00C64D4C"/>
    <w:rsid w:val="00C65108"/>
    <w:rsid w:val="00C65442"/>
    <w:rsid w:val="00C65576"/>
    <w:rsid w:val="00C659BB"/>
    <w:rsid w:val="00C65A67"/>
    <w:rsid w:val="00C66165"/>
    <w:rsid w:val="00C667D0"/>
    <w:rsid w:val="00C67B32"/>
    <w:rsid w:val="00C70011"/>
    <w:rsid w:val="00C7060A"/>
    <w:rsid w:val="00C7151A"/>
    <w:rsid w:val="00C717E3"/>
    <w:rsid w:val="00C71CB5"/>
    <w:rsid w:val="00C71DDF"/>
    <w:rsid w:val="00C71F60"/>
    <w:rsid w:val="00C72241"/>
    <w:rsid w:val="00C7302F"/>
    <w:rsid w:val="00C73465"/>
    <w:rsid w:val="00C73ED1"/>
    <w:rsid w:val="00C750C8"/>
    <w:rsid w:val="00C7560F"/>
    <w:rsid w:val="00C75F23"/>
    <w:rsid w:val="00C76EFC"/>
    <w:rsid w:val="00C77827"/>
    <w:rsid w:val="00C80A0E"/>
    <w:rsid w:val="00C80A14"/>
    <w:rsid w:val="00C81016"/>
    <w:rsid w:val="00C8213F"/>
    <w:rsid w:val="00C823D7"/>
    <w:rsid w:val="00C82C6C"/>
    <w:rsid w:val="00C84665"/>
    <w:rsid w:val="00C85154"/>
    <w:rsid w:val="00C85590"/>
    <w:rsid w:val="00C8797A"/>
    <w:rsid w:val="00C900B8"/>
    <w:rsid w:val="00C901FA"/>
    <w:rsid w:val="00C90C71"/>
    <w:rsid w:val="00C91353"/>
    <w:rsid w:val="00C91380"/>
    <w:rsid w:val="00C91FD1"/>
    <w:rsid w:val="00C92AF2"/>
    <w:rsid w:val="00C931CF"/>
    <w:rsid w:val="00C932D7"/>
    <w:rsid w:val="00C93650"/>
    <w:rsid w:val="00C938CF"/>
    <w:rsid w:val="00C94049"/>
    <w:rsid w:val="00C94053"/>
    <w:rsid w:val="00C940E2"/>
    <w:rsid w:val="00C94310"/>
    <w:rsid w:val="00C94EEB"/>
    <w:rsid w:val="00C9624D"/>
    <w:rsid w:val="00C96823"/>
    <w:rsid w:val="00C969DA"/>
    <w:rsid w:val="00CA070A"/>
    <w:rsid w:val="00CA2C77"/>
    <w:rsid w:val="00CA3AFD"/>
    <w:rsid w:val="00CA3F64"/>
    <w:rsid w:val="00CA444F"/>
    <w:rsid w:val="00CA5245"/>
    <w:rsid w:val="00CA5D84"/>
    <w:rsid w:val="00CA611E"/>
    <w:rsid w:val="00CA644B"/>
    <w:rsid w:val="00CA71F4"/>
    <w:rsid w:val="00CA7B09"/>
    <w:rsid w:val="00CB12A5"/>
    <w:rsid w:val="00CB1CAC"/>
    <w:rsid w:val="00CB29FE"/>
    <w:rsid w:val="00CB2F2A"/>
    <w:rsid w:val="00CB3B5E"/>
    <w:rsid w:val="00CB4A13"/>
    <w:rsid w:val="00CB5B1A"/>
    <w:rsid w:val="00CB5B1C"/>
    <w:rsid w:val="00CB6269"/>
    <w:rsid w:val="00CB672F"/>
    <w:rsid w:val="00CB6B22"/>
    <w:rsid w:val="00CB7333"/>
    <w:rsid w:val="00CB7F5F"/>
    <w:rsid w:val="00CC09E1"/>
    <w:rsid w:val="00CC0C6A"/>
    <w:rsid w:val="00CC1B39"/>
    <w:rsid w:val="00CC2FB9"/>
    <w:rsid w:val="00CC35EA"/>
    <w:rsid w:val="00CC3848"/>
    <w:rsid w:val="00CC6667"/>
    <w:rsid w:val="00CC787F"/>
    <w:rsid w:val="00CD35C9"/>
    <w:rsid w:val="00CD3758"/>
    <w:rsid w:val="00CD3F77"/>
    <w:rsid w:val="00CD5267"/>
    <w:rsid w:val="00CD549B"/>
    <w:rsid w:val="00CD6ADC"/>
    <w:rsid w:val="00CD6E75"/>
    <w:rsid w:val="00CD7193"/>
    <w:rsid w:val="00CE1C81"/>
    <w:rsid w:val="00CE38C8"/>
    <w:rsid w:val="00CE5AC0"/>
    <w:rsid w:val="00CE6274"/>
    <w:rsid w:val="00CE77B6"/>
    <w:rsid w:val="00CF0D68"/>
    <w:rsid w:val="00CF2B8D"/>
    <w:rsid w:val="00CF3B3C"/>
    <w:rsid w:val="00CF456B"/>
    <w:rsid w:val="00CF55FB"/>
    <w:rsid w:val="00CF5A22"/>
    <w:rsid w:val="00CF788A"/>
    <w:rsid w:val="00CF7AA3"/>
    <w:rsid w:val="00D00170"/>
    <w:rsid w:val="00D0157D"/>
    <w:rsid w:val="00D01AD5"/>
    <w:rsid w:val="00D0262E"/>
    <w:rsid w:val="00D0270E"/>
    <w:rsid w:val="00D04CA9"/>
    <w:rsid w:val="00D0507D"/>
    <w:rsid w:val="00D05DC3"/>
    <w:rsid w:val="00D05E3D"/>
    <w:rsid w:val="00D06139"/>
    <w:rsid w:val="00D068D1"/>
    <w:rsid w:val="00D072A0"/>
    <w:rsid w:val="00D110BD"/>
    <w:rsid w:val="00D134E3"/>
    <w:rsid w:val="00D13675"/>
    <w:rsid w:val="00D141E1"/>
    <w:rsid w:val="00D143B7"/>
    <w:rsid w:val="00D14834"/>
    <w:rsid w:val="00D15314"/>
    <w:rsid w:val="00D15B18"/>
    <w:rsid w:val="00D15E46"/>
    <w:rsid w:val="00D161B7"/>
    <w:rsid w:val="00D17D6C"/>
    <w:rsid w:val="00D2155B"/>
    <w:rsid w:val="00D235D0"/>
    <w:rsid w:val="00D23D11"/>
    <w:rsid w:val="00D23FD0"/>
    <w:rsid w:val="00D244B6"/>
    <w:rsid w:val="00D246FB"/>
    <w:rsid w:val="00D25C81"/>
    <w:rsid w:val="00D2754D"/>
    <w:rsid w:val="00D27B27"/>
    <w:rsid w:val="00D27D57"/>
    <w:rsid w:val="00D27E60"/>
    <w:rsid w:val="00D3019B"/>
    <w:rsid w:val="00D31411"/>
    <w:rsid w:val="00D31EFC"/>
    <w:rsid w:val="00D32FAE"/>
    <w:rsid w:val="00D33BE9"/>
    <w:rsid w:val="00D33D0E"/>
    <w:rsid w:val="00D33F66"/>
    <w:rsid w:val="00D33F93"/>
    <w:rsid w:val="00D35236"/>
    <w:rsid w:val="00D352CD"/>
    <w:rsid w:val="00D35797"/>
    <w:rsid w:val="00D357FF"/>
    <w:rsid w:val="00D35E45"/>
    <w:rsid w:val="00D36ED2"/>
    <w:rsid w:val="00D36F5C"/>
    <w:rsid w:val="00D408D2"/>
    <w:rsid w:val="00D410CC"/>
    <w:rsid w:val="00D411D9"/>
    <w:rsid w:val="00D41729"/>
    <w:rsid w:val="00D420D0"/>
    <w:rsid w:val="00D422F9"/>
    <w:rsid w:val="00D424C7"/>
    <w:rsid w:val="00D42A60"/>
    <w:rsid w:val="00D437D4"/>
    <w:rsid w:val="00D43B2A"/>
    <w:rsid w:val="00D43D83"/>
    <w:rsid w:val="00D44CFD"/>
    <w:rsid w:val="00D46250"/>
    <w:rsid w:val="00D47575"/>
    <w:rsid w:val="00D50707"/>
    <w:rsid w:val="00D50CDD"/>
    <w:rsid w:val="00D511A6"/>
    <w:rsid w:val="00D511BE"/>
    <w:rsid w:val="00D51C34"/>
    <w:rsid w:val="00D523E9"/>
    <w:rsid w:val="00D5243B"/>
    <w:rsid w:val="00D52D73"/>
    <w:rsid w:val="00D533EC"/>
    <w:rsid w:val="00D547DC"/>
    <w:rsid w:val="00D56A95"/>
    <w:rsid w:val="00D57055"/>
    <w:rsid w:val="00D57157"/>
    <w:rsid w:val="00D602FE"/>
    <w:rsid w:val="00D62003"/>
    <w:rsid w:val="00D63E98"/>
    <w:rsid w:val="00D64114"/>
    <w:rsid w:val="00D7054C"/>
    <w:rsid w:val="00D70B61"/>
    <w:rsid w:val="00D70F16"/>
    <w:rsid w:val="00D72F57"/>
    <w:rsid w:val="00D737D3"/>
    <w:rsid w:val="00D744B3"/>
    <w:rsid w:val="00D74571"/>
    <w:rsid w:val="00D74993"/>
    <w:rsid w:val="00D76A44"/>
    <w:rsid w:val="00D7707E"/>
    <w:rsid w:val="00D806CA"/>
    <w:rsid w:val="00D815EF"/>
    <w:rsid w:val="00D8193F"/>
    <w:rsid w:val="00D81C4A"/>
    <w:rsid w:val="00D81F26"/>
    <w:rsid w:val="00D85121"/>
    <w:rsid w:val="00D86231"/>
    <w:rsid w:val="00D86692"/>
    <w:rsid w:val="00D901F5"/>
    <w:rsid w:val="00D90269"/>
    <w:rsid w:val="00D90EBA"/>
    <w:rsid w:val="00D91923"/>
    <w:rsid w:val="00D9307B"/>
    <w:rsid w:val="00D93753"/>
    <w:rsid w:val="00D940C2"/>
    <w:rsid w:val="00D95B3E"/>
    <w:rsid w:val="00D97FF7"/>
    <w:rsid w:val="00DA1473"/>
    <w:rsid w:val="00DA2089"/>
    <w:rsid w:val="00DA3167"/>
    <w:rsid w:val="00DA3314"/>
    <w:rsid w:val="00DA426C"/>
    <w:rsid w:val="00DA4A13"/>
    <w:rsid w:val="00DA4DC3"/>
    <w:rsid w:val="00DA6C83"/>
    <w:rsid w:val="00DA77A5"/>
    <w:rsid w:val="00DA7E99"/>
    <w:rsid w:val="00DB1E30"/>
    <w:rsid w:val="00DB3BDD"/>
    <w:rsid w:val="00DB3CFF"/>
    <w:rsid w:val="00DB3DBF"/>
    <w:rsid w:val="00DB4184"/>
    <w:rsid w:val="00DB484F"/>
    <w:rsid w:val="00DB78ED"/>
    <w:rsid w:val="00DB7C25"/>
    <w:rsid w:val="00DB7C77"/>
    <w:rsid w:val="00DB7ECD"/>
    <w:rsid w:val="00DC0158"/>
    <w:rsid w:val="00DC04F6"/>
    <w:rsid w:val="00DC05DB"/>
    <w:rsid w:val="00DC0690"/>
    <w:rsid w:val="00DC1D65"/>
    <w:rsid w:val="00DC204C"/>
    <w:rsid w:val="00DC3360"/>
    <w:rsid w:val="00DC3495"/>
    <w:rsid w:val="00DC3C57"/>
    <w:rsid w:val="00DC3DD5"/>
    <w:rsid w:val="00DC5501"/>
    <w:rsid w:val="00DC7154"/>
    <w:rsid w:val="00DC7E8A"/>
    <w:rsid w:val="00DD096C"/>
    <w:rsid w:val="00DD0C0D"/>
    <w:rsid w:val="00DD0F78"/>
    <w:rsid w:val="00DD273C"/>
    <w:rsid w:val="00DD2CD8"/>
    <w:rsid w:val="00DD3329"/>
    <w:rsid w:val="00DD3F28"/>
    <w:rsid w:val="00DD4537"/>
    <w:rsid w:val="00DD4E15"/>
    <w:rsid w:val="00DD593A"/>
    <w:rsid w:val="00DD59D8"/>
    <w:rsid w:val="00DD5B80"/>
    <w:rsid w:val="00DD628F"/>
    <w:rsid w:val="00DD65CC"/>
    <w:rsid w:val="00DD7A99"/>
    <w:rsid w:val="00DE19EE"/>
    <w:rsid w:val="00DE20DE"/>
    <w:rsid w:val="00DE2273"/>
    <w:rsid w:val="00DE2304"/>
    <w:rsid w:val="00DE2F88"/>
    <w:rsid w:val="00DE3138"/>
    <w:rsid w:val="00DE3672"/>
    <w:rsid w:val="00DE37F8"/>
    <w:rsid w:val="00DE45B7"/>
    <w:rsid w:val="00DE4FCB"/>
    <w:rsid w:val="00DE5709"/>
    <w:rsid w:val="00DE5D07"/>
    <w:rsid w:val="00DE6C47"/>
    <w:rsid w:val="00DE72A7"/>
    <w:rsid w:val="00DE7832"/>
    <w:rsid w:val="00DF0197"/>
    <w:rsid w:val="00DF18FC"/>
    <w:rsid w:val="00DF2949"/>
    <w:rsid w:val="00DF3390"/>
    <w:rsid w:val="00DF387D"/>
    <w:rsid w:val="00DF444A"/>
    <w:rsid w:val="00DF45B9"/>
    <w:rsid w:val="00DF46CB"/>
    <w:rsid w:val="00DF584A"/>
    <w:rsid w:val="00DF5D2B"/>
    <w:rsid w:val="00DF7AFA"/>
    <w:rsid w:val="00E00E8E"/>
    <w:rsid w:val="00E019EE"/>
    <w:rsid w:val="00E01E99"/>
    <w:rsid w:val="00E022A6"/>
    <w:rsid w:val="00E025DC"/>
    <w:rsid w:val="00E02E85"/>
    <w:rsid w:val="00E03C57"/>
    <w:rsid w:val="00E04F3F"/>
    <w:rsid w:val="00E05630"/>
    <w:rsid w:val="00E056EB"/>
    <w:rsid w:val="00E0614A"/>
    <w:rsid w:val="00E0674A"/>
    <w:rsid w:val="00E06DBB"/>
    <w:rsid w:val="00E06FD9"/>
    <w:rsid w:val="00E07F2D"/>
    <w:rsid w:val="00E10149"/>
    <w:rsid w:val="00E1029E"/>
    <w:rsid w:val="00E11340"/>
    <w:rsid w:val="00E122A1"/>
    <w:rsid w:val="00E12E07"/>
    <w:rsid w:val="00E13623"/>
    <w:rsid w:val="00E13752"/>
    <w:rsid w:val="00E13F98"/>
    <w:rsid w:val="00E15442"/>
    <w:rsid w:val="00E16372"/>
    <w:rsid w:val="00E16816"/>
    <w:rsid w:val="00E16D65"/>
    <w:rsid w:val="00E17E7B"/>
    <w:rsid w:val="00E205A1"/>
    <w:rsid w:val="00E20E4D"/>
    <w:rsid w:val="00E20ED6"/>
    <w:rsid w:val="00E21358"/>
    <w:rsid w:val="00E214B1"/>
    <w:rsid w:val="00E215DA"/>
    <w:rsid w:val="00E2189E"/>
    <w:rsid w:val="00E2249B"/>
    <w:rsid w:val="00E22A0D"/>
    <w:rsid w:val="00E22E76"/>
    <w:rsid w:val="00E2403D"/>
    <w:rsid w:val="00E244F6"/>
    <w:rsid w:val="00E25F8C"/>
    <w:rsid w:val="00E26222"/>
    <w:rsid w:val="00E2755A"/>
    <w:rsid w:val="00E2771E"/>
    <w:rsid w:val="00E300AB"/>
    <w:rsid w:val="00E30CC2"/>
    <w:rsid w:val="00E311EF"/>
    <w:rsid w:val="00E32180"/>
    <w:rsid w:val="00E32A9C"/>
    <w:rsid w:val="00E34948"/>
    <w:rsid w:val="00E34B40"/>
    <w:rsid w:val="00E35A21"/>
    <w:rsid w:val="00E370E1"/>
    <w:rsid w:val="00E37569"/>
    <w:rsid w:val="00E37D28"/>
    <w:rsid w:val="00E401B2"/>
    <w:rsid w:val="00E41E30"/>
    <w:rsid w:val="00E42F73"/>
    <w:rsid w:val="00E43D70"/>
    <w:rsid w:val="00E4481B"/>
    <w:rsid w:val="00E45CA1"/>
    <w:rsid w:val="00E46492"/>
    <w:rsid w:val="00E466F3"/>
    <w:rsid w:val="00E46954"/>
    <w:rsid w:val="00E469F3"/>
    <w:rsid w:val="00E46D2C"/>
    <w:rsid w:val="00E4724E"/>
    <w:rsid w:val="00E479BA"/>
    <w:rsid w:val="00E47B2C"/>
    <w:rsid w:val="00E47EF5"/>
    <w:rsid w:val="00E51280"/>
    <w:rsid w:val="00E51560"/>
    <w:rsid w:val="00E51E8C"/>
    <w:rsid w:val="00E5254A"/>
    <w:rsid w:val="00E53FC8"/>
    <w:rsid w:val="00E54347"/>
    <w:rsid w:val="00E54806"/>
    <w:rsid w:val="00E55424"/>
    <w:rsid w:val="00E55915"/>
    <w:rsid w:val="00E55AA9"/>
    <w:rsid w:val="00E55BB5"/>
    <w:rsid w:val="00E55C14"/>
    <w:rsid w:val="00E56A65"/>
    <w:rsid w:val="00E57738"/>
    <w:rsid w:val="00E60A66"/>
    <w:rsid w:val="00E60D57"/>
    <w:rsid w:val="00E61D20"/>
    <w:rsid w:val="00E6434A"/>
    <w:rsid w:val="00E64401"/>
    <w:rsid w:val="00E655B5"/>
    <w:rsid w:val="00E65E79"/>
    <w:rsid w:val="00E66BA2"/>
    <w:rsid w:val="00E66C6F"/>
    <w:rsid w:val="00E673BC"/>
    <w:rsid w:val="00E67416"/>
    <w:rsid w:val="00E67581"/>
    <w:rsid w:val="00E7032F"/>
    <w:rsid w:val="00E70F8C"/>
    <w:rsid w:val="00E714AB"/>
    <w:rsid w:val="00E718B6"/>
    <w:rsid w:val="00E71D2D"/>
    <w:rsid w:val="00E723BA"/>
    <w:rsid w:val="00E73033"/>
    <w:rsid w:val="00E73373"/>
    <w:rsid w:val="00E73581"/>
    <w:rsid w:val="00E73E6B"/>
    <w:rsid w:val="00E75DF7"/>
    <w:rsid w:val="00E76BDF"/>
    <w:rsid w:val="00E80271"/>
    <w:rsid w:val="00E80F5F"/>
    <w:rsid w:val="00E81292"/>
    <w:rsid w:val="00E81EAE"/>
    <w:rsid w:val="00E82A38"/>
    <w:rsid w:val="00E82F8A"/>
    <w:rsid w:val="00E833F7"/>
    <w:rsid w:val="00E8381B"/>
    <w:rsid w:val="00E83BDF"/>
    <w:rsid w:val="00E86F5E"/>
    <w:rsid w:val="00E87389"/>
    <w:rsid w:val="00E87804"/>
    <w:rsid w:val="00E87A1D"/>
    <w:rsid w:val="00E87D24"/>
    <w:rsid w:val="00E87DBC"/>
    <w:rsid w:val="00E87E47"/>
    <w:rsid w:val="00E9094A"/>
    <w:rsid w:val="00E911BC"/>
    <w:rsid w:val="00E91D35"/>
    <w:rsid w:val="00E9226A"/>
    <w:rsid w:val="00E92456"/>
    <w:rsid w:val="00E925EB"/>
    <w:rsid w:val="00E926A5"/>
    <w:rsid w:val="00E95A17"/>
    <w:rsid w:val="00E96752"/>
    <w:rsid w:val="00E971CB"/>
    <w:rsid w:val="00E97A76"/>
    <w:rsid w:val="00EA17C3"/>
    <w:rsid w:val="00EA2CAA"/>
    <w:rsid w:val="00EA3307"/>
    <w:rsid w:val="00EA3864"/>
    <w:rsid w:val="00EA3A5F"/>
    <w:rsid w:val="00EA4C32"/>
    <w:rsid w:val="00EA521E"/>
    <w:rsid w:val="00EA60D0"/>
    <w:rsid w:val="00EA6208"/>
    <w:rsid w:val="00EA6261"/>
    <w:rsid w:val="00EA7662"/>
    <w:rsid w:val="00EA7F1C"/>
    <w:rsid w:val="00EB0258"/>
    <w:rsid w:val="00EB061D"/>
    <w:rsid w:val="00EB0D0C"/>
    <w:rsid w:val="00EB0DCB"/>
    <w:rsid w:val="00EB12F0"/>
    <w:rsid w:val="00EB15B6"/>
    <w:rsid w:val="00EB1B07"/>
    <w:rsid w:val="00EB2804"/>
    <w:rsid w:val="00EB3119"/>
    <w:rsid w:val="00EB3A8F"/>
    <w:rsid w:val="00EB3D06"/>
    <w:rsid w:val="00EB4916"/>
    <w:rsid w:val="00EB534D"/>
    <w:rsid w:val="00EB5DA6"/>
    <w:rsid w:val="00EB76B7"/>
    <w:rsid w:val="00EC00C9"/>
    <w:rsid w:val="00EC05AB"/>
    <w:rsid w:val="00EC0DD9"/>
    <w:rsid w:val="00EC1669"/>
    <w:rsid w:val="00EC2649"/>
    <w:rsid w:val="00EC31ED"/>
    <w:rsid w:val="00EC5836"/>
    <w:rsid w:val="00EC688C"/>
    <w:rsid w:val="00EC7169"/>
    <w:rsid w:val="00ED04DF"/>
    <w:rsid w:val="00ED1170"/>
    <w:rsid w:val="00ED4BE8"/>
    <w:rsid w:val="00ED57EA"/>
    <w:rsid w:val="00ED5BD4"/>
    <w:rsid w:val="00ED7111"/>
    <w:rsid w:val="00EE07D3"/>
    <w:rsid w:val="00EE094F"/>
    <w:rsid w:val="00EE0C80"/>
    <w:rsid w:val="00EE0E8F"/>
    <w:rsid w:val="00EE1996"/>
    <w:rsid w:val="00EE1C01"/>
    <w:rsid w:val="00EE22AF"/>
    <w:rsid w:val="00EE3FB8"/>
    <w:rsid w:val="00EE4097"/>
    <w:rsid w:val="00EE4249"/>
    <w:rsid w:val="00EE45F6"/>
    <w:rsid w:val="00EE62A7"/>
    <w:rsid w:val="00EE639F"/>
    <w:rsid w:val="00EE7223"/>
    <w:rsid w:val="00EF0171"/>
    <w:rsid w:val="00EF105F"/>
    <w:rsid w:val="00EF109B"/>
    <w:rsid w:val="00EF1B25"/>
    <w:rsid w:val="00EF1DA0"/>
    <w:rsid w:val="00EF255A"/>
    <w:rsid w:val="00EF4280"/>
    <w:rsid w:val="00EF4747"/>
    <w:rsid w:val="00EF4BF8"/>
    <w:rsid w:val="00EF4CED"/>
    <w:rsid w:val="00EF4DE8"/>
    <w:rsid w:val="00EF5378"/>
    <w:rsid w:val="00EF53A3"/>
    <w:rsid w:val="00EF5A03"/>
    <w:rsid w:val="00EF6473"/>
    <w:rsid w:val="00F00B5F"/>
    <w:rsid w:val="00F0145F"/>
    <w:rsid w:val="00F02253"/>
    <w:rsid w:val="00F0276C"/>
    <w:rsid w:val="00F02BA3"/>
    <w:rsid w:val="00F03C2E"/>
    <w:rsid w:val="00F04A66"/>
    <w:rsid w:val="00F04B4B"/>
    <w:rsid w:val="00F0516C"/>
    <w:rsid w:val="00F067A2"/>
    <w:rsid w:val="00F06F63"/>
    <w:rsid w:val="00F07B9E"/>
    <w:rsid w:val="00F10239"/>
    <w:rsid w:val="00F1116F"/>
    <w:rsid w:val="00F1263A"/>
    <w:rsid w:val="00F1374F"/>
    <w:rsid w:val="00F13B9F"/>
    <w:rsid w:val="00F1472D"/>
    <w:rsid w:val="00F154FA"/>
    <w:rsid w:val="00F15B07"/>
    <w:rsid w:val="00F15B77"/>
    <w:rsid w:val="00F21DB6"/>
    <w:rsid w:val="00F22409"/>
    <w:rsid w:val="00F22FC2"/>
    <w:rsid w:val="00F237DF"/>
    <w:rsid w:val="00F24837"/>
    <w:rsid w:val="00F24C78"/>
    <w:rsid w:val="00F24C9B"/>
    <w:rsid w:val="00F24D2A"/>
    <w:rsid w:val="00F2575F"/>
    <w:rsid w:val="00F27211"/>
    <w:rsid w:val="00F27327"/>
    <w:rsid w:val="00F27565"/>
    <w:rsid w:val="00F304EC"/>
    <w:rsid w:val="00F30E90"/>
    <w:rsid w:val="00F310D4"/>
    <w:rsid w:val="00F312DB"/>
    <w:rsid w:val="00F31D5A"/>
    <w:rsid w:val="00F3207D"/>
    <w:rsid w:val="00F327CE"/>
    <w:rsid w:val="00F32C3C"/>
    <w:rsid w:val="00F33975"/>
    <w:rsid w:val="00F33DE9"/>
    <w:rsid w:val="00F34926"/>
    <w:rsid w:val="00F3492D"/>
    <w:rsid w:val="00F35E6D"/>
    <w:rsid w:val="00F3619A"/>
    <w:rsid w:val="00F363B8"/>
    <w:rsid w:val="00F40AAA"/>
    <w:rsid w:val="00F40BA7"/>
    <w:rsid w:val="00F40F9D"/>
    <w:rsid w:val="00F417BF"/>
    <w:rsid w:val="00F41ACD"/>
    <w:rsid w:val="00F42BDF"/>
    <w:rsid w:val="00F43D9A"/>
    <w:rsid w:val="00F43EA0"/>
    <w:rsid w:val="00F45519"/>
    <w:rsid w:val="00F46CB6"/>
    <w:rsid w:val="00F4756D"/>
    <w:rsid w:val="00F47BAD"/>
    <w:rsid w:val="00F47CD1"/>
    <w:rsid w:val="00F47DE8"/>
    <w:rsid w:val="00F50980"/>
    <w:rsid w:val="00F53108"/>
    <w:rsid w:val="00F53BD7"/>
    <w:rsid w:val="00F542C1"/>
    <w:rsid w:val="00F55B1C"/>
    <w:rsid w:val="00F55E73"/>
    <w:rsid w:val="00F55EDA"/>
    <w:rsid w:val="00F56C80"/>
    <w:rsid w:val="00F60092"/>
    <w:rsid w:val="00F602E3"/>
    <w:rsid w:val="00F61C18"/>
    <w:rsid w:val="00F61E31"/>
    <w:rsid w:val="00F62907"/>
    <w:rsid w:val="00F63E7D"/>
    <w:rsid w:val="00F651F3"/>
    <w:rsid w:val="00F65911"/>
    <w:rsid w:val="00F65F4B"/>
    <w:rsid w:val="00F6754E"/>
    <w:rsid w:val="00F67634"/>
    <w:rsid w:val="00F67796"/>
    <w:rsid w:val="00F67A69"/>
    <w:rsid w:val="00F70BFF"/>
    <w:rsid w:val="00F70C9D"/>
    <w:rsid w:val="00F72684"/>
    <w:rsid w:val="00F73080"/>
    <w:rsid w:val="00F73EDA"/>
    <w:rsid w:val="00F741FA"/>
    <w:rsid w:val="00F74CD9"/>
    <w:rsid w:val="00F754D8"/>
    <w:rsid w:val="00F75C36"/>
    <w:rsid w:val="00F7779C"/>
    <w:rsid w:val="00F80109"/>
    <w:rsid w:val="00F80A7B"/>
    <w:rsid w:val="00F80E5D"/>
    <w:rsid w:val="00F8158F"/>
    <w:rsid w:val="00F81E78"/>
    <w:rsid w:val="00F848B0"/>
    <w:rsid w:val="00F851CE"/>
    <w:rsid w:val="00F85754"/>
    <w:rsid w:val="00F85BF3"/>
    <w:rsid w:val="00F87219"/>
    <w:rsid w:val="00F87E45"/>
    <w:rsid w:val="00F90912"/>
    <w:rsid w:val="00F90A59"/>
    <w:rsid w:val="00F90AA8"/>
    <w:rsid w:val="00F91219"/>
    <w:rsid w:val="00F92444"/>
    <w:rsid w:val="00F92A28"/>
    <w:rsid w:val="00F9393E"/>
    <w:rsid w:val="00F95C37"/>
    <w:rsid w:val="00F95EE6"/>
    <w:rsid w:val="00F96FD0"/>
    <w:rsid w:val="00F975E0"/>
    <w:rsid w:val="00F97A78"/>
    <w:rsid w:val="00FA0778"/>
    <w:rsid w:val="00FA0B20"/>
    <w:rsid w:val="00FA0C59"/>
    <w:rsid w:val="00FA182C"/>
    <w:rsid w:val="00FA1FB6"/>
    <w:rsid w:val="00FA24E7"/>
    <w:rsid w:val="00FA432C"/>
    <w:rsid w:val="00FA480D"/>
    <w:rsid w:val="00FA5EE6"/>
    <w:rsid w:val="00FA6C90"/>
    <w:rsid w:val="00FA7956"/>
    <w:rsid w:val="00FB0EF7"/>
    <w:rsid w:val="00FB2FCB"/>
    <w:rsid w:val="00FB32AA"/>
    <w:rsid w:val="00FB4BE5"/>
    <w:rsid w:val="00FB4C49"/>
    <w:rsid w:val="00FB58E4"/>
    <w:rsid w:val="00FB6817"/>
    <w:rsid w:val="00FB7419"/>
    <w:rsid w:val="00FB7C55"/>
    <w:rsid w:val="00FC0327"/>
    <w:rsid w:val="00FC044D"/>
    <w:rsid w:val="00FC1074"/>
    <w:rsid w:val="00FC1884"/>
    <w:rsid w:val="00FC18C0"/>
    <w:rsid w:val="00FC371D"/>
    <w:rsid w:val="00FC3CDA"/>
    <w:rsid w:val="00FC489B"/>
    <w:rsid w:val="00FC505B"/>
    <w:rsid w:val="00FC5F0B"/>
    <w:rsid w:val="00FC78FB"/>
    <w:rsid w:val="00FD0FB7"/>
    <w:rsid w:val="00FD2100"/>
    <w:rsid w:val="00FD436C"/>
    <w:rsid w:val="00FD446D"/>
    <w:rsid w:val="00FD4F2C"/>
    <w:rsid w:val="00FD5157"/>
    <w:rsid w:val="00FD5A28"/>
    <w:rsid w:val="00FD6394"/>
    <w:rsid w:val="00FD7046"/>
    <w:rsid w:val="00FE06A5"/>
    <w:rsid w:val="00FE0E6C"/>
    <w:rsid w:val="00FE10FB"/>
    <w:rsid w:val="00FE1CDC"/>
    <w:rsid w:val="00FE4C17"/>
    <w:rsid w:val="00FE6F02"/>
    <w:rsid w:val="00FE70C3"/>
    <w:rsid w:val="00FF2A57"/>
    <w:rsid w:val="00FF2AD9"/>
    <w:rsid w:val="00FF2C13"/>
    <w:rsid w:val="00FF2EF2"/>
    <w:rsid w:val="00FF359F"/>
    <w:rsid w:val="00FF3DCF"/>
    <w:rsid w:val="00FF492C"/>
    <w:rsid w:val="00FF4A21"/>
    <w:rsid w:val="00FF4A3B"/>
    <w:rsid w:val="00FF5AA3"/>
    <w:rsid w:val="00FF5AD8"/>
    <w:rsid w:val="00FF63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9BB"/>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List,ES Paragraph,PBAC ES Paragraph,PBAC normal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basedOn w:val="Normal"/>
    <w:unhideWhenUsed/>
    <w:rsid w:val="00EE1996"/>
    <w:pPr>
      <w:numPr>
        <w:numId w:val="4"/>
      </w:numPr>
      <w:contextualSpacing/>
    </w:p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List Char,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Dossier table,Summary Table,PBAC table,new sty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FootnoteText">
    <w:name w:val="footnote text"/>
    <w:basedOn w:val="Normal"/>
    <w:link w:val="FootnoteTextChar"/>
    <w:uiPriority w:val="99"/>
    <w:semiHidden/>
    <w:unhideWhenUsed/>
    <w:rsid w:val="00DE45B7"/>
    <w:rPr>
      <w:sz w:val="20"/>
      <w:szCs w:val="20"/>
    </w:rPr>
  </w:style>
  <w:style w:type="character" w:customStyle="1" w:styleId="FootnoteTextChar">
    <w:name w:val="Footnote Text Char"/>
    <w:basedOn w:val="DefaultParagraphFont"/>
    <w:link w:val="FootnoteText"/>
    <w:uiPriority w:val="99"/>
    <w:semiHidden/>
    <w:rsid w:val="00DE45B7"/>
    <w:rPr>
      <w:rFonts w:ascii="Calibri" w:hAnsi="Calibri" w:cs="Arial"/>
    </w:rPr>
  </w:style>
  <w:style w:type="character" w:styleId="FootnoteReference">
    <w:name w:val="footnote reference"/>
    <w:basedOn w:val="DefaultParagraphFont"/>
    <w:uiPriority w:val="99"/>
    <w:unhideWhenUsed/>
    <w:rsid w:val="00DE45B7"/>
    <w:rPr>
      <w:vertAlign w:val="superscript"/>
    </w:rPr>
  </w:style>
  <w:style w:type="character" w:customStyle="1" w:styleId="TableLeftChar">
    <w:name w:val="Table Left Char"/>
    <w:basedOn w:val="DefaultParagraphFont"/>
    <w:link w:val="TableLeft"/>
    <w:uiPriority w:val="99"/>
    <w:locked/>
    <w:rsid w:val="00A456C7"/>
    <w:rPr>
      <w:rFonts w:ascii="Arial Narrow" w:eastAsiaTheme="majorEastAsia" w:hAnsi="Arial Narrow" w:cstheme="majorBidi"/>
      <w:szCs w:val="22"/>
      <w:lang w:eastAsia="en-US" w:bidi="en-US"/>
    </w:rPr>
  </w:style>
  <w:style w:type="paragraph" w:customStyle="1" w:styleId="TableLeft">
    <w:name w:val="Table Left"/>
    <w:basedOn w:val="Normal"/>
    <w:link w:val="TableLeftChar"/>
    <w:uiPriority w:val="99"/>
    <w:qFormat/>
    <w:rsid w:val="00A456C7"/>
    <w:rPr>
      <w:rFonts w:ascii="Arial Narrow" w:eastAsiaTheme="majorEastAsia" w:hAnsi="Arial Narrow" w:cstheme="majorBidi"/>
      <w:sz w:val="20"/>
      <w:szCs w:val="22"/>
      <w:lang w:eastAsia="en-US" w:bidi="en-US"/>
    </w:rPr>
  </w:style>
  <w:style w:type="character" w:customStyle="1" w:styleId="Small">
    <w:name w:val="Small"/>
    <w:basedOn w:val="DefaultParagraphFont"/>
    <w:uiPriority w:val="4"/>
    <w:qFormat/>
    <w:rsid w:val="004A312B"/>
    <w:rPr>
      <w:rFonts w:ascii="Arial Narrow" w:hAnsi="Arial Narrow"/>
      <w:sz w:val="20"/>
    </w:rPr>
  </w:style>
  <w:style w:type="character" w:customStyle="1" w:styleId="SmallBold">
    <w:name w:val="Small Bold"/>
    <w:basedOn w:val="Small"/>
    <w:uiPriority w:val="4"/>
    <w:qFormat/>
    <w:rsid w:val="004A312B"/>
    <w:rPr>
      <w:rFonts w:ascii="Arial Narrow" w:hAnsi="Arial Narrow"/>
      <w:b/>
      <w:sz w:val="20"/>
      <w:lang w:val="en-AU"/>
    </w:rPr>
  </w:style>
  <w:style w:type="paragraph" w:customStyle="1" w:styleId="EndNoteBibliography">
    <w:name w:val="EndNote Bibliography"/>
    <w:basedOn w:val="Normal"/>
    <w:link w:val="EndNoteBibliographyChar"/>
    <w:rsid w:val="00842EBC"/>
    <w:pPr>
      <w:spacing w:after="240"/>
    </w:pPr>
    <w:rPr>
      <w:rFonts w:ascii="Sabon" w:eastAsiaTheme="majorEastAsia" w:hAnsi="Sabon" w:cstheme="majorBidi"/>
      <w:sz w:val="22"/>
      <w:szCs w:val="22"/>
      <w:lang w:eastAsia="en-US" w:bidi="en-US"/>
    </w:rPr>
  </w:style>
  <w:style w:type="character" w:customStyle="1" w:styleId="EndNoteBibliographyChar">
    <w:name w:val="EndNote Bibliography Char"/>
    <w:basedOn w:val="DefaultParagraphFont"/>
    <w:link w:val="EndNoteBibliography"/>
    <w:rsid w:val="00842EBC"/>
    <w:rPr>
      <w:rFonts w:ascii="Sabon" w:eastAsiaTheme="majorEastAsia" w:hAnsi="Sabon" w:cstheme="majorBidi"/>
      <w:sz w:val="22"/>
      <w:szCs w:val="22"/>
      <w:lang w:eastAsia="en-US" w:bidi="en-US"/>
    </w:rPr>
  </w:style>
  <w:style w:type="paragraph" w:customStyle="1" w:styleId="TableBullets">
    <w:name w:val="Table Bullets"/>
    <w:basedOn w:val="TableLeft"/>
    <w:autoRedefine/>
    <w:uiPriority w:val="5"/>
    <w:qFormat/>
    <w:rsid w:val="00842EBC"/>
    <w:rPr>
      <w:sz w:val="18"/>
    </w:rPr>
  </w:style>
  <w:style w:type="paragraph" w:customStyle="1" w:styleId="TableCentre">
    <w:name w:val="Table Centre"/>
    <w:basedOn w:val="TableLeft"/>
    <w:qFormat/>
    <w:rsid w:val="00842EBC"/>
    <w:pPr>
      <w:jc w:val="center"/>
    </w:pPr>
    <w:rPr>
      <w:rFonts w:eastAsia="Times New Roman" w:cs="Times New Roman"/>
      <w:szCs w:val="20"/>
      <w:lang w:eastAsia="en-AU" w:bidi="ar-SA"/>
    </w:rPr>
  </w:style>
  <w:style w:type="paragraph" w:customStyle="1" w:styleId="TableNotes">
    <w:name w:val="Table Notes"/>
    <w:basedOn w:val="Normal"/>
    <w:link w:val="TableNotesChar"/>
    <w:qFormat/>
    <w:rsid w:val="00842EBC"/>
    <w:pPr>
      <w:spacing w:after="40" w:line="360" w:lineRule="auto"/>
    </w:pPr>
    <w:rPr>
      <w:rFonts w:ascii="Arial Narrow" w:eastAsiaTheme="majorEastAsia" w:hAnsi="Arial Narrow" w:cstheme="majorBidi"/>
      <w:sz w:val="16"/>
      <w:szCs w:val="22"/>
      <w:lang w:eastAsia="en-US" w:bidi="en-US"/>
    </w:rPr>
  </w:style>
  <w:style w:type="character" w:customStyle="1" w:styleId="TableNotesChar">
    <w:name w:val="Table Notes Char"/>
    <w:basedOn w:val="DefaultParagraphFont"/>
    <w:link w:val="TableNotes"/>
    <w:rsid w:val="00842EBC"/>
    <w:rPr>
      <w:rFonts w:ascii="Arial Narrow" w:eastAsiaTheme="majorEastAsia" w:hAnsi="Arial Narrow" w:cstheme="majorBidi"/>
      <w:sz w:val="16"/>
      <w:szCs w:val="22"/>
      <w:lang w:eastAsia="en-US" w:bidi="en-US"/>
    </w:rPr>
  </w:style>
  <w:style w:type="character" w:customStyle="1" w:styleId="FontSubscript">
    <w:name w:val="Font Subscript"/>
    <w:basedOn w:val="DefaultParagraphFont"/>
    <w:uiPriority w:val="1"/>
    <w:qFormat/>
    <w:rsid w:val="00842EBC"/>
    <w:rPr>
      <w:rFonts w:ascii="Sabon" w:hAnsi="Sabon"/>
      <w:sz w:val="22"/>
      <w:vertAlign w:val="subscript"/>
    </w:rPr>
  </w:style>
  <w:style w:type="table" w:customStyle="1" w:styleId="TableGrid1">
    <w:name w:val="Table Grid1"/>
    <w:basedOn w:val="TableNormal"/>
    <w:next w:val="TableGrid"/>
    <w:uiPriority w:val="59"/>
    <w:rsid w:val="00842EBC"/>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lternative3">
    <w:name w:val="Alternative 3"/>
    <w:basedOn w:val="Alternative2"/>
    <w:next w:val="Normal"/>
    <w:qFormat/>
    <w:rsid w:val="00842EBC"/>
    <w:pPr>
      <w:numPr>
        <w:ilvl w:val="2"/>
      </w:numPr>
      <w:ind w:left="1418" w:hanging="1418"/>
      <w:outlineLvl w:val="2"/>
    </w:pPr>
    <w:rPr>
      <w:sz w:val="26"/>
    </w:rPr>
  </w:style>
  <w:style w:type="paragraph" w:customStyle="1" w:styleId="Alternative2">
    <w:name w:val="Alternative 2"/>
    <w:basedOn w:val="Normal"/>
    <w:next w:val="Normal"/>
    <w:qFormat/>
    <w:rsid w:val="00842EBC"/>
    <w:pPr>
      <w:spacing w:after="200" w:line="276" w:lineRule="auto"/>
      <w:ind w:left="1418" w:hanging="1418"/>
      <w:contextualSpacing/>
      <w:jc w:val="left"/>
      <w:outlineLvl w:val="1"/>
    </w:pPr>
    <w:rPr>
      <w:rFonts w:ascii="Verdana" w:eastAsiaTheme="majorEastAsia" w:hAnsi="Verdana" w:cstheme="majorBidi"/>
      <w:b/>
      <w:sz w:val="28"/>
      <w:szCs w:val="22"/>
      <w:lang w:eastAsia="en-US" w:bidi="en-US"/>
    </w:rPr>
  </w:style>
  <w:style w:type="paragraph" w:customStyle="1" w:styleId="Alternative1">
    <w:name w:val="Alternative 1"/>
    <w:basedOn w:val="Normal"/>
    <w:next w:val="Normal"/>
    <w:qFormat/>
    <w:rsid w:val="00842EBC"/>
    <w:pPr>
      <w:spacing w:after="200" w:line="276" w:lineRule="auto"/>
      <w:ind w:left="1418" w:hanging="1418"/>
      <w:contextualSpacing/>
      <w:jc w:val="left"/>
      <w:outlineLvl w:val="0"/>
    </w:pPr>
    <w:rPr>
      <w:rFonts w:ascii="Verdana" w:eastAsiaTheme="majorEastAsia" w:hAnsi="Verdana" w:cstheme="majorBidi"/>
      <w:b/>
      <w:sz w:val="32"/>
      <w:szCs w:val="22"/>
      <w:lang w:eastAsia="en-US" w:bidi="en-US"/>
    </w:rPr>
  </w:style>
  <w:style w:type="paragraph" w:customStyle="1" w:styleId="Alternative4">
    <w:name w:val="Alternative 4"/>
    <w:basedOn w:val="Alternative3"/>
    <w:next w:val="Normal"/>
    <w:qFormat/>
    <w:rsid w:val="00842EBC"/>
    <w:pPr>
      <w:numPr>
        <w:ilvl w:val="3"/>
      </w:numPr>
      <w:ind w:left="1418" w:hanging="1418"/>
      <w:outlineLvl w:val="3"/>
    </w:pPr>
    <w:rPr>
      <w:sz w:val="24"/>
    </w:rPr>
  </w:style>
  <w:style w:type="character" w:styleId="PlaceholderText">
    <w:name w:val="Placeholder Text"/>
    <w:basedOn w:val="DefaultParagraphFont"/>
    <w:uiPriority w:val="99"/>
    <w:semiHidden/>
    <w:rsid w:val="00842EBC"/>
    <w:rPr>
      <w:color w:val="808080"/>
    </w:rPr>
  </w:style>
  <w:style w:type="table" w:customStyle="1" w:styleId="Summarybox1">
    <w:name w:val="Summary box1"/>
    <w:basedOn w:val="TableNormal"/>
    <w:next w:val="TableGrid"/>
    <w:uiPriority w:val="59"/>
    <w:rsid w:val="00842EBC"/>
    <w:rPr>
      <w:rFonts w:ascii="Arial Narrow" w:eastAsiaTheme="majorEastAsia" w:hAnsi="Arial Narrow" w:cstheme="majorBidi"/>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BF6FB7"/>
    <w:rPr>
      <w:color w:val="605E5C"/>
      <w:shd w:val="clear" w:color="auto" w:fill="E1DFDD"/>
    </w:rPr>
  </w:style>
  <w:style w:type="paragraph" w:styleId="EndnoteText">
    <w:name w:val="endnote text"/>
    <w:basedOn w:val="Normal"/>
    <w:link w:val="EndnoteTextChar"/>
    <w:semiHidden/>
    <w:unhideWhenUsed/>
    <w:rsid w:val="00826574"/>
    <w:rPr>
      <w:sz w:val="20"/>
      <w:szCs w:val="20"/>
    </w:rPr>
  </w:style>
  <w:style w:type="character" w:customStyle="1" w:styleId="EndnoteTextChar">
    <w:name w:val="Endnote Text Char"/>
    <w:basedOn w:val="DefaultParagraphFont"/>
    <w:link w:val="EndnoteText"/>
    <w:semiHidden/>
    <w:rsid w:val="00826574"/>
    <w:rPr>
      <w:rFonts w:ascii="Calibri" w:hAnsi="Calibri" w:cs="Arial"/>
    </w:rPr>
  </w:style>
  <w:style w:type="character" w:styleId="EndnoteReference">
    <w:name w:val="endnote reference"/>
    <w:basedOn w:val="DefaultParagraphFont"/>
    <w:semiHidden/>
    <w:unhideWhenUsed/>
    <w:rsid w:val="00826574"/>
    <w:rPr>
      <w:vertAlign w:val="superscript"/>
    </w:rPr>
  </w:style>
  <w:style w:type="paragraph" w:customStyle="1" w:styleId="Default">
    <w:name w:val="Default"/>
    <w:rsid w:val="008F72C9"/>
    <w:pPr>
      <w:autoSpaceDE w:val="0"/>
      <w:autoSpaceDN w:val="0"/>
      <w:adjustRightInd w:val="0"/>
    </w:pPr>
    <w:rPr>
      <w:rFonts w:ascii="Calibri" w:hAnsi="Calibri" w:cs="Calibri"/>
      <w:color w:val="000000"/>
      <w:sz w:val="24"/>
      <w:szCs w:val="24"/>
    </w:rPr>
  </w:style>
  <w:style w:type="paragraph" w:customStyle="1" w:styleId="CaptionSub">
    <w:name w:val="Caption Sub"/>
    <w:basedOn w:val="Caption"/>
    <w:link w:val="CaptionSubChar"/>
    <w:qFormat/>
    <w:rsid w:val="003305EA"/>
    <w:pPr>
      <w:keepNext/>
      <w:spacing w:after="0"/>
      <w:jc w:val="left"/>
    </w:pPr>
    <w:rPr>
      <w:rFonts w:ascii="Arial Narrow" w:eastAsia="MS Mincho" w:hAnsi="Arial Narrow" w:cs="Times New Roman"/>
      <w:color w:val="auto"/>
      <w:sz w:val="20"/>
      <w:szCs w:val="20"/>
      <w:lang w:eastAsia="en-US"/>
    </w:rPr>
  </w:style>
  <w:style w:type="character" w:customStyle="1" w:styleId="CaptionSubChar">
    <w:name w:val="Caption Sub Char"/>
    <w:basedOn w:val="DefaultParagraphFont"/>
    <w:link w:val="CaptionSub"/>
    <w:rsid w:val="003305EA"/>
    <w:rPr>
      <w:rFonts w:ascii="Arial Narrow" w:eastAsia="MS Mincho" w:hAnsi="Arial Narrow"/>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1349">
      <w:bodyDiv w:val="1"/>
      <w:marLeft w:val="0"/>
      <w:marRight w:val="0"/>
      <w:marTop w:val="0"/>
      <w:marBottom w:val="0"/>
      <w:divBdr>
        <w:top w:val="none" w:sz="0" w:space="0" w:color="auto"/>
        <w:left w:val="none" w:sz="0" w:space="0" w:color="auto"/>
        <w:bottom w:val="none" w:sz="0" w:space="0" w:color="auto"/>
        <w:right w:val="none" w:sz="0" w:space="0" w:color="auto"/>
      </w:divBdr>
    </w:div>
    <w:div w:id="14962867">
      <w:bodyDiv w:val="1"/>
      <w:marLeft w:val="0"/>
      <w:marRight w:val="0"/>
      <w:marTop w:val="0"/>
      <w:marBottom w:val="0"/>
      <w:divBdr>
        <w:top w:val="none" w:sz="0" w:space="0" w:color="auto"/>
        <w:left w:val="none" w:sz="0" w:space="0" w:color="auto"/>
        <w:bottom w:val="none" w:sz="0" w:space="0" w:color="auto"/>
        <w:right w:val="none" w:sz="0" w:space="0" w:color="auto"/>
      </w:divBdr>
    </w:div>
    <w:div w:id="16590763">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3961899">
      <w:bodyDiv w:val="1"/>
      <w:marLeft w:val="0"/>
      <w:marRight w:val="0"/>
      <w:marTop w:val="0"/>
      <w:marBottom w:val="0"/>
      <w:divBdr>
        <w:top w:val="none" w:sz="0" w:space="0" w:color="auto"/>
        <w:left w:val="none" w:sz="0" w:space="0" w:color="auto"/>
        <w:bottom w:val="none" w:sz="0" w:space="0" w:color="auto"/>
        <w:right w:val="none" w:sz="0" w:space="0" w:color="auto"/>
      </w:divBdr>
    </w:div>
    <w:div w:id="115099246">
      <w:bodyDiv w:val="1"/>
      <w:marLeft w:val="0"/>
      <w:marRight w:val="0"/>
      <w:marTop w:val="0"/>
      <w:marBottom w:val="0"/>
      <w:divBdr>
        <w:top w:val="none" w:sz="0" w:space="0" w:color="auto"/>
        <w:left w:val="none" w:sz="0" w:space="0" w:color="auto"/>
        <w:bottom w:val="none" w:sz="0" w:space="0" w:color="auto"/>
        <w:right w:val="none" w:sz="0" w:space="0" w:color="auto"/>
      </w:divBdr>
      <w:divsChild>
        <w:div w:id="323703867">
          <w:marLeft w:val="1080"/>
          <w:marRight w:val="0"/>
          <w:marTop w:val="100"/>
          <w:marBottom w:val="0"/>
          <w:divBdr>
            <w:top w:val="none" w:sz="0" w:space="0" w:color="auto"/>
            <w:left w:val="none" w:sz="0" w:space="0" w:color="auto"/>
            <w:bottom w:val="none" w:sz="0" w:space="0" w:color="auto"/>
            <w:right w:val="none" w:sz="0" w:space="0" w:color="auto"/>
          </w:divBdr>
        </w:div>
      </w:divsChild>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5856559">
      <w:bodyDiv w:val="1"/>
      <w:marLeft w:val="0"/>
      <w:marRight w:val="0"/>
      <w:marTop w:val="0"/>
      <w:marBottom w:val="0"/>
      <w:divBdr>
        <w:top w:val="none" w:sz="0" w:space="0" w:color="auto"/>
        <w:left w:val="none" w:sz="0" w:space="0" w:color="auto"/>
        <w:bottom w:val="none" w:sz="0" w:space="0" w:color="auto"/>
        <w:right w:val="none" w:sz="0" w:space="0" w:color="auto"/>
      </w:divBdr>
      <w:divsChild>
        <w:div w:id="588200581">
          <w:marLeft w:val="360"/>
          <w:marRight w:val="0"/>
          <w:marTop w:val="200"/>
          <w:marBottom w:val="0"/>
          <w:divBdr>
            <w:top w:val="none" w:sz="0" w:space="0" w:color="auto"/>
            <w:left w:val="none" w:sz="0" w:space="0" w:color="auto"/>
            <w:bottom w:val="none" w:sz="0" w:space="0" w:color="auto"/>
            <w:right w:val="none" w:sz="0" w:space="0" w:color="auto"/>
          </w:divBdr>
        </w:div>
        <w:div w:id="981424731">
          <w:marLeft w:val="1080"/>
          <w:marRight w:val="0"/>
          <w:marTop w:val="100"/>
          <w:marBottom w:val="0"/>
          <w:divBdr>
            <w:top w:val="none" w:sz="0" w:space="0" w:color="auto"/>
            <w:left w:val="none" w:sz="0" w:space="0" w:color="auto"/>
            <w:bottom w:val="none" w:sz="0" w:space="0" w:color="auto"/>
            <w:right w:val="none" w:sz="0" w:space="0" w:color="auto"/>
          </w:divBdr>
        </w:div>
      </w:divsChild>
    </w:div>
    <w:div w:id="14805837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6661209">
      <w:bodyDiv w:val="1"/>
      <w:marLeft w:val="0"/>
      <w:marRight w:val="0"/>
      <w:marTop w:val="0"/>
      <w:marBottom w:val="0"/>
      <w:divBdr>
        <w:top w:val="none" w:sz="0" w:space="0" w:color="auto"/>
        <w:left w:val="none" w:sz="0" w:space="0" w:color="auto"/>
        <w:bottom w:val="none" w:sz="0" w:space="0" w:color="auto"/>
        <w:right w:val="none" w:sz="0" w:space="0" w:color="auto"/>
      </w:divBdr>
    </w:div>
    <w:div w:id="391805460">
      <w:bodyDiv w:val="1"/>
      <w:marLeft w:val="0"/>
      <w:marRight w:val="0"/>
      <w:marTop w:val="0"/>
      <w:marBottom w:val="0"/>
      <w:divBdr>
        <w:top w:val="none" w:sz="0" w:space="0" w:color="auto"/>
        <w:left w:val="none" w:sz="0" w:space="0" w:color="auto"/>
        <w:bottom w:val="none" w:sz="0" w:space="0" w:color="auto"/>
        <w:right w:val="none" w:sz="0" w:space="0" w:color="auto"/>
      </w:divBdr>
    </w:div>
    <w:div w:id="455762386">
      <w:bodyDiv w:val="1"/>
      <w:marLeft w:val="0"/>
      <w:marRight w:val="0"/>
      <w:marTop w:val="0"/>
      <w:marBottom w:val="0"/>
      <w:divBdr>
        <w:top w:val="none" w:sz="0" w:space="0" w:color="auto"/>
        <w:left w:val="none" w:sz="0" w:space="0" w:color="auto"/>
        <w:bottom w:val="none" w:sz="0" w:space="0" w:color="auto"/>
        <w:right w:val="none" w:sz="0" w:space="0" w:color="auto"/>
      </w:divBdr>
    </w:div>
    <w:div w:id="536626026">
      <w:bodyDiv w:val="1"/>
      <w:marLeft w:val="0"/>
      <w:marRight w:val="0"/>
      <w:marTop w:val="0"/>
      <w:marBottom w:val="0"/>
      <w:divBdr>
        <w:top w:val="none" w:sz="0" w:space="0" w:color="auto"/>
        <w:left w:val="none" w:sz="0" w:space="0" w:color="auto"/>
        <w:bottom w:val="none" w:sz="0" w:space="0" w:color="auto"/>
        <w:right w:val="none" w:sz="0" w:space="0" w:color="auto"/>
      </w:divBdr>
    </w:div>
    <w:div w:id="542601977">
      <w:bodyDiv w:val="1"/>
      <w:marLeft w:val="0"/>
      <w:marRight w:val="0"/>
      <w:marTop w:val="0"/>
      <w:marBottom w:val="0"/>
      <w:divBdr>
        <w:top w:val="none" w:sz="0" w:space="0" w:color="auto"/>
        <w:left w:val="none" w:sz="0" w:space="0" w:color="auto"/>
        <w:bottom w:val="none" w:sz="0" w:space="0" w:color="auto"/>
        <w:right w:val="none" w:sz="0" w:space="0" w:color="auto"/>
      </w:divBdr>
    </w:div>
    <w:div w:id="575864953">
      <w:bodyDiv w:val="1"/>
      <w:marLeft w:val="0"/>
      <w:marRight w:val="0"/>
      <w:marTop w:val="0"/>
      <w:marBottom w:val="0"/>
      <w:divBdr>
        <w:top w:val="none" w:sz="0" w:space="0" w:color="auto"/>
        <w:left w:val="none" w:sz="0" w:space="0" w:color="auto"/>
        <w:bottom w:val="none" w:sz="0" w:space="0" w:color="auto"/>
        <w:right w:val="none" w:sz="0" w:space="0" w:color="auto"/>
      </w:divBdr>
    </w:div>
    <w:div w:id="823008443">
      <w:bodyDiv w:val="1"/>
      <w:marLeft w:val="0"/>
      <w:marRight w:val="0"/>
      <w:marTop w:val="0"/>
      <w:marBottom w:val="0"/>
      <w:divBdr>
        <w:top w:val="none" w:sz="0" w:space="0" w:color="auto"/>
        <w:left w:val="none" w:sz="0" w:space="0" w:color="auto"/>
        <w:bottom w:val="none" w:sz="0" w:space="0" w:color="auto"/>
        <w:right w:val="none" w:sz="0" w:space="0" w:color="auto"/>
      </w:divBdr>
    </w:div>
    <w:div w:id="901869299">
      <w:bodyDiv w:val="1"/>
      <w:marLeft w:val="0"/>
      <w:marRight w:val="0"/>
      <w:marTop w:val="0"/>
      <w:marBottom w:val="0"/>
      <w:divBdr>
        <w:top w:val="none" w:sz="0" w:space="0" w:color="auto"/>
        <w:left w:val="none" w:sz="0" w:space="0" w:color="auto"/>
        <w:bottom w:val="none" w:sz="0" w:space="0" w:color="auto"/>
        <w:right w:val="none" w:sz="0" w:space="0" w:color="auto"/>
      </w:divBdr>
      <w:divsChild>
        <w:div w:id="1872381815">
          <w:marLeft w:val="360"/>
          <w:marRight w:val="0"/>
          <w:marTop w:val="200"/>
          <w:marBottom w:val="0"/>
          <w:divBdr>
            <w:top w:val="none" w:sz="0" w:space="0" w:color="auto"/>
            <w:left w:val="none" w:sz="0" w:space="0" w:color="auto"/>
            <w:bottom w:val="none" w:sz="0" w:space="0" w:color="auto"/>
            <w:right w:val="none" w:sz="0" w:space="0" w:color="auto"/>
          </w:divBdr>
        </w:div>
      </w:divsChild>
    </w:div>
    <w:div w:id="931013431">
      <w:bodyDiv w:val="1"/>
      <w:marLeft w:val="0"/>
      <w:marRight w:val="0"/>
      <w:marTop w:val="0"/>
      <w:marBottom w:val="0"/>
      <w:divBdr>
        <w:top w:val="none" w:sz="0" w:space="0" w:color="auto"/>
        <w:left w:val="none" w:sz="0" w:space="0" w:color="auto"/>
        <w:bottom w:val="none" w:sz="0" w:space="0" w:color="auto"/>
        <w:right w:val="none" w:sz="0" w:space="0" w:color="auto"/>
      </w:divBdr>
    </w:div>
    <w:div w:id="947782559">
      <w:bodyDiv w:val="1"/>
      <w:marLeft w:val="0"/>
      <w:marRight w:val="0"/>
      <w:marTop w:val="0"/>
      <w:marBottom w:val="0"/>
      <w:divBdr>
        <w:top w:val="none" w:sz="0" w:space="0" w:color="auto"/>
        <w:left w:val="none" w:sz="0" w:space="0" w:color="auto"/>
        <w:bottom w:val="none" w:sz="0" w:space="0" w:color="auto"/>
        <w:right w:val="none" w:sz="0" w:space="0" w:color="auto"/>
      </w:divBdr>
    </w:div>
    <w:div w:id="1015687051">
      <w:bodyDiv w:val="1"/>
      <w:marLeft w:val="0"/>
      <w:marRight w:val="0"/>
      <w:marTop w:val="0"/>
      <w:marBottom w:val="0"/>
      <w:divBdr>
        <w:top w:val="none" w:sz="0" w:space="0" w:color="auto"/>
        <w:left w:val="none" w:sz="0" w:space="0" w:color="auto"/>
        <w:bottom w:val="none" w:sz="0" w:space="0" w:color="auto"/>
        <w:right w:val="none" w:sz="0" w:space="0" w:color="auto"/>
      </w:divBdr>
    </w:div>
    <w:div w:id="115641301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02291">
      <w:bodyDiv w:val="1"/>
      <w:marLeft w:val="0"/>
      <w:marRight w:val="0"/>
      <w:marTop w:val="0"/>
      <w:marBottom w:val="0"/>
      <w:divBdr>
        <w:top w:val="none" w:sz="0" w:space="0" w:color="auto"/>
        <w:left w:val="none" w:sz="0" w:space="0" w:color="auto"/>
        <w:bottom w:val="none" w:sz="0" w:space="0" w:color="auto"/>
        <w:right w:val="none" w:sz="0" w:space="0" w:color="auto"/>
      </w:divBdr>
    </w:div>
    <w:div w:id="1357583286">
      <w:bodyDiv w:val="1"/>
      <w:marLeft w:val="0"/>
      <w:marRight w:val="0"/>
      <w:marTop w:val="0"/>
      <w:marBottom w:val="0"/>
      <w:divBdr>
        <w:top w:val="none" w:sz="0" w:space="0" w:color="auto"/>
        <w:left w:val="none" w:sz="0" w:space="0" w:color="auto"/>
        <w:bottom w:val="none" w:sz="0" w:space="0" w:color="auto"/>
        <w:right w:val="none" w:sz="0" w:space="0" w:color="auto"/>
      </w:divBdr>
    </w:div>
    <w:div w:id="1400322017">
      <w:bodyDiv w:val="1"/>
      <w:marLeft w:val="0"/>
      <w:marRight w:val="0"/>
      <w:marTop w:val="0"/>
      <w:marBottom w:val="0"/>
      <w:divBdr>
        <w:top w:val="none" w:sz="0" w:space="0" w:color="auto"/>
        <w:left w:val="none" w:sz="0" w:space="0" w:color="auto"/>
        <w:bottom w:val="none" w:sz="0" w:space="0" w:color="auto"/>
        <w:right w:val="none" w:sz="0" w:space="0" w:color="auto"/>
      </w:divBdr>
    </w:div>
    <w:div w:id="1406299249">
      <w:bodyDiv w:val="1"/>
      <w:marLeft w:val="0"/>
      <w:marRight w:val="0"/>
      <w:marTop w:val="0"/>
      <w:marBottom w:val="0"/>
      <w:divBdr>
        <w:top w:val="none" w:sz="0" w:space="0" w:color="auto"/>
        <w:left w:val="none" w:sz="0" w:space="0" w:color="auto"/>
        <w:bottom w:val="none" w:sz="0" w:space="0" w:color="auto"/>
        <w:right w:val="none" w:sz="0" w:space="0" w:color="auto"/>
      </w:divBdr>
    </w:div>
    <w:div w:id="1475491145">
      <w:bodyDiv w:val="1"/>
      <w:marLeft w:val="0"/>
      <w:marRight w:val="0"/>
      <w:marTop w:val="0"/>
      <w:marBottom w:val="0"/>
      <w:divBdr>
        <w:top w:val="none" w:sz="0" w:space="0" w:color="auto"/>
        <w:left w:val="none" w:sz="0" w:space="0" w:color="auto"/>
        <w:bottom w:val="none" w:sz="0" w:space="0" w:color="auto"/>
        <w:right w:val="none" w:sz="0" w:space="0" w:color="auto"/>
      </w:divBdr>
      <w:divsChild>
        <w:div w:id="878056815">
          <w:marLeft w:val="360"/>
          <w:marRight w:val="0"/>
          <w:marTop w:val="200"/>
          <w:marBottom w:val="0"/>
          <w:divBdr>
            <w:top w:val="none" w:sz="0" w:space="0" w:color="auto"/>
            <w:left w:val="none" w:sz="0" w:space="0" w:color="auto"/>
            <w:bottom w:val="none" w:sz="0" w:space="0" w:color="auto"/>
            <w:right w:val="none" w:sz="0" w:space="0" w:color="auto"/>
          </w:divBdr>
        </w:div>
      </w:divsChild>
    </w:div>
    <w:div w:id="1514607377">
      <w:bodyDiv w:val="1"/>
      <w:marLeft w:val="0"/>
      <w:marRight w:val="0"/>
      <w:marTop w:val="0"/>
      <w:marBottom w:val="0"/>
      <w:divBdr>
        <w:top w:val="none" w:sz="0" w:space="0" w:color="auto"/>
        <w:left w:val="none" w:sz="0" w:space="0" w:color="auto"/>
        <w:bottom w:val="none" w:sz="0" w:space="0" w:color="auto"/>
        <w:right w:val="none" w:sz="0" w:space="0" w:color="auto"/>
      </w:divBdr>
    </w:div>
    <w:div w:id="1531336430">
      <w:bodyDiv w:val="1"/>
      <w:marLeft w:val="0"/>
      <w:marRight w:val="0"/>
      <w:marTop w:val="0"/>
      <w:marBottom w:val="0"/>
      <w:divBdr>
        <w:top w:val="none" w:sz="0" w:space="0" w:color="auto"/>
        <w:left w:val="none" w:sz="0" w:space="0" w:color="auto"/>
        <w:bottom w:val="none" w:sz="0" w:space="0" w:color="auto"/>
        <w:right w:val="none" w:sz="0" w:space="0" w:color="auto"/>
      </w:divBdr>
    </w:div>
    <w:div w:id="1588805574">
      <w:bodyDiv w:val="1"/>
      <w:marLeft w:val="0"/>
      <w:marRight w:val="0"/>
      <w:marTop w:val="0"/>
      <w:marBottom w:val="0"/>
      <w:divBdr>
        <w:top w:val="none" w:sz="0" w:space="0" w:color="auto"/>
        <w:left w:val="none" w:sz="0" w:space="0" w:color="auto"/>
        <w:bottom w:val="none" w:sz="0" w:space="0" w:color="auto"/>
        <w:right w:val="none" w:sz="0" w:space="0" w:color="auto"/>
      </w:divBdr>
    </w:div>
    <w:div w:id="1628508342">
      <w:bodyDiv w:val="1"/>
      <w:marLeft w:val="0"/>
      <w:marRight w:val="0"/>
      <w:marTop w:val="0"/>
      <w:marBottom w:val="0"/>
      <w:divBdr>
        <w:top w:val="none" w:sz="0" w:space="0" w:color="auto"/>
        <w:left w:val="none" w:sz="0" w:space="0" w:color="auto"/>
        <w:bottom w:val="none" w:sz="0" w:space="0" w:color="auto"/>
        <w:right w:val="none" w:sz="0" w:space="0" w:color="auto"/>
      </w:divBdr>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87366564">
      <w:bodyDiv w:val="1"/>
      <w:marLeft w:val="0"/>
      <w:marRight w:val="0"/>
      <w:marTop w:val="0"/>
      <w:marBottom w:val="0"/>
      <w:divBdr>
        <w:top w:val="none" w:sz="0" w:space="0" w:color="auto"/>
        <w:left w:val="none" w:sz="0" w:space="0" w:color="auto"/>
        <w:bottom w:val="none" w:sz="0" w:space="0" w:color="auto"/>
        <w:right w:val="none" w:sz="0" w:space="0" w:color="auto"/>
      </w:divBdr>
      <w:divsChild>
        <w:div w:id="1819806806">
          <w:marLeft w:val="994"/>
          <w:marRight w:val="0"/>
          <w:marTop w:val="200"/>
          <w:marBottom w:val="0"/>
          <w:divBdr>
            <w:top w:val="none" w:sz="0" w:space="0" w:color="auto"/>
            <w:left w:val="none" w:sz="0" w:space="0" w:color="auto"/>
            <w:bottom w:val="none" w:sz="0" w:space="0" w:color="auto"/>
            <w:right w:val="none" w:sz="0" w:space="0" w:color="auto"/>
          </w:divBdr>
        </w:div>
        <w:div w:id="1812556370">
          <w:marLeft w:val="994"/>
          <w:marRight w:val="0"/>
          <w:marTop w:val="200"/>
          <w:marBottom w:val="0"/>
          <w:divBdr>
            <w:top w:val="none" w:sz="0" w:space="0" w:color="auto"/>
            <w:left w:val="none" w:sz="0" w:space="0" w:color="auto"/>
            <w:bottom w:val="none" w:sz="0" w:space="0" w:color="auto"/>
            <w:right w:val="none" w:sz="0" w:space="0" w:color="auto"/>
          </w:divBdr>
        </w:div>
      </w:divsChild>
    </w:div>
    <w:div w:id="1710493270">
      <w:bodyDiv w:val="1"/>
      <w:marLeft w:val="0"/>
      <w:marRight w:val="0"/>
      <w:marTop w:val="0"/>
      <w:marBottom w:val="0"/>
      <w:divBdr>
        <w:top w:val="none" w:sz="0" w:space="0" w:color="auto"/>
        <w:left w:val="none" w:sz="0" w:space="0" w:color="auto"/>
        <w:bottom w:val="none" w:sz="0" w:space="0" w:color="auto"/>
        <w:right w:val="none" w:sz="0" w:space="0" w:color="auto"/>
      </w:divBdr>
    </w:div>
    <w:div w:id="1731920260">
      <w:bodyDiv w:val="1"/>
      <w:marLeft w:val="0"/>
      <w:marRight w:val="0"/>
      <w:marTop w:val="0"/>
      <w:marBottom w:val="0"/>
      <w:divBdr>
        <w:top w:val="none" w:sz="0" w:space="0" w:color="auto"/>
        <w:left w:val="none" w:sz="0" w:space="0" w:color="auto"/>
        <w:bottom w:val="none" w:sz="0" w:space="0" w:color="auto"/>
        <w:right w:val="none" w:sz="0" w:space="0" w:color="auto"/>
      </w:divBdr>
    </w:div>
    <w:div w:id="1881549339">
      <w:bodyDiv w:val="1"/>
      <w:marLeft w:val="0"/>
      <w:marRight w:val="0"/>
      <w:marTop w:val="0"/>
      <w:marBottom w:val="0"/>
      <w:divBdr>
        <w:top w:val="none" w:sz="0" w:space="0" w:color="auto"/>
        <w:left w:val="none" w:sz="0" w:space="0" w:color="auto"/>
        <w:bottom w:val="none" w:sz="0" w:space="0" w:color="auto"/>
        <w:right w:val="none" w:sz="0" w:space="0" w:color="auto"/>
      </w:divBdr>
    </w:div>
    <w:div w:id="195081275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09746324">
      <w:bodyDiv w:val="1"/>
      <w:marLeft w:val="0"/>
      <w:marRight w:val="0"/>
      <w:marTop w:val="0"/>
      <w:marBottom w:val="0"/>
      <w:divBdr>
        <w:top w:val="none" w:sz="0" w:space="0" w:color="auto"/>
        <w:left w:val="none" w:sz="0" w:space="0" w:color="auto"/>
        <w:bottom w:val="none" w:sz="0" w:space="0" w:color="auto"/>
        <w:right w:val="none" w:sz="0" w:space="0" w:color="auto"/>
      </w:divBdr>
    </w:div>
    <w:div w:id="2070230146">
      <w:bodyDiv w:val="1"/>
      <w:marLeft w:val="0"/>
      <w:marRight w:val="0"/>
      <w:marTop w:val="0"/>
      <w:marBottom w:val="0"/>
      <w:divBdr>
        <w:top w:val="none" w:sz="0" w:space="0" w:color="auto"/>
        <w:left w:val="none" w:sz="0" w:space="0" w:color="auto"/>
        <w:bottom w:val="none" w:sz="0" w:space="0" w:color="auto"/>
        <w:right w:val="none" w:sz="0" w:space="0" w:color="auto"/>
      </w:divBdr>
    </w:div>
    <w:div w:id="2071685695">
      <w:bodyDiv w:val="1"/>
      <w:marLeft w:val="0"/>
      <w:marRight w:val="0"/>
      <w:marTop w:val="0"/>
      <w:marBottom w:val="0"/>
      <w:divBdr>
        <w:top w:val="none" w:sz="0" w:space="0" w:color="auto"/>
        <w:left w:val="none" w:sz="0" w:space="0" w:color="auto"/>
        <w:bottom w:val="none" w:sz="0" w:space="0" w:color="auto"/>
        <w:right w:val="none" w:sz="0" w:space="0" w:color="auto"/>
      </w:divBdr>
    </w:div>
    <w:div w:id="2072724640">
      <w:bodyDiv w:val="1"/>
      <w:marLeft w:val="0"/>
      <w:marRight w:val="0"/>
      <w:marTop w:val="0"/>
      <w:marBottom w:val="0"/>
      <w:divBdr>
        <w:top w:val="none" w:sz="0" w:space="0" w:color="auto"/>
        <w:left w:val="none" w:sz="0" w:space="0" w:color="auto"/>
        <w:bottom w:val="none" w:sz="0" w:space="0" w:color="auto"/>
        <w:right w:val="none" w:sz="0" w:space="0" w:color="auto"/>
      </w:divBdr>
    </w:div>
    <w:div w:id="207955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mqauth.uni.mq.edu.au.\shares\data\bus\Shared\FBE-SHARES\MUCHE_PBAC\Restricted\2020\2020%20July%20PBAC%20Meeting\Ribociclib\Commentary\Section%203\Sensitivity%20Analyses\Curve%20fitting%20simp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AU" sz="1200"/>
              <a:t>PFS and OS</a:t>
            </a:r>
          </a:p>
        </c:rich>
      </c:tx>
      <c:layout/>
      <c:overlay val="0"/>
      <c:spPr>
        <a:noFill/>
        <a:ln>
          <a:noFill/>
        </a:ln>
        <a:effectLst/>
      </c:spPr>
    </c:title>
    <c:autoTitleDeleted val="0"/>
    <c:plotArea>
      <c:layout/>
      <c:lineChart>
        <c:grouping val="standard"/>
        <c:varyColors val="0"/>
        <c:ser>
          <c:idx val="7"/>
          <c:order val="0"/>
          <c:tx>
            <c:v>KM PFS RIBO+FULV</c:v>
          </c:tx>
          <c:spPr>
            <a:ln>
              <a:solidFill>
                <a:srgbClr val="002060"/>
              </a:solidFill>
            </a:ln>
          </c:spPr>
          <c:marker>
            <c:symbol val="none"/>
          </c:marker>
          <c:cat>
            <c:numRef>
              <c:f>'Curve Fitting'!$D$5:$D$141</c:f>
              <c:numCache>
                <c:formatCode>0</c:formatCode>
                <c:ptCount val="137"/>
                <c:pt idx="0">
                  <c:v>0</c:v>
                </c:pt>
                <c:pt idx="1">
                  <c:v>7.6659822039698802E-2</c:v>
                </c:pt>
                <c:pt idx="2">
                  <c:v>0.15331964407939799</c:v>
                </c:pt>
                <c:pt idx="3">
                  <c:v>0.229979466119097</c:v>
                </c:pt>
                <c:pt idx="4">
                  <c:v>0.30663928815879499</c:v>
                </c:pt>
                <c:pt idx="5">
                  <c:v>0.383299110198494</c:v>
                </c:pt>
                <c:pt idx="6">
                  <c:v>0.45995893223819301</c:v>
                </c:pt>
                <c:pt idx="7">
                  <c:v>0.53661875427789196</c:v>
                </c:pt>
                <c:pt idx="8">
                  <c:v>0.61327857631759097</c:v>
                </c:pt>
                <c:pt idx="9">
                  <c:v>0.68993839835728998</c:v>
                </c:pt>
                <c:pt idx="10">
                  <c:v>0.76659822039698799</c:v>
                </c:pt>
                <c:pt idx="11">
                  <c:v>0.84325804243668701</c:v>
                </c:pt>
                <c:pt idx="12">
                  <c:v>0.91991786447638602</c:v>
                </c:pt>
                <c:pt idx="13">
                  <c:v>0.99657768651608503</c:v>
                </c:pt>
                <c:pt idx="14">
                  <c:v>1.0732375085557839</c:v>
                </c:pt>
                <c:pt idx="15">
                  <c:v>1.149897330595482</c:v>
                </c:pt>
                <c:pt idx="16">
                  <c:v>1.2265571526351811</c:v>
                </c:pt>
                <c:pt idx="17">
                  <c:v>1.3032169746748801</c:v>
                </c:pt>
                <c:pt idx="18">
                  <c:v>1.3798767967145791</c:v>
                </c:pt>
                <c:pt idx="19">
                  <c:v>1.4565366187542781</c:v>
                </c:pt>
                <c:pt idx="20">
                  <c:v>1.533196440793976</c:v>
                </c:pt>
                <c:pt idx="21">
                  <c:v>1.609856262833675</c:v>
                </c:pt>
                <c:pt idx="22">
                  <c:v>1.686516084873374</c:v>
                </c:pt>
                <c:pt idx="23">
                  <c:v>1.7631759069130739</c:v>
                </c:pt>
                <c:pt idx="24">
                  <c:v>1.839835728952772</c:v>
                </c:pt>
                <c:pt idx="25">
                  <c:v>1.916495550992471</c:v>
                </c:pt>
                <c:pt idx="26">
                  <c:v>1.9931553730321701</c:v>
                </c:pt>
                <c:pt idx="27">
                  <c:v>2.0698151950718668</c:v>
                </c:pt>
                <c:pt idx="28">
                  <c:v>2.146475017111567</c:v>
                </c:pt>
                <c:pt idx="29">
                  <c:v>2.2231348391512662</c:v>
                </c:pt>
                <c:pt idx="30">
                  <c:v>2.299794661190965</c:v>
                </c:pt>
                <c:pt idx="31">
                  <c:v>2.376454483230662</c:v>
                </c:pt>
                <c:pt idx="32">
                  <c:v>2.453114305270363</c:v>
                </c:pt>
                <c:pt idx="33">
                  <c:v>2.5297741273100609</c:v>
                </c:pt>
                <c:pt idx="34">
                  <c:v>2.6064339493497601</c:v>
                </c:pt>
                <c:pt idx="35">
                  <c:v>2.6830937713894598</c:v>
                </c:pt>
                <c:pt idx="36">
                  <c:v>2.7597535934291582</c:v>
                </c:pt>
                <c:pt idx="37">
                  <c:v>2.8364134154688552</c:v>
                </c:pt>
                <c:pt idx="38">
                  <c:v>2.9130732375085562</c:v>
                </c:pt>
                <c:pt idx="39">
                  <c:v>2.989733059548255</c:v>
                </c:pt>
                <c:pt idx="40">
                  <c:v>3.0663928815879542</c:v>
                </c:pt>
                <c:pt idx="41">
                  <c:v>3.143052703627653</c:v>
                </c:pt>
                <c:pt idx="42">
                  <c:v>3.2197125256673509</c:v>
                </c:pt>
                <c:pt idx="43">
                  <c:v>3.2963723477070501</c:v>
                </c:pt>
                <c:pt idx="44">
                  <c:v>3.373032169746748</c:v>
                </c:pt>
                <c:pt idx="45">
                  <c:v>3.4496919917864481</c:v>
                </c:pt>
                <c:pt idx="46">
                  <c:v>3.526351813826146</c:v>
                </c:pt>
                <c:pt idx="47">
                  <c:v>3.6030116358658448</c:v>
                </c:pt>
                <c:pt idx="48">
                  <c:v>3.6796714579055441</c:v>
                </c:pt>
                <c:pt idx="49">
                  <c:v>3.7563312799452429</c:v>
                </c:pt>
                <c:pt idx="50">
                  <c:v>3.8329911019849412</c:v>
                </c:pt>
                <c:pt idx="51">
                  <c:v>3.9096509240246391</c:v>
                </c:pt>
                <c:pt idx="52">
                  <c:v>3.9863107460643401</c:v>
                </c:pt>
                <c:pt idx="53">
                  <c:v>4.0629705681040358</c:v>
                </c:pt>
                <c:pt idx="54">
                  <c:v>4.1396303901437381</c:v>
                </c:pt>
                <c:pt idx="55">
                  <c:v>4.216290212183436</c:v>
                </c:pt>
                <c:pt idx="56">
                  <c:v>4.2929500342231348</c:v>
                </c:pt>
                <c:pt idx="57">
                  <c:v>4.3696098562628336</c:v>
                </c:pt>
                <c:pt idx="58">
                  <c:v>4.4462696783025342</c:v>
                </c:pt>
                <c:pt idx="59">
                  <c:v>4.5229295003422294</c:v>
                </c:pt>
                <c:pt idx="60">
                  <c:v>4.59958932238193</c:v>
                </c:pt>
                <c:pt idx="61">
                  <c:v>4.6762491444216296</c:v>
                </c:pt>
                <c:pt idx="62">
                  <c:v>4.7529089664613267</c:v>
                </c:pt>
                <c:pt idx="63">
                  <c:v>4.8295687885010281</c:v>
                </c:pt>
                <c:pt idx="64">
                  <c:v>4.9062286105407269</c:v>
                </c:pt>
                <c:pt idx="65">
                  <c:v>4.9828884325804248</c:v>
                </c:pt>
                <c:pt idx="66">
                  <c:v>5.0595482546201227</c:v>
                </c:pt>
                <c:pt idx="67">
                  <c:v>5.1362080766598224</c:v>
                </c:pt>
                <c:pt idx="68">
                  <c:v>5.2128678986995203</c:v>
                </c:pt>
                <c:pt idx="69">
                  <c:v>5.28952772073922</c:v>
                </c:pt>
                <c:pt idx="70">
                  <c:v>5.3661875427789143</c:v>
                </c:pt>
                <c:pt idx="71">
                  <c:v>5.4428473648186184</c:v>
                </c:pt>
                <c:pt idx="72">
                  <c:v>5.5195071868583163</c:v>
                </c:pt>
                <c:pt idx="73">
                  <c:v>5.5961670088980151</c:v>
                </c:pt>
                <c:pt idx="74">
                  <c:v>5.6728268309377086</c:v>
                </c:pt>
                <c:pt idx="75">
                  <c:v>5.7494866529774109</c:v>
                </c:pt>
                <c:pt idx="76">
                  <c:v>5.8261464750171106</c:v>
                </c:pt>
                <c:pt idx="77">
                  <c:v>5.9028062970568076</c:v>
                </c:pt>
                <c:pt idx="78">
                  <c:v>5.9794661190965099</c:v>
                </c:pt>
                <c:pt idx="79">
                  <c:v>6.0561259411362061</c:v>
                </c:pt>
                <c:pt idx="80">
                  <c:v>6.1327857631759048</c:v>
                </c:pt>
                <c:pt idx="81">
                  <c:v>6.2094455852156072</c:v>
                </c:pt>
                <c:pt idx="82">
                  <c:v>6.2861054072553051</c:v>
                </c:pt>
                <c:pt idx="83">
                  <c:v>6.3627652292949994</c:v>
                </c:pt>
                <c:pt idx="84">
                  <c:v>6.4394250513347018</c:v>
                </c:pt>
                <c:pt idx="85">
                  <c:v>6.5160848733743988</c:v>
                </c:pt>
                <c:pt idx="86">
                  <c:v>6.5927446954141002</c:v>
                </c:pt>
                <c:pt idx="87">
                  <c:v>6.6694045174537946</c:v>
                </c:pt>
                <c:pt idx="88">
                  <c:v>6.7460643394934969</c:v>
                </c:pt>
                <c:pt idx="89">
                  <c:v>6.8227241615331957</c:v>
                </c:pt>
                <c:pt idx="90">
                  <c:v>6.8993839835728972</c:v>
                </c:pt>
                <c:pt idx="91">
                  <c:v>6.976043805612596</c:v>
                </c:pt>
                <c:pt idx="92">
                  <c:v>7.0527036276522912</c:v>
                </c:pt>
                <c:pt idx="93">
                  <c:v>7.1293634496919909</c:v>
                </c:pt>
                <c:pt idx="94">
                  <c:v>7.2060232717316914</c:v>
                </c:pt>
                <c:pt idx="95">
                  <c:v>7.2826830937713902</c:v>
                </c:pt>
                <c:pt idx="96">
                  <c:v>7.3593429158110881</c:v>
                </c:pt>
                <c:pt idx="97">
                  <c:v>7.4360027378507878</c:v>
                </c:pt>
                <c:pt idx="98">
                  <c:v>7.5126625598904857</c:v>
                </c:pt>
                <c:pt idx="99">
                  <c:v>7.589322381930188</c:v>
                </c:pt>
                <c:pt idx="100">
                  <c:v>7.6659822039698797</c:v>
                </c:pt>
                <c:pt idx="101">
                  <c:v>7.742642026009583</c:v>
                </c:pt>
                <c:pt idx="102">
                  <c:v>7.8193018480492791</c:v>
                </c:pt>
                <c:pt idx="103">
                  <c:v>7.8959616700889779</c:v>
                </c:pt>
                <c:pt idx="104">
                  <c:v>7.9726214921286802</c:v>
                </c:pt>
                <c:pt idx="105">
                  <c:v>8.0492813141683772</c:v>
                </c:pt>
                <c:pt idx="106">
                  <c:v>8.1259411362080769</c:v>
                </c:pt>
                <c:pt idx="107">
                  <c:v>8.2026009582477748</c:v>
                </c:pt>
                <c:pt idx="108">
                  <c:v>8.2792607802874691</c:v>
                </c:pt>
                <c:pt idx="109">
                  <c:v>8.3559206023271724</c:v>
                </c:pt>
                <c:pt idx="110">
                  <c:v>8.4325804243668721</c:v>
                </c:pt>
                <c:pt idx="111">
                  <c:v>8.5092402464065717</c:v>
                </c:pt>
                <c:pt idx="112">
                  <c:v>8.5859000684462696</c:v>
                </c:pt>
                <c:pt idx="113">
                  <c:v>8.6625598904859693</c:v>
                </c:pt>
                <c:pt idx="114">
                  <c:v>8.7392197125256672</c:v>
                </c:pt>
                <c:pt idx="115">
                  <c:v>8.8158795345653704</c:v>
                </c:pt>
                <c:pt idx="116">
                  <c:v>8.8925393566050701</c:v>
                </c:pt>
                <c:pt idx="117">
                  <c:v>8.9691991786447662</c:v>
                </c:pt>
                <c:pt idx="118">
                  <c:v>9.0458590006844624</c:v>
                </c:pt>
                <c:pt idx="119">
                  <c:v>9.122518822724162</c:v>
                </c:pt>
                <c:pt idx="120">
                  <c:v>9.1991786447638564</c:v>
                </c:pt>
                <c:pt idx="121">
                  <c:v>9.2758384668035543</c:v>
                </c:pt>
                <c:pt idx="122">
                  <c:v>9.3524982888432593</c:v>
                </c:pt>
                <c:pt idx="123">
                  <c:v>9.4291581108829572</c:v>
                </c:pt>
                <c:pt idx="124">
                  <c:v>9.5058179329226586</c:v>
                </c:pt>
                <c:pt idx="125">
                  <c:v>9.5824777549623548</c:v>
                </c:pt>
                <c:pt idx="126">
                  <c:v>9.6591375770020562</c:v>
                </c:pt>
                <c:pt idx="127">
                  <c:v>9.7357973990417523</c:v>
                </c:pt>
                <c:pt idx="128">
                  <c:v>9.8124572210814502</c:v>
                </c:pt>
                <c:pt idx="129">
                  <c:v>9.8891170431211517</c:v>
                </c:pt>
                <c:pt idx="130">
                  <c:v>9.9657768651608496</c:v>
                </c:pt>
                <c:pt idx="131">
                  <c:v>10.042436687200549</c:v>
                </c:pt>
                <c:pt idx="132">
                  <c:v>10.119096509240251</c:v>
                </c:pt>
                <c:pt idx="133">
                  <c:v>10.19575633127995</c:v>
                </c:pt>
                <c:pt idx="134">
                  <c:v>10.27241615331965</c:v>
                </c:pt>
                <c:pt idx="135">
                  <c:v>10.349075975359341</c:v>
                </c:pt>
                <c:pt idx="136">
                  <c:v>10.425735797399041</c:v>
                </c:pt>
              </c:numCache>
            </c:numRef>
          </c:cat>
          <c:val>
            <c:numRef>
              <c:f>'Curve Fitting'!$F$5:$F$135</c:f>
              <c:numCache>
                <c:formatCode>0.00</c:formatCode>
                <c:ptCount val="131"/>
                <c:pt idx="0">
                  <c:v>1</c:v>
                </c:pt>
                <c:pt idx="1">
                  <c:v>0.98947368421052595</c:v>
                </c:pt>
                <c:pt idx="2">
                  <c:v>0.90526315789473699</c:v>
                </c:pt>
                <c:pt idx="3">
                  <c:v>0.87368421052631595</c:v>
                </c:pt>
                <c:pt idx="4">
                  <c:v>0.84171046462851895</c:v>
                </c:pt>
                <c:pt idx="5">
                  <c:v>0.798258061155389</c:v>
                </c:pt>
                <c:pt idx="6">
                  <c:v>0.76499730860724802</c:v>
                </c:pt>
                <c:pt idx="7">
                  <c:v>0.75391039109120095</c:v>
                </c:pt>
                <c:pt idx="8">
                  <c:v>0.72064963854305997</c:v>
                </c:pt>
                <c:pt idx="9">
                  <c:v>0.69812933733858895</c:v>
                </c:pt>
                <c:pt idx="10">
                  <c:v>0.69812933733858895</c:v>
                </c:pt>
                <c:pt idx="11">
                  <c:v>0.68649384838294603</c:v>
                </c:pt>
                <c:pt idx="12">
                  <c:v>0.65098554588037905</c:v>
                </c:pt>
                <c:pt idx="13">
                  <c:v>0.61547724337781295</c:v>
                </c:pt>
                <c:pt idx="14">
                  <c:v>0.57996894087524697</c:v>
                </c:pt>
                <c:pt idx="15">
                  <c:v>0.56813284004105802</c:v>
                </c:pt>
                <c:pt idx="16">
                  <c:v>0.55629673920686995</c:v>
                </c:pt>
                <c:pt idx="17">
                  <c:v>0.55629673920686995</c:v>
                </c:pt>
                <c:pt idx="18">
                  <c:v>0.53262453753849204</c:v>
                </c:pt>
                <c:pt idx="19">
                  <c:v>0.52078843670430297</c:v>
                </c:pt>
                <c:pt idx="20">
                  <c:v>0.52078843670430297</c:v>
                </c:pt>
                <c:pt idx="21">
                  <c:v>0.48528013420173699</c:v>
                </c:pt>
                <c:pt idx="22">
                  <c:v>0.47344403336754898</c:v>
                </c:pt>
                <c:pt idx="23">
                  <c:v>0.44977183169917101</c:v>
                </c:pt>
                <c:pt idx="24">
                  <c:v>0.44977183169917101</c:v>
                </c:pt>
                <c:pt idx="25">
                  <c:v>0.40175107974332003</c:v>
                </c:pt>
                <c:pt idx="26">
                  <c:v>0.38957680459958299</c:v>
                </c:pt>
                <c:pt idx="27">
                  <c:v>0.38957680459958299</c:v>
                </c:pt>
                <c:pt idx="28">
                  <c:v>0.38957680459958299</c:v>
                </c:pt>
                <c:pt idx="29">
                  <c:v>0.38957680459958299</c:v>
                </c:pt>
                <c:pt idx="30">
                  <c:v>0.37700981090282198</c:v>
                </c:pt>
                <c:pt idx="31">
                  <c:v>0.35187582350930102</c:v>
                </c:pt>
                <c:pt idx="32">
                  <c:v>0.33930882981254001</c:v>
                </c:pt>
                <c:pt idx="33">
                  <c:v>0.33930882981254001</c:v>
                </c:pt>
                <c:pt idx="34">
                  <c:v>0.32625849020436498</c:v>
                </c:pt>
                <c:pt idx="35">
                  <c:v>0.313208150596191</c:v>
                </c:pt>
                <c:pt idx="36">
                  <c:v>0.30015781098801603</c:v>
                </c:pt>
                <c:pt idx="37">
                  <c:v>0.28651427412492397</c:v>
                </c:pt>
                <c:pt idx="38">
                  <c:v>0.272188560418678</c:v>
                </c:pt>
                <c:pt idx="39">
                  <c:v>0.25404265639076601</c:v>
                </c:pt>
                <c:pt idx="40">
                  <c:v>0.25404265639076601</c:v>
                </c:pt>
                <c:pt idx="41">
                  <c:v>0.23094786944615101</c:v>
                </c:pt>
                <c:pt idx="42">
                  <c:v>0.23094786944615101</c:v>
                </c:pt>
                <c:pt idx="43">
                  <c:v>0.23094786944615101</c:v>
                </c:pt>
                <c:pt idx="44">
                  <c:v>0.23094786944615101</c:v>
                </c:pt>
                <c:pt idx="45">
                  <c:v>0.23094786944615101</c:v>
                </c:pt>
                <c:pt idx="46">
                  <c:v>0.23094786944615101</c:v>
                </c:pt>
                <c:pt idx="47">
                  <c:v>0.23094786944615101</c:v>
                </c:pt>
              </c:numCache>
            </c:numRef>
          </c:val>
          <c:smooth val="0"/>
          <c:extLst>
            <c:ext xmlns:c16="http://schemas.microsoft.com/office/drawing/2014/chart" uri="{C3380CC4-5D6E-409C-BE32-E72D297353CC}">
              <c16:uniqueId val="{00000000-F29B-446A-BC1C-19BCB5ACAA78}"/>
            </c:ext>
          </c:extLst>
        </c:ser>
        <c:ser>
          <c:idx val="8"/>
          <c:order val="1"/>
          <c:tx>
            <c:v>Modelled PFS RIBO+FULV</c:v>
          </c:tx>
          <c:spPr>
            <a:ln w="19050">
              <a:solidFill>
                <a:srgbClr val="002060"/>
              </a:solidFill>
              <a:prstDash val="dash"/>
            </a:ln>
          </c:spPr>
          <c:marker>
            <c:symbol val="none"/>
          </c:marker>
          <c:cat>
            <c:numRef>
              <c:f>'Curve Fitting'!$D$5:$D$141</c:f>
              <c:numCache>
                <c:formatCode>0</c:formatCode>
                <c:ptCount val="137"/>
                <c:pt idx="0">
                  <c:v>0</c:v>
                </c:pt>
                <c:pt idx="1">
                  <c:v>7.6659822039698802E-2</c:v>
                </c:pt>
                <c:pt idx="2">
                  <c:v>0.15331964407939799</c:v>
                </c:pt>
                <c:pt idx="3">
                  <c:v>0.229979466119097</c:v>
                </c:pt>
                <c:pt idx="4">
                  <c:v>0.30663928815879499</c:v>
                </c:pt>
                <c:pt idx="5">
                  <c:v>0.383299110198494</c:v>
                </c:pt>
                <c:pt idx="6">
                  <c:v>0.45995893223819301</c:v>
                </c:pt>
                <c:pt idx="7">
                  <c:v>0.53661875427789196</c:v>
                </c:pt>
                <c:pt idx="8">
                  <c:v>0.61327857631759097</c:v>
                </c:pt>
                <c:pt idx="9">
                  <c:v>0.68993839835728998</c:v>
                </c:pt>
                <c:pt idx="10">
                  <c:v>0.76659822039698799</c:v>
                </c:pt>
                <c:pt idx="11">
                  <c:v>0.84325804243668701</c:v>
                </c:pt>
                <c:pt idx="12">
                  <c:v>0.91991786447638602</c:v>
                </c:pt>
                <c:pt idx="13">
                  <c:v>0.99657768651608503</c:v>
                </c:pt>
                <c:pt idx="14">
                  <c:v>1.0732375085557839</c:v>
                </c:pt>
                <c:pt idx="15">
                  <c:v>1.149897330595482</c:v>
                </c:pt>
                <c:pt idx="16">
                  <c:v>1.2265571526351811</c:v>
                </c:pt>
                <c:pt idx="17">
                  <c:v>1.3032169746748801</c:v>
                </c:pt>
                <c:pt idx="18">
                  <c:v>1.3798767967145791</c:v>
                </c:pt>
                <c:pt idx="19">
                  <c:v>1.4565366187542781</c:v>
                </c:pt>
                <c:pt idx="20">
                  <c:v>1.533196440793976</c:v>
                </c:pt>
                <c:pt idx="21">
                  <c:v>1.609856262833675</c:v>
                </c:pt>
                <c:pt idx="22">
                  <c:v>1.686516084873374</c:v>
                </c:pt>
                <c:pt idx="23">
                  <c:v>1.7631759069130739</c:v>
                </c:pt>
                <c:pt idx="24">
                  <c:v>1.839835728952772</c:v>
                </c:pt>
                <c:pt idx="25">
                  <c:v>1.916495550992471</c:v>
                </c:pt>
                <c:pt idx="26">
                  <c:v>1.9931553730321701</c:v>
                </c:pt>
                <c:pt idx="27">
                  <c:v>2.0698151950718668</c:v>
                </c:pt>
                <c:pt idx="28">
                  <c:v>2.146475017111567</c:v>
                </c:pt>
                <c:pt idx="29">
                  <c:v>2.2231348391512662</c:v>
                </c:pt>
                <c:pt idx="30">
                  <c:v>2.299794661190965</c:v>
                </c:pt>
                <c:pt idx="31">
                  <c:v>2.376454483230662</c:v>
                </c:pt>
                <c:pt idx="32">
                  <c:v>2.453114305270363</c:v>
                </c:pt>
                <c:pt idx="33">
                  <c:v>2.5297741273100609</c:v>
                </c:pt>
                <c:pt idx="34">
                  <c:v>2.6064339493497601</c:v>
                </c:pt>
                <c:pt idx="35">
                  <c:v>2.6830937713894598</c:v>
                </c:pt>
                <c:pt idx="36">
                  <c:v>2.7597535934291582</c:v>
                </c:pt>
                <c:pt idx="37">
                  <c:v>2.8364134154688552</c:v>
                </c:pt>
                <c:pt idx="38">
                  <c:v>2.9130732375085562</c:v>
                </c:pt>
                <c:pt idx="39">
                  <c:v>2.989733059548255</c:v>
                </c:pt>
                <c:pt idx="40">
                  <c:v>3.0663928815879542</c:v>
                </c:pt>
                <c:pt idx="41">
                  <c:v>3.143052703627653</c:v>
                </c:pt>
                <c:pt idx="42">
                  <c:v>3.2197125256673509</c:v>
                </c:pt>
                <c:pt idx="43">
                  <c:v>3.2963723477070501</c:v>
                </c:pt>
                <c:pt idx="44">
                  <c:v>3.373032169746748</c:v>
                </c:pt>
                <c:pt idx="45">
                  <c:v>3.4496919917864481</c:v>
                </c:pt>
                <c:pt idx="46">
                  <c:v>3.526351813826146</c:v>
                </c:pt>
                <c:pt idx="47">
                  <c:v>3.6030116358658448</c:v>
                </c:pt>
                <c:pt idx="48">
                  <c:v>3.6796714579055441</c:v>
                </c:pt>
                <c:pt idx="49">
                  <c:v>3.7563312799452429</c:v>
                </c:pt>
                <c:pt idx="50">
                  <c:v>3.8329911019849412</c:v>
                </c:pt>
                <c:pt idx="51">
                  <c:v>3.9096509240246391</c:v>
                </c:pt>
                <c:pt idx="52">
                  <c:v>3.9863107460643401</c:v>
                </c:pt>
                <c:pt idx="53">
                  <c:v>4.0629705681040358</c:v>
                </c:pt>
                <c:pt idx="54">
                  <c:v>4.1396303901437381</c:v>
                </c:pt>
                <c:pt idx="55">
                  <c:v>4.216290212183436</c:v>
                </c:pt>
                <c:pt idx="56">
                  <c:v>4.2929500342231348</c:v>
                </c:pt>
                <c:pt idx="57">
                  <c:v>4.3696098562628336</c:v>
                </c:pt>
                <c:pt idx="58">
                  <c:v>4.4462696783025342</c:v>
                </c:pt>
                <c:pt idx="59">
                  <c:v>4.5229295003422294</c:v>
                </c:pt>
                <c:pt idx="60">
                  <c:v>4.59958932238193</c:v>
                </c:pt>
                <c:pt idx="61">
                  <c:v>4.6762491444216296</c:v>
                </c:pt>
                <c:pt idx="62">
                  <c:v>4.7529089664613267</c:v>
                </c:pt>
                <c:pt idx="63">
                  <c:v>4.8295687885010281</c:v>
                </c:pt>
                <c:pt idx="64">
                  <c:v>4.9062286105407269</c:v>
                </c:pt>
                <c:pt idx="65">
                  <c:v>4.9828884325804248</c:v>
                </c:pt>
                <c:pt idx="66">
                  <c:v>5.0595482546201227</c:v>
                </c:pt>
                <c:pt idx="67">
                  <c:v>5.1362080766598224</c:v>
                </c:pt>
                <c:pt idx="68">
                  <c:v>5.2128678986995203</c:v>
                </c:pt>
                <c:pt idx="69">
                  <c:v>5.28952772073922</c:v>
                </c:pt>
                <c:pt idx="70">
                  <c:v>5.3661875427789143</c:v>
                </c:pt>
                <c:pt idx="71">
                  <c:v>5.4428473648186184</c:v>
                </c:pt>
                <c:pt idx="72">
                  <c:v>5.5195071868583163</c:v>
                </c:pt>
                <c:pt idx="73">
                  <c:v>5.5961670088980151</c:v>
                </c:pt>
                <c:pt idx="74">
                  <c:v>5.6728268309377086</c:v>
                </c:pt>
                <c:pt idx="75">
                  <c:v>5.7494866529774109</c:v>
                </c:pt>
                <c:pt idx="76">
                  <c:v>5.8261464750171106</c:v>
                </c:pt>
                <c:pt idx="77">
                  <c:v>5.9028062970568076</c:v>
                </c:pt>
                <c:pt idx="78">
                  <c:v>5.9794661190965099</c:v>
                </c:pt>
                <c:pt idx="79">
                  <c:v>6.0561259411362061</c:v>
                </c:pt>
                <c:pt idx="80">
                  <c:v>6.1327857631759048</c:v>
                </c:pt>
                <c:pt idx="81">
                  <c:v>6.2094455852156072</c:v>
                </c:pt>
                <c:pt idx="82">
                  <c:v>6.2861054072553051</c:v>
                </c:pt>
                <c:pt idx="83">
                  <c:v>6.3627652292949994</c:v>
                </c:pt>
                <c:pt idx="84">
                  <c:v>6.4394250513347018</c:v>
                </c:pt>
                <c:pt idx="85">
                  <c:v>6.5160848733743988</c:v>
                </c:pt>
                <c:pt idx="86">
                  <c:v>6.5927446954141002</c:v>
                </c:pt>
                <c:pt idx="87">
                  <c:v>6.6694045174537946</c:v>
                </c:pt>
                <c:pt idx="88">
                  <c:v>6.7460643394934969</c:v>
                </c:pt>
                <c:pt idx="89">
                  <c:v>6.8227241615331957</c:v>
                </c:pt>
                <c:pt idx="90">
                  <c:v>6.8993839835728972</c:v>
                </c:pt>
                <c:pt idx="91">
                  <c:v>6.976043805612596</c:v>
                </c:pt>
                <c:pt idx="92">
                  <c:v>7.0527036276522912</c:v>
                </c:pt>
                <c:pt idx="93">
                  <c:v>7.1293634496919909</c:v>
                </c:pt>
                <c:pt idx="94">
                  <c:v>7.2060232717316914</c:v>
                </c:pt>
                <c:pt idx="95">
                  <c:v>7.2826830937713902</c:v>
                </c:pt>
                <c:pt idx="96">
                  <c:v>7.3593429158110881</c:v>
                </c:pt>
                <c:pt idx="97">
                  <c:v>7.4360027378507878</c:v>
                </c:pt>
                <c:pt idx="98">
                  <c:v>7.5126625598904857</c:v>
                </c:pt>
                <c:pt idx="99">
                  <c:v>7.589322381930188</c:v>
                </c:pt>
                <c:pt idx="100">
                  <c:v>7.6659822039698797</c:v>
                </c:pt>
                <c:pt idx="101">
                  <c:v>7.742642026009583</c:v>
                </c:pt>
                <c:pt idx="102">
                  <c:v>7.8193018480492791</c:v>
                </c:pt>
                <c:pt idx="103">
                  <c:v>7.8959616700889779</c:v>
                </c:pt>
                <c:pt idx="104">
                  <c:v>7.9726214921286802</c:v>
                </c:pt>
                <c:pt idx="105">
                  <c:v>8.0492813141683772</c:v>
                </c:pt>
                <c:pt idx="106">
                  <c:v>8.1259411362080769</c:v>
                </c:pt>
                <c:pt idx="107">
                  <c:v>8.2026009582477748</c:v>
                </c:pt>
                <c:pt idx="108">
                  <c:v>8.2792607802874691</c:v>
                </c:pt>
                <c:pt idx="109">
                  <c:v>8.3559206023271724</c:v>
                </c:pt>
                <c:pt idx="110">
                  <c:v>8.4325804243668721</c:v>
                </c:pt>
                <c:pt idx="111">
                  <c:v>8.5092402464065717</c:v>
                </c:pt>
                <c:pt idx="112">
                  <c:v>8.5859000684462696</c:v>
                </c:pt>
                <c:pt idx="113">
                  <c:v>8.6625598904859693</c:v>
                </c:pt>
                <c:pt idx="114">
                  <c:v>8.7392197125256672</c:v>
                </c:pt>
                <c:pt idx="115">
                  <c:v>8.8158795345653704</c:v>
                </c:pt>
                <c:pt idx="116">
                  <c:v>8.8925393566050701</c:v>
                </c:pt>
                <c:pt idx="117">
                  <c:v>8.9691991786447662</c:v>
                </c:pt>
                <c:pt idx="118">
                  <c:v>9.0458590006844624</c:v>
                </c:pt>
                <c:pt idx="119">
                  <c:v>9.122518822724162</c:v>
                </c:pt>
                <c:pt idx="120">
                  <c:v>9.1991786447638564</c:v>
                </c:pt>
                <c:pt idx="121">
                  <c:v>9.2758384668035543</c:v>
                </c:pt>
                <c:pt idx="122">
                  <c:v>9.3524982888432593</c:v>
                </c:pt>
                <c:pt idx="123">
                  <c:v>9.4291581108829572</c:v>
                </c:pt>
                <c:pt idx="124">
                  <c:v>9.5058179329226586</c:v>
                </c:pt>
                <c:pt idx="125">
                  <c:v>9.5824777549623548</c:v>
                </c:pt>
                <c:pt idx="126">
                  <c:v>9.6591375770020562</c:v>
                </c:pt>
                <c:pt idx="127">
                  <c:v>9.7357973990417523</c:v>
                </c:pt>
                <c:pt idx="128">
                  <c:v>9.8124572210814502</c:v>
                </c:pt>
                <c:pt idx="129">
                  <c:v>9.8891170431211517</c:v>
                </c:pt>
                <c:pt idx="130">
                  <c:v>9.9657768651608496</c:v>
                </c:pt>
                <c:pt idx="131">
                  <c:v>10.042436687200549</c:v>
                </c:pt>
                <c:pt idx="132">
                  <c:v>10.119096509240251</c:v>
                </c:pt>
                <c:pt idx="133">
                  <c:v>10.19575633127995</c:v>
                </c:pt>
                <c:pt idx="134">
                  <c:v>10.27241615331965</c:v>
                </c:pt>
                <c:pt idx="135">
                  <c:v>10.349075975359341</c:v>
                </c:pt>
                <c:pt idx="136">
                  <c:v>10.425735797399041</c:v>
                </c:pt>
              </c:numCache>
            </c:numRef>
          </c:cat>
          <c:val>
            <c:numRef>
              <c:f>'Curve Fitting'!$G$5:$G$135</c:f>
              <c:numCache>
                <c:formatCode>0.00</c:formatCode>
                <c:ptCount val="131"/>
                <c:pt idx="0">
                  <c:v>1</c:v>
                </c:pt>
                <c:pt idx="1">
                  <c:v>0.96556246753601405</c:v>
                </c:pt>
                <c:pt idx="2">
                  <c:v>0.93231087871423701</c:v>
                </c:pt>
                <c:pt idx="3">
                  <c:v>0.90020439256198803</c:v>
                </c:pt>
                <c:pt idx="4">
                  <c:v>0.86920357456891195</c:v>
                </c:pt>
                <c:pt idx="5">
                  <c:v>0.83927034825188296</c:v>
                </c:pt>
                <c:pt idx="6">
                  <c:v>0.81036794838789805</c:v>
                </c:pt>
                <c:pt idx="7">
                  <c:v>0.782460875857516</c:v>
                </c:pt>
                <c:pt idx="8">
                  <c:v>0.75551485404337404</c:v>
                </c:pt>
                <c:pt idx="9">
                  <c:v>0.72949678673023199</c:v>
                </c:pt>
                <c:pt idx="10">
                  <c:v>0.70437471745483604</c:v>
                </c:pt>
                <c:pt idx="11">
                  <c:v>0.68011779025567498</c:v>
                </c:pt>
                <c:pt idx="12">
                  <c:v>0.65669621177441095</c:v>
                </c:pt>
                <c:pt idx="13">
                  <c:v>0.63408121466245304</c:v>
                </c:pt>
                <c:pt idx="14">
                  <c:v>0.61224502224771105</c:v>
                </c:pt>
                <c:pt idx="15">
                  <c:v>0.59116081441814206</c:v>
                </c:pt>
                <c:pt idx="16">
                  <c:v>0.57080269468018097</c:v>
                </c:pt>
                <c:pt idx="17">
                  <c:v>0.55114565835160201</c:v>
                </c:pt>
                <c:pt idx="18">
                  <c:v>0.53216556184973296</c:v>
                </c:pt>
                <c:pt idx="19">
                  <c:v>0.51383909303731801</c:v>
                </c:pt>
                <c:pt idx="20">
                  <c:v>0.49614374258957999</c:v>
                </c:pt>
                <c:pt idx="21">
                  <c:v>0.47905777634734797</c:v>
                </c:pt>
                <c:pt idx="22">
                  <c:v>0.46256020862226199</c:v>
                </c:pt>
                <c:pt idx="23">
                  <c:v>0.44663077642128401</c:v>
                </c:pt>
                <c:pt idx="24">
                  <c:v>0.43124991455886102</c:v>
                </c:pt>
                <c:pt idx="25">
                  <c:v>0.41639873162614999</c:v>
                </c:pt>
                <c:pt idx="26">
                  <c:v>0.40205898678781199</c:v>
                </c:pt>
                <c:pt idx="27">
                  <c:v>0.38821306737786898</c:v>
                </c:pt>
                <c:pt idx="28">
                  <c:v>0.37484396726710001</c:v>
                </c:pt>
                <c:pt idx="29">
                  <c:v>0.36193526597540998</c:v>
                </c:pt>
                <c:pt idx="30">
                  <c:v>0.34947110850352098</c:v>
                </c:pt>
                <c:pt idx="31">
                  <c:v>0.33743618585920598</c:v>
                </c:pt>
                <c:pt idx="32">
                  <c:v>0.32581571625415601</c:v>
                </c:pt>
                <c:pt idx="33">
                  <c:v>0.314595426948376</c:v>
                </c:pt>
                <c:pt idx="34">
                  <c:v>0.30376153671981998</c:v>
                </c:pt>
                <c:pt idx="35">
                  <c:v>0.29330073893772102</c:v>
                </c:pt>
                <c:pt idx="36">
                  <c:v>0.28320018521884299</c:v>
                </c:pt>
                <c:pt idx="37">
                  <c:v>0.27344746964656202</c:v>
                </c:pt>
                <c:pt idx="38">
                  <c:v>0.26403061353341301</c:v>
                </c:pt>
                <c:pt idx="39">
                  <c:v>0.25493805070837</c:v>
                </c:pt>
                <c:pt idx="40">
                  <c:v>0.246158613310796</c:v>
                </c:pt>
                <c:pt idx="41">
                  <c:v>0.23768151807361501</c:v>
                </c:pt>
                <c:pt idx="42">
                  <c:v>0.22949635307886601</c:v>
                </c:pt>
                <c:pt idx="43">
                  <c:v>0.221593064969346</c:v>
                </c:pt>
                <c:pt idx="44">
                  <c:v>0.21396194660067</c:v>
                </c:pt>
                <c:pt idx="45">
                  <c:v>0.206593625118552</c:v>
                </c:pt>
                <c:pt idx="46">
                  <c:v>0.19947905044667899</c:v>
                </c:pt>
                <c:pt idx="47">
                  <c:v>0.19260948417103699</c:v>
                </c:pt>
                <c:pt idx="48">
                  <c:v>0.185976488807025</c:v>
                </c:pt>
                <c:pt idx="49">
                  <c:v>0.17957191743619499</c:v>
                </c:pt>
                <c:pt idx="50">
                  <c:v>0.17338790369986601</c:v>
                </c:pt>
                <c:pt idx="51">
                  <c:v>0.16741685213734001</c:v>
                </c:pt>
                <c:pt idx="52">
                  <c:v>0.161651428856842</c:v>
                </c:pt>
                <c:pt idx="53">
                  <c:v>0.15608455252773401</c:v>
                </c:pt>
                <c:pt idx="54">
                  <c:v>0.15070938568293399</c:v>
                </c:pt>
                <c:pt idx="55">
                  <c:v>0.14551932632084999</c:v>
                </c:pt>
                <c:pt idx="56">
                  <c:v>0.140507999796539</c:v>
                </c:pt>
                <c:pt idx="57">
                  <c:v>0.13566925099209601</c:v>
                </c:pt>
                <c:pt idx="58">
                  <c:v>0.130997136756691</c:v>
                </c:pt>
                <c:pt idx="59">
                  <c:v>0.126485918606943</c:v>
                </c:pt>
                <c:pt idx="60">
                  <c:v>0.12213005567868</c:v>
                </c:pt>
                <c:pt idx="61">
                  <c:v>0.11792419792141701</c:v>
                </c:pt>
                <c:pt idx="62">
                  <c:v>0.11386317952720799</c:v>
                </c:pt>
                <c:pt idx="63">
                  <c:v>0.10994201258578699</c:v>
                </c:pt>
                <c:pt idx="64">
                  <c:v>0.10615588095820799</c:v>
                </c:pt>
                <c:pt idx="65">
                  <c:v>0.102500134361467</c:v>
                </c:pt>
                <c:pt idx="66">
                  <c:v>9.8970282656831193E-2</c:v>
                </c:pt>
                <c:pt idx="67">
                  <c:v>9.55619903348668E-2</c:v>
                </c:pt>
                <c:pt idx="68">
                  <c:v>9.2271071190386703E-2</c:v>
                </c:pt>
                <c:pt idx="69">
                  <c:v>8.9093483180781002E-2</c:v>
                </c:pt>
                <c:pt idx="70">
                  <c:v>8.6025323461413297E-2</c:v>
                </c:pt>
                <c:pt idx="71">
                  <c:v>8.3062823591985996E-2</c:v>
                </c:pt>
                <c:pt idx="72">
                  <c:v>8.0202344907986695E-2</c:v>
                </c:pt>
                <c:pt idx="73">
                  <c:v>7.7440374051530106E-2</c:v>
                </c:pt>
                <c:pt idx="74">
                  <c:v>7.4773518656107305E-2</c:v>
                </c:pt>
                <c:pt idx="75">
                  <c:v>7.2198503179941198E-2</c:v>
                </c:pt>
                <c:pt idx="76">
                  <c:v>6.9712164882830802E-2</c:v>
                </c:pt>
                <c:pt idx="77">
                  <c:v>6.7311449941543602E-2</c:v>
                </c:pt>
                <c:pt idx="78">
                  <c:v>6.4993409698983706E-2</c:v>
                </c:pt>
                <c:pt idx="79">
                  <c:v>6.2755197042529798E-2</c:v>
                </c:pt>
                <c:pt idx="80">
                  <c:v>6.0594062907093897E-2</c:v>
                </c:pt>
                <c:pt idx="81">
                  <c:v>5.8507352898606001E-2</c:v>
                </c:pt>
                <c:pt idx="82">
                  <c:v>5.6492504033778403E-2</c:v>
                </c:pt>
                <c:pt idx="83">
                  <c:v>5.4547041592143401E-2</c:v>
                </c:pt>
                <c:pt idx="84">
                  <c:v>5.2668576076499503E-2</c:v>
                </c:pt>
                <c:pt idx="85">
                  <c:v>5.0854800278033199E-2</c:v>
                </c:pt>
                <c:pt idx="86">
                  <c:v>4.9103486442508899E-2</c:v>
                </c:pt>
                <c:pt idx="87">
                  <c:v>4.7412483534050101E-2</c:v>
                </c:pt>
                <c:pt idx="88">
                  <c:v>4.5779714593148099E-2</c:v>
                </c:pt>
                <c:pt idx="89">
                  <c:v>4.4203174185654497E-2</c:v>
                </c:pt>
                <c:pt idx="90">
                  <c:v>4.2680925939624803E-2</c:v>
                </c:pt>
                <c:pt idx="91">
                  <c:v>4.1211100166986002E-2</c:v>
                </c:pt>
                <c:pt idx="92">
                  <c:v>3.9791891567108897E-2</c:v>
                </c:pt>
                <c:pt idx="93">
                  <c:v>3.8421557009463203E-2</c:v>
                </c:pt>
                <c:pt idx="94">
                  <c:v>3.7098413392632902E-2</c:v>
                </c:pt>
                <c:pt idx="95">
                  <c:v>3.5820835577061699E-2</c:v>
                </c:pt>
                <c:pt idx="96">
                  <c:v>3.4587254388989602E-2</c:v>
                </c:pt>
                <c:pt idx="97">
                  <c:v>3.33961546931286E-2</c:v>
                </c:pt>
                <c:pt idx="98">
                  <c:v>3.2246073531711703E-2</c:v>
                </c:pt>
                <c:pt idx="99">
                  <c:v>3.1135598327627301E-2</c:v>
                </c:pt>
                <c:pt idx="100">
                  <c:v>3.0063365149434002E-2</c:v>
                </c:pt>
                <c:pt idx="101">
                  <c:v>2.9028057036123701E-2</c:v>
                </c:pt>
                <c:pt idx="102">
                  <c:v>2.8028402379575799E-2</c:v>
                </c:pt>
                <c:pt idx="103">
                  <c:v>2.7063173362715499E-2</c:v>
                </c:pt>
                <c:pt idx="104">
                  <c:v>2.6131184451458501E-2</c:v>
                </c:pt>
                <c:pt idx="105">
                  <c:v>2.5231290938589002E-2</c:v>
                </c:pt>
                <c:pt idx="106">
                  <c:v>2.4362387537783099E-2</c:v>
                </c:pt>
                <c:pt idx="107">
                  <c:v>2.3523407026050502E-2</c:v>
                </c:pt>
                <c:pt idx="108">
                  <c:v>2.2713318932927301E-2</c:v>
                </c:pt>
                <c:pt idx="109">
                  <c:v>2.1931128274809801E-2</c:v>
                </c:pt>
                <c:pt idx="110">
                  <c:v>2.1175874332874201E-2</c:v>
                </c:pt>
                <c:pt idx="111">
                  <c:v>2.0446629473082501E-2</c:v>
                </c:pt>
                <c:pt idx="112">
                  <c:v>1.9742498006824202E-2</c:v>
                </c:pt>
                <c:pt idx="113">
                  <c:v>1.9062615090793999E-2</c:v>
                </c:pt>
                <c:pt idx="114">
                  <c:v>1.8406145664756301E-2</c:v>
                </c:pt>
                <c:pt idx="115">
                  <c:v>1.77722834258894E-2</c:v>
                </c:pt>
                <c:pt idx="116">
                  <c:v>1.71602498384512E-2</c:v>
                </c:pt>
                <c:pt idx="117">
                  <c:v>1.6569293177549401E-2</c:v>
                </c:pt>
                <c:pt idx="118">
                  <c:v>1.59986876058422E-2</c:v>
                </c:pt>
                <c:pt idx="119">
                  <c:v>1.5447732282034899E-2</c:v>
                </c:pt>
                <c:pt idx="120">
                  <c:v>1.49157505000774E-2</c:v>
                </c:pt>
                <c:pt idx="121">
                  <c:v>1.4402088858006199E-2</c:v>
                </c:pt>
                <c:pt idx="122">
                  <c:v>1.3906116455409401E-2</c:v>
                </c:pt>
                <c:pt idx="123">
                  <c:v>1.34272241185283E-2</c:v>
                </c:pt>
                <c:pt idx="124">
                  <c:v>1.29648236520453E-2</c:v>
                </c:pt>
                <c:pt idx="125">
                  <c:v>1.2518347116638099E-2</c:v>
                </c:pt>
                <c:pt idx="126">
                  <c:v>1.20872461314134E-2</c:v>
                </c:pt>
                <c:pt idx="127">
                  <c:v>1.1670991200362701E-2</c:v>
                </c:pt>
                <c:pt idx="128">
                  <c:v>1.1269071062013299E-2</c:v>
                </c:pt>
                <c:pt idx="129">
                  <c:v>1.0880992061476301E-2</c:v>
                </c:pt>
                <c:pt idx="130">
                  <c:v>1.05062775441188E-2</c:v>
                </c:pt>
              </c:numCache>
            </c:numRef>
          </c:val>
          <c:smooth val="0"/>
          <c:extLst>
            <c:ext xmlns:c16="http://schemas.microsoft.com/office/drawing/2014/chart" uri="{C3380CC4-5D6E-409C-BE32-E72D297353CC}">
              <c16:uniqueId val="{00000001-F29B-446A-BC1C-19BCB5ACAA78}"/>
            </c:ext>
          </c:extLst>
        </c:ser>
        <c:ser>
          <c:idx val="11"/>
          <c:order val="2"/>
          <c:tx>
            <c:v>KM PFS EVE+EXE</c:v>
          </c:tx>
          <c:spPr>
            <a:ln w="28575" cap="rnd">
              <a:solidFill>
                <a:schemeClr val="accent6">
                  <a:lumMod val="50000"/>
                </a:schemeClr>
              </a:solidFill>
              <a:round/>
            </a:ln>
            <a:effectLst/>
          </c:spPr>
          <c:marker>
            <c:symbol val="none"/>
          </c:marker>
          <c:cat>
            <c:numRef>
              <c:f>'Curve Fitting'!$D$5:$D$141</c:f>
              <c:numCache>
                <c:formatCode>0</c:formatCode>
                <c:ptCount val="137"/>
                <c:pt idx="0">
                  <c:v>0</c:v>
                </c:pt>
                <c:pt idx="1">
                  <c:v>7.6659822039698802E-2</c:v>
                </c:pt>
                <c:pt idx="2">
                  <c:v>0.15331964407939799</c:v>
                </c:pt>
                <c:pt idx="3">
                  <c:v>0.229979466119097</c:v>
                </c:pt>
                <c:pt idx="4">
                  <c:v>0.30663928815879499</c:v>
                </c:pt>
                <c:pt idx="5">
                  <c:v>0.383299110198494</c:v>
                </c:pt>
                <c:pt idx="6">
                  <c:v>0.45995893223819301</c:v>
                </c:pt>
                <c:pt idx="7">
                  <c:v>0.53661875427789196</c:v>
                </c:pt>
                <c:pt idx="8">
                  <c:v>0.61327857631759097</c:v>
                </c:pt>
                <c:pt idx="9">
                  <c:v>0.68993839835728998</c:v>
                </c:pt>
                <c:pt idx="10">
                  <c:v>0.76659822039698799</c:v>
                </c:pt>
                <c:pt idx="11">
                  <c:v>0.84325804243668701</c:v>
                </c:pt>
                <c:pt idx="12">
                  <c:v>0.91991786447638602</c:v>
                </c:pt>
                <c:pt idx="13">
                  <c:v>0.99657768651608503</c:v>
                </c:pt>
                <c:pt idx="14">
                  <c:v>1.0732375085557839</c:v>
                </c:pt>
                <c:pt idx="15">
                  <c:v>1.149897330595482</c:v>
                </c:pt>
                <c:pt idx="16">
                  <c:v>1.2265571526351811</c:v>
                </c:pt>
                <c:pt idx="17">
                  <c:v>1.3032169746748801</c:v>
                </c:pt>
                <c:pt idx="18">
                  <c:v>1.3798767967145791</c:v>
                </c:pt>
                <c:pt idx="19">
                  <c:v>1.4565366187542781</c:v>
                </c:pt>
                <c:pt idx="20">
                  <c:v>1.533196440793976</c:v>
                </c:pt>
                <c:pt idx="21">
                  <c:v>1.609856262833675</c:v>
                </c:pt>
                <c:pt idx="22">
                  <c:v>1.686516084873374</c:v>
                </c:pt>
                <c:pt idx="23">
                  <c:v>1.7631759069130739</c:v>
                </c:pt>
                <c:pt idx="24">
                  <c:v>1.839835728952772</c:v>
                </c:pt>
                <c:pt idx="25">
                  <c:v>1.916495550992471</c:v>
                </c:pt>
                <c:pt idx="26">
                  <c:v>1.9931553730321701</c:v>
                </c:pt>
                <c:pt idx="27">
                  <c:v>2.0698151950718668</c:v>
                </c:pt>
                <c:pt idx="28">
                  <c:v>2.146475017111567</c:v>
                </c:pt>
                <c:pt idx="29">
                  <c:v>2.2231348391512662</c:v>
                </c:pt>
                <c:pt idx="30">
                  <c:v>2.299794661190965</c:v>
                </c:pt>
                <c:pt idx="31">
                  <c:v>2.376454483230662</c:v>
                </c:pt>
                <c:pt idx="32">
                  <c:v>2.453114305270363</c:v>
                </c:pt>
                <c:pt idx="33">
                  <c:v>2.5297741273100609</c:v>
                </c:pt>
                <c:pt idx="34">
                  <c:v>2.6064339493497601</c:v>
                </c:pt>
                <c:pt idx="35">
                  <c:v>2.6830937713894598</c:v>
                </c:pt>
                <c:pt idx="36">
                  <c:v>2.7597535934291582</c:v>
                </c:pt>
                <c:pt idx="37">
                  <c:v>2.8364134154688552</c:v>
                </c:pt>
                <c:pt idx="38">
                  <c:v>2.9130732375085562</c:v>
                </c:pt>
                <c:pt idx="39">
                  <c:v>2.989733059548255</c:v>
                </c:pt>
                <c:pt idx="40">
                  <c:v>3.0663928815879542</c:v>
                </c:pt>
                <c:pt idx="41">
                  <c:v>3.143052703627653</c:v>
                </c:pt>
                <c:pt idx="42">
                  <c:v>3.2197125256673509</c:v>
                </c:pt>
                <c:pt idx="43">
                  <c:v>3.2963723477070501</c:v>
                </c:pt>
                <c:pt idx="44">
                  <c:v>3.373032169746748</c:v>
                </c:pt>
                <c:pt idx="45">
                  <c:v>3.4496919917864481</c:v>
                </c:pt>
                <c:pt idx="46">
                  <c:v>3.526351813826146</c:v>
                </c:pt>
                <c:pt idx="47">
                  <c:v>3.6030116358658448</c:v>
                </c:pt>
                <c:pt idx="48">
                  <c:v>3.6796714579055441</c:v>
                </c:pt>
                <c:pt idx="49">
                  <c:v>3.7563312799452429</c:v>
                </c:pt>
                <c:pt idx="50">
                  <c:v>3.8329911019849412</c:v>
                </c:pt>
                <c:pt idx="51">
                  <c:v>3.9096509240246391</c:v>
                </c:pt>
                <c:pt idx="52">
                  <c:v>3.9863107460643401</c:v>
                </c:pt>
                <c:pt idx="53">
                  <c:v>4.0629705681040358</c:v>
                </c:pt>
                <c:pt idx="54">
                  <c:v>4.1396303901437381</c:v>
                </c:pt>
                <c:pt idx="55">
                  <c:v>4.216290212183436</c:v>
                </c:pt>
                <c:pt idx="56">
                  <c:v>4.2929500342231348</c:v>
                </c:pt>
                <c:pt idx="57">
                  <c:v>4.3696098562628336</c:v>
                </c:pt>
                <c:pt idx="58">
                  <c:v>4.4462696783025342</c:v>
                </c:pt>
                <c:pt idx="59">
                  <c:v>4.5229295003422294</c:v>
                </c:pt>
                <c:pt idx="60">
                  <c:v>4.59958932238193</c:v>
                </c:pt>
                <c:pt idx="61">
                  <c:v>4.6762491444216296</c:v>
                </c:pt>
                <c:pt idx="62">
                  <c:v>4.7529089664613267</c:v>
                </c:pt>
                <c:pt idx="63">
                  <c:v>4.8295687885010281</c:v>
                </c:pt>
                <c:pt idx="64">
                  <c:v>4.9062286105407269</c:v>
                </c:pt>
                <c:pt idx="65">
                  <c:v>4.9828884325804248</c:v>
                </c:pt>
                <c:pt idx="66">
                  <c:v>5.0595482546201227</c:v>
                </c:pt>
                <c:pt idx="67">
                  <c:v>5.1362080766598224</c:v>
                </c:pt>
                <c:pt idx="68">
                  <c:v>5.2128678986995203</c:v>
                </c:pt>
                <c:pt idx="69">
                  <c:v>5.28952772073922</c:v>
                </c:pt>
                <c:pt idx="70">
                  <c:v>5.3661875427789143</c:v>
                </c:pt>
                <c:pt idx="71">
                  <c:v>5.4428473648186184</c:v>
                </c:pt>
                <c:pt idx="72">
                  <c:v>5.5195071868583163</c:v>
                </c:pt>
                <c:pt idx="73">
                  <c:v>5.5961670088980151</c:v>
                </c:pt>
                <c:pt idx="74">
                  <c:v>5.6728268309377086</c:v>
                </c:pt>
                <c:pt idx="75">
                  <c:v>5.7494866529774109</c:v>
                </c:pt>
                <c:pt idx="76">
                  <c:v>5.8261464750171106</c:v>
                </c:pt>
                <c:pt idx="77">
                  <c:v>5.9028062970568076</c:v>
                </c:pt>
                <c:pt idx="78">
                  <c:v>5.9794661190965099</c:v>
                </c:pt>
                <c:pt idx="79">
                  <c:v>6.0561259411362061</c:v>
                </c:pt>
                <c:pt idx="80">
                  <c:v>6.1327857631759048</c:v>
                </c:pt>
                <c:pt idx="81">
                  <c:v>6.2094455852156072</c:v>
                </c:pt>
                <c:pt idx="82">
                  <c:v>6.2861054072553051</c:v>
                </c:pt>
                <c:pt idx="83">
                  <c:v>6.3627652292949994</c:v>
                </c:pt>
                <c:pt idx="84">
                  <c:v>6.4394250513347018</c:v>
                </c:pt>
                <c:pt idx="85">
                  <c:v>6.5160848733743988</c:v>
                </c:pt>
                <c:pt idx="86">
                  <c:v>6.5927446954141002</c:v>
                </c:pt>
                <c:pt idx="87">
                  <c:v>6.6694045174537946</c:v>
                </c:pt>
                <c:pt idx="88">
                  <c:v>6.7460643394934969</c:v>
                </c:pt>
                <c:pt idx="89">
                  <c:v>6.8227241615331957</c:v>
                </c:pt>
                <c:pt idx="90">
                  <c:v>6.8993839835728972</c:v>
                </c:pt>
                <c:pt idx="91">
                  <c:v>6.976043805612596</c:v>
                </c:pt>
                <c:pt idx="92">
                  <c:v>7.0527036276522912</c:v>
                </c:pt>
                <c:pt idx="93">
                  <c:v>7.1293634496919909</c:v>
                </c:pt>
                <c:pt idx="94">
                  <c:v>7.2060232717316914</c:v>
                </c:pt>
                <c:pt idx="95">
                  <c:v>7.2826830937713902</c:v>
                </c:pt>
                <c:pt idx="96">
                  <c:v>7.3593429158110881</c:v>
                </c:pt>
                <c:pt idx="97">
                  <c:v>7.4360027378507878</c:v>
                </c:pt>
                <c:pt idx="98">
                  <c:v>7.5126625598904857</c:v>
                </c:pt>
                <c:pt idx="99">
                  <c:v>7.589322381930188</c:v>
                </c:pt>
                <c:pt idx="100">
                  <c:v>7.6659822039698797</c:v>
                </c:pt>
                <c:pt idx="101">
                  <c:v>7.742642026009583</c:v>
                </c:pt>
                <c:pt idx="102">
                  <c:v>7.8193018480492791</c:v>
                </c:pt>
                <c:pt idx="103">
                  <c:v>7.8959616700889779</c:v>
                </c:pt>
                <c:pt idx="104">
                  <c:v>7.9726214921286802</c:v>
                </c:pt>
                <c:pt idx="105">
                  <c:v>8.0492813141683772</c:v>
                </c:pt>
                <c:pt idx="106">
                  <c:v>8.1259411362080769</c:v>
                </c:pt>
                <c:pt idx="107">
                  <c:v>8.2026009582477748</c:v>
                </c:pt>
                <c:pt idx="108">
                  <c:v>8.2792607802874691</c:v>
                </c:pt>
                <c:pt idx="109">
                  <c:v>8.3559206023271724</c:v>
                </c:pt>
                <c:pt idx="110">
                  <c:v>8.4325804243668721</c:v>
                </c:pt>
                <c:pt idx="111">
                  <c:v>8.5092402464065717</c:v>
                </c:pt>
                <c:pt idx="112">
                  <c:v>8.5859000684462696</c:v>
                </c:pt>
                <c:pt idx="113">
                  <c:v>8.6625598904859693</c:v>
                </c:pt>
                <c:pt idx="114">
                  <c:v>8.7392197125256672</c:v>
                </c:pt>
                <c:pt idx="115">
                  <c:v>8.8158795345653704</c:v>
                </c:pt>
                <c:pt idx="116">
                  <c:v>8.8925393566050701</c:v>
                </c:pt>
                <c:pt idx="117">
                  <c:v>8.9691991786447662</c:v>
                </c:pt>
                <c:pt idx="118">
                  <c:v>9.0458590006844624</c:v>
                </c:pt>
                <c:pt idx="119">
                  <c:v>9.122518822724162</c:v>
                </c:pt>
                <c:pt idx="120">
                  <c:v>9.1991786447638564</c:v>
                </c:pt>
                <c:pt idx="121">
                  <c:v>9.2758384668035543</c:v>
                </c:pt>
                <c:pt idx="122">
                  <c:v>9.3524982888432593</c:v>
                </c:pt>
                <c:pt idx="123">
                  <c:v>9.4291581108829572</c:v>
                </c:pt>
                <c:pt idx="124">
                  <c:v>9.5058179329226586</c:v>
                </c:pt>
                <c:pt idx="125">
                  <c:v>9.5824777549623548</c:v>
                </c:pt>
                <c:pt idx="126">
                  <c:v>9.6591375770020562</c:v>
                </c:pt>
                <c:pt idx="127">
                  <c:v>9.7357973990417523</c:v>
                </c:pt>
                <c:pt idx="128">
                  <c:v>9.8124572210814502</c:v>
                </c:pt>
                <c:pt idx="129">
                  <c:v>9.8891170431211517</c:v>
                </c:pt>
                <c:pt idx="130">
                  <c:v>9.9657768651608496</c:v>
                </c:pt>
                <c:pt idx="131">
                  <c:v>10.042436687200549</c:v>
                </c:pt>
                <c:pt idx="132">
                  <c:v>10.119096509240251</c:v>
                </c:pt>
                <c:pt idx="133">
                  <c:v>10.19575633127995</c:v>
                </c:pt>
                <c:pt idx="134">
                  <c:v>10.27241615331965</c:v>
                </c:pt>
                <c:pt idx="135">
                  <c:v>10.349075975359341</c:v>
                </c:pt>
                <c:pt idx="136">
                  <c:v>10.425735797399041</c:v>
                </c:pt>
              </c:numCache>
            </c:numRef>
          </c:cat>
          <c:val>
            <c:numRef>
              <c:f>'Curve Fitting'!$AL$5:$AL$135</c:f>
              <c:numCache>
                <c:formatCode>0.00</c:formatCode>
                <c:ptCount val="131"/>
                <c:pt idx="0">
                  <c:v>1</c:v>
                </c:pt>
                <c:pt idx="1">
                  <c:v>0.98837143939640004</c:v>
                </c:pt>
                <c:pt idx="2">
                  <c:v>0.86837313836219998</c:v>
                </c:pt>
                <c:pt idx="3">
                  <c:v>0.81213826887189999</c:v>
                </c:pt>
                <c:pt idx="4">
                  <c:v>0.7276932079956</c:v>
                </c:pt>
                <c:pt idx="5">
                  <c:v>0.61204018983889996</c:v>
                </c:pt>
                <c:pt idx="6">
                  <c:v>0.55696732405000005</c:v>
                </c:pt>
                <c:pt idx="7">
                  <c:v>0.54044546431329998</c:v>
                </c:pt>
                <c:pt idx="8">
                  <c:v>0.46885073878779998</c:v>
                </c:pt>
                <c:pt idx="9">
                  <c:v>0.43397125712149998</c:v>
                </c:pt>
                <c:pt idx="10">
                  <c:v>0.38991296449040003</c:v>
                </c:pt>
                <c:pt idx="11">
                  <c:v>0.36421229378890002</c:v>
                </c:pt>
                <c:pt idx="12">
                  <c:v>0.32933281212260002</c:v>
                </c:pt>
                <c:pt idx="13">
                  <c:v>0.30785439446489998</c:v>
                </c:pt>
                <c:pt idx="14">
                  <c:v>0.28411762330020002</c:v>
                </c:pt>
                <c:pt idx="15">
                  <c:v>0.25039503782509998</c:v>
                </c:pt>
                <c:pt idx="16">
                  <c:v>0.23570894028139999</c:v>
                </c:pt>
                <c:pt idx="17">
                  <c:v>0.17329302572069999</c:v>
                </c:pt>
                <c:pt idx="18">
                  <c:v>0.17301081771919999</c:v>
                </c:pt>
                <c:pt idx="19">
                  <c:v>0.16998750328160001</c:v>
                </c:pt>
                <c:pt idx="20">
                  <c:v>0.1696215013348</c:v>
                </c:pt>
                <c:pt idx="21">
                  <c:v>0.1696215013348</c:v>
                </c:pt>
                <c:pt idx="22">
                  <c:v>0.1696215013348</c:v>
                </c:pt>
                <c:pt idx="23">
                  <c:v>0.1405101875152</c:v>
                </c:pt>
                <c:pt idx="24">
                  <c:v>0.1405101875152</c:v>
                </c:pt>
                <c:pt idx="25">
                  <c:v>0.1405101875152</c:v>
                </c:pt>
                <c:pt idx="26">
                  <c:v>0.1405101875152</c:v>
                </c:pt>
                <c:pt idx="27">
                  <c:v>0.1405101875152</c:v>
                </c:pt>
                <c:pt idx="28">
                  <c:v>7.0973955450900003E-2</c:v>
                </c:pt>
                <c:pt idx="29">
                  <c:v>7.0973955450900003E-2</c:v>
                </c:pt>
                <c:pt idx="30">
                  <c:v>7.0973955450900003E-2</c:v>
                </c:pt>
              </c:numCache>
            </c:numRef>
          </c:val>
          <c:smooth val="0"/>
          <c:extLst>
            <c:ext xmlns:c16="http://schemas.microsoft.com/office/drawing/2014/chart" uri="{C3380CC4-5D6E-409C-BE32-E72D297353CC}">
              <c16:uniqueId val="{00000002-F29B-446A-BC1C-19BCB5ACAA78}"/>
            </c:ext>
          </c:extLst>
        </c:ser>
        <c:ser>
          <c:idx val="12"/>
          <c:order val="3"/>
          <c:tx>
            <c:v>Modelled PFS EVE+EXE</c:v>
          </c:tx>
          <c:spPr>
            <a:ln w="19050" cap="rnd">
              <a:solidFill>
                <a:schemeClr val="accent6">
                  <a:lumMod val="50000"/>
                </a:schemeClr>
              </a:solidFill>
              <a:prstDash val="dash"/>
              <a:round/>
            </a:ln>
            <a:effectLst/>
          </c:spPr>
          <c:marker>
            <c:symbol val="none"/>
          </c:marker>
          <c:cat>
            <c:numRef>
              <c:f>'Curve Fitting'!$D$5:$D$141</c:f>
              <c:numCache>
                <c:formatCode>0</c:formatCode>
                <c:ptCount val="137"/>
                <c:pt idx="0">
                  <c:v>0</c:v>
                </c:pt>
                <c:pt idx="1">
                  <c:v>7.6659822039698802E-2</c:v>
                </c:pt>
                <c:pt idx="2">
                  <c:v>0.15331964407939799</c:v>
                </c:pt>
                <c:pt idx="3">
                  <c:v>0.229979466119097</c:v>
                </c:pt>
                <c:pt idx="4">
                  <c:v>0.30663928815879499</c:v>
                </c:pt>
                <c:pt idx="5">
                  <c:v>0.383299110198494</c:v>
                </c:pt>
                <c:pt idx="6">
                  <c:v>0.45995893223819301</c:v>
                </c:pt>
                <c:pt idx="7">
                  <c:v>0.53661875427789196</c:v>
                </c:pt>
                <c:pt idx="8">
                  <c:v>0.61327857631759097</c:v>
                </c:pt>
                <c:pt idx="9">
                  <c:v>0.68993839835728998</c:v>
                </c:pt>
                <c:pt idx="10">
                  <c:v>0.76659822039698799</c:v>
                </c:pt>
                <c:pt idx="11">
                  <c:v>0.84325804243668701</c:v>
                </c:pt>
                <c:pt idx="12">
                  <c:v>0.91991786447638602</c:v>
                </c:pt>
                <c:pt idx="13">
                  <c:v>0.99657768651608503</c:v>
                </c:pt>
                <c:pt idx="14">
                  <c:v>1.0732375085557839</c:v>
                </c:pt>
                <c:pt idx="15">
                  <c:v>1.149897330595482</c:v>
                </c:pt>
                <c:pt idx="16">
                  <c:v>1.2265571526351811</c:v>
                </c:pt>
                <c:pt idx="17">
                  <c:v>1.3032169746748801</c:v>
                </c:pt>
                <c:pt idx="18">
                  <c:v>1.3798767967145791</c:v>
                </c:pt>
                <c:pt idx="19">
                  <c:v>1.4565366187542781</c:v>
                </c:pt>
                <c:pt idx="20">
                  <c:v>1.533196440793976</c:v>
                </c:pt>
                <c:pt idx="21">
                  <c:v>1.609856262833675</c:v>
                </c:pt>
                <c:pt idx="22">
                  <c:v>1.686516084873374</c:v>
                </c:pt>
                <c:pt idx="23">
                  <c:v>1.7631759069130739</c:v>
                </c:pt>
                <c:pt idx="24">
                  <c:v>1.839835728952772</c:v>
                </c:pt>
                <c:pt idx="25">
                  <c:v>1.916495550992471</c:v>
                </c:pt>
                <c:pt idx="26">
                  <c:v>1.9931553730321701</c:v>
                </c:pt>
                <c:pt idx="27">
                  <c:v>2.0698151950718668</c:v>
                </c:pt>
                <c:pt idx="28">
                  <c:v>2.146475017111567</c:v>
                </c:pt>
                <c:pt idx="29">
                  <c:v>2.2231348391512662</c:v>
                </c:pt>
                <c:pt idx="30">
                  <c:v>2.299794661190965</c:v>
                </c:pt>
                <c:pt idx="31">
                  <c:v>2.376454483230662</c:v>
                </c:pt>
                <c:pt idx="32">
                  <c:v>2.453114305270363</c:v>
                </c:pt>
                <c:pt idx="33">
                  <c:v>2.5297741273100609</c:v>
                </c:pt>
                <c:pt idx="34">
                  <c:v>2.6064339493497601</c:v>
                </c:pt>
                <c:pt idx="35">
                  <c:v>2.6830937713894598</c:v>
                </c:pt>
                <c:pt idx="36">
                  <c:v>2.7597535934291582</c:v>
                </c:pt>
                <c:pt idx="37">
                  <c:v>2.8364134154688552</c:v>
                </c:pt>
                <c:pt idx="38">
                  <c:v>2.9130732375085562</c:v>
                </c:pt>
                <c:pt idx="39">
                  <c:v>2.989733059548255</c:v>
                </c:pt>
                <c:pt idx="40">
                  <c:v>3.0663928815879542</c:v>
                </c:pt>
                <c:pt idx="41">
                  <c:v>3.143052703627653</c:v>
                </c:pt>
                <c:pt idx="42">
                  <c:v>3.2197125256673509</c:v>
                </c:pt>
                <c:pt idx="43">
                  <c:v>3.2963723477070501</c:v>
                </c:pt>
                <c:pt idx="44">
                  <c:v>3.373032169746748</c:v>
                </c:pt>
                <c:pt idx="45">
                  <c:v>3.4496919917864481</c:v>
                </c:pt>
                <c:pt idx="46">
                  <c:v>3.526351813826146</c:v>
                </c:pt>
                <c:pt idx="47">
                  <c:v>3.6030116358658448</c:v>
                </c:pt>
                <c:pt idx="48">
                  <c:v>3.6796714579055441</c:v>
                </c:pt>
                <c:pt idx="49">
                  <c:v>3.7563312799452429</c:v>
                </c:pt>
                <c:pt idx="50">
                  <c:v>3.8329911019849412</c:v>
                </c:pt>
                <c:pt idx="51">
                  <c:v>3.9096509240246391</c:v>
                </c:pt>
                <c:pt idx="52">
                  <c:v>3.9863107460643401</c:v>
                </c:pt>
                <c:pt idx="53">
                  <c:v>4.0629705681040358</c:v>
                </c:pt>
                <c:pt idx="54">
                  <c:v>4.1396303901437381</c:v>
                </c:pt>
                <c:pt idx="55">
                  <c:v>4.216290212183436</c:v>
                </c:pt>
                <c:pt idx="56">
                  <c:v>4.2929500342231348</c:v>
                </c:pt>
                <c:pt idx="57">
                  <c:v>4.3696098562628336</c:v>
                </c:pt>
                <c:pt idx="58">
                  <c:v>4.4462696783025342</c:v>
                </c:pt>
                <c:pt idx="59">
                  <c:v>4.5229295003422294</c:v>
                </c:pt>
                <c:pt idx="60">
                  <c:v>4.59958932238193</c:v>
                </c:pt>
                <c:pt idx="61">
                  <c:v>4.6762491444216296</c:v>
                </c:pt>
                <c:pt idx="62">
                  <c:v>4.7529089664613267</c:v>
                </c:pt>
                <c:pt idx="63">
                  <c:v>4.8295687885010281</c:v>
                </c:pt>
                <c:pt idx="64">
                  <c:v>4.9062286105407269</c:v>
                </c:pt>
                <c:pt idx="65">
                  <c:v>4.9828884325804248</c:v>
                </c:pt>
                <c:pt idx="66">
                  <c:v>5.0595482546201227</c:v>
                </c:pt>
                <c:pt idx="67">
                  <c:v>5.1362080766598224</c:v>
                </c:pt>
                <c:pt idx="68">
                  <c:v>5.2128678986995203</c:v>
                </c:pt>
                <c:pt idx="69">
                  <c:v>5.28952772073922</c:v>
                </c:pt>
                <c:pt idx="70">
                  <c:v>5.3661875427789143</c:v>
                </c:pt>
                <c:pt idx="71">
                  <c:v>5.4428473648186184</c:v>
                </c:pt>
                <c:pt idx="72">
                  <c:v>5.5195071868583163</c:v>
                </c:pt>
                <c:pt idx="73">
                  <c:v>5.5961670088980151</c:v>
                </c:pt>
                <c:pt idx="74">
                  <c:v>5.6728268309377086</c:v>
                </c:pt>
                <c:pt idx="75">
                  <c:v>5.7494866529774109</c:v>
                </c:pt>
                <c:pt idx="76">
                  <c:v>5.8261464750171106</c:v>
                </c:pt>
                <c:pt idx="77">
                  <c:v>5.9028062970568076</c:v>
                </c:pt>
                <c:pt idx="78">
                  <c:v>5.9794661190965099</c:v>
                </c:pt>
                <c:pt idx="79">
                  <c:v>6.0561259411362061</c:v>
                </c:pt>
                <c:pt idx="80">
                  <c:v>6.1327857631759048</c:v>
                </c:pt>
                <c:pt idx="81">
                  <c:v>6.2094455852156072</c:v>
                </c:pt>
                <c:pt idx="82">
                  <c:v>6.2861054072553051</c:v>
                </c:pt>
                <c:pt idx="83">
                  <c:v>6.3627652292949994</c:v>
                </c:pt>
                <c:pt idx="84">
                  <c:v>6.4394250513347018</c:v>
                </c:pt>
                <c:pt idx="85">
                  <c:v>6.5160848733743988</c:v>
                </c:pt>
                <c:pt idx="86">
                  <c:v>6.5927446954141002</c:v>
                </c:pt>
                <c:pt idx="87">
                  <c:v>6.6694045174537946</c:v>
                </c:pt>
                <c:pt idx="88">
                  <c:v>6.7460643394934969</c:v>
                </c:pt>
                <c:pt idx="89">
                  <c:v>6.8227241615331957</c:v>
                </c:pt>
                <c:pt idx="90">
                  <c:v>6.8993839835728972</c:v>
                </c:pt>
                <c:pt idx="91">
                  <c:v>6.976043805612596</c:v>
                </c:pt>
                <c:pt idx="92">
                  <c:v>7.0527036276522912</c:v>
                </c:pt>
                <c:pt idx="93">
                  <c:v>7.1293634496919909</c:v>
                </c:pt>
                <c:pt idx="94">
                  <c:v>7.2060232717316914</c:v>
                </c:pt>
                <c:pt idx="95">
                  <c:v>7.2826830937713902</c:v>
                </c:pt>
                <c:pt idx="96">
                  <c:v>7.3593429158110881</c:v>
                </c:pt>
                <c:pt idx="97">
                  <c:v>7.4360027378507878</c:v>
                </c:pt>
                <c:pt idx="98">
                  <c:v>7.5126625598904857</c:v>
                </c:pt>
                <c:pt idx="99">
                  <c:v>7.589322381930188</c:v>
                </c:pt>
                <c:pt idx="100">
                  <c:v>7.6659822039698797</c:v>
                </c:pt>
                <c:pt idx="101">
                  <c:v>7.742642026009583</c:v>
                </c:pt>
                <c:pt idx="102">
                  <c:v>7.8193018480492791</c:v>
                </c:pt>
                <c:pt idx="103">
                  <c:v>7.8959616700889779</c:v>
                </c:pt>
                <c:pt idx="104">
                  <c:v>7.9726214921286802</c:v>
                </c:pt>
                <c:pt idx="105">
                  <c:v>8.0492813141683772</c:v>
                </c:pt>
                <c:pt idx="106">
                  <c:v>8.1259411362080769</c:v>
                </c:pt>
                <c:pt idx="107">
                  <c:v>8.2026009582477748</c:v>
                </c:pt>
                <c:pt idx="108">
                  <c:v>8.2792607802874691</c:v>
                </c:pt>
                <c:pt idx="109">
                  <c:v>8.3559206023271724</c:v>
                </c:pt>
                <c:pt idx="110">
                  <c:v>8.4325804243668721</c:v>
                </c:pt>
                <c:pt idx="111">
                  <c:v>8.5092402464065717</c:v>
                </c:pt>
                <c:pt idx="112">
                  <c:v>8.5859000684462696</c:v>
                </c:pt>
                <c:pt idx="113">
                  <c:v>8.6625598904859693</c:v>
                </c:pt>
                <c:pt idx="114">
                  <c:v>8.7392197125256672</c:v>
                </c:pt>
                <c:pt idx="115">
                  <c:v>8.8158795345653704</c:v>
                </c:pt>
                <c:pt idx="116">
                  <c:v>8.8925393566050701</c:v>
                </c:pt>
                <c:pt idx="117">
                  <c:v>8.9691991786447662</c:v>
                </c:pt>
                <c:pt idx="118">
                  <c:v>9.0458590006844624</c:v>
                </c:pt>
                <c:pt idx="119">
                  <c:v>9.122518822724162</c:v>
                </c:pt>
                <c:pt idx="120">
                  <c:v>9.1991786447638564</c:v>
                </c:pt>
                <c:pt idx="121">
                  <c:v>9.2758384668035543</c:v>
                </c:pt>
                <c:pt idx="122">
                  <c:v>9.3524982888432593</c:v>
                </c:pt>
                <c:pt idx="123">
                  <c:v>9.4291581108829572</c:v>
                </c:pt>
                <c:pt idx="124">
                  <c:v>9.5058179329226586</c:v>
                </c:pt>
                <c:pt idx="125">
                  <c:v>9.5824777549623548</c:v>
                </c:pt>
                <c:pt idx="126">
                  <c:v>9.6591375770020562</c:v>
                </c:pt>
                <c:pt idx="127">
                  <c:v>9.7357973990417523</c:v>
                </c:pt>
                <c:pt idx="128">
                  <c:v>9.8124572210814502</c:v>
                </c:pt>
                <c:pt idx="129">
                  <c:v>9.8891170431211517</c:v>
                </c:pt>
                <c:pt idx="130">
                  <c:v>9.9657768651608496</c:v>
                </c:pt>
                <c:pt idx="131">
                  <c:v>10.042436687200549</c:v>
                </c:pt>
                <c:pt idx="132">
                  <c:v>10.119096509240251</c:v>
                </c:pt>
                <c:pt idx="133">
                  <c:v>10.19575633127995</c:v>
                </c:pt>
                <c:pt idx="134">
                  <c:v>10.27241615331965</c:v>
                </c:pt>
                <c:pt idx="135">
                  <c:v>10.349075975359341</c:v>
                </c:pt>
                <c:pt idx="136">
                  <c:v>10.425735797399041</c:v>
                </c:pt>
              </c:numCache>
            </c:numRef>
          </c:cat>
          <c:val>
            <c:numRef>
              <c:f>'Curve Fitting'!$AM$5:$AM$135</c:f>
              <c:numCache>
                <c:formatCode>0.00</c:formatCode>
                <c:ptCount val="131"/>
                <c:pt idx="0">
                  <c:v>1</c:v>
                </c:pt>
                <c:pt idx="1">
                  <c:v>0.915510680904983</c:v>
                </c:pt>
                <c:pt idx="2">
                  <c:v>0.83815980685110703</c:v>
                </c:pt>
                <c:pt idx="3">
                  <c:v>0.767344255477446</c:v>
                </c:pt>
                <c:pt idx="4">
                  <c:v>0.70251186182068404</c:v>
                </c:pt>
                <c:pt idx="5">
                  <c:v>0.64315711295928202</c:v>
                </c:pt>
                <c:pt idx="6">
                  <c:v>0.58881720641423596</c:v>
                </c:pt>
                <c:pt idx="7">
                  <c:v>0.53906844157286704</c:v>
                </c:pt>
                <c:pt idx="8">
                  <c:v>0.49352291599876402</c:v>
                </c:pt>
                <c:pt idx="9">
                  <c:v>0.45182550086824103</c:v>
                </c:pt>
                <c:pt idx="10">
                  <c:v>0.41365107195011902</c:v>
                </c:pt>
                <c:pt idx="11">
                  <c:v>0.37870197453812898</c:v>
                </c:pt>
                <c:pt idx="12">
                  <c:v>0.34670570256946398</c:v>
                </c:pt>
                <c:pt idx="13">
                  <c:v>0.31741277383301097</c:v>
                </c:pt>
                <c:pt idx="14">
                  <c:v>0.29059478469979999</c:v>
                </c:pt>
                <c:pt idx="15">
                  <c:v>0.26604262920795002</c:v>
                </c:pt>
                <c:pt idx="16">
                  <c:v>0.243564868615923</c:v>
                </c:pt>
                <c:pt idx="17">
                  <c:v>0.22298623871109599</c:v>
                </c:pt>
                <c:pt idx="18">
                  <c:v>0.20414628323483699</c:v>
                </c:pt>
                <c:pt idx="19">
                  <c:v>0.18689810276854699</c:v>
                </c:pt>
                <c:pt idx="20">
                  <c:v>0.17110720932548201</c:v>
                </c:pt>
                <c:pt idx="21">
                  <c:v>0.15665047771732399</c:v>
                </c:pt>
                <c:pt idx="22">
                  <c:v>0.143415185519078</c:v>
                </c:pt>
                <c:pt idx="23">
                  <c:v>0.13129813414668601</c:v>
                </c:pt>
                <c:pt idx="24">
                  <c:v>0.12020484419418601</c:v>
                </c:pt>
                <c:pt idx="25">
                  <c:v>0.110048818756297</c:v>
                </c:pt>
                <c:pt idx="26">
                  <c:v>0.100750868992366</c:v>
                </c:pt>
                <c:pt idx="27">
                  <c:v>9.2238496672970002E-2</c:v>
                </c:pt>
                <c:pt idx="28">
                  <c:v>8.4445328894722907E-2</c:v>
                </c:pt>
                <c:pt idx="29">
                  <c:v>7.7310600555653003E-2</c:v>
                </c:pt>
                <c:pt idx="30">
                  <c:v>7.0778680555879103E-2</c:v>
                </c:pt>
                <c:pt idx="31">
                  <c:v>6.4798638029269204E-2</c:v>
                </c:pt>
                <c:pt idx="32">
                  <c:v>5.9323845223891697E-2</c:v>
                </c:pt>
                <c:pt idx="33">
                  <c:v>5.4311613934827002E-2</c:v>
                </c:pt>
                <c:pt idx="34">
                  <c:v>4.9722862654521999E-2</c:v>
                </c:pt>
                <c:pt idx="35">
                  <c:v>4.5521811845386402E-2</c:v>
                </c:pt>
                <c:pt idx="36">
                  <c:v>4.1675704958598299E-2</c:v>
                </c:pt>
                <c:pt idx="37">
                  <c:v>3.8154553023841499E-2</c:v>
                </c:pt>
                <c:pt idx="38">
                  <c:v>3.4930900818482401E-2</c:v>
                </c:pt>
                <c:pt idx="39">
                  <c:v>3.1979612792953298E-2</c:v>
                </c:pt>
                <c:pt idx="40">
                  <c:v>2.9277677083154399E-2</c:v>
                </c:pt>
                <c:pt idx="41">
                  <c:v>2.68040260817149E-2</c:v>
                </c:pt>
                <c:pt idx="42">
                  <c:v>2.4539372169065699E-2</c:v>
                </c:pt>
                <c:pt idx="43">
                  <c:v>2.24660573234822E-2</c:v>
                </c:pt>
                <c:pt idx="44">
                  <c:v>2.05679154374716E-2</c:v>
                </c:pt>
                <c:pt idx="45">
                  <c:v>1.88301462669557E-2</c:v>
                </c:pt>
                <c:pt idx="46">
                  <c:v>1.7239200030401001E-2</c:v>
                </c:pt>
                <c:pt idx="47">
                  <c:v>1.57826717580897E-2</c:v>
                </c:pt>
                <c:pt idx="48">
                  <c:v>1.4449204567748499E-2</c:v>
                </c:pt>
                <c:pt idx="49">
                  <c:v>1.32284011123549E-2</c:v>
                </c:pt>
                <c:pt idx="50">
                  <c:v>1.21107425096562E-2</c:v>
                </c:pt>
                <c:pt idx="51">
                  <c:v>1.10875141212803E-2</c:v>
                </c:pt>
                <c:pt idx="52">
                  <c:v>1.0150737602717E-2</c:v>
                </c:pt>
                <c:pt idx="53">
                  <c:v>9.2931086943512098E-3</c:v>
                </c:pt>
                <c:pt idx="54">
                  <c:v>8.5079402684895104E-3</c:v>
                </c:pt>
                <c:pt idx="55">
                  <c:v>7.7891101883037503E-3</c:v>
                </c:pt>
                <c:pt idx="56">
                  <c:v>7.1310135721379102E-3</c:v>
                </c:pt>
                <c:pt idx="57">
                  <c:v>6.5285190909706503E-3</c:v>
                </c:pt>
                <c:pt idx="58">
                  <c:v>5.9769289582757299E-3</c:v>
                </c:pt>
                <c:pt idx="59">
                  <c:v>5.4719423003117299E-3</c:v>
                </c:pt>
                <c:pt idx="60">
                  <c:v>5.0096216212311704E-3</c:v>
                </c:pt>
                <c:pt idx="61">
                  <c:v>4.5863621015296797E-3</c:v>
                </c:pt>
                <c:pt idx="62">
                  <c:v>4.1988634904482503E-3</c:v>
                </c:pt>
                <c:pt idx="63">
                  <c:v>3.84410437316735E-3</c:v>
                </c:pt>
                <c:pt idx="64">
                  <c:v>3.51931861214826E-3</c:v>
                </c:pt>
                <c:pt idx="65">
                  <c:v>3.22197377892944E-3</c:v>
                </c:pt>
                <c:pt idx="66">
                  <c:v>2.9497514082056902E-3</c:v>
                </c:pt>
                <c:pt idx="67">
                  <c:v>2.7005289202268298E-3</c:v>
                </c:pt>
                <c:pt idx="68">
                  <c:v>2.4723630705604598E-3</c:v>
                </c:pt>
                <c:pt idx="69">
                  <c:v>2.2634747981731401E-3</c:v>
                </c:pt>
                <c:pt idx="70">
                  <c:v>2.07223535368676E-3</c:v>
                </c:pt>
                <c:pt idx="71">
                  <c:v>1.8971535996491499E-3</c:v>
                </c:pt>
                <c:pt idx="72">
                  <c:v>1.7368643837961299E-3</c:v>
                </c:pt>
                <c:pt idx="73">
                  <c:v>1.5901178946488099E-3</c:v>
                </c:pt>
                <c:pt idx="74">
                  <c:v>1.4557699164491299E-3</c:v>
                </c:pt>
                <c:pt idx="75">
                  <c:v>1.3327729074493399E-3</c:v>
                </c:pt>
                <c:pt idx="76">
                  <c:v>1.22016783199066E-3</c:v>
                </c:pt>
                <c:pt idx="77">
                  <c:v>1.11707668268412E-3</c:v>
                </c:pt>
                <c:pt idx="78">
                  <c:v>1.02269563438722E-3</c:v>
                </c:pt>
                <c:pt idx="79">
                  <c:v>9.362887765964E-4</c:v>
                </c:pt>
                <c:pt idx="80">
                  <c:v>8.5718237538546399E-4</c:v>
                </c:pt>
                <c:pt idx="81">
                  <c:v>7.8475962014889599E-4</c:v>
                </c:pt>
                <c:pt idx="82">
                  <c:v>7.1845581418925205E-4</c:v>
                </c:pt>
                <c:pt idx="83">
                  <c:v>6.5775397164854804E-4</c:v>
                </c:pt>
                <c:pt idx="84">
                  <c:v>6.0218078645191803E-4</c:v>
                </c:pt>
                <c:pt idx="85">
                  <c:v>5.5130294183249398E-4</c:v>
                </c:pt>
                <c:pt idx="86">
                  <c:v>5.0472373166198696E-4</c:v>
                </c:pt>
                <c:pt idx="87">
                  <c:v>4.6207996724276999E-4</c:v>
                </c:pt>
                <c:pt idx="88">
                  <c:v>4.2303914544298101E-4</c:v>
                </c:pt>
                <c:pt idx="89">
                  <c:v>3.8729685609396598E-4</c:v>
                </c:pt>
                <c:pt idx="90">
                  <c:v>3.5457440843494599E-4</c:v>
                </c:pt>
                <c:pt idx="91">
                  <c:v>3.2461665809775902E-4</c:v>
                </c:pt>
                <c:pt idx="92">
                  <c:v>2.9719001768817901E-4</c:v>
                </c:pt>
                <c:pt idx="93">
                  <c:v>2.7208063545187001E-4</c:v>
                </c:pt>
                <c:pt idx="94">
                  <c:v>2.4909272782360203E-4</c:v>
                </c:pt>
                <c:pt idx="95">
                  <c:v>2.2804705285826501E-4</c:v>
                </c:pt>
                <c:pt idx="96">
                  <c:v>2.08779512640645E-4</c:v>
                </c:pt>
                <c:pt idx="97">
                  <c:v>1.9113987377664701E-4</c:v>
                </c:pt>
                <c:pt idx="98">
                  <c:v>1.74990595989351E-4</c:v>
                </c:pt>
                <c:pt idx="99">
                  <c:v>1.6020575968618E-4</c:v>
                </c:pt>
                <c:pt idx="100">
                  <c:v>1.4667008413519399E-4</c:v>
                </c:pt>
                <c:pt idx="101">
                  <c:v>1.3427802859500301E-4</c:v>
                </c:pt>
                <c:pt idx="102">
                  <c:v>1.2293296938959E-4</c:v>
                </c:pt>
                <c:pt idx="103">
                  <c:v>1.12546446511535E-4</c:v>
                </c:pt>
                <c:pt idx="104">
                  <c:v>1.03037473879212E-4</c:v>
                </c:pt>
                <c:pt idx="105">
                  <c:v>9.4331907869886801E-5</c:v>
                </c:pt>
                <c:pt idx="106">
                  <c:v>8.6361869205026106E-5</c:v>
                </c:pt>
                <c:pt idx="107">
                  <c:v>7.9065213680120706E-5</c:v>
                </c:pt>
                <c:pt idx="108">
                  <c:v>7.2385047612185305E-5</c:v>
                </c:pt>
                <c:pt idx="109">
                  <c:v>6.6269284226771295E-5</c:v>
                </c:pt>
                <c:pt idx="110">
                  <c:v>6.0670237525537298E-5</c:v>
                </c:pt>
                <c:pt idx="111">
                  <c:v>5.5544250467671697E-5</c:v>
                </c:pt>
                <c:pt idx="112">
                  <c:v>5.0851354566015103E-5</c:v>
                </c:pt>
                <c:pt idx="113">
                  <c:v>4.6554958243673302E-5</c:v>
                </c:pt>
                <c:pt idx="114">
                  <c:v>4.2621561521168299E-5</c:v>
                </c:pt>
                <c:pt idx="115">
                  <c:v>3.90204948094784E-5</c:v>
                </c:pt>
                <c:pt idx="116">
                  <c:v>3.5723679772274999E-5</c:v>
                </c:pt>
                <c:pt idx="117">
                  <c:v>3.2705410392747102E-5</c:v>
                </c:pt>
                <c:pt idx="118">
                  <c:v>2.9942152537940801E-5</c:v>
                </c:pt>
                <c:pt idx="119">
                  <c:v>2.7412360457771098E-5</c:v>
                </c:pt>
                <c:pt idx="120">
                  <c:v>2.5096308787906799E-5</c:v>
                </c:pt>
                <c:pt idx="121">
                  <c:v>2.2975938746618301E-5</c:v>
                </c:pt>
                <c:pt idx="122">
                  <c:v>2.10347173263477E-5</c:v>
                </c:pt>
                <c:pt idx="123">
                  <c:v>1.9257508382088501E-5</c:v>
                </c:pt>
                <c:pt idx="124">
                  <c:v>1.7630454611419201E-5</c:v>
                </c:pt>
                <c:pt idx="125">
                  <c:v>1.6140869505964799E-5</c:v>
                </c:pt>
                <c:pt idx="126">
                  <c:v>1.47771384318043E-5</c:v>
                </c:pt>
                <c:pt idx="127">
                  <c:v>1.35286280675284E-5</c:v>
                </c:pt>
                <c:pt idx="128">
                  <c:v>1.23856034938132E-5</c:v>
                </c:pt>
                <c:pt idx="129">
                  <c:v>1.133915228804E-5</c:v>
                </c:pt>
                <c:pt idx="130">
                  <c:v>1.03811150321088E-5</c:v>
                </c:pt>
              </c:numCache>
            </c:numRef>
          </c:val>
          <c:smooth val="0"/>
          <c:extLst>
            <c:ext xmlns:c16="http://schemas.microsoft.com/office/drawing/2014/chart" uri="{C3380CC4-5D6E-409C-BE32-E72D297353CC}">
              <c16:uniqueId val="{00000003-F29B-446A-BC1C-19BCB5ACAA78}"/>
            </c:ext>
          </c:extLst>
        </c:ser>
        <c:ser>
          <c:idx val="9"/>
          <c:order val="4"/>
          <c:tx>
            <c:v>KM OS RIBO+FULV</c:v>
          </c:tx>
          <c:spPr>
            <a:ln w="28575" cap="rnd">
              <a:solidFill>
                <a:schemeClr val="accent5">
                  <a:lumMod val="75000"/>
                </a:schemeClr>
              </a:solidFill>
              <a:round/>
            </a:ln>
            <a:effectLst/>
          </c:spPr>
          <c:marker>
            <c:symbol val="none"/>
          </c:marker>
          <c:cat>
            <c:numRef>
              <c:f>'Curve Fitting'!$D$5:$D$141</c:f>
              <c:numCache>
                <c:formatCode>0</c:formatCode>
                <c:ptCount val="137"/>
                <c:pt idx="0">
                  <c:v>0</c:v>
                </c:pt>
                <c:pt idx="1">
                  <c:v>7.6659822039698802E-2</c:v>
                </c:pt>
                <c:pt idx="2">
                  <c:v>0.15331964407939799</c:v>
                </c:pt>
                <c:pt idx="3">
                  <c:v>0.229979466119097</c:v>
                </c:pt>
                <c:pt idx="4">
                  <c:v>0.30663928815879499</c:v>
                </c:pt>
                <c:pt idx="5">
                  <c:v>0.383299110198494</c:v>
                </c:pt>
                <c:pt idx="6">
                  <c:v>0.45995893223819301</c:v>
                </c:pt>
                <c:pt idx="7">
                  <c:v>0.53661875427789196</c:v>
                </c:pt>
                <c:pt idx="8">
                  <c:v>0.61327857631759097</c:v>
                </c:pt>
                <c:pt idx="9">
                  <c:v>0.68993839835728998</c:v>
                </c:pt>
                <c:pt idx="10">
                  <c:v>0.76659822039698799</c:v>
                </c:pt>
                <c:pt idx="11">
                  <c:v>0.84325804243668701</c:v>
                </c:pt>
                <c:pt idx="12">
                  <c:v>0.91991786447638602</c:v>
                </c:pt>
                <c:pt idx="13">
                  <c:v>0.99657768651608503</c:v>
                </c:pt>
                <c:pt idx="14">
                  <c:v>1.0732375085557839</c:v>
                </c:pt>
                <c:pt idx="15">
                  <c:v>1.149897330595482</c:v>
                </c:pt>
                <c:pt idx="16">
                  <c:v>1.2265571526351811</c:v>
                </c:pt>
                <c:pt idx="17">
                  <c:v>1.3032169746748801</c:v>
                </c:pt>
                <c:pt idx="18">
                  <c:v>1.3798767967145791</c:v>
                </c:pt>
                <c:pt idx="19">
                  <c:v>1.4565366187542781</c:v>
                </c:pt>
                <c:pt idx="20">
                  <c:v>1.533196440793976</c:v>
                </c:pt>
                <c:pt idx="21">
                  <c:v>1.609856262833675</c:v>
                </c:pt>
                <c:pt idx="22">
                  <c:v>1.686516084873374</c:v>
                </c:pt>
                <c:pt idx="23">
                  <c:v>1.7631759069130739</c:v>
                </c:pt>
                <c:pt idx="24">
                  <c:v>1.839835728952772</c:v>
                </c:pt>
                <c:pt idx="25">
                  <c:v>1.916495550992471</c:v>
                </c:pt>
                <c:pt idx="26">
                  <c:v>1.9931553730321701</c:v>
                </c:pt>
                <c:pt idx="27">
                  <c:v>2.0698151950718668</c:v>
                </c:pt>
                <c:pt idx="28">
                  <c:v>2.146475017111567</c:v>
                </c:pt>
                <c:pt idx="29">
                  <c:v>2.2231348391512662</c:v>
                </c:pt>
                <c:pt idx="30">
                  <c:v>2.299794661190965</c:v>
                </c:pt>
                <c:pt idx="31">
                  <c:v>2.376454483230662</c:v>
                </c:pt>
                <c:pt idx="32">
                  <c:v>2.453114305270363</c:v>
                </c:pt>
                <c:pt idx="33">
                  <c:v>2.5297741273100609</c:v>
                </c:pt>
                <c:pt idx="34">
                  <c:v>2.6064339493497601</c:v>
                </c:pt>
                <c:pt idx="35">
                  <c:v>2.6830937713894598</c:v>
                </c:pt>
                <c:pt idx="36">
                  <c:v>2.7597535934291582</c:v>
                </c:pt>
                <c:pt idx="37">
                  <c:v>2.8364134154688552</c:v>
                </c:pt>
                <c:pt idx="38">
                  <c:v>2.9130732375085562</c:v>
                </c:pt>
                <c:pt idx="39">
                  <c:v>2.989733059548255</c:v>
                </c:pt>
                <c:pt idx="40">
                  <c:v>3.0663928815879542</c:v>
                </c:pt>
                <c:pt idx="41">
                  <c:v>3.143052703627653</c:v>
                </c:pt>
                <c:pt idx="42">
                  <c:v>3.2197125256673509</c:v>
                </c:pt>
                <c:pt idx="43">
                  <c:v>3.2963723477070501</c:v>
                </c:pt>
                <c:pt idx="44">
                  <c:v>3.373032169746748</c:v>
                </c:pt>
                <c:pt idx="45">
                  <c:v>3.4496919917864481</c:v>
                </c:pt>
                <c:pt idx="46">
                  <c:v>3.526351813826146</c:v>
                </c:pt>
                <c:pt idx="47">
                  <c:v>3.6030116358658448</c:v>
                </c:pt>
                <c:pt idx="48">
                  <c:v>3.6796714579055441</c:v>
                </c:pt>
                <c:pt idx="49">
                  <c:v>3.7563312799452429</c:v>
                </c:pt>
                <c:pt idx="50">
                  <c:v>3.8329911019849412</c:v>
                </c:pt>
                <c:pt idx="51">
                  <c:v>3.9096509240246391</c:v>
                </c:pt>
                <c:pt idx="52">
                  <c:v>3.9863107460643401</c:v>
                </c:pt>
                <c:pt idx="53">
                  <c:v>4.0629705681040358</c:v>
                </c:pt>
                <c:pt idx="54">
                  <c:v>4.1396303901437381</c:v>
                </c:pt>
                <c:pt idx="55">
                  <c:v>4.216290212183436</c:v>
                </c:pt>
                <c:pt idx="56">
                  <c:v>4.2929500342231348</c:v>
                </c:pt>
                <c:pt idx="57">
                  <c:v>4.3696098562628336</c:v>
                </c:pt>
                <c:pt idx="58">
                  <c:v>4.4462696783025342</c:v>
                </c:pt>
                <c:pt idx="59">
                  <c:v>4.5229295003422294</c:v>
                </c:pt>
                <c:pt idx="60">
                  <c:v>4.59958932238193</c:v>
                </c:pt>
                <c:pt idx="61">
                  <c:v>4.6762491444216296</c:v>
                </c:pt>
                <c:pt idx="62">
                  <c:v>4.7529089664613267</c:v>
                </c:pt>
                <c:pt idx="63">
                  <c:v>4.8295687885010281</c:v>
                </c:pt>
                <c:pt idx="64">
                  <c:v>4.9062286105407269</c:v>
                </c:pt>
                <c:pt idx="65">
                  <c:v>4.9828884325804248</c:v>
                </c:pt>
                <c:pt idx="66">
                  <c:v>5.0595482546201227</c:v>
                </c:pt>
                <c:pt idx="67">
                  <c:v>5.1362080766598224</c:v>
                </c:pt>
                <c:pt idx="68">
                  <c:v>5.2128678986995203</c:v>
                </c:pt>
                <c:pt idx="69">
                  <c:v>5.28952772073922</c:v>
                </c:pt>
                <c:pt idx="70">
                  <c:v>5.3661875427789143</c:v>
                </c:pt>
                <c:pt idx="71">
                  <c:v>5.4428473648186184</c:v>
                </c:pt>
                <c:pt idx="72">
                  <c:v>5.5195071868583163</c:v>
                </c:pt>
                <c:pt idx="73">
                  <c:v>5.5961670088980151</c:v>
                </c:pt>
                <c:pt idx="74">
                  <c:v>5.6728268309377086</c:v>
                </c:pt>
                <c:pt idx="75">
                  <c:v>5.7494866529774109</c:v>
                </c:pt>
                <c:pt idx="76">
                  <c:v>5.8261464750171106</c:v>
                </c:pt>
                <c:pt idx="77">
                  <c:v>5.9028062970568076</c:v>
                </c:pt>
                <c:pt idx="78">
                  <c:v>5.9794661190965099</c:v>
                </c:pt>
                <c:pt idx="79">
                  <c:v>6.0561259411362061</c:v>
                </c:pt>
                <c:pt idx="80">
                  <c:v>6.1327857631759048</c:v>
                </c:pt>
                <c:pt idx="81">
                  <c:v>6.2094455852156072</c:v>
                </c:pt>
                <c:pt idx="82">
                  <c:v>6.2861054072553051</c:v>
                </c:pt>
                <c:pt idx="83">
                  <c:v>6.3627652292949994</c:v>
                </c:pt>
                <c:pt idx="84">
                  <c:v>6.4394250513347018</c:v>
                </c:pt>
                <c:pt idx="85">
                  <c:v>6.5160848733743988</c:v>
                </c:pt>
                <c:pt idx="86">
                  <c:v>6.5927446954141002</c:v>
                </c:pt>
                <c:pt idx="87">
                  <c:v>6.6694045174537946</c:v>
                </c:pt>
                <c:pt idx="88">
                  <c:v>6.7460643394934969</c:v>
                </c:pt>
                <c:pt idx="89">
                  <c:v>6.8227241615331957</c:v>
                </c:pt>
                <c:pt idx="90">
                  <c:v>6.8993839835728972</c:v>
                </c:pt>
                <c:pt idx="91">
                  <c:v>6.976043805612596</c:v>
                </c:pt>
                <c:pt idx="92">
                  <c:v>7.0527036276522912</c:v>
                </c:pt>
                <c:pt idx="93">
                  <c:v>7.1293634496919909</c:v>
                </c:pt>
                <c:pt idx="94">
                  <c:v>7.2060232717316914</c:v>
                </c:pt>
                <c:pt idx="95">
                  <c:v>7.2826830937713902</c:v>
                </c:pt>
                <c:pt idx="96">
                  <c:v>7.3593429158110881</c:v>
                </c:pt>
                <c:pt idx="97">
                  <c:v>7.4360027378507878</c:v>
                </c:pt>
                <c:pt idx="98">
                  <c:v>7.5126625598904857</c:v>
                </c:pt>
                <c:pt idx="99">
                  <c:v>7.589322381930188</c:v>
                </c:pt>
                <c:pt idx="100">
                  <c:v>7.6659822039698797</c:v>
                </c:pt>
                <c:pt idx="101">
                  <c:v>7.742642026009583</c:v>
                </c:pt>
                <c:pt idx="102">
                  <c:v>7.8193018480492791</c:v>
                </c:pt>
                <c:pt idx="103">
                  <c:v>7.8959616700889779</c:v>
                </c:pt>
                <c:pt idx="104">
                  <c:v>7.9726214921286802</c:v>
                </c:pt>
                <c:pt idx="105">
                  <c:v>8.0492813141683772</c:v>
                </c:pt>
                <c:pt idx="106">
                  <c:v>8.1259411362080769</c:v>
                </c:pt>
                <c:pt idx="107">
                  <c:v>8.2026009582477748</c:v>
                </c:pt>
                <c:pt idx="108">
                  <c:v>8.2792607802874691</c:v>
                </c:pt>
                <c:pt idx="109">
                  <c:v>8.3559206023271724</c:v>
                </c:pt>
                <c:pt idx="110">
                  <c:v>8.4325804243668721</c:v>
                </c:pt>
                <c:pt idx="111">
                  <c:v>8.5092402464065717</c:v>
                </c:pt>
                <c:pt idx="112">
                  <c:v>8.5859000684462696</c:v>
                </c:pt>
                <c:pt idx="113">
                  <c:v>8.6625598904859693</c:v>
                </c:pt>
                <c:pt idx="114">
                  <c:v>8.7392197125256672</c:v>
                </c:pt>
                <c:pt idx="115">
                  <c:v>8.8158795345653704</c:v>
                </c:pt>
                <c:pt idx="116">
                  <c:v>8.8925393566050701</c:v>
                </c:pt>
                <c:pt idx="117">
                  <c:v>8.9691991786447662</c:v>
                </c:pt>
                <c:pt idx="118">
                  <c:v>9.0458590006844624</c:v>
                </c:pt>
                <c:pt idx="119">
                  <c:v>9.122518822724162</c:v>
                </c:pt>
                <c:pt idx="120">
                  <c:v>9.1991786447638564</c:v>
                </c:pt>
                <c:pt idx="121">
                  <c:v>9.2758384668035543</c:v>
                </c:pt>
                <c:pt idx="122">
                  <c:v>9.3524982888432593</c:v>
                </c:pt>
                <c:pt idx="123">
                  <c:v>9.4291581108829572</c:v>
                </c:pt>
                <c:pt idx="124">
                  <c:v>9.5058179329226586</c:v>
                </c:pt>
                <c:pt idx="125">
                  <c:v>9.5824777549623548</c:v>
                </c:pt>
                <c:pt idx="126">
                  <c:v>9.6591375770020562</c:v>
                </c:pt>
                <c:pt idx="127">
                  <c:v>9.7357973990417523</c:v>
                </c:pt>
                <c:pt idx="128">
                  <c:v>9.8124572210814502</c:v>
                </c:pt>
                <c:pt idx="129">
                  <c:v>9.8891170431211517</c:v>
                </c:pt>
                <c:pt idx="130">
                  <c:v>9.9657768651608496</c:v>
                </c:pt>
                <c:pt idx="131">
                  <c:v>10.042436687200549</c:v>
                </c:pt>
                <c:pt idx="132">
                  <c:v>10.119096509240251</c:v>
                </c:pt>
                <c:pt idx="133">
                  <c:v>10.19575633127995</c:v>
                </c:pt>
                <c:pt idx="134">
                  <c:v>10.27241615331965</c:v>
                </c:pt>
                <c:pt idx="135">
                  <c:v>10.349075975359341</c:v>
                </c:pt>
                <c:pt idx="136">
                  <c:v>10.425735797399041</c:v>
                </c:pt>
              </c:numCache>
            </c:numRef>
          </c:cat>
          <c:val>
            <c:numRef>
              <c:f>'Curve Fitting'!$N$5:$N$135</c:f>
              <c:numCache>
                <c:formatCode>0.00</c:formatCode>
                <c:ptCount val="131"/>
                <c:pt idx="0">
                  <c:v>1</c:v>
                </c:pt>
                <c:pt idx="1">
                  <c:v>1</c:v>
                </c:pt>
                <c:pt idx="2">
                  <c:v>1</c:v>
                </c:pt>
                <c:pt idx="3">
                  <c:v>1</c:v>
                </c:pt>
                <c:pt idx="4">
                  <c:v>1</c:v>
                </c:pt>
                <c:pt idx="5">
                  <c:v>0.97948554421768697</c:v>
                </c:pt>
                <c:pt idx="6">
                  <c:v>0.95886479591836704</c:v>
                </c:pt>
                <c:pt idx="7">
                  <c:v>0.95886479591836704</c:v>
                </c:pt>
                <c:pt idx="8">
                  <c:v>0.95886479591836704</c:v>
                </c:pt>
                <c:pt idx="9">
                  <c:v>0.95886479591836704</c:v>
                </c:pt>
                <c:pt idx="10">
                  <c:v>0.95886479591836704</c:v>
                </c:pt>
                <c:pt idx="11">
                  <c:v>0.95886479591836704</c:v>
                </c:pt>
                <c:pt idx="12">
                  <c:v>0.93801990905057697</c:v>
                </c:pt>
                <c:pt idx="13">
                  <c:v>0.90675257874889104</c:v>
                </c:pt>
                <c:pt idx="14">
                  <c:v>0.88590769188109997</c:v>
                </c:pt>
                <c:pt idx="15">
                  <c:v>0.83379547471162396</c:v>
                </c:pt>
                <c:pt idx="16">
                  <c:v>0.81295058784383301</c:v>
                </c:pt>
                <c:pt idx="17">
                  <c:v>0.81295058784383301</c:v>
                </c:pt>
                <c:pt idx="18">
                  <c:v>0.80252814440993803</c:v>
                </c:pt>
                <c:pt idx="19">
                  <c:v>0.79210570097604305</c:v>
                </c:pt>
                <c:pt idx="20">
                  <c:v>0.78168325754214696</c:v>
                </c:pt>
                <c:pt idx="21">
                  <c:v>0.77126081410825198</c:v>
                </c:pt>
                <c:pt idx="22">
                  <c:v>0.760838370674357</c:v>
                </c:pt>
                <c:pt idx="23">
                  <c:v>0.75041592724046102</c:v>
                </c:pt>
                <c:pt idx="24">
                  <c:v>0.75041592724046102</c:v>
                </c:pt>
                <c:pt idx="25">
                  <c:v>0.71870821200494905</c:v>
                </c:pt>
                <c:pt idx="26">
                  <c:v>0.71870821200494905</c:v>
                </c:pt>
                <c:pt idx="27">
                  <c:v>0.70813897359311195</c:v>
                </c:pt>
                <c:pt idx="28">
                  <c:v>0.68700049676943697</c:v>
                </c:pt>
                <c:pt idx="29">
                  <c:v>0.665531731245392</c:v>
                </c:pt>
                <c:pt idx="30">
                  <c:v>0.665531731245392</c:v>
                </c:pt>
                <c:pt idx="31">
                  <c:v>0.665531731245392</c:v>
                </c:pt>
                <c:pt idx="32">
                  <c:v>0.64334734020387896</c:v>
                </c:pt>
                <c:pt idx="33">
                  <c:v>0.63225514468312205</c:v>
                </c:pt>
                <c:pt idx="34">
                  <c:v>0.63225514468312205</c:v>
                </c:pt>
                <c:pt idx="35">
                  <c:v>0.62075959659797397</c:v>
                </c:pt>
                <c:pt idx="36">
                  <c:v>0.59776850042767904</c:v>
                </c:pt>
                <c:pt idx="37">
                  <c:v>0.58627295234253096</c:v>
                </c:pt>
                <c:pt idx="38">
                  <c:v>0.58627295234253096</c:v>
                </c:pt>
                <c:pt idx="39">
                  <c:v>0.58627295234253096</c:v>
                </c:pt>
                <c:pt idx="40">
                  <c:v>0.56952229656131603</c:v>
                </c:pt>
                <c:pt idx="41">
                  <c:v>0.56952229656131603</c:v>
                </c:pt>
                <c:pt idx="42">
                  <c:v>0.54674140469886401</c:v>
                </c:pt>
                <c:pt idx="43">
                  <c:v>0.54674140469886401</c:v>
                </c:pt>
                <c:pt idx="44">
                  <c:v>0.50768844722037298</c:v>
                </c:pt>
                <c:pt idx="45">
                  <c:v>0.50768844722037298</c:v>
                </c:pt>
                <c:pt idx="46">
                  <c:v>0.50768844722037298</c:v>
                </c:pt>
                <c:pt idx="47">
                  <c:v>0.50768844722037298</c:v>
                </c:pt>
                <c:pt idx="48">
                  <c:v>0.50768844722037298</c:v>
                </c:pt>
                <c:pt idx="49">
                  <c:v>0.50768844722037298</c:v>
                </c:pt>
                <c:pt idx="50">
                  <c:v>0.50768844722037298</c:v>
                </c:pt>
              </c:numCache>
            </c:numRef>
          </c:val>
          <c:smooth val="0"/>
          <c:extLst>
            <c:ext xmlns:c16="http://schemas.microsoft.com/office/drawing/2014/chart" uri="{C3380CC4-5D6E-409C-BE32-E72D297353CC}">
              <c16:uniqueId val="{00000004-F29B-446A-BC1C-19BCB5ACAA78}"/>
            </c:ext>
          </c:extLst>
        </c:ser>
        <c:ser>
          <c:idx val="10"/>
          <c:order val="5"/>
          <c:tx>
            <c:v>Modelled OS RIBO+FULV</c:v>
          </c:tx>
          <c:spPr>
            <a:ln w="19050" cap="rnd">
              <a:solidFill>
                <a:schemeClr val="accent5">
                  <a:lumMod val="75000"/>
                </a:schemeClr>
              </a:solidFill>
              <a:prstDash val="dash"/>
              <a:round/>
            </a:ln>
            <a:effectLst/>
          </c:spPr>
          <c:marker>
            <c:symbol val="none"/>
          </c:marker>
          <c:cat>
            <c:numRef>
              <c:f>'Curve Fitting'!$D$5:$D$141</c:f>
              <c:numCache>
                <c:formatCode>0</c:formatCode>
                <c:ptCount val="137"/>
                <c:pt idx="0">
                  <c:v>0</c:v>
                </c:pt>
                <c:pt idx="1">
                  <c:v>7.6659822039698802E-2</c:v>
                </c:pt>
                <c:pt idx="2">
                  <c:v>0.15331964407939799</c:v>
                </c:pt>
                <c:pt idx="3">
                  <c:v>0.229979466119097</c:v>
                </c:pt>
                <c:pt idx="4">
                  <c:v>0.30663928815879499</c:v>
                </c:pt>
                <c:pt idx="5">
                  <c:v>0.383299110198494</c:v>
                </c:pt>
                <c:pt idx="6">
                  <c:v>0.45995893223819301</c:v>
                </c:pt>
                <c:pt idx="7">
                  <c:v>0.53661875427789196</c:v>
                </c:pt>
                <c:pt idx="8">
                  <c:v>0.61327857631759097</c:v>
                </c:pt>
                <c:pt idx="9">
                  <c:v>0.68993839835728998</c:v>
                </c:pt>
                <c:pt idx="10">
                  <c:v>0.76659822039698799</c:v>
                </c:pt>
                <c:pt idx="11">
                  <c:v>0.84325804243668701</c:v>
                </c:pt>
                <c:pt idx="12">
                  <c:v>0.91991786447638602</c:v>
                </c:pt>
                <c:pt idx="13">
                  <c:v>0.99657768651608503</c:v>
                </c:pt>
                <c:pt idx="14">
                  <c:v>1.0732375085557839</c:v>
                </c:pt>
                <c:pt idx="15">
                  <c:v>1.149897330595482</c:v>
                </c:pt>
                <c:pt idx="16">
                  <c:v>1.2265571526351811</c:v>
                </c:pt>
                <c:pt idx="17">
                  <c:v>1.3032169746748801</c:v>
                </c:pt>
                <c:pt idx="18">
                  <c:v>1.3798767967145791</c:v>
                </c:pt>
                <c:pt idx="19">
                  <c:v>1.4565366187542781</c:v>
                </c:pt>
                <c:pt idx="20">
                  <c:v>1.533196440793976</c:v>
                </c:pt>
                <c:pt idx="21">
                  <c:v>1.609856262833675</c:v>
                </c:pt>
                <c:pt idx="22">
                  <c:v>1.686516084873374</c:v>
                </c:pt>
                <c:pt idx="23">
                  <c:v>1.7631759069130739</c:v>
                </c:pt>
                <c:pt idx="24">
                  <c:v>1.839835728952772</c:v>
                </c:pt>
                <c:pt idx="25">
                  <c:v>1.916495550992471</c:v>
                </c:pt>
                <c:pt idx="26">
                  <c:v>1.9931553730321701</c:v>
                </c:pt>
                <c:pt idx="27">
                  <c:v>2.0698151950718668</c:v>
                </c:pt>
                <c:pt idx="28">
                  <c:v>2.146475017111567</c:v>
                </c:pt>
                <c:pt idx="29">
                  <c:v>2.2231348391512662</c:v>
                </c:pt>
                <c:pt idx="30">
                  <c:v>2.299794661190965</c:v>
                </c:pt>
                <c:pt idx="31">
                  <c:v>2.376454483230662</c:v>
                </c:pt>
                <c:pt idx="32">
                  <c:v>2.453114305270363</c:v>
                </c:pt>
                <c:pt idx="33">
                  <c:v>2.5297741273100609</c:v>
                </c:pt>
                <c:pt idx="34">
                  <c:v>2.6064339493497601</c:v>
                </c:pt>
                <c:pt idx="35">
                  <c:v>2.6830937713894598</c:v>
                </c:pt>
                <c:pt idx="36">
                  <c:v>2.7597535934291582</c:v>
                </c:pt>
                <c:pt idx="37">
                  <c:v>2.8364134154688552</c:v>
                </c:pt>
                <c:pt idx="38">
                  <c:v>2.9130732375085562</c:v>
                </c:pt>
                <c:pt idx="39">
                  <c:v>2.989733059548255</c:v>
                </c:pt>
                <c:pt idx="40">
                  <c:v>3.0663928815879542</c:v>
                </c:pt>
                <c:pt idx="41">
                  <c:v>3.143052703627653</c:v>
                </c:pt>
                <c:pt idx="42">
                  <c:v>3.2197125256673509</c:v>
                </c:pt>
                <c:pt idx="43">
                  <c:v>3.2963723477070501</c:v>
                </c:pt>
                <c:pt idx="44">
                  <c:v>3.373032169746748</c:v>
                </c:pt>
                <c:pt idx="45">
                  <c:v>3.4496919917864481</c:v>
                </c:pt>
                <c:pt idx="46">
                  <c:v>3.526351813826146</c:v>
                </c:pt>
                <c:pt idx="47">
                  <c:v>3.6030116358658448</c:v>
                </c:pt>
                <c:pt idx="48">
                  <c:v>3.6796714579055441</c:v>
                </c:pt>
                <c:pt idx="49">
                  <c:v>3.7563312799452429</c:v>
                </c:pt>
                <c:pt idx="50">
                  <c:v>3.8329911019849412</c:v>
                </c:pt>
                <c:pt idx="51">
                  <c:v>3.9096509240246391</c:v>
                </c:pt>
                <c:pt idx="52">
                  <c:v>3.9863107460643401</c:v>
                </c:pt>
                <c:pt idx="53">
                  <c:v>4.0629705681040358</c:v>
                </c:pt>
                <c:pt idx="54">
                  <c:v>4.1396303901437381</c:v>
                </c:pt>
                <c:pt idx="55">
                  <c:v>4.216290212183436</c:v>
                </c:pt>
                <c:pt idx="56">
                  <c:v>4.2929500342231348</c:v>
                </c:pt>
                <c:pt idx="57">
                  <c:v>4.3696098562628336</c:v>
                </c:pt>
                <c:pt idx="58">
                  <c:v>4.4462696783025342</c:v>
                </c:pt>
                <c:pt idx="59">
                  <c:v>4.5229295003422294</c:v>
                </c:pt>
                <c:pt idx="60">
                  <c:v>4.59958932238193</c:v>
                </c:pt>
                <c:pt idx="61">
                  <c:v>4.6762491444216296</c:v>
                </c:pt>
                <c:pt idx="62">
                  <c:v>4.7529089664613267</c:v>
                </c:pt>
                <c:pt idx="63">
                  <c:v>4.8295687885010281</c:v>
                </c:pt>
                <c:pt idx="64">
                  <c:v>4.9062286105407269</c:v>
                </c:pt>
                <c:pt idx="65">
                  <c:v>4.9828884325804248</c:v>
                </c:pt>
                <c:pt idx="66">
                  <c:v>5.0595482546201227</c:v>
                </c:pt>
                <c:pt idx="67">
                  <c:v>5.1362080766598224</c:v>
                </c:pt>
                <c:pt idx="68">
                  <c:v>5.2128678986995203</c:v>
                </c:pt>
                <c:pt idx="69">
                  <c:v>5.28952772073922</c:v>
                </c:pt>
                <c:pt idx="70">
                  <c:v>5.3661875427789143</c:v>
                </c:pt>
                <c:pt idx="71">
                  <c:v>5.4428473648186184</c:v>
                </c:pt>
                <c:pt idx="72">
                  <c:v>5.5195071868583163</c:v>
                </c:pt>
                <c:pt idx="73">
                  <c:v>5.5961670088980151</c:v>
                </c:pt>
                <c:pt idx="74">
                  <c:v>5.6728268309377086</c:v>
                </c:pt>
                <c:pt idx="75">
                  <c:v>5.7494866529774109</c:v>
                </c:pt>
                <c:pt idx="76">
                  <c:v>5.8261464750171106</c:v>
                </c:pt>
                <c:pt idx="77">
                  <c:v>5.9028062970568076</c:v>
                </c:pt>
                <c:pt idx="78">
                  <c:v>5.9794661190965099</c:v>
                </c:pt>
                <c:pt idx="79">
                  <c:v>6.0561259411362061</c:v>
                </c:pt>
                <c:pt idx="80">
                  <c:v>6.1327857631759048</c:v>
                </c:pt>
                <c:pt idx="81">
                  <c:v>6.2094455852156072</c:v>
                </c:pt>
                <c:pt idx="82">
                  <c:v>6.2861054072553051</c:v>
                </c:pt>
                <c:pt idx="83">
                  <c:v>6.3627652292949994</c:v>
                </c:pt>
                <c:pt idx="84">
                  <c:v>6.4394250513347018</c:v>
                </c:pt>
                <c:pt idx="85">
                  <c:v>6.5160848733743988</c:v>
                </c:pt>
                <c:pt idx="86">
                  <c:v>6.5927446954141002</c:v>
                </c:pt>
                <c:pt idx="87">
                  <c:v>6.6694045174537946</c:v>
                </c:pt>
                <c:pt idx="88">
                  <c:v>6.7460643394934969</c:v>
                </c:pt>
                <c:pt idx="89">
                  <c:v>6.8227241615331957</c:v>
                </c:pt>
                <c:pt idx="90">
                  <c:v>6.8993839835728972</c:v>
                </c:pt>
                <c:pt idx="91">
                  <c:v>6.976043805612596</c:v>
                </c:pt>
                <c:pt idx="92">
                  <c:v>7.0527036276522912</c:v>
                </c:pt>
                <c:pt idx="93">
                  <c:v>7.1293634496919909</c:v>
                </c:pt>
                <c:pt idx="94">
                  <c:v>7.2060232717316914</c:v>
                </c:pt>
                <c:pt idx="95">
                  <c:v>7.2826830937713902</c:v>
                </c:pt>
                <c:pt idx="96">
                  <c:v>7.3593429158110881</c:v>
                </c:pt>
                <c:pt idx="97">
                  <c:v>7.4360027378507878</c:v>
                </c:pt>
                <c:pt idx="98">
                  <c:v>7.5126625598904857</c:v>
                </c:pt>
                <c:pt idx="99">
                  <c:v>7.589322381930188</c:v>
                </c:pt>
                <c:pt idx="100">
                  <c:v>7.6659822039698797</c:v>
                </c:pt>
                <c:pt idx="101">
                  <c:v>7.742642026009583</c:v>
                </c:pt>
                <c:pt idx="102">
                  <c:v>7.8193018480492791</c:v>
                </c:pt>
                <c:pt idx="103">
                  <c:v>7.8959616700889779</c:v>
                </c:pt>
                <c:pt idx="104">
                  <c:v>7.9726214921286802</c:v>
                </c:pt>
                <c:pt idx="105">
                  <c:v>8.0492813141683772</c:v>
                </c:pt>
                <c:pt idx="106">
                  <c:v>8.1259411362080769</c:v>
                </c:pt>
                <c:pt idx="107">
                  <c:v>8.2026009582477748</c:v>
                </c:pt>
                <c:pt idx="108">
                  <c:v>8.2792607802874691</c:v>
                </c:pt>
                <c:pt idx="109">
                  <c:v>8.3559206023271724</c:v>
                </c:pt>
                <c:pt idx="110">
                  <c:v>8.4325804243668721</c:v>
                </c:pt>
                <c:pt idx="111">
                  <c:v>8.5092402464065717</c:v>
                </c:pt>
                <c:pt idx="112">
                  <c:v>8.5859000684462696</c:v>
                </c:pt>
                <c:pt idx="113">
                  <c:v>8.6625598904859693</c:v>
                </c:pt>
                <c:pt idx="114">
                  <c:v>8.7392197125256672</c:v>
                </c:pt>
                <c:pt idx="115">
                  <c:v>8.8158795345653704</c:v>
                </c:pt>
                <c:pt idx="116">
                  <c:v>8.8925393566050701</c:v>
                </c:pt>
                <c:pt idx="117">
                  <c:v>8.9691991786447662</c:v>
                </c:pt>
                <c:pt idx="118">
                  <c:v>9.0458590006844624</c:v>
                </c:pt>
                <c:pt idx="119">
                  <c:v>9.122518822724162</c:v>
                </c:pt>
                <c:pt idx="120">
                  <c:v>9.1991786447638564</c:v>
                </c:pt>
                <c:pt idx="121">
                  <c:v>9.2758384668035543</c:v>
                </c:pt>
                <c:pt idx="122">
                  <c:v>9.3524982888432593</c:v>
                </c:pt>
                <c:pt idx="123">
                  <c:v>9.4291581108829572</c:v>
                </c:pt>
                <c:pt idx="124">
                  <c:v>9.5058179329226586</c:v>
                </c:pt>
                <c:pt idx="125">
                  <c:v>9.5824777549623548</c:v>
                </c:pt>
                <c:pt idx="126">
                  <c:v>9.6591375770020562</c:v>
                </c:pt>
                <c:pt idx="127">
                  <c:v>9.7357973990417523</c:v>
                </c:pt>
                <c:pt idx="128">
                  <c:v>9.8124572210814502</c:v>
                </c:pt>
                <c:pt idx="129">
                  <c:v>9.8891170431211517</c:v>
                </c:pt>
                <c:pt idx="130">
                  <c:v>9.9657768651608496</c:v>
                </c:pt>
                <c:pt idx="131">
                  <c:v>10.042436687200549</c:v>
                </c:pt>
                <c:pt idx="132">
                  <c:v>10.119096509240251</c:v>
                </c:pt>
                <c:pt idx="133">
                  <c:v>10.19575633127995</c:v>
                </c:pt>
                <c:pt idx="134">
                  <c:v>10.27241615331965</c:v>
                </c:pt>
                <c:pt idx="135">
                  <c:v>10.349075975359341</c:v>
                </c:pt>
                <c:pt idx="136">
                  <c:v>10.425735797399041</c:v>
                </c:pt>
              </c:numCache>
            </c:numRef>
          </c:cat>
          <c:val>
            <c:numRef>
              <c:f>'Curve Fitting'!$O$5:$O$135</c:f>
              <c:numCache>
                <c:formatCode>0.00</c:formatCode>
                <c:ptCount val="131"/>
                <c:pt idx="0">
                  <c:v>1</c:v>
                </c:pt>
                <c:pt idx="1">
                  <c:v>0.98654682784637904</c:v>
                </c:pt>
                <c:pt idx="2">
                  <c:v>0.97327464353375304</c:v>
                </c:pt>
                <c:pt idx="3">
                  <c:v>0.96018101220153995</c:v>
                </c:pt>
                <c:pt idx="4">
                  <c:v>0.94726353174575395</c:v>
                </c:pt>
                <c:pt idx="5">
                  <c:v>0.93451983237833203</c:v>
                </c:pt>
                <c:pt idx="6">
                  <c:v>0.921947576192373</c:v>
                </c:pt>
                <c:pt idx="7">
                  <c:v>0.90954445673324402</c:v>
                </c:pt>
                <c:pt idx="8">
                  <c:v>0.89730819857543997</c:v>
                </c:pt>
                <c:pt idx="9">
                  <c:v>0.88523655690514902</c:v>
                </c:pt>
                <c:pt idx="10">
                  <c:v>0.87332731710842604</c:v>
                </c:pt>
                <c:pt idx="11">
                  <c:v>0.86157829436490596</c:v>
                </c:pt>
                <c:pt idx="12">
                  <c:v>0.84998733324699205</c:v>
                </c:pt>
                <c:pt idx="13">
                  <c:v>0.83855230732442299</c:v>
                </c:pt>
                <c:pt idx="14">
                  <c:v>0.82727111877417203</c:v>
                </c:pt>
                <c:pt idx="15">
                  <c:v>0.816141697995584</c:v>
                </c:pt>
                <c:pt idx="16">
                  <c:v>0.80516200323070097</c:v>
                </c:pt>
                <c:pt idx="17">
                  <c:v>0.79433002018968402</c:v>
                </c:pt>
                <c:pt idx="18">
                  <c:v>0.78364376168128302</c:v>
                </c:pt>
                <c:pt idx="19">
                  <c:v>0.77310126724827399</c:v>
                </c:pt>
                <c:pt idx="20">
                  <c:v>0.76270060280780005</c:v>
                </c:pt>
                <c:pt idx="21">
                  <c:v>0.75243986029655596</c:v>
                </c:pt>
                <c:pt idx="22">
                  <c:v>0.74231715732074</c:v>
                </c:pt>
                <c:pt idx="23">
                  <c:v>0.73233063681071797</c:v>
                </c:pt>
                <c:pt idx="24">
                  <c:v>0.722478466680333</c:v>
                </c:pt>
                <c:pt idx="25">
                  <c:v>0.71275883949079799</c:v>
                </c:pt>
                <c:pt idx="26">
                  <c:v>0.70316997211911303</c:v>
                </c:pt>
                <c:pt idx="27">
                  <c:v>0.69371010543093803</c:v>
                </c:pt>
                <c:pt idx="28">
                  <c:v>0.684377503957869</c:v>
                </c:pt>
                <c:pt idx="29">
                  <c:v>0.67517045557905897</c:v>
                </c:pt>
                <c:pt idx="30">
                  <c:v>0.66608727120711497</c:v>
                </c:pt>
                <c:pt idx="31">
                  <c:v>0.65712628447822996</c:v>
                </c:pt>
                <c:pt idx="32">
                  <c:v>0.64828585144647499</c:v>
                </c:pt>
                <c:pt idx="33">
                  <c:v>0.63956435028220904</c:v>
                </c:pt>
                <c:pt idx="34">
                  <c:v>0.63096018097454398</c:v>
                </c:pt>
                <c:pt idx="35">
                  <c:v>0.62247176503781299</c:v>
                </c:pt>
                <c:pt idx="36">
                  <c:v>0.614097545221991</c:v>
                </c:pt>
                <c:pt idx="37">
                  <c:v>0.60583598522700399</c:v>
                </c:pt>
                <c:pt idx="38">
                  <c:v>0.59768556942088702</c:v>
                </c:pt>
                <c:pt idx="39">
                  <c:v>0.58964480256173302</c:v>
                </c:pt>
                <c:pt idx="40">
                  <c:v>0.58171220952338198</c:v>
                </c:pt>
                <c:pt idx="41">
                  <c:v>0.57388633502480102</c:v>
                </c:pt>
                <c:pt idx="42">
                  <c:v>0.56616574336310099</c:v>
                </c:pt>
                <c:pt idx="43">
                  <c:v>0.55854901815015501</c:v>
                </c:pt>
                <c:pt idx="44">
                  <c:v>0.55103476205274504</c:v>
                </c:pt>
                <c:pt idx="45">
                  <c:v>0.54362159653622</c:v>
                </c:pt>
                <c:pt idx="46">
                  <c:v>0.536308161611592</c:v>
                </c:pt>
                <c:pt idx="47">
                  <c:v>0.529093115586039</c:v>
                </c:pt>
                <c:pt idx="48">
                  <c:v>0.52197513481676405</c:v>
                </c:pt>
                <c:pt idx="49">
                  <c:v>0.51495291346816496</c:v>
                </c:pt>
                <c:pt idx="50">
                  <c:v>0.50802516327226899</c:v>
                </c:pt>
                <c:pt idx="51">
                  <c:v>0.501190613292396</c:v>
                </c:pt>
                <c:pt idx="52">
                  <c:v>0.49444800968999503</c:v>
                </c:pt>
                <c:pt idx="53">
                  <c:v>0.48779611549461999</c:v>
                </c:pt>
                <c:pt idx="54">
                  <c:v>0.48123371037700302</c:v>
                </c:pt>
                <c:pt idx="55">
                  <c:v>0.47475959042517601</c:v>
                </c:pt>
                <c:pt idx="56">
                  <c:v>0.46837256792360299</c:v>
                </c:pt>
                <c:pt idx="57">
                  <c:v>0.46207147113529401</c:v>
                </c:pt>
                <c:pt idx="58">
                  <c:v>0.45585514408683298</c:v>
                </c:pt>
                <c:pt idx="59">
                  <c:v>0.44972244635632003</c:v>
                </c:pt>
                <c:pt idx="60">
                  <c:v>0.44367225286414103</c:v>
                </c:pt>
                <c:pt idx="61">
                  <c:v>0.43770345366657398</c:v>
                </c:pt>
                <c:pt idx="62">
                  <c:v>0.431814953752164</c:v>
                </c:pt>
                <c:pt idx="63">
                  <c:v>0.42600567284082802</c:v>
                </c:pt>
                <c:pt idx="64">
                  <c:v>0.42027454518568103</c:v>
                </c:pt>
                <c:pt idx="65">
                  <c:v>0.41462051937751399</c:v>
                </c:pt>
                <c:pt idx="66">
                  <c:v>0.40904255815190399</c:v>
                </c:pt>
                <c:pt idx="67">
                  <c:v>0.40353963819892902</c:v>
                </c:pt>
                <c:pt idx="68">
                  <c:v>0.398110749975429</c:v>
                </c:pt>
                <c:pt idx="69">
                  <c:v>0.39275489751980203</c:v>
                </c:pt>
                <c:pt idx="70">
                  <c:v>0.38747109826929099</c:v>
                </c:pt>
                <c:pt idx="71">
                  <c:v>0.38225838287972103</c:v>
                </c:pt>
                <c:pt idx="72">
                  <c:v>0.37711579504767601</c:v>
                </c:pt>
                <c:pt idx="73">
                  <c:v>0.37204239133505002</c:v>
                </c:pt>
                <c:pt idx="74">
                  <c:v>0.36703724099597501</c:v>
                </c:pt>
                <c:pt idx="75">
                  <c:v>0.36209942580606602</c:v>
                </c:pt>
                <c:pt idx="76">
                  <c:v>0.35722803989396901</c:v>
                </c:pt>
                <c:pt idx="77">
                  <c:v>0.35242218957517502</c:v>
                </c:pt>
                <c:pt idx="78">
                  <c:v>0.347680993188065</c:v>
                </c:pt>
                <c:pt idx="79">
                  <c:v>0.34300358093216399</c:v>
                </c:pt>
                <c:pt idx="80">
                  <c:v>0.33838909470857498</c:v>
                </c:pt>
                <c:pt idx="81">
                  <c:v>0.333836687962553</c:v>
                </c:pt>
                <c:pt idx="82">
                  <c:v>0.32934552552819701</c:v>
                </c:pt>
                <c:pt idx="83">
                  <c:v>0.324914783475242</c:v>
                </c:pt>
                <c:pt idx="84">
                  <c:v>0.320543648957893</c:v>
                </c:pt>
                <c:pt idx="85">
                  <c:v>0.31623132006571297</c:v>
                </c:pt>
                <c:pt idx="86">
                  <c:v>0.31197700567650199</c:v>
                </c:pt>
                <c:pt idx="87">
                  <c:v>0.30777992531116499</c:v>
                </c:pt>
                <c:pt idx="88">
                  <c:v>0.30363930899052499</c:v>
                </c:pt>
                <c:pt idx="89">
                  <c:v>0.299554397094069</c:v>
                </c:pt>
                <c:pt idx="90">
                  <c:v>0.29552444022058799</c:v>
                </c:pt>
                <c:pt idx="91">
                  <c:v>0.29154869905069802</c:v>
                </c:pt>
                <c:pt idx="92">
                  <c:v>0.28762644421120498</c:v>
                </c:pt>
                <c:pt idx="93">
                  <c:v>0.28375695614129798</c:v>
                </c:pt>
                <c:pt idx="94">
                  <c:v>0.27993952496054197</c:v>
                </c:pt>
                <c:pt idx="95">
                  <c:v>0.27617345033864499</c:v>
                </c:pt>
                <c:pt idx="96">
                  <c:v>0.27245804136697899</c:v>
                </c:pt>
                <c:pt idx="97">
                  <c:v>0.268792616431831</c:v>
                </c:pt>
                <c:pt idx="98">
                  <c:v>0.26517650308935198</c:v>
                </c:pt>
                <c:pt idx="99">
                  <c:v>0.26160903794219498</c:v>
                </c:pt>
                <c:pt idx="100">
                  <c:v>0.258089566517816</c:v>
                </c:pt>
                <c:pt idx="101">
                  <c:v>0.25461744314839801</c:v>
                </c:pt>
                <c:pt idx="102">
                  <c:v>0.25119203085240799</c:v>
                </c:pt>
                <c:pt idx="103">
                  <c:v>0.24781270121773299</c:v>
                </c:pt>
                <c:pt idx="104">
                  <c:v>0.244478834286397</c:v>
                </c:pt>
                <c:pt idx="105">
                  <c:v>0.24118981844082499</c:v>
                </c:pt>
                <c:pt idx="106">
                  <c:v>0.23794505029164001</c:v>
                </c:pt>
                <c:pt idx="107">
                  <c:v>0.23474393456696499</c:v>
                </c:pt>
                <c:pt idx="108">
                  <c:v>0.231585884003217</c:v>
                </c:pt>
                <c:pt idx="109">
                  <c:v>0.22847031923737399</c:v>
                </c:pt>
                <c:pt idx="110">
                  <c:v>0.22539666870068101</c:v>
                </c:pt>
                <c:pt idx="111">
                  <c:v>0.22236436851379801</c:v>
                </c:pt>
                <c:pt idx="112">
                  <c:v>0.21937286238334999</c:v>
                </c:pt>
                <c:pt idx="113">
                  <c:v>0.21642160149987499</c:v>
                </c:pt>
                <c:pt idx="114">
                  <c:v>0.21351004443713401</c:v>
                </c:pt>
                <c:pt idx="115">
                  <c:v>0.210637657052794</c:v>
                </c:pt>
                <c:pt idx="116">
                  <c:v>0.207803912390428</c:v>
                </c:pt>
                <c:pt idx="117">
                  <c:v>0.20500829058284301</c:v>
                </c:pt>
                <c:pt idx="118">
                  <c:v>0.202250278756713</c:v>
                </c:pt>
                <c:pt idx="119">
                  <c:v>0.199529370938481</c:v>
                </c:pt>
                <c:pt idx="120">
                  <c:v>0.196845067961542</c:v>
                </c:pt>
                <c:pt idx="121">
                  <c:v>0.19419687737466401</c:v>
                </c:pt>
                <c:pt idx="122">
                  <c:v>0.191584313351647</c:v>
                </c:pt>
                <c:pt idx="123">
                  <c:v>0.189006896602194</c:v>
                </c:pt>
                <c:pt idx="124">
                  <c:v>0.186464154283983</c:v>
                </c:pt>
                <c:pt idx="125">
                  <c:v>0.18395561991592099</c:v>
                </c:pt>
                <c:pt idx="126">
                  <c:v>0.18148083329256701</c:v>
                </c:pt>
                <c:pt idx="127">
                  <c:v>0.17903934039969899</c:v>
                </c:pt>
                <c:pt idx="128">
                  <c:v>0.17663069333103101</c:v>
                </c:pt>
                <c:pt idx="129">
                  <c:v>0.174254450206035</c:v>
                </c:pt>
                <c:pt idx="130">
                  <c:v>0.17191017508887901</c:v>
                </c:pt>
              </c:numCache>
            </c:numRef>
          </c:val>
          <c:smooth val="0"/>
          <c:extLst>
            <c:ext xmlns:c16="http://schemas.microsoft.com/office/drawing/2014/chart" uri="{C3380CC4-5D6E-409C-BE32-E72D297353CC}">
              <c16:uniqueId val="{00000005-F29B-446A-BC1C-19BCB5ACAA78}"/>
            </c:ext>
          </c:extLst>
        </c:ser>
        <c:ser>
          <c:idx val="0"/>
          <c:order val="6"/>
          <c:tx>
            <c:v>KM OS EVE+EXE</c:v>
          </c:tx>
          <c:spPr>
            <a:ln w="28575" cap="rnd">
              <a:solidFill>
                <a:schemeClr val="accent6"/>
              </a:solidFill>
              <a:round/>
            </a:ln>
            <a:effectLst/>
          </c:spPr>
          <c:marker>
            <c:symbol val="none"/>
          </c:marker>
          <c:cat>
            <c:numRef>
              <c:f>'Curve Fitting'!$D$5:$D$141</c:f>
              <c:numCache>
                <c:formatCode>0</c:formatCode>
                <c:ptCount val="137"/>
                <c:pt idx="0">
                  <c:v>0</c:v>
                </c:pt>
                <c:pt idx="1">
                  <c:v>7.6659822039698802E-2</c:v>
                </c:pt>
                <c:pt idx="2">
                  <c:v>0.15331964407939799</c:v>
                </c:pt>
                <c:pt idx="3">
                  <c:v>0.229979466119097</c:v>
                </c:pt>
                <c:pt idx="4">
                  <c:v>0.30663928815879499</c:v>
                </c:pt>
                <c:pt idx="5">
                  <c:v>0.383299110198494</c:v>
                </c:pt>
                <c:pt idx="6">
                  <c:v>0.45995893223819301</c:v>
                </c:pt>
                <c:pt idx="7">
                  <c:v>0.53661875427789196</c:v>
                </c:pt>
                <c:pt idx="8">
                  <c:v>0.61327857631759097</c:v>
                </c:pt>
                <c:pt idx="9">
                  <c:v>0.68993839835728998</c:v>
                </c:pt>
                <c:pt idx="10">
                  <c:v>0.76659822039698799</c:v>
                </c:pt>
                <c:pt idx="11">
                  <c:v>0.84325804243668701</c:v>
                </c:pt>
                <c:pt idx="12">
                  <c:v>0.91991786447638602</c:v>
                </c:pt>
                <c:pt idx="13">
                  <c:v>0.99657768651608503</c:v>
                </c:pt>
                <c:pt idx="14">
                  <c:v>1.0732375085557839</c:v>
                </c:pt>
                <c:pt idx="15">
                  <c:v>1.149897330595482</c:v>
                </c:pt>
                <c:pt idx="16">
                  <c:v>1.2265571526351811</c:v>
                </c:pt>
                <c:pt idx="17">
                  <c:v>1.3032169746748801</c:v>
                </c:pt>
                <c:pt idx="18">
                  <c:v>1.3798767967145791</c:v>
                </c:pt>
                <c:pt idx="19">
                  <c:v>1.4565366187542781</c:v>
                </c:pt>
                <c:pt idx="20">
                  <c:v>1.533196440793976</c:v>
                </c:pt>
                <c:pt idx="21">
                  <c:v>1.609856262833675</c:v>
                </c:pt>
                <c:pt idx="22">
                  <c:v>1.686516084873374</c:v>
                </c:pt>
                <c:pt idx="23">
                  <c:v>1.7631759069130739</c:v>
                </c:pt>
                <c:pt idx="24">
                  <c:v>1.839835728952772</c:v>
                </c:pt>
                <c:pt idx="25">
                  <c:v>1.916495550992471</c:v>
                </c:pt>
                <c:pt idx="26">
                  <c:v>1.9931553730321701</c:v>
                </c:pt>
                <c:pt idx="27">
                  <c:v>2.0698151950718668</c:v>
                </c:pt>
                <c:pt idx="28">
                  <c:v>2.146475017111567</c:v>
                </c:pt>
                <c:pt idx="29">
                  <c:v>2.2231348391512662</c:v>
                </c:pt>
                <c:pt idx="30">
                  <c:v>2.299794661190965</c:v>
                </c:pt>
                <c:pt idx="31">
                  <c:v>2.376454483230662</c:v>
                </c:pt>
                <c:pt idx="32">
                  <c:v>2.453114305270363</c:v>
                </c:pt>
                <c:pt idx="33">
                  <c:v>2.5297741273100609</c:v>
                </c:pt>
                <c:pt idx="34">
                  <c:v>2.6064339493497601</c:v>
                </c:pt>
                <c:pt idx="35">
                  <c:v>2.6830937713894598</c:v>
                </c:pt>
                <c:pt idx="36">
                  <c:v>2.7597535934291582</c:v>
                </c:pt>
                <c:pt idx="37">
                  <c:v>2.8364134154688552</c:v>
                </c:pt>
                <c:pt idx="38">
                  <c:v>2.9130732375085562</c:v>
                </c:pt>
                <c:pt idx="39">
                  <c:v>2.989733059548255</c:v>
                </c:pt>
                <c:pt idx="40">
                  <c:v>3.0663928815879542</c:v>
                </c:pt>
                <c:pt idx="41">
                  <c:v>3.143052703627653</c:v>
                </c:pt>
                <c:pt idx="42">
                  <c:v>3.2197125256673509</c:v>
                </c:pt>
                <c:pt idx="43">
                  <c:v>3.2963723477070501</c:v>
                </c:pt>
                <c:pt idx="44">
                  <c:v>3.373032169746748</c:v>
                </c:pt>
                <c:pt idx="45">
                  <c:v>3.4496919917864481</c:v>
                </c:pt>
                <c:pt idx="46">
                  <c:v>3.526351813826146</c:v>
                </c:pt>
                <c:pt idx="47">
                  <c:v>3.6030116358658448</c:v>
                </c:pt>
                <c:pt idx="48">
                  <c:v>3.6796714579055441</c:v>
                </c:pt>
                <c:pt idx="49">
                  <c:v>3.7563312799452429</c:v>
                </c:pt>
                <c:pt idx="50">
                  <c:v>3.8329911019849412</c:v>
                </c:pt>
                <c:pt idx="51">
                  <c:v>3.9096509240246391</c:v>
                </c:pt>
                <c:pt idx="52">
                  <c:v>3.9863107460643401</c:v>
                </c:pt>
                <c:pt idx="53">
                  <c:v>4.0629705681040358</c:v>
                </c:pt>
                <c:pt idx="54">
                  <c:v>4.1396303901437381</c:v>
                </c:pt>
                <c:pt idx="55">
                  <c:v>4.216290212183436</c:v>
                </c:pt>
                <c:pt idx="56">
                  <c:v>4.2929500342231348</c:v>
                </c:pt>
                <c:pt idx="57">
                  <c:v>4.3696098562628336</c:v>
                </c:pt>
                <c:pt idx="58">
                  <c:v>4.4462696783025342</c:v>
                </c:pt>
                <c:pt idx="59">
                  <c:v>4.5229295003422294</c:v>
                </c:pt>
                <c:pt idx="60">
                  <c:v>4.59958932238193</c:v>
                </c:pt>
                <c:pt idx="61">
                  <c:v>4.6762491444216296</c:v>
                </c:pt>
                <c:pt idx="62">
                  <c:v>4.7529089664613267</c:v>
                </c:pt>
                <c:pt idx="63">
                  <c:v>4.8295687885010281</c:v>
                </c:pt>
                <c:pt idx="64">
                  <c:v>4.9062286105407269</c:v>
                </c:pt>
                <c:pt idx="65">
                  <c:v>4.9828884325804248</c:v>
                </c:pt>
                <c:pt idx="66">
                  <c:v>5.0595482546201227</c:v>
                </c:pt>
                <c:pt idx="67">
                  <c:v>5.1362080766598224</c:v>
                </c:pt>
                <c:pt idx="68">
                  <c:v>5.2128678986995203</c:v>
                </c:pt>
                <c:pt idx="69">
                  <c:v>5.28952772073922</c:v>
                </c:pt>
                <c:pt idx="70">
                  <c:v>5.3661875427789143</c:v>
                </c:pt>
                <c:pt idx="71">
                  <c:v>5.4428473648186184</c:v>
                </c:pt>
                <c:pt idx="72">
                  <c:v>5.5195071868583163</c:v>
                </c:pt>
                <c:pt idx="73">
                  <c:v>5.5961670088980151</c:v>
                </c:pt>
                <c:pt idx="74">
                  <c:v>5.6728268309377086</c:v>
                </c:pt>
                <c:pt idx="75">
                  <c:v>5.7494866529774109</c:v>
                </c:pt>
                <c:pt idx="76">
                  <c:v>5.8261464750171106</c:v>
                </c:pt>
                <c:pt idx="77">
                  <c:v>5.9028062970568076</c:v>
                </c:pt>
                <c:pt idx="78">
                  <c:v>5.9794661190965099</c:v>
                </c:pt>
                <c:pt idx="79">
                  <c:v>6.0561259411362061</c:v>
                </c:pt>
                <c:pt idx="80">
                  <c:v>6.1327857631759048</c:v>
                </c:pt>
                <c:pt idx="81">
                  <c:v>6.2094455852156072</c:v>
                </c:pt>
                <c:pt idx="82">
                  <c:v>6.2861054072553051</c:v>
                </c:pt>
                <c:pt idx="83">
                  <c:v>6.3627652292949994</c:v>
                </c:pt>
                <c:pt idx="84">
                  <c:v>6.4394250513347018</c:v>
                </c:pt>
                <c:pt idx="85">
                  <c:v>6.5160848733743988</c:v>
                </c:pt>
                <c:pt idx="86">
                  <c:v>6.5927446954141002</c:v>
                </c:pt>
                <c:pt idx="87">
                  <c:v>6.6694045174537946</c:v>
                </c:pt>
                <c:pt idx="88">
                  <c:v>6.7460643394934969</c:v>
                </c:pt>
                <c:pt idx="89">
                  <c:v>6.8227241615331957</c:v>
                </c:pt>
                <c:pt idx="90">
                  <c:v>6.8993839835728972</c:v>
                </c:pt>
                <c:pt idx="91">
                  <c:v>6.976043805612596</c:v>
                </c:pt>
                <c:pt idx="92">
                  <c:v>7.0527036276522912</c:v>
                </c:pt>
                <c:pt idx="93">
                  <c:v>7.1293634496919909</c:v>
                </c:pt>
                <c:pt idx="94">
                  <c:v>7.2060232717316914</c:v>
                </c:pt>
                <c:pt idx="95">
                  <c:v>7.2826830937713902</c:v>
                </c:pt>
                <c:pt idx="96">
                  <c:v>7.3593429158110881</c:v>
                </c:pt>
                <c:pt idx="97">
                  <c:v>7.4360027378507878</c:v>
                </c:pt>
                <c:pt idx="98">
                  <c:v>7.5126625598904857</c:v>
                </c:pt>
                <c:pt idx="99">
                  <c:v>7.589322381930188</c:v>
                </c:pt>
                <c:pt idx="100">
                  <c:v>7.6659822039698797</c:v>
                </c:pt>
                <c:pt idx="101">
                  <c:v>7.742642026009583</c:v>
                </c:pt>
                <c:pt idx="102">
                  <c:v>7.8193018480492791</c:v>
                </c:pt>
                <c:pt idx="103">
                  <c:v>7.8959616700889779</c:v>
                </c:pt>
                <c:pt idx="104">
                  <c:v>7.9726214921286802</c:v>
                </c:pt>
                <c:pt idx="105">
                  <c:v>8.0492813141683772</c:v>
                </c:pt>
                <c:pt idx="106">
                  <c:v>8.1259411362080769</c:v>
                </c:pt>
                <c:pt idx="107">
                  <c:v>8.2026009582477748</c:v>
                </c:pt>
                <c:pt idx="108">
                  <c:v>8.2792607802874691</c:v>
                </c:pt>
                <c:pt idx="109">
                  <c:v>8.3559206023271724</c:v>
                </c:pt>
                <c:pt idx="110">
                  <c:v>8.4325804243668721</c:v>
                </c:pt>
                <c:pt idx="111">
                  <c:v>8.5092402464065717</c:v>
                </c:pt>
                <c:pt idx="112">
                  <c:v>8.5859000684462696</c:v>
                </c:pt>
                <c:pt idx="113">
                  <c:v>8.6625598904859693</c:v>
                </c:pt>
                <c:pt idx="114">
                  <c:v>8.7392197125256672</c:v>
                </c:pt>
                <c:pt idx="115">
                  <c:v>8.8158795345653704</c:v>
                </c:pt>
                <c:pt idx="116">
                  <c:v>8.8925393566050701</c:v>
                </c:pt>
                <c:pt idx="117">
                  <c:v>8.9691991786447662</c:v>
                </c:pt>
                <c:pt idx="118">
                  <c:v>9.0458590006844624</c:v>
                </c:pt>
                <c:pt idx="119">
                  <c:v>9.122518822724162</c:v>
                </c:pt>
                <c:pt idx="120">
                  <c:v>9.1991786447638564</c:v>
                </c:pt>
                <c:pt idx="121">
                  <c:v>9.2758384668035543</c:v>
                </c:pt>
                <c:pt idx="122">
                  <c:v>9.3524982888432593</c:v>
                </c:pt>
                <c:pt idx="123">
                  <c:v>9.4291581108829572</c:v>
                </c:pt>
                <c:pt idx="124">
                  <c:v>9.5058179329226586</c:v>
                </c:pt>
                <c:pt idx="125">
                  <c:v>9.5824777549623548</c:v>
                </c:pt>
                <c:pt idx="126">
                  <c:v>9.6591375770020562</c:v>
                </c:pt>
                <c:pt idx="127">
                  <c:v>9.7357973990417523</c:v>
                </c:pt>
                <c:pt idx="128">
                  <c:v>9.8124572210814502</c:v>
                </c:pt>
                <c:pt idx="129">
                  <c:v>9.8891170431211517</c:v>
                </c:pt>
                <c:pt idx="130">
                  <c:v>9.9657768651608496</c:v>
                </c:pt>
                <c:pt idx="131">
                  <c:v>10.042436687200549</c:v>
                </c:pt>
                <c:pt idx="132">
                  <c:v>10.119096509240251</c:v>
                </c:pt>
                <c:pt idx="133">
                  <c:v>10.19575633127995</c:v>
                </c:pt>
                <c:pt idx="134">
                  <c:v>10.27241615331965</c:v>
                </c:pt>
                <c:pt idx="135">
                  <c:v>10.349075975359341</c:v>
                </c:pt>
                <c:pt idx="136">
                  <c:v>10.425735797399041</c:v>
                </c:pt>
              </c:numCache>
            </c:numRef>
          </c:cat>
          <c:val>
            <c:numRef>
              <c:f>'Curve Fitting'!$AT$5:$AT$135</c:f>
              <c:numCache>
                <c:formatCode>0.00</c:formatCode>
                <c:ptCount val="131"/>
                <c:pt idx="0">
                  <c:v>1</c:v>
                </c:pt>
                <c:pt idx="1">
                  <c:v>0.99999844527699999</c:v>
                </c:pt>
                <c:pt idx="2">
                  <c:v>0.9794776815281</c:v>
                </c:pt>
                <c:pt idx="3">
                  <c:v>0.97198433118640004</c:v>
                </c:pt>
                <c:pt idx="4">
                  <c:v>0.95538608393360003</c:v>
                </c:pt>
                <c:pt idx="5">
                  <c:v>0.94846159146609998</c:v>
                </c:pt>
                <c:pt idx="6">
                  <c:v>0.93876111628329995</c:v>
                </c:pt>
                <c:pt idx="7">
                  <c:v>0.90554442786330003</c:v>
                </c:pt>
                <c:pt idx="8">
                  <c:v>0.87428094454530003</c:v>
                </c:pt>
                <c:pt idx="9">
                  <c:v>0.86646301645489998</c:v>
                </c:pt>
                <c:pt idx="10">
                  <c:v>0.8625526336089</c:v>
                </c:pt>
                <c:pt idx="11">
                  <c:v>0.85473470551840003</c:v>
                </c:pt>
                <c:pt idx="12">
                  <c:v>0.83519399981419995</c:v>
                </c:pt>
                <c:pt idx="13">
                  <c:v>0.81956112311469997</c:v>
                </c:pt>
                <c:pt idx="14">
                  <c:v>0.75312973259570004</c:v>
                </c:pt>
                <c:pt idx="15">
                  <c:v>0.74131873668420001</c:v>
                </c:pt>
                <c:pt idx="16">
                  <c:v>0.72577152444119997</c:v>
                </c:pt>
                <c:pt idx="17">
                  <c:v>0.71404605110620001</c:v>
                </c:pt>
                <c:pt idx="18">
                  <c:v>0.69059765827740005</c:v>
                </c:pt>
                <c:pt idx="19">
                  <c:v>0.68668741731149996</c:v>
                </c:pt>
                <c:pt idx="20">
                  <c:v>0.6749618020964</c:v>
                </c:pt>
                <c:pt idx="21">
                  <c:v>0.6554212382722</c:v>
                </c:pt>
                <c:pt idx="22">
                  <c:v>0.62611181133670002</c:v>
                </c:pt>
                <c:pt idx="23">
                  <c:v>0.62415520111300005</c:v>
                </c:pt>
                <c:pt idx="24">
                  <c:v>0.61242972777799998</c:v>
                </c:pt>
                <c:pt idx="25">
                  <c:v>0.5967967091984</c:v>
                </c:pt>
                <c:pt idx="26">
                  <c:v>0.59288632635250005</c:v>
                </c:pt>
                <c:pt idx="27">
                  <c:v>0.58116099489749995</c:v>
                </c:pt>
                <c:pt idx="28">
                  <c:v>0.56552783443779997</c:v>
                </c:pt>
                <c:pt idx="29">
                  <c:v>0.54989481585830002</c:v>
                </c:pt>
                <c:pt idx="30">
                  <c:v>0.51472407105590001</c:v>
                </c:pt>
                <c:pt idx="31">
                  <c:v>0.50104482509860004</c:v>
                </c:pt>
                <c:pt idx="32">
                  <c:v>0.47173539816299997</c:v>
                </c:pt>
                <c:pt idx="33">
                  <c:v>0.46782501531710002</c:v>
                </c:pt>
                <c:pt idx="34">
                  <c:v>0.4600070872266</c:v>
                </c:pt>
                <c:pt idx="35">
                  <c:v>0.43175556290450001</c:v>
                </c:pt>
                <c:pt idx="36">
                  <c:v>0.42167015912349998</c:v>
                </c:pt>
                <c:pt idx="37">
                  <c:v>0.40149704200929998</c:v>
                </c:pt>
                <c:pt idx="38">
                  <c:v>0.3859809148651</c:v>
                </c:pt>
                <c:pt idx="39">
                  <c:v>0.35417329359760003</c:v>
                </c:pt>
                <c:pt idx="40">
                  <c:v>0.3471898083769</c:v>
                </c:pt>
                <c:pt idx="41">
                  <c:v>0.34641100523480001</c:v>
                </c:pt>
                <c:pt idx="42">
                  <c:v>0.34641100523480001</c:v>
                </c:pt>
                <c:pt idx="43">
                  <c:v>0.34641100523480001</c:v>
                </c:pt>
                <c:pt idx="44">
                  <c:v>0.31847667003800001</c:v>
                </c:pt>
                <c:pt idx="45">
                  <c:v>0.28115049193449998</c:v>
                </c:pt>
                <c:pt idx="46">
                  <c:v>0.28115049193449998</c:v>
                </c:pt>
                <c:pt idx="47">
                  <c:v>0.28046019823180002</c:v>
                </c:pt>
                <c:pt idx="48">
                  <c:v>0.226535844475</c:v>
                </c:pt>
                <c:pt idx="49">
                  <c:v>0.22615510516010001</c:v>
                </c:pt>
                <c:pt idx="50">
                  <c:v>0.22615510516010001</c:v>
                </c:pt>
                <c:pt idx="51">
                  <c:v>0.1237376859867</c:v>
                </c:pt>
                <c:pt idx="52">
                  <c:v>0.1237376859867</c:v>
                </c:pt>
              </c:numCache>
            </c:numRef>
          </c:val>
          <c:smooth val="0"/>
          <c:extLst>
            <c:ext xmlns:c16="http://schemas.microsoft.com/office/drawing/2014/chart" uri="{C3380CC4-5D6E-409C-BE32-E72D297353CC}">
              <c16:uniqueId val="{00000006-F29B-446A-BC1C-19BCB5ACAA78}"/>
            </c:ext>
          </c:extLst>
        </c:ser>
        <c:ser>
          <c:idx val="1"/>
          <c:order val="7"/>
          <c:tx>
            <c:v>Modelled OS EVE+EXE</c:v>
          </c:tx>
          <c:spPr>
            <a:ln w="19050" cap="rnd">
              <a:solidFill>
                <a:schemeClr val="accent6"/>
              </a:solidFill>
              <a:prstDash val="dash"/>
              <a:round/>
            </a:ln>
            <a:effectLst/>
          </c:spPr>
          <c:marker>
            <c:symbol val="none"/>
          </c:marker>
          <c:cat>
            <c:numRef>
              <c:f>'Curve Fitting'!$D$5:$D$141</c:f>
              <c:numCache>
                <c:formatCode>0</c:formatCode>
                <c:ptCount val="137"/>
                <c:pt idx="0">
                  <c:v>0</c:v>
                </c:pt>
                <c:pt idx="1">
                  <c:v>7.6659822039698802E-2</c:v>
                </c:pt>
                <c:pt idx="2">
                  <c:v>0.15331964407939799</c:v>
                </c:pt>
                <c:pt idx="3">
                  <c:v>0.229979466119097</c:v>
                </c:pt>
                <c:pt idx="4">
                  <c:v>0.30663928815879499</c:v>
                </c:pt>
                <c:pt idx="5">
                  <c:v>0.383299110198494</c:v>
                </c:pt>
                <c:pt idx="6">
                  <c:v>0.45995893223819301</c:v>
                </c:pt>
                <c:pt idx="7">
                  <c:v>0.53661875427789196</c:v>
                </c:pt>
                <c:pt idx="8">
                  <c:v>0.61327857631759097</c:v>
                </c:pt>
                <c:pt idx="9">
                  <c:v>0.68993839835728998</c:v>
                </c:pt>
                <c:pt idx="10">
                  <c:v>0.76659822039698799</c:v>
                </c:pt>
                <c:pt idx="11">
                  <c:v>0.84325804243668701</c:v>
                </c:pt>
                <c:pt idx="12">
                  <c:v>0.91991786447638602</c:v>
                </c:pt>
                <c:pt idx="13">
                  <c:v>0.99657768651608503</c:v>
                </c:pt>
                <c:pt idx="14">
                  <c:v>1.0732375085557839</c:v>
                </c:pt>
                <c:pt idx="15">
                  <c:v>1.149897330595482</c:v>
                </c:pt>
                <c:pt idx="16">
                  <c:v>1.2265571526351811</c:v>
                </c:pt>
                <c:pt idx="17">
                  <c:v>1.3032169746748801</c:v>
                </c:pt>
                <c:pt idx="18">
                  <c:v>1.3798767967145791</c:v>
                </c:pt>
                <c:pt idx="19">
                  <c:v>1.4565366187542781</c:v>
                </c:pt>
                <c:pt idx="20">
                  <c:v>1.533196440793976</c:v>
                </c:pt>
                <c:pt idx="21">
                  <c:v>1.609856262833675</c:v>
                </c:pt>
                <c:pt idx="22">
                  <c:v>1.686516084873374</c:v>
                </c:pt>
                <c:pt idx="23">
                  <c:v>1.7631759069130739</c:v>
                </c:pt>
                <c:pt idx="24">
                  <c:v>1.839835728952772</c:v>
                </c:pt>
                <c:pt idx="25">
                  <c:v>1.916495550992471</c:v>
                </c:pt>
                <c:pt idx="26">
                  <c:v>1.9931553730321701</c:v>
                </c:pt>
                <c:pt idx="27">
                  <c:v>2.0698151950718668</c:v>
                </c:pt>
                <c:pt idx="28">
                  <c:v>2.146475017111567</c:v>
                </c:pt>
                <c:pt idx="29">
                  <c:v>2.2231348391512662</c:v>
                </c:pt>
                <c:pt idx="30">
                  <c:v>2.299794661190965</c:v>
                </c:pt>
                <c:pt idx="31">
                  <c:v>2.376454483230662</c:v>
                </c:pt>
                <c:pt idx="32">
                  <c:v>2.453114305270363</c:v>
                </c:pt>
                <c:pt idx="33">
                  <c:v>2.5297741273100609</c:v>
                </c:pt>
                <c:pt idx="34">
                  <c:v>2.6064339493497601</c:v>
                </c:pt>
                <c:pt idx="35">
                  <c:v>2.6830937713894598</c:v>
                </c:pt>
                <c:pt idx="36">
                  <c:v>2.7597535934291582</c:v>
                </c:pt>
                <c:pt idx="37">
                  <c:v>2.8364134154688552</c:v>
                </c:pt>
                <c:pt idx="38">
                  <c:v>2.9130732375085562</c:v>
                </c:pt>
                <c:pt idx="39">
                  <c:v>2.989733059548255</c:v>
                </c:pt>
                <c:pt idx="40">
                  <c:v>3.0663928815879542</c:v>
                </c:pt>
                <c:pt idx="41">
                  <c:v>3.143052703627653</c:v>
                </c:pt>
                <c:pt idx="42">
                  <c:v>3.2197125256673509</c:v>
                </c:pt>
                <c:pt idx="43">
                  <c:v>3.2963723477070501</c:v>
                </c:pt>
                <c:pt idx="44">
                  <c:v>3.373032169746748</c:v>
                </c:pt>
                <c:pt idx="45">
                  <c:v>3.4496919917864481</c:v>
                </c:pt>
                <c:pt idx="46">
                  <c:v>3.526351813826146</c:v>
                </c:pt>
                <c:pt idx="47">
                  <c:v>3.6030116358658448</c:v>
                </c:pt>
                <c:pt idx="48">
                  <c:v>3.6796714579055441</c:v>
                </c:pt>
                <c:pt idx="49">
                  <c:v>3.7563312799452429</c:v>
                </c:pt>
                <c:pt idx="50">
                  <c:v>3.8329911019849412</c:v>
                </c:pt>
                <c:pt idx="51">
                  <c:v>3.9096509240246391</c:v>
                </c:pt>
                <c:pt idx="52">
                  <c:v>3.9863107460643401</c:v>
                </c:pt>
                <c:pt idx="53">
                  <c:v>4.0629705681040358</c:v>
                </c:pt>
                <c:pt idx="54">
                  <c:v>4.1396303901437381</c:v>
                </c:pt>
                <c:pt idx="55">
                  <c:v>4.216290212183436</c:v>
                </c:pt>
                <c:pt idx="56">
                  <c:v>4.2929500342231348</c:v>
                </c:pt>
                <c:pt idx="57">
                  <c:v>4.3696098562628336</c:v>
                </c:pt>
                <c:pt idx="58">
                  <c:v>4.4462696783025342</c:v>
                </c:pt>
                <c:pt idx="59">
                  <c:v>4.5229295003422294</c:v>
                </c:pt>
                <c:pt idx="60">
                  <c:v>4.59958932238193</c:v>
                </c:pt>
                <c:pt idx="61">
                  <c:v>4.6762491444216296</c:v>
                </c:pt>
                <c:pt idx="62">
                  <c:v>4.7529089664613267</c:v>
                </c:pt>
                <c:pt idx="63">
                  <c:v>4.8295687885010281</c:v>
                </c:pt>
                <c:pt idx="64">
                  <c:v>4.9062286105407269</c:v>
                </c:pt>
                <c:pt idx="65">
                  <c:v>4.9828884325804248</c:v>
                </c:pt>
                <c:pt idx="66">
                  <c:v>5.0595482546201227</c:v>
                </c:pt>
                <c:pt idx="67">
                  <c:v>5.1362080766598224</c:v>
                </c:pt>
                <c:pt idx="68">
                  <c:v>5.2128678986995203</c:v>
                </c:pt>
                <c:pt idx="69">
                  <c:v>5.28952772073922</c:v>
                </c:pt>
                <c:pt idx="70">
                  <c:v>5.3661875427789143</c:v>
                </c:pt>
                <c:pt idx="71">
                  <c:v>5.4428473648186184</c:v>
                </c:pt>
                <c:pt idx="72">
                  <c:v>5.5195071868583163</c:v>
                </c:pt>
                <c:pt idx="73">
                  <c:v>5.5961670088980151</c:v>
                </c:pt>
                <c:pt idx="74">
                  <c:v>5.6728268309377086</c:v>
                </c:pt>
                <c:pt idx="75">
                  <c:v>5.7494866529774109</c:v>
                </c:pt>
                <c:pt idx="76">
                  <c:v>5.8261464750171106</c:v>
                </c:pt>
                <c:pt idx="77">
                  <c:v>5.9028062970568076</c:v>
                </c:pt>
                <c:pt idx="78">
                  <c:v>5.9794661190965099</c:v>
                </c:pt>
                <c:pt idx="79">
                  <c:v>6.0561259411362061</c:v>
                </c:pt>
                <c:pt idx="80">
                  <c:v>6.1327857631759048</c:v>
                </c:pt>
                <c:pt idx="81">
                  <c:v>6.2094455852156072</c:v>
                </c:pt>
                <c:pt idx="82">
                  <c:v>6.2861054072553051</c:v>
                </c:pt>
                <c:pt idx="83">
                  <c:v>6.3627652292949994</c:v>
                </c:pt>
                <c:pt idx="84">
                  <c:v>6.4394250513347018</c:v>
                </c:pt>
                <c:pt idx="85">
                  <c:v>6.5160848733743988</c:v>
                </c:pt>
                <c:pt idx="86">
                  <c:v>6.5927446954141002</c:v>
                </c:pt>
                <c:pt idx="87">
                  <c:v>6.6694045174537946</c:v>
                </c:pt>
                <c:pt idx="88">
                  <c:v>6.7460643394934969</c:v>
                </c:pt>
                <c:pt idx="89">
                  <c:v>6.8227241615331957</c:v>
                </c:pt>
                <c:pt idx="90">
                  <c:v>6.8993839835728972</c:v>
                </c:pt>
                <c:pt idx="91">
                  <c:v>6.976043805612596</c:v>
                </c:pt>
                <c:pt idx="92">
                  <c:v>7.0527036276522912</c:v>
                </c:pt>
                <c:pt idx="93">
                  <c:v>7.1293634496919909</c:v>
                </c:pt>
                <c:pt idx="94">
                  <c:v>7.2060232717316914</c:v>
                </c:pt>
                <c:pt idx="95">
                  <c:v>7.2826830937713902</c:v>
                </c:pt>
                <c:pt idx="96">
                  <c:v>7.3593429158110881</c:v>
                </c:pt>
                <c:pt idx="97">
                  <c:v>7.4360027378507878</c:v>
                </c:pt>
                <c:pt idx="98">
                  <c:v>7.5126625598904857</c:v>
                </c:pt>
                <c:pt idx="99">
                  <c:v>7.589322381930188</c:v>
                </c:pt>
                <c:pt idx="100">
                  <c:v>7.6659822039698797</c:v>
                </c:pt>
                <c:pt idx="101">
                  <c:v>7.742642026009583</c:v>
                </c:pt>
                <c:pt idx="102">
                  <c:v>7.8193018480492791</c:v>
                </c:pt>
                <c:pt idx="103">
                  <c:v>7.8959616700889779</c:v>
                </c:pt>
                <c:pt idx="104">
                  <c:v>7.9726214921286802</c:v>
                </c:pt>
                <c:pt idx="105">
                  <c:v>8.0492813141683772</c:v>
                </c:pt>
                <c:pt idx="106">
                  <c:v>8.1259411362080769</c:v>
                </c:pt>
                <c:pt idx="107">
                  <c:v>8.2026009582477748</c:v>
                </c:pt>
                <c:pt idx="108">
                  <c:v>8.2792607802874691</c:v>
                </c:pt>
                <c:pt idx="109">
                  <c:v>8.3559206023271724</c:v>
                </c:pt>
                <c:pt idx="110">
                  <c:v>8.4325804243668721</c:v>
                </c:pt>
                <c:pt idx="111">
                  <c:v>8.5092402464065717</c:v>
                </c:pt>
                <c:pt idx="112">
                  <c:v>8.5859000684462696</c:v>
                </c:pt>
                <c:pt idx="113">
                  <c:v>8.6625598904859693</c:v>
                </c:pt>
                <c:pt idx="114">
                  <c:v>8.7392197125256672</c:v>
                </c:pt>
                <c:pt idx="115">
                  <c:v>8.8158795345653704</c:v>
                </c:pt>
                <c:pt idx="116">
                  <c:v>8.8925393566050701</c:v>
                </c:pt>
                <c:pt idx="117">
                  <c:v>8.9691991786447662</c:v>
                </c:pt>
                <c:pt idx="118">
                  <c:v>9.0458590006844624</c:v>
                </c:pt>
                <c:pt idx="119">
                  <c:v>9.122518822724162</c:v>
                </c:pt>
                <c:pt idx="120">
                  <c:v>9.1991786447638564</c:v>
                </c:pt>
                <c:pt idx="121">
                  <c:v>9.2758384668035543</c:v>
                </c:pt>
                <c:pt idx="122">
                  <c:v>9.3524982888432593</c:v>
                </c:pt>
                <c:pt idx="123">
                  <c:v>9.4291581108829572</c:v>
                </c:pt>
                <c:pt idx="124">
                  <c:v>9.5058179329226586</c:v>
                </c:pt>
                <c:pt idx="125">
                  <c:v>9.5824777549623548</c:v>
                </c:pt>
                <c:pt idx="126">
                  <c:v>9.6591375770020562</c:v>
                </c:pt>
                <c:pt idx="127">
                  <c:v>9.7357973990417523</c:v>
                </c:pt>
                <c:pt idx="128">
                  <c:v>9.8124572210814502</c:v>
                </c:pt>
                <c:pt idx="129">
                  <c:v>9.8891170431211517</c:v>
                </c:pt>
                <c:pt idx="130">
                  <c:v>9.9657768651608496</c:v>
                </c:pt>
                <c:pt idx="131">
                  <c:v>10.042436687200549</c:v>
                </c:pt>
                <c:pt idx="132">
                  <c:v>10.119096509240251</c:v>
                </c:pt>
                <c:pt idx="133">
                  <c:v>10.19575633127995</c:v>
                </c:pt>
                <c:pt idx="134">
                  <c:v>10.27241615331965</c:v>
                </c:pt>
                <c:pt idx="135">
                  <c:v>10.349075975359341</c:v>
                </c:pt>
                <c:pt idx="136">
                  <c:v>10.425735797399041</c:v>
                </c:pt>
              </c:numCache>
            </c:numRef>
          </c:cat>
          <c:val>
            <c:numRef>
              <c:f>'Curve Fitting'!$AU$5:$AU$135</c:f>
              <c:numCache>
                <c:formatCode>0.00</c:formatCode>
                <c:ptCount val="131"/>
                <c:pt idx="0">
                  <c:v>1</c:v>
                </c:pt>
                <c:pt idx="1">
                  <c:v>0.97614565330789405</c:v>
                </c:pt>
                <c:pt idx="2">
                  <c:v>0.95286033647189505</c:v>
                </c:pt>
                <c:pt idx="3">
                  <c:v>0.93013047565653695</c:v>
                </c:pt>
                <c:pt idx="4">
                  <c:v>0.90794282082133304</c:v>
                </c:pt>
                <c:pt idx="5">
                  <c:v>0.88628443799685197</c:v>
                </c:pt>
                <c:pt idx="6">
                  <c:v>0.86514270174505603</c:v>
                </c:pt>
                <c:pt idx="7">
                  <c:v>0.84450528779948397</c:v>
                </c:pt>
                <c:pt idx="8">
                  <c:v>0.82436016588099803</c:v>
                </c:pt>
                <c:pt idx="9">
                  <c:v>0.80469559268491098</c:v>
                </c:pt>
                <c:pt idx="10">
                  <c:v>0.78550010503539502</c:v>
                </c:pt>
                <c:pt idx="11">
                  <c:v>0.766762513203195</c:v>
                </c:pt>
                <c:pt idx="12">
                  <c:v>0.74847189438273598</c:v>
                </c:pt>
                <c:pt idx="13">
                  <c:v>0.73061758632483198</c:v>
                </c:pt>
                <c:pt idx="14">
                  <c:v>0.71318918112129004</c:v>
                </c:pt>
                <c:pt idx="15">
                  <c:v>0.69617651913776302</c:v>
                </c:pt>
                <c:pt idx="16">
                  <c:v>0.67956968309134702</c:v>
                </c:pt>
                <c:pt idx="17">
                  <c:v>0.66335899226944195</c:v>
                </c:pt>
                <c:pt idx="18">
                  <c:v>0.64753499688652005</c:v>
                </c:pt>
                <c:pt idx="19">
                  <c:v>0.63208847257551803</c:v>
                </c:pt>
                <c:pt idx="20">
                  <c:v>0.61701041501061704</c:v>
                </c:pt>
                <c:pt idx="21">
                  <c:v>0.60229203465831405</c:v>
                </c:pt>
                <c:pt idx="22">
                  <c:v>0.58792475165367997</c:v>
                </c:pt>
                <c:pt idx="23">
                  <c:v>0.57390019079886301</c:v>
                </c:pt>
                <c:pt idx="24">
                  <c:v>0.56021017668088102</c:v>
                </c:pt>
                <c:pt idx="25">
                  <c:v>0.54684672890588903</c:v>
                </c:pt>
                <c:pt idx="26">
                  <c:v>0.53380205744712395</c:v>
                </c:pt>
                <c:pt idx="27">
                  <c:v>0.52106855810382102</c:v>
                </c:pt>
                <c:pt idx="28">
                  <c:v>0.50863880806845596</c:v>
                </c:pt>
                <c:pt idx="29">
                  <c:v>0.49650556159973103</c:v>
                </c:pt>
                <c:pt idx="30">
                  <c:v>0.48466174579877302</c:v>
                </c:pt>
                <c:pt idx="31">
                  <c:v>0.47310045648608701</c:v>
                </c:pt>
                <c:pt idx="32">
                  <c:v>0.46181495417687402</c:v>
                </c:pt>
                <c:pt idx="33">
                  <c:v>0.45079866015233999</c:v>
                </c:pt>
                <c:pt idx="34">
                  <c:v>0.44004515262472899</c:v>
                </c:pt>
                <c:pt idx="35">
                  <c:v>0.42954816299383802</c:v>
                </c:pt>
                <c:pt idx="36">
                  <c:v>0.41930157219282599</c:v>
                </c:pt>
                <c:pt idx="37">
                  <c:v>0.409299407121193</c:v>
                </c:pt>
                <c:pt idx="38">
                  <c:v>0.39953583716285002</c:v>
                </c:pt>
                <c:pt idx="39">
                  <c:v>0.390005170787247</c:v>
                </c:pt>
                <c:pt idx="40">
                  <c:v>0.38070185223157399</c:v>
                </c:pt>
                <c:pt idx="41">
                  <c:v>0.37162045826211498</c:v>
                </c:pt>
                <c:pt idx="42">
                  <c:v>0.36275569501285099</c:v>
                </c:pt>
                <c:pt idx="43">
                  <c:v>0.35410239489947898</c:v>
                </c:pt>
                <c:pt idx="44">
                  <c:v>0.345655513607041</c:v>
                </c:pt>
                <c:pt idx="45">
                  <c:v>0.33741012714942098</c:v>
                </c:pt>
                <c:pt idx="46">
                  <c:v>0.32936142899897097</c:v>
                </c:pt>
                <c:pt idx="47">
                  <c:v>0.32150472728462198</c:v>
                </c:pt>
                <c:pt idx="48">
                  <c:v>0.31383544205682401</c:v>
                </c:pt>
                <c:pt idx="49">
                  <c:v>0.30634910261773002</c:v>
                </c:pt>
                <c:pt idx="50">
                  <c:v>0.29904134491507101</c:v>
                </c:pt>
                <c:pt idx="51">
                  <c:v>0.29190790899819302</c:v>
                </c:pt>
                <c:pt idx="52">
                  <c:v>0.28494463653478203</c:v>
                </c:pt>
                <c:pt idx="53">
                  <c:v>0.27814746838682602</c:v>
                </c:pt>
                <c:pt idx="54">
                  <c:v>0.27151244224439502</c:v>
                </c:pt>
                <c:pt idx="55">
                  <c:v>0.26503569031587598</c:v>
                </c:pt>
                <c:pt idx="56">
                  <c:v>0.25871343707330002</c:v>
                </c:pt>
                <c:pt idx="57">
                  <c:v>0.25254199705144698</c:v>
                </c:pt>
                <c:pt idx="58">
                  <c:v>0.24651777269946501</c:v>
                </c:pt>
                <c:pt idx="59">
                  <c:v>0.24063725228372601</c:v>
                </c:pt>
                <c:pt idx="60">
                  <c:v>0.23489700784071399</c:v>
                </c:pt>
                <c:pt idx="61">
                  <c:v>0.22929369317874301</c:v>
                </c:pt>
                <c:pt idx="62">
                  <c:v>0.22382404192734401</c:v>
                </c:pt>
                <c:pt idx="63">
                  <c:v>0.21848486563318101</c:v>
                </c:pt>
                <c:pt idx="64">
                  <c:v>0.21327305190138901</c:v>
                </c:pt>
                <c:pt idx="65">
                  <c:v>0.20818556258124901</c:v>
                </c:pt>
                <c:pt idx="66">
                  <c:v>0.203219431995145</c:v>
                </c:pt>
                <c:pt idx="67">
                  <c:v>0.19837176520975999</c:v>
                </c:pt>
                <c:pt idx="68">
                  <c:v>0.193639736348521</c:v>
                </c:pt>
                <c:pt idx="69">
                  <c:v>0.18902058694429599</c:v>
                </c:pt>
                <c:pt idx="70">
                  <c:v>0.18451162433138099</c:v>
                </c:pt>
                <c:pt idx="71">
                  <c:v>0.180110220075857</c:v>
                </c:pt>
                <c:pt idx="72">
                  <c:v>0.17581380844337599</c:v>
                </c:pt>
                <c:pt idx="73">
                  <c:v>0.17161988490350799</c:v>
                </c:pt>
                <c:pt idx="74">
                  <c:v>0.16752600466976</c:v>
                </c:pt>
                <c:pt idx="75">
                  <c:v>0.163529781274424</c:v>
                </c:pt>
                <c:pt idx="76">
                  <c:v>0.15962888517741999</c:v>
                </c:pt>
                <c:pt idx="77">
                  <c:v>0.15582104240832301</c:v>
                </c:pt>
                <c:pt idx="78">
                  <c:v>0.15210403324079</c:v>
                </c:pt>
                <c:pt idx="79">
                  <c:v>0.148475690898596</c:v>
                </c:pt>
                <c:pt idx="80">
                  <c:v>0.14493390029255099</c:v>
                </c:pt>
                <c:pt idx="81">
                  <c:v>0.14147659678753299</c:v>
                </c:pt>
                <c:pt idx="82">
                  <c:v>0.138101764998944</c:v>
                </c:pt>
                <c:pt idx="83">
                  <c:v>0.13480743761786801</c:v>
                </c:pt>
                <c:pt idx="84">
                  <c:v>0.13159169426425699</c:v>
                </c:pt>
                <c:pt idx="85">
                  <c:v>0.12845266036747499</c:v>
                </c:pt>
                <c:pt idx="86">
                  <c:v>0.12538850607354601</c:v>
                </c:pt>
                <c:pt idx="87">
                  <c:v>0.122397445178463</c:v>
                </c:pt>
                <c:pt idx="88">
                  <c:v>0.11947773408694801</c:v>
                </c:pt>
                <c:pt idx="89">
                  <c:v>0.11662767079605001</c:v>
                </c:pt>
                <c:pt idx="90">
                  <c:v>0.113845593902988</c:v>
                </c:pt>
                <c:pt idx="91">
                  <c:v>0.111129881636658</c:v>
                </c:pt>
                <c:pt idx="92">
                  <c:v>0.10847895091224399</c:v>
                </c:pt>
                <c:pt idx="93">
                  <c:v>0.10589125640838799</c:v>
                </c:pt>
                <c:pt idx="94">
                  <c:v>0.10336528966635899</c:v>
                </c:pt>
                <c:pt idx="95">
                  <c:v>0.10089957821072799</c:v>
                </c:pt>
                <c:pt idx="96">
                  <c:v>9.8492684691001905E-2</c:v>
                </c:pt>
                <c:pt idx="97">
                  <c:v>9.6143206043746404E-2</c:v>
                </c:pt>
                <c:pt idx="98">
                  <c:v>9.38497726746884E-2</c:v>
                </c:pt>
                <c:pt idx="99">
                  <c:v>9.1611047660330999E-2</c:v>
                </c:pt>
                <c:pt idx="100">
                  <c:v>8.9425725968614395E-2</c:v>
                </c:pt>
                <c:pt idx="101">
                  <c:v>8.7292533698165697E-2</c:v>
                </c:pt>
                <c:pt idx="102">
                  <c:v>8.52102273356974E-2</c:v>
                </c:pt>
                <c:pt idx="103">
                  <c:v>8.3177593031118505E-2</c:v>
                </c:pt>
                <c:pt idx="104">
                  <c:v>8.1193445889939195E-2</c:v>
                </c:pt>
                <c:pt idx="105">
                  <c:v>7.9256629282553906E-2</c:v>
                </c:pt>
                <c:pt idx="106">
                  <c:v>7.7366014170000094E-2</c:v>
                </c:pt>
                <c:pt idx="107">
                  <c:v>7.5520498445802497E-2</c:v>
                </c:pt>
                <c:pt idx="108">
                  <c:v>7.3719006293515701E-2</c:v>
                </c:pt>
                <c:pt idx="109">
                  <c:v>7.1960487559592598E-2</c:v>
                </c:pt>
                <c:pt idx="110">
                  <c:v>7.02439171412131E-2</c:v>
                </c:pt>
                <c:pt idx="111">
                  <c:v>6.8568294388715006E-2</c:v>
                </c:pt>
                <c:pt idx="112">
                  <c:v>6.6932642522280206E-2</c:v>
                </c:pt>
                <c:pt idx="113">
                  <c:v>6.5336008062534895E-2</c:v>
                </c:pt>
                <c:pt idx="114">
                  <c:v>6.3777460274732994E-2</c:v>
                </c:pt>
                <c:pt idx="115">
                  <c:v>6.22560906261974E-2</c:v>
                </c:pt>
                <c:pt idx="116">
                  <c:v>6.0771012256704997E-2</c:v>
                </c:pt>
                <c:pt idx="117">
                  <c:v>5.9321359461503298E-2</c:v>
                </c:pt>
                <c:pt idx="118">
                  <c:v>5.7906287186661597E-2</c:v>
                </c:pt>
                <c:pt idx="119">
                  <c:v>5.6524970536458198E-2</c:v>
                </c:pt>
                <c:pt idx="120">
                  <c:v>5.5176604292520498E-2</c:v>
                </c:pt>
                <c:pt idx="121">
                  <c:v>5.3860402444433603E-2</c:v>
                </c:pt>
                <c:pt idx="122">
                  <c:v>5.2575597731547699E-2</c:v>
                </c:pt>
                <c:pt idx="123">
                  <c:v>5.13214411957146E-2</c:v>
                </c:pt>
                <c:pt idx="124">
                  <c:v>5.0097201744693502E-2</c:v>
                </c:pt>
                <c:pt idx="125">
                  <c:v>4.8902165725971197E-2</c:v>
                </c:pt>
                <c:pt idx="126">
                  <c:v>4.7735636510748997E-2</c:v>
                </c:pt>
                <c:pt idx="127">
                  <c:v>4.6596934087853301E-2</c:v>
                </c:pt>
                <c:pt idx="128">
                  <c:v>4.5485394667332403E-2</c:v>
                </c:pt>
                <c:pt idx="129">
                  <c:v>4.4400370293510599E-2</c:v>
                </c:pt>
                <c:pt idx="130">
                  <c:v>4.3341228467271301E-2</c:v>
                </c:pt>
              </c:numCache>
            </c:numRef>
          </c:val>
          <c:smooth val="0"/>
          <c:extLst>
            <c:ext xmlns:c16="http://schemas.microsoft.com/office/drawing/2014/chart" uri="{C3380CC4-5D6E-409C-BE32-E72D297353CC}">
              <c16:uniqueId val="{00000007-F29B-446A-BC1C-19BCB5ACAA78}"/>
            </c:ext>
          </c:extLst>
        </c:ser>
        <c:dLbls>
          <c:showLegendKey val="0"/>
          <c:showVal val="0"/>
          <c:showCatName val="0"/>
          <c:showSerName val="0"/>
          <c:showPercent val="0"/>
          <c:showBubbleSize val="0"/>
        </c:dLbls>
        <c:smooth val="0"/>
        <c:axId val="-2120270312"/>
        <c:axId val="-2120266856"/>
      </c:lineChart>
      <c:catAx>
        <c:axId val="-212027031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2120266856"/>
        <c:crosses val="autoZero"/>
        <c:auto val="1"/>
        <c:lblAlgn val="ctr"/>
        <c:lblOffset val="100"/>
        <c:tickLblSkip val="13"/>
        <c:noMultiLvlLbl val="0"/>
      </c:catAx>
      <c:valAx>
        <c:axId val="-212026685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2120270312"/>
        <c:crosses val="autoZero"/>
        <c:crossBetween val="between"/>
      </c:valAx>
    </c:plotArea>
    <c:legend>
      <c:legendPos val="b"/>
      <c:layout>
        <c:manualLayout>
          <c:xMode val="edge"/>
          <c:yMode val="edge"/>
          <c:x val="0.107047597506326"/>
          <c:y val="0.795642801369013"/>
          <c:w val="0.84096146868535504"/>
          <c:h val="0.182114381207446"/>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75B8F-8AF4-4BBA-9560-A8F250D12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19237</Words>
  <Characters>109682</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2020-10-28T01:28:00Z</dcterms:created>
  <dcterms:modified xsi:type="dcterms:W3CDTF">2020-10-28T01:28:00Z</dcterms:modified>
</cp:coreProperties>
</file>