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AE6A85" w:rsidRDefault="00A140D7" w:rsidP="00497B75">
      <w:pPr>
        <w:pStyle w:val="1MainTitle"/>
        <w:jc w:val="left"/>
        <w:rPr>
          <w:rFonts w:eastAsia="Calibri"/>
          <w:lang w:eastAsia="en-US"/>
        </w:rPr>
      </w:pPr>
      <w:r w:rsidRPr="00AE6A85">
        <w:rPr>
          <w:rFonts w:eastAsia="Calibri"/>
          <w:lang w:eastAsia="en-US"/>
        </w:rPr>
        <w:t xml:space="preserve">14.03(f) TERBUTALINE, </w:t>
      </w:r>
      <w:r w:rsidR="00497B75" w:rsidRPr="00AE6A85">
        <w:rPr>
          <w:rFonts w:eastAsia="Calibri"/>
          <w:lang w:eastAsia="en-US"/>
        </w:rPr>
        <w:br/>
      </w:r>
      <w:r w:rsidR="00DA0240" w:rsidRPr="00AE6A85">
        <w:rPr>
          <w:rFonts w:eastAsia="Calibri"/>
          <w:lang w:eastAsia="en-US"/>
        </w:rPr>
        <w:t>Powder for oral inhalation in breath actuated device containing terbutaline sul</w:t>
      </w:r>
      <w:r w:rsidR="0035171A" w:rsidRPr="00AE6A85">
        <w:rPr>
          <w:rFonts w:eastAsia="Calibri"/>
          <w:lang w:eastAsia="en-US"/>
        </w:rPr>
        <w:t>f</w:t>
      </w:r>
      <w:r w:rsidR="00DA0240" w:rsidRPr="00AE6A85">
        <w:rPr>
          <w:rFonts w:eastAsia="Calibri"/>
          <w:lang w:eastAsia="en-US"/>
        </w:rPr>
        <w:t xml:space="preserve">ate </w:t>
      </w:r>
      <w:r w:rsidR="007D4AC8" w:rsidRPr="00AE6A85">
        <w:rPr>
          <w:rFonts w:eastAsia="Calibri"/>
          <w:lang w:eastAsia="en-US"/>
        </w:rPr>
        <w:t xml:space="preserve">500 </w:t>
      </w:r>
      <w:r w:rsidR="00DA0240" w:rsidRPr="00AE6A85">
        <w:rPr>
          <w:rFonts w:eastAsia="Calibri"/>
          <w:lang w:eastAsia="en-US"/>
        </w:rPr>
        <w:t>micrograms per dose, 120 doses,</w:t>
      </w:r>
      <w:r w:rsidR="005D58AF" w:rsidRPr="00AE6A85">
        <w:rPr>
          <w:rFonts w:eastAsia="Calibri"/>
          <w:lang w:eastAsia="en-US"/>
        </w:rPr>
        <w:t xml:space="preserve"> </w:t>
      </w:r>
      <w:r w:rsidR="00497B75" w:rsidRPr="00AE6A85">
        <w:rPr>
          <w:rFonts w:eastAsia="Calibri"/>
          <w:lang w:eastAsia="en-US"/>
        </w:rPr>
        <w:br/>
      </w:r>
      <w:r w:rsidR="005D58AF" w:rsidRPr="00AE6A85">
        <w:rPr>
          <w:rFonts w:eastAsia="Calibri"/>
          <w:lang w:eastAsia="en-US"/>
        </w:rPr>
        <w:t>Bricanyl</w:t>
      </w:r>
      <w:r w:rsidR="00F86F3D" w:rsidRPr="00AE6A85">
        <w:t>®</w:t>
      </w:r>
      <w:r w:rsidR="00156BBC" w:rsidRPr="00AE6A85">
        <w:rPr>
          <w:rFonts w:eastAsia="Calibri"/>
          <w:lang w:eastAsia="en-US"/>
        </w:rPr>
        <w:t xml:space="preserve"> M3 Turbuhaler,</w:t>
      </w:r>
      <w:r w:rsidR="00156BBC" w:rsidRPr="00AE6A85">
        <w:rPr>
          <w:rFonts w:eastAsia="Calibri"/>
          <w:lang w:eastAsia="en-US"/>
        </w:rPr>
        <w:br/>
      </w:r>
      <w:r w:rsidR="005D58AF" w:rsidRPr="00AE6A85">
        <w:rPr>
          <w:rFonts w:eastAsia="Calibri"/>
          <w:lang w:eastAsia="en-US"/>
        </w:rPr>
        <w:t>AstraZeneca Pty Ltd</w:t>
      </w:r>
    </w:p>
    <w:p w:rsidR="008A50F1" w:rsidRPr="00AE6A85" w:rsidRDefault="00CE10C4" w:rsidP="008F0213">
      <w:pPr>
        <w:pStyle w:val="2-SectionHeading"/>
      </w:pPr>
      <w:r w:rsidRPr="00AE6A85">
        <w:t xml:space="preserve">Purpose of </w:t>
      </w:r>
      <w:r w:rsidR="0004240E" w:rsidRPr="00AE6A85">
        <w:t>Application</w:t>
      </w:r>
      <w:r w:rsidR="00034905" w:rsidRPr="00AE6A85">
        <w:t xml:space="preserve"> </w:t>
      </w:r>
    </w:p>
    <w:p w:rsidR="005D58AF" w:rsidRPr="00AE6A85" w:rsidRDefault="00EF44A0" w:rsidP="00F55878">
      <w:pPr>
        <w:pStyle w:val="3Bodytext"/>
        <w:jc w:val="both"/>
      </w:pPr>
      <w:r w:rsidRPr="00AE6A85">
        <w:t xml:space="preserve">The </w:t>
      </w:r>
      <w:r w:rsidR="00DB63C4" w:rsidRPr="00AE6A85">
        <w:t>committee secretariat</w:t>
      </w:r>
      <w:r w:rsidR="00F55878" w:rsidRPr="00AE6A85">
        <w:t xml:space="preserve"> submission</w:t>
      </w:r>
      <w:r w:rsidR="00DB63C4" w:rsidRPr="00AE6A85">
        <w:t xml:space="preserve"> </w:t>
      </w:r>
      <w:r w:rsidR="00FF2801" w:rsidRPr="00AE6A85">
        <w:t>requeste</w:t>
      </w:r>
      <w:r w:rsidR="005D58AF" w:rsidRPr="00AE6A85">
        <w:t xml:space="preserve">d </w:t>
      </w:r>
      <w:r w:rsidR="006752D8" w:rsidRPr="00AE6A85">
        <w:t xml:space="preserve">Authority Required (STREAMLINED) </w:t>
      </w:r>
      <w:r w:rsidRPr="00AE6A85">
        <w:t>listing</w:t>
      </w:r>
      <w:r w:rsidR="005D58AF" w:rsidRPr="00AE6A85">
        <w:t xml:space="preserve"> </w:t>
      </w:r>
      <w:r w:rsidR="006752D8" w:rsidRPr="00AE6A85">
        <w:t xml:space="preserve">of a new inhaler device </w:t>
      </w:r>
      <w:r w:rsidR="00C30E5A" w:rsidRPr="00AE6A85">
        <w:t xml:space="preserve">Bricanyl® M3 Turbuhaler </w:t>
      </w:r>
      <w:r w:rsidR="006752D8" w:rsidRPr="00AE6A85">
        <w:t>(</w:t>
      </w:r>
      <w:r w:rsidR="009C52E6" w:rsidRPr="00AE6A85">
        <w:t xml:space="preserve">referred to as </w:t>
      </w:r>
      <w:r w:rsidR="005D58AF" w:rsidRPr="00AE6A85">
        <w:t>M3 Turbuhaler</w:t>
      </w:r>
      <w:r w:rsidR="009C52E6" w:rsidRPr="00AE6A85">
        <w:t xml:space="preserve"> from herein</w:t>
      </w:r>
      <w:r w:rsidR="006752D8" w:rsidRPr="00AE6A85">
        <w:t xml:space="preserve">) under </w:t>
      </w:r>
      <w:r w:rsidR="005D58AF" w:rsidRPr="00AE6A85">
        <w:t xml:space="preserve">the same eligibility criteria as the </w:t>
      </w:r>
      <w:r w:rsidR="006752D8" w:rsidRPr="00AE6A85">
        <w:t>current inhaler presentation</w:t>
      </w:r>
      <w:r w:rsidR="005D58AF" w:rsidRPr="00AE6A85">
        <w:t xml:space="preserve"> </w:t>
      </w:r>
      <w:r w:rsidR="00C30E5A" w:rsidRPr="00AE6A85">
        <w:t xml:space="preserve">Bricanyl® M2 Turbuhaler </w:t>
      </w:r>
      <w:r w:rsidR="006752D8" w:rsidRPr="00AE6A85">
        <w:t>(</w:t>
      </w:r>
      <w:r w:rsidR="00B53E1A" w:rsidRPr="00AE6A85">
        <w:t xml:space="preserve">referred to as </w:t>
      </w:r>
      <w:r w:rsidR="005D58AF" w:rsidRPr="00AE6A85">
        <w:t>M2 Turbuhaler</w:t>
      </w:r>
      <w:r w:rsidR="00B53E1A" w:rsidRPr="00AE6A85">
        <w:t xml:space="preserve"> from herein</w:t>
      </w:r>
      <w:r w:rsidR="006752D8" w:rsidRPr="00AE6A85">
        <w:t>)</w:t>
      </w:r>
      <w:r w:rsidR="005D58AF" w:rsidRPr="00AE6A85">
        <w:t xml:space="preserve">. </w:t>
      </w:r>
    </w:p>
    <w:p w:rsidR="005F5655" w:rsidRPr="00AE6A85" w:rsidRDefault="005F5655">
      <w:pPr>
        <w:pStyle w:val="2-SectionHeading"/>
      </w:pPr>
      <w:r w:rsidRPr="00AE6A85">
        <w:t>Background</w:t>
      </w:r>
    </w:p>
    <w:p w:rsidR="005F5655" w:rsidRPr="00AE6A85" w:rsidRDefault="005F5655" w:rsidP="00F55878">
      <w:pPr>
        <w:pStyle w:val="3Bodytext"/>
        <w:jc w:val="both"/>
        <w:rPr>
          <w:rStyle w:val="form-strength"/>
          <w:rFonts w:cstheme="minorHAnsi"/>
          <w:szCs w:val="24"/>
        </w:rPr>
      </w:pPr>
      <w:r w:rsidRPr="00AE6A85">
        <w:rPr>
          <w:rStyle w:val="form-strength"/>
          <w:rFonts w:cstheme="minorHAnsi"/>
          <w:szCs w:val="24"/>
        </w:rPr>
        <w:t xml:space="preserve">The Turbuhaler device is an inspiratory flow-driven, multi-dose, dry-powder inhaler which dispenses a small dose of dry powder when the patient inhales through the mouthpiece. </w:t>
      </w:r>
    </w:p>
    <w:p w:rsidR="005F5655" w:rsidRPr="00AE6A85" w:rsidRDefault="005F5655" w:rsidP="00F55878">
      <w:pPr>
        <w:pStyle w:val="3Bodytext"/>
        <w:jc w:val="both"/>
        <w:rPr>
          <w:rStyle w:val="form-strength"/>
          <w:rFonts w:cstheme="minorHAnsi"/>
          <w:szCs w:val="24"/>
        </w:rPr>
      </w:pPr>
      <w:r w:rsidRPr="00AE6A85">
        <w:rPr>
          <w:rStyle w:val="form-strength"/>
          <w:rFonts w:cstheme="minorHAnsi"/>
          <w:szCs w:val="24"/>
        </w:rPr>
        <w:t xml:space="preserve">The </w:t>
      </w:r>
      <w:r w:rsidR="004D0694" w:rsidRPr="00AE6A85">
        <w:rPr>
          <w:rStyle w:val="form-strength"/>
          <w:rFonts w:cstheme="minorHAnsi"/>
          <w:szCs w:val="24"/>
        </w:rPr>
        <w:t>submission state</w:t>
      </w:r>
      <w:r w:rsidR="009B5A5D" w:rsidRPr="00AE6A85">
        <w:rPr>
          <w:rStyle w:val="form-strength"/>
          <w:rFonts w:cstheme="minorHAnsi"/>
          <w:szCs w:val="24"/>
        </w:rPr>
        <w:t>d</w:t>
      </w:r>
      <w:r w:rsidR="004D0694" w:rsidRPr="00AE6A85">
        <w:rPr>
          <w:rStyle w:val="form-strength"/>
          <w:rFonts w:cstheme="minorHAnsi"/>
          <w:szCs w:val="24"/>
        </w:rPr>
        <w:t xml:space="preserve"> that the</w:t>
      </w:r>
      <w:r w:rsidR="001F0216" w:rsidRPr="00AE6A85">
        <w:rPr>
          <w:rStyle w:val="form-strength"/>
          <w:rFonts w:cstheme="minorHAnsi"/>
          <w:szCs w:val="24"/>
        </w:rPr>
        <w:t xml:space="preserve"> M2</w:t>
      </w:r>
      <w:r w:rsidR="004D0694" w:rsidRPr="00AE6A85">
        <w:rPr>
          <w:rStyle w:val="form-strength"/>
          <w:rFonts w:cstheme="minorHAnsi"/>
          <w:szCs w:val="24"/>
        </w:rPr>
        <w:t xml:space="preserve"> </w:t>
      </w:r>
      <w:r w:rsidR="009B5A5D" w:rsidRPr="00AE6A85">
        <w:rPr>
          <w:rStyle w:val="form-strength"/>
          <w:rFonts w:cstheme="minorHAnsi"/>
          <w:szCs w:val="24"/>
        </w:rPr>
        <w:t>T</w:t>
      </w:r>
      <w:r w:rsidR="00C42C3B" w:rsidRPr="00AE6A85">
        <w:rPr>
          <w:rStyle w:val="form-strength"/>
          <w:rFonts w:cstheme="minorHAnsi"/>
          <w:szCs w:val="24"/>
        </w:rPr>
        <w:t>u</w:t>
      </w:r>
      <w:r w:rsidR="009B5A5D" w:rsidRPr="00AE6A85">
        <w:rPr>
          <w:rStyle w:val="form-strength"/>
          <w:rFonts w:cstheme="minorHAnsi"/>
          <w:szCs w:val="24"/>
        </w:rPr>
        <w:t xml:space="preserve">rbuhaler </w:t>
      </w:r>
      <w:r w:rsidRPr="00AE6A85">
        <w:rPr>
          <w:rStyle w:val="form-strength"/>
          <w:rFonts w:cstheme="minorHAnsi"/>
          <w:szCs w:val="24"/>
        </w:rPr>
        <w:t xml:space="preserve">device </w:t>
      </w:r>
      <w:r w:rsidR="009B5A5D" w:rsidRPr="00AE6A85">
        <w:rPr>
          <w:rStyle w:val="form-strength"/>
          <w:rFonts w:cstheme="minorHAnsi"/>
          <w:szCs w:val="24"/>
        </w:rPr>
        <w:t xml:space="preserve">was </w:t>
      </w:r>
      <w:r w:rsidRPr="00AE6A85">
        <w:rPr>
          <w:rStyle w:val="form-strength"/>
          <w:rFonts w:cstheme="minorHAnsi"/>
          <w:szCs w:val="24"/>
        </w:rPr>
        <w:t>update</w:t>
      </w:r>
      <w:r w:rsidR="009B5A5D" w:rsidRPr="00AE6A85">
        <w:rPr>
          <w:rStyle w:val="form-strength"/>
          <w:rFonts w:cstheme="minorHAnsi"/>
          <w:szCs w:val="24"/>
        </w:rPr>
        <w:t>d</w:t>
      </w:r>
      <w:r w:rsidRPr="00AE6A85">
        <w:rPr>
          <w:rStyle w:val="form-strength"/>
          <w:rFonts w:cstheme="minorHAnsi"/>
          <w:szCs w:val="24"/>
        </w:rPr>
        <w:t xml:space="preserve"> follow</w:t>
      </w:r>
      <w:r w:rsidR="009B5A5D" w:rsidRPr="00AE6A85">
        <w:rPr>
          <w:rStyle w:val="form-strength"/>
          <w:rFonts w:cstheme="minorHAnsi"/>
          <w:szCs w:val="24"/>
        </w:rPr>
        <w:t>ing</w:t>
      </w:r>
      <w:r w:rsidRPr="00AE6A85">
        <w:rPr>
          <w:rStyle w:val="form-strength"/>
          <w:rFonts w:cstheme="minorHAnsi"/>
          <w:szCs w:val="24"/>
        </w:rPr>
        <w:t xml:space="preserve"> a recommendation</w:t>
      </w:r>
      <w:r w:rsidRPr="00AE6A85">
        <w:t xml:space="preserve"> from the </w:t>
      </w:r>
      <w:r w:rsidRPr="00AE6A85">
        <w:rPr>
          <w:rStyle w:val="form-strength"/>
          <w:rFonts w:cstheme="minorHAnsi"/>
          <w:szCs w:val="24"/>
        </w:rPr>
        <w:t>European Medicines Agency (EMA) Pharmacovigilance Working Party (PhVWP)</w:t>
      </w:r>
      <w:r w:rsidR="00C42C3B" w:rsidRPr="00AE6A85">
        <w:rPr>
          <w:rStyle w:val="form-strength"/>
          <w:rFonts w:cstheme="minorHAnsi"/>
          <w:szCs w:val="24"/>
        </w:rPr>
        <w:t xml:space="preserve"> in April 2011</w:t>
      </w:r>
      <w:r w:rsidRPr="00AE6A85">
        <w:rPr>
          <w:rStyle w:val="form-strength"/>
          <w:rFonts w:cstheme="minorHAnsi"/>
          <w:szCs w:val="24"/>
        </w:rPr>
        <w:t xml:space="preserve"> to mitigate the potential risk of excessive dose delivery if the device is dropped at the end of inhaler life.</w:t>
      </w:r>
      <w:r w:rsidR="00C42C3B" w:rsidRPr="00AE6A85">
        <w:rPr>
          <w:rStyle w:val="form-strength"/>
          <w:rFonts w:cstheme="minorHAnsi"/>
          <w:szCs w:val="24"/>
        </w:rPr>
        <w:t xml:space="preserve"> The report recommended a stop to the availability of the Bricanyl</w:t>
      </w:r>
      <w:r w:rsidR="0027244D" w:rsidRPr="00AE6A85">
        <w:rPr>
          <w:rStyle w:val="form-strength"/>
          <w:rFonts w:cstheme="minorHAnsi"/>
          <w:szCs w:val="24"/>
        </w:rPr>
        <w:t>®</w:t>
      </w:r>
      <w:r w:rsidR="00C42C3B" w:rsidRPr="00AE6A85">
        <w:rPr>
          <w:rStyle w:val="form-strength"/>
          <w:rFonts w:cstheme="minorHAnsi"/>
          <w:szCs w:val="24"/>
        </w:rPr>
        <w:t xml:space="preserve"> Turbuhaler 200 actuations and supported using only a pack size of 100 actuations</w:t>
      </w:r>
      <w:r w:rsidR="006929D5" w:rsidRPr="00AE6A85">
        <w:rPr>
          <w:rStyle w:val="form-strength"/>
          <w:rFonts w:cstheme="minorHAnsi"/>
          <w:szCs w:val="24"/>
        </w:rPr>
        <w:t xml:space="preserve"> (EMA PhVWP April 2011 plenary meeting monthly report</w:t>
      </w:r>
      <w:r w:rsidR="00BA443D" w:rsidRPr="00AE6A85">
        <w:rPr>
          <w:rStyle w:val="form-strength"/>
          <w:rFonts w:cstheme="minorHAnsi"/>
          <w:szCs w:val="24"/>
        </w:rPr>
        <w:t>, p4</w:t>
      </w:r>
      <w:r w:rsidR="006929D5" w:rsidRPr="00AE6A85">
        <w:rPr>
          <w:rStyle w:val="form-strength"/>
          <w:rFonts w:cstheme="minorHAnsi"/>
          <w:szCs w:val="24"/>
        </w:rPr>
        <w:t>)</w:t>
      </w:r>
      <w:r w:rsidR="00C42C3B" w:rsidRPr="00AE6A85">
        <w:rPr>
          <w:rStyle w:val="form-strength"/>
          <w:rFonts w:cstheme="minorHAnsi"/>
          <w:szCs w:val="24"/>
        </w:rPr>
        <w:t>.</w:t>
      </w:r>
      <w:r w:rsidR="00C42C3B" w:rsidRPr="00AE6A85">
        <w:rPr>
          <w:rStyle w:val="form-strength"/>
          <w:rFonts w:cstheme="minorHAnsi"/>
          <w:i/>
          <w:szCs w:val="24"/>
        </w:rPr>
        <w:t xml:space="preserve"> </w:t>
      </w:r>
      <w:r w:rsidR="00C42C3B" w:rsidRPr="00AE6A85">
        <w:rPr>
          <w:rStyle w:val="form-strength"/>
          <w:rFonts w:cstheme="minorHAnsi"/>
          <w:szCs w:val="24"/>
        </w:rPr>
        <w:t>The submission consider</w:t>
      </w:r>
      <w:r w:rsidR="006E457A" w:rsidRPr="00AE6A85">
        <w:rPr>
          <w:rStyle w:val="form-strength"/>
          <w:rFonts w:cstheme="minorHAnsi"/>
          <w:szCs w:val="24"/>
        </w:rPr>
        <w:t>ed</w:t>
      </w:r>
      <w:r w:rsidR="00C42C3B" w:rsidRPr="00AE6A85">
        <w:rPr>
          <w:rStyle w:val="form-strength"/>
          <w:rFonts w:cstheme="minorHAnsi"/>
          <w:szCs w:val="24"/>
        </w:rPr>
        <w:t xml:space="preserve"> t</w:t>
      </w:r>
      <w:r w:rsidRPr="00AE6A85">
        <w:rPr>
          <w:rStyle w:val="form-strength"/>
          <w:rFonts w:cstheme="minorHAnsi"/>
          <w:szCs w:val="24"/>
        </w:rPr>
        <w:t xml:space="preserve">he </w:t>
      </w:r>
      <w:r w:rsidR="00166B72" w:rsidRPr="00AE6A85">
        <w:rPr>
          <w:rStyle w:val="form-strength"/>
          <w:rFonts w:cstheme="minorHAnsi"/>
          <w:szCs w:val="24"/>
        </w:rPr>
        <w:t xml:space="preserve">M3 </w:t>
      </w:r>
      <w:r w:rsidRPr="00AE6A85">
        <w:rPr>
          <w:rStyle w:val="form-strength"/>
          <w:rFonts w:cstheme="minorHAnsi"/>
          <w:szCs w:val="24"/>
        </w:rPr>
        <w:t>Turb</w:t>
      </w:r>
      <w:r w:rsidR="00C42C3B" w:rsidRPr="00AE6A85">
        <w:rPr>
          <w:rStyle w:val="form-strength"/>
          <w:rFonts w:cstheme="minorHAnsi"/>
          <w:szCs w:val="24"/>
        </w:rPr>
        <w:t xml:space="preserve">uhaler </w:t>
      </w:r>
      <w:r w:rsidR="00775D6F" w:rsidRPr="00AE6A85">
        <w:rPr>
          <w:rStyle w:val="form-strength"/>
          <w:rFonts w:cstheme="minorHAnsi"/>
          <w:szCs w:val="24"/>
        </w:rPr>
        <w:t>(120 actuations)</w:t>
      </w:r>
      <w:r w:rsidR="00C42C3B" w:rsidRPr="00AE6A85">
        <w:rPr>
          <w:rStyle w:val="form-strength"/>
          <w:rFonts w:cstheme="minorHAnsi"/>
          <w:szCs w:val="24"/>
        </w:rPr>
        <w:t xml:space="preserve"> </w:t>
      </w:r>
      <w:r w:rsidRPr="00AE6A85">
        <w:rPr>
          <w:rStyle w:val="form-strength"/>
          <w:rFonts w:cstheme="minorHAnsi"/>
          <w:szCs w:val="24"/>
        </w:rPr>
        <w:t xml:space="preserve">a technical improvement over the M2 </w:t>
      </w:r>
      <w:r w:rsidR="00166B72" w:rsidRPr="00AE6A85">
        <w:rPr>
          <w:rStyle w:val="form-strength"/>
          <w:rFonts w:cstheme="minorHAnsi"/>
          <w:szCs w:val="24"/>
        </w:rPr>
        <w:t>Turbuhaler</w:t>
      </w:r>
      <w:r w:rsidR="0062108D" w:rsidRPr="00AE6A85">
        <w:rPr>
          <w:rStyle w:val="form-strength"/>
          <w:rFonts w:cstheme="minorHAnsi"/>
          <w:szCs w:val="24"/>
        </w:rPr>
        <w:t xml:space="preserve"> with improved robustness and more accurate dose indicator</w:t>
      </w:r>
      <w:r w:rsidR="00912937" w:rsidRPr="00AE6A85">
        <w:rPr>
          <w:rStyle w:val="form-strength"/>
          <w:rFonts w:cstheme="minorHAnsi"/>
          <w:szCs w:val="24"/>
        </w:rPr>
        <w:t xml:space="preserve">. </w:t>
      </w:r>
    </w:p>
    <w:p w:rsidR="00DA0240" w:rsidRPr="00AE6A85" w:rsidRDefault="00DA0240" w:rsidP="00DA0240">
      <w:pPr>
        <w:pStyle w:val="4-SubsectionHeading"/>
      </w:pPr>
      <w:r w:rsidRPr="00AE6A85">
        <w:t xml:space="preserve">Previous PBAC consideration </w:t>
      </w:r>
    </w:p>
    <w:p w:rsidR="005F5655" w:rsidRPr="00AE6A85" w:rsidRDefault="000A4798" w:rsidP="00A9314A">
      <w:pPr>
        <w:pStyle w:val="3Bodytext"/>
        <w:rPr>
          <w:lang w:eastAsia="en-US"/>
        </w:rPr>
      </w:pPr>
      <w:r w:rsidRPr="00AE6A85">
        <w:t>Terbutaline powder for oral inhalation</w:t>
      </w:r>
      <w:r w:rsidR="00DA0240" w:rsidRPr="00AE6A85">
        <w:t xml:space="preserve"> was previously consi</w:t>
      </w:r>
      <w:r w:rsidRPr="00AE6A85">
        <w:t>dered by the PBAC at its July 2019</w:t>
      </w:r>
      <w:r w:rsidR="00DA0240" w:rsidRPr="00AE6A85">
        <w:t xml:space="preserve"> </w:t>
      </w:r>
      <w:r w:rsidR="00AB7500" w:rsidRPr="00AE6A85">
        <w:t xml:space="preserve">meeting. </w:t>
      </w:r>
      <w:r w:rsidR="005F5655" w:rsidRPr="00AE6A85">
        <w:rPr>
          <w:lang w:eastAsia="en-US"/>
        </w:rPr>
        <w:t xml:space="preserve">A summary of </w:t>
      </w:r>
      <w:r w:rsidR="00F86F3D" w:rsidRPr="00AE6A85">
        <w:rPr>
          <w:lang w:eastAsia="en-US"/>
        </w:rPr>
        <w:t xml:space="preserve">the previous </w:t>
      </w:r>
      <w:r w:rsidR="005F5655" w:rsidRPr="00AE6A85">
        <w:rPr>
          <w:lang w:eastAsia="en-US"/>
        </w:rPr>
        <w:t>PBAC consideration</w:t>
      </w:r>
      <w:r w:rsidR="00F86F3D" w:rsidRPr="00AE6A85">
        <w:rPr>
          <w:lang w:eastAsia="en-US"/>
        </w:rPr>
        <w:t xml:space="preserve"> </w:t>
      </w:r>
      <w:r w:rsidR="005F5655" w:rsidRPr="00AE6A85">
        <w:rPr>
          <w:lang w:eastAsia="en-US"/>
        </w:rPr>
        <w:t>is provided below.</w:t>
      </w:r>
    </w:p>
    <w:p w:rsidR="005F5655" w:rsidRPr="00AE6A85" w:rsidRDefault="000B2F58" w:rsidP="005F5655">
      <w:pPr>
        <w:pStyle w:val="Tabletitles"/>
        <w:keepNext/>
      </w:pPr>
      <w:r w:rsidRPr="00AE6A85">
        <w:rPr>
          <w:rFonts w:eastAsiaTheme="majorEastAsia"/>
        </w:rPr>
        <w:lastRenderedPageBreak/>
        <w:t xml:space="preserve">Table </w:t>
      </w:r>
      <w:r w:rsidR="005F5655" w:rsidRPr="00AE6A85">
        <w:rPr>
          <w:rFonts w:eastAsiaTheme="majorEastAsia"/>
        </w:rPr>
        <w:t xml:space="preserve">1: </w:t>
      </w:r>
      <w:r w:rsidR="005F5655" w:rsidRPr="00AE6A85">
        <w:t>Previous PBAC considerations</w:t>
      </w:r>
    </w:p>
    <w:tbl>
      <w:tblPr>
        <w:tblStyle w:val="TableGrid"/>
        <w:tblW w:w="5000" w:type="pct"/>
        <w:tblLook w:val="04A0" w:firstRow="1" w:lastRow="0" w:firstColumn="1" w:lastColumn="0" w:noHBand="0" w:noVBand="1"/>
        <w:tblCaption w:val="Table 1"/>
      </w:tblPr>
      <w:tblGrid>
        <w:gridCol w:w="1418"/>
        <w:gridCol w:w="2975"/>
        <w:gridCol w:w="1576"/>
        <w:gridCol w:w="3047"/>
      </w:tblGrid>
      <w:tr w:rsidR="005F5655" w:rsidRPr="00AE6A85" w:rsidTr="00945773">
        <w:trPr>
          <w:tblHeader/>
        </w:trPr>
        <w:tc>
          <w:tcPr>
            <w:tcW w:w="786" w:type="pct"/>
          </w:tcPr>
          <w:p w:rsidR="005F5655" w:rsidRPr="00AE6A85" w:rsidRDefault="005F5655" w:rsidP="006752D8">
            <w:pPr>
              <w:pStyle w:val="TableText0"/>
              <w:rPr>
                <w:b/>
              </w:rPr>
            </w:pPr>
            <w:r w:rsidRPr="00AE6A85">
              <w:rPr>
                <w:b/>
              </w:rPr>
              <w:t>Meeting date</w:t>
            </w:r>
          </w:p>
        </w:tc>
        <w:tc>
          <w:tcPr>
            <w:tcW w:w="1650" w:type="pct"/>
          </w:tcPr>
          <w:p w:rsidR="005F5655" w:rsidRPr="00AE6A85" w:rsidRDefault="005F5655" w:rsidP="006752D8">
            <w:pPr>
              <w:pStyle w:val="TableText0"/>
              <w:rPr>
                <w:b/>
              </w:rPr>
            </w:pPr>
            <w:r w:rsidRPr="00AE6A85">
              <w:rPr>
                <w:b/>
              </w:rPr>
              <w:t>Request</w:t>
            </w:r>
          </w:p>
        </w:tc>
        <w:tc>
          <w:tcPr>
            <w:tcW w:w="874" w:type="pct"/>
          </w:tcPr>
          <w:p w:rsidR="005F5655" w:rsidRPr="00AE6A85" w:rsidRDefault="005F5655" w:rsidP="006752D8">
            <w:pPr>
              <w:pStyle w:val="TableText0"/>
              <w:rPr>
                <w:b/>
              </w:rPr>
            </w:pPr>
            <w:r w:rsidRPr="00AE6A85">
              <w:rPr>
                <w:b/>
              </w:rPr>
              <w:t>Outcome</w:t>
            </w:r>
          </w:p>
        </w:tc>
        <w:tc>
          <w:tcPr>
            <w:tcW w:w="1690" w:type="pct"/>
          </w:tcPr>
          <w:p w:rsidR="005F5655" w:rsidRPr="00AE6A85" w:rsidRDefault="005F5655" w:rsidP="006752D8">
            <w:pPr>
              <w:pStyle w:val="TableText0"/>
              <w:rPr>
                <w:b/>
              </w:rPr>
            </w:pPr>
            <w:r w:rsidRPr="00AE6A85">
              <w:rPr>
                <w:b/>
              </w:rPr>
              <w:t>Detail</w:t>
            </w:r>
          </w:p>
        </w:tc>
      </w:tr>
      <w:tr w:rsidR="005F5655" w:rsidRPr="00AE6A85" w:rsidTr="0070585F">
        <w:tc>
          <w:tcPr>
            <w:tcW w:w="786" w:type="pct"/>
          </w:tcPr>
          <w:p w:rsidR="005F5655" w:rsidRPr="00AE6A85" w:rsidRDefault="005F5655" w:rsidP="006752D8">
            <w:pPr>
              <w:pStyle w:val="TableText0"/>
              <w:rPr>
                <w:rFonts w:cs="Arial"/>
                <w:szCs w:val="20"/>
              </w:rPr>
            </w:pPr>
            <w:r w:rsidRPr="00AE6A85">
              <w:rPr>
                <w:rFonts w:cs="Arial"/>
                <w:szCs w:val="20"/>
              </w:rPr>
              <w:t>July 2019</w:t>
            </w:r>
          </w:p>
        </w:tc>
        <w:tc>
          <w:tcPr>
            <w:tcW w:w="1650" w:type="pct"/>
          </w:tcPr>
          <w:p w:rsidR="000E211F" w:rsidRPr="00AE6A85" w:rsidRDefault="000E211F" w:rsidP="00EE5084">
            <w:pPr>
              <w:pStyle w:val="TableText0"/>
              <w:numPr>
                <w:ilvl w:val="0"/>
                <w:numId w:val="10"/>
              </w:numPr>
              <w:rPr>
                <w:rFonts w:cs="Arial"/>
                <w:szCs w:val="20"/>
              </w:rPr>
            </w:pPr>
            <w:r w:rsidRPr="00AE6A85">
              <w:rPr>
                <w:rFonts w:cs="Arial"/>
                <w:szCs w:val="20"/>
              </w:rPr>
              <w:t>Sponsor requested a price increase from AEMP $3.75 to $6.82 on the basis of commercial viability.</w:t>
            </w:r>
          </w:p>
          <w:p w:rsidR="005F5655" w:rsidRPr="00AE6A85" w:rsidRDefault="00691E08" w:rsidP="00EE5084">
            <w:pPr>
              <w:pStyle w:val="TableText0"/>
              <w:numPr>
                <w:ilvl w:val="0"/>
                <w:numId w:val="10"/>
              </w:numPr>
              <w:rPr>
                <w:rFonts w:cs="Arial"/>
                <w:szCs w:val="20"/>
              </w:rPr>
            </w:pPr>
            <w:r w:rsidRPr="00AE6A85">
              <w:rPr>
                <w:rFonts w:cs="Arial"/>
                <w:szCs w:val="20"/>
              </w:rPr>
              <w:t xml:space="preserve">PBAC </w:t>
            </w:r>
            <w:r w:rsidR="006C7E5F" w:rsidRPr="00AE6A85">
              <w:rPr>
                <w:rFonts w:cs="Arial"/>
                <w:szCs w:val="20"/>
              </w:rPr>
              <w:t xml:space="preserve">was </w:t>
            </w:r>
            <w:r w:rsidRPr="00AE6A85">
              <w:rPr>
                <w:rFonts w:cs="Arial"/>
                <w:szCs w:val="20"/>
              </w:rPr>
              <w:t>requested to consider w</w:t>
            </w:r>
            <w:r w:rsidR="005F5655" w:rsidRPr="00AE6A85">
              <w:rPr>
                <w:rFonts w:cs="Arial"/>
                <w:szCs w:val="20"/>
              </w:rPr>
              <w:t>hether terbutaline should be retained on the PBS and to</w:t>
            </w:r>
            <w:r w:rsidRPr="00AE6A85">
              <w:rPr>
                <w:rFonts w:cs="Arial"/>
                <w:szCs w:val="20"/>
              </w:rPr>
              <w:t xml:space="preserve"> advise</w:t>
            </w:r>
            <w:r w:rsidR="005F5655" w:rsidRPr="00AE6A85">
              <w:rPr>
                <w:rFonts w:cs="Arial"/>
                <w:szCs w:val="20"/>
              </w:rPr>
              <w:t xml:space="preserve"> the </w:t>
            </w:r>
            <w:r w:rsidRPr="00AE6A85">
              <w:rPr>
                <w:rFonts w:cs="Arial"/>
                <w:szCs w:val="20"/>
              </w:rPr>
              <w:t xml:space="preserve">eligible </w:t>
            </w:r>
            <w:r w:rsidR="005F5655" w:rsidRPr="00AE6A85">
              <w:rPr>
                <w:rFonts w:cs="Arial"/>
                <w:szCs w:val="20"/>
              </w:rPr>
              <w:t>patient population</w:t>
            </w:r>
            <w:r w:rsidR="008B78B8" w:rsidRPr="00AE6A85">
              <w:rPr>
                <w:rFonts w:cs="Arial"/>
                <w:szCs w:val="20"/>
              </w:rPr>
              <w:t>.</w:t>
            </w:r>
          </w:p>
        </w:tc>
        <w:tc>
          <w:tcPr>
            <w:tcW w:w="874" w:type="pct"/>
          </w:tcPr>
          <w:p w:rsidR="005F5655" w:rsidRPr="00AE6A85" w:rsidRDefault="005F5655" w:rsidP="006752D8">
            <w:pPr>
              <w:pStyle w:val="TableText0"/>
              <w:rPr>
                <w:rFonts w:cs="Arial"/>
                <w:szCs w:val="20"/>
              </w:rPr>
            </w:pPr>
            <w:r w:rsidRPr="00AE6A85">
              <w:rPr>
                <w:rFonts w:cs="Arial"/>
                <w:szCs w:val="20"/>
              </w:rPr>
              <w:t>Recommended</w:t>
            </w:r>
          </w:p>
        </w:tc>
        <w:tc>
          <w:tcPr>
            <w:tcW w:w="1690" w:type="pct"/>
          </w:tcPr>
          <w:p w:rsidR="005F5655" w:rsidRPr="00AE6A85" w:rsidRDefault="005F5655" w:rsidP="006752D8">
            <w:pPr>
              <w:pStyle w:val="TableText0"/>
            </w:pPr>
            <w:r w:rsidRPr="00AE6A85">
              <w:rPr>
                <w:rFonts w:cs="Arial"/>
                <w:szCs w:val="20"/>
              </w:rPr>
              <w:t>Terbutaline powder for oral inhalation to be retained for the following patient groups:</w:t>
            </w:r>
            <w:r w:rsidRPr="00AE6A85">
              <w:t xml:space="preserve"> </w:t>
            </w:r>
          </w:p>
          <w:p w:rsidR="005F5655" w:rsidRPr="00AE6A85" w:rsidRDefault="005F5655" w:rsidP="006752D8">
            <w:pPr>
              <w:pStyle w:val="TableText0"/>
              <w:rPr>
                <w:rFonts w:cs="Arial"/>
                <w:szCs w:val="20"/>
              </w:rPr>
            </w:pPr>
            <w:r w:rsidRPr="00AE6A85">
              <w:rPr>
                <w:rFonts w:cs="Arial"/>
                <w:szCs w:val="20"/>
              </w:rPr>
              <w:t>• Patients unable to use a pMDI;</w:t>
            </w:r>
          </w:p>
          <w:p w:rsidR="005F5655" w:rsidRPr="00AE6A85" w:rsidRDefault="005F5655" w:rsidP="006752D8">
            <w:pPr>
              <w:pStyle w:val="TableText0"/>
              <w:rPr>
                <w:rFonts w:cs="Arial"/>
                <w:szCs w:val="20"/>
              </w:rPr>
            </w:pPr>
            <w:r w:rsidRPr="00AE6A85">
              <w:rPr>
                <w:rFonts w:cs="Arial"/>
                <w:szCs w:val="20"/>
              </w:rPr>
              <w:t>• Patients who suffer from adverse effects with the use of salbutamol; and</w:t>
            </w:r>
          </w:p>
          <w:p w:rsidR="005F5655" w:rsidRPr="00AE6A85" w:rsidRDefault="005F5655" w:rsidP="006752D8">
            <w:pPr>
              <w:pStyle w:val="TableText0"/>
              <w:rPr>
                <w:rFonts w:cs="Arial"/>
                <w:szCs w:val="20"/>
              </w:rPr>
            </w:pPr>
            <w:r w:rsidRPr="00AE6A85">
              <w:rPr>
                <w:rFonts w:cs="Arial"/>
                <w:szCs w:val="20"/>
              </w:rPr>
              <w:t>• Patients who experience paradoxical bronchoconstriction with pMDI.</w:t>
            </w:r>
          </w:p>
          <w:p w:rsidR="00FD2402" w:rsidRPr="00AE6A85" w:rsidRDefault="00FD2402" w:rsidP="006752D8">
            <w:pPr>
              <w:pStyle w:val="TableText0"/>
              <w:rPr>
                <w:rFonts w:cs="Arial"/>
                <w:szCs w:val="20"/>
              </w:rPr>
            </w:pPr>
          </w:p>
          <w:p w:rsidR="005F5655" w:rsidRPr="00AE6A85" w:rsidRDefault="005F5655" w:rsidP="006752D8">
            <w:pPr>
              <w:pStyle w:val="TableText0"/>
              <w:rPr>
                <w:rFonts w:cs="Arial"/>
                <w:szCs w:val="20"/>
              </w:rPr>
            </w:pPr>
            <w:r w:rsidRPr="00AE6A85">
              <w:rPr>
                <w:rFonts w:cs="Arial"/>
                <w:szCs w:val="20"/>
              </w:rPr>
              <w:t>The benefit listing be amended</w:t>
            </w:r>
            <w:r w:rsidR="00584308" w:rsidRPr="00AE6A85">
              <w:rPr>
                <w:rFonts w:cs="Arial"/>
                <w:szCs w:val="20"/>
              </w:rPr>
              <w:t xml:space="preserve"> from unrestricted</w:t>
            </w:r>
            <w:r w:rsidRPr="00AE6A85">
              <w:rPr>
                <w:rFonts w:cs="Arial"/>
                <w:szCs w:val="20"/>
              </w:rPr>
              <w:t xml:space="preserve"> to Authority Required (STREAMLINED)</w:t>
            </w:r>
            <w:r w:rsidR="008B78B8" w:rsidRPr="00AE6A85">
              <w:rPr>
                <w:rFonts w:cs="Arial"/>
                <w:szCs w:val="20"/>
              </w:rPr>
              <w:t>.</w:t>
            </w:r>
          </w:p>
        </w:tc>
      </w:tr>
    </w:tbl>
    <w:p w:rsidR="00934BA0" w:rsidRPr="00AE6A85" w:rsidRDefault="006F7F40" w:rsidP="0070585F">
      <w:pPr>
        <w:pStyle w:val="TableFigureFooter"/>
      </w:pPr>
      <w:r w:rsidRPr="00AE6A85">
        <w:t>Abbreviation</w:t>
      </w:r>
      <w:r w:rsidR="00115FBE" w:rsidRPr="00AE6A85">
        <w:t>: pMDI = pressurised metered-dose inhaler</w:t>
      </w:r>
      <w:r w:rsidRPr="00AE6A85">
        <w:t>.</w:t>
      </w:r>
    </w:p>
    <w:p w:rsidR="00A01432" w:rsidRPr="00AE6A85" w:rsidRDefault="00A01432" w:rsidP="00B16273">
      <w:pPr>
        <w:pStyle w:val="4-SubsectionHeading"/>
      </w:pPr>
      <w:r w:rsidRPr="00AE6A85">
        <w:t>Registration status</w:t>
      </w:r>
    </w:p>
    <w:p w:rsidR="00A01432" w:rsidRPr="00AE6A85" w:rsidRDefault="00E511E8" w:rsidP="00F55878">
      <w:pPr>
        <w:pStyle w:val="3Bodytext"/>
        <w:jc w:val="both"/>
      </w:pPr>
      <w:r w:rsidRPr="00AE6A85">
        <w:t xml:space="preserve">M3 Turbuhaler was TGA registered on 9 April 2020 for the same indication as M2 Turbuhaler. </w:t>
      </w:r>
      <w:r w:rsidR="00B9349D" w:rsidRPr="00AE6A85">
        <w:t xml:space="preserve">The TGA concluded that therapeutic equivalence </w:t>
      </w:r>
      <w:r w:rsidR="00903A1A" w:rsidRPr="00AE6A85">
        <w:t>of terbutaline</w:t>
      </w:r>
      <w:r w:rsidR="00115FBE" w:rsidRPr="00AE6A85">
        <w:t xml:space="preserve"> sulfate</w:t>
      </w:r>
      <w:r w:rsidR="00903A1A" w:rsidRPr="00AE6A85">
        <w:t xml:space="preserve"> </w:t>
      </w:r>
      <w:r w:rsidR="00B9349D" w:rsidRPr="00AE6A85">
        <w:t>was established between the M2 and M3 devices</w:t>
      </w:r>
      <w:r w:rsidR="001408EB" w:rsidRPr="00AE6A85">
        <w:t xml:space="preserve"> (</w:t>
      </w:r>
      <w:r w:rsidR="006929D5" w:rsidRPr="00AE6A85">
        <w:t>TGA Delegate’s Note</w:t>
      </w:r>
      <w:r w:rsidR="009B201C" w:rsidRPr="00AE6A85">
        <w:t>, p5</w:t>
      </w:r>
      <w:r w:rsidR="001408EB" w:rsidRPr="00AE6A85">
        <w:t>)</w:t>
      </w:r>
      <w:r w:rsidR="00912937" w:rsidRPr="00AE6A85">
        <w:t xml:space="preserve">. </w:t>
      </w:r>
    </w:p>
    <w:p w:rsidR="00B17EE5" w:rsidRPr="00AE6A85" w:rsidRDefault="00B17EE5" w:rsidP="00917D69">
      <w:pPr>
        <w:pStyle w:val="2-SectionHeading"/>
      </w:pPr>
      <w:r w:rsidRPr="00AE6A85">
        <w:t>Requested listing</w:t>
      </w:r>
    </w:p>
    <w:p w:rsidR="00BE2C5E" w:rsidRPr="00AE6A85" w:rsidRDefault="00B17EE5" w:rsidP="00BE2C5E">
      <w:pPr>
        <w:pStyle w:val="3Bodytext"/>
        <w:jc w:val="both"/>
      </w:pPr>
      <w:r w:rsidRPr="00AE6A85">
        <w:t xml:space="preserve">The submission requested </w:t>
      </w:r>
      <w:r w:rsidR="00BE2C5E" w:rsidRPr="00AE6A85">
        <w:t xml:space="preserve">the M3 Turbuhaler to be listed under </w:t>
      </w:r>
      <w:r w:rsidRPr="00AE6A85">
        <w:t xml:space="preserve">the </w:t>
      </w:r>
      <w:r w:rsidR="002E199F" w:rsidRPr="00AE6A85">
        <w:t xml:space="preserve">same listing conditions </w:t>
      </w:r>
      <w:r w:rsidR="00A2599D" w:rsidRPr="00AE6A85">
        <w:t xml:space="preserve">as </w:t>
      </w:r>
      <w:r w:rsidR="002E199F" w:rsidRPr="00AE6A85">
        <w:t xml:space="preserve">the </w:t>
      </w:r>
      <w:r w:rsidRPr="00AE6A85">
        <w:t>existing listin</w:t>
      </w:r>
      <w:r w:rsidR="00DD24BA" w:rsidRPr="00AE6A85">
        <w:t>g</w:t>
      </w:r>
      <w:r w:rsidR="00AB0EE9" w:rsidRPr="00AE6A85">
        <w:t xml:space="preserve"> </w:t>
      </w:r>
      <w:r w:rsidR="00BE2C5E" w:rsidRPr="00AE6A85">
        <w:t>for the M2 Turbuhaler</w:t>
      </w:r>
      <w:r w:rsidR="002E199F" w:rsidRPr="00AE6A85">
        <w:t>.</w:t>
      </w:r>
      <w:r w:rsidR="00BE2C5E" w:rsidRPr="00AE6A85">
        <w:t xml:space="preserve"> M2 Turbuhaler is currently listed on the PBS as an Authority Required (STREAMLINED) listing</w:t>
      </w:r>
      <w:r w:rsidR="00A2599D" w:rsidRPr="00AE6A85">
        <w:t xml:space="preserve"> as </w:t>
      </w:r>
      <w:r w:rsidR="00BE2C5E" w:rsidRPr="00AE6A85">
        <w:t>a reliever inhaler for the management of bronchospasm.</w:t>
      </w:r>
    </w:p>
    <w:p w:rsidR="00F948D7" w:rsidRPr="00AE6A85" w:rsidRDefault="006E457A" w:rsidP="00F55878">
      <w:pPr>
        <w:pStyle w:val="3Bodytext"/>
        <w:jc w:val="both"/>
      </w:pPr>
      <w:r w:rsidRPr="00AE6A85">
        <w:t xml:space="preserve">The sponsor argued that </w:t>
      </w:r>
      <w:r w:rsidR="00F948D7" w:rsidRPr="00AE6A85">
        <w:t xml:space="preserve">the two products </w:t>
      </w:r>
      <w:r w:rsidR="00FD2402" w:rsidRPr="00AE6A85">
        <w:t xml:space="preserve">should </w:t>
      </w:r>
      <w:r w:rsidR="00F948D7" w:rsidRPr="00AE6A85">
        <w:t xml:space="preserve">not be substitutable </w:t>
      </w:r>
      <w:r w:rsidR="008B0596" w:rsidRPr="00AE6A85">
        <w:t>at the pharmacy level (</w:t>
      </w:r>
      <w:r w:rsidR="00F948D7" w:rsidRPr="00AE6A85">
        <w:t>‘a’ flagg</w:t>
      </w:r>
      <w:r w:rsidRPr="00AE6A85">
        <w:t>ed</w:t>
      </w:r>
      <w:r w:rsidR="00F948D7" w:rsidRPr="00AE6A85">
        <w:t>)</w:t>
      </w:r>
      <w:r w:rsidR="007867A2" w:rsidRPr="00AE6A85">
        <w:t xml:space="preserve"> because the </w:t>
      </w:r>
      <w:r w:rsidR="00291354" w:rsidRPr="00AE6A85">
        <w:t>maximum quantity of the drug supplied per dispensing is different</w:t>
      </w:r>
      <w:r w:rsidR="000C7D53" w:rsidRPr="00AE6A85">
        <w:t xml:space="preserve"> (p</w:t>
      </w:r>
      <w:r w:rsidR="0062721A" w:rsidRPr="00AE6A85">
        <w:t>3, pre-PBAC response)</w:t>
      </w:r>
      <w:r w:rsidR="00291354" w:rsidRPr="00AE6A85">
        <w:t xml:space="preserve">. </w:t>
      </w:r>
    </w:p>
    <w:p w:rsidR="00955937" w:rsidRPr="00AE6A85" w:rsidRDefault="00171FEC" w:rsidP="00F55878">
      <w:pPr>
        <w:pStyle w:val="3Bodytext"/>
        <w:jc w:val="both"/>
      </w:pPr>
      <w:r w:rsidRPr="00AE6A85">
        <w:t xml:space="preserve">The M2 and M3 </w:t>
      </w:r>
      <w:r w:rsidR="00694747" w:rsidRPr="00AE6A85">
        <w:t>Turbuhaler</w:t>
      </w:r>
      <w:r w:rsidRPr="00AE6A85">
        <w:t xml:space="preserve"> both </w:t>
      </w:r>
      <w:r w:rsidR="00D85A04" w:rsidRPr="00AE6A85">
        <w:t xml:space="preserve">deliver 400 mcg of terbutaline sulfate per inhalation. </w:t>
      </w:r>
      <w:r w:rsidR="00707D20" w:rsidRPr="00AE6A85">
        <w:t>However, t</w:t>
      </w:r>
      <w:r w:rsidR="00D85A04" w:rsidRPr="00AE6A85">
        <w:t>he current</w:t>
      </w:r>
      <w:r w:rsidRPr="00AE6A85">
        <w:t xml:space="preserve"> product label for</w:t>
      </w:r>
      <w:r w:rsidR="00D85A04" w:rsidRPr="00AE6A85">
        <w:t xml:space="preserve"> M2 Turbuhaler </w:t>
      </w:r>
      <w:r w:rsidRPr="00AE6A85">
        <w:t xml:space="preserve">displays a </w:t>
      </w:r>
      <w:r w:rsidR="00D85A04" w:rsidRPr="00AE6A85">
        <w:t xml:space="preserve">metered dose </w:t>
      </w:r>
      <w:r w:rsidR="00C219FF" w:rsidRPr="00AE6A85">
        <w:t xml:space="preserve">of </w:t>
      </w:r>
      <w:r w:rsidR="00D85A04" w:rsidRPr="00AE6A85">
        <w:t xml:space="preserve">500 mcg, whilst the M3 Turbuhaler </w:t>
      </w:r>
      <w:r w:rsidRPr="00AE6A85">
        <w:t xml:space="preserve">displays the </w:t>
      </w:r>
      <w:r w:rsidR="00F56753" w:rsidRPr="00AE6A85">
        <w:t>‘</w:t>
      </w:r>
      <w:r w:rsidR="00D85A04" w:rsidRPr="00AE6A85">
        <w:t>delivered dose</w:t>
      </w:r>
      <w:r w:rsidRPr="00AE6A85">
        <w:t xml:space="preserve"> of</w:t>
      </w:r>
      <w:r w:rsidR="00D85A04" w:rsidRPr="00AE6A85">
        <w:t xml:space="preserve"> 400 mcg (corresponding to 500 mcg metered dose)</w:t>
      </w:r>
      <w:r w:rsidR="00F56753" w:rsidRPr="00AE6A85">
        <w:t>’</w:t>
      </w:r>
      <w:r w:rsidR="00D85A04" w:rsidRPr="00AE6A85">
        <w:t>. The TGA support</w:t>
      </w:r>
      <w:r w:rsidRPr="00AE6A85">
        <w:t>ed</w:t>
      </w:r>
      <w:r w:rsidR="00D85A04" w:rsidRPr="00AE6A85">
        <w:t xml:space="preserve"> the proposal that the same ‘Bricanyl Turbuhaler 500’ product label</w:t>
      </w:r>
      <w:r w:rsidR="00277F0F" w:rsidRPr="00AE6A85">
        <w:t>, which refers to the metered dose of 500 mcg,</w:t>
      </w:r>
      <w:r w:rsidR="00D85A04" w:rsidRPr="00AE6A85">
        <w:t xml:space="preserve"> be applied to the M3 Turbuhaler (</w:t>
      </w:r>
      <w:r w:rsidR="00277F0F" w:rsidRPr="00AE6A85">
        <w:t xml:space="preserve">TGA Delegate’s Note, </w:t>
      </w:r>
      <w:r w:rsidR="00D85A04" w:rsidRPr="00AE6A85">
        <w:t>p2). The submission state</w:t>
      </w:r>
      <w:r w:rsidR="00277F0F" w:rsidRPr="00AE6A85">
        <w:t>d</w:t>
      </w:r>
      <w:r w:rsidR="00D85A04" w:rsidRPr="00AE6A85">
        <w:t xml:space="preserve"> this </w:t>
      </w:r>
      <w:r w:rsidR="001E12E2" w:rsidRPr="00AE6A85">
        <w:t xml:space="preserve">would </w:t>
      </w:r>
      <w:r w:rsidR="00D85A04" w:rsidRPr="00AE6A85">
        <w:t>minimise confusion when patients transition from the M2 to the M3 device</w:t>
      </w:r>
      <w:r w:rsidR="00E875FC" w:rsidRPr="00AE6A85">
        <w:t xml:space="preserve"> and was supported by the product label provided in the </w:t>
      </w:r>
      <w:r w:rsidR="00DE5F90" w:rsidRPr="00AE6A85">
        <w:t>pre-PBAC response</w:t>
      </w:r>
      <w:r w:rsidR="00006204" w:rsidRPr="00AE6A85">
        <w:t xml:space="preserve"> (p1)</w:t>
      </w:r>
      <w:r w:rsidR="00E875FC" w:rsidRPr="00AE6A85">
        <w:t>.</w:t>
      </w:r>
      <w:r w:rsidR="00F56753" w:rsidRPr="00AE6A85">
        <w:t xml:space="preserve"> </w:t>
      </w:r>
      <w:r w:rsidR="00E875FC" w:rsidRPr="00AE6A85">
        <w:t xml:space="preserve">The sponsor noted </w:t>
      </w:r>
      <w:r w:rsidR="00DE5F90" w:rsidRPr="00AE6A85">
        <w:t xml:space="preserve">they will work with the Australian Digital Health Agency to </w:t>
      </w:r>
      <w:r w:rsidR="00FE4A87" w:rsidRPr="00AE6A85">
        <w:t xml:space="preserve">make the </w:t>
      </w:r>
      <w:r w:rsidR="00BF6087" w:rsidRPr="00AE6A85">
        <w:t xml:space="preserve">terminology </w:t>
      </w:r>
      <w:r w:rsidR="00F23A27" w:rsidRPr="00AE6A85">
        <w:t>consisten</w:t>
      </w:r>
      <w:r w:rsidR="00FE4A87" w:rsidRPr="00AE6A85">
        <w:t>t</w:t>
      </w:r>
      <w:r w:rsidR="00F23A27" w:rsidRPr="00AE6A85">
        <w:t xml:space="preserve"> with the existing listing</w:t>
      </w:r>
      <w:r w:rsidR="00912937" w:rsidRPr="00AE6A85">
        <w:t xml:space="preserve">. </w:t>
      </w:r>
    </w:p>
    <w:p w:rsidR="00EE5084" w:rsidRPr="00AE6A85" w:rsidRDefault="00EE5084" w:rsidP="00A41003">
      <w:pPr>
        <w:pStyle w:val="Bodytextitalics"/>
      </w:pPr>
      <w:r w:rsidRPr="00AE6A85">
        <w:t xml:space="preserve">For more detail on PBAC’s view, see section </w:t>
      </w:r>
      <w:r w:rsidR="001B3CC9" w:rsidRPr="00AE6A85">
        <w:t xml:space="preserve">6 </w:t>
      </w:r>
      <w:r w:rsidRPr="00AE6A85">
        <w:t>PBAC outcome.</w:t>
      </w:r>
    </w:p>
    <w:p w:rsidR="005A3173" w:rsidRPr="00AE6A85" w:rsidRDefault="005A3173" w:rsidP="00917D69">
      <w:pPr>
        <w:pStyle w:val="2-SectionHeading"/>
        <w:rPr>
          <w:color w:val="FF0000"/>
        </w:rPr>
      </w:pPr>
      <w:r w:rsidRPr="00AE6A85">
        <w:t>Comparator</w:t>
      </w:r>
      <w:r w:rsidR="0099465B" w:rsidRPr="00AE6A85">
        <w:t xml:space="preserve"> </w:t>
      </w:r>
    </w:p>
    <w:p w:rsidR="000B44C3" w:rsidRPr="00AE6A85" w:rsidRDefault="000B44C3" w:rsidP="00F55878">
      <w:pPr>
        <w:pStyle w:val="3Bodytext"/>
        <w:jc w:val="both"/>
      </w:pPr>
      <w:r w:rsidRPr="00AE6A85">
        <w:t xml:space="preserve">The </w:t>
      </w:r>
      <w:r w:rsidR="00DB63C4" w:rsidRPr="00AE6A85">
        <w:t xml:space="preserve">committee secretariat </w:t>
      </w:r>
      <w:r w:rsidRPr="00AE6A85">
        <w:t xml:space="preserve">submission </w:t>
      </w:r>
      <w:r w:rsidR="000B37A3" w:rsidRPr="00AE6A85">
        <w:t xml:space="preserve">nominated M2 Turbuhaler as the comparator. This was </w:t>
      </w:r>
      <w:r w:rsidR="001E12E2" w:rsidRPr="00AE6A85">
        <w:t xml:space="preserve">considered </w:t>
      </w:r>
      <w:r w:rsidR="000B37A3" w:rsidRPr="00AE6A85">
        <w:t>appropriate.</w:t>
      </w:r>
      <w:r w:rsidRPr="00AE6A85">
        <w:t xml:space="preserve"> </w:t>
      </w:r>
    </w:p>
    <w:p w:rsidR="00EC51A6" w:rsidRPr="00AE6A85" w:rsidRDefault="00EC51A6" w:rsidP="00A41003">
      <w:pPr>
        <w:pStyle w:val="Bodytextitalics"/>
      </w:pPr>
      <w:r w:rsidRPr="00AE6A85">
        <w:lastRenderedPageBreak/>
        <w:t>For more detail on PBAC’s view, see section 6 PBAC outcome.</w:t>
      </w:r>
    </w:p>
    <w:p w:rsidR="000B558D" w:rsidRPr="00AE6A85" w:rsidRDefault="008D7A41" w:rsidP="00EE5084">
      <w:pPr>
        <w:pStyle w:val="Heading1"/>
        <w:keepLines/>
        <w:numPr>
          <w:ilvl w:val="0"/>
          <w:numId w:val="3"/>
        </w:numPr>
        <w:spacing w:before="240"/>
        <w:ind w:left="709" w:hanging="709"/>
        <w:rPr>
          <w:sz w:val="32"/>
          <w:szCs w:val="32"/>
        </w:rPr>
      </w:pPr>
      <w:r w:rsidRPr="00AE6A85">
        <w:rPr>
          <w:sz w:val="32"/>
          <w:szCs w:val="32"/>
        </w:rPr>
        <w:t>C</w:t>
      </w:r>
      <w:r w:rsidR="00D84934" w:rsidRPr="00AE6A85">
        <w:rPr>
          <w:sz w:val="32"/>
          <w:szCs w:val="32"/>
        </w:rPr>
        <w:t>onsideration of the evidence</w:t>
      </w:r>
    </w:p>
    <w:p w:rsidR="00041AF6" w:rsidRPr="00AE6A85" w:rsidRDefault="00F2276D" w:rsidP="005D46E4">
      <w:pPr>
        <w:widowControl w:val="0"/>
        <w:numPr>
          <w:ilvl w:val="1"/>
          <w:numId w:val="1"/>
        </w:numPr>
        <w:spacing w:after="120"/>
        <w:jc w:val="left"/>
        <w:rPr>
          <w:rFonts w:asciiTheme="minorHAnsi" w:hAnsiTheme="minorHAnsi" w:cs="Arial"/>
          <w:bCs/>
          <w:snapToGrid w:val="0"/>
          <w:lang w:eastAsia="en-US"/>
        </w:rPr>
      </w:pPr>
      <w:r w:rsidRPr="00AE6A85">
        <w:rPr>
          <w:rFonts w:asciiTheme="minorHAnsi" w:hAnsiTheme="minorHAnsi" w:cs="Arial"/>
          <w:bCs/>
          <w:snapToGrid w:val="0"/>
          <w:lang w:eastAsia="en-US"/>
        </w:rPr>
        <w:t xml:space="preserve">As a </w:t>
      </w:r>
      <w:r w:rsidR="00D94D56" w:rsidRPr="00AE6A85">
        <w:rPr>
          <w:rFonts w:asciiTheme="minorHAnsi" w:hAnsiTheme="minorHAnsi" w:cs="Arial"/>
          <w:bCs/>
          <w:snapToGrid w:val="0"/>
          <w:lang w:eastAsia="en-US"/>
        </w:rPr>
        <w:t>c</w:t>
      </w:r>
      <w:r w:rsidRPr="00AE6A85">
        <w:rPr>
          <w:rFonts w:asciiTheme="minorHAnsi" w:hAnsiTheme="minorHAnsi" w:cs="Arial"/>
          <w:bCs/>
          <w:snapToGrid w:val="0"/>
          <w:lang w:eastAsia="en-US"/>
        </w:rPr>
        <w:t xml:space="preserve">ommittee </w:t>
      </w:r>
      <w:r w:rsidR="00D94D56" w:rsidRPr="00AE6A85">
        <w:rPr>
          <w:rFonts w:asciiTheme="minorHAnsi" w:hAnsiTheme="minorHAnsi" w:cs="Arial"/>
          <w:bCs/>
          <w:snapToGrid w:val="0"/>
          <w:lang w:eastAsia="en-US"/>
        </w:rPr>
        <w:t>s</w:t>
      </w:r>
      <w:r w:rsidRPr="00AE6A85">
        <w:rPr>
          <w:rFonts w:asciiTheme="minorHAnsi" w:hAnsiTheme="minorHAnsi" w:cs="Arial"/>
          <w:bCs/>
          <w:snapToGrid w:val="0"/>
          <w:lang w:eastAsia="en-US"/>
        </w:rPr>
        <w:t xml:space="preserve">ecretariat submission, a clinical evaluation was not performed. </w:t>
      </w:r>
    </w:p>
    <w:p w:rsidR="00041AF6" w:rsidRPr="00AE6A85" w:rsidRDefault="00041AF6" w:rsidP="0062721A">
      <w:pPr>
        <w:pStyle w:val="4-SubsectionHeading"/>
        <w:rPr>
          <w:snapToGrid w:val="0"/>
          <w:lang w:eastAsia="en-US"/>
        </w:rPr>
      </w:pPr>
      <w:r w:rsidRPr="00AE6A85">
        <w:rPr>
          <w:snapToGrid w:val="0"/>
          <w:lang w:eastAsia="en-US"/>
        </w:rPr>
        <w:t>Sponsor hearing</w:t>
      </w:r>
    </w:p>
    <w:p w:rsidR="00DE5F90" w:rsidRPr="00AE6A85" w:rsidRDefault="00DE5F90" w:rsidP="00DE5F90">
      <w:pPr>
        <w:pStyle w:val="3Bodytext"/>
        <w:rPr>
          <w:snapToGrid w:val="0"/>
          <w:lang w:eastAsia="en-US"/>
        </w:rPr>
      </w:pPr>
      <w:r w:rsidRPr="00AE6A85">
        <w:rPr>
          <w:snapToGrid w:val="0"/>
          <w:lang w:eastAsia="en-US"/>
        </w:rPr>
        <w:t>There was no hearing for this ite</w:t>
      </w:r>
      <w:r w:rsidR="008672F5" w:rsidRPr="00AE6A85">
        <w:rPr>
          <w:snapToGrid w:val="0"/>
          <w:lang w:eastAsia="en-US"/>
        </w:rPr>
        <w:t>m as it was a committee s</w:t>
      </w:r>
      <w:r w:rsidRPr="00AE6A85">
        <w:rPr>
          <w:snapToGrid w:val="0"/>
          <w:lang w:eastAsia="en-US"/>
        </w:rPr>
        <w:t>ecretariat submission.</w:t>
      </w:r>
    </w:p>
    <w:p w:rsidR="00041AF6" w:rsidRPr="00AE6A85" w:rsidRDefault="00041AF6" w:rsidP="0062721A">
      <w:pPr>
        <w:pStyle w:val="4-SubsectionHeading"/>
        <w:rPr>
          <w:lang w:eastAsia="en-US"/>
        </w:rPr>
      </w:pPr>
      <w:r w:rsidRPr="00AE6A85">
        <w:rPr>
          <w:lang w:eastAsia="en-US"/>
        </w:rPr>
        <w:t>Consumer comments</w:t>
      </w:r>
    </w:p>
    <w:p w:rsidR="00DE5F90" w:rsidRPr="00AE6A85" w:rsidRDefault="00DE5F90" w:rsidP="00945773">
      <w:pPr>
        <w:pStyle w:val="3Bodytext"/>
        <w:jc w:val="both"/>
        <w:rPr>
          <w:snapToGrid w:val="0"/>
          <w:lang w:eastAsia="en-US"/>
        </w:rPr>
      </w:pPr>
      <w:r w:rsidRPr="00AE6A85">
        <w:rPr>
          <w:snapToGrid w:val="0"/>
          <w:lang w:eastAsia="en-US"/>
        </w:rPr>
        <w:t xml:space="preserve">The PBAC noted and welcomed the input from </w:t>
      </w:r>
      <w:r w:rsidR="00567087" w:rsidRPr="00AE6A85">
        <w:rPr>
          <w:snapToGrid w:val="0"/>
          <w:lang w:eastAsia="en-US"/>
        </w:rPr>
        <w:t xml:space="preserve">an </w:t>
      </w:r>
      <w:r w:rsidRPr="00AE6A85">
        <w:rPr>
          <w:snapToGrid w:val="0"/>
          <w:lang w:eastAsia="en-US"/>
        </w:rPr>
        <w:t xml:space="preserve">organisation </w:t>
      </w:r>
      <w:r w:rsidR="00567087" w:rsidRPr="00AE6A85">
        <w:rPr>
          <w:snapToGrid w:val="0"/>
          <w:lang w:eastAsia="en-US"/>
        </w:rPr>
        <w:t xml:space="preserve">(1) </w:t>
      </w:r>
      <w:r w:rsidRPr="00AE6A85">
        <w:rPr>
          <w:snapToGrid w:val="0"/>
          <w:lang w:eastAsia="en-US"/>
        </w:rPr>
        <w:t>via the Consumer Comments facility on the PBS website. Lung Foundation Australia describ</w:t>
      </w:r>
      <w:r w:rsidR="002C49A4" w:rsidRPr="00AE6A85">
        <w:rPr>
          <w:snapToGrid w:val="0"/>
          <w:lang w:eastAsia="en-US"/>
        </w:rPr>
        <w:t xml:space="preserve">ed </w:t>
      </w:r>
      <w:r w:rsidR="00567087" w:rsidRPr="00AE6A85">
        <w:rPr>
          <w:snapToGrid w:val="0"/>
          <w:lang w:eastAsia="en-US"/>
        </w:rPr>
        <w:t xml:space="preserve">that </w:t>
      </w:r>
      <w:r w:rsidR="002C49A4" w:rsidRPr="00AE6A85">
        <w:rPr>
          <w:snapToGrid w:val="0"/>
          <w:lang w:eastAsia="en-US"/>
        </w:rPr>
        <w:t>the</w:t>
      </w:r>
      <w:r w:rsidRPr="00AE6A85">
        <w:rPr>
          <w:snapToGrid w:val="0"/>
          <w:lang w:eastAsia="en-US"/>
        </w:rPr>
        <w:t xml:space="preserve"> new device with dosage counter and additional inhalations </w:t>
      </w:r>
      <w:r w:rsidR="00B72DDA" w:rsidRPr="00AE6A85">
        <w:rPr>
          <w:snapToGrid w:val="0"/>
          <w:lang w:eastAsia="en-US"/>
        </w:rPr>
        <w:t xml:space="preserve">would </w:t>
      </w:r>
      <w:r w:rsidRPr="00AE6A85">
        <w:rPr>
          <w:snapToGrid w:val="0"/>
          <w:lang w:eastAsia="en-US"/>
        </w:rPr>
        <w:t>improve patient experience and adherence</w:t>
      </w:r>
      <w:r w:rsidR="001B3CC9" w:rsidRPr="00AE6A85">
        <w:rPr>
          <w:snapToGrid w:val="0"/>
          <w:lang w:eastAsia="en-US"/>
        </w:rPr>
        <w:t>, particularly for patients with chronic obstructive pulmonary disease (COPD)</w:t>
      </w:r>
      <w:r w:rsidRPr="00AE6A85">
        <w:rPr>
          <w:snapToGrid w:val="0"/>
          <w:lang w:eastAsia="en-US"/>
        </w:rPr>
        <w:t xml:space="preserve">. </w:t>
      </w:r>
    </w:p>
    <w:p w:rsidR="00A901A0" w:rsidRPr="00AE6A85" w:rsidRDefault="00A901A0" w:rsidP="000F3340">
      <w:pPr>
        <w:pStyle w:val="4-SubsectionHeading"/>
        <w:rPr>
          <w:lang w:eastAsia="en-US"/>
        </w:rPr>
      </w:pPr>
      <w:r w:rsidRPr="00AE6A85">
        <w:rPr>
          <w:lang w:eastAsia="en-US"/>
        </w:rPr>
        <w:t>Clinical claim</w:t>
      </w:r>
    </w:p>
    <w:p w:rsidR="00A901A0" w:rsidRPr="00AE6A85" w:rsidRDefault="001B6E65" w:rsidP="00D94D56">
      <w:pPr>
        <w:pStyle w:val="3Bodytext"/>
        <w:jc w:val="both"/>
      </w:pPr>
      <w:r w:rsidRPr="00AE6A85">
        <w:t>The submissio</w:t>
      </w:r>
      <w:r w:rsidR="00A90548" w:rsidRPr="00AE6A85">
        <w:t>n</w:t>
      </w:r>
      <w:r w:rsidRPr="00AE6A85">
        <w:t xml:space="preserve"> claimed that</w:t>
      </w:r>
      <w:r w:rsidR="001F0216" w:rsidRPr="00AE6A85">
        <w:t xml:space="preserve"> the</w:t>
      </w:r>
      <w:r w:rsidRPr="00AE6A85">
        <w:t xml:space="preserve"> M3 Turbuhaler </w:t>
      </w:r>
      <w:r w:rsidR="008B4CFE" w:rsidRPr="00AE6A85">
        <w:t>provide</w:t>
      </w:r>
      <w:r w:rsidR="00B72DDA" w:rsidRPr="00AE6A85">
        <w:t>d</w:t>
      </w:r>
      <w:r w:rsidR="008B4CFE" w:rsidRPr="00AE6A85">
        <w:t xml:space="preserve"> equivalent effectiveness and safety to the </w:t>
      </w:r>
      <w:r w:rsidRPr="00AE6A85">
        <w:t>M2 Turbuhaler</w:t>
      </w:r>
      <w:r w:rsidR="008B4CFE" w:rsidRPr="00AE6A85">
        <w:t xml:space="preserve">. </w:t>
      </w:r>
      <w:r w:rsidR="00D94D56" w:rsidRPr="00AE6A85">
        <w:t xml:space="preserve">The TGA concluded that therapeutic equivalence of terbutaline sulfate was established between the M2 and M3 devices </w:t>
      </w:r>
      <w:r w:rsidR="0086491A" w:rsidRPr="00AE6A85">
        <w:t xml:space="preserve">and that the </w:t>
      </w:r>
      <w:r w:rsidR="00FB7B5E" w:rsidRPr="00AE6A85">
        <w:t>M3 Turbuhaler ha</w:t>
      </w:r>
      <w:r w:rsidR="00B72DDA" w:rsidRPr="00AE6A85">
        <w:t>d</w:t>
      </w:r>
      <w:r w:rsidR="00FB7B5E" w:rsidRPr="00AE6A85">
        <w:t xml:space="preserve"> a consistent safety profile and did not raise any major safety concerns (TGA Delegate’s Note</w:t>
      </w:r>
      <w:r w:rsidR="00145E46" w:rsidRPr="00AE6A85">
        <w:t>, p5</w:t>
      </w:r>
      <w:r w:rsidR="0086491A" w:rsidRPr="00AE6A85">
        <w:t>).</w:t>
      </w:r>
      <w:r w:rsidR="0091402C" w:rsidRPr="00AE6A85">
        <w:t xml:space="preserve"> </w:t>
      </w:r>
    </w:p>
    <w:p w:rsidR="005A3173" w:rsidRPr="00AE6A85" w:rsidRDefault="007E53A0" w:rsidP="00917D69">
      <w:pPr>
        <w:pStyle w:val="4-SubsectionHeading"/>
        <w:rPr>
          <w:lang w:eastAsia="en-US"/>
        </w:rPr>
      </w:pPr>
      <w:r w:rsidRPr="00AE6A85">
        <w:rPr>
          <w:lang w:eastAsia="en-US"/>
        </w:rPr>
        <w:t>Pricing considerations</w:t>
      </w:r>
      <w:r w:rsidR="009803E4" w:rsidRPr="00AE6A85">
        <w:rPr>
          <w:lang w:eastAsia="en-US"/>
        </w:rPr>
        <w:t xml:space="preserve"> </w:t>
      </w:r>
    </w:p>
    <w:p w:rsidR="000B2F58" w:rsidRPr="00AE6A85" w:rsidRDefault="00711BCC" w:rsidP="00F55878">
      <w:pPr>
        <w:pStyle w:val="3Bodytext"/>
        <w:jc w:val="both"/>
        <w:rPr>
          <w:rFonts w:cstheme="minorHAnsi"/>
          <w:szCs w:val="24"/>
        </w:rPr>
      </w:pPr>
      <w:r w:rsidRPr="00AE6A85">
        <w:t xml:space="preserve">The submission requested a 20% increase in the </w:t>
      </w:r>
      <w:r w:rsidR="00CB3D8B" w:rsidRPr="00AE6A85">
        <w:t xml:space="preserve">AEMP for </w:t>
      </w:r>
      <w:r w:rsidR="00FD38AF" w:rsidRPr="00AE6A85">
        <w:t xml:space="preserve">M3 Turbuhaler </w:t>
      </w:r>
      <w:r w:rsidRPr="00AE6A85">
        <w:t xml:space="preserve">with </w:t>
      </w:r>
      <w:r w:rsidR="00CB3D8B" w:rsidRPr="00AE6A85">
        <w:t>120</w:t>
      </w:r>
      <w:r w:rsidR="00DF5C0C" w:rsidRPr="00AE6A85">
        <w:t xml:space="preserve"> </w:t>
      </w:r>
      <w:r w:rsidR="00694747" w:rsidRPr="00AE6A85">
        <w:t>actuations, which</w:t>
      </w:r>
      <w:r w:rsidRPr="00AE6A85">
        <w:t xml:space="preserve"> is </w:t>
      </w:r>
      <w:r w:rsidR="00CB3D8B" w:rsidRPr="00AE6A85">
        <w:t>pro</w:t>
      </w:r>
      <w:r w:rsidR="00B9737D" w:rsidRPr="00AE6A85">
        <w:t>portional</w:t>
      </w:r>
      <w:r w:rsidR="000F3340" w:rsidRPr="00AE6A85">
        <w:t xml:space="preserve"> </w:t>
      </w:r>
      <w:r w:rsidRPr="00AE6A85">
        <w:t xml:space="preserve">to </w:t>
      </w:r>
      <w:r w:rsidR="00CB3D8B" w:rsidRPr="00AE6A85">
        <w:t xml:space="preserve">the current AEMP </w:t>
      </w:r>
      <w:r w:rsidRPr="00AE6A85">
        <w:t xml:space="preserve">of M2 Turbuhaler with </w:t>
      </w:r>
      <w:r w:rsidR="00CB3D8B" w:rsidRPr="00AE6A85">
        <w:t>100</w:t>
      </w:r>
      <w:r w:rsidR="001F114F" w:rsidRPr="00AE6A85">
        <w:t xml:space="preserve"> actuations</w:t>
      </w:r>
      <w:r w:rsidR="00CB3D8B" w:rsidRPr="00AE6A85">
        <w:t xml:space="preserve">. </w:t>
      </w:r>
    </w:p>
    <w:p w:rsidR="000B2F58" w:rsidRPr="00AE6A85" w:rsidRDefault="000B2F58" w:rsidP="0070585F">
      <w:pPr>
        <w:pStyle w:val="Tabletitles"/>
        <w:keepNext/>
        <w:keepLines/>
        <w:rPr>
          <w:rFonts w:cstheme="minorHAnsi"/>
        </w:rPr>
      </w:pPr>
      <w:r w:rsidRPr="00AE6A85">
        <w:t>Table 2: Proposed pricing</w:t>
      </w:r>
      <w:r w:rsidR="00EA7D9E" w:rsidRPr="00AE6A85">
        <w:t xml:space="preserve"> for terbutaline Bricanyl</w:t>
      </w:r>
      <w:r w:rsidR="0027244D" w:rsidRPr="00AE6A85">
        <w:t>®</w:t>
      </w:r>
      <w:r w:rsidR="00EA7D9E" w:rsidRPr="00AE6A85">
        <w:t xml:space="preserve"> Turbuhalers</w:t>
      </w:r>
    </w:p>
    <w:tbl>
      <w:tblPr>
        <w:tblStyle w:val="TableGrid"/>
        <w:tblW w:w="5000" w:type="pct"/>
        <w:tblLook w:val="04A0" w:firstRow="1" w:lastRow="0" w:firstColumn="1" w:lastColumn="0" w:noHBand="0" w:noVBand="1"/>
        <w:tblCaption w:val="Table 2"/>
      </w:tblPr>
      <w:tblGrid>
        <w:gridCol w:w="1502"/>
        <w:gridCol w:w="1504"/>
        <w:gridCol w:w="1504"/>
        <w:gridCol w:w="1502"/>
        <w:gridCol w:w="1504"/>
        <w:gridCol w:w="1500"/>
      </w:tblGrid>
      <w:tr w:rsidR="00CB3D8B" w:rsidRPr="00AE6A85" w:rsidTr="00945773">
        <w:trPr>
          <w:trHeight w:val="239"/>
          <w:tblHeader/>
        </w:trPr>
        <w:tc>
          <w:tcPr>
            <w:tcW w:w="833" w:type="pct"/>
          </w:tcPr>
          <w:p w:rsidR="00CB3D8B" w:rsidRPr="00AE6A85" w:rsidRDefault="00CB3D8B" w:rsidP="0070585F">
            <w:pPr>
              <w:pStyle w:val="Paragraph"/>
              <w:keepNext/>
              <w:keepLines/>
              <w:spacing w:after="0" w:line="240" w:lineRule="auto"/>
              <w:rPr>
                <w:rFonts w:ascii="Arial Narrow" w:hAnsi="Arial Narrow" w:cs="Arial"/>
                <w:b/>
                <w:sz w:val="20"/>
                <w:szCs w:val="20"/>
                <w:lang w:val="en-AU"/>
              </w:rPr>
            </w:pPr>
            <w:r w:rsidRPr="00AE6A85">
              <w:rPr>
                <w:rFonts w:ascii="Arial Narrow" w:hAnsi="Arial Narrow" w:cs="Arial"/>
                <w:b/>
                <w:sz w:val="20"/>
                <w:szCs w:val="20"/>
                <w:lang w:val="en-AU"/>
              </w:rPr>
              <w:t>Drug, form and strength</w:t>
            </w:r>
          </w:p>
        </w:tc>
        <w:tc>
          <w:tcPr>
            <w:tcW w:w="834" w:type="pct"/>
          </w:tcPr>
          <w:p w:rsidR="00CB3D8B" w:rsidRPr="00AE6A85" w:rsidRDefault="00711BCC" w:rsidP="0070585F">
            <w:pPr>
              <w:pStyle w:val="Paragraph"/>
              <w:keepNext/>
              <w:keepLines/>
              <w:spacing w:after="0" w:line="240" w:lineRule="auto"/>
              <w:rPr>
                <w:rFonts w:ascii="Arial Narrow" w:hAnsi="Arial Narrow" w:cs="Arial"/>
                <w:b/>
                <w:sz w:val="20"/>
                <w:szCs w:val="20"/>
                <w:lang w:val="en-AU"/>
              </w:rPr>
            </w:pPr>
            <w:r w:rsidRPr="00AE6A85">
              <w:rPr>
                <w:rFonts w:ascii="Arial Narrow" w:hAnsi="Arial Narrow" w:cs="Arial"/>
                <w:b/>
                <w:sz w:val="20"/>
                <w:szCs w:val="20"/>
                <w:lang w:val="en-AU"/>
              </w:rPr>
              <w:t xml:space="preserve">AEMP </w:t>
            </w:r>
            <w:r w:rsidR="00CB3D8B" w:rsidRPr="00AE6A85">
              <w:rPr>
                <w:rFonts w:ascii="Arial Narrow" w:hAnsi="Arial Narrow" w:cs="Arial"/>
                <w:b/>
                <w:sz w:val="20"/>
                <w:szCs w:val="20"/>
                <w:lang w:val="en-AU"/>
              </w:rPr>
              <w:t>(per Turbuhaler)</w:t>
            </w:r>
          </w:p>
        </w:tc>
        <w:tc>
          <w:tcPr>
            <w:tcW w:w="834" w:type="pct"/>
          </w:tcPr>
          <w:p w:rsidR="00CB3D8B" w:rsidRPr="00AE6A85" w:rsidRDefault="00711BCC" w:rsidP="0070585F">
            <w:pPr>
              <w:pStyle w:val="Paragraph"/>
              <w:keepNext/>
              <w:keepLines/>
              <w:spacing w:after="0" w:line="240" w:lineRule="auto"/>
              <w:rPr>
                <w:rFonts w:ascii="Arial Narrow" w:hAnsi="Arial Narrow" w:cs="Arial"/>
                <w:b/>
                <w:sz w:val="20"/>
                <w:szCs w:val="20"/>
                <w:lang w:val="en-AU"/>
              </w:rPr>
            </w:pPr>
            <w:r w:rsidRPr="00AE6A85">
              <w:rPr>
                <w:rFonts w:ascii="Arial Narrow" w:hAnsi="Arial Narrow" w:cs="Arial"/>
                <w:b/>
                <w:sz w:val="20"/>
                <w:szCs w:val="20"/>
                <w:lang w:val="en-AU"/>
              </w:rPr>
              <w:t>AEMP</w:t>
            </w:r>
            <w:r w:rsidR="00CB3D8B" w:rsidRPr="00AE6A85">
              <w:rPr>
                <w:rFonts w:ascii="Arial Narrow" w:hAnsi="Arial Narrow" w:cs="Arial"/>
                <w:b/>
                <w:sz w:val="20"/>
                <w:szCs w:val="20"/>
                <w:lang w:val="en-AU"/>
              </w:rPr>
              <w:t xml:space="preserve"> (per MQ)</w:t>
            </w:r>
          </w:p>
        </w:tc>
        <w:tc>
          <w:tcPr>
            <w:tcW w:w="833" w:type="pct"/>
          </w:tcPr>
          <w:p w:rsidR="00CB3D8B" w:rsidRPr="00AE6A85" w:rsidRDefault="00CB3D8B" w:rsidP="0070585F">
            <w:pPr>
              <w:pStyle w:val="Paragraph"/>
              <w:keepNext/>
              <w:keepLines/>
              <w:spacing w:after="0" w:line="240" w:lineRule="auto"/>
              <w:rPr>
                <w:rFonts w:ascii="Arial Narrow" w:hAnsi="Arial Narrow" w:cs="Arial"/>
                <w:b/>
                <w:sz w:val="20"/>
                <w:szCs w:val="20"/>
                <w:lang w:val="en-AU"/>
              </w:rPr>
            </w:pPr>
            <w:r w:rsidRPr="00AE6A85">
              <w:rPr>
                <w:rFonts w:ascii="Arial Narrow" w:hAnsi="Arial Narrow" w:cs="Arial"/>
                <w:b/>
                <w:sz w:val="20"/>
                <w:szCs w:val="20"/>
                <w:lang w:val="en-AU"/>
              </w:rPr>
              <w:t>Price to pharmacy (per Turbuhaler)</w:t>
            </w:r>
          </w:p>
        </w:tc>
        <w:tc>
          <w:tcPr>
            <w:tcW w:w="834" w:type="pct"/>
          </w:tcPr>
          <w:p w:rsidR="00CB3D8B" w:rsidRPr="00AE6A85" w:rsidRDefault="00CB3D8B" w:rsidP="0070585F">
            <w:pPr>
              <w:pStyle w:val="Paragraph"/>
              <w:keepNext/>
              <w:keepLines/>
              <w:spacing w:after="0" w:line="240" w:lineRule="auto"/>
              <w:rPr>
                <w:rFonts w:ascii="Arial Narrow" w:hAnsi="Arial Narrow" w:cs="Arial"/>
                <w:b/>
                <w:sz w:val="20"/>
                <w:szCs w:val="20"/>
                <w:lang w:val="en-AU"/>
              </w:rPr>
            </w:pPr>
            <w:r w:rsidRPr="00AE6A85">
              <w:rPr>
                <w:rFonts w:ascii="Arial Narrow" w:hAnsi="Arial Narrow" w:cs="Arial"/>
                <w:b/>
                <w:sz w:val="20"/>
                <w:szCs w:val="20"/>
                <w:lang w:val="en-AU"/>
              </w:rPr>
              <w:t>Price to pharmacy (per MQ)</w:t>
            </w:r>
          </w:p>
        </w:tc>
        <w:tc>
          <w:tcPr>
            <w:tcW w:w="832" w:type="pct"/>
          </w:tcPr>
          <w:p w:rsidR="00CB3D8B" w:rsidRPr="00AE6A85" w:rsidRDefault="00BE5CDD" w:rsidP="0070585F">
            <w:pPr>
              <w:pStyle w:val="Paragraph"/>
              <w:keepNext/>
              <w:keepLines/>
              <w:spacing w:after="0" w:line="240" w:lineRule="auto"/>
              <w:rPr>
                <w:rFonts w:ascii="Arial Narrow" w:hAnsi="Arial Narrow" w:cs="Arial"/>
                <w:b/>
                <w:sz w:val="20"/>
                <w:szCs w:val="20"/>
                <w:lang w:val="en-AU"/>
              </w:rPr>
            </w:pPr>
            <w:r w:rsidRPr="00AE6A85">
              <w:rPr>
                <w:rFonts w:ascii="Arial Narrow" w:hAnsi="Arial Narrow" w:cs="Arial"/>
                <w:b/>
                <w:sz w:val="20"/>
                <w:szCs w:val="20"/>
                <w:lang w:val="en-AU"/>
              </w:rPr>
              <w:t xml:space="preserve">DPMQ </w:t>
            </w:r>
          </w:p>
        </w:tc>
      </w:tr>
      <w:tr w:rsidR="00CB3D8B" w:rsidRPr="00AE6A85" w:rsidTr="0070585F">
        <w:trPr>
          <w:trHeight w:val="604"/>
        </w:trPr>
        <w:tc>
          <w:tcPr>
            <w:tcW w:w="833" w:type="pct"/>
          </w:tcPr>
          <w:p w:rsidR="00CB3D8B" w:rsidRPr="00AE6A85" w:rsidRDefault="00CB3D8B" w:rsidP="0070585F">
            <w:pPr>
              <w:pStyle w:val="Paragraph"/>
              <w:keepNext/>
              <w:keepLines/>
              <w:spacing w:after="0" w:line="240" w:lineRule="auto"/>
              <w:rPr>
                <w:rFonts w:ascii="Arial Narrow" w:hAnsi="Arial Narrow" w:cs="Arial"/>
                <w:sz w:val="20"/>
                <w:szCs w:val="20"/>
                <w:lang w:val="en-AU"/>
              </w:rPr>
            </w:pPr>
            <w:r w:rsidRPr="00AE6A85">
              <w:rPr>
                <w:rFonts w:ascii="Arial Narrow" w:hAnsi="Arial Narrow" w:cs="Arial"/>
                <w:sz w:val="20"/>
                <w:szCs w:val="20"/>
                <w:lang w:val="en-AU"/>
              </w:rPr>
              <w:t xml:space="preserve">Bricanyl M2 Turbuhaler, 100 </w:t>
            </w:r>
            <w:r w:rsidR="001F114F" w:rsidRPr="00AE6A85">
              <w:rPr>
                <w:rFonts w:ascii="Arial Narrow" w:hAnsi="Arial Narrow" w:cs="Arial"/>
                <w:sz w:val="20"/>
                <w:szCs w:val="20"/>
                <w:lang w:val="en-AU"/>
              </w:rPr>
              <w:t>actuations</w:t>
            </w:r>
            <w:r w:rsidRPr="00AE6A85">
              <w:rPr>
                <w:rFonts w:ascii="Arial Narrow" w:hAnsi="Arial Narrow" w:cs="Arial"/>
                <w:sz w:val="20"/>
                <w:szCs w:val="20"/>
                <w:lang w:val="en-AU"/>
              </w:rPr>
              <w:t xml:space="preserve"> </w:t>
            </w:r>
          </w:p>
        </w:tc>
        <w:tc>
          <w:tcPr>
            <w:tcW w:w="834" w:type="pct"/>
          </w:tcPr>
          <w:p w:rsidR="00CB3D8B" w:rsidRPr="00AE6A85" w:rsidRDefault="00CB3D8B" w:rsidP="0070585F">
            <w:pPr>
              <w:pStyle w:val="Paragraph"/>
              <w:keepNext/>
              <w:keepLines/>
              <w:spacing w:after="0" w:line="240" w:lineRule="auto"/>
              <w:jc w:val="both"/>
              <w:rPr>
                <w:rFonts w:ascii="Arial Narrow" w:hAnsi="Arial Narrow" w:cs="Arial"/>
                <w:sz w:val="20"/>
                <w:szCs w:val="20"/>
                <w:lang w:val="en-AU"/>
              </w:rPr>
            </w:pPr>
            <w:r w:rsidRPr="00AE6A85">
              <w:rPr>
                <w:rFonts w:ascii="Arial Narrow" w:hAnsi="Arial Narrow" w:cs="Arial"/>
                <w:sz w:val="20"/>
                <w:szCs w:val="20"/>
                <w:lang w:val="en-AU"/>
              </w:rPr>
              <w:t>$6.82</w:t>
            </w:r>
          </w:p>
        </w:tc>
        <w:tc>
          <w:tcPr>
            <w:tcW w:w="834" w:type="pct"/>
          </w:tcPr>
          <w:p w:rsidR="00CB3D8B" w:rsidRPr="00AE6A85" w:rsidRDefault="00CB3D8B" w:rsidP="0070585F">
            <w:pPr>
              <w:pStyle w:val="Paragraph"/>
              <w:keepNext/>
              <w:keepLines/>
              <w:spacing w:after="0" w:line="240" w:lineRule="auto"/>
              <w:jc w:val="both"/>
              <w:rPr>
                <w:rFonts w:ascii="Arial Narrow" w:hAnsi="Arial Narrow" w:cs="Arial"/>
                <w:sz w:val="20"/>
                <w:szCs w:val="20"/>
                <w:lang w:val="en-AU"/>
              </w:rPr>
            </w:pPr>
            <w:r w:rsidRPr="00AE6A85">
              <w:rPr>
                <w:rFonts w:ascii="Arial Narrow" w:hAnsi="Arial Narrow" w:cs="Arial"/>
                <w:sz w:val="20"/>
                <w:szCs w:val="20"/>
                <w:lang w:val="en-AU"/>
              </w:rPr>
              <w:t>$13.64</w:t>
            </w:r>
          </w:p>
        </w:tc>
        <w:tc>
          <w:tcPr>
            <w:tcW w:w="833" w:type="pct"/>
          </w:tcPr>
          <w:p w:rsidR="00CB3D8B" w:rsidRPr="00AE6A85" w:rsidRDefault="00CB3D8B" w:rsidP="0070585F">
            <w:pPr>
              <w:pStyle w:val="Paragraph"/>
              <w:keepNext/>
              <w:keepLines/>
              <w:spacing w:after="0" w:line="240" w:lineRule="auto"/>
              <w:jc w:val="both"/>
              <w:rPr>
                <w:rFonts w:ascii="Arial Narrow" w:hAnsi="Arial Narrow" w:cs="Arial"/>
                <w:sz w:val="20"/>
                <w:szCs w:val="20"/>
                <w:lang w:val="en-AU"/>
              </w:rPr>
            </w:pPr>
            <w:r w:rsidRPr="00AE6A85">
              <w:rPr>
                <w:rFonts w:ascii="Arial Narrow" w:hAnsi="Arial Narrow" w:cs="Arial"/>
                <w:sz w:val="20"/>
                <w:szCs w:val="20"/>
                <w:lang w:val="en-AU"/>
              </w:rPr>
              <w:t>$7.34</w:t>
            </w:r>
          </w:p>
        </w:tc>
        <w:tc>
          <w:tcPr>
            <w:tcW w:w="834" w:type="pct"/>
          </w:tcPr>
          <w:p w:rsidR="00CB3D8B" w:rsidRPr="00AE6A85" w:rsidRDefault="00CB3D8B" w:rsidP="0070585F">
            <w:pPr>
              <w:pStyle w:val="Paragraph"/>
              <w:keepNext/>
              <w:keepLines/>
              <w:spacing w:after="0" w:line="240" w:lineRule="auto"/>
              <w:jc w:val="both"/>
              <w:rPr>
                <w:rFonts w:ascii="Arial Narrow" w:hAnsi="Arial Narrow" w:cs="Arial"/>
                <w:sz w:val="20"/>
                <w:szCs w:val="20"/>
                <w:lang w:val="en-AU"/>
              </w:rPr>
            </w:pPr>
            <w:r w:rsidRPr="00AE6A85">
              <w:rPr>
                <w:rFonts w:ascii="Arial Narrow" w:hAnsi="Arial Narrow" w:cs="Arial"/>
                <w:sz w:val="20"/>
                <w:szCs w:val="20"/>
                <w:lang w:val="en-AU"/>
              </w:rPr>
              <w:t>$14.67</w:t>
            </w:r>
          </w:p>
        </w:tc>
        <w:tc>
          <w:tcPr>
            <w:tcW w:w="832" w:type="pct"/>
          </w:tcPr>
          <w:p w:rsidR="00CB3D8B" w:rsidRPr="00AE6A85" w:rsidRDefault="00CB3D8B" w:rsidP="0070585F">
            <w:pPr>
              <w:pStyle w:val="Paragraph"/>
              <w:keepNext/>
              <w:keepLines/>
              <w:spacing w:after="0" w:line="240" w:lineRule="auto"/>
              <w:jc w:val="both"/>
              <w:rPr>
                <w:rFonts w:ascii="Arial Narrow" w:hAnsi="Arial Narrow" w:cs="Arial"/>
                <w:sz w:val="20"/>
                <w:szCs w:val="20"/>
                <w:lang w:val="en-AU"/>
              </w:rPr>
            </w:pPr>
            <w:r w:rsidRPr="00AE6A85">
              <w:rPr>
                <w:rFonts w:ascii="Arial Narrow" w:hAnsi="Arial Narrow" w:cs="Arial"/>
                <w:sz w:val="20"/>
                <w:szCs w:val="20"/>
                <w:lang w:val="en-AU"/>
              </w:rPr>
              <w:t>$26.15</w:t>
            </w:r>
          </w:p>
        </w:tc>
      </w:tr>
      <w:tr w:rsidR="00CB3D8B" w:rsidRPr="00AE6A85" w:rsidTr="0070585F">
        <w:trPr>
          <w:trHeight w:val="64"/>
        </w:trPr>
        <w:tc>
          <w:tcPr>
            <w:tcW w:w="833" w:type="pct"/>
          </w:tcPr>
          <w:p w:rsidR="00CB3D8B" w:rsidRPr="00AE6A85" w:rsidRDefault="00CB3D8B" w:rsidP="0070585F">
            <w:pPr>
              <w:pStyle w:val="Paragraph"/>
              <w:keepNext/>
              <w:keepLines/>
              <w:spacing w:after="0" w:line="240" w:lineRule="auto"/>
              <w:rPr>
                <w:rFonts w:ascii="Arial Narrow" w:hAnsi="Arial Narrow" w:cs="Arial"/>
                <w:sz w:val="20"/>
                <w:szCs w:val="20"/>
                <w:lang w:val="en-AU"/>
              </w:rPr>
            </w:pPr>
            <w:r w:rsidRPr="00AE6A85">
              <w:rPr>
                <w:rFonts w:ascii="Arial Narrow" w:hAnsi="Arial Narrow" w:cs="Arial"/>
                <w:sz w:val="20"/>
                <w:szCs w:val="20"/>
                <w:lang w:val="en-AU"/>
              </w:rPr>
              <w:t xml:space="preserve">Bricanyl M3 Turbuhaler, 120 </w:t>
            </w:r>
            <w:r w:rsidR="001F114F" w:rsidRPr="00AE6A85">
              <w:rPr>
                <w:rFonts w:ascii="Arial Narrow" w:hAnsi="Arial Narrow" w:cs="Arial"/>
                <w:sz w:val="20"/>
                <w:szCs w:val="20"/>
                <w:lang w:val="en-AU"/>
              </w:rPr>
              <w:t>actuations</w:t>
            </w:r>
          </w:p>
        </w:tc>
        <w:tc>
          <w:tcPr>
            <w:tcW w:w="834" w:type="pct"/>
          </w:tcPr>
          <w:p w:rsidR="00CB3D8B" w:rsidRPr="00AE6A85" w:rsidRDefault="00CB3D8B" w:rsidP="0070585F">
            <w:pPr>
              <w:pStyle w:val="Paragraph"/>
              <w:keepNext/>
              <w:keepLines/>
              <w:spacing w:after="0" w:line="240" w:lineRule="auto"/>
              <w:jc w:val="both"/>
              <w:rPr>
                <w:rFonts w:ascii="Arial Narrow" w:hAnsi="Arial Narrow" w:cs="Arial"/>
                <w:sz w:val="20"/>
                <w:szCs w:val="20"/>
                <w:lang w:val="en-AU"/>
              </w:rPr>
            </w:pPr>
            <w:r w:rsidRPr="00AE6A85">
              <w:rPr>
                <w:rFonts w:ascii="Arial Narrow" w:hAnsi="Arial Narrow" w:cs="Arial"/>
                <w:sz w:val="20"/>
                <w:szCs w:val="20"/>
                <w:lang w:val="en-AU"/>
              </w:rPr>
              <w:t>$8.19</w:t>
            </w:r>
          </w:p>
        </w:tc>
        <w:tc>
          <w:tcPr>
            <w:tcW w:w="834" w:type="pct"/>
          </w:tcPr>
          <w:p w:rsidR="00CB3D8B" w:rsidRPr="00AE6A85" w:rsidRDefault="00CB3D8B" w:rsidP="0070585F">
            <w:pPr>
              <w:pStyle w:val="Paragraph"/>
              <w:keepNext/>
              <w:keepLines/>
              <w:spacing w:after="0" w:line="240" w:lineRule="auto"/>
              <w:jc w:val="both"/>
              <w:rPr>
                <w:rFonts w:ascii="Arial Narrow" w:hAnsi="Arial Narrow" w:cs="Arial"/>
                <w:sz w:val="20"/>
                <w:szCs w:val="20"/>
                <w:lang w:val="en-AU"/>
              </w:rPr>
            </w:pPr>
            <w:r w:rsidRPr="00AE6A85">
              <w:rPr>
                <w:rFonts w:ascii="Arial Narrow" w:hAnsi="Arial Narrow" w:cs="Arial"/>
                <w:sz w:val="20"/>
                <w:szCs w:val="20"/>
                <w:lang w:val="en-AU"/>
              </w:rPr>
              <w:t>$16.37</w:t>
            </w:r>
          </w:p>
        </w:tc>
        <w:tc>
          <w:tcPr>
            <w:tcW w:w="833" w:type="pct"/>
          </w:tcPr>
          <w:p w:rsidR="00CB3D8B" w:rsidRPr="00AE6A85" w:rsidRDefault="00CB3D8B" w:rsidP="0070585F">
            <w:pPr>
              <w:pStyle w:val="Paragraph"/>
              <w:keepNext/>
              <w:keepLines/>
              <w:spacing w:after="0" w:line="240" w:lineRule="auto"/>
              <w:jc w:val="both"/>
              <w:rPr>
                <w:rFonts w:ascii="Arial Narrow" w:hAnsi="Arial Narrow" w:cs="Arial"/>
                <w:sz w:val="20"/>
                <w:szCs w:val="20"/>
                <w:lang w:val="en-AU"/>
              </w:rPr>
            </w:pPr>
            <w:r w:rsidRPr="00AE6A85">
              <w:rPr>
                <w:rFonts w:ascii="Arial Narrow" w:hAnsi="Arial Narrow" w:cs="Arial"/>
                <w:sz w:val="20"/>
                <w:szCs w:val="20"/>
                <w:lang w:val="en-AU"/>
              </w:rPr>
              <w:t>$8.80</w:t>
            </w:r>
          </w:p>
        </w:tc>
        <w:tc>
          <w:tcPr>
            <w:tcW w:w="834" w:type="pct"/>
          </w:tcPr>
          <w:p w:rsidR="00CB3D8B" w:rsidRPr="00AE6A85" w:rsidRDefault="00CB3D8B" w:rsidP="0070585F">
            <w:pPr>
              <w:pStyle w:val="Paragraph"/>
              <w:keepNext/>
              <w:keepLines/>
              <w:spacing w:after="0" w:line="240" w:lineRule="auto"/>
              <w:jc w:val="both"/>
              <w:rPr>
                <w:rFonts w:ascii="Arial Narrow" w:hAnsi="Arial Narrow" w:cs="Arial"/>
                <w:sz w:val="20"/>
                <w:szCs w:val="20"/>
                <w:lang w:val="en-AU"/>
              </w:rPr>
            </w:pPr>
            <w:r w:rsidRPr="00AE6A85">
              <w:rPr>
                <w:rFonts w:ascii="Arial Narrow" w:hAnsi="Arial Narrow" w:cs="Arial"/>
                <w:sz w:val="20"/>
                <w:szCs w:val="20"/>
                <w:lang w:val="en-AU"/>
              </w:rPr>
              <w:t>$17.60</w:t>
            </w:r>
          </w:p>
        </w:tc>
        <w:tc>
          <w:tcPr>
            <w:tcW w:w="832" w:type="pct"/>
          </w:tcPr>
          <w:p w:rsidR="00CB3D8B" w:rsidRPr="00AE6A85" w:rsidRDefault="00CB3D8B" w:rsidP="0070585F">
            <w:pPr>
              <w:pStyle w:val="Paragraph"/>
              <w:keepNext/>
              <w:keepLines/>
              <w:spacing w:after="0" w:line="240" w:lineRule="auto"/>
              <w:jc w:val="both"/>
              <w:rPr>
                <w:rFonts w:ascii="Arial Narrow" w:hAnsi="Arial Narrow" w:cs="Arial"/>
                <w:sz w:val="20"/>
                <w:szCs w:val="20"/>
                <w:lang w:val="en-AU"/>
              </w:rPr>
            </w:pPr>
            <w:r w:rsidRPr="00AE6A85">
              <w:rPr>
                <w:rFonts w:ascii="Arial Narrow" w:hAnsi="Arial Narrow" w:cs="Arial"/>
                <w:sz w:val="20"/>
                <w:szCs w:val="20"/>
                <w:lang w:val="en-AU"/>
              </w:rPr>
              <w:t>$29.08</w:t>
            </w:r>
          </w:p>
        </w:tc>
      </w:tr>
    </w:tbl>
    <w:p w:rsidR="00CB3D8B" w:rsidRPr="00AE6A85" w:rsidRDefault="000B2F58" w:rsidP="0070585F">
      <w:pPr>
        <w:pStyle w:val="TableFigureFooter"/>
      </w:pPr>
      <w:r w:rsidRPr="00AE6A85">
        <w:t xml:space="preserve">Source: Main submission document, page 4. </w:t>
      </w:r>
    </w:p>
    <w:p w:rsidR="00A55FEE" w:rsidRPr="00AE6A85" w:rsidRDefault="00680385" w:rsidP="0070585F">
      <w:pPr>
        <w:pStyle w:val="TableFigureFooter"/>
      </w:pPr>
      <w:r w:rsidRPr="00AE6A85">
        <w:t xml:space="preserve">Abbreviations: </w:t>
      </w:r>
      <w:r w:rsidR="00711BCC" w:rsidRPr="00AE6A85">
        <w:t xml:space="preserve">AEMP = Agreed ex-manufacturer price; </w:t>
      </w:r>
      <w:r w:rsidR="00BE5CDD" w:rsidRPr="00AE6A85">
        <w:t>DPMQ = Dispensed price for maximum quantity; MQ = maximum quantity</w:t>
      </w:r>
    </w:p>
    <w:p w:rsidR="00B72DDA" w:rsidRPr="00AE6A85" w:rsidRDefault="00C837B0" w:rsidP="0070585F">
      <w:pPr>
        <w:pStyle w:val="3Bodytext"/>
        <w:keepNext/>
        <w:keepLines/>
        <w:spacing w:before="120"/>
        <w:jc w:val="both"/>
      </w:pPr>
      <w:r w:rsidRPr="00AE6A85">
        <w:lastRenderedPageBreak/>
        <w:t>In January 2019, t</w:t>
      </w:r>
      <w:r w:rsidR="00CE2F0B" w:rsidRPr="00AE6A85">
        <w:t>he sponsor requested a</w:t>
      </w:r>
      <w:r w:rsidRPr="00AE6A85">
        <w:t xml:space="preserve">n 82% </w:t>
      </w:r>
      <w:r w:rsidR="00CE2F0B" w:rsidRPr="00AE6A85">
        <w:t xml:space="preserve">price increase </w:t>
      </w:r>
      <w:r w:rsidRPr="00AE6A85">
        <w:t xml:space="preserve">from </w:t>
      </w:r>
      <w:r w:rsidRPr="00AE6A85">
        <w:rPr>
          <w:rFonts w:cs="Arial"/>
          <w:szCs w:val="20"/>
        </w:rPr>
        <w:t xml:space="preserve">AEMP $3.75 to AEMP $6.82 for the M2 Turbuhaler </w:t>
      </w:r>
      <w:r w:rsidR="00CE2F0B" w:rsidRPr="00AE6A85">
        <w:t>on the basis of commercial viability. This was implemented in November 2019</w:t>
      </w:r>
      <w:r w:rsidR="00CE2F0B" w:rsidRPr="00AE6A85">
        <w:rPr>
          <w:rFonts w:cs="Arial"/>
          <w:szCs w:val="20"/>
        </w:rPr>
        <w:t xml:space="preserve">. The </w:t>
      </w:r>
      <w:r w:rsidR="00B558FD" w:rsidRPr="00AE6A85">
        <w:rPr>
          <w:rFonts w:cs="Arial"/>
          <w:szCs w:val="20"/>
        </w:rPr>
        <w:t xml:space="preserve">price </w:t>
      </w:r>
      <w:r w:rsidR="00CE2F0B" w:rsidRPr="00AE6A85">
        <w:rPr>
          <w:rFonts w:cs="Arial"/>
          <w:szCs w:val="20"/>
        </w:rPr>
        <w:t xml:space="preserve">increase was based on the </w:t>
      </w:r>
      <w:r w:rsidR="006E1882" w:rsidRPr="00AE6A85">
        <w:rPr>
          <w:rFonts w:cs="Arial"/>
          <w:szCs w:val="20"/>
        </w:rPr>
        <w:t xml:space="preserve">increase to the </w:t>
      </w:r>
      <w:r w:rsidR="00CE2F0B" w:rsidRPr="00AE6A85">
        <w:rPr>
          <w:rFonts w:cs="Arial"/>
          <w:szCs w:val="20"/>
        </w:rPr>
        <w:t xml:space="preserve">cost of goods following a production site move. </w:t>
      </w:r>
      <w:r w:rsidR="00B72DDA" w:rsidRPr="00AE6A85">
        <w:rPr>
          <w:rFonts w:cs="Arial"/>
          <w:szCs w:val="20"/>
        </w:rPr>
        <w:t>The evaluation considered that the</w:t>
      </w:r>
      <w:r w:rsidR="007F0A5C" w:rsidRPr="00AE6A85">
        <w:t xml:space="preserve"> cost of goods per actuation for the M3 Turbuhaler </w:t>
      </w:r>
      <w:r w:rsidR="00B72DDA" w:rsidRPr="00AE6A85">
        <w:t>was</w:t>
      </w:r>
      <w:r w:rsidR="00371806" w:rsidRPr="00AE6A85">
        <w:t xml:space="preserve"> expected to </w:t>
      </w:r>
      <w:r w:rsidR="007F0A5C" w:rsidRPr="00AE6A85">
        <w:t>decrease with the increased actuations per manufactured device</w:t>
      </w:r>
      <w:r w:rsidR="009160C1" w:rsidRPr="00AE6A85">
        <w:t xml:space="preserve">, resulting in a lower </w:t>
      </w:r>
      <w:r w:rsidR="007F0A5C" w:rsidRPr="00AE6A85">
        <w:t>AEMP</w:t>
      </w:r>
      <w:r w:rsidR="00436D7B" w:rsidRPr="00AE6A85">
        <w:t xml:space="preserve"> per dose</w:t>
      </w:r>
      <w:r w:rsidR="007F0A5C" w:rsidRPr="00AE6A85">
        <w:t xml:space="preserve"> of the M3 Turbuhaler </w:t>
      </w:r>
      <w:r w:rsidR="009160C1" w:rsidRPr="00AE6A85">
        <w:t xml:space="preserve">compared to </w:t>
      </w:r>
      <w:r w:rsidR="007F0A5C" w:rsidRPr="00AE6A85">
        <w:t xml:space="preserve">the M2 Turbuhaler. </w:t>
      </w:r>
      <w:r w:rsidR="0028308F" w:rsidRPr="00AE6A85">
        <w:t>However, t</w:t>
      </w:r>
      <w:r w:rsidR="00E54632" w:rsidRPr="00AE6A85">
        <w:t>he pre-PBAC response</w:t>
      </w:r>
      <w:r w:rsidR="00652D14" w:rsidRPr="00AE6A85">
        <w:t xml:space="preserve"> (p1)</w:t>
      </w:r>
      <w:r w:rsidR="00E54632" w:rsidRPr="00AE6A85">
        <w:t xml:space="preserve"> </w:t>
      </w:r>
      <w:r w:rsidR="00DF042C" w:rsidRPr="00AE6A85">
        <w:t xml:space="preserve">disagreed and </w:t>
      </w:r>
      <w:r w:rsidR="00E54632" w:rsidRPr="00AE6A85">
        <w:t xml:space="preserve">argued that the variable cost components of the device </w:t>
      </w:r>
      <w:r w:rsidR="00B72DDA" w:rsidRPr="00AE6A85">
        <w:t xml:space="preserve">would </w:t>
      </w:r>
      <w:r w:rsidR="00E54632" w:rsidRPr="00AE6A85">
        <w:t>rise in proportion to the quantity of materials in the product</w:t>
      </w:r>
      <w:r w:rsidR="00DF042C" w:rsidRPr="00AE6A85">
        <w:t xml:space="preserve">; and that </w:t>
      </w:r>
      <w:r w:rsidR="00E54632" w:rsidRPr="00AE6A85">
        <w:t>any decrease in cost per actuation would be negated by the increase in the number of actuations in the M3 device</w:t>
      </w:r>
      <w:r w:rsidR="00912937" w:rsidRPr="00AE6A85">
        <w:t xml:space="preserve">. </w:t>
      </w:r>
    </w:p>
    <w:p w:rsidR="00CE2F0B" w:rsidRPr="00AE6A85" w:rsidRDefault="00CE2F0B" w:rsidP="0070585F">
      <w:pPr>
        <w:pStyle w:val="3Bodytext"/>
        <w:keepNext/>
        <w:keepLines/>
        <w:spacing w:before="120"/>
        <w:jc w:val="both"/>
      </w:pPr>
      <w:r w:rsidRPr="00AE6A85">
        <w:t xml:space="preserve">The commercial costings for the M3 Turbuhaler </w:t>
      </w:r>
      <w:r w:rsidR="002D5B32" w:rsidRPr="00AE6A85">
        <w:t>could not be verified</w:t>
      </w:r>
      <w:r w:rsidR="009160C1" w:rsidRPr="00AE6A85">
        <w:t>.</w:t>
      </w:r>
      <w:r w:rsidR="00AB7197" w:rsidRPr="00AE6A85">
        <w:t xml:space="preserve"> </w:t>
      </w:r>
    </w:p>
    <w:p w:rsidR="005A3173" w:rsidRPr="00AE6A85" w:rsidRDefault="005A3173" w:rsidP="0070585F">
      <w:pPr>
        <w:pStyle w:val="4-SubsectionHeading"/>
        <w:keepLines/>
        <w:rPr>
          <w:lang w:eastAsia="en-US"/>
        </w:rPr>
      </w:pPr>
      <w:r w:rsidRPr="00AE6A85">
        <w:rPr>
          <w:lang w:eastAsia="en-US"/>
        </w:rPr>
        <w:t>Estimated PBS usage &amp; financial implications</w:t>
      </w:r>
    </w:p>
    <w:p w:rsidR="00784A34" w:rsidRPr="00AE6A85" w:rsidRDefault="00443258" w:rsidP="0070585F">
      <w:pPr>
        <w:pStyle w:val="3Bodytext"/>
        <w:jc w:val="both"/>
        <w:rPr>
          <w:b/>
          <w:color w:val="FF00FF"/>
        </w:rPr>
      </w:pPr>
      <w:r w:rsidRPr="00AE6A85">
        <w:t xml:space="preserve">The submission estimated there to be no financial implications to the PBS. </w:t>
      </w:r>
      <w:r w:rsidR="00031F25" w:rsidRPr="00AE6A85">
        <w:t xml:space="preserve">The listing of the </w:t>
      </w:r>
      <w:r w:rsidR="005B5909" w:rsidRPr="00AE6A85">
        <w:t>M3 Turbuhaler</w:t>
      </w:r>
      <w:r w:rsidR="00031F25" w:rsidRPr="00AE6A85">
        <w:t xml:space="preserve"> is not expected to increase the current market</w:t>
      </w:r>
      <w:r w:rsidR="00DF6F01" w:rsidRPr="00AE6A85">
        <w:t>. However, t</w:t>
      </w:r>
      <w:r w:rsidRPr="00AE6A85">
        <w:t>he submission expect</w:t>
      </w:r>
      <w:r w:rsidR="005B5909" w:rsidRPr="00AE6A85">
        <w:t>ed</w:t>
      </w:r>
      <w:r w:rsidRPr="00AE6A85">
        <w:t xml:space="preserve"> a decrease in dispensing frequency </w:t>
      </w:r>
      <w:r w:rsidR="00530125" w:rsidRPr="00AE6A85">
        <w:t>proportional to the</w:t>
      </w:r>
      <w:r w:rsidRPr="00AE6A85">
        <w:t xml:space="preserve"> 20% increase in the number of doses per pack and given that terbutaline is only used</w:t>
      </w:r>
      <w:r w:rsidR="008B78B8" w:rsidRPr="00AE6A85">
        <w:t xml:space="preserve"> when required</w:t>
      </w:r>
      <w:r w:rsidRPr="00AE6A85">
        <w:t xml:space="preserve">. </w:t>
      </w:r>
      <w:r w:rsidR="00113B16" w:rsidRPr="00AE6A85">
        <w:t>Additionally, t</w:t>
      </w:r>
      <w:r w:rsidR="00436D7B" w:rsidRPr="00AE6A85">
        <w:t xml:space="preserve">he reduced number of </w:t>
      </w:r>
      <w:r w:rsidR="000D1F35" w:rsidRPr="00AE6A85">
        <w:t>dispensing</w:t>
      </w:r>
      <w:r w:rsidR="006D5E15" w:rsidRPr="00AE6A85">
        <w:t>s</w:t>
      </w:r>
      <w:r w:rsidR="00436D7B" w:rsidRPr="00AE6A85">
        <w:t xml:space="preserve"> is expected to have financial impacts to the </w:t>
      </w:r>
      <w:r w:rsidR="000D1F35" w:rsidRPr="00AE6A85">
        <w:t>PBS,</w:t>
      </w:r>
      <w:r w:rsidR="00436D7B" w:rsidRPr="00AE6A85">
        <w:t xml:space="preserve"> as it </w:t>
      </w:r>
      <w:r w:rsidR="00666720" w:rsidRPr="00AE6A85">
        <w:t xml:space="preserve">would </w:t>
      </w:r>
      <w:r w:rsidR="00436D7B" w:rsidRPr="00AE6A85">
        <w:t xml:space="preserve">reduce the number of co-payments. </w:t>
      </w:r>
      <w:r w:rsidR="00113B16" w:rsidRPr="00AE6A85">
        <w:t>T</w:t>
      </w:r>
      <w:r w:rsidR="00211B16" w:rsidRPr="00AE6A85">
        <w:t xml:space="preserve">he pre-PBAC response </w:t>
      </w:r>
      <w:r w:rsidR="003467D4" w:rsidRPr="00AE6A85">
        <w:t xml:space="preserve">(p2) </w:t>
      </w:r>
      <w:r w:rsidR="00113B16" w:rsidRPr="00AE6A85">
        <w:t xml:space="preserve">provided financial estimates and stated </w:t>
      </w:r>
      <w:r w:rsidR="00FD3AFD" w:rsidRPr="00AE6A85">
        <w:t xml:space="preserve">that </w:t>
      </w:r>
      <w:r w:rsidR="00211B16" w:rsidRPr="00AE6A85">
        <w:t>a reduction in script n</w:t>
      </w:r>
      <w:r w:rsidR="00247EB2" w:rsidRPr="00AE6A85">
        <w:t>umbers of</w:t>
      </w:r>
      <w:r w:rsidR="003467D4" w:rsidRPr="00AE6A85">
        <w:t xml:space="preserve"> 12% </w:t>
      </w:r>
      <w:r w:rsidR="00113B16" w:rsidRPr="00AE6A85">
        <w:t xml:space="preserve">would </w:t>
      </w:r>
      <w:r w:rsidR="00211B16" w:rsidRPr="00AE6A85">
        <w:t>negate the increased DPMQ</w:t>
      </w:r>
      <w:r w:rsidR="00FD3AFD" w:rsidRPr="00AE6A85">
        <w:t xml:space="preserve"> at the proposed price</w:t>
      </w:r>
      <w:r w:rsidR="00666720" w:rsidRPr="00AE6A85">
        <w:t>,</w:t>
      </w:r>
      <w:r w:rsidR="00113B16" w:rsidRPr="00AE6A85">
        <w:t xml:space="preserve"> resulting in a nil net financial impact to the Commonwealth</w:t>
      </w:r>
      <w:r w:rsidR="00666720" w:rsidRPr="00AE6A85">
        <w:t>.</w:t>
      </w:r>
    </w:p>
    <w:p w:rsidR="00444F21" w:rsidRPr="00AE6A85" w:rsidRDefault="00444F21" w:rsidP="0070585F">
      <w:pPr>
        <w:pStyle w:val="Tabletitles"/>
        <w:keepNext/>
        <w:keepLines/>
        <w:widowControl w:val="0"/>
        <w:rPr>
          <w:color w:val="FF00FF"/>
        </w:rPr>
      </w:pPr>
      <w:r w:rsidRPr="00AE6A85">
        <w:lastRenderedPageBreak/>
        <w:t xml:space="preserve">Table 3: </w:t>
      </w:r>
      <w:r w:rsidR="006F6971" w:rsidRPr="00AE6A85">
        <w:t>U</w:t>
      </w:r>
      <w:r w:rsidRPr="00AE6A85">
        <w:t>tilisation and expected financial implications from pre-PBAC response</w:t>
      </w:r>
    </w:p>
    <w:tbl>
      <w:tblPr>
        <w:tblStyle w:val="TableGrid"/>
        <w:tblW w:w="5000" w:type="pct"/>
        <w:tblLook w:val="04A0" w:firstRow="1" w:lastRow="0" w:firstColumn="1" w:lastColumn="0" w:noHBand="0" w:noVBand="1"/>
        <w:tblCaption w:val="Table 3"/>
      </w:tblPr>
      <w:tblGrid>
        <w:gridCol w:w="3257"/>
        <w:gridCol w:w="2755"/>
        <w:gridCol w:w="3004"/>
      </w:tblGrid>
      <w:tr w:rsidR="00444F21" w:rsidRPr="00AE6A85" w:rsidTr="00945773">
        <w:trPr>
          <w:tblHeader/>
        </w:trPr>
        <w:tc>
          <w:tcPr>
            <w:tcW w:w="1806" w:type="pct"/>
            <w:tcBorders>
              <w:bottom w:val="single" w:sz="4" w:space="0" w:color="auto"/>
            </w:tcBorders>
          </w:tcPr>
          <w:p w:rsidR="00444F21" w:rsidRPr="0070585F" w:rsidRDefault="00444F21" w:rsidP="0070585F">
            <w:pPr>
              <w:pStyle w:val="2-SectionHeading"/>
              <w:keepLines/>
              <w:widowControl w:val="0"/>
              <w:numPr>
                <w:ilvl w:val="0"/>
                <w:numId w:val="0"/>
              </w:numPr>
              <w:rPr>
                <w:rFonts w:ascii="Arial Narrow" w:hAnsi="Arial Narrow"/>
                <w:sz w:val="20"/>
                <w:szCs w:val="20"/>
              </w:rPr>
            </w:pPr>
          </w:p>
        </w:tc>
        <w:tc>
          <w:tcPr>
            <w:tcW w:w="1528" w:type="pct"/>
            <w:tcBorders>
              <w:bottom w:val="single" w:sz="4" w:space="0" w:color="auto"/>
            </w:tcBorders>
          </w:tcPr>
          <w:p w:rsidR="00444F21" w:rsidRPr="0070585F" w:rsidRDefault="00444F21" w:rsidP="0070585F">
            <w:pPr>
              <w:keepNext/>
              <w:keepLines/>
              <w:widowControl w:val="0"/>
              <w:jc w:val="center"/>
              <w:rPr>
                <w:rFonts w:ascii="Arial Narrow" w:hAnsi="Arial Narrow"/>
                <w:b/>
                <w:iCs/>
                <w:sz w:val="20"/>
                <w:szCs w:val="20"/>
              </w:rPr>
            </w:pPr>
            <w:r w:rsidRPr="0070585F">
              <w:rPr>
                <w:rFonts w:ascii="Arial Narrow" w:hAnsi="Arial Narrow"/>
                <w:b/>
                <w:iCs/>
                <w:sz w:val="20"/>
                <w:szCs w:val="20"/>
              </w:rPr>
              <w:t xml:space="preserve">Govt cost </w:t>
            </w:r>
          </w:p>
          <w:p w:rsidR="00444F21" w:rsidRPr="0070585F" w:rsidRDefault="00444F21" w:rsidP="0070585F">
            <w:pPr>
              <w:keepNext/>
              <w:keepLines/>
              <w:widowControl w:val="0"/>
              <w:jc w:val="center"/>
              <w:rPr>
                <w:rFonts w:ascii="Arial Narrow" w:hAnsi="Arial Narrow"/>
                <w:b/>
                <w:sz w:val="20"/>
                <w:szCs w:val="20"/>
              </w:rPr>
            </w:pPr>
            <w:r w:rsidRPr="0070585F">
              <w:rPr>
                <w:rFonts w:ascii="Arial Narrow" w:hAnsi="Arial Narrow"/>
                <w:b/>
                <w:iCs/>
                <w:sz w:val="20"/>
                <w:szCs w:val="20"/>
              </w:rPr>
              <w:t>@ current DPMQ</w:t>
            </w:r>
          </w:p>
        </w:tc>
        <w:tc>
          <w:tcPr>
            <w:tcW w:w="1666" w:type="pct"/>
            <w:tcBorders>
              <w:bottom w:val="single" w:sz="4" w:space="0" w:color="auto"/>
            </w:tcBorders>
          </w:tcPr>
          <w:p w:rsidR="00444F21" w:rsidRPr="0070585F" w:rsidRDefault="00444F21" w:rsidP="0070585F">
            <w:pPr>
              <w:keepNext/>
              <w:keepLines/>
              <w:widowControl w:val="0"/>
              <w:jc w:val="center"/>
              <w:rPr>
                <w:rFonts w:ascii="Arial Narrow" w:hAnsi="Arial Narrow"/>
                <w:b/>
                <w:iCs/>
                <w:sz w:val="20"/>
                <w:szCs w:val="20"/>
              </w:rPr>
            </w:pPr>
            <w:r w:rsidRPr="0070585F">
              <w:rPr>
                <w:rFonts w:ascii="Arial Narrow" w:hAnsi="Arial Narrow"/>
                <w:b/>
                <w:iCs/>
                <w:sz w:val="20"/>
                <w:szCs w:val="20"/>
              </w:rPr>
              <w:t xml:space="preserve">Govt cost </w:t>
            </w:r>
          </w:p>
          <w:p w:rsidR="00444F21" w:rsidRPr="0070585F" w:rsidRDefault="00444F21" w:rsidP="0070585F">
            <w:pPr>
              <w:keepNext/>
              <w:keepLines/>
              <w:widowControl w:val="0"/>
              <w:jc w:val="center"/>
              <w:rPr>
                <w:rFonts w:ascii="Arial Narrow" w:hAnsi="Arial Narrow"/>
                <w:b/>
                <w:sz w:val="20"/>
                <w:szCs w:val="20"/>
              </w:rPr>
            </w:pPr>
            <w:r w:rsidRPr="0070585F">
              <w:rPr>
                <w:rFonts w:ascii="Arial Narrow" w:hAnsi="Arial Narrow"/>
                <w:b/>
                <w:iCs/>
                <w:sz w:val="20"/>
                <w:szCs w:val="20"/>
              </w:rPr>
              <w:t>@ proposed DPMQ with 20% fewer scripts</w:t>
            </w:r>
          </w:p>
        </w:tc>
      </w:tr>
      <w:tr w:rsidR="00444F21" w:rsidRPr="00AE6A85" w:rsidTr="0070585F">
        <w:tc>
          <w:tcPr>
            <w:tcW w:w="1806" w:type="pct"/>
            <w:tcBorders>
              <w:right w:val="nil"/>
            </w:tcBorders>
          </w:tcPr>
          <w:p w:rsidR="00444F21" w:rsidRPr="0070585F" w:rsidRDefault="00444F21" w:rsidP="0070585F">
            <w:pPr>
              <w:keepNext/>
              <w:keepLines/>
              <w:widowControl w:val="0"/>
              <w:rPr>
                <w:rFonts w:ascii="Arial Narrow" w:hAnsi="Arial Narrow"/>
                <w:sz w:val="20"/>
                <w:szCs w:val="20"/>
              </w:rPr>
            </w:pPr>
            <w:r w:rsidRPr="0070585F">
              <w:rPr>
                <w:rFonts w:ascii="Arial Narrow" w:hAnsi="Arial Narrow"/>
                <w:b/>
                <w:bCs/>
                <w:iCs/>
                <w:sz w:val="20"/>
                <w:szCs w:val="20"/>
              </w:rPr>
              <w:t>PBS General</w:t>
            </w:r>
          </w:p>
        </w:tc>
        <w:tc>
          <w:tcPr>
            <w:tcW w:w="1528" w:type="pct"/>
            <w:tcBorders>
              <w:left w:val="nil"/>
              <w:right w:val="nil"/>
            </w:tcBorders>
          </w:tcPr>
          <w:p w:rsidR="00444F21" w:rsidRPr="0070585F" w:rsidRDefault="00444F21" w:rsidP="0070585F">
            <w:pPr>
              <w:keepNext/>
              <w:keepLines/>
              <w:widowControl w:val="0"/>
              <w:jc w:val="center"/>
              <w:rPr>
                <w:rFonts w:ascii="Arial Narrow" w:hAnsi="Arial Narrow"/>
                <w:sz w:val="20"/>
                <w:szCs w:val="20"/>
              </w:rPr>
            </w:pPr>
          </w:p>
        </w:tc>
        <w:tc>
          <w:tcPr>
            <w:tcW w:w="1666" w:type="pct"/>
            <w:tcBorders>
              <w:left w:val="nil"/>
            </w:tcBorders>
          </w:tcPr>
          <w:p w:rsidR="00444F21" w:rsidRPr="0070585F" w:rsidRDefault="00444F21" w:rsidP="0070585F">
            <w:pPr>
              <w:keepNext/>
              <w:keepLines/>
              <w:widowControl w:val="0"/>
              <w:jc w:val="center"/>
              <w:rPr>
                <w:rFonts w:ascii="Arial Narrow" w:hAnsi="Arial Narrow"/>
                <w:sz w:val="20"/>
                <w:szCs w:val="20"/>
              </w:rPr>
            </w:pPr>
          </w:p>
        </w:tc>
      </w:tr>
      <w:tr w:rsidR="00444F21" w:rsidRPr="00AE6A85" w:rsidTr="0070585F">
        <w:tc>
          <w:tcPr>
            <w:tcW w:w="1806" w:type="pct"/>
          </w:tcPr>
          <w:p w:rsidR="00444F21" w:rsidRPr="0070585F" w:rsidRDefault="00444F21" w:rsidP="0070585F">
            <w:pPr>
              <w:keepNext/>
              <w:keepLines/>
              <w:widowControl w:val="0"/>
              <w:jc w:val="left"/>
              <w:rPr>
                <w:rFonts w:ascii="Arial Narrow" w:hAnsi="Arial Narrow"/>
                <w:bCs/>
                <w:iCs/>
                <w:sz w:val="20"/>
                <w:szCs w:val="20"/>
              </w:rPr>
            </w:pPr>
            <w:r w:rsidRPr="0070585F">
              <w:rPr>
                <w:rFonts w:ascii="Arial Narrow" w:hAnsi="Arial Narrow"/>
                <w:bCs/>
                <w:iCs/>
                <w:sz w:val="20"/>
                <w:szCs w:val="20"/>
              </w:rPr>
              <w:t>Scripts</w:t>
            </w:r>
          </w:p>
        </w:tc>
        <w:tc>
          <w:tcPr>
            <w:tcW w:w="1528" w:type="pct"/>
          </w:tcPr>
          <w:p w:rsidR="00444F21" w:rsidRPr="0012221D" w:rsidRDefault="0012221D" w:rsidP="0070585F">
            <w:pPr>
              <w:keepNext/>
              <w:keepLines/>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666" w:type="pct"/>
          </w:tcPr>
          <w:p w:rsidR="00444F21" w:rsidRPr="0012221D" w:rsidRDefault="0012221D" w:rsidP="0070585F">
            <w:pPr>
              <w:keepNext/>
              <w:keepLines/>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44F21" w:rsidRPr="00AE6A85" w:rsidTr="0070585F">
        <w:tc>
          <w:tcPr>
            <w:tcW w:w="1806" w:type="pct"/>
            <w:tcBorders>
              <w:bottom w:val="single" w:sz="4" w:space="0" w:color="auto"/>
            </w:tcBorders>
          </w:tcPr>
          <w:p w:rsidR="00444F21" w:rsidRPr="0070585F" w:rsidRDefault="00444F21" w:rsidP="0070585F">
            <w:pPr>
              <w:keepNext/>
              <w:keepLines/>
              <w:widowControl w:val="0"/>
              <w:jc w:val="left"/>
              <w:rPr>
                <w:rFonts w:ascii="Arial Narrow" w:hAnsi="Arial Narrow"/>
                <w:bCs/>
                <w:iCs/>
                <w:sz w:val="20"/>
                <w:szCs w:val="20"/>
              </w:rPr>
            </w:pPr>
            <w:r w:rsidRPr="0070585F">
              <w:rPr>
                <w:rFonts w:ascii="Arial Narrow" w:hAnsi="Arial Narrow"/>
                <w:bCs/>
                <w:iCs/>
                <w:sz w:val="20"/>
                <w:szCs w:val="20"/>
              </w:rPr>
              <w:t>Costs (DPMQ)</w:t>
            </w:r>
          </w:p>
        </w:tc>
        <w:tc>
          <w:tcPr>
            <w:tcW w:w="1528" w:type="pct"/>
            <w:tcBorders>
              <w:bottom w:val="single" w:sz="4" w:space="0" w:color="auto"/>
            </w:tcBorders>
          </w:tcPr>
          <w:p w:rsidR="00444F21" w:rsidRPr="0070585F" w:rsidRDefault="00444F21" w:rsidP="0070585F">
            <w:pPr>
              <w:keepNext/>
              <w:keepLines/>
              <w:widowControl w:val="0"/>
              <w:jc w:val="center"/>
              <w:rPr>
                <w:rFonts w:ascii="Arial Narrow" w:hAnsi="Arial Narrow"/>
                <w:sz w:val="20"/>
                <w:szCs w:val="20"/>
              </w:rPr>
            </w:pPr>
            <w:r w:rsidRPr="0070585F">
              <w:rPr>
                <w:rFonts w:ascii="Arial Narrow" w:hAnsi="Arial Narrow"/>
                <w:sz w:val="20"/>
                <w:szCs w:val="20"/>
              </w:rPr>
              <w:t>$</w:t>
            </w:r>
            <w:r w:rsidR="0012221D">
              <w:rPr>
                <w:rFonts w:ascii="Arial Narrow" w:hAnsi="Arial Narrow"/>
                <w:noProof/>
                <w:color w:val="000000"/>
                <w:sz w:val="20"/>
                <w:szCs w:val="20"/>
                <w:highlight w:val="black"/>
              </w:rPr>
              <w:t>''''''''''''''''''</w:t>
            </w:r>
          </w:p>
        </w:tc>
        <w:tc>
          <w:tcPr>
            <w:tcW w:w="1666" w:type="pct"/>
            <w:tcBorders>
              <w:bottom w:val="single" w:sz="4" w:space="0" w:color="auto"/>
            </w:tcBorders>
          </w:tcPr>
          <w:p w:rsidR="00444F21" w:rsidRPr="0070585F" w:rsidRDefault="00444F21" w:rsidP="0070585F">
            <w:pPr>
              <w:keepNext/>
              <w:keepLines/>
              <w:widowControl w:val="0"/>
              <w:jc w:val="center"/>
              <w:rPr>
                <w:rFonts w:ascii="Arial Narrow" w:hAnsi="Arial Narrow"/>
                <w:sz w:val="20"/>
                <w:szCs w:val="20"/>
              </w:rPr>
            </w:pPr>
            <w:r w:rsidRPr="0070585F">
              <w:rPr>
                <w:rFonts w:ascii="Arial Narrow" w:hAnsi="Arial Narrow"/>
                <w:sz w:val="20"/>
                <w:szCs w:val="20"/>
              </w:rPr>
              <w:t>$</w:t>
            </w:r>
            <w:r w:rsidR="0012221D">
              <w:rPr>
                <w:rFonts w:ascii="Arial Narrow" w:hAnsi="Arial Narrow"/>
                <w:noProof/>
                <w:color w:val="000000"/>
                <w:sz w:val="20"/>
                <w:szCs w:val="20"/>
                <w:highlight w:val="black"/>
              </w:rPr>
              <w:t>''''''''''''''''</w:t>
            </w:r>
          </w:p>
        </w:tc>
      </w:tr>
      <w:tr w:rsidR="00444F21" w:rsidRPr="00AE6A85" w:rsidTr="0070585F">
        <w:tc>
          <w:tcPr>
            <w:tcW w:w="1806" w:type="pct"/>
            <w:tcBorders>
              <w:right w:val="nil"/>
            </w:tcBorders>
          </w:tcPr>
          <w:p w:rsidR="00444F21" w:rsidRPr="0070585F" w:rsidRDefault="00444F21" w:rsidP="0070585F">
            <w:pPr>
              <w:keepNext/>
              <w:keepLines/>
              <w:widowControl w:val="0"/>
              <w:rPr>
                <w:rFonts w:ascii="Arial Narrow" w:hAnsi="Arial Narrow"/>
                <w:sz w:val="20"/>
                <w:szCs w:val="20"/>
              </w:rPr>
            </w:pPr>
            <w:r w:rsidRPr="0070585F">
              <w:rPr>
                <w:rFonts w:ascii="Arial Narrow" w:hAnsi="Arial Narrow"/>
                <w:b/>
                <w:bCs/>
                <w:iCs/>
                <w:sz w:val="20"/>
                <w:szCs w:val="20"/>
              </w:rPr>
              <w:t>PBS General Safety Net</w:t>
            </w:r>
          </w:p>
        </w:tc>
        <w:tc>
          <w:tcPr>
            <w:tcW w:w="1528" w:type="pct"/>
            <w:tcBorders>
              <w:left w:val="nil"/>
              <w:right w:val="nil"/>
            </w:tcBorders>
          </w:tcPr>
          <w:p w:rsidR="00444F21" w:rsidRPr="0070585F" w:rsidRDefault="00444F21" w:rsidP="0070585F">
            <w:pPr>
              <w:keepNext/>
              <w:keepLines/>
              <w:widowControl w:val="0"/>
              <w:jc w:val="center"/>
              <w:rPr>
                <w:rFonts w:ascii="Arial Narrow" w:hAnsi="Arial Narrow"/>
                <w:sz w:val="20"/>
                <w:szCs w:val="20"/>
              </w:rPr>
            </w:pPr>
          </w:p>
        </w:tc>
        <w:tc>
          <w:tcPr>
            <w:tcW w:w="1666" w:type="pct"/>
            <w:tcBorders>
              <w:left w:val="nil"/>
            </w:tcBorders>
          </w:tcPr>
          <w:p w:rsidR="00444F21" w:rsidRPr="0070585F" w:rsidRDefault="00444F21" w:rsidP="0070585F">
            <w:pPr>
              <w:keepNext/>
              <w:keepLines/>
              <w:widowControl w:val="0"/>
              <w:jc w:val="center"/>
              <w:rPr>
                <w:rFonts w:ascii="Arial Narrow" w:hAnsi="Arial Narrow"/>
                <w:sz w:val="20"/>
                <w:szCs w:val="20"/>
              </w:rPr>
            </w:pPr>
          </w:p>
        </w:tc>
      </w:tr>
      <w:tr w:rsidR="00444F21" w:rsidRPr="00AE6A85" w:rsidTr="0070585F">
        <w:tc>
          <w:tcPr>
            <w:tcW w:w="1806" w:type="pct"/>
          </w:tcPr>
          <w:p w:rsidR="00444F21" w:rsidRPr="0070585F" w:rsidRDefault="00444F21" w:rsidP="0070585F">
            <w:pPr>
              <w:keepNext/>
              <w:keepLines/>
              <w:widowControl w:val="0"/>
              <w:jc w:val="left"/>
              <w:rPr>
                <w:rFonts w:ascii="Arial Narrow" w:hAnsi="Arial Narrow"/>
                <w:bCs/>
                <w:iCs/>
                <w:sz w:val="20"/>
                <w:szCs w:val="20"/>
              </w:rPr>
            </w:pPr>
            <w:r w:rsidRPr="0070585F">
              <w:rPr>
                <w:rFonts w:ascii="Arial Narrow" w:hAnsi="Arial Narrow"/>
                <w:bCs/>
                <w:iCs/>
                <w:sz w:val="20"/>
                <w:szCs w:val="20"/>
              </w:rPr>
              <w:t>Scripts</w:t>
            </w:r>
          </w:p>
        </w:tc>
        <w:tc>
          <w:tcPr>
            <w:tcW w:w="1528" w:type="pct"/>
          </w:tcPr>
          <w:p w:rsidR="00444F21" w:rsidRPr="0012221D" w:rsidRDefault="0012221D" w:rsidP="0070585F">
            <w:pPr>
              <w:keepNext/>
              <w:keepLines/>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666" w:type="pct"/>
          </w:tcPr>
          <w:p w:rsidR="00444F21" w:rsidRPr="0012221D" w:rsidRDefault="0012221D" w:rsidP="0070585F">
            <w:pPr>
              <w:keepNext/>
              <w:keepLines/>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44F21" w:rsidRPr="00AE6A85" w:rsidTr="0070585F">
        <w:tc>
          <w:tcPr>
            <w:tcW w:w="1806" w:type="pct"/>
            <w:tcBorders>
              <w:bottom w:val="single" w:sz="4" w:space="0" w:color="auto"/>
            </w:tcBorders>
          </w:tcPr>
          <w:p w:rsidR="00444F21" w:rsidRPr="0070585F" w:rsidRDefault="00444F21" w:rsidP="0070585F">
            <w:pPr>
              <w:keepNext/>
              <w:keepLines/>
              <w:widowControl w:val="0"/>
              <w:jc w:val="left"/>
              <w:rPr>
                <w:rFonts w:ascii="Arial Narrow" w:hAnsi="Arial Narrow"/>
                <w:bCs/>
                <w:iCs/>
                <w:sz w:val="20"/>
                <w:szCs w:val="20"/>
              </w:rPr>
            </w:pPr>
            <w:r w:rsidRPr="0070585F">
              <w:rPr>
                <w:rFonts w:ascii="Arial Narrow" w:hAnsi="Arial Narrow"/>
                <w:bCs/>
                <w:iCs/>
                <w:sz w:val="20"/>
                <w:szCs w:val="20"/>
              </w:rPr>
              <w:t>Costs (DPMQ)</w:t>
            </w:r>
          </w:p>
        </w:tc>
        <w:tc>
          <w:tcPr>
            <w:tcW w:w="1528" w:type="pct"/>
            <w:tcBorders>
              <w:bottom w:val="single" w:sz="4" w:space="0" w:color="auto"/>
            </w:tcBorders>
          </w:tcPr>
          <w:p w:rsidR="00444F21" w:rsidRPr="0070585F" w:rsidRDefault="00444F21" w:rsidP="0070585F">
            <w:pPr>
              <w:keepNext/>
              <w:keepLines/>
              <w:widowControl w:val="0"/>
              <w:jc w:val="center"/>
              <w:rPr>
                <w:rFonts w:ascii="Arial Narrow" w:hAnsi="Arial Narrow"/>
                <w:sz w:val="20"/>
                <w:szCs w:val="20"/>
              </w:rPr>
            </w:pPr>
            <w:r w:rsidRPr="0070585F">
              <w:rPr>
                <w:rFonts w:ascii="Arial Narrow" w:hAnsi="Arial Narrow"/>
                <w:sz w:val="20"/>
                <w:szCs w:val="20"/>
              </w:rPr>
              <w:t>$</w:t>
            </w:r>
            <w:r w:rsidR="0012221D">
              <w:rPr>
                <w:rFonts w:ascii="Arial Narrow" w:hAnsi="Arial Narrow"/>
                <w:noProof/>
                <w:color w:val="000000"/>
                <w:sz w:val="20"/>
                <w:szCs w:val="20"/>
                <w:highlight w:val="black"/>
              </w:rPr>
              <w:t>'''''''''''''''</w:t>
            </w:r>
          </w:p>
        </w:tc>
        <w:tc>
          <w:tcPr>
            <w:tcW w:w="1666" w:type="pct"/>
            <w:tcBorders>
              <w:bottom w:val="single" w:sz="4" w:space="0" w:color="auto"/>
            </w:tcBorders>
          </w:tcPr>
          <w:p w:rsidR="00444F21" w:rsidRPr="0070585F" w:rsidRDefault="00444F21" w:rsidP="0070585F">
            <w:pPr>
              <w:keepNext/>
              <w:keepLines/>
              <w:widowControl w:val="0"/>
              <w:jc w:val="center"/>
              <w:rPr>
                <w:rFonts w:ascii="Arial Narrow" w:hAnsi="Arial Narrow"/>
                <w:sz w:val="20"/>
                <w:szCs w:val="20"/>
              </w:rPr>
            </w:pPr>
            <w:r w:rsidRPr="0070585F">
              <w:rPr>
                <w:rFonts w:ascii="Arial Narrow" w:hAnsi="Arial Narrow"/>
                <w:sz w:val="20"/>
                <w:szCs w:val="20"/>
              </w:rPr>
              <w:t>$</w:t>
            </w:r>
            <w:r w:rsidR="0012221D">
              <w:rPr>
                <w:rFonts w:ascii="Arial Narrow" w:hAnsi="Arial Narrow"/>
                <w:noProof/>
                <w:color w:val="000000"/>
                <w:sz w:val="20"/>
                <w:szCs w:val="20"/>
                <w:highlight w:val="black"/>
              </w:rPr>
              <w:t>''''''''''''''''''</w:t>
            </w:r>
          </w:p>
        </w:tc>
      </w:tr>
      <w:tr w:rsidR="00444F21" w:rsidRPr="00AE6A85" w:rsidTr="0070585F">
        <w:tc>
          <w:tcPr>
            <w:tcW w:w="1806" w:type="pct"/>
            <w:tcBorders>
              <w:right w:val="nil"/>
            </w:tcBorders>
          </w:tcPr>
          <w:p w:rsidR="00444F21" w:rsidRPr="0070585F" w:rsidRDefault="00444F21" w:rsidP="0070585F">
            <w:pPr>
              <w:keepNext/>
              <w:keepLines/>
              <w:widowControl w:val="0"/>
              <w:rPr>
                <w:rFonts w:ascii="Arial Narrow" w:hAnsi="Arial Narrow"/>
                <w:sz w:val="20"/>
                <w:szCs w:val="20"/>
              </w:rPr>
            </w:pPr>
            <w:r w:rsidRPr="0070585F">
              <w:rPr>
                <w:rFonts w:ascii="Arial Narrow" w:hAnsi="Arial Narrow"/>
                <w:b/>
                <w:bCs/>
                <w:iCs/>
                <w:sz w:val="20"/>
                <w:szCs w:val="20"/>
              </w:rPr>
              <w:t>PBS Concessional</w:t>
            </w:r>
          </w:p>
        </w:tc>
        <w:tc>
          <w:tcPr>
            <w:tcW w:w="1528" w:type="pct"/>
            <w:tcBorders>
              <w:left w:val="nil"/>
              <w:right w:val="nil"/>
            </w:tcBorders>
          </w:tcPr>
          <w:p w:rsidR="00444F21" w:rsidRPr="0070585F" w:rsidRDefault="00444F21" w:rsidP="0070585F">
            <w:pPr>
              <w:keepNext/>
              <w:keepLines/>
              <w:widowControl w:val="0"/>
              <w:jc w:val="center"/>
              <w:rPr>
                <w:rFonts w:ascii="Arial Narrow" w:hAnsi="Arial Narrow"/>
                <w:sz w:val="20"/>
                <w:szCs w:val="20"/>
              </w:rPr>
            </w:pPr>
          </w:p>
        </w:tc>
        <w:tc>
          <w:tcPr>
            <w:tcW w:w="1666" w:type="pct"/>
            <w:tcBorders>
              <w:left w:val="nil"/>
            </w:tcBorders>
          </w:tcPr>
          <w:p w:rsidR="00444F21" w:rsidRPr="0070585F" w:rsidRDefault="00444F21" w:rsidP="0070585F">
            <w:pPr>
              <w:keepNext/>
              <w:keepLines/>
              <w:widowControl w:val="0"/>
              <w:jc w:val="center"/>
              <w:rPr>
                <w:rFonts w:ascii="Arial Narrow" w:hAnsi="Arial Narrow"/>
                <w:sz w:val="20"/>
                <w:szCs w:val="20"/>
              </w:rPr>
            </w:pPr>
          </w:p>
        </w:tc>
      </w:tr>
      <w:tr w:rsidR="00444F21" w:rsidRPr="00AE6A85" w:rsidTr="0070585F">
        <w:tc>
          <w:tcPr>
            <w:tcW w:w="1806" w:type="pct"/>
          </w:tcPr>
          <w:p w:rsidR="00444F21" w:rsidRPr="0070585F" w:rsidRDefault="00444F21" w:rsidP="0070585F">
            <w:pPr>
              <w:keepNext/>
              <w:keepLines/>
              <w:widowControl w:val="0"/>
              <w:jc w:val="left"/>
              <w:rPr>
                <w:rFonts w:ascii="Arial Narrow" w:hAnsi="Arial Narrow"/>
                <w:bCs/>
                <w:iCs/>
                <w:sz w:val="20"/>
                <w:szCs w:val="20"/>
              </w:rPr>
            </w:pPr>
            <w:r w:rsidRPr="0070585F">
              <w:rPr>
                <w:rFonts w:ascii="Arial Narrow" w:hAnsi="Arial Narrow"/>
                <w:bCs/>
                <w:iCs/>
                <w:sz w:val="20"/>
                <w:szCs w:val="20"/>
              </w:rPr>
              <w:t>Scripts</w:t>
            </w:r>
          </w:p>
        </w:tc>
        <w:tc>
          <w:tcPr>
            <w:tcW w:w="1528" w:type="pct"/>
          </w:tcPr>
          <w:p w:rsidR="00444F21" w:rsidRPr="0012221D" w:rsidRDefault="0012221D" w:rsidP="0070585F">
            <w:pPr>
              <w:keepNext/>
              <w:keepLines/>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666" w:type="pct"/>
          </w:tcPr>
          <w:p w:rsidR="00444F21" w:rsidRPr="0012221D" w:rsidRDefault="0012221D" w:rsidP="0070585F">
            <w:pPr>
              <w:keepNext/>
              <w:keepLines/>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44F21" w:rsidRPr="00AE6A85" w:rsidTr="0070585F">
        <w:tc>
          <w:tcPr>
            <w:tcW w:w="1806" w:type="pct"/>
            <w:tcBorders>
              <w:bottom w:val="single" w:sz="4" w:space="0" w:color="auto"/>
            </w:tcBorders>
          </w:tcPr>
          <w:p w:rsidR="00444F21" w:rsidRPr="0070585F" w:rsidRDefault="00444F21" w:rsidP="0070585F">
            <w:pPr>
              <w:keepNext/>
              <w:keepLines/>
              <w:widowControl w:val="0"/>
              <w:jc w:val="left"/>
              <w:rPr>
                <w:rFonts w:ascii="Arial Narrow" w:hAnsi="Arial Narrow"/>
                <w:bCs/>
                <w:iCs/>
                <w:sz w:val="20"/>
                <w:szCs w:val="20"/>
              </w:rPr>
            </w:pPr>
            <w:r w:rsidRPr="0070585F">
              <w:rPr>
                <w:rFonts w:ascii="Arial Narrow" w:hAnsi="Arial Narrow"/>
                <w:bCs/>
                <w:iCs/>
                <w:sz w:val="20"/>
                <w:szCs w:val="20"/>
              </w:rPr>
              <w:t>Costs (DPMQ)</w:t>
            </w:r>
          </w:p>
        </w:tc>
        <w:tc>
          <w:tcPr>
            <w:tcW w:w="1528" w:type="pct"/>
            <w:tcBorders>
              <w:bottom w:val="single" w:sz="4" w:space="0" w:color="auto"/>
            </w:tcBorders>
          </w:tcPr>
          <w:p w:rsidR="00444F21" w:rsidRPr="0070585F" w:rsidRDefault="00444F21" w:rsidP="0070585F">
            <w:pPr>
              <w:keepNext/>
              <w:keepLines/>
              <w:widowControl w:val="0"/>
              <w:jc w:val="center"/>
              <w:rPr>
                <w:rFonts w:ascii="Arial Narrow" w:hAnsi="Arial Narrow"/>
                <w:sz w:val="20"/>
                <w:szCs w:val="20"/>
              </w:rPr>
            </w:pPr>
            <w:r w:rsidRPr="0070585F">
              <w:rPr>
                <w:rFonts w:ascii="Arial Narrow" w:hAnsi="Arial Narrow"/>
                <w:sz w:val="20"/>
                <w:szCs w:val="20"/>
              </w:rPr>
              <w:t>$</w:t>
            </w:r>
            <w:r w:rsidR="0012221D">
              <w:rPr>
                <w:rFonts w:ascii="Arial Narrow" w:hAnsi="Arial Narrow"/>
                <w:noProof/>
                <w:color w:val="000000"/>
                <w:sz w:val="20"/>
                <w:szCs w:val="20"/>
                <w:highlight w:val="black"/>
              </w:rPr>
              <w:t>'''''''''''''''''''''''''</w:t>
            </w:r>
          </w:p>
        </w:tc>
        <w:tc>
          <w:tcPr>
            <w:tcW w:w="1666" w:type="pct"/>
            <w:tcBorders>
              <w:bottom w:val="single" w:sz="4" w:space="0" w:color="auto"/>
            </w:tcBorders>
          </w:tcPr>
          <w:p w:rsidR="00444F21" w:rsidRPr="0070585F" w:rsidRDefault="00444F21" w:rsidP="0070585F">
            <w:pPr>
              <w:keepNext/>
              <w:keepLines/>
              <w:widowControl w:val="0"/>
              <w:jc w:val="center"/>
              <w:rPr>
                <w:rFonts w:ascii="Arial Narrow" w:hAnsi="Arial Narrow"/>
                <w:sz w:val="20"/>
                <w:szCs w:val="20"/>
              </w:rPr>
            </w:pPr>
            <w:r w:rsidRPr="0070585F">
              <w:rPr>
                <w:rFonts w:ascii="Arial Narrow" w:hAnsi="Arial Narrow"/>
                <w:sz w:val="20"/>
                <w:szCs w:val="20"/>
              </w:rPr>
              <w:t>$</w:t>
            </w:r>
            <w:r w:rsidR="0012221D">
              <w:rPr>
                <w:rFonts w:ascii="Arial Narrow" w:hAnsi="Arial Narrow"/>
                <w:noProof/>
                <w:color w:val="000000"/>
                <w:sz w:val="20"/>
                <w:szCs w:val="20"/>
                <w:highlight w:val="black"/>
              </w:rPr>
              <w:t>'''''''''''''''''''''''</w:t>
            </w:r>
          </w:p>
        </w:tc>
      </w:tr>
      <w:tr w:rsidR="00444F21" w:rsidRPr="00AE6A85" w:rsidTr="0070585F">
        <w:tc>
          <w:tcPr>
            <w:tcW w:w="3334" w:type="pct"/>
            <w:gridSpan w:val="2"/>
            <w:tcBorders>
              <w:right w:val="nil"/>
            </w:tcBorders>
          </w:tcPr>
          <w:p w:rsidR="00444F21" w:rsidRPr="0070585F" w:rsidRDefault="00444F21" w:rsidP="0070585F">
            <w:pPr>
              <w:keepNext/>
              <w:keepLines/>
              <w:widowControl w:val="0"/>
              <w:jc w:val="left"/>
              <w:rPr>
                <w:rFonts w:ascii="Arial Narrow" w:hAnsi="Arial Narrow"/>
                <w:sz w:val="20"/>
                <w:szCs w:val="20"/>
              </w:rPr>
            </w:pPr>
            <w:r w:rsidRPr="0070585F">
              <w:rPr>
                <w:rFonts w:ascii="Arial Narrow" w:hAnsi="Arial Narrow"/>
                <w:b/>
                <w:bCs/>
                <w:iCs/>
                <w:sz w:val="20"/>
                <w:szCs w:val="20"/>
              </w:rPr>
              <w:t>PBS Concessional Safety Net (zero copayment)</w:t>
            </w:r>
          </w:p>
        </w:tc>
        <w:tc>
          <w:tcPr>
            <w:tcW w:w="1666" w:type="pct"/>
            <w:tcBorders>
              <w:left w:val="nil"/>
            </w:tcBorders>
          </w:tcPr>
          <w:p w:rsidR="00444F21" w:rsidRPr="0070585F" w:rsidRDefault="00444F21" w:rsidP="0070585F">
            <w:pPr>
              <w:keepNext/>
              <w:keepLines/>
              <w:widowControl w:val="0"/>
              <w:jc w:val="center"/>
              <w:rPr>
                <w:rFonts w:ascii="Arial Narrow" w:hAnsi="Arial Narrow"/>
                <w:sz w:val="20"/>
                <w:szCs w:val="20"/>
              </w:rPr>
            </w:pPr>
          </w:p>
        </w:tc>
      </w:tr>
      <w:tr w:rsidR="00444F21" w:rsidRPr="00AE6A85" w:rsidTr="0070585F">
        <w:tc>
          <w:tcPr>
            <w:tcW w:w="1806" w:type="pct"/>
          </w:tcPr>
          <w:p w:rsidR="00444F21" w:rsidRPr="0070585F" w:rsidRDefault="00444F21" w:rsidP="0070585F">
            <w:pPr>
              <w:keepNext/>
              <w:keepLines/>
              <w:widowControl w:val="0"/>
              <w:jc w:val="left"/>
              <w:rPr>
                <w:rFonts w:ascii="Arial Narrow" w:hAnsi="Arial Narrow"/>
                <w:bCs/>
                <w:iCs/>
                <w:sz w:val="20"/>
                <w:szCs w:val="20"/>
              </w:rPr>
            </w:pPr>
            <w:r w:rsidRPr="0070585F">
              <w:rPr>
                <w:rFonts w:ascii="Arial Narrow" w:hAnsi="Arial Narrow"/>
                <w:bCs/>
                <w:iCs/>
                <w:sz w:val="20"/>
                <w:szCs w:val="20"/>
              </w:rPr>
              <w:t>Scripts</w:t>
            </w:r>
          </w:p>
        </w:tc>
        <w:tc>
          <w:tcPr>
            <w:tcW w:w="1528" w:type="pct"/>
          </w:tcPr>
          <w:p w:rsidR="00444F21" w:rsidRPr="0012221D" w:rsidRDefault="0012221D" w:rsidP="0070585F">
            <w:pPr>
              <w:keepNext/>
              <w:keepLines/>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666" w:type="pct"/>
          </w:tcPr>
          <w:p w:rsidR="00444F21" w:rsidRPr="0012221D" w:rsidRDefault="0012221D" w:rsidP="0070585F">
            <w:pPr>
              <w:keepNext/>
              <w:keepLines/>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44F21" w:rsidRPr="00AE6A85" w:rsidTr="0070585F">
        <w:tc>
          <w:tcPr>
            <w:tcW w:w="1806" w:type="pct"/>
            <w:tcBorders>
              <w:bottom w:val="single" w:sz="4" w:space="0" w:color="auto"/>
            </w:tcBorders>
          </w:tcPr>
          <w:p w:rsidR="00444F21" w:rsidRPr="0070585F" w:rsidRDefault="00444F21" w:rsidP="0070585F">
            <w:pPr>
              <w:keepNext/>
              <w:keepLines/>
              <w:widowControl w:val="0"/>
              <w:jc w:val="left"/>
              <w:rPr>
                <w:rFonts w:ascii="Arial Narrow" w:hAnsi="Arial Narrow"/>
                <w:bCs/>
                <w:iCs/>
                <w:sz w:val="20"/>
                <w:szCs w:val="20"/>
              </w:rPr>
            </w:pPr>
            <w:r w:rsidRPr="0070585F">
              <w:rPr>
                <w:rFonts w:ascii="Arial Narrow" w:hAnsi="Arial Narrow"/>
                <w:bCs/>
                <w:iCs/>
                <w:sz w:val="20"/>
                <w:szCs w:val="20"/>
              </w:rPr>
              <w:t>Costs (DPMQ)</w:t>
            </w:r>
          </w:p>
        </w:tc>
        <w:tc>
          <w:tcPr>
            <w:tcW w:w="1528" w:type="pct"/>
            <w:tcBorders>
              <w:bottom w:val="single" w:sz="4" w:space="0" w:color="auto"/>
            </w:tcBorders>
          </w:tcPr>
          <w:p w:rsidR="00444F21" w:rsidRPr="0070585F" w:rsidRDefault="00444F21" w:rsidP="0070585F">
            <w:pPr>
              <w:keepNext/>
              <w:keepLines/>
              <w:widowControl w:val="0"/>
              <w:jc w:val="center"/>
              <w:rPr>
                <w:rFonts w:ascii="Arial Narrow" w:hAnsi="Arial Narrow"/>
                <w:sz w:val="20"/>
                <w:szCs w:val="20"/>
              </w:rPr>
            </w:pPr>
            <w:r w:rsidRPr="0070585F">
              <w:rPr>
                <w:rFonts w:ascii="Arial Narrow" w:hAnsi="Arial Narrow"/>
                <w:sz w:val="20"/>
                <w:szCs w:val="20"/>
              </w:rPr>
              <w:t>$</w:t>
            </w:r>
            <w:r w:rsidR="0012221D">
              <w:rPr>
                <w:rFonts w:ascii="Arial Narrow" w:hAnsi="Arial Narrow"/>
                <w:noProof/>
                <w:color w:val="000000"/>
                <w:sz w:val="20"/>
                <w:szCs w:val="20"/>
                <w:highlight w:val="black"/>
              </w:rPr>
              <w:t>''''''''''''''''''</w:t>
            </w:r>
          </w:p>
        </w:tc>
        <w:tc>
          <w:tcPr>
            <w:tcW w:w="1666" w:type="pct"/>
            <w:tcBorders>
              <w:bottom w:val="single" w:sz="4" w:space="0" w:color="auto"/>
            </w:tcBorders>
          </w:tcPr>
          <w:p w:rsidR="00444F21" w:rsidRPr="0070585F" w:rsidRDefault="00444F21" w:rsidP="0070585F">
            <w:pPr>
              <w:keepNext/>
              <w:keepLines/>
              <w:widowControl w:val="0"/>
              <w:jc w:val="center"/>
              <w:rPr>
                <w:rFonts w:ascii="Arial Narrow" w:hAnsi="Arial Narrow"/>
                <w:sz w:val="20"/>
                <w:szCs w:val="20"/>
              </w:rPr>
            </w:pPr>
            <w:r w:rsidRPr="0070585F">
              <w:rPr>
                <w:rFonts w:ascii="Arial Narrow" w:hAnsi="Arial Narrow"/>
                <w:sz w:val="20"/>
                <w:szCs w:val="20"/>
              </w:rPr>
              <w:t>$</w:t>
            </w:r>
            <w:r w:rsidR="0012221D">
              <w:rPr>
                <w:rFonts w:ascii="Arial Narrow" w:hAnsi="Arial Narrow"/>
                <w:noProof/>
                <w:color w:val="000000"/>
                <w:sz w:val="20"/>
                <w:szCs w:val="20"/>
                <w:highlight w:val="black"/>
              </w:rPr>
              <w:t>''''''''''''''''''''</w:t>
            </w:r>
          </w:p>
        </w:tc>
      </w:tr>
      <w:tr w:rsidR="00444F21" w:rsidRPr="00AE6A85" w:rsidTr="0070585F">
        <w:tc>
          <w:tcPr>
            <w:tcW w:w="1806" w:type="pct"/>
            <w:tcBorders>
              <w:right w:val="nil"/>
            </w:tcBorders>
          </w:tcPr>
          <w:p w:rsidR="00444F21" w:rsidRPr="0070585F" w:rsidRDefault="00444F21" w:rsidP="0070585F">
            <w:pPr>
              <w:keepNext/>
              <w:keepLines/>
              <w:widowControl w:val="0"/>
              <w:rPr>
                <w:rFonts w:ascii="Arial Narrow" w:hAnsi="Arial Narrow"/>
                <w:sz w:val="20"/>
                <w:szCs w:val="20"/>
              </w:rPr>
            </w:pPr>
            <w:r w:rsidRPr="0070585F">
              <w:rPr>
                <w:rFonts w:ascii="Arial Narrow" w:hAnsi="Arial Narrow"/>
                <w:b/>
                <w:bCs/>
                <w:iCs/>
                <w:sz w:val="20"/>
                <w:szCs w:val="20"/>
              </w:rPr>
              <w:t>RPBS Ordinary</w:t>
            </w:r>
          </w:p>
        </w:tc>
        <w:tc>
          <w:tcPr>
            <w:tcW w:w="1528" w:type="pct"/>
            <w:tcBorders>
              <w:left w:val="nil"/>
              <w:right w:val="nil"/>
            </w:tcBorders>
          </w:tcPr>
          <w:p w:rsidR="00444F21" w:rsidRPr="0070585F" w:rsidRDefault="00444F21" w:rsidP="0070585F">
            <w:pPr>
              <w:keepNext/>
              <w:keepLines/>
              <w:widowControl w:val="0"/>
              <w:jc w:val="center"/>
              <w:rPr>
                <w:rFonts w:ascii="Arial Narrow" w:hAnsi="Arial Narrow"/>
                <w:sz w:val="20"/>
                <w:szCs w:val="20"/>
              </w:rPr>
            </w:pPr>
          </w:p>
        </w:tc>
        <w:tc>
          <w:tcPr>
            <w:tcW w:w="1666" w:type="pct"/>
            <w:tcBorders>
              <w:left w:val="nil"/>
            </w:tcBorders>
          </w:tcPr>
          <w:p w:rsidR="00444F21" w:rsidRPr="0070585F" w:rsidRDefault="00444F21" w:rsidP="0070585F">
            <w:pPr>
              <w:keepNext/>
              <w:keepLines/>
              <w:widowControl w:val="0"/>
              <w:jc w:val="center"/>
              <w:rPr>
                <w:rFonts w:ascii="Arial Narrow" w:hAnsi="Arial Narrow"/>
                <w:sz w:val="20"/>
                <w:szCs w:val="20"/>
              </w:rPr>
            </w:pPr>
          </w:p>
        </w:tc>
      </w:tr>
      <w:tr w:rsidR="00444F21" w:rsidRPr="00AE6A85" w:rsidTr="0070585F">
        <w:tc>
          <w:tcPr>
            <w:tcW w:w="1806" w:type="pct"/>
          </w:tcPr>
          <w:p w:rsidR="00444F21" w:rsidRPr="0070585F" w:rsidRDefault="00444F21" w:rsidP="0070585F">
            <w:pPr>
              <w:keepNext/>
              <w:keepLines/>
              <w:widowControl w:val="0"/>
              <w:jc w:val="left"/>
              <w:rPr>
                <w:rFonts w:ascii="Arial Narrow" w:hAnsi="Arial Narrow"/>
                <w:bCs/>
                <w:iCs/>
                <w:sz w:val="20"/>
                <w:szCs w:val="20"/>
              </w:rPr>
            </w:pPr>
            <w:r w:rsidRPr="0070585F">
              <w:rPr>
                <w:rFonts w:ascii="Arial Narrow" w:hAnsi="Arial Narrow"/>
                <w:bCs/>
                <w:iCs/>
                <w:sz w:val="20"/>
                <w:szCs w:val="20"/>
              </w:rPr>
              <w:t>Scripts</w:t>
            </w:r>
          </w:p>
        </w:tc>
        <w:tc>
          <w:tcPr>
            <w:tcW w:w="1528" w:type="pct"/>
          </w:tcPr>
          <w:p w:rsidR="00444F21" w:rsidRPr="0012221D" w:rsidRDefault="0012221D" w:rsidP="0070585F">
            <w:pPr>
              <w:keepNext/>
              <w:keepLines/>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666" w:type="pct"/>
          </w:tcPr>
          <w:p w:rsidR="00444F21" w:rsidRPr="0012221D" w:rsidRDefault="0012221D" w:rsidP="0070585F">
            <w:pPr>
              <w:keepNext/>
              <w:keepLines/>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44F21" w:rsidRPr="00AE6A85" w:rsidTr="0070585F">
        <w:tc>
          <w:tcPr>
            <w:tcW w:w="1806" w:type="pct"/>
            <w:tcBorders>
              <w:bottom w:val="single" w:sz="4" w:space="0" w:color="auto"/>
            </w:tcBorders>
          </w:tcPr>
          <w:p w:rsidR="00444F21" w:rsidRPr="0070585F" w:rsidRDefault="00444F21" w:rsidP="0070585F">
            <w:pPr>
              <w:keepNext/>
              <w:keepLines/>
              <w:widowControl w:val="0"/>
              <w:jc w:val="left"/>
              <w:rPr>
                <w:rFonts w:ascii="Arial Narrow" w:hAnsi="Arial Narrow"/>
                <w:bCs/>
                <w:iCs/>
                <w:sz w:val="20"/>
                <w:szCs w:val="20"/>
              </w:rPr>
            </w:pPr>
            <w:r w:rsidRPr="0070585F">
              <w:rPr>
                <w:rFonts w:ascii="Arial Narrow" w:hAnsi="Arial Narrow"/>
                <w:bCs/>
                <w:iCs/>
                <w:sz w:val="20"/>
                <w:szCs w:val="20"/>
              </w:rPr>
              <w:t>Costs (DPMQ)</w:t>
            </w:r>
          </w:p>
        </w:tc>
        <w:tc>
          <w:tcPr>
            <w:tcW w:w="1528" w:type="pct"/>
            <w:tcBorders>
              <w:bottom w:val="single" w:sz="4" w:space="0" w:color="auto"/>
            </w:tcBorders>
          </w:tcPr>
          <w:p w:rsidR="00444F21" w:rsidRPr="0070585F" w:rsidRDefault="00444F21" w:rsidP="0070585F">
            <w:pPr>
              <w:keepNext/>
              <w:keepLines/>
              <w:widowControl w:val="0"/>
              <w:jc w:val="center"/>
              <w:rPr>
                <w:rFonts w:ascii="Arial Narrow" w:hAnsi="Arial Narrow"/>
                <w:sz w:val="20"/>
                <w:szCs w:val="20"/>
              </w:rPr>
            </w:pPr>
            <w:r w:rsidRPr="0070585F">
              <w:rPr>
                <w:rFonts w:ascii="Arial Narrow" w:hAnsi="Arial Narrow"/>
                <w:sz w:val="20"/>
                <w:szCs w:val="20"/>
              </w:rPr>
              <w:t>$</w:t>
            </w:r>
            <w:r w:rsidR="0012221D">
              <w:rPr>
                <w:rFonts w:ascii="Arial Narrow" w:hAnsi="Arial Narrow"/>
                <w:noProof/>
                <w:color w:val="000000"/>
                <w:sz w:val="20"/>
                <w:szCs w:val="20"/>
                <w:highlight w:val="black"/>
              </w:rPr>
              <w:t>''''''''''''''''''</w:t>
            </w:r>
          </w:p>
        </w:tc>
        <w:tc>
          <w:tcPr>
            <w:tcW w:w="1666" w:type="pct"/>
            <w:tcBorders>
              <w:bottom w:val="single" w:sz="4" w:space="0" w:color="auto"/>
            </w:tcBorders>
          </w:tcPr>
          <w:p w:rsidR="00444F21" w:rsidRPr="0070585F" w:rsidRDefault="00444F21" w:rsidP="0070585F">
            <w:pPr>
              <w:keepNext/>
              <w:keepLines/>
              <w:widowControl w:val="0"/>
              <w:jc w:val="center"/>
              <w:rPr>
                <w:rFonts w:ascii="Arial Narrow" w:hAnsi="Arial Narrow"/>
                <w:sz w:val="20"/>
                <w:szCs w:val="20"/>
              </w:rPr>
            </w:pPr>
            <w:r w:rsidRPr="0070585F">
              <w:rPr>
                <w:rFonts w:ascii="Arial Narrow" w:hAnsi="Arial Narrow"/>
                <w:sz w:val="20"/>
                <w:szCs w:val="20"/>
              </w:rPr>
              <w:t>$</w:t>
            </w:r>
            <w:r w:rsidR="0012221D">
              <w:rPr>
                <w:rFonts w:ascii="Arial Narrow" w:hAnsi="Arial Narrow"/>
                <w:noProof/>
                <w:color w:val="000000"/>
                <w:sz w:val="20"/>
                <w:szCs w:val="20"/>
                <w:highlight w:val="black"/>
              </w:rPr>
              <w:t>''''''''''''''''</w:t>
            </w:r>
          </w:p>
        </w:tc>
      </w:tr>
      <w:tr w:rsidR="00444F21" w:rsidRPr="00AE6A85" w:rsidTr="0070585F">
        <w:tc>
          <w:tcPr>
            <w:tcW w:w="1806" w:type="pct"/>
            <w:tcBorders>
              <w:right w:val="nil"/>
            </w:tcBorders>
          </w:tcPr>
          <w:p w:rsidR="00444F21" w:rsidRPr="0070585F" w:rsidRDefault="00444F21" w:rsidP="0070585F">
            <w:pPr>
              <w:keepNext/>
              <w:keepLines/>
              <w:widowControl w:val="0"/>
              <w:jc w:val="left"/>
              <w:rPr>
                <w:rFonts w:ascii="Arial Narrow" w:hAnsi="Arial Narrow"/>
                <w:b/>
                <w:bCs/>
                <w:iCs/>
                <w:sz w:val="20"/>
                <w:szCs w:val="20"/>
              </w:rPr>
            </w:pPr>
            <w:r w:rsidRPr="0070585F">
              <w:rPr>
                <w:rFonts w:ascii="Arial Narrow" w:hAnsi="Arial Narrow"/>
                <w:b/>
                <w:bCs/>
                <w:iCs/>
                <w:sz w:val="20"/>
                <w:szCs w:val="20"/>
              </w:rPr>
              <w:t>RPBS Entitlement (zero copayment)</w:t>
            </w:r>
          </w:p>
        </w:tc>
        <w:tc>
          <w:tcPr>
            <w:tcW w:w="1528" w:type="pct"/>
            <w:tcBorders>
              <w:left w:val="nil"/>
              <w:right w:val="nil"/>
            </w:tcBorders>
          </w:tcPr>
          <w:p w:rsidR="00444F21" w:rsidRPr="0070585F" w:rsidRDefault="00444F21" w:rsidP="0070585F">
            <w:pPr>
              <w:keepNext/>
              <w:keepLines/>
              <w:widowControl w:val="0"/>
              <w:jc w:val="center"/>
              <w:rPr>
                <w:rFonts w:ascii="Arial Narrow" w:hAnsi="Arial Narrow"/>
                <w:sz w:val="20"/>
                <w:szCs w:val="20"/>
              </w:rPr>
            </w:pPr>
          </w:p>
        </w:tc>
        <w:tc>
          <w:tcPr>
            <w:tcW w:w="1666" w:type="pct"/>
            <w:tcBorders>
              <w:left w:val="nil"/>
            </w:tcBorders>
          </w:tcPr>
          <w:p w:rsidR="00444F21" w:rsidRPr="0070585F" w:rsidRDefault="00444F21" w:rsidP="0070585F">
            <w:pPr>
              <w:keepNext/>
              <w:keepLines/>
              <w:widowControl w:val="0"/>
              <w:jc w:val="center"/>
              <w:rPr>
                <w:rFonts w:ascii="Arial Narrow" w:hAnsi="Arial Narrow"/>
                <w:sz w:val="20"/>
                <w:szCs w:val="20"/>
              </w:rPr>
            </w:pPr>
          </w:p>
        </w:tc>
      </w:tr>
      <w:tr w:rsidR="00444F21" w:rsidRPr="00AE6A85" w:rsidTr="0070585F">
        <w:tc>
          <w:tcPr>
            <w:tcW w:w="1806" w:type="pct"/>
          </w:tcPr>
          <w:p w:rsidR="00444F21" w:rsidRPr="0070585F" w:rsidRDefault="00444F21" w:rsidP="0070585F">
            <w:pPr>
              <w:keepNext/>
              <w:keepLines/>
              <w:widowControl w:val="0"/>
              <w:jc w:val="left"/>
              <w:rPr>
                <w:rFonts w:ascii="Arial Narrow" w:hAnsi="Arial Narrow"/>
                <w:bCs/>
                <w:iCs/>
                <w:sz w:val="20"/>
                <w:szCs w:val="20"/>
              </w:rPr>
            </w:pPr>
            <w:r w:rsidRPr="0070585F">
              <w:rPr>
                <w:rFonts w:ascii="Arial Narrow" w:hAnsi="Arial Narrow"/>
                <w:bCs/>
                <w:iCs/>
                <w:sz w:val="20"/>
                <w:szCs w:val="20"/>
              </w:rPr>
              <w:t>Scripts</w:t>
            </w:r>
          </w:p>
        </w:tc>
        <w:tc>
          <w:tcPr>
            <w:tcW w:w="1528" w:type="pct"/>
          </w:tcPr>
          <w:p w:rsidR="00444F21" w:rsidRPr="0012221D" w:rsidRDefault="0012221D" w:rsidP="0070585F">
            <w:pPr>
              <w:keepNext/>
              <w:keepLines/>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666" w:type="pct"/>
          </w:tcPr>
          <w:p w:rsidR="00444F21" w:rsidRPr="0012221D" w:rsidRDefault="0012221D" w:rsidP="0070585F">
            <w:pPr>
              <w:keepNext/>
              <w:keepLines/>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44F21" w:rsidRPr="00AE6A85" w:rsidTr="0070585F">
        <w:tc>
          <w:tcPr>
            <w:tcW w:w="1806" w:type="pct"/>
            <w:tcBorders>
              <w:bottom w:val="single" w:sz="4" w:space="0" w:color="auto"/>
            </w:tcBorders>
          </w:tcPr>
          <w:p w:rsidR="00444F21" w:rsidRPr="0070585F" w:rsidRDefault="00444F21" w:rsidP="0070585F">
            <w:pPr>
              <w:keepNext/>
              <w:keepLines/>
              <w:widowControl w:val="0"/>
              <w:jc w:val="left"/>
              <w:rPr>
                <w:rFonts w:ascii="Arial Narrow" w:hAnsi="Arial Narrow"/>
                <w:bCs/>
                <w:iCs/>
                <w:sz w:val="20"/>
                <w:szCs w:val="20"/>
              </w:rPr>
            </w:pPr>
            <w:r w:rsidRPr="0070585F">
              <w:rPr>
                <w:rFonts w:ascii="Arial Narrow" w:hAnsi="Arial Narrow"/>
                <w:bCs/>
                <w:iCs/>
                <w:sz w:val="20"/>
                <w:szCs w:val="20"/>
              </w:rPr>
              <w:t>Costs (DPMQ)</w:t>
            </w:r>
          </w:p>
        </w:tc>
        <w:tc>
          <w:tcPr>
            <w:tcW w:w="1528" w:type="pct"/>
            <w:tcBorders>
              <w:bottom w:val="single" w:sz="4" w:space="0" w:color="auto"/>
            </w:tcBorders>
          </w:tcPr>
          <w:p w:rsidR="00444F21" w:rsidRPr="0070585F" w:rsidRDefault="00444F21" w:rsidP="0070585F">
            <w:pPr>
              <w:keepNext/>
              <w:keepLines/>
              <w:widowControl w:val="0"/>
              <w:jc w:val="center"/>
              <w:rPr>
                <w:rFonts w:ascii="Arial Narrow" w:hAnsi="Arial Narrow"/>
                <w:sz w:val="20"/>
                <w:szCs w:val="20"/>
              </w:rPr>
            </w:pPr>
            <w:r w:rsidRPr="0070585F">
              <w:rPr>
                <w:rFonts w:ascii="Arial Narrow" w:hAnsi="Arial Narrow"/>
                <w:sz w:val="20"/>
                <w:szCs w:val="20"/>
              </w:rPr>
              <w:t>$</w:t>
            </w:r>
            <w:r w:rsidR="0012221D">
              <w:rPr>
                <w:rFonts w:ascii="Arial Narrow" w:hAnsi="Arial Narrow"/>
                <w:noProof/>
                <w:color w:val="000000"/>
                <w:sz w:val="20"/>
                <w:szCs w:val="20"/>
                <w:highlight w:val="black"/>
              </w:rPr>
              <w:t>'''''''''''''''</w:t>
            </w:r>
          </w:p>
        </w:tc>
        <w:tc>
          <w:tcPr>
            <w:tcW w:w="1666" w:type="pct"/>
            <w:tcBorders>
              <w:bottom w:val="single" w:sz="4" w:space="0" w:color="auto"/>
            </w:tcBorders>
          </w:tcPr>
          <w:p w:rsidR="00444F21" w:rsidRPr="0070585F" w:rsidRDefault="00444F21" w:rsidP="0070585F">
            <w:pPr>
              <w:keepNext/>
              <w:keepLines/>
              <w:widowControl w:val="0"/>
              <w:jc w:val="center"/>
              <w:rPr>
                <w:rFonts w:ascii="Arial Narrow" w:hAnsi="Arial Narrow"/>
                <w:sz w:val="20"/>
                <w:szCs w:val="20"/>
              </w:rPr>
            </w:pPr>
            <w:r w:rsidRPr="0070585F">
              <w:rPr>
                <w:rFonts w:ascii="Arial Narrow" w:hAnsi="Arial Narrow"/>
                <w:sz w:val="20"/>
                <w:szCs w:val="20"/>
              </w:rPr>
              <w:t>$</w:t>
            </w:r>
            <w:r w:rsidR="0012221D">
              <w:rPr>
                <w:rFonts w:ascii="Arial Narrow" w:hAnsi="Arial Narrow"/>
                <w:noProof/>
                <w:color w:val="000000"/>
                <w:sz w:val="20"/>
                <w:szCs w:val="20"/>
                <w:highlight w:val="black"/>
              </w:rPr>
              <w:t>''''''''''''''''''</w:t>
            </w:r>
          </w:p>
        </w:tc>
      </w:tr>
      <w:tr w:rsidR="00444F21" w:rsidRPr="00AE6A85" w:rsidTr="0070585F">
        <w:tc>
          <w:tcPr>
            <w:tcW w:w="1806" w:type="pct"/>
            <w:tcBorders>
              <w:right w:val="nil"/>
            </w:tcBorders>
          </w:tcPr>
          <w:p w:rsidR="00444F21" w:rsidRPr="0070585F" w:rsidRDefault="00444F21" w:rsidP="0070585F">
            <w:pPr>
              <w:keepNext/>
              <w:keepLines/>
              <w:widowControl w:val="0"/>
              <w:rPr>
                <w:rFonts w:ascii="Arial Narrow" w:hAnsi="Arial Narrow"/>
                <w:b/>
                <w:sz w:val="20"/>
                <w:szCs w:val="20"/>
              </w:rPr>
            </w:pPr>
            <w:r w:rsidRPr="0070585F">
              <w:rPr>
                <w:rFonts w:ascii="Arial Narrow" w:hAnsi="Arial Narrow"/>
                <w:b/>
                <w:sz w:val="20"/>
                <w:szCs w:val="20"/>
              </w:rPr>
              <w:t>Totals</w:t>
            </w:r>
          </w:p>
        </w:tc>
        <w:tc>
          <w:tcPr>
            <w:tcW w:w="1528" w:type="pct"/>
            <w:tcBorders>
              <w:left w:val="nil"/>
              <w:right w:val="nil"/>
            </w:tcBorders>
          </w:tcPr>
          <w:p w:rsidR="00444F21" w:rsidRPr="0070585F" w:rsidRDefault="00444F21" w:rsidP="0070585F">
            <w:pPr>
              <w:keepNext/>
              <w:keepLines/>
              <w:widowControl w:val="0"/>
              <w:jc w:val="center"/>
              <w:rPr>
                <w:rFonts w:ascii="Arial Narrow" w:hAnsi="Arial Narrow"/>
                <w:sz w:val="20"/>
                <w:szCs w:val="20"/>
              </w:rPr>
            </w:pPr>
          </w:p>
        </w:tc>
        <w:tc>
          <w:tcPr>
            <w:tcW w:w="1666" w:type="pct"/>
            <w:tcBorders>
              <w:left w:val="nil"/>
            </w:tcBorders>
          </w:tcPr>
          <w:p w:rsidR="00444F21" w:rsidRPr="0070585F" w:rsidRDefault="00444F21" w:rsidP="0070585F">
            <w:pPr>
              <w:keepNext/>
              <w:keepLines/>
              <w:widowControl w:val="0"/>
              <w:jc w:val="center"/>
              <w:rPr>
                <w:rFonts w:ascii="Arial Narrow" w:hAnsi="Arial Narrow"/>
                <w:sz w:val="20"/>
                <w:szCs w:val="20"/>
              </w:rPr>
            </w:pPr>
          </w:p>
        </w:tc>
      </w:tr>
      <w:tr w:rsidR="00444F21" w:rsidRPr="00AE6A85" w:rsidTr="0070585F">
        <w:tc>
          <w:tcPr>
            <w:tcW w:w="1806" w:type="pct"/>
          </w:tcPr>
          <w:p w:rsidR="00444F21" w:rsidRPr="0070585F" w:rsidRDefault="00444F21" w:rsidP="0070585F">
            <w:pPr>
              <w:keepNext/>
              <w:keepLines/>
              <w:widowControl w:val="0"/>
              <w:jc w:val="left"/>
              <w:rPr>
                <w:rFonts w:ascii="Arial Narrow" w:hAnsi="Arial Narrow"/>
                <w:sz w:val="20"/>
                <w:szCs w:val="20"/>
              </w:rPr>
            </w:pPr>
            <w:r w:rsidRPr="0070585F">
              <w:rPr>
                <w:rFonts w:ascii="Arial Narrow" w:hAnsi="Arial Narrow"/>
                <w:sz w:val="20"/>
                <w:szCs w:val="20"/>
              </w:rPr>
              <w:t>Scripts</w:t>
            </w:r>
          </w:p>
        </w:tc>
        <w:tc>
          <w:tcPr>
            <w:tcW w:w="1528" w:type="pct"/>
          </w:tcPr>
          <w:p w:rsidR="00444F21" w:rsidRPr="0012221D" w:rsidRDefault="0012221D" w:rsidP="0070585F">
            <w:pPr>
              <w:keepNext/>
              <w:keepLines/>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666" w:type="pct"/>
          </w:tcPr>
          <w:p w:rsidR="00444F21" w:rsidRPr="0012221D" w:rsidRDefault="0012221D" w:rsidP="0070585F">
            <w:pPr>
              <w:keepNext/>
              <w:keepLines/>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444F21" w:rsidRPr="00AE6A85" w:rsidTr="0070585F">
        <w:tc>
          <w:tcPr>
            <w:tcW w:w="1806" w:type="pct"/>
          </w:tcPr>
          <w:p w:rsidR="00444F21" w:rsidRPr="0070585F" w:rsidRDefault="00444F21" w:rsidP="0070585F">
            <w:pPr>
              <w:keepNext/>
              <w:keepLines/>
              <w:widowControl w:val="0"/>
              <w:jc w:val="left"/>
              <w:rPr>
                <w:rFonts w:ascii="Arial Narrow" w:hAnsi="Arial Narrow"/>
                <w:sz w:val="20"/>
                <w:szCs w:val="20"/>
              </w:rPr>
            </w:pPr>
            <w:r w:rsidRPr="0070585F">
              <w:rPr>
                <w:rFonts w:ascii="Arial Narrow" w:hAnsi="Arial Narrow"/>
                <w:sz w:val="20"/>
                <w:szCs w:val="20"/>
              </w:rPr>
              <w:t>Govt cost</w:t>
            </w:r>
          </w:p>
        </w:tc>
        <w:tc>
          <w:tcPr>
            <w:tcW w:w="1528" w:type="pct"/>
          </w:tcPr>
          <w:p w:rsidR="00444F21" w:rsidRPr="0070585F" w:rsidRDefault="00444F21" w:rsidP="0070585F">
            <w:pPr>
              <w:keepNext/>
              <w:keepLines/>
              <w:widowControl w:val="0"/>
              <w:jc w:val="center"/>
              <w:rPr>
                <w:rFonts w:ascii="Arial Narrow" w:hAnsi="Arial Narrow"/>
                <w:sz w:val="20"/>
                <w:szCs w:val="20"/>
              </w:rPr>
            </w:pPr>
            <w:r w:rsidRPr="0070585F">
              <w:rPr>
                <w:rFonts w:ascii="Arial Narrow" w:hAnsi="Arial Narrow"/>
                <w:sz w:val="20"/>
                <w:szCs w:val="20"/>
              </w:rPr>
              <w:t>$</w:t>
            </w:r>
            <w:r w:rsidR="0012221D">
              <w:rPr>
                <w:rFonts w:ascii="Arial Narrow" w:hAnsi="Arial Narrow"/>
                <w:noProof/>
                <w:color w:val="000000"/>
                <w:sz w:val="20"/>
                <w:szCs w:val="20"/>
                <w:highlight w:val="black"/>
              </w:rPr>
              <w:t>''''''''''''''''''''''''</w:t>
            </w:r>
          </w:p>
        </w:tc>
        <w:tc>
          <w:tcPr>
            <w:tcW w:w="1666" w:type="pct"/>
          </w:tcPr>
          <w:p w:rsidR="00444F21" w:rsidRPr="0070585F" w:rsidRDefault="00444F21" w:rsidP="0070585F">
            <w:pPr>
              <w:keepNext/>
              <w:keepLines/>
              <w:widowControl w:val="0"/>
              <w:jc w:val="center"/>
              <w:rPr>
                <w:rFonts w:ascii="Arial Narrow" w:hAnsi="Arial Narrow"/>
                <w:sz w:val="20"/>
                <w:szCs w:val="20"/>
              </w:rPr>
            </w:pPr>
            <w:r w:rsidRPr="0070585F">
              <w:rPr>
                <w:rFonts w:ascii="Arial Narrow" w:hAnsi="Arial Narrow"/>
                <w:sz w:val="20"/>
                <w:szCs w:val="20"/>
              </w:rPr>
              <w:t>$</w:t>
            </w:r>
            <w:r w:rsidR="0012221D">
              <w:rPr>
                <w:rFonts w:ascii="Arial Narrow" w:hAnsi="Arial Narrow"/>
                <w:noProof/>
                <w:color w:val="000000"/>
                <w:sz w:val="20"/>
                <w:szCs w:val="20"/>
                <w:highlight w:val="black"/>
              </w:rPr>
              <w:t>''''''''''''''''''''''</w:t>
            </w:r>
          </w:p>
        </w:tc>
      </w:tr>
      <w:tr w:rsidR="00444F21" w:rsidRPr="00AE6A85" w:rsidTr="0070585F">
        <w:tc>
          <w:tcPr>
            <w:tcW w:w="1806" w:type="pct"/>
          </w:tcPr>
          <w:p w:rsidR="00444F21" w:rsidRPr="0070585F" w:rsidRDefault="00444F21" w:rsidP="0070585F">
            <w:pPr>
              <w:keepNext/>
              <w:keepLines/>
              <w:widowControl w:val="0"/>
              <w:jc w:val="left"/>
              <w:rPr>
                <w:rFonts w:ascii="Arial Narrow" w:hAnsi="Arial Narrow"/>
                <w:sz w:val="20"/>
                <w:szCs w:val="20"/>
              </w:rPr>
            </w:pPr>
            <w:r w:rsidRPr="0070585F">
              <w:rPr>
                <w:rFonts w:ascii="Arial Narrow" w:hAnsi="Arial Narrow"/>
                <w:sz w:val="20"/>
                <w:szCs w:val="20"/>
              </w:rPr>
              <w:t>Difference in Govt cost</w:t>
            </w:r>
          </w:p>
        </w:tc>
        <w:tc>
          <w:tcPr>
            <w:tcW w:w="1528" w:type="pct"/>
          </w:tcPr>
          <w:p w:rsidR="00444F21" w:rsidRPr="0070585F" w:rsidRDefault="00444F21" w:rsidP="0070585F">
            <w:pPr>
              <w:keepNext/>
              <w:keepLines/>
              <w:widowControl w:val="0"/>
              <w:jc w:val="center"/>
              <w:rPr>
                <w:rFonts w:ascii="Arial Narrow" w:hAnsi="Arial Narrow"/>
                <w:sz w:val="20"/>
                <w:szCs w:val="20"/>
              </w:rPr>
            </w:pPr>
          </w:p>
        </w:tc>
        <w:tc>
          <w:tcPr>
            <w:tcW w:w="1666" w:type="pct"/>
          </w:tcPr>
          <w:p w:rsidR="00444F21" w:rsidRPr="0070585F" w:rsidRDefault="00444F21" w:rsidP="0070585F">
            <w:pPr>
              <w:keepNext/>
              <w:keepLines/>
              <w:widowControl w:val="0"/>
              <w:jc w:val="center"/>
              <w:rPr>
                <w:rFonts w:ascii="Arial Narrow" w:hAnsi="Arial Narrow"/>
                <w:sz w:val="20"/>
                <w:szCs w:val="20"/>
              </w:rPr>
            </w:pPr>
            <w:r w:rsidRPr="0070585F">
              <w:rPr>
                <w:rFonts w:ascii="Arial Narrow" w:hAnsi="Arial Narrow"/>
                <w:sz w:val="20"/>
                <w:szCs w:val="20"/>
              </w:rPr>
              <w:t>-$</w:t>
            </w:r>
            <w:r w:rsidR="0012221D">
              <w:rPr>
                <w:rFonts w:ascii="Arial Narrow" w:hAnsi="Arial Narrow"/>
                <w:noProof/>
                <w:color w:val="000000"/>
                <w:sz w:val="20"/>
                <w:szCs w:val="20"/>
                <w:highlight w:val="black"/>
              </w:rPr>
              <w:t>''''''''''''''''''''</w:t>
            </w:r>
          </w:p>
        </w:tc>
      </w:tr>
    </w:tbl>
    <w:p w:rsidR="00444F21" w:rsidRPr="00AE6A85" w:rsidRDefault="00444F21" w:rsidP="0070585F">
      <w:pPr>
        <w:pStyle w:val="TableFigureFooter"/>
        <w:keepNext/>
        <w:keepLines/>
        <w:widowControl w:val="0"/>
        <w:rPr>
          <w:i/>
        </w:rPr>
      </w:pPr>
      <w:r w:rsidRPr="00AE6A85">
        <w:t xml:space="preserve">Source: Table 1 from pre-PBAC </w:t>
      </w:r>
      <w:r w:rsidR="000D4A83" w:rsidRPr="00AE6A85">
        <w:t>response based on 2019 Bricanyl M2 script volumes.</w:t>
      </w:r>
    </w:p>
    <w:p w:rsidR="00784A34" w:rsidRPr="0070585F" w:rsidRDefault="00444F21" w:rsidP="0070585F">
      <w:pPr>
        <w:pStyle w:val="TableFigureFooter"/>
        <w:keepNext/>
        <w:keepLines/>
        <w:widowControl w:val="0"/>
        <w:rPr>
          <w:i/>
          <w:iCs/>
        </w:rPr>
      </w:pPr>
      <w:r w:rsidRPr="00AE6A85">
        <w:t xml:space="preserve">Government costs calculated by deducting 2019 PBS/RPBS copayment (appropriate to patient category) from </w:t>
      </w:r>
      <w:r w:rsidR="0053427C" w:rsidRPr="00AE6A85">
        <w:t>current and</w:t>
      </w:r>
      <w:r w:rsidRPr="00AE6A85">
        <w:t xml:space="preserve"> proposed DPMQs. PBS General scripts had no copayment deducted, as Bricanyl</w:t>
      </w:r>
      <w:r w:rsidR="0053427C" w:rsidRPr="00AE6A85">
        <w:t xml:space="preserve"> M2</w:t>
      </w:r>
      <w:r w:rsidRPr="00AE6A85">
        <w:t xml:space="preserve"> is priced below General copayment.</w:t>
      </w:r>
    </w:p>
    <w:p w:rsidR="00454307" w:rsidRPr="00454307" w:rsidRDefault="00454307" w:rsidP="00454307">
      <w:pPr>
        <w:pStyle w:val="3Bodytext"/>
        <w:keepNext/>
        <w:keepLines/>
        <w:numPr>
          <w:ilvl w:val="0"/>
          <w:numId w:val="0"/>
        </w:numPr>
        <w:ind w:left="720"/>
        <w:jc w:val="both"/>
        <w:rPr>
          <w:i/>
        </w:rPr>
      </w:pPr>
      <w:r>
        <w:rPr>
          <w:i/>
        </w:rPr>
        <w:t xml:space="preserve">The redacted table shows that at the current DPMQ the estimated total number of scripts is 80,000 to &lt; 90,000 and the government cost would be $0 to &lt; $10 million; and at the </w:t>
      </w:r>
      <w:r w:rsidRPr="00454307">
        <w:rPr>
          <w:i/>
        </w:rPr>
        <w:t>proposed DPMQ with 20% fewer scripts</w:t>
      </w:r>
      <w:r>
        <w:rPr>
          <w:i/>
        </w:rPr>
        <w:t xml:space="preserve"> the estimated total number of scripts is 60,000 to &lt; 70,000 and the government cost would be $0 to &lt; $10 million.</w:t>
      </w:r>
    </w:p>
    <w:p w:rsidR="00A07676" w:rsidRPr="00AE6A85" w:rsidRDefault="00A07676" w:rsidP="0070585F">
      <w:pPr>
        <w:pStyle w:val="3Bodytext"/>
        <w:keepNext/>
        <w:keepLines/>
        <w:jc w:val="both"/>
      </w:pPr>
      <w:r w:rsidRPr="00AE6A85">
        <w:t>As a committee secretariat submission, the financial estimates have not been independently evaluated.</w:t>
      </w:r>
    </w:p>
    <w:p w:rsidR="00680601" w:rsidRPr="00AE6A85" w:rsidRDefault="00726D08" w:rsidP="0070585F">
      <w:pPr>
        <w:pStyle w:val="3Bodytext"/>
        <w:keepNext/>
        <w:keepLines/>
        <w:jc w:val="both"/>
      </w:pPr>
      <w:r w:rsidRPr="00AE6A85">
        <w:t>T</w:t>
      </w:r>
      <w:r w:rsidR="002C49A4" w:rsidRPr="00AE6A85">
        <w:t>he pre-PBAC response</w:t>
      </w:r>
      <w:r w:rsidR="0017669C" w:rsidRPr="00AE6A85">
        <w:t xml:space="preserve"> (p3)</w:t>
      </w:r>
      <w:r w:rsidR="002C49A4" w:rsidRPr="00AE6A85">
        <w:t xml:space="preserve"> proposed </w:t>
      </w:r>
      <w:r w:rsidRPr="00AE6A85">
        <w:t xml:space="preserve">there would be </w:t>
      </w:r>
      <w:r w:rsidR="002C49A4" w:rsidRPr="00AE6A85">
        <w:t xml:space="preserve">an overlap of the PBS listings for the M2 and M3 </w:t>
      </w:r>
      <w:r w:rsidR="00BD3AED" w:rsidRPr="00AE6A85">
        <w:t>Turbuhaler</w:t>
      </w:r>
      <w:r w:rsidR="002C49A4" w:rsidRPr="00AE6A85">
        <w:t xml:space="preserve"> to allow patients to transition onto the new device before subsequently delisting the M2 Turbuhaler</w:t>
      </w:r>
      <w:r w:rsidR="00912937" w:rsidRPr="00AE6A85">
        <w:t xml:space="preserve">. </w:t>
      </w:r>
    </w:p>
    <w:p w:rsidR="00EE5084" w:rsidRPr="00AE6A85" w:rsidRDefault="00EE5084" w:rsidP="0070585F">
      <w:pPr>
        <w:pStyle w:val="3Bodytext"/>
        <w:keepNext/>
        <w:keepLines/>
        <w:numPr>
          <w:ilvl w:val="0"/>
          <w:numId w:val="0"/>
        </w:numPr>
        <w:ind w:left="720"/>
        <w:rPr>
          <w:i/>
        </w:rPr>
      </w:pPr>
      <w:r w:rsidRPr="00AE6A85">
        <w:rPr>
          <w:i/>
        </w:rPr>
        <w:t xml:space="preserve">For more detail on PBAC’s view, see section </w:t>
      </w:r>
      <w:r w:rsidR="0062721A" w:rsidRPr="00AE6A85">
        <w:rPr>
          <w:i/>
        </w:rPr>
        <w:t>6</w:t>
      </w:r>
      <w:r w:rsidRPr="00AE6A85">
        <w:rPr>
          <w:i/>
        </w:rPr>
        <w:t xml:space="preserve"> PBAC outcome.</w:t>
      </w:r>
    </w:p>
    <w:p w:rsidR="00EE5084" w:rsidRPr="00AE6A85" w:rsidRDefault="00EE5084" w:rsidP="0070585F">
      <w:pPr>
        <w:keepNext/>
        <w:keepLines/>
        <w:widowControl w:val="0"/>
        <w:numPr>
          <w:ilvl w:val="0"/>
          <w:numId w:val="1"/>
        </w:numPr>
        <w:spacing w:before="240" w:after="120"/>
        <w:jc w:val="left"/>
        <w:outlineLvl w:val="0"/>
        <w:rPr>
          <w:rFonts w:asciiTheme="minorHAnsi" w:hAnsiTheme="minorHAnsi" w:cs="Arial"/>
          <w:b/>
          <w:bCs/>
          <w:snapToGrid w:val="0"/>
          <w:sz w:val="32"/>
          <w:lang w:eastAsia="en-US"/>
        </w:rPr>
      </w:pPr>
      <w:r w:rsidRPr="00AE6A85">
        <w:rPr>
          <w:rFonts w:asciiTheme="minorHAnsi" w:hAnsiTheme="minorHAnsi" w:cs="Arial"/>
          <w:b/>
          <w:bCs/>
          <w:snapToGrid w:val="0"/>
          <w:sz w:val="32"/>
          <w:lang w:eastAsia="en-US"/>
        </w:rPr>
        <w:t>PBAC Outcome</w:t>
      </w:r>
    </w:p>
    <w:p w:rsidR="00D527C2" w:rsidRPr="00AE6A85" w:rsidRDefault="0091402C" w:rsidP="0070585F">
      <w:pPr>
        <w:pStyle w:val="3Bodytext"/>
        <w:keepNext/>
        <w:keepLines/>
        <w:jc w:val="both"/>
        <w:rPr>
          <w:rFonts w:cs="Arial"/>
          <w:bCs/>
          <w:i/>
          <w:snapToGrid w:val="0"/>
          <w:lang w:eastAsia="en-US"/>
        </w:rPr>
      </w:pPr>
      <w:r w:rsidRPr="00AE6A85">
        <w:rPr>
          <w:rFonts w:ascii="Calibri" w:hAnsi="Calibri" w:cs="Times New Roman"/>
        </w:rPr>
        <w:t>The</w:t>
      </w:r>
      <w:r w:rsidR="009B3D55" w:rsidRPr="00AE6A85">
        <w:rPr>
          <w:rFonts w:cs="Arial"/>
          <w:bCs/>
          <w:snapToGrid w:val="0"/>
          <w:lang w:eastAsia="en-US"/>
        </w:rPr>
        <w:t xml:space="preserve"> PBAC recommended </w:t>
      </w:r>
      <w:r w:rsidR="00D527C2" w:rsidRPr="00AE6A85">
        <w:rPr>
          <w:rFonts w:cs="Arial"/>
          <w:bCs/>
          <w:snapToGrid w:val="0"/>
          <w:lang w:eastAsia="en-US"/>
        </w:rPr>
        <w:t>an</w:t>
      </w:r>
      <w:r w:rsidR="009B3D55" w:rsidRPr="00AE6A85">
        <w:rPr>
          <w:rFonts w:cs="Arial"/>
          <w:bCs/>
          <w:snapToGrid w:val="0"/>
          <w:lang w:eastAsia="en-US"/>
        </w:rPr>
        <w:t xml:space="preserve"> </w:t>
      </w:r>
      <w:r w:rsidR="00D527C2" w:rsidRPr="00AE6A85">
        <w:rPr>
          <w:rFonts w:eastAsia="Times New Roman" w:cs="Arial"/>
          <w:bCs/>
          <w:snapToGrid w:val="0"/>
          <w:szCs w:val="24"/>
          <w:lang w:eastAsia="en-US"/>
        </w:rPr>
        <w:t xml:space="preserve">Authority Required (STREAMLINED) listing of a new form of terbutaline, M3 Turbuhaler, under the same eligibility criteria as the currently listed form of </w:t>
      </w:r>
      <w:r w:rsidR="00D83A2A" w:rsidRPr="00AE6A85">
        <w:rPr>
          <w:rFonts w:eastAsia="Times New Roman" w:cs="Arial"/>
          <w:bCs/>
          <w:snapToGrid w:val="0"/>
          <w:szCs w:val="24"/>
          <w:lang w:eastAsia="en-US"/>
        </w:rPr>
        <w:t>terbutaline</w:t>
      </w:r>
      <w:r w:rsidR="00D527C2" w:rsidRPr="00AE6A85">
        <w:rPr>
          <w:rFonts w:eastAsia="Times New Roman" w:cs="Arial"/>
          <w:bCs/>
          <w:snapToGrid w:val="0"/>
          <w:szCs w:val="24"/>
          <w:lang w:eastAsia="en-US"/>
        </w:rPr>
        <w:t>, M2 Turbuhaler.</w:t>
      </w:r>
      <w:r w:rsidR="009B3D55" w:rsidRPr="00AE6A85">
        <w:rPr>
          <w:rFonts w:cs="Arial"/>
          <w:bCs/>
          <w:snapToGrid w:val="0"/>
          <w:lang w:eastAsia="en-US"/>
        </w:rPr>
        <w:t xml:space="preserve"> </w:t>
      </w:r>
    </w:p>
    <w:p w:rsidR="00540E66" w:rsidRPr="00AE6A85" w:rsidRDefault="00D527C2" w:rsidP="0070585F">
      <w:pPr>
        <w:keepNext/>
        <w:keepLines/>
        <w:widowControl w:val="0"/>
        <w:numPr>
          <w:ilvl w:val="1"/>
          <w:numId w:val="1"/>
        </w:numPr>
        <w:spacing w:after="120"/>
        <w:rPr>
          <w:rFonts w:asciiTheme="minorHAnsi" w:hAnsiTheme="minorHAnsi" w:cs="Arial"/>
          <w:bCs/>
          <w:i/>
          <w:snapToGrid w:val="0"/>
          <w:lang w:eastAsia="en-US"/>
        </w:rPr>
      </w:pPr>
      <w:r w:rsidRPr="00AE6A85">
        <w:t xml:space="preserve">The PBAC noted that the TGA concluded that therapeutic equivalence of terbutaline sulfate was established between the M2 and M3 devices. </w:t>
      </w:r>
    </w:p>
    <w:p w:rsidR="00EE5084" w:rsidRPr="00AE6A85" w:rsidRDefault="009B3D55" w:rsidP="0070585F">
      <w:pPr>
        <w:keepNext/>
        <w:keepLines/>
        <w:widowControl w:val="0"/>
        <w:numPr>
          <w:ilvl w:val="1"/>
          <w:numId w:val="1"/>
        </w:numPr>
        <w:spacing w:after="120"/>
        <w:rPr>
          <w:rFonts w:asciiTheme="minorHAnsi" w:hAnsiTheme="minorHAnsi" w:cs="Arial"/>
          <w:bCs/>
          <w:i/>
          <w:snapToGrid w:val="0"/>
          <w:lang w:eastAsia="en-US"/>
        </w:rPr>
      </w:pPr>
      <w:r w:rsidRPr="00AE6A85">
        <w:rPr>
          <w:rFonts w:asciiTheme="minorHAnsi" w:hAnsiTheme="minorHAnsi" w:cs="Arial"/>
          <w:bCs/>
          <w:snapToGrid w:val="0"/>
          <w:lang w:eastAsia="en-US"/>
        </w:rPr>
        <w:lastRenderedPageBreak/>
        <w:t xml:space="preserve">The </w:t>
      </w:r>
      <w:r w:rsidR="00ED0582" w:rsidRPr="00AE6A85">
        <w:rPr>
          <w:rFonts w:asciiTheme="minorHAnsi" w:hAnsiTheme="minorHAnsi" w:cs="Arial"/>
          <w:bCs/>
          <w:snapToGrid w:val="0"/>
          <w:lang w:eastAsia="en-US"/>
        </w:rPr>
        <w:t>PBAC considered</w:t>
      </w:r>
      <w:r w:rsidRPr="00AE6A85">
        <w:rPr>
          <w:rFonts w:asciiTheme="minorHAnsi" w:hAnsiTheme="minorHAnsi" w:cs="Arial"/>
          <w:bCs/>
          <w:snapToGrid w:val="0"/>
          <w:lang w:eastAsia="en-US"/>
        </w:rPr>
        <w:t xml:space="preserve"> that the M3 Turbuhaler provide</w:t>
      </w:r>
      <w:r w:rsidR="00A07676" w:rsidRPr="00AE6A85">
        <w:rPr>
          <w:rFonts w:asciiTheme="minorHAnsi" w:hAnsiTheme="minorHAnsi" w:cs="Arial"/>
          <w:bCs/>
          <w:snapToGrid w:val="0"/>
          <w:lang w:eastAsia="en-US"/>
        </w:rPr>
        <w:t>d</w:t>
      </w:r>
      <w:r w:rsidRPr="00AE6A85">
        <w:rPr>
          <w:rFonts w:asciiTheme="minorHAnsi" w:hAnsiTheme="minorHAnsi" w:cs="Arial"/>
          <w:bCs/>
          <w:snapToGrid w:val="0"/>
          <w:lang w:eastAsia="en-US"/>
        </w:rPr>
        <w:t xml:space="preserve"> equivalent efficacy </w:t>
      </w:r>
      <w:r w:rsidR="00002ACF" w:rsidRPr="00AE6A85">
        <w:rPr>
          <w:rFonts w:asciiTheme="minorHAnsi" w:hAnsiTheme="minorHAnsi" w:cs="Arial"/>
          <w:bCs/>
          <w:snapToGrid w:val="0"/>
          <w:lang w:eastAsia="en-US"/>
        </w:rPr>
        <w:t xml:space="preserve">and safety </w:t>
      </w:r>
      <w:r w:rsidRPr="00AE6A85">
        <w:rPr>
          <w:rFonts w:asciiTheme="minorHAnsi" w:hAnsiTheme="minorHAnsi" w:cs="Arial"/>
          <w:bCs/>
          <w:snapToGrid w:val="0"/>
          <w:lang w:eastAsia="en-US"/>
        </w:rPr>
        <w:t>to the M2 Turbuhaler</w:t>
      </w:r>
      <w:r w:rsidR="00EC51A6" w:rsidRPr="00AE6A85">
        <w:rPr>
          <w:rFonts w:asciiTheme="minorHAnsi" w:hAnsiTheme="minorHAnsi" w:cs="Arial"/>
          <w:bCs/>
          <w:snapToGrid w:val="0"/>
          <w:lang w:eastAsia="en-US"/>
        </w:rPr>
        <w:t xml:space="preserve"> and the M2 Turbuhaler was the appropriate comparator</w:t>
      </w:r>
      <w:r w:rsidRPr="00AE6A85">
        <w:rPr>
          <w:rFonts w:asciiTheme="minorHAnsi" w:hAnsiTheme="minorHAnsi" w:cs="Arial"/>
          <w:bCs/>
          <w:snapToGrid w:val="0"/>
          <w:lang w:eastAsia="en-US"/>
        </w:rPr>
        <w:t xml:space="preserve">. </w:t>
      </w:r>
    </w:p>
    <w:p w:rsidR="00D8545C" w:rsidRPr="00AE6A85" w:rsidRDefault="00D8545C" w:rsidP="0070585F">
      <w:pPr>
        <w:keepNext/>
        <w:keepLines/>
        <w:widowControl w:val="0"/>
        <w:numPr>
          <w:ilvl w:val="1"/>
          <w:numId w:val="1"/>
        </w:numPr>
        <w:spacing w:after="120"/>
        <w:rPr>
          <w:rFonts w:asciiTheme="minorHAnsi" w:hAnsiTheme="minorHAnsi" w:cs="Arial"/>
          <w:bCs/>
          <w:snapToGrid w:val="0"/>
          <w:lang w:eastAsia="en-US"/>
        </w:rPr>
      </w:pPr>
      <w:r w:rsidRPr="00AE6A85">
        <w:rPr>
          <w:rFonts w:asciiTheme="minorHAnsi" w:hAnsiTheme="minorHAnsi" w:cs="Arial"/>
          <w:bCs/>
          <w:snapToGrid w:val="0"/>
          <w:lang w:eastAsia="en-US"/>
        </w:rPr>
        <w:t>The PBAC recalled the AEMP of M2 Turbuhaler increased from $3.75 to $6.82 on 1 November 2019, which aligned with a listing change from unrestricted to Authority Required (STREAMLINED) for bronchospasm in certain patients. The PBAC recalled the cost of goods submitted for M2 Turbuhaler was $</w:t>
      </w:r>
      <w:r w:rsidR="001F7CCB">
        <w:rPr>
          <w:rFonts w:ascii="Arial Narrow" w:hAnsi="Arial Narrow"/>
          <w:noProof/>
          <w:color w:val="000000"/>
          <w:sz w:val="20"/>
          <w:szCs w:val="20"/>
          <w:highlight w:val="black"/>
        </w:rPr>
        <w:t>'''''''''''''''</w:t>
      </w:r>
      <w:r w:rsidRPr="00AE6A85">
        <w:rPr>
          <w:rFonts w:asciiTheme="minorHAnsi" w:hAnsiTheme="minorHAnsi" w:cs="Arial"/>
          <w:bCs/>
          <w:snapToGrid w:val="0"/>
          <w:lang w:eastAsia="en-US"/>
        </w:rPr>
        <w:t>. The PBAC also noted in its pre-PBAC response the sponsor noted t</w:t>
      </w:r>
      <w:r w:rsidRPr="00AE6A85">
        <w:rPr>
          <w:rFonts w:asciiTheme="minorHAnsi" w:hAnsiTheme="minorHAnsi" w:cs="Arial"/>
          <w:bCs/>
          <w:iCs/>
          <w:snapToGrid w:val="0"/>
          <w:lang w:eastAsia="en-US"/>
        </w:rPr>
        <w:t xml:space="preserve">he precise increase in cost of goods for </w:t>
      </w:r>
      <w:r w:rsidRPr="00AE6A85">
        <w:rPr>
          <w:rFonts w:asciiTheme="minorHAnsi" w:hAnsiTheme="minorHAnsi" w:cs="Arial"/>
          <w:bCs/>
          <w:snapToGrid w:val="0"/>
          <w:lang w:eastAsia="en-US"/>
        </w:rPr>
        <w:t>M3 Turbuhaler</w:t>
      </w:r>
      <w:r w:rsidRPr="00AE6A85">
        <w:rPr>
          <w:rFonts w:asciiTheme="minorHAnsi" w:hAnsiTheme="minorHAnsi" w:cs="Arial"/>
          <w:bCs/>
          <w:iCs/>
          <w:snapToGrid w:val="0"/>
          <w:lang w:eastAsia="en-US"/>
        </w:rPr>
        <w:t xml:space="preserve"> is not yet known.</w:t>
      </w:r>
    </w:p>
    <w:p w:rsidR="00A675CC" w:rsidRPr="00AE6A85" w:rsidRDefault="0029733E" w:rsidP="0070585F">
      <w:pPr>
        <w:keepNext/>
        <w:keepLines/>
        <w:widowControl w:val="0"/>
        <w:numPr>
          <w:ilvl w:val="1"/>
          <w:numId w:val="1"/>
        </w:numPr>
        <w:spacing w:after="120"/>
        <w:rPr>
          <w:rFonts w:asciiTheme="minorHAnsi" w:hAnsiTheme="minorHAnsi" w:cs="Arial"/>
          <w:bCs/>
          <w:snapToGrid w:val="0"/>
          <w:lang w:eastAsia="en-US"/>
        </w:rPr>
      </w:pPr>
      <w:r w:rsidRPr="00AE6A85">
        <w:t>The PBAC noted that both the M2 Turbuhaler and the M3 Turbuhaler are used on an as needed basis as a reliever as opposed to an ongoing treatment.</w:t>
      </w:r>
      <w:r w:rsidRPr="00AE6A85">
        <w:rPr>
          <w:rFonts w:asciiTheme="minorHAnsi" w:hAnsiTheme="minorHAnsi" w:cs="Arial"/>
          <w:bCs/>
          <w:snapToGrid w:val="0"/>
          <w:lang w:eastAsia="en-US"/>
        </w:rPr>
        <w:t xml:space="preserve"> The PBAC noted </w:t>
      </w:r>
      <w:r w:rsidR="00D75D73" w:rsidRPr="00AE6A85">
        <w:rPr>
          <w:rFonts w:asciiTheme="minorHAnsi" w:hAnsiTheme="minorHAnsi" w:cs="Arial"/>
          <w:bCs/>
          <w:snapToGrid w:val="0"/>
          <w:lang w:eastAsia="en-US"/>
        </w:rPr>
        <w:t xml:space="preserve">that </w:t>
      </w:r>
      <w:r w:rsidRPr="00AE6A85">
        <w:rPr>
          <w:rFonts w:asciiTheme="minorHAnsi" w:hAnsiTheme="minorHAnsi" w:cs="Arial"/>
          <w:bCs/>
          <w:snapToGrid w:val="0"/>
          <w:lang w:eastAsia="en-US"/>
        </w:rPr>
        <w:t xml:space="preserve">the sponsor also requested the same maximum quantity (2) and number of repeats (5) for M3 Turbuhaler as the </w:t>
      </w:r>
      <w:r w:rsidRPr="00AE6A85">
        <w:t>M2 Turbuhaler listing. This would result in patients receiving a maximum of 240 actuations per dispense with 5 repeats (1,200 actuations</w:t>
      </w:r>
      <w:r w:rsidR="00A675CC" w:rsidRPr="00AE6A85">
        <w:t xml:space="preserve"> in total</w:t>
      </w:r>
      <w:r w:rsidRPr="00AE6A85">
        <w:t xml:space="preserve">) for </w:t>
      </w:r>
      <w:r w:rsidRPr="00AE6A85">
        <w:rPr>
          <w:rFonts w:asciiTheme="minorHAnsi" w:hAnsiTheme="minorHAnsi" w:cs="Arial"/>
          <w:bCs/>
          <w:snapToGrid w:val="0"/>
          <w:lang w:eastAsia="en-US"/>
        </w:rPr>
        <w:t xml:space="preserve">M3 Turbuhaler compared with a maximum of 200 </w:t>
      </w:r>
      <w:r w:rsidRPr="00AE6A85">
        <w:t>actuations per dispense with 5 repeats (1,000 actuations</w:t>
      </w:r>
      <w:r w:rsidR="00A675CC" w:rsidRPr="00AE6A85">
        <w:t xml:space="preserve"> in total</w:t>
      </w:r>
      <w:r w:rsidRPr="00AE6A85">
        <w:t xml:space="preserve">) for </w:t>
      </w:r>
      <w:r w:rsidRPr="00AE6A85">
        <w:rPr>
          <w:rFonts w:asciiTheme="minorHAnsi" w:hAnsiTheme="minorHAnsi" w:cs="Arial"/>
          <w:bCs/>
          <w:snapToGrid w:val="0"/>
          <w:lang w:eastAsia="en-US"/>
        </w:rPr>
        <w:t xml:space="preserve">M2 Turbuhaler. The PBAC noted the submission did not include </w:t>
      </w:r>
      <w:r w:rsidRPr="00AE6A85">
        <w:t>evidence of a clinical benefit for the additional 20 actuations</w:t>
      </w:r>
      <w:r w:rsidR="00A675CC" w:rsidRPr="00AE6A85">
        <w:t xml:space="preserve"> per inhaler, nor evidence of a clinical benefit for the additional 200 actuations per prescription.</w:t>
      </w:r>
    </w:p>
    <w:p w:rsidR="0029733E" w:rsidRPr="00AE6A85" w:rsidRDefault="00A675CC" w:rsidP="0029733E">
      <w:pPr>
        <w:widowControl w:val="0"/>
        <w:numPr>
          <w:ilvl w:val="1"/>
          <w:numId w:val="1"/>
        </w:numPr>
        <w:spacing w:after="120"/>
        <w:rPr>
          <w:rFonts w:asciiTheme="minorHAnsi" w:hAnsiTheme="minorHAnsi" w:cs="Arial"/>
          <w:bCs/>
          <w:snapToGrid w:val="0"/>
          <w:lang w:eastAsia="en-US"/>
        </w:rPr>
      </w:pPr>
      <w:r w:rsidRPr="00AE6A85">
        <w:t xml:space="preserve">The PBAC </w:t>
      </w:r>
      <w:r w:rsidR="00507DD2" w:rsidRPr="00AE6A85">
        <w:t xml:space="preserve">noted that the submission did not </w:t>
      </w:r>
      <w:r w:rsidR="004336C1" w:rsidRPr="00AE6A85">
        <w:t>discuss</w:t>
      </w:r>
      <w:r w:rsidR="00507DD2" w:rsidRPr="00AE6A85">
        <w:t xml:space="preserve"> </w:t>
      </w:r>
      <w:r w:rsidR="004336C1" w:rsidRPr="00AE6A85">
        <w:t xml:space="preserve">in detail </w:t>
      </w:r>
      <w:r w:rsidR="00507DD2" w:rsidRPr="00AE6A85">
        <w:t>the</w:t>
      </w:r>
      <w:r w:rsidRPr="00AE6A85">
        <w:t xml:space="preserve"> quality use of medicines </w:t>
      </w:r>
      <w:r w:rsidR="00507DD2" w:rsidRPr="00AE6A85">
        <w:t>impact of the</w:t>
      </w:r>
      <w:r w:rsidRPr="00AE6A85">
        <w:t xml:space="preserve"> additional 20 actuations per inhaler </w:t>
      </w:r>
      <w:r w:rsidR="00507DD2" w:rsidRPr="00AE6A85">
        <w:t xml:space="preserve">and as </w:t>
      </w:r>
      <w:r w:rsidRPr="00AE6A85">
        <w:t xml:space="preserve">terbutaline is used as a reliever for the treatment of </w:t>
      </w:r>
      <w:r w:rsidRPr="00AE6A85">
        <w:rPr>
          <w:rFonts w:asciiTheme="minorHAnsi" w:hAnsiTheme="minorHAnsi" w:cs="Arial"/>
          <w:bCs/>
          <w:snapToGrid w:val="0"/>
          <w:lang w:eastAsia="en-US"/>
        </w:rPr>
        <w:t>bronchospasm</w:t>
      </w:r>
      <w:r w:rsidR="004336C1" w:rsidRPr="00AE6A85">
        <w:rPr>
          <w:rFonts w:asciiTheme="minorHAnsi" w:hAnsiTheme="minorHAnsi" w:cs="Arial"/>
          <w:bCs/>
          <w:snapToGrid w:val="0"/>
          <w:lang w:eastAsia="en-US"/>
        </w:rPr>
        <w:t>, did not address the potential for increased stockpiling of the medicine</w:t>
      </w:r>
      <w:r w:rsidR="0029733E" w:rsidRPr="00AE6A85">
        <w:t>.</w:t>
      </w:r>
    </w:p>
    <w:p w:rsidR="00EE5084" w:rsidRPr="00AE6A85" w:rsidRDefault="00061504" w:rsidP="00D83A2A">
      <w:pPr>
        <w:widowControl w:val="0"/>
        <w:numPr>
          <w:ilvl w:val="1"/>
          <w:numId w:val="1"/>
        </w:numPr>
        <w:spacing w:after="120"/>
        <w:rPr>
          <w:rFonts w:asciiTheme="minorHAnsi" w:hAnsiTheme="minorHAnsi" w:cs="Arial"/>
          <w:bCs/>
          <w:snapToGrid w:val="0"/>
          <w:lang w:eastAsia="en-US"/>
        </w:rPr>
      </w:pPr>
      <w:r w:rsidRPr="00AE6A85">
        <w:rPr>
          <w:rFonts w:asciiTheme="minorHAnsi" w:hAnsiTheme="minorHAnsi" w:cs="Arial"/>
          <w:bCs/>
          <w:snapToGrid w:val="0"/>
          <w:lang w:eastAsia="en-US"/>
        </w:rPr>
        <w:t>T</w:t>
      </w:r>
      <w:r w:rsidR="009B3D55" w:rsidRPr="00AE6A85">
        <w:rPr>
          <w:rFonts w:asciiTheme="minorHAnsi" w:hAnsiTheme="minorHAnsi" w:cs="Arial"/>
          <w:bCs/>
          <w:snapToGrid w:val="0"/>
          <w:lang w:eastAsia="en-US"/>
        </w:rPr>
        <w:t xml:space="preserve">he </w:t>
      </w:r>
      <w:r w:rsidR="0028308F" w:rsidRPr="00AE6A85">
        <w:rPr>
          <w:rFonts w:asciiTheme="minorHAnsi" w:hAnsiTheme="minorHAnsi" w:cs="Arial"/>
          <w:bCs/>
          <w:snapToGrid w:val="0"/>
          <w:lang w:eastAsia="en-US"/>
        </w:rPr>
        <w:t xml:space="preserve">PBAC recommended that the </w:t>
      </w:r>
      <w:r w:rsidR="00A07676" w:rsidRPr="00AE6A85">
        <w:rPr>
          <w:rFonts w:asciiTheme="minorHAnsi" w:hAnsiTheme="minorHAnsi" w:cs="Arial"/>
          <w:bCs/>
          <w:snapToGrid w:val="0"/>
          <w:lang w:eastAsia="en-US"/>
        </w:rPr>
        <w:t xml:space="preserve">AEMP </w:t>
      </w:r>
      <w:r w:rsidR="0028308F" w:rsidRPr="00AE6A85">
        <w:rPr>
          <w:rFonts w:asciiTheme="minorHAnsi" w:hAnsiTheme="minorHAnsi" w:cs="Arial"/>
          <w:bCs/>
          <w:snapToGrid w:val="0"/>
          <w:lang w:eastAsia="en-US"/>
        </w:rPr>
        <w:t xml:space="preserve">for the M3 Turbuhaler </w:t>
      </w:r>
      <w:r w:rsidR="00D8545C" w:rsidRPr="00AE6A85">
        <w:rPr>
          <w:rFonts w:asciiTheme="minorHAnsi" w:hAnsiTheme="minorHAnsi" w:cs="Arial"/>
          <w:bCs/>
          <w:snapToGrid w:val="0"/>
          <w:lang w:eastAsia="en-US"/>
        </w:rPr>
        <w:t xml:space="preserve">(120 </w:t>
      </w:r>
      <w:r w:rsidR="00D8545C" w:rsidRPr="00747C05">
        <w:rPr>
          <w:rFonts w:asciiTheme="minorHAnsi" w:hAnsiTheme="minorHAnsi" w:cs="Arial"/>
          <w:bCs/>
          <w:snapToGrid w:val="0"/>
          <w:lang w:eastAsia="en-US"/>
        </w:rPr>
        <w:t>actuations</w:t>
      </w:r>
      <w:r w:rsidR="00D8545C" w:rsidRPr="00AE6A85">
        <w:rPr>
          <w:rFonts w:asciiTheme="minorHAnsi" w:hAnsiTheme="minorHAnsi" w:cs="Arial"/>
          <w:bCs/>
          <w:snapToGrid w:val="0"/>
          <w:lang w:eastAsia="en-US"/>
        </w:rPr>
        <w:t xml:space="preserve">) </w:t>
      </w:r>
      <w:r w:rsidR="00A07676" w:rsidRPr="00AE6A85">
        <w:rPr>
          <w:rFonts w:asciiTheme="minorHAnsi" w:hAnsiTheme="minorHAnsi" w:cs="Arial"/>
          <w:bCs/>
          <w:snapToGrid w:val="0"/>
          <w:lang w:eastAsia="en-US"/>
        </w:rPr>
        <w:t xml:space="preserve">should </w:t>
      </w:r>
      <w:r w:rsidR="0028308F" w:rsidRPr="00AE6A85">
        <w:rPr>
          <w:rFonts w:asciiTheme="minorHAnsi" w:hAnsiTheme="minorHAnsi" w:cs="Arial"/>
          <w:bCs/>
          <w:snapToGrid w:val="0"/>
          <w:lang w:eastAsia="en-US"/>
        </w:rPr>
        <w:t xml:space="preserve">be the same as the </w:t>
      </w:r>
      <w:r w:rsidR="00A07676" w:rsidRPr="00AE6A85">
        <w:rPr>
          <w:rFonts w:asciiTheme="minorHAnsi" w:hAnsiTheme="minorHAnsi" w:cs="Arial"/>
          <w:bCs/>
          <w:snapToGrid w:val="0"/>
          <w:lang w:eastAsia="en-US"/>
        </w:rPr>
        <w:t xml:space="preserve">AEMP </w:t>
      </w:r>
      <w:r w:rsidR="0028308F" w:rsidRPr="00AE6A85">
        <w:rPr>
          <w:rFonts w:asciiTheme="minorHAnsi" w:hAnsiTheme="minorHAnsi" w:cs="Arial"/>
          <w:bCs/>
          <w:snapToGrid w:val="0"/>
          <w:lang w:eastAsia="en-US"/>
        </w:rPr>
        <w:t>for the M2 Turbuhaler</w:t>
      </w:r>
      <w:r w:rsidR="00D8545C" w:rsidRPr="00AE6A85">
        <w:rPr>
          <w:rFonts w:asciiTheme="minorHAnsi" w:hAnsiTheme="minorHAnsi" w:cs="Arial"/>
          <w:bCs/>
          <w:snapToGrid w:val="0"/>
          <w:lang w:eastAsia="en-US"/>
        </w:rPr>
        <w:t xml:space="preserve"> (100 actuations)</w:t>
      </w:r>
      <w:r w:rsidR="0028308F" w:rsidRPr="00AE6A85">
        <w:rPr>
          <w:rFonts w:asciiTheme="minorHAnsi" w:hAnsiTheme="minorHAnsi" w:cs="Arial"/>
          <w:bCs/>
          <w:snapToGrid w:val="0"/>
          <w:lang w:eastAsia="en-US"/>
        </w:rPr>
        <w:t xml:space="preserve">. </w:t>
      </w:r>
      <w:r w:rsidRPr="00AE6A85">
        <w:rPr>
          <w:rFonts w:asciiTheme="minorHAnsi" w:hAnsiTheme="minorHAnsi" w:cs="Arial"/>
          <w:bCs/>
          <w:snapToGrid w:val="0"/>
          <w:lang w:eastAsia="en-US"/>
        </w:rPr>
        <w:t xml:space="preserve">The PBAC </w:t>
      </w:r>
      <w:r w:rsidR="00600364" w:rsidRPr="00AE6A85">
        <w:rPr>
          <w:rFonts w:asciiTheme="minorHAnsi" w:hAnsiTheme="minorHAnsi" w:cs="Arial"/>
          <w:bCs/>
          <w:snapToGrid w:val="0"/>
          <w:lang w:eastAsia="en-US"/>
        </w:rPr>
        <w:t>consider</w:t>
      </w:r>
      <w:r w:rsidRPr="00AE6A85">
        <w:rPr>
          <w:rFonts w:asciiTheme="minorHAnsi" w:hAnsiTheme="minorHAnsi" w:cs="Arial"/>
          <w:bCs/>
          <w:snapToGrid w:val="0"/>
          <w:lang w:eastAsia="en-US"/>
        </w:rPr>
        <w:t>ed</w:t>
      </w:r>
      <w:r w:rsidR="00600364" w:rsidRPr="00AE6A85">
        <w:rPr>
          <w:rFonts w:asciiTheme="minorHAnsi" w:hAnsiTheme="minorHAnsi" w:cs="Arial"/>
          <w:bCs/>
          <w:snapToGrid w:val="0"/>
          <w:lang w:eastAsia="en-US"/>
        </w:rPr>
        <w:t xml:space="preserve"> </w:t>
      </w:r>
      <w:r w:rsidR="00666720" w:rsidRPr="00AE6A85">
        <w:rPr>
          <w:rFonts w:asciiTheme="minorHAnsi" w:hAnsiTheme="minorHAnsi" w:cs="Arial"/>
          <w:bCs/>
          <w:snapToGrid w:val="0"/>
          <w:lang w:eastAsia="en-US"/>
        </w:rPr>
        <w:t xml:space="preserve">it was inappropriate that </w:t>
      </w:r>
      <w:r w:rsidRPr="00AE6A85">
        <w:rPr>
          <w:rFonts w:asciiTheme="minorHAnsi" w:hAnsiTheme="minorHAnsi" w:cs="Arial"/>
          <w:bCs/>
          <w:snapToGrid w:val="0"/>
          <w:lang w:eastAsia="en-US"/>
        </w:rPr>
        <w:t xml:space="preserve">the proposed </w:t>
      </w:r>
      <w:r w:rsidR="00A07676" w:rsidRPr="00AE6A85">
        <w:rPr>
          <w:rFonts w:asciiTheme="minorHAnsi" w:hAnsiTheme="minorHAnsi" w:cs="Arial"/>
          <w:bCs/>
          <w:snapToGrid w:val="0"/>
          <w:lang w:eastAsia="en-US"/>
        </w:rPr>
        <w:t xml:space="preserve">AEMP </w:t>
      </w:r>
      <w:r w:rsidRPr="00AE6A85">
        <w:rPr>
          <w:rFonts w:asciiTheme="minorHAnsi" w:hAnsiTheme="minorHAnsi" w:cs="Arial"/>
          <w:bCs/>
          <w:snapToGrid w:val="0"/>
          <w:lang w:eastAsia="en-US"/>
        </w:rPr>
        <w:t xml:space="preserve">for the M3 Turbuhaler be proportional to the price of M2 Turbuhaler based on the number of actuations </w:t>
      </w:r>
      <w:r w:rsidR="00C0612B" w:rsidRPr="00AE6A85">
        <w:rPr>
          <w:rFonts w:asciiTheme="minorHAnsi" w:hAnsiTheme="minorHAnsi" w:cs="Arial"/>
          <w:bCs/>
          <w:snapToGrid w:val="0"/>
          <w:lang w:eastAsia="en-US"/>
        </w:rPr>
        <w:t>due to</w:t>
      </w:r>
      <w:r w:rsidR="00A07676" w:rsidRPr="00AE6A85">
        <w:rPr>
          <w:rFonts w:asciiTheme="minorHAnsi" w:hAnsiTheme="minorHAnsi" w:cs="Arial"/>
          <w:bCs/>
          <w:snapToGrid w:val="0"/>
          <w:lang w:eastAsia="en-US"/>
        </w:rPr>
        <w:t xml:space="preserve"> a</w:t>
      </w:r>
      <w:r w:rsidR="00C0612B" w:rsidRPr="00AE6A85">
        <w:rPr>
          <w:rFonts w:asciiTheme="minorHAnsi" w:hAnsiTheme="minorHAnsi" w:cs="Arial"/>
          <w:bCs/>
          <w:snapToGrid w:val="0"/>
          <w:lang w:eastAsia="en-US"/>
        </w:rPr>
        <w:t xml:space="preserve"> </w:t>
      </w:r>
      <w:r w:rsidR="0017669C" w:rsidRPr="00AE6A85">
        <w:rPr>
          <w:rFonts w:asciiTheme="minorHAnsi" w:hAnsiTheme="minorHAnsi" w:cs="Arial"/>
          <w:bCs/>
          <w:snapToGrid w:val="0"/>
          <w:lang w:eastAsia="en-US"/>
        </w:rPr>
        <w:t xml:space="preserve">lack of information to support </w:t>
      </w:r>
      <w:r w:rsidR="00A07676" w:rsidRPr="00AE6A85">
        <w:rPr>
          <w:rFonts w:asciiTheme="minorHAnsi" w:hAnsiTheme="minorHAnsi" w:cs="Arial"/>
          <w:bCs/>
          <w:snapToGrid w:val="0"/>
          <w:lang w:eastAsia="en-US"/>
        </w:rPr>
        <w:t xml:space="preserve">the purported </w:t>
      </w:r>
      <w:r w:rsidR="0017669C" w:rsidRPr="00AE6A85">
        <w:rPr>
          <w:rFonts w:asciiTheme="minorHAnsi" w:hAnsiTheme="minorHAnsi" w:cs="Arial"/>
          <w:bCs/>
          <w:snapToGrid w:val="0"/>
          <w:lang w:eastAsia="en-US"/>
        </w:rPr>
        <w:t>proportional increase in cost of goods</w:t>
      </w:r>
      <w:r w:rsidR="00A675CC" w:rsidRPr="00AE6A85">
        <w:rPr>
          <w:rFonts w:asciiTheme="minorHAnsi" w:hAnsiTheme="minorHAnsi" w:cs="Arial"/>
          <w:bCs/>
          <w:snapToGrid w:val="0"/>
          <w:lang w:eastAsia="en-US"/>
        </w:rPr>
        <w:t xml:space="preserve"> and a lack of information to support the clinical benefit for the additional actuations</w:t>
      </w:r>
      <w:r w:rsidR="004336C1" w:rsidRPr="00AE6A85">
        <w:rPr>
          <w:rFonts w:asciiTheme="minorHAnsi" w:hAnsiTheme="minorHAnsi" w:cs="Arial"/>
          <w:bCs/>
          <w:snapToGrid w:val="0"/>
          <w:lang w:eastAsia="en-US"/>
        </w:rPr>
        <w:t xml:space="preserve"> in the context of use on as needed basis</w:t>
      </w:r>
      <w:r w:rsidR="0017669C" w:rsidRPr="00AE6A85">
        <w:rPr>
          <w:rFonts w:asciiTheme="minorHAnsi" w:hAnsiTheme="minorHAnsi" w:cs="Arial"/>
          <w:bCs/>
          <w:snapToGrid w:val="0"/>
          <w:lang w:eastAsia="en-US"/>
        </w:rPr>
        <w:t xml:space="preserve">. </w:t>
      </w:r>
    </w:p>
    <w:p w:rsidR="00B72DDA" w:rsidRPr="00AE6A85" w:rsidRDefault="00B72DDA" w:rsidP="00D83A2A">
      <w:pPr>
        <w:widowControl w:val="0"/>
        <w:numPr>
          <w:ilvl w:val="1"/>
          <w:numId w:val="1"/>
        </w:numPr>
        <w:spacing w:after="120"/>
        <w:rPr>
          <w:rFonts w:asciiTheme="minorHAnsi" w:hAnsiTheme="minorHAnsi" w:cs="Arial"/>
          <w:bCs/>
          <w:snapToGrid w:val="0"/>
          <w:lang w:eastAsia="en-US"/>
        </w:rPr>
      </w:pPr>
      <w:r w:rsidRPr="00AE6A85">
        <w:t>The PBAC noted the intention of the sponsor to delist M2 Turbuhaler after a transition period, and considered that a formal request to delist M2 Turbuhaler would be required.</w:t>
      </w:r>
    </w:p>
    <w:p w:rsidR="00F23A27" w:rsidRPr="00902502" w:rsidRDefault="00F948D7" w:rsidP="00D83A2A">
      <w:pPr>
        <w:pStyle w:val="3Bodytext"/>
        <w:jc w:val="both"/>
        <w:rPr>
          <w:rFonts w:cstheme="minorHAnsi"/>
          <w:szCs w:val="24"/>
        </w:rPr>
      </w:pPr>
      <w:r w:rsidRPr="00AE6A85">
        <w:t xml:space="preserve">The PBAC advised, under Section 101 (4AACD) of the </w:t>
      </w:r>
      <w:r w:rsidRPr="00AE6A85">
        <w:rPr>
          <w:i/>
        </w:rPr>
        <w:t>National Health Act</w:t>
      </w:r>
      <w:r w:rsidRPr="00AE6A85">
        <w:t xml:space="preserve">, that terbutaline, 120 actuations </w:t>
      </w:r>
      <w:r w:rsidR="0017669C" w:rsidRPr="00AE6A85">
        <w:t>and terbutaline, 100 actuations</w:t>
      </w:r>
      <w:r w:rsidRPr="00AE6A85">
        <w:t xml:space="preserve"> should </w:t>
      </w:r>
      <w:r w:rsidR="00D10ED9" w:rsidRPr="00AE6A85">
        <w:t xml:space="preserve">not </w:t>
      </w:r>
      <w:r w:rsidRPr="00AE6A85">
        <w:t>be considered equivalent for the purposes of substitution (i.e., ‘a’ flagged in the Schedule with a NOTE stating PBS of one form and PBS of another form are equivalent for the purposes of substitution)</w:t>
      </w:r>
      <w:r w:rsidR="00D10ED9" w:rsidRPr="00AE6A85">
        <w:t xml:space="preserve"> due to the different quantity of drug supplied per dispensing</w:t>
      </w:r>
      <w:r w:rsidR="00912937" w:rsidRPr="00AE6A85">
        <w:t xml:space="preserve">. </w:t>
      </w:r>
    </w:p>
    <w:p w:rsidR="00902502" w:rsidRPr="00AE6A85" w:rsidRDefault="00902502" w:rsidP="00B244C1">
      <w:pPr>
        <w:pStyle w:val="3Bodytext"/>
        <w:jc w:val="both"/>
        <w:rPr>
          <w:rFonts w:cstheme="minorHAnsi"/>
          <w:szCs w:val="24"/>
        </w:rPr>
      </w:pPr>
      <w:r w:rsidRPr="00902502">
        <w:rPr>
          <w:rFonts w:cstheme="minorHAnsi"/>
          <w:szCs w:val="24"/>
        </w:rPr>
        <w:t xml:space="preserve">The PBAC noted that its recommendation was on a cost-minimisation basis and advised that, because </w:t>
      </w:r>
      <w:r>
        <w:rPr>
          <w:rFonts w:cstheme="minorHAnsi"/>
          <w:szCs w:val="24"/>
        </w:rPr>
        <w:t>the M3 Turbuhaler</w:t>
      </w:r>
      <w:r w:rsidRPr="00902502">
        <w:rPr>
          <w:rFonts w:cstheme="minorHAnsi"/>
          <w:szCs w:val="24"/>
        </w:rPr>
        <w:t xml:space="preserve"> is not expected to provide a substantial and clinically relevant improvement in efficacy, or reduction of toxicity, over </w:t>
      </w:r>
      <w:r>
        <w:rPr>
          <w:rFonts w:cstheme="minorHAnsi"/>
          <w:szCs w:val="24"/>
        </w:rPr>
        <w:t xml:space="preserve">the M2 </w:t>
      </w:r>
      <w:r>
        <w:rPr>
          <w:rFonts w:cstheme="minorHAnsi"/>
          <w:szCs w:val="24"/>
        </w:rPr>
        <w:lastRenderedPageBreak/>
        <w:t>Turbuhaler</w:t>
      </w:r>
      <w:r w:rsidRPr="00902502">
        <w:rPr>
          <w:rFonts w:cstheme="minorHAnsi"/>
          <w:szCs w:val="24"/>
        </w:rPr>
        <w:t xml:space="preserve">, or not expected to address a high and urgent unmet clinical need given the presence of an alternative therapy, the criteria prescribed by the </w:t>
      </w:r>
      <w:r w:rsidRPr="00902502">
        <w:rPr>
          <w:rFonts w:cstheme="minorHAnsi"/>
          <w:i/>
          <w:szCs w:val="24"/>
        </w:rPr>
        <w:t>National Health (Pharmaceuticals and Vaccines – Cost Recovery) Regulations 2009</w:t>
      </w:r>
      <w:r w:rsidRPr="00902502">
        <w:rPr>
          <w:rFonts w:cstheme="minorHAnsi"/>
          <w:szCs w:val="24"/>
        </w:rPr>
        <w:t xml:space="preserve"> for Pricing Pathway A were not met.</w:t>
      </w:r>
    </w:p>
    <w:p w:rsidR="00540E66" w:rsidRPr="00AE6A85" w:rsidRDefault="00540E66" w:rsidP="00540E66">
      <w:pPr>
        <w:widowControl w:val="0"/>
        <w:numPr>
          <w:ilvl w:val="1"/>
          <w:numId w:val="1"/>
        </w:numPr>
        <w:spacing w:after="120"/>
        <w:rPr>
          <w:rFonts w:asciiTheme="minorHAnsi" w:hAnsiTheme="minorHAnsi" w:cs="Arial"/>
          <w:bCs/>
          <w:snapToGrid w:val="0"/>
        </w:rPr>
      </w:pPr>
      <w:r w:rsidRPr="00AE6A85">
        <w:rPr>
          <w:rFonts w:asciiTheme="minorHAnsi" w:hAnsiTheme="minorHAnsi" w:cs="Arial"/>
          <w:bCs/>
          <w:snapToGrid w:val="0"/>
        </w:rPr>
        <w:t>The PBAC noted that this submission is not eligible for an Independent Review as it received a positive recommendation</w:t>
      </w:r>
      <w:r w:rsidR="00912937" w:rsidRPr="00AE6A85">
        <w:rPr>
          <w:rFonts w:asciiTheme="minorHAnsi" w:hAnsiTheme="minorHAnsi" w:cs="Arial"/>
          <w:bCs/>
          <w:snapToGrid w:val="0"/>
        </w:rPr>
        <w:t xml:space="preserve">. </w:t>
      </w:r>
    </w:p>
    <w:p w:rsidR="00EE5084" w:rsidRPr="00AE6A85" w:rsidRDefault="00EE5084" w:rsidP="00EE5084">
      <w:pPr>
        <w:spacing w:before="240"/>
        <w:rPr>
          <w:rFonts w:asciiTheme="minorHAnsi" w:hAnsiTheme="minorHAnsi" w:cs="Arial"/>
          <w:b/>
          <w:bCs/>
          <w:snapToGrid w:val="0"/>
          <w:lang w:eastAsia="en-US"/>
        </w:rPr>
      </w:pPr>
      <w:r w:rsidRPr="00AE6A85">
        <w:rPr>
          <w:rFonts w:asciiTheme="minorHAnsi" w:hAnsiTheme="minorHAnsi" w:cs="Arial"/>
          <w:b/>
          <w:bCs/>
          <w:snapToGrid w:val="0"/>
          <w:lang w:eastAsia="en-US"/>
        </w:rPr>
        <w:t>Outcome:</w:t>
      </w:r>
    </w:p>
    <w:p w:rsidR="00EE5084" w:rsidRPr="00AE6A85" w:rsidRDefault="00EE5084" w:rsidP="00872E47">
      <w:pPr>
        <w:spacing w:after="120"/>
        <w:rPr>
          <w:rFonts w:asciiTheme="minorHAnsi" w:hAnsiTheme="minorHAnsi" w:cs="Arial"/>
          <w:bCs/>
          <w:snapToGrid w:val="0"/>
          <w:lang w:eastAsia="en-US"/>
        </w:rPr>
      </w:pPr>
      <w:r w:rsidRPr="00AE6A85">
        <w:rPr>
          <w:rFonts w:asciiTheme="minorHAnsi" w:hAnsiTheme="minorHAnsi" w:cs="Arial"/>
          <w:bCs/>
          <w:snapToGrid w:val="0"/>
          <w:lang w:eastAsia="en-US"/>
        </w:rPr>
        <w:t xml:space="preserve">Recommended </w:t>
      </w:r>
    </w:p>
    <w:p w:rsidR="00EE5084" w:rsidRPr="00AE6A85" w:rsidRDefault="00EE5084" w:rsidP="00D210AA">
      <w:pPr>
        <w:keepNext/>
        <w:keepLines/>
        <w:widowControl w:val="0"/>
        <w:numPr>
          <w:ilvl w:val="0"/>
          <w:numId w:val="1"/>
        </w:numPr>
        <w:spacing w:before="240" w:after="120"/>
        <w:jc w:val="left"/>
        <w:outlineLvl w:val="0"/>
        <w:rPr>
          <w:rFonts w:asciiTheme="minorHAnsi" w:hAnsiTheme="minorHAnsi" w:cs="Arial"/>
          <w:b/>
          <w:bCs/>
          <w:i/>
          <w:snapToGrid w:val="0"/>
          <w:sz w:val="32"/>
          <w:lang w:eastAsia="en-US"/>
        </w:rPr>
      </w:pPr>
      <w:r w:rsidRPr="00AE6A85">
        <w:rPr>
          <w:rFonts w:asciiTheme="minorHAnsi" w:hAnsiTheme="minorHAnsi" w:cs="Arial"/>
          <w:b/>
          <w:bCs/>
          <w:snapToGrid w:val="0"/>
          <w:sz w:val="32"/>
          <w:lang w:eastAsia="en-US"/>
        </w:rPr>
        <w:t>Recommended listing</w:t>
      </w:r>
    </w:p>
    <w:p w:rsidR="00AA7866" w:rsidRPr="00AE6A85" w:rsidRDefault="00AA7866" w:rsidP="00BC2051">
      <w:pPr>
        <w:widowControl w:val="0"/>
        <w:numPr>
          <w:ilvl w:val="1"/>
          <w:numId w:val="1"/>
        </w:numPr>
        <w:spacing w:after="120"/>
        <w:jc w:val="left"/>
        <w:rPr>
          <w:rFonts w:asciiTheme="minorHAnsi" w:hAnsiTheme="minorHAnsi" w:cstheme="minorHAnsi"/>
        </w:rPr>
      </w:pPr>
      <w:r w:rsidRPr="00AE6A85">
        <w:rPr>
          <w:rFonts w:asciiTheme="minorHAnsi" w:hAnsiTheme="minorHAnsi" w:cstheme="minorHAnsi"/>
        </w:rPr>
        <w:t xml:space="preserve">Add new </w:t>
      </w:r>
      <w:r w:rsidR="00FB6E1C" w:rsidRPr="00AE6A85">
        <w:rPr>
          <w:rFonts w:asciiTheme="minorHAnsi" w:hAnsiTheme="minorHAnsi" w:cstheme="minorHAnsi"/>
        </w:rPr>
        <w:t>item with the same restrictions as the following restriction summary</w:t>
      </w:r>
      <w:r w:rsidRPr="00AE6A85">
        <w:rPr>
          <w:rFonts w:asciiTheme="minorHAnsi" w:hAnsiTheme="minorHAnsi" w:cstheme="minorHAnsi"/>
        </w:rPr>
        <w:t>:</w:t>
      </w:r>
    </w:p>
    <w:p w:rsidR="006B10D3" w:rsidRPr="00AE6A85" w:rsidRDefault="006B10D3" w:rsidP="006B10D3">
      <w:pPr>
        <w:widowControl w:val="0"/>
        <w:spacing w:after="120"/>
        <w:jc w:val="left"/>
        <w:rPr>
          <w:rFonts w:asciiTheme="minorHAnsi" w:hAnsiTheme="minorHAnsi" w:cstheme="minorHAnsi"/>
        </w:rPr>
      </w:pPr>
      <w:r w:rsidRPr="00AE6A85">
        <w:rPr>
          <w:rFonts w:ascii="Arial Narrow" w:hAnsi="Arial Narrow" w:cs="Arial"/>
          <w:b/>
          <w:bCs/>
          <w:snapToGrid w:val="0"/>
          <w:sz w:val="20"/>
          <w:szCs w:val="20"/>
          <w:lang w:eastAsia="en-US"/>
        </w:rPr>
        <w:t>Restriction Summary 9828/</w:t>
      </w:r>
      <w:r w:rsidRPr="00AE6A85">
        <w:t xml:space="preserve"> </w:t>
      </w:r>
      <w:r w:rsidRPr="00AE6A85">
        <w:rPr>
          <w:rFonts w:ascii="Arial Narrow" w:hAnsi="Arial Narrow" w:cs="Arial"/>
          <w:b/>
          <w:bCs/>
          <w:snapToGrid w:val="0"/>
          <w:sz w:val="20"/>
          <w:szCs w:val="20"/>
          <w:lang w:eastAsia="en-US"/>
        </w:rPr>
        <w:t>ToC: 9828: Authority Required: Streamlined</w:t>
      </w:r>
      <w:r w:rsidRPr="00AE6A85">
        <w:rPr>
          <w:rFonts w:ascii="Arial Narrow" w:hAnsi="Arial Narrow" w:cs="Arial"/>
          <w:bCs/>
          <w:snapToGrid w:val="0"/>
          <w:sz w:val="20"/>
          <w:szCs w:val="20"/>
          <w:lang w:eastAsia="en-US"/>
        </w:rPr>
        <w:t xml:space="preserve"> (current as of July 2020)</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417"/>
      </w:tblGrid>
      <w:tr w:rsidR="00AA7866" w:rsidRPr="00AE6A85" w:rsidTr="006A225B">
        <w:trPr>
          <w:cantSplit/>
          <w:trHeight w:val="471"/>
        </w:trPr>
        <w:tc>
          <w:tcPr>
            <w:tcW w:w="2689" w:type="dxa"/>
          </w:tcPr>
          <w:p w:rsidR="00AA7866" w:rsidRPr="00AE6A85" w:rsidRDefault="00AA7866" w:rsidP="006A225B">
            <w:pPr>
              <w:keepNext/>
              <w:ind w:left="-108"/>
              <w:rPr>
                <w:rFonts w:ascii="Arial Narrow" w:hAnsi="Arial Narrow" w:cs="Arial"/>
                <w:b/>
                <w:sz w:val="18"/>
                <w:szCs w:val="18"/>
              </w:rPr>
            </w:pPr>
            <w:r w:rsidRPr="00AE6A85">
              <w:rPr>
                <w:rFonts w:ascii="Arial Narrow" w:hAnsi="Arial Narrow" w:cs="Arial"/>
                <w:b/>
                <w:sz w:val="18"/>
                <w:szCs w:val="18"/>
              </w:rPr>
              <w:t>Name, Restriction,</w:t>
            </w:r>
          </w:p>
          <w:p w:rsidR="00AA7866" w:rsidRPr="00AE6A85" w:rsidRDefault="00AA7866" w:rsidP="006A225B">
            <w:pPr>
              <w:keepNext/>
              <w:ind w:left="-108"/>
              <w:rPr>
                <w:rFonts w:ascii="Arial Narrow" w:hAnsi="Arial Narrow" w:cs="Arial"/>
                <w:b/>
                <w:sz w:val="18"/>
                <w:szCs w:val="18"/>
              </w:rPr>
            </w:pPr>
            <w:r w:rsidRPr="00AE6A85">
              <w:rPr>
                <w:rFonts w:ascii="Arial Narrow" w:hAnsi="Arial Narrow" w:cs="Arial"/>
                <w:b/>
                <w:sz w:val="18"/>
                <w:szCs w:val="18"/>
              </w:rPr>
              <w:t>Manner of administration and form</w:t>
            </w:r>
          </w:p>
        </w:tc>
        <w:tc>
          <w:tcPr>
            <w:tcW w:w="1275" w:type="dxa"/>
          </w:tcPr>
          <w:p w:rsidR="00AA7866" w:rsidRPr="00AE6A85" w:rsidRDefault="00AA7866" w:rsidP="006A225B">
            <w:pPr>
              <w:keepNext/>
              <w:ind w:left="-108"/>
              <w:jc w:val="center"/>
              <w:rPr>
                <w:rFonts w:ascii="Arial Narrow" w:hAnsi="Arial Narrow" w:cs="Arial"/>
                <w:b/>
                <w:sz w:val="18"/>
                <w:szCs w:val="18"/>
              </w:rPr>
            </w:pPr>
            <w:r w:rsidRPr="00AE6A85">
              <w:rPr>
                <w:rFonts w:ascii="Arial Narrow" w:hAnsi="Arial Narrow" w:cs="Arial"/>
                <w:b/>
                <w:sz w:val="18"/>
                <w:szCs w:val="18"/>
              </w:rPr>
              <w:t>PBS item code</w:t>
            </w:r>
          </w:p>
        </w:tc>
        <w:tc>
          <w:tcPr>
            <w:tcW w:w="851" w:type="dxa"/>
          </w:tcPr>
          <w:p w:rsidR="00AA7866" w:rsidRPr="00AE6A85" w:rsidRDefault="00AA7866" w:rsidP="006A225B">
            <w:pPr>
              <w:keepNext/>
              <w:ind w:left="-108"/>
              <w:jc w:val="center"/>
              <w:rPr>
                <w:rFonts w:ascii="Arial Narrow" w:hAnsi="Arial Narrow" w:cs="Arial"/>
                <w:b/>
                <w:sz w:val="18"/>
                <w:szCs w:val="18"/>
              </w:rPr>
            </w:pPr>
            <w:r w:rsidRPr="00AE6A85">
              <w:rPr>
                <w:rFonts w:ascii="Arial Narrow" w:hAnsi="Arial Narrow" w:cs="Arial"/>
                <w:b/>
                <w:sz w:val="18"/>
                <w:szCs w:val="18"/>
              </w:rPr>
              <w:t>Max. qty packs</w:t>
            </w:r>
          </w:p>
        </w:tc>
        <w:tc>
          <w:tcPr>
            <w:tcW w:w="850" w:type="dxa"/>
          </w:tcPr>
          <w:p w:rsidR="00AA7866" w:rsidRPr="00AE6A85" w:rsidRDefault="00AA7866" w:rsidP="006A225B">
            <w:pPr>
              <w:keepNext/>
              <w:ind w:left="-108"/>
              <w:jc w:val="center"/>
              <w:rPr>
                <w:rFonts w:ascii="Arial Narrow" w:hAnsi="Arial Narrow" w:cs="Arial"/>
                <w:b/>
                <w:sz w:val="18"/>
                <w:szCs w:val="18"/>
              </w:rPr>
            </w:pPr>
            <w:r w:rsidRPr="00AE6A85">
              <w:rPr>
                <w:rFonts w:ascii="Arial Narrow" w:hAnsi="Arial Narrow" w:cs="Arial"/>
                <w:b/>
                <w:sz w:val="18"/>
                <w:szCs w:val="18"/>
              </w:rPr>
              <w:t>Max. qty units</w:t>
            </w:r>
          </w:p>
        </w:tc>
        <w:tc>
          <w:tcPr>
            <w:tcW w:w="709" w:type="dxa"/>
          </w:tcPr>
          <w:p w:rsidR="00AA7866" w:rsidRPr="00AE6A85" w:rsidRDefault="00AA7866" w:rsidP="006A225B">
            <w:pPr>
              <w:keepNext/>
              <w:ind w:left="-108"/>
              <w:jc w:val="center"/>
              <w:rPr>
                <w:rFonts w:ascii="Arial Narrow" w:hAnsi="Arial Narrow" w:cs="Arial"/>
                <w:b/>
                <w:sz w:val="18"/>
                <w:szCs w:val="18"/>
              </w:rPr>
            </w:pPr>
            <w:r w:rsidRPr="00AE6A85">
              <w:rPr>
                <w:rFonts w:ascii="Arial Narrow" w:hAnsi="Arial Narrow" w:cs="Arial"/>
                <w:b/>
                <w:sz w:val="18"/>
                <w:szCs w:val="18"/>
              </w:rPr>
              <w:t>№.of</w:t>
            </w:r>
          </w:p>
          <w:p w:rsidR="00AA7866" w:rsidRPr="00AE6A85" w:rsidRDefault="00AA7866" w:rsidP="006A225B">
            <w:pPr>
              <w:keepNext/>
              <w:ind w:left="-108"/>
              <w:jc w:val="center"/>
              <w:rPr>
                <w:rFonts w:ascii="Arial Narrow" w:hAnsi="Arial Narrow" w:cs="Arial"/>
                <w:b/>
                <w:sz w:val="18"/>
                <w:szCs w:val="18"/>
              </w:rPr>
            </w:pPr>
            <w:r w:rsidRPr="00AE6A85">
              <w:rPr>
                <w:rFonts w:ascii="Arial Narrow" w:hAnsi="Arial Narrow" w:cs="Arial"/>
                <w:b/>
                <w:sz w:val="18"/>
                <w:szCs w:val="18"/>
              </w:rPr>
              <w:t>Rpts</w:t>
            </w:r>
          </w:p>
        </w:tc>
        <w:tc>
          <w:tcPr>
            <w:tcW w:w="2551" w:type="dxa"/>
            <w:gridSpan w:val="2"/>
          </w:tcPr>
          <w:p w:rsidR="00AA7866" w:rsidRPr="00AE6A85" w:rsidRDefault="00AA7866" w:rsidP="006A225B">
            <w:pPr>
              <w:keepNext/>
              <w:rPr>
                <w:rFonts w:ascii="Arial Narrow" w:hAnsi="Arial Narrow" w:cs="Arial"/>
                <w:b/>
                <w:sz w:val="18"/>
                <w:szCs w:val="18"/>
              </w:rPr>
            </w:pPr>
            <w:r w:rsidRPr="00AE6A85">
              <w:rPr>
                <w:rFonts w:ascii="Arial Narrow" w:hAnsi="Arial Narrow" w:cs="Arial"/>
                <w:b/>
                <w:sz w:val="18"/>
                <w:szCs w:val="18"/>
              </w:rPr>
              <w:t>Proprietary Name and Manufacturer</w:t>
            </w:r>
          </w:p>
        </w:tc>
      </w:tr>
      <w:tr w:rsidR="00AA7866" w:rsidRPr="00AE6A85" w:rsidTr="006A225B">
        <w:trPr>
          <w:cantSplit/>
          <w:trHeight w:val="761"/>
        </w:trPr>
        <w:tc>
          <w:tcPr>
            <w:tcW w:w="2689" w:type="dxa"/>
          </w:tcPr>
          <w:p w:rsidR="00AA7866" w:rsidRPr="00AE6A85" w:rsidRDefault="00AA7866" w:rsidP="006A225B">
            <w:pPr>
              <w:keepNext/>
              <w:ind w:left="-108"/>
              <w:rPr>
                <w:rFonts w:ascii="Arial Narrow" w:hAnsi="Arial Narrow" w:cs="Arial"/>
                <w:sz w:val="18"/>
                <w:szCs w:val="18"/>
              </w:rPr>
            </w:pPr>
            <w:r w:rsidRPr="00AE6A85">
              <w:rPr>
                <w:rFonts w:ascii="Arial Narrow" w:hAnsi="Arial Narrow" w:cs="Arial"/>
                <w:sz w:val="18"/>
                <w:szCs w:val="18"/>
              </w:rPr>
              <w:t xml:space="preserve">TERBUTALINE </w:t>
            </w:r>
          </w:p>
          <w:p w:rsidR="00AA7866" w:rsidRPr="00AE6A85" w:rsidRDefault="00AA7866" w:rsidP="006A225B">
            <w:pPr>
              <w:keepNext/>
              <w:ind w:left="-108"/>
              <w:rPr>
                <w:rFonts w:ascii="Arial Narrow" w:hAnsi="Arial Narrow" w:cs="Arial"/>
                <w:sz w:val="18"/>
                <w:szCs w:val="18"/>
              </w:rPr>
            </w:pPr>
          </w:p>
          <w:p w:rsidR="00AA7866" w:rsidRPr="00AE6A85" w:rsidRDefault="00AA7866" w:rsidP="006A225B">
            <w:pPr>
              <w:keepNext/>
              <w:ind w:left="-108"/>
              <w:rPr>
                <w:rFonts w:ascii="Arial Narrow" w:hAnsi="Arial Narrow" w:cs="Arial"/>
                <w:sz w:val="18"/>
                <w:szCs w:val="18"/>
              </w:rPr>
            </w:pPr>
            <w:r w:rsidRPr="00AE6A85">
              <w:rPr>
                <w:rFonts w:ascii="Arial Narrow" w:hAnsi="Arial Narrow" w:cs="Arial"/>
                <w:sz w:val="18"/>
                <w:szCs w:val="18"/>
              </w:rPr>
              <w:t>Terbutaline sulfate 500</w:t>
            </w:r>
            <w:r w:rsidR="00A329C2">
              <w:rPr>
                <w:rFonts w:ascii="Arial Narrow" w:hAnsi="Arial Narrow" w:cs="Arial"/>
                <w:sz w:val="18"/>
                <w:szCs w:val="18"/>
              </w:rPr>
              <w:t xml:space="preserve"> </w:t>
            </w:r>
            <w:r w:rsidRPr="00AE6A85">
              <w:rPr>
                <w:rFonts w:ascii="Arial Narrow" w:hAnsi="Arial Narrow" w:cs="Arial"/>
                <w:sz w:val="18"/>
                <w:szCs w:val="18"/>
              </w:rPr>
              <w:t>mcg/actuation powder for inhalation, 120 actuations</w:t>
            </w:r>
          </w:p>
        </w:tc>
        <w:tc>
          <w:tcPr>
            <w:tcW w:w="1275" w:type="dxa"/>
            <w:vAlign w:val="center"/>
          </w:tcPr>
          <w:p w:rsidR="00AA7866" w:rsidRPr="00AE6A85" w:rsidRDefault="00AA7866" w:rsidP="006A225B">
            <w:pPr>
              <w:keepNext/>
              <w:ind w:left="-108"/>
              <w:jc w:val="center"/>
              <w:rPr>
                <w:rFonts w:ascii="Arial Narrow" w:hAnsi="Arial Narrow" w:cs="Arial"/>
                <w:sz w:val="18"/>
                <w:szCs w:val="18"/>
              </w:rPr>
            </w:pPr>
            <w:r w:rsidRPr="00AE6A85">
              <w:rPr>
                <w:rFonts w:ascii="Arial Narrow" w:hAnsi="Arial Narrow" w:cs="Arial"/>
                <w:sz w:val="18"/>
                <w:szCs w:val="18"/>
              </w:rPr>
              <w:t>New</w:t>
            </w:r>
          </w:p>
        </w:tc>
        <w:tc>
          <w:tcPr>
            <w:tcW w:w="851" w:type="dxa"/>
            <w:vAlign w:val="center"/>
          </w:tcPr>
          <w:p w:rsidR="00AA7866" w:rsidRPr="00AE6A85" w:rsidRDefault="00AA7866" w:rsidP="006A225B">
            <w:pPr>
              <w:keepNext/>
              <w:jc w:val="center"/>
              <w:rPr>
                <w:rFonts w:ascii="Arial Narrow" w:hAnsi="Arial Narrow" w:cs="Arial"/>
                <w:sz w:val="18"/>
                <w:szCs w:val="18"/>
              </w:rPr>
            </w:pPr>
            <w:r w:rsidRPr="00AE6A85">
              <w:rPr>
                <w:rFonts w:ascii="Arial Narrow" w:hAnsi="Arial Narrow" w:cs="Arial"/>
                <w:sz w:val="18"/>
                <w:szCs w:val="18"/>
              </w:rPr>
              <w:t>2</w:t>
            </w:r>
          </w:p>
        </w:tc>
        <w:tc>
          <w:tcPr>
            <w:tcW w:w="850" w:type="dxa"/>
            <w:vAlign w:val="center"/>
          </w:tcPr>
          <w:p w:rsidR="00AA7866" w:rsidRPr="00AE6A85" w:rsidRDefault="00AA7866" w:rsidP="006A225B">
            <w:pPr>
              <w:keepNext/>
              <w:ind w:left="-108"/>
              <w:jc w:val="center"/>
              <w:rPr>
                <w:rFonts w:ascii="Arial Narrow" w:hAnsi="Arial Narrow" w:cs="Arial"/>
                <w:sz w:val="18"/>
                <w:szCs w:val="18"/>
              </w:rPr>
            </w:pPr>
            <w:r w:rsidRPr="00AE6A85">
              <w:rPr>
                <w:rFonts w:ascii="Arial Narrow" w:hAnsi="Arial Narrow" w:cs="Arial"/>
                <w:sz w:val="18"/>
                <w:szCs w:val="18"/>
              </w:rPr>
              <w:t>2</w:t>
            </w:r>
          </w:p>
        </w:tc>
        <w:tc>
          <w:tcPr>
            <w:tcW w:w="709" w:type="dxa"/>
            <w:vAlign w:val="center"/>
          </w:tcPr>
          <w:p w:rsidR="00AA7866" w:rsidRPr="00AE6A85" w:rsidRDefault="00AA7866" w:rsidP="006A225B">
            <w:pPr>
              <w:keepNext/>
              <w:ind w:left="-108"/>
              <w:jc w:val="center"/>
              <w:rPr>
                <w:rFonts w:ascii="Arial Narrow" w:hAnsi="Arial Narrow" w:cs="Arial"/>
                <w:strike/>
                <w:sz w:val="18"/>
                <w:szCs w:val="18"/>
              </w:rPr>
            </w:pPr>
            <w:r w:rsidRPr="00AE6A85">
              <w:rPr>
                <w:rFonts w:ascii="Arial Narrow" w:hAnsi="Arial Narrow" w:cs="Arial"/>
                <w:sz w:val="18"/>
                <w:szCs w:val="18"/>
              </w:rPr>
              <w:t xml:space="preserve"> 5 </w:t>
            </w:r>
          </w:p>
        </w:tc>
        <w:tc>
          <w:tcPr>
            <w:tcW w:w="1134" w:type="dxa"/>
            <w:vAlign w:val="center"/>
          </w:tcPr>
          <w:p w:rsidR="00AA7866" w:rsidRPr="00AE6A85" w:rsidRDefault="00AA7866" w:rsidP="006A225B">
            <w:pPr>
              <w:keepNext/>
              <w:jc w:val="left"/>
              <w:rPr>
                <w:rFonts w:ascii="Arial Narrow" w:hAnsi="Arial Narrow" w:cs="Arial"/>
                <w:sz w:val="18"/>
                <w:szCs w:val="18"/>
              </w:rPr>
            </w:pPr>
            <w:r w:rsidRPr="00AE6A85">
              <w:rPr>
                <w:rFonts w:ascii="Arial Narrow" w:hAnsi="Arial Narrow" w:cs="Arial"/>
                <w:sz w:val="18"/>
                <w:szCs w:val="18"/>
              </w:rPr>
              <w:t>Bricanyl Turbuhaler</w:t>
            </w:r>
            <w:r w:rsidRPr="00AE6A85">
              <w:rPr>
                <w:rFonts w:ascii="Arial Narrow" w:hAnsi="Arial Narrow" w:cs="Arial"/>
                <w:sz w:val="18"/>
                <w:szCs w:val="18"/>
                <w:vertAlign w:val="superscript"/>
              </w:rPr>
              <w:t>®</w:t>
            </w:r>
          </w:p>
        </w:tc>
        <w:tc>
          <w:tcPr>
            <w:tcW w:w="1417" w:type="dxa"/>
            <w:vAlign w:val="center"/>
          </w:tcPr>
          <w:p w:rsidR="00AA7866" w:rsidRPr="00AE6A85" w:rsidRDefault="00AA7866" w:rsidP="006A225B">
            <w:pPr>
              <w:keepNext/>
              <w:jc w:val="left"/>
              <w:rPr>
                <w:rFonts w:ascii="Arial Narrow" w:hAnsi="Arial Narrow" w:cs="Arial"/>
                <w:sz w:val="18"/>
                <w:szCs w:val="18"/>
              </w:rPr>
            </w:pPr>
            <w:r w:rsidRPr="00AE6A85">
              <w:rPr>
                <w:rFonts w:ascii="Arial Narrow" w:hAnsi="Arial Narrow" w:cs="Arial"/>
                <w:sz w:val="18"/>
                <w:szCs w:val="18"/>
              </w:rPr>
              <w:t>AstraZeneca Pty Ltd</w:t>
            </w:r>
          </w:p>
        </w:tc>
      </w:tr>
    </w:tbl>
    <w:p w:rsidR="006B10D3" w:rsidRPr="00AE6A85" w:rsidRDefault="006B10D3" w:rsidP="00BC2051">
      <w:pPr>
        <w:widowControl w:val="0"/>
        <w:spacing w:after="120"/>
        <w:ind w:left="720"/>
        <w:jc w:val="left"/>
        <w:rPr>
          <w:rFonts w:ascii="Arial Narrow" w:hAnsi="Arial Narrow" w:cs="Arial"/>
          <w:b/>
          <w:bCs/>
          <w:snapToGrid w:val="0"/>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B147F4" w:rsidRPr="00AE6A85" w:rsidTr="00B147F4">
        <w:tc>
          <w:tcPr>
            <w:tcW w:w="5000" w:type="pct"/>
            <w:vAlign w:val="center"/>
            <w:hideMark/>
          </w:tcPr>
          <w:p w:rsidR="00B147F4" w:rsidRPr="00AE6A85" w:rsidRDefault="00B147F4" w:rsidP="00FB6E1C">
            <w:pPr>
              <w:jc w:val="left"/>
              <w:rPr>
                <w:rFonts w:ascii="Arial Narrow" w:hAnsi="Arial Narrow" w:cs="Open Sans"/>
                <w:b/>
                <w:bCs/>
                <w:color w:val="333333"/>
                <w:sz w:val="20"/>
                <w:szCs w:val="20"/>
              </w:rPr>
            </w:pPr>
            <w:r w:rsidRPr="00AE6A85">
              <w:rPr>
                <w:rFonts w:ascii="Arial Narrow" w:hAnsi="Arial Narrow" w:cs="Open Sans"/>
                <w:b/>
                <w:bCs/>
                <w:color w:val="333333"/>
                <w:sz w:val="20"/>
                <w:szCs w:val="20"/>
              </w:rPr>
              <w:t>Indication:</w:t>
            </w:r>
          </w:p>
          <w:p w:rsidR="00B147F4" w:rsidRPr="00AE6A85" w:rsidRDefault="00B147F4" w:rsidP="00FB6E1C">
            <w:pPr>
              <w:jc w:val="left"/>
              <w:rPr>
                <w:rFonts w:ascii="Arial Narrow" w:hAnsi="Arial Narrow" w:cs="Open Sans"/>
                <w:color w:val="333333"/>
                <w:sz w:val="20"/>
                <w:szCs w:val="20"/>
              </w:rPr>
            </w:pPr>
            <w:r w:rsidRPr="00AE6A85">
              <w:rPr>
                <w:rFonts w:ascii="Arial Narrow" w:hAnsi="Arial Narrow" w:cs="Open Sans"/>
                <w:color w:val="333333"/>
                <w:sz w:val="20"/>
                <w:szCs w:val="20"/>
              </w:rPr>
              <w:t>Bronchospasm</w:t>
            </w:r>
          </w:p>
        </w:tc>
      </w:tr>
      <w:tr w:rsidR="00B147F4" w:rsidRPr="00AE6A85" w:rsidTr="00B147F4">
        <w:tc>
          <w:tcPr>
            <w:tcW w:w="5000" w:type="pct"/>
            <w:vAlign w:val="center"/>
            <w:hideMark/>
          </w:tcPr>
          <w:p w:rsidR="00B147F4" w:rsidRPr="00AE6A85" w:rsidRDefault="00B147F4" w:rsidP="00A42869">
            <w:pPr>
              <w:spacing w:before="100" w:beforeAutospacing="1" w:after="100" w:afterAutospacing="1"/>
              <w:jc w:val="left"/>
              <w:rPr>
                <w:rFonts w:ascii="Arial Narrow" w:hAnsi="Arial Narrow" w:cs="Open Sans"/>
                <w:color w:val="333333"/>
                <w:sz w:val="20"/>
                <w:szCs w:val="20"/>
              </w:rPr>
            </w:pPr>
            <w:r w:rsidRPr="00AE6A85">
              <w:rPr>
                <w:rFonts w:ascii="Arial Narrow" w:hAnsi="Arial Narrow" w:cs="Open Sans"/>
                <w:b/>
                <w:bCs/>
                <w:color w:val="333333"/>
                <w:sz w:val="20"/>
                <w:szCs w:val="20"/>
              </w:rPr>
              <w:t>Clinical criteria:</w:t>
            </w:r>
          </w:p>
        </w:tc>
      </w:tr>
      <w:tr w:rsidR="00B147F4" w:rsidRPr="00AE6A85" w:rsidTr="00B147F4">
        <w:tc>
          <w:tcPr>
            <w:tcW w:w="5000" w:type="pct"/>
            <w:vAlign w:val="center"/>
            <w:hideMark/>
          </w:tcPr>
          <w:p w:rsidR="00B147F4" w:rsidRPr="00AE6A85" w:rsidRDefault="00B147F4" w:rsidP="00A42869">
            <w:pPr>
              <w:jc w:val="left"/>
              <w:rPr>
                <w:rFonts w:ascii="Arial Narrow" w:hAnsi="Arial Narrow" w:cs="Open Sans"/>
                <w:color w:val="333333"/>
                <w:sz w:val="20"/>
                <w:szCs w:val="20"/>
              </w:rPr>
            </w:pPr>
            <w:r w:rsidRPr="00AE6A85">
              <w:rPr>
                <w:rFonts w:ascii="Arial Narrow" w:hAnsi="Arial Narrow" w:cs="Open Sans"/>
                <w:color w:val="333333"/>
                <w:sz w:val="20"/>
                <w:szCs w:val="20"/>
              </w:rPr>
              <w:t>Patient must be unable to achieve co-ordinated use of a metered dose inhaler containing a short-acting beta-2 agonist; or</w:t>
            </w:r>
          </w:p>
        </w:tc>
      </w:tr>
      <w:tr w:rsidR="00B147F4" w:rsidRPr="00AE6A85" w:rsidTr="00B147F4">
        <w:tc>
          <w:tcPr>
            <w:tcW w:w="5000" w:type="pct"/>
            <w:vAlign w:val="center"/>
            <w:hideMark/>
          </w:tcPr>
          <w:p w:rsidR="00B147F4" w:rsidRPr="00AE6A85" w:rsidRDefault="00B147F4" w:rsidP="00A42869">
            <w:pPr>
              <w:jc w:val="left"/>
              <w:rPr>
                <w:rFonts w:ascii="Arial Narrow" w:hAnsi="Arial Narrow" w:cs="Open Sans"/>
                <w:color w:val="333333"/>
                <w:sz w:val="20"/>
                <w:szCs w:val="20"/>
              </w:rPr>
            </w:pPr>
            <w:r w:rsidRPr="00AE6A85">
              <w:rPr>
                <w:rFonts w:ascii="Arial Narrow" w:hAnsi="Arial Narrow" w:cs="Open Sans"/>
                <w:color w:val="333333"/>
                <w:sz w:val="20"/>
                <w:szCs w:val="20"/>
              </w:rPr>
              <w:t>Patient must have developed a clinically important product-related adverse event during treatment with another short-acting beta-2 agonist</w:t>
            </w:r>
          </w:p>
        </w:tc>
      </w:tr>
      <w:tr w:rsidR="00B147F4" w:rsidRPr="00AE6A85" w:rsidTr="00B147F4">
        <w:tc>
          <w:tcPr>
            <w:tcW w:w="5000" w:type="pct"/>
            <w:vAlign w:val="center"/>
            <w:hideMark/>
          </w:tcPr>
          <w:p w:rsidR="00B147F4" w:rsidRPr="00AE6A85" w:rsidRDefault="00B147F4" w:rsidP="00FB6E1C">
            <w:pPr>
              <w:jc w:val="left"/>
              <w:rPr>
                <w:rFonts w:ascii="Arial Narrow" w:hAnsi="Arial Narrow" w:cs="Open Sans"/>
                <w:color w:val="333333"/>
                <w:sz w:val="20"/>
                <w:szCs w:val="20"/>
              </w:rPr>
            </w:pPr>
            <w:r w:rsidRPr="00AE6A85">
              <w:rPr>
                <w:rFonts w:ascii="Arial Narrow" w:hAnsi="Arial Narrow" w:cs="Open Sans"/>
                <w:b/>
                <w:bCs/>
                <w:color w:val="333333"/>
                <w:sz w:val="20"/>
                <w:szCs w:val="20"/>
              </w:rPr>
              <w:t>Prescribing Instructions:</w:t>
            </w:r>
          </w:p>
          <w:p w:rsidR="00B147F4" w:rsidRPr="00AE6A85" w:rsidRDefault="00B147F4" w:rsidP="00FB6E1C">
            <w:pPr>
              <w:jc w:val="left"/>
              <w:rPr>
                <w:rFonts w:ascii="Arial Narrow" w:hAnsi="Arial Narrow" w:cs="Open Sans"/>
                <w:color w:val="333333"/>
                <w:sz w:val="20"/>
                <w:szCs w:val="20"/>
              </w:rPr>
            </w:pPr>
            <w:r w:rsidRPr="00AE6A85">
              <w:rPr>
                <w:rFonts w:ascii="Arial Narrow" w:hAnsi="Arial Narrow" w:cs="Open Sans"/>
                <w:color w:val="333333"/>
                <w:sz w:val="20"/>
                <w:szCs w:val="20"/>
              </w:rPr>
              <w:t>Device (inhaler) technique should be reviewed at each clinical visit and before initiating treatment with this medicine.</w:t>
            </w:r>
          </w:p>
        </w:tc>
      </w:tr>
    </w:tbl>
    <w:p w:rsidR="00BC2051" w:rsidRPr="00AE6A85" w:rsidRDefault="00BC2051" w:rsidP="00BC2051">
      <w:pPr>
        <w:widowControl w:val="0"/>
        <w:spacing w:after="120"/>
        <w:ind w:left="720"/>
        <w:jc w:val="left"/>
        <w:rPr>
          <w:rFonts w:ascii="Arial Narrow" w:hAnsi="Arial Narrow" w:cstheme="minorHAnsi"/>
          <w:sz w:val="20"/>
          <w:szCs w:val="20"/>
        </w:rPr>
      </w:pPr>
    </w:p>
    <w:p w:rsidR="00BC2051" w:rsidRDefault="00BC2051" w:rsidP="00FB6E1C">
      <w:pPr>
        <w:spacing w:after="120"/>
        <w:rPr>
          <w:rFonts w:asciiTheme="minorHAnsi" w:eastAsiaTheme="minorHAnsi" w:hAnsiTheme="minorHAnsi" w:cstheme="minorHAnsi"/>
          <w:b/>
          <w:i/>
          <w:lang w:eastAsia="en-US"/>
        </w:rPr>
      </w:pPr>
      <w:r w:rsidRPr="00AE6A85">
        <w:rPr>
          <w:rFonts w:asciiTheme="minorHAnsi" w:eastAsiaTheme="minorHAnsi" w:hAnsiTheme="minorHAnsi" w:cstheme="minorHAnsi"/>
          <w:b/>
          <w:i/>
          <w:lang w:eastAsia="en-US"/>
        </w:rPr>
        <w:t>This restriction may be subject to further review. Should there be any changes made to the restriction the Sponsor will be informed.</w:t>
      </w:r>
    </w:p>
    <w:p w:rsidR="00A16331" w:rsidRPr="00A16331" w:rsidRDefault="00A16331" w:rsidP="00A16331">
      <w:pPr>
        <w:keepNext/>
        <w:keepLines/>
        <w:widowControl w:val="0"/>
        <w:numPr>
          <w:ilvl w:val="0"/>
          <w:numId w:val="1"/>
        </w:numPr>
        <w:spacing w:before="240" w:after="120"/>
        <w:jc w:val="left"/>
        <w:outlineLvl w:val="0"/>
        <w:rPr>
          <w:rFonts w:asciiTheme="minorHAnsi" w:hAnsiTheme="minorHAnsi" w:cs="Arial"/>
          <w:bCs/>
          <w:lang w:val="en-GB"/>
        </w:rPr>
      </w:pPr>
      <w:r w:rsidRPr="00C07617">
        <w:rPr>
          <w:rFonts w:asciiTheme="minorHAnsi" w:hAnsiTheme="minorHAnsi"/>
          <w:b/>
          <w:sz w:val="32"/>
        </w:rPr>
        <w:lastRenderedPageBreak/>
        <w:t>Context for Decision</w:t>
      </w:r>
    </w:p>
    <w:p w:rsidR="00A16331" w:rsidRPr="007129F2" w:rsidRDefault="00A16331" w:rsidP="00A16331">
      <w:pPr>
        <w:keepNext/>
        <w:keepLines/>
        <w:widowControl w:val="0"/>
        <w:spacing w:before="240" w:after="120"/>
        <w:ind w:left="720"/>
        <w:jc w:val="left"/>
        <w:outlineLvl w:val="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A16331" w:rsidRPr="00C07617" w:rsidRDefault="00A16331" w:rsidP="00A16331">
      <w:pPr>
        <w:keepNext/>
        <w:keepLines/>
        <w:widowControl w:val="0"/>
        <w:numPr>
          <w:ilvl w:val="0"/>
          <w:numId w:val="1"/>
        </w:numPr>
        <w:spacing w:before="240" w:after="120"/>
        <w:jc w:val="left"/>
        <w:outlineLvl w:val="0"/>
        <w:rPr>
          <w:rFonts w:asciiTheme="minorHAnsi" w:hAnsiTheme="minorHAnsi"/>
          <w:b/>
          <w:sz w:val="32"/>
        </w:rPr>
      </w:pPr>
      <w:r>
        <w:rPr>
          <w:rFonts w:asciiTheme="minorHAnsi" w:hAnsiTheme="minorHAnsi"/>
          <w:b/>
          <w:sz w:val="32"/>
        </w:rPr>
        <w:t>Sponsor’s Comment</w:t>
      </w:r>
    </w:p>
    <w:p w:rsidR="00A16331" w:rsidRPr="00AE6A85" w:rsidRDefault="00A16331" w:rsidP="00A16331">
      <w:pPr>
        <w:spacing w:after="120"/>
        <w:ind w:firstLine="709"/>
        <w:rPr>
          <w:rFonts w:asciiTheme="minorHAnsi" w:eastAsiaTheme="minorHAnsi" w:hAnsiTheme="minorHAnsi" w:cstheme="minorHAnsi"/>
          <w:b/>
          <w:lang w:eastAsia="en-US"/>
        </w:rPr>
      </w:pPr>
      <w:r w:rsidRPr="00C07617">
        <w:rPr>
          <w:rFonts w:asciiTheme="minorHAnsi" w:hAnsiTheme="minorHAnsi" w:cs="Arial"/>
          <w:bCs/>
        </w:rPr>
        <w:t>The sponsor had no co</w:t>
      </w:r>
      <w:bookmarkStart w:id="0" w:name="_GoBack"/>
      <w:bookmarkEnd w:id="0"/>
      <w:r w:rsidRPr="00C07617">
        <w:rPr>
          <w:rFonts w:asciiTheme="minorHAnsi" w:hAnsiTheme="minorHAnsi" w:cs="Arial"/>
          <w:bCs/>
        </w:rPr>
        <w:t>mment.</w:t>
      </w:r>
    </w:p>
    <w:sectPr w:rsidR="00A16331" w:rsidRPr="00AE6A85"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21D" w:rsidRDefault="0012221D">
      <w:r>
        <w:separator/>
      </w:r>
    </w:p>
    <w:p w:rsidR="0012221D" w:rsidRDefault="0012221D"/>
  </w:endnote>
  <w:endnote w:type="continuationSeparator" w:id="0">
    <w:p w:rsidR="0012221D" w:rsidRDefault="0012221D">
      <w:r>
        <w:continuationSeparator/>
      </w:r>
    </w:p>
    <w:p w:rsidR="0012221D" w:rsidRDefault="00122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015253" w:rsidTr="005A3173">
      <w:trPr>
        <w:trHeight w:val="151"/>
      </w:trPr>
      <w:tc>
        <w:tcPr>
          <w:tcW w:w="2250" w:type="pct"/>
          <w:tcBorders>
            <w:top w:val="nil"/>
            <w:left w:val="nil"/>
            <w:bottom w:val="single" w:sz="4" w:space="0" w:color="4F81BD"/>
            <w:right w:val="nil"/>
          </w:tcBorders>
        </w:tcPr>
        <w:p w:rsidR="00015253" w:rsidRPr="005A3173" w:rsidRDefault="00015253" w:rsidP="005A3173">
          <w:pPr>
            <w:pStyle w:val="Header"/>
            <w:spacing w:line="276" w:lineRule="auto"/>
            <w:rPr>
              <w:rFonts w:eastAsia="MS Gothic"/>
              <w:b/>
              <w:bCs/>
              <w:color w:val="4F81BD"/>
            </w:rPr>
          </w:pPr>
        </w:p>
      </w:tc>
      <w:tc>
        <w:tcPr>
          <w:tcW w:w="500" w:type="pct"/>
          <w:vMerge w:val="restart"/>
          <w:noWrap/>
          <w:vAlign w:val="center"/>
          <w:hideMark/>
        </w:tcPr>
        <w:p w:rsidR="00015253" w:rsidRPr="005A3173" w:rsidRDefault="0001525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15253" w:rsidRPr="005A3173" w:rsidRDefault="00015253" w:rsidP="005A3173">
          <w:pPr>
            <w:pStyle w:val="Header"/>
            <w:spacing w:line="276" w:lineRule="auto"/>
            <w:rPr>
              <w:rFonts w:eastAsia="MS Gothic"/>
              <w:b/>
              <w:bCs/>
              <w:color w:val="4F81BD"/>
            </w:rPr>
          </w:pPr>
        </w:p>
      </w:tc>
    </w:tr>
    <w:tr w:rsidR="00015253" w:rsidTr="005A3173">
      <w:trPr>
        <w:trHeight w:val="150"/>
      </w:trPr>
      <w:tc>
        <w:tcPr>
          <w:tcW w:w="2250" w:type="pct"/>
          <w:tcBorders>
            <w:top w:val="single" w:sz="4" w:space="0" w:color="4F81BD"/>
            <w:left w:val="nil"/>
            <w:bottom w:val="nil"/>
            <w:right w:val="nil"/>
          </w:tcBorders>
        </w:tcPr>
        <w:p w:rsidR="00015253" w:rsidRPr="005A3173" w:rsidRDefault="00015253" w:rsidP="005A3173">
          <w:pPr>
            <w:pStyle w:val="Header"/>
            <w:spacing w:line="276" w:lineRule="auto"/>
            <w:rPr>
              <w:rFonts w:eastAsia="MS Gothic"/>
              <w:b/>
              <w:bCs/>
              <w:color w:val="4F81BD"/>
            </w:rPr>
          </w:pPr>
        </w:p>
      </w:tc>
      <w:tc>
        <w:tcPr>
          <w:tcW w:w="0" w:type="auto"/>
          <w:vMerge/>
          <w:vAlign w:val="center"/>
          <w:hideMark/>
        </w:tcPr>
        <w:p w:rsidR="00015253" w:rsidRPr="005A3173" w:rsidRDefault="00015253" w:rsidP="005A3173">
          <w:pPr>
            <w:rPr>
              <w:color w:val="365F91"/>
              <w:sz w:val="22"/>
              <w:szCs w:val="22"/>
            </w:rPr>
          </w:pPr>
        </w:p>
      </w:tc>
      <w:tc>
        <w:tcPr>
          <w:tcW w:w="2250" w:type="pct"/>
          <w:tcBorders>
            <w:top w:val="single" w:sz="4" w:space="0" w:color="4F81BD"/>
            <w:left w:val="nil"/>
            <w:bottom w:val="nil"/>
            <w:right w:val="nil"/>
          </w:tcBorders>
        </w:tcPr>
        <w:p w:rsidR="00015253" w:rsidRPr="005A3173" w:rsidRDefault="00015253" w:rsidP="005A3173">
          <w:pPr>
            <w:pStyle w:val="Header"/>
            <w:spacing w:line="276" w:lineRule="auto"/>
            <w:rPr>
              <w:rFonts w:eastAsia="MS Gothic"/>
              <w:b/>
              <w:bCs/>
              <w:color w:val="4F81BD"/>
            </w:rPr>
          </w:pPr>
        </w:p>
      </w:tc>
    </w:tr>
  </w:tbl>
  <w:p w:rsidR="00015253" w:rsidRDefault="0001525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5253" w:rsidRDefault="00015253">
    <w:pPr>
      <w:pStyle w:val="Footer"/>
    </w:pPr>
  </w:p>
  <w:p w:rsidR="00015253" w:rsidRDefault="0001525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355195450"/>
      <w:docPartObj>
        <w:docPartGallery w:val="Page Numbers (Bottom of Page)"/>
        <w:docPartUnique/>
      </w:docPartObj>
    </w:sdtPr>
    <w:sdtEndPr>
      <w:rPr>
        <w:noProof/>
      </w:rPr>
    </w:sdtEndPr>
    <w:sdtContent>
      <w:p w:rsidR="00185CAF" w:rsidRPr="00185CAF" w:rsidRDefault="00185CAF" w:rsidP="00185CAF">
        <w:pPr>
          <w:pStyle w:val="Footer"/>
          <w:jc w:val="center"/>
          <w:rPr>
            <w:b/>
          </w:rPr>
        </w:pPr>
      </w:p>
      <w:p w:rsidR="00185CAF" w:rsidRPr="00185CAF" w:rsidRDefault="00185CAF" w:rsidP="00185CAF">
        <w:pPr>
          <w:pStyle w:val="Footer"/>
          <w:jc w:val="center"/>
          <w:rPr>
            <w:b/>
            <w:noProof/>
          </w:rPr>
        </w:pPr>
        <w:r w:rsidRPr="00185CAF">
          <w:rPr>
            <w:b/>
          </w:rPr>
          <w:fldChar w:fldCharType="begin"/>
        </w:r>
        <w:r w:rsidRPr="00185CAF">
          <w:rPr>
            <w:b/>
          </w:rPr>
          <w:instrText xml:space="preserve"> PAGE   \* MERGEFORMAT </w:instrText>
        </w:r>
        <w:r w:rsidRPr="00185CAF">
          <w:rPr>
            <w:b/>
          </w:rPr>
          <w:fldChar w:fldCharType="separate"/>
        </w:r>
        <w:r w:rsidR="00945773">
          <w:rPr>
            <w:b/>
            <w:noProof/>
          </w:rPr>
          <w:t>8</w:t>
        </w:r>
        <w:r w:rsidRPr="00185CAF">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015253" w:rsidTr="005A3173">
      <w:trPr>
        <w:trHeight w:val="151"/>
      </w:trPr>
      <w:tc>
        <w:tcPr>
          <w:tcW w:w="2250" w:type="pct"/>
          <w:tcBorders>
            <w:top w:val="nil"/>
            <w:left w:val="nil"/>
            <w:bottom w:val="single" w:sz="4" w:space="0" w:color="4F81BD"/>
            <w:right w:val="nil"/>
          </w:tcBorders>
        </w:tcPr>
        <w:p w:rsidR="00015253" w:rsidRPr="005A3173" w:rsidRDefault="00015253" w:rsidP="005A3173">
          <w:pPr>
            <w:pStyle w:val="Header"/>
            <w:spacing w:line="276" w:lineRule="auto"/>
            <w:rPr>
              <w:rFonts w:eastAsia="MS Gothic"/>
              <w:b/>
              <w:bCs/>
              <w:color w:val="4F81BD"/>
            </w:rPr>
          </w:pPr>
        </w:p>
      </w:tc>
      <w:tc>
        <w:tcPr>
          <w:tcW w:w="500" w:type="pct"/>
          <w:vMerge w:val="restart"/>
          <w:noWrap/>
          <w:vAlign w:val="center"/>
          <w:hideMark/>
        </w:tcPr>
        <w:p w:rsidR="00015253" w:rsidRPr="005A3173" w:rsidRDefault="0001525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15253" w:rsidRPr="005A3173" w:rsidRDefault="00015253" w:rsidP="005A3173">
          <w:pPr>
            <w:pStyle w:val="Header"/>
            <w:spacing w:line="276" w:lineRule="auto"/>
            <w:rPr>
              <w:rFonts w:eastAsia="MS Gothic"/>
              <w:b/>
              <w:bCs/>
              <w:color w:val="4F81BD"/>
            </w:rPr>
          </w:pPr>
        </w:p>
      </w:tc>
    </w:tr>
    <w:tr w:rsidR="00015253" w:rsidTr="005A3173">
      <w:trPr>
        <w:trHeight w:val="150"/>
      </w:trPr>
      <w:tc>
        <w:tcPr>
          <w:tcW w:w="2250" w:type="pct"/>
          <w:tcBorders>
            <w:top w:val="single" w:sz="4" w:space="0" w:color="4F81BD"/>
            <w:left w:val="nil"/>
            <w:bottom w:val="nil"/>
            <w:right w:val="nil"/>
          </w:tcBorders>
        </w:tcPr>
        <w:p w:rsidR="00015253" w:rsidRPr="005A3173" w:rsidRDefault="00015253" w:rsidP="005A3173">
          <w:pPr>
            <w:pStyle w:val="Header"/>
            <w:spacing w:line="276" w:lineRule="auto"/>
            <w:rPr>
              <w:rFonts w:eastAsia="MS Gothic"/>
              <w:b/>
              <w:bCs/>
              <w:color w:val="4F81BD"/>
            </w:rPr>
          </w:pPr>
        </w:p>
      </w:tc>
      <w:tc>
        <w:tcPr>
          <w:tcW w:w="0" w:type="auto"/>
          <w:vMerge/>
          <w:vAlign w:val="center"/>
          <w:hideMark/>
        </w:tcPr>
        <w:p w:rsidR="00015253" w:rsidRPr="005A3173" w:rsidRDefault="00015253" w:rsidP="005A3173">
          <w:pPr>
            <w:rPr>
              <w:color w:val="365F91"/>
              <w:sz w:val="22"/>
              <w:szCs w:val="22"/>
            </w:rPr>
          </w:pPr>
        </w:p>
      </w:tc>
      <w:tc>
        <w:tcPr>
          <w:tcW w:w="2250" w:type="pct"/>
          <w:tcBorders>
            <w:top w:val="single" w:sz="4" w:space="0" w:color="4F81BD"/>
            <w:left w:val="nil"/>
            <w:bottom w:val="nil"/>
            <w:right w:val="nil"/>
          </w:tcBorders>
        </w:tcPr>
        <w:p w:rsidR="00015253" w:rsidRPr="005A3173" w:rsidRDefault="00015253"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015253" w:rsidTr="005A3173">
      <w:trPr>
        <w:trHeight w:val="151"/>
      </w:trPr>
      <w:tc>
        <w:tcPr>
          <w:tcW w:w="2250" w:type="pct"/>
          <w:tcBorders>
            <w:top w:val="nil"/>
            <w:left w:val="nil"/>
            <w:bottom w:val="single" w:sz="4" w:space="0" w:color="4F81BD"/>
            <w:right w:val="nil"/>
          </w:tcBorders>
        </w:tcPr>
        <w:p w:rsidR="00015253" w:rsidRPr="005A3173" w:rsidRDefault="00015253" w:rsidP="005A3173">
          <w:pPr>
            <w:pStyle w:val="Header"/>
            <w:spacing w:line="276" w:lineRule="auto"/>
            <w:rPr>
              <w:rFonts w:eastAsia="MS Gothic"/>
              <w:b/>
              <w:bCs/>
              <w:color w:val="4F81BD"/>
            </w:rPr>
          </w:pPr>
        </w:p>
      </w:tc>
      <w:tc>
        <w:tcPr>
          <w:tcW w:w="500" w:type="pct"/>
          <w:vMerge w:val="restart"/>
          <w:noWrap/>
          <w:vAlign w:val="center"/>
          <w:hideMark/>
        </w:tcPr>
        <w:p w:rsidR="00015253" w:rsidRPr="005A3173" w:rsidRDefault="0001525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15253" w:rsidRPr="005A3173" w:rsidRDefault="00015253" w:rsidP="005A3173">
          <w:pPr>
            <w:pStyle w:val="Header"/>
            <w:spacing w:line="276" w:lineRule="auto"/>
            <w:rPr>
              <w:rFonts w:eastAsia="MS Gothic"/>
              <w:b/>
              <w:bCs/>
              <w:color w:val="4F81BD"/>
            </w:rPr>
          </w:pPr>
        </w:p>
      </w:tc>
    </w:tr>
    <w:tr w:rsidR="00015253" w:rsidTr="005A3173">
      <w:trPr>
        <w:trHeight w:val="150"/>
      </w:trPr>
      <w:tc>
        <w:tcPr>
          <w:tcW w:w="2250" w:type="pct"/>
          <w:tcBorders>
            <w:top w:val="single" w:sz="4" w:space="0" w:color="4F81BD"/>
            <w:left w:val="nil"/>
            <w:bottom w:val="nil"/>
            <w:right w:val="nil"/>
          </w:tcBorders>
        </w:tcPr>
        <w:p w:rsidR="00015253" w:rsidRPr="005A3173" w:rsidRDefault="00015253" w:rsidP="005A3173">
          <w:pPr>
            <w:pStyle w:val="Header"/>
            <w:spacing w:line="276" w:lineRule="auto"/>
            <w:rPr>
              <w:rFonts w:eastAsia="MS Gothic"/>
              <w:b/>
              <w:bCs/>
              <w:color w:val="4F81BD"/>
            </w:rPr>
          </w:pPr>
        </w:p>
      </w:tc>
      <w:tc>
        <w:tcPr>
          <w:tcW w:w="0" w:type="auto"/>
          <w:vMerge/>
          <w:vAlign w:val="center"/>
          <w:hideMark/>
        </w:tcPr>
        <w:p w:rsidR="00015253" w:rsidRPr="005A3173" w:rsidRDefault="00015253" w:rsidP="005A3173">
          <w:pPr>
            <w:rPr>
              <w:color w:val="365F91"/>
              <w:sz w:val="22"/>
              <w:szCs w:val="22"/>
            </w:rPr>
          </w:pPr>
        </w:p>
      </w:tc>
      <w:tc>
        <w:tcPr>
          <w:tcW w:w="2250" w:type="pct"/>
          <w:tcBorders>
            <w:top w:val="single" w:sz="4" w:space="0" w:color="4F81BD"/>
            <w:left w:val="nil"/>
            <w:bottom w:val="nil"/>
            <w:right w:val="nil"/>
          </w:tcBorders>
        </w:tcPr>
        <w:p w:rsidR="00015253" w:rsidRPr="005A3173" w:rsidRDefault="00015253" w:rsidP="005A3173">
          <w:pPr>
            <w:pStyle w:val="Header"/>
            <w:spacing w:line="276" w:lineRule="auto"/>
            <w:rPr>
              <w:rFonts w:eastAsia="MS Gothic"/>
              <w:b/>
              <w:bCs/>
              <w:color w:val="4F81BD"/>
            </w:rPr>
          </w:pPr>
        </w:p>
      </w:tc>
    </w:tr>
  </w:tbl>
  <w:p w:rsidR="00015253" w:rsidRPr="007C0F57" w:rsidRDefault="0001525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15253" w:rsidRPr="007C0F57" w:rsidRDefault="00015253" w:rsidP="007C0F57">
    <w:pPr>
      <w:pStyle w:val="Footer"/>
      <w:jc w:val="center"/>
      <w:rPr>
        <w:b/>
        <w:i/>
        <w:sz w:val="20"/>
        <w:szCs w:val="20"/>
      </w:rPr>
    </w:pPr>
    <w:r w:rsidRPr="007C0F57">
      <w:rPr>
        <w:b/>
        <w:i/>
        <w:sz w:val="20"/>
        <w:szCs w:val="20"/>
      </w:rPr>
      <w:t>Commercial-in-Confidence</w:t>
    </w:r>
  </w:p>
  <w:p w:rsidR="00015253" w:rsidRDefault="0001525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21D" w:rsidRDefault="0012221D">
      <w:r>
        <w:separator/>
      </w:r>
    </w:p>
    <w:p w:rsidR="0012221D" w:rsidRDefault="0012221D"/>
  </w:footnote>
  <w:footnote w:type="continuationSeparator" w:id="0">
    <w:p w:rsidR="0012221D" w:rsidRDefault="0012221D">
      <w:r>
        <w:continuationSeparator/>
      </w:r>
    </w:p>
    <w:p w:rsidR="0012221D" w:rsidRDefault="001222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015253" w:rsidRPr="008E0D90" w:rsidTr="00A06225">
      <w:trPr>
        <w:trHeight w:val="151"/>
      </w:trPr>
      <w:tc>
        <w:tcPr>
          <w:tcW w:w="2389" w:type="pct"/>
          <w:tcBorders>
            <w:top w:val="nil"/>
            <w:left w:val="nil"/>
            <w:bottom w:val="single" w:sz="4" w:space="0" w:color="4F81BD"/>
            <w:right w:val="nil"/>
          </w:tcBorders>
        </w:tcPr>
        <w:p w:rsidR="00015253" w:rsidRPr="00A06225" w:rsidRDefault="00015253">
          <w:pPr>
            <w:pStyle w:val="Header"/>
            <w:spacing w:line="276" w:lineRule="auto"/>
            <w:rPr>
              <w:rFonts w:ascii="Cambria" w:eastAsia="MS Gothic" w:hAnsi="Cambria"/>
              <w:b/>
              <w:bCs/>
              <w:color w:val="4F81BD"/>
            </w:rPr>
          </w:pPr>
        </w:p>
      </w:tc>
      <w:tc>
        <w:tcPr>
          <w:tcW w:w="333" w:type="pct"/>
          <w:vMerge w:val="restart"/>
          <w:noWrap/>
          <w:vAlign w:val="center"/>
          <w:hideMark/>
        </w:tcPr>
        <w:p w:rsidR="00015253" w:rsidRPr="00A06225" w:rsidRDefault="0001525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15253" w:rsidRPr="00A06225" w:rsidRDefault="00015253">
          <w:pPr>
            <w:pStyle w:val="Header"/>
            <w:spacing w:line="276" w:lineRule="auto"/>
            <w:rPr>
              <w:rFonts w:ascii="Cambria" w:eastAsia="MS Gothic" w:hAnsi="Cambria"/>
              <w:b/>
              <w:bCs/>
              <w:color w:val="4F81BD"/>
            </w:rPr>
          </w:pPr>
        </w:p>
      </w:tc>
    </w:tr>
    <w:tr w:rsidR="00015253" w:rsidRPr="008E0D90" w:rsidTr="00A06225">
      <w:trPr>
        <w:trHeight w:val="150"/>
      </w:trPr>
      <w:tc>
        <w:tcPr>
          <w:tcW w:w="2389" w:type="pct"/>
          <w:tcBorders>
            <w:top w:val="single" w:sz="4" w:space="0" w:color="4F81BD"/>
            <w:left w:val="nil"/>
            <w:bottom w:val="nil"/>
            <w:right w:val="nil"/>
          </w:tcBorders>
        </w:tcPr>
        <w:p w:rsidR="00015253" w:rsidRPr="00A06225" w:rsidRDefault="00015253">
          <w:pPr>
            <w:pStyle w:val="Header"/>
            <w:spacing w:line="276" w:lineRule="auto"/>
            <w:rPr>
              <w:rFonts w:ascii="Cambria" w:eastAsia="MS Gothic" w:hAnsi="Cambria"/>
              <w:b/>
              <w:bCs/>
              <w:color w:val="4F81BD"/>
            </w:rPr>
          </w:pPr>
        </w:p>
      </w:tc>
      <w:tc>
        <w:tcPr>
          <w:tcW w:w="0" w:type="auto"/>
          <w:vMerge/>
          <w:vAlign w:val="center"/>
          <w:hideMark/>
        </w:tcPr>
        <w:p w:rsidR="00015253" w:rsidRPr="00A06225" w:rsidRDefault="00015253">
          <w:pPr>
            <w:rPr>
              <w:rFonts w:ascii="Cambria" w:hAnsi="Cambria"/>
              <w:color w:val="4F81BD"/>
              <w:sz w:val="22"/>
              <w:szCs w:val="22"/>
            </w:rPr>
          </w:pPr>
        </w:p>
      </w:tc>
      <w:tc>
        <w:tcPr>
          <w:tcW w:w="2278" w:type="pct"/>
          <w:tcBorders>
            <w:top w:val="single" w:sz="4" w:space="0" w:color="4F81BD"/>
            <w:left w:val="nil"/>
            <w:bottom w:val="nil"/>
            <w:right w:val="nil"/>
          </w:tcBorders>
        </w:tcPr>
        <w:p w:rsidR="00015253" w:rsidRPr="00A06225" w:rsidRDefault="00015253">
          <w:pPr>
            <w:pStyle w:val="Header"/>
            <w:spacing w:line="276" w:lineRule="auto"/>
            <w:rPr>
              <w:rFonts w:ascii="Cambria" w:eastAsia="MS Gothic" w:hAnsi="Cambria"/>
              <w:b/>
              <w:bCs/>
              <w:color w:val="4F81BD"/>
            </w:rPr>
          </w:pPr>
        </w:p>
      </w:tc>
    </w:tr>
  </w:tbl>
  <w:p w:rsidR="00015253" w:rsidRDefault="00015253">
    <w:pPr>
      <w:pStyle w:val="Header"/>
    </w:pPr>
  </w:p>
  <w:p w:rsidR="00015253" w:rsidRDefault="0001525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97" w:rsidRPr="003E3697" w:rsidRDefault="00A16331" w:rsidP="003E3697">
    <w:pPr>
      <w:keepNext/>
      <w:tabs>
        <w:tab w:val="center" w:pos="4153"/>
        <w:tab w:val="right" w:pos="8306"/>
      </w:tabs>
      <w:ind w:left="360"/>
      <w:jc w:val="center"/>
      <w:rPr>
        <w:rFonts w:asciiTheme="minorHAnsi" w:hAnsiTheme="minorHAnsi" w:cs="Arial"/>
        <w:i/>
        <w:lang w:eastAsia="en-US"/>
      </w:rPr>
    </w:pPr>
    <w:r>
      <w:rPr>
        <w:rFonts w:asciiTheme="minorHAnsi" w:hAnsiTheme="minorHAnsi" w:cs="Arial"/>
        <w:i/>
        <w:lang w:eastAsia="en-US"/>
      </w:rPr>
      <w:t xml:space="preserve">Public Summary Document </w:t>
    </w:r>
    <w:r w:rsidR="003E3697" w:rsidRPr="003E3697">
      <w:rPr>
        <w:rFonts w:asciiTheme="minorHAnsi" w:hAnsiTheme="minorHAnsi" w:cs="Arial"/>
        <w:i/>
        <w:lang w:eastAsia="en-US"/>
      </w:rPr>
      <w:t xml:space="preserve">– </w:t>
    </w:r>
    <w:r w:rsidR="003E3697">
      <w:rPr>
        <w:rFonts w:asciiTheme="minorHAnsi" w:hAnsiTheme="minorHAnsi" w:cs="Arial"/>
        <w:i/>
        <w:lang w:eastAsia="en-US"/>
      </w:rPr>
      <w:t>July 2020</w:t>
    </w:r>
    <w:r w:rsidR="003E3697" w:rsidRPr="003E3697">
      <w:rPr>
        <w:rFonts w:asciiTheme="minorHAnsi" w:hAnsiTheme="minorHAnsi" w:cs="Arial"/>
        <w:i/>
        <w:lang w:eastAsia="en-US"/>
      </w:rPr>
      <w:t xml:space="preserve"> PBAC Meeting</w:t>
    </w:r>
  </w:p>
  <w:p w:rsidR="00015253" w:rsidRPr="00011938" w:rsidRDefault="00015253" w:rsidP="00A128E6">
    <w:pPr>
      <w:pStyle w:val="NoSpacing"/>
      <w:rPr>
        <w:rFonts w:asciiTheme="minorHAnsi" w:hAnsi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8"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784D033C"/>
    <w:multiLevelType w:val="multilevel"/>
    <w:tmpl w:val="70FAC6EA"/>
    <w:lvl w:ilvl="0">
      <w:start w:val="1"/>
      <w:numFmt w:val="decimal"/>
      <w:pStyle w:val="2-SectionHeading"/>
      <w:lvlText w:val="%1"/>
      <w:lvlJc w:val="left"/>
      <w:pPr>
        <w:ind w:left="720" w:hanging="720"/>
      </w:pPr>
      <w:rPr>
        <w:rFonts w:hint="default"/>
        <w:b/>
        <w:i w:val="0"/>
        <w:color w:val="auto"/>
        <w:sz w:val="32"/>
        <w:szCs w:val="32"/>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F13B9C"/>
    <w:multiLevelType w:val="hybridMultilevel"/>
    <w:tmpl w:val="67A0F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11"/>
  </w:num>
  <w:num w:numId="4">
    <w:abstractNumId w:val="10"/>
  </w:num>
  <w:num w:numId="5">
    <w:abstractNumId w:val="7"/>
  </w:num>
  <w:num w:numId="6">
    <w:abstractNumId w:val="1"/>
  </w:num>
  <w:num w:numId="7">
    <w:abstractNumId w:val="12"/>
  </w:num>
  <w:num w:numId="8">
    <w:abstractNumId w:val="8"/>
  </w:num>
  <w:num w:numId="9">
    <w:abstractNumId w:val="11"/>
  </w:num>
  <w:num w:numId="10">
    <w:abstractNumId w:val="13"/>
  </w:num>
  <w:num w:numId="11">
    <w:abstractNumId w:val="9"/>
  </w:num>
  <w:num w:numId="12">
    <w:abstractNumId w:val="3"/>
  </w:num>
  <w:num w:numId="13">
    <w:abstractNumId w:val="2"/>
  </w:num>
  <w:num w:numId="14">
    <w:abstractNumId w:val="5"/>
  </w:num>
  <w:num w:numId="15">
    <w:abstractNumId w:val="6"/>
  </w:num>
  <w:num w:numId="16">
    <w:abstractNumId w:val="4"/>
  </w:num>
  <w:num w:numId="17">
    <w:abstractNumId w:val="11"/>
  </w:num>
  <w:num w:numId="18">
    <w:abstractNumId w:val="11"/>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482"/>
    <w:rsid w:val="000025AD"/>
    <w:rsid w:val="00002ACF"/>
    <w:rsid w:val="0000335D"/>
    <w:rsid w:val="00004681"/>
    <w:rsid w:val="00006204"/>
    <w:rsid w:val="00010138"/>
    <w:rsid w:val="00011124"/>
    <w:rsid w:val="00011938"/>
    <w:rsid w:val="00011A59"/>
    <w:rsid w:val="00015253"/>
    <w:rsid w:val="00016A41"/>
    <w:rsid w:val="000214D1"/>
    <w:rsid w:val="0002464A"/>
    <w:rsid w:val="0003106B"/>
    <w:rsid w:val="00031F25"/>
    <w:rsid w:val="00034905"/>
    <w:rsid w:val="00041AF6"/>
    <w:rsid w:val="000421A1"/>
    <w:rsid w:val="0004240E"/>
    <w:rsid w:val="00043721"/>
    <w:rsid w:val="00045E26"/>
    <w:rsid w:val="000514B5"/>
    <w:rsid w:val="00060E64"/>
    <w:rsid w:val="00061504"/>
    <w:rsid w:val="00066755"/>
    <w:rsid w:val="00066F15"/>
    <w:rsid w:val="00067F00"/>
    <w:rsid w:val="0007610D"/>
    <w:rsid w:val="000763D5"/>
    <w:rsid w:val="00077143"/>
    <w:rsid w:val="00082169"/>
    <w:rsid w:val="0009149D"/>
    <w:rsid w:val="000918CB"/>
    <w:rsid w:val="00091B06"/>
    <w:rsid w:val="000938CC"/>
    <w:rsid w:val="000951C4"/>
    <w:rsid w:val="00095ADA"/>
    <w:rsid w:val="000969AD"/>
    <w:rsid w:val="000A3AA2"/>
    <w:rsid w:val="000A44B2"/>
    <w:rsid w:val="000A4798"/>
    <w:rsid w:val="000A52F6"/>
    <w:rsid w:val="000B2F58"/>
    <w:rsid w:val="000B37A3"/>
    <w:rsid w:val="000B44C3"/>
    <w:rsid w:val="000B558D"/>
    <w:rsid w:val="000B70E1"/>
    <w:rsid w:val="000C5F95"/>
    <w:rsid w:val="000C6996"/>
    <w:rsid w:val="000C7D53"/>
    <w:rsid w:val="000D09E9"/>
    <w:rsid w:val="000D0CBB"/>
    <w:rsid w:val="000D113F"/>
    <w:rsid w:val="000D178B"/>
    <w:rsid w:val="000D1F35"/>
    <w:rsid w:val="000D23BA"/>
    <w:rsid w:val="000D4A83"/>
    <w:rsid w:val="000D59B1"/>
    <w:rsid w:val="000D5C8E"/>
    <w:rsid w:val="000D5F67"/>
    <w:rsid w:val="000D6BE3"/>
    <w:rsid w:val="000E01D8"/>
    <w:rsid w:val="000E1D4E"/>
    <w:rsid w:val="000E211F"/>
    <w:rsid w:val="000E38D9"/>
    <w:rsid w:val="000E52A8"/>
    <w:rsid w:val="000E5EA1"/>
    <w:rsid w:val="000E681E"/>
    <w:rsid w:val="000F0003"/>
    <w:rsid w:val="000F0976"/>
    <w:rsid w:val="000F3340"/>
    <w:rsid w:val="000F3384"/>
    <w:rsid w:val="000F4E6A"/>
    <w:rsid w:val="000F7354"/>
    <w:rsid w:val="00101ABE"/>
    <w:rsid w:val="00101E41"/>
    <w:rsid w:val="00102202"/>
    <w:rsid w:val="0010406C"/>
    <w:rsid w:val="00104164"/>
    <w:rsid w:val="00104227"/>
    <w:rsid w:val="001043FD"/>
    <w:rsid w:val="001107BF"/>
    <w:rsid w:val="00113649"/>
    <w:rsid w:val="00113B16"/>
    <w:rsid w:val="00115FBE"/>
    <w:rsid w:val="001201C2"/>
    <w:rsid w:val="0012221D"/>
    <w:rsid w:val="00123B13"/>
    <w:rsid w:val="0012417C"/>
    <w:rsid w:val="0012749D"/>
    <w:rsid w:val="001408EB"/>
    <w:rsid w:val="00142395"/>
    <w:rsid w:val="00142714"/>
    <w:rsid w:val="001428D9"/>
    <w:rsid w:val="001452ED"/>
    <w:rsid w:val="00145E46"/>
    <w:rsid w:val="00147D84"/>
    <w:rsid w:val="001549C1"/>
    <w:rsid w:val="00155D9F"/>
    <w:rsid w:val="001569E0"/>
    <w:rsid w:val="00156BBC"/>
    <w:rsid w:val="00162BDD"/>
    <w:rsid w:val="00162D4E"/>
    <w:rsid w:val="00163329"/>
    <w:rsid w:val="00164623"/>
    <w:rsid w:val="001652DE"/>
    <w:rsid w:val="00165B64"/>
    <w:rsid w:val="00166B72"/>
    <w:rsid w:val="0016790A"/>
    <w:rsid w:val="001715DE"/>
    <w:rsid w:val="00171FEC"/>
    <w:rsid w:val="001722A6"/>
    <w:rsid w:val="0017360B"/>
    <w:rsid w:val="0017669C"/>
    <w:rsid w:val="00180713"/>
    <w:rsid w:val="00180720"/>
    <w:rsid w:val="001830CE"/>
    <w:rsid w:val="00184676"/>
    <w:rsid w:val="00185CAF"/>
    <w:rsid w:val="0018643B"/>
    <w:rsid w:val="00196307"/>
    <w:rsid w:val="001A33EA"/>
    <w:rsid w:val="001A3D79"/>
    <w:rsid w:val="001A4C4F"/>
    <w:rsid w:val="001A67FD"/>
    <w:rsid w:val="001A6B6C"/>
    <w:rsid w:val="001A76FB"/>
    <w:rsid w:val="001B017F"/>
    <w:rsid w:val="001B2BBC"/>
    <w:rsid w:val="001B3642"/>
    <w:rsid w:val="001B3A40"/>
    <w:rsid w:val="001B3CC9"/>
    <w:rsid w:val="001B3FFE"/>
    <w:rsid w:val="001B415D"/>
    <w:rsid w:val="001B5129"/>
    <w:rsid w:val="001B6E65"/>
    <w:rsid w:val="001C0065"/>
    <w:rsid w:val="001C0B4C"/>
    <w:rsid w:val="001C1195"/>
    <w:rsid w:val="001C2E42"/>
    <w:rsid w:val="001C2F21"/>
    <w:rsid w:val="001D1F5F"/>
    <w:rsid w:val="001E06D2"/>
    <w:rsid w:val="001E12E2"/>
    <w:rsid w:val="001E4824"/>
    <w:rsid w:val="001F005B"/>
    <w:rsid w:val="001F0216"/>
    <w:rsid w:val="001F114F"/>
    <w:rsid w:val="001F1850"/>
    <w:rsid w:val="001F3189"/>
    <w:rsid w:val="001F5C48"/>
    <w:rsid w:val="001F7CCB"/>
    <w:rsid w:val="00202125"/>
    <w:rsid w:val="00203FAC"/>
    <w:rsid w:val="00211B16"/>
    <w:rsid w:val="00213CFB"/>
    <w:rsid w:val="0021553C"/>
    <w:rsid w:val="0021557B"/>
    <w:rsid w:val="002174FD"/>
    <w:rsid w:val="00217833"/>
    <w:rsid w:val="00217BE1"/>
    <w:rsid w:val="002309F0"/>
    <w:rsid w:val="00234252"/>
    <w:rsid w:val="00236552"/>
    <w:rsid w:val="00237AC6"/>
    <w:rsid w:val="00243E5A"/>
    <w:rsid w:val="00244490"/>
    <w:rsid w:val="00245B9C"/>
    <w:rsid w:val="00247EB2"/>
    <w:rsid w:val="00253499"/>
    <w:rsid w:val="00253F5D"/>
    <w:rsid w:val="002551A4"/>
    <w:rsid w:val="00257664"/>
    <w:rsid w:val="0026364D"/>
    <w:rsid w:val="002647C8"/>
    <w:rsid w:val="00265151"/>
    <w:rsid w:val="00266509"/>
    <w:rsid w:val="00270AA8"/>
    <w:rsid w:val="00271BA1"/>
    <w:rsid w:val="0027244D"/>
    <w:rsid w:val="002762FA"/>
    <w:rsid w:val="00277505"/>
    <w:rsid w:val="00277F0F"/>
    <w:rsid w:val="002823B6"/>
    <w:rsid w:val="0028308F"/>
    <w:rsid w:val="00291354"/>
    <w:rsid w:val="00294274"/>
    <w:rsid w:val="0029458F"/>
    <w:rsid w:val="0029733E"/>
    <w:rsid w:val="002A0E04"/>
    <w:rsid w:val="002A104C"/>
    <w:rsid w:val="002A1EF7"/>
    <w:rsid w:val="002A44B4"/>
    <w:rsid w:val="002A48E8"/>
    <w:rsid w:val="002A494D"/>
    <w:rsid w:val="002A4960"/>
    <w:rsid w:val="002A777A"/>
    <w:rsid w:val="002B0AE0"/>
    <w:rsid w:val="002B1AE6"/>
    <w:rsid w:val="002B1D51"/>
    <w:rsid w:val="002B2C8E"/>
    <w:rsid w:val="002B2DE8"/>
    <w:rsid w:val="002B30F8"/>
    <w:rsid w:val="002B388A"/>
    <w:rsid w:val="002B5596"/>
    <w:rsid w:val="002B7BF4"/>
    <w:rsid w:val="002C0C9F"/>
    <w:rsid w:val="002C212F"/>
    <w:rsid w:val="002C44D9"/>
    <w:rsid w:val="002C49A4"/>
    <w:rsid w:val="002C7485"/>
    <w:rsid w:val="002D283A"/>
    <w:rsid w:val="002D4543"/>
    <w:rsid w:val="002D587C"/>
    <w:rsid w:val="002D5B32"/>
    <w:rsid w:val="002E08C1"/>
    <w:rsid w:val="002E199F"/>
    <w:rsid w:val="002E3153"/>
    <w:rsid w:val="002E5292"/>
    <w:rsid w:val="002E72CA"/>
    <w:rsid w:val="002F600D"/>
    <w:rsid w:val="00300AD6"/>
    <w:rsid w:val="00300B1B"/>
    <w:rsid w:val="003019D0"/>
    <w:rsid w:val="003064AF"/>
    <w:rsid w:val="00310B68"/>
    <w:rsid w:val="00313C50"/>
    <w:rsid w:val="00317C6C"/>
    <w:rsid w:val="00317EB0"/>
    <w:rsid w:val="00320CD3"/>
    <w:rsid w:val="00323FA3"/>
    <w:rsid w:val="0032511B"/>
    <w:rsid w:val="00326E79"/>
    <w:rsid w:val="003301B1"/>
    <w:rsid w:val="00331189"/>
    <w:rsid w:val="0033263D"/>
    <w:rsid w:val="00333F1D"/>
    <w:rsid w:val="0033518A"/>
    <w:rsid w:val="003367EF"/>
    <w:rsid w:val="00341AE4"/>
    <w:rsid w:val="00341FB1"/>
    <w:rsid w:val="00345678"/>
    <w:rsid w:val="003467D4"/>
    <w:rsid w:val="0034696B"/>
    <w:rsid w:val="003476EE"/>
    <w:rsid w:val="0035107C"/>
    <w:rsid w:val="0035171A"/>
    <w:rsid w:val="003541DD"/>
    <w:rsid w:val="0035428E"/>
    <w:rsid w:val="00356E5B"/>
    <w:rsid w:val="00371806"/>
    <w:rsid w:val="003736C9"/>
    <w:rsid w:val="0037418E"/>
    <w:rsid w:val="00383C96"/>
    <w:rsid w:val="00383F7B"/>
    <w:rsid w:val="00384988"/>
    <w:rsid w:val="00386FB0"/>
    <w:rsid w:val="003872CF"/>
    <w:rsid w:val="0039782C"/>
    <w:rsid w:val="003A5B4A"/>
    <w:rsid w:val="003A5D95"/>
    <w:rsid w:val="003B0101"/>
    <w:rsid w:val="003B23C5"/>
    <w:rsid w:val="003B2A75"/>
    <w:rsid w:val="003B6124"/>
    <w:rsid w:val="003C093A"/>
    <w:rsid w:val="003C1ECF"/>
    <w:rsid w:val="003C2FB5"/>
    <w:rsid w:val="003C60C9"/>
    <w:rsid w:val="003D24C5"/>
    <w:rsid w:val="003D4AC4"/>
    <w:rsid w:val="003D63B7"/>
    <w:rsid w:val="003D74C5"/>
    <w:rsid w:val="003E2314"/>
    <w:rsid w:val="003E3697"/>
    <w:rsid w:val="003E468B"/>
    <w:rsid w:val="003E62BD"/>
    <w:rsid w:val="003E6CF2"/>
    <w:rsid w:val="003F0C3A"/>
    <w:rsid w:val="003F3228"/>
    <w:rsid w:val="003F5C8C"/>
    <w:rsid w:val="003F63CE"/>
    <w:rsid w:val="003F75A3"/>
    <w:rsid w:val="003F775A"/>
    <w:rsid w:val="00400E55"/>
    <w:rsid w:val="0040128E"/>
    <w:rsid w:val="0040216B"/>
    <w:rsid w:val="00403C71"/>
    <w:rsid w:val="00423274"/>
    <w:rsid w:val="004252EC"/>
    <w:rsid w:val="00430D39"/>
    <w:rsid w:val="004324B2"/>
    <w:rsid w:val="004336C1"/>
    <w:rsid w:val="00436D7B"/>
    <w:rsid w:val="00443258"/>
    <w:rsid w:val="00443D5D"/>
    <w:rsid w:val="00444F21"/>
    <w:rsid w:val="004458D5"/>
    <w:rsid w:val="004465BD"/>
    <w:rsid w:val="00446938"/>
    <w:rsid w:val="00454307"/>
    <w:rsid w:val="00455822"/>
    <w:rsid w:val="00461A44"/>
    <w:rsid w:val="004665E6"/>
    <w:rsid w:val="00466ADA"/>
    <w:rsid w:val="004702BB"/>
    <w:rsid w:val="00470A52"/>
    <w:rsid w:val="0047494B"/>
    <w:rsid w:val="00475952"/>
    <w:rsid w:val="00476245"/>
    <w:rsid w:val="00477A9B"/>
    <w:rsid w:val="00483035"/>
    <w:rsid w:val="00485940"/>
    <w:rsid w:val="004904B9"/>
    <w:rsid w:val="00497B75"/>
    <w:rsid w:val="004A0977"/>
    <w:rsid w:val="004A2484"/>
    <w:rsid w:val="004A5A85"/>
    <w:rsid w:val="004A71D1"/>
    <w:rsid w:val="004A7C5B"/>
    <w:rsid w:val="004B008C"/>
    <w:rsid w:val="004B1845"/>
    <w:rsid w:val="004B2E98"/>
    <w:rsid w:val="004B5640"/>
    <w:rsid w:val="004C03D0"/>
    <w:rsid w:val="004C1BD7"/>
    <w:rsid w:val="004C31FE"/>
    <w:rsid w:val="004C524C"/>
    <w:rsid w:val="004C5FFA"/>
    <w:rsid w:val="004C691D"/>
    <w:rsid w:val="004C6C07"/>
    <w:rsid w:val="004D0694"/>
    <w:rsid w:val="004D4123"/>
    <w:rsid w:val="004D4FF6"/>
    <w:rsid w:val="004D6ADE"/>
    <w:rsid w:val="004E5750"/>
    <w:rsid w:val="004E692D"/>
    <w:rsid w:val="004E7271"/>
    <w:rsid w:val="004E7D87"/>
    <w:rsid w:val="004F2553"/>
    <w:rsid w:val="004F2D5C"/>
    <w:rsid w:val="004F3ECF"/>
    <w:rsid w:val="00501554"/>
    <w:rsid w:val="00502AFE"/>
    <w:rsid w:val="00503AD7"/>
    <w:rsid w:val="00504C92"/>
    <w:rsid w:val="00504E0C"/>
    <w:rsid w:val="00507DD2"/>
    <w:rsid w:val="005109D4"/>
    <w:rsid w:val="00511486"/>
    <w:rsid w:val="00512E03"/>
    <w:rsid w:val="00514CD7"/>
    <w:rsid w:val="00520D6A"/>
    <w:rsid w:val="00522DB6"/>
    <w:rsid w:val="00523338"/>
    <w:rsid w:val="00524C4E"/>
    <w:rsid w:val="0052792D"/>
    <w:rsid w:val="00530125"/>
    <w:rsid w:val="005319B2"/>
    <w:rsid w:val="00532402"/>
    <w:rsid w:val="00532C74"/>
    <w:rsid w:val="0053427C"/>
    <w:rsid w:val="00534E2E"/>
    <w:rsid w:val="00535CB1"/>
    <w:rsid w:val="00536733"/>
    <w:rsid w:val="00540E66"/>
    <w:rsid w:val="00543ED7"/>
    <w:rsid w:val="00544552"/>
    <w:rsid w:val="00545130"/>
    <w:rsid w:val="0055286A"/>
    <w:rsid w:val="00552A28"/>
    <w:rsid w:val="00555745"/>
    <w:rsid w:val="00557D4F"/>
    <w:rsid w:val="0056484E"/>
    <w:rsid w:val="00567087"/>
    <w:rsid w:val="0056781E"/>
    <w:rsid w:val="00570FFD"/>
    <w:rsid w:val="00573AD6"/>
    <w:rsid w:val="005764CD"/>
    <w:rsid w:val="00577C4D"/>
    <w:rsid w:val="00580532"/>
    <w:rsid w:val="00581932"/>
    <w:rsid w:val="00584308"/>
    <w:rsid w:val="005845DE"/>
    <w:rsid w:val="00585C5F"/>
    <w:rsid w:val="005963BB"/>
    <w:rsid w:val="00597DAA"/>
    <w:rsid w:val="00597E85"/>
    <w:rsid w:val="005A3173"/>
    <w:rsid w:val="005A3223"/>
    <w:rsid w:val="005A3DA3"/>
    <w:rsid w:val="005A52C4"/>
    <w:rsid w:val="005B19B3"/>
    <w:rsid w:val="005B5909"/>
    <w:rsid w:val="005C233A"/>
    <w:rsid w:val="005C4F73"/>
    <w:rsid w:val="005D03AB"/>
    <w:rsid w:val="005D46E4"/>
    <w:rsid w:val="005D5017"/>
    <w:rsid w:val="005D58AF"/>
    <w:rsid w:val="005D63FA"/>
    <w:rsid w:val="005E0D82"/>
    <w:rsid w:val="005E1333"/>
    <w:rsid w:val="005E3136"/>
    <w:rsid w:val="005E507D"/>
    <w:rsid w:val="005E7930"/>
    <w:rsid w:val="005F5655"/>
    <w:rsid w:val="00600364"/>
    <w:rsid w:val="00601A91"/>
    <w:rsid w:val="00602BA3"/>
    <w:rsid w:val="00605B63"/>
    <w:rsid w:val="00605F9A"/>
    <w:rsid w:val="006061F0"/>
    <w:rsid w:val="00606B0C"/>
    <w:rsid w:val="00606EED"/>
    <w:rsid w:val="00612E34"/>
    <w:rsid w:val="00614159"/>
    <w:rsid w:val="00616C5F"/>
    <w:rsid w:val="00616DAC"/>
    <w:rsid w:val="00617C00"/>
    <w:rsid w:val="0062108D"/>
    <w:rsid w:val="00622424"/>
    <w:rsid w:val="006263BF"/>
    <w:rsid w:val="0062721A"/>
    <w:rsid w:val="0062748A"/>
    <w:rsid w:val="00630A2C"/>
    <w:rsid w:val="00632511"/>
    <w:rsid w:val="0063682E"/>
    <w:rsid w:val="006370B8"/>
    <w:rsid w:val="00641027"/>
    <w:rsid w:val="00642DA8"/>
    <w:rsid w:val="00643620"/>
    <w:rsid w:val="006436CD"/>
    <w:rsid w:val="00646024"/>
    <w:rsid w:val="00651169"/>
    <w:rsid w:val="00652D14"/>
    <w:rsid w:val="00653D69"/>
    <w:rsid w:val="006552E6"/>
    <w:rsid w:val="00655794"/>
    <w:rsid w:val="00656985"/>
    <w:rsid w:val="00657C63"/>
    <w:rsid w:val="00666720"/>
    <w:rsid w:val="006670BE"/>
    <w:rsid w:val="00670A76"/>
    <w:rsid w:val="006711AA"/>
    <w:rsid w:val="00672945"/>
    <w:rsid w:val="00672B57"/>
    <w:rsid w:val="00673F1F"/>
    <w:rsid w:val="006752D8"/>
    <w:rsid w:val="006753CE"/>
    <w:rsid w:val="00675622"/>
    <w:rsid w:val="0067747D"/>
    <w:rsid w:val="00680385"/>
    <w:rsid w:val="00680601"/>
    <w:rsid w:val="006818D5"/>
    <w:rsid w:val="00681CA4"/>
    <w:rsid w:val="0069039D"/>
    <w:rsid w:val="006906DB"/>
    <w:rsid w:val="00691E08"/>
    <w:rsid w:val="00691E6C"/>
    <w:rsid w:val="006929D5"/>
    <w:rsid w:val="00692E65"/>
    <w:rsid w:val="00693DFB"/>
    <w:rsid w:val="00694747"/>
    <w:rsid w:val="0069501D"/>
    <w:rsid w:val="00696129"/>
    <w:rsid w:val="00696FF4"/>
    <w:rsid w:val="00697CF2"/>
    <w:rsid w:val="006A12A5"/>
    <w:rsid w:val="006A1E52"/>
    <w:rsid w:val="006A5E20"/>
    <w:rsid w:val="006A6633"/>
    <w:rsid w:val="006B0D94"/>
    <w:rsid w:val="006B10D3"/>
    <w:rsid w:val="006B485D"/>
    <w:rsid w:val="006C334C"/>
    <w:rsid w:val="006C708E"/>
    <w:rsid w:val="006C7C97"/>
    <w:rsid w:val="006C7E5F"/>
    <w:rsid w:val="006D14E7"/>
    <w:rsid w:val="006D3B36"/>
    <w:rsid w:val="006D4444"/>
    <w:rsid w:val="006D5E15"/>
    <w:rsid w:val="006D6493"/>
    <w:rsid w:val="006D6EC7"/>
    <w:rsid w:val="006E1882"/>
    <w:rsid w:val="006E1BCD"/>
    <w:rsid w:val="006E457A"/>
    <w:rsid w:val="006E6CA2"/>
    <w:rsid w:val="006F0A71"/>
    <w:rsid w:val="006F40C2"/>
    <w:rsid w:val="006F5125"/>
    <w:rsid w:val="006F6971"/>
    <w:rsid w:val="006F733D"/>
    <w:rsid w:val="006F7F40"/>
    <w:rsid w:val="00702B6F"/>
    <w:rsid w:val="0070585F"/>
    <w:rsid w:val="00706A2F"/>
    <w:rsid w:val="0070718E"/>
    <w:rsid w:val="00707D20"/>
    <w:rsid w:val="00707F18"/>
    <w:rsid w:val="00710259"/>
    <w:rsid w:val="0071031F"/>
    <w:rsid w:val="00711BCC"/>
    <w:rsid w:val="0071340B"/>
    <w:rsid w:val="007149BD"/>
    <w:rsid w:val="00715B54"/>
    <w:rsid w:val="00715BBB"/>
    <w:rsid w:val="007174BB"/>
    <w:rsid w:val="0072025D"/>
    <w:rsid w:val="007221F4"/>
    <w:rsid w:val="00726D08"/>
    <w:rsid w:val="0073137C"/>
    <w:rsid w:val="00733A09"/>
    <w:rsid w:val="007353D3"/>
    <w:rsid w:val="0074149A"/>
    <w:rsid w:val="0074156B"/>
    <w:rsid w:val="00747092"/>
    <w:rsid w:val="00747C05"/>
    <w:rsid w:val="007555E8"/>
    <w:rsid w:val="0076420C"/>
    <w:rsid w:val="0076438F"/>
    <w:rsid w:val="00765769"/>
    <w:rsid w:val="00770AAC"/>
    <w:rsid w:val="00770DF2"/>
    <w:rsid w:val="00771D07"/>
    <w:rsid w:val="00773BE3"/>
    <w:rsid w:val="00774E2C"/>
    <w:rsid w:val="007753C2"/>
    <w:rsid w:val="00775D6F"/>
    <w:rsid w:val="007838B8"/>
    <w:rsid w:val="00783939"/>
    <w:rsid w:val="00784A34"/>
    <w:rsid w:val="0078568F"/>
    <w:rsid w:val="007867A2"/>
    <w:rsid w:val="0078755F"/>
    <w:rsid w:val="007915BA"/>
    <w:rsid w:val="00794857"/>
    <w:rsid w:val="007A6BF7"/>
    <w:rsid w:val="007B393D"/>
    <w:rsid w:val="007B3DDC"/>
    <w:rsid w:val="007B72A6"/>
    <w:rsid w:val="007C0F57"/>
    <w:rsid w:val="007C40B6"/>
    <w:rsid w:val="007C729F"/>
    <w:rsid w:val="007D266B"/>
    <w:rsid w:val="007D4AC8"/>
    <w:rsid w:val="007D503D"/>
    <w:rsid w:val="007D6D6C"/>
    <w:rsid w:val="007E1D28"/>
    <w:rsid w:val="007E2BE4"/>
    <w:rsid w:val="007E53A0"/>
    <w:rsid w:val="007F0021"/>
    <w:rsid w:val="007F0A5C"/>
    <w:rsid w:val="007F2641"/>
    <w:rsid w:val="007F7C36"/>
    <w:rsid w:val="008066D3"/>
    <w:rsid w:val="00806796"/>
    <w:rsid w:val="00811CC0"/>
    <w:rsid w:val="00812ADF"/>
    <w:rsid w:val="008151D6"/>
    <w:rsid w:val="00821527"/>
    <w:rsid w:val="008232B0"/>
    <w:rsid w:val="008255B7"/>
    <w:rsid w:val="008268BB"/>
    <w:rsid w:val="00826F6D"/>
    <w:rsid w:val="008306F3"/>
    <w:rsid w:val="00830E40"/>
    <w:rsid w:val="00831FEF"/>
    <w:rsid w:val="00835C62"/>
    <w:rsid w:val="00847EC0"/>
    <w:rsid w:val="00855FD6"/>
    <w:rsid w:val="00856DDD"/>
    <w:rsid w:val="0086020D"/>
    <w:rsid w:val="008614F0"/>
    <w:rsid w:val="00863E68"/>
    <w:rsid w:val="008647B5"/>
    <w:rsid w:val="0086491A"/>
    <w:rsid w:val="008672F5"/>
    <w:rsid w:val="00870CDC"/>
    <w:rsid w:val="00872E47"/>
    <w:rsid w:val="00875DCB"/>
    <w:rsid w:val="00880383"/>
    <w:rsid w:val="00881714"/>
    <w:rsid w:val="00882085"/>
    <w:rsid w:val="00883188"/>
    <w:rsid w:val="00897D58"/>
    <w:rsid w:val="00897F22"/>
    <w:rsid w:val="008A0B39"/>
    <w:rsid w:val="008A1956"/>
    <w:rsid w:val="008A4937"/>
    <w:rsid w:val="008A50F1"/>
    <w:rsid w:val="008A59D9"/>
    <w:rsid w:val="008A6549"/>
    <w:rsid w:val="008A6819"/>
    <w:rsid w:val="008A6887"/>
    <w:rsid w:val="008B0596"/>
    <w:rsid w:val="008B19D6"/>
    <w:rsid w:val="008B2EC0"/>
    <w:rsid w:val="008B46F6"/>
    <w:rsid w:val="008B4CFE"/>
    <w:rsid w:val="008B5EDD"/>
    <w:rsid w:val="008B78B8"/>
    <w:rsid w:val="008C68FE"/>
    <w:rsid w:val="008D1B5C"/>
    <w:rsid w:val="008D3C82"/>
    <w:rsid w:val="008D447E"/>
    <w:rsid w:val="008D7A41"/>
    <w:rsid w:val="008E2C72"/>
    <w:rsid w:val="008E3680"/>
    <w:rsid w:val="008E5870"/>
    <w:rsid w:val="008F0213"/>
    <w:rsid w:val="008F0D78"/>
    <w:rsid w:val="008F1434"/>
    <w:rsid w:val="008F54C3"/>
    <w:rsid w:val="008F56D0"/>
    <w:rsid w:val="008F626D"/>
    <w:rsid w:val="008F7355"/>
    <w:rsid w:val="009023DC"/>
    <w:rsid w:val="00902502"/>
    <w:rsid w:val="009027C5"/>
    <w:rsid w:val="00903A1A"/>
    <w:rsid w:val="009067B7"/>
    <w:rsid w:val="00912937"/>
    <w:rsid w:val="0091402C"/>
    <w:rsid w:val="009160C1"/>
    <w:rsid w:val="00917D69"/>
    <w:rsid w:val="00922D8F"/>
    <w:rsid w:val="00925969"/>
    <w:rsid w:val="009262F6"/>
    <w:rsid w:val="00926560"/>
    <w:rsid w:val="00930937"/>
    <w:rsid w:val="009324A6"/>
    <w:rsid w:val="00933E6C"/>
    <w:rsid w:val="00934BA0"/>
    <w:rsid w:val="00934D66"/>
    <w:rsid w:val="0093731B"/>
    <w:rsid w:val="00937958"/>
    <w:rsid w:val="00941203"/>
    <w:rsid w:val="00941602"/>
    <w:rsid w:val="00942160"/>
    <w:rsid w:val="00945773"/>
    <w:rsid w:val="0095146F"/>
    <w:rsid w:val="00955937"/>
    <w:rsid w:val="00957944"/>
    <w:rsid w:val="009602C5"/>
    <w:rsid w:val="00962223"/>
    <w:rsid w:val="00966635"/>
    <w:rsid w:val="00966935"/>
    <w:rsid w:val="00966D0D"/>
    <w:rsid w:val="0096783C"/>
    <w:rsid w:val="009722B3"/>
    <w:rsid w:val="00974C21"/>
    <w:rsid w:val="00975948"/>
    <w:rsid w:val="00976F37"/>
    <w:rsid w:val="00977BF3"/>
    <w:rsid w:val="00977F07"/>
    <w:rsid w:val="009803E4"/>
    <w:rsid w:val="00980B0E"/>
    <w:rsid w:val="009836A3"/>
    <w:rsid w:val="009855A8"/>
    <w:rsid w:val="0098626D"/>
    <w:rsid w:val="009913F4"/>
    <w:rsid w:val="009915C4"/>
    <w:rsid w:val="0099465B"/>
    <w:rsid w:val="009A0CDD"/>
    <w:rsid w:val="009A3168"/>
    <w:rsid w:val="009A4D07"/>
    <w:rsid w:val="009A61CA"/>
    <w:rsid w:val="009A74FD"/>
    <w:rsid w:val="009B0C64"/>
    <w:rsid w:val="009B0F67"/>
    <w:rsid w:val="009B201C"/>
    <w:rsid w:val="009B2446"/>
    <w:rsid w:val="009B3D55"/>
    <w:rsid w:val="009B5A5D"/>
    <w:rsid w:val="009C52E6"/>
    <w:rsid w:val="009C703C"/>
    <w:rsid w:val="009D206E"/>
    <w:rsid w:val="009D3CAA"/>
    <w:rsid w:val="009D57F9"/>
    <w:rsid w:val="009D6532"/>
    <w:rsid w:val="009E2E8E"/>
    <w:rsid w:val="009E40E1"/>
    <w:rsid w:val="009E7C2A"/>
    <w:rsid w:val="009F0EFA"/>
    <w:rsid w:val="009F431E"/>
    <w:rsid w:val="009F4B8C"/>
    <w:rsid w:val="009F4E46"/>
    <w:rsid w:val="009F5B65"/>
    <w:rsid w:val="009F5F2E"/>
    <w:rsid w:val="009F5F49"/>
    <w:rsid w:val="00A01432"/>
    <w:rsid w:val="00A06225"/>
    <w:rsid w:val="00A07676"/>
    <w:rsid w:val="00A128E6"/>
    <w:rsid w:val="00A140D7"/>
    <w:rsid w:val="00A144D3"/>
    <w:rsid w:val="00A16331"/>
    <w:rsid w:val="00A1764F"/>
    <w:rsid w:val="00A20A32"/>
    <w:rsid w:val="00A22AC3"/>
    <w:rsid w:val="00A23F3F"/>
    <w:rsid w:val="00A24067"/>
    <w:rsid w:val="00A2599D"/>
    <w:rsid w:val="00A2744D"/>
    <w:rsid w:val="00A329C2"/>
    <w:rsid w:val="00A33C59"/>
    <w:rsid w:val="00A34E6C"/>
    <w:rsid w:val="00A3515C"/>
    <w:rsid w:val="00A36398"/>
    <w:rsid w:val="00A37AE8"/>
    <w:rsid w:val="00A37C8D"/>
    <w:rsid w:val="00A4020E"/>
    <w:rsid w:val="00A40FB5"/>
    <w:rsid w:val="00A41003"/>
    <w:rsid w:val="00A42826"/>
    <w:rsid w:val="00A42869"/>
    <w:rsid w:val="00A429B3"/>
    <w:rsid w:val="00A470B6"/>
    <w:rsid w:val="00A5273B"/>
    <w:rsid w:val="00A53A9D"/>
    <w:rsid w:val="00A55FEE"/>
    <w:rsid w:val="00A57422"/>
    <w:rsid w:val="00A62C1A"/>
    <w:rsid w:val="00A63753"/>
    <w:rsid w:val="00A6426D"/>
    <w:rsid w:val="00A665C1"/>
    <w:rsid w:val="00A673A4"/>
    <w:rsid w:val="00A675CC"/>
    <w:rsid w:val="00A70622"/>
    <w:rsid w:val="00A7082E"/>
    <w:rsid w:val="00A70977"/>
    <w:rsid w:val="00A70D58"/>
    <w:rsid w:val="00A71F02"/>
    <w:rsid w:val="00A7420B"/>
    <w:rsid w:val="00A744F9"/>
    <w:rsid w:val="00A77008"/>
    <w:rsid w:val="00A77613"/>
    <w:rsid w:val="00A8051E"/>
    <w:rsid w:val="00A81851"/>
    <w:rsid w:val="00A8390C"/>
    <w:rsid w:val="00A86AE0"/>
    <w:rsid w:val="00A8712C"/>
    <w:rsid w:val="00A901A0"/>
    <w:rsid w:val="00A90548"/>
    <w:rsid w:val="00A928BD"/>
    <w:rsid w:val="00A94734"/>
    <w:rsid w:val="00A97DE9"/>
    <w:rsid w:val="00AA12CD"/>
    <w:rsid w:val="00AA4D1C"/>
    <w:rsid w:val="00AA52FD"/>
    <w:rsid w:val="00AA7866"/>
    <w:rsid w:val="00AA7FE6"/>
    <w:rsid w:val="00AB0EE9"/>
    <w:rsid w:val="00AB5856"/>
    <w:rsid w:val="00AB63CF"/>
    <w:rsid w:val="00AB67BC"/>
    <w:rsid w:val="00AB7197"/>
    <w:rsid w:val="00AB7500"/>
    <w:rsid w:val="00AB7B33"/>
    <w:rsid w:val="00AC193C"/>
    <w:rsid w:val="00AC4DE5"/>
    <w:rsid w:val="00AC5206"/>
    <w:rsid w:val="00AD4322"/>
    <w:rsid w:val="00AE0CA7"/>
    <w:rsid w:val="00AE11A5"/>
    <w:rsid w:val="00AE13E2"/>
    <w:rsid w:val="00AE161F"/>
    <w:rsid w:val="00AE22D3"/>
    <w:rsid w:val="00AE5A49"/>
    <w:rsid w:val="00AE6A85"/>
    <w:rsid w:val="00AF62DF"/>
    <w:rsid w:val="00AF68CC"/>
    <w:rsid w:val="00AF70D7"/>
    <w:rsid w:val="00B0146A"/>
    <w:rsid w:val="00B06478"/>
    <w:rsid w:val="00B06CB8"/>
    <w:rsid w:val="00B07CFB"/>
    <w:rsid w:val="00B1059E"/>
    <w:rsid w:val="00B11ECE"/>
    <w:rsid w:val="00B147F4"/>
    <w:rsid w:val="00B16273"/>
    <w:rsid w:val="00B170A5"/>
    <w:rsid w:val="00B176C8"/>
    <w:rsid w:val="00B17EE5"/>
    <w:rsid w:val="00B205AA"/>
    <w:rsid w:val="00B22E84"/>
    <w:rsid w:val="00B233AD"/>
    <w:rsid w:val="00B23CDA"/>
    <w:rsid w:val="00B23E25"/>
    <w:rsid w:val="00B244C1"/>
    <w:rsid w:val="00B25F75"/>
    <w:rsid w:val="00B26B3F"/>
    <w:rsid w:val="00B2778F"/>
    <w:rsid w:val="00B31483"/>
    <w:rsid w:val="00B31C7D"/>
    <w:rsid w:val="00B33635"/>
    <w:rsid w:val="00B37E12"/>
    <w:rsid w:val="00B40CEA"/>
    <w:rsid w:val="00B4184B"/>
    <w:rsid w:val="00B42151"/>
    <w:rsid w:val="00B42AF4"/>
    <w:rsid w:val="00B43E90"/>
    <w:rsid w:val="00B45526"/>
    <w:rsid w:val="00B467DC"/>
    <w:rsid w:val="00B53E1A"/>
    <w:rsid w:val="00B558FD"/>
    <w:rsid w:val="00B56118"/>
    <w:rsid w:val="00B567AA"/>
    <w:rsid w:val="00B61491"/>
    <w:rsid w:val="00B6773F"/>
    <w:rsid w:val="00B70EB3"/>
    <w:rsid w:val="00B72DDA"/>
    <w:rsid w:val="00B73885"/>
    <w:rsid w:val="00B7525E"/>
    <w:rsid w:val="00B760FB"/>
    <w:rsid w:val="00B767AB"/>
    <w:rsid w:val="00B801BA"/>
    <w:rsid w:val="00B84D5C"/>
    <w:rsid w:val="00B87822"/>
    <w:rsid w:val="00B902FD"/>
    <w:rsid w:val="00B9349D"/>
    <w:rsid w:val="00B96BB7"/>
    <w:rsid w:val="00B9737D"/>
    <w:rsid w:val="00BA2DA8"/>
    <w:rsid w:val="00BA3229"/>
    <w:rsid w:val="00BA347C"/>
    <w:rsid w:val="00BA443D"/>
    <w:rsid w:val="00BA54DE"/>
    <w:rsid w:val="00BB5C49"/>
    <w:rsid w:val="00BB69F5"/>
    <w:rsid w:val="00BB7EC3"/>
    <w:rsid w:val="00BC2051"/>
    <w:rsid w:val="00BC2BC6"/>
    <w:rsid w:val="00BC4B9A"/>
    <w:rsid w:val="00BC6B9B"/>
    <w:rsid w:val="00BD02C3"/>
    <w:rsid w:val="00BD2589"/>
    <w:rsid w:val="00BD3AED"/>
    <w:rsid w:val="00BD7483"/>
    <w:rsid w:val="00BD784C"/>
    <w:rsid w:val="00BE020A"/>
    <w:rsid w:val="00BE13DF"/>
    <w:rsid w:val="00BE2C5E"/>
    <w:rsid w:val="00BE5CDD"/>
    <w:rsid w:val="00BF092C"/>
    <w:rsid w:val="00BF27A0"/>
    <w:rsid w:val="00BF4CB6"/>
    <w:rsid w:val="00BF6087"/>
    <w:rsid w:val="00BF757A"/>
    <w:rsid w:val="00C00DA7"/>
    <w:rsid w:val="00C04CDE"/>
    <w:rsid w:val="00C0612B"/>
    <w:rsid w:val="00C12768"/>
    <w:rsid w:val="00C12D70"/>
    <w:rsid w:val="00C13790"/>
    <w:rsid w:val="00C1652B"/>
    <w:rsid w:val="00C215A0"/>
    <w:rsid w:val="00C219FF"/>
    <w:rsid w:val="00C21B09"/>
    <w:rsid w:val="00C2673A"/>
    <w:rsid w:val="00C27B58"/>
    <w:rsid w:val="00C302F8"/>
    <w:rsid w:val="00C30E5A"/>
    <w:rsid w:val="00C35996"/>
    <w:rsid w:val="00C35C6B"/>
    <w:rsid w:val="00C42C3B"/>
    <w:rsid w:val="00C4747E"/>
    <w:rsid w:val="00C5151E"/>
    <w:rsid w:val="00C5342C"/>
    <w:rsid w:val="00C53B2B"/>
    <w:rsid w:val="00C60272"/>
    <w:rsid w:val="00C603D4"/>
    <w:rsid w:val="00C6256A"/>
    <w:rsid w:val="00C6644C"/>
    <w:rsid w:val="00C710E2"/>
    <w:rsid w:val="00C71C3F"/>
    <w:rsid w:val="00C7409E"/>
    <w:rsid w:val="00C7469F"/>
    <w:rsid w:val="00C763B3"/>
    <w:rsid w:val="00C76E76"/>
    <w:rsid w:val="00C77891"/>
    <w:rsid w:val="00C77B47"/>
    <w:rsid w:val="00C837B0"/>
    <w:rsid w:val="00C8534D"/>
    <w:rsid w:val="00C8705B"/>
    <w:rsid w:val="00C9000D"/>
    <w:rsid w:val="00C91449"/>
    <w:rsid w:val="00C92D10"/>
    <w:rsid w:val="00CA48D9"/>
    <w:rsid w:val="00CB1193"/>
    <w:rsid w:val="00CB1B1E"/>
    <w:rsid w:val="00CB3D8B"/>
    <w:rsid w:val="00CB4767"/>
    <w:rsid w:val="00CB493D"/>
    <w:rsid w:val="00CC3B97"/>
    <w:rsid w:val="00CC73EB"/>
    <w:rsid w:val="00CD5721"/>
    <w:rsid w:val="00CE10C4"/>
    <w:rsid w:val="00CE27B5"/>
    <w:rsid w:val="00CE2F0B"/>
    <w:rsid w:val="00CE5641"/>
    <w:rsid w:val="00CE6DAF"/>
    <w:rsid w:val="00CF0E91"/>
    <w:rsid w:val="00CF410A"/>
    <w:rsid w:val="00D0321E"/>
    <w:rsid w:val="00D07A8A"/>
    <w:rsid w:val="00D10ED9"/>
    <w:rsid w:val="00D1455A"/>
    <w:rsid w:val="00D16FD3"/>
    <w:rsid w:val="00D175C9"/>
    <w:rsid w:val="00D210AA"/>
    <w:rsid w:val="00D22093"/>
    <w:rsid w:val="00D239EF"/>
    <w:rsid w:val="00D31150"/>
    <w:rsid w:val="00D3138B"/>
    <w:rsid w:val="00D31751"/>
    <w:rsid w:val="00D3280C"/>
    <w:rsid w:val="00D3406A"/>
    <w:rsid w:val="00D341E1"/>
    <w:rsid w:val="00D37412"/>
    <w:rsid w:val="00D37F78"/>
    <w:rsid w:val="00D406A1"/>
    <w:rsid w:val="00D40B11"/>
    <w:rsid w:val="00D441F1"/>
    <w:rsid w:val="00D4572C"/>
    <w:rsid w:val="00D469B2"/>
    <w:rsid w:val="00D527C2"/>
    <w:rsid w:val="00D54B09"/>
    <w:rsid w:val="00D55652"/>
    <w:rsid w:val="00D65658"/>
    <w:rsid w:val="00D6638C"/>
    <w:rsid w:val="00D72B6F"/>
    <w:rsid w:val="00D741EB"/>
    <w:rsid w:val="00D74CB6"/>
    <w:rsid w:val="00D75D73"/>
    <w:rsid w:val="00D7679C"/>
    <w:rsid w:val="00D8059D"/>
    <w:rsid w:val="00D820F3"/>
    <w:rsid w:val="00D83605"/>
    <w:rsid w:val="00D83A2A"/>
    <w:rsid w:val="00D84934"/>
    <w:rsid w:val="00D8545C"/>
    <w:rsid w:val="00D85A04"/>
    <w:rsid w:val="00D91271"/>
    <w:rsid w:val="00D919F5"/>
    <w:rsid w:val="00D94D56"/>
    <w:rsid w:val="00D94F03"/>
    <w:rsid w:val="00D97BCF"/>
    <w:rsid w:val="00DA0240"/>
    <w:rsid w:val="00DA0D14"/>
    <w:rsid w:val="00DA1FC9"/>
    <w:rsid w:val="00DA2CB5"/>
    <w:rsid w:val="00DA4BAC"/>
    <w:rsid w:val="00DB0151"/>
    <w:rsid w:val="00DB2B40"/>
    <w:rsid w:val="00DB63C4"/>
    <w:rsid w:val="00DB6778"/>
    <w:rsid w:val="00DB7B1A"/>
    <w:rsid w:val="00DC2B00"/>
    <w:rsid w:val="00DC2C3E"/>
    <w:rsid w:val="00DC4305"/>
    <w:rsid w:val="00DC4880"/>
    <w:rsid w:val="00DD24BA"/>
    <w:rsid w:val="00DD77FB"/>
    <w:rsid w:val="00DD7A9A"/>
    <w:rsid w:val="00DE0148"/>
    <w:rsid w:val="00DE5F90"/>
    <w:rsid w:val="00DE6D27"/>
    <w:rsid w:val="00DF01F8"/>
    <w:rsid w:val="00DF042C"/>
    <w:rsid w:val="00DF217D"/>
    <w:rsid w:val="00DF26A7"/>
    <w:rsid w:val="00DF3277"/>
    <w:rsid w:val="00DF5C0C"/>
    <w:rsid w:val="00DF67CC"/>
    <w:rsid w:val="00DF6F01"/>
    <w:rsid w:val="00DF7919"/>
    <w:rsid w:val="00E0207E"/>
    <w:rsid w:val="00E03912"/>
    <w:rsid w:val="00E078D9"/>
    <w:rsid w:val="00E13641"/>
    <w:rsid w:val="00E15627"/>
    <w:rsid w:val="00E15FD2"/>
    <w:rsid w:val="00E164B3"/>
    <w:rsid w:val="00E16910"/>
    <w:rsid w:val="00E24E09"/>
    <w:rsid w:val="00E25BEB"/>
    <w:rsid w:val="00E26BA5"/>
    <w:rsid w:val="00E27234"/>
    <w:rsid w:val="00E42B2D"/>
    <w:rsid w:val="00E42BDB"/>
    <w:rsid w:val="00E44F2B"/>
    <w:rsid w:val="00E475CC"/>
    <w:rsid w:val="00E5019C"/>
    <w:rsid w:val="00E511E8"/>
    <w:rsid w:val="00E54632"/>
    <w:rsid w:val="00E553F9"/>
    <w:rsid w:val="00E55F53"/>
    <w:rsid w:val="00E57EEB"/>
    <w:rsid w:val="00E62D94"/>
    <w:rsid w:val="00E64F37"/>
    <w:rsid w:val="00E65E54"/>
    <w:rsid w:val="00E661C7"/>
    <w:rsid w:val="00E76810"/>
    <w:rsid w:val="00E80155"/>
    <w:rsid w:val="00E8134B"/>
    <w:rsid w:val="00E81E0D"/>
    <w:rsid w:val="00E81F28"/>
    <w:rsid w:val="00E848C0"/>
    <w:rsid w:val="00E857B9"/>
    <w:rsid w:val="00E874F7"/>
    <w:rsid w:val="00E875FC"/>
    <w:rsid w:val="00E91B96"/>
    <w:rsid w:val="00E93D1E"/>
    <w:rsid w:val="00E941A1"/>
    <w:rsid w:val="00E95CE3"/>
    <w:rsid w:val="00E975FD"/>
    <w:rsid w:val="00EA252F"/>
    <w:rsid w:val="00EA2825"/>
    <w:rsid w:val="00EA5E44"/>
    <w:rsid w:val="00EA6518"/>
    <w:rsid w:val="00EA7466"/>
    <w:rsid w:val="00EA77C6"/>
    <w:rsid w:val="00EA7D9E"/>
    <w:rsid w:val="00EA7EDE"/>
    <w:rsid w:val="00EB0B63"/>
    <w:rsid w:val="00EB1936"/>
    <w:rsid w:val="00EB2ECA"/>
    <w:rsid w:val="00EB37BE"/>
    <w:rsid w:val="00EB3A56"/>
    <w:rsid w:val="00EB5088"/>
    <w:rsid w:val="00EB6313"/>
    <w:rsid w:val="00EC2C77"/>
    <w:rsid w:val="00EC51A6"/>
    <w:rsid w:val="00ED0582"/>
    <w:rsid w:val="00ED1644"/>
    <w:rsid w:val="00ED2593"/>
    <w:rsid w:val="00ED299B"/>
    <w:rsid w:val="00ED52CA"/>
    <w:rsid w:val="00ED7D55"/>
    <w:rsid w:val="00ED7D9C"/>
    <w:rsid w:val="00EE31A2"/>
    <w:rsid w:val="00EE43F9"/>
    <w:rsid w:val="00EE5084"/>
    <w:rsid w:val="00EE7B9F"/>
    <w:rsid w:val="00EF0069"/>
    <w:rsid w:val="00EF0669"/>
    <w:rsid w:val="00EF44A0"/>
    <w:rsid w:val="00EF4FED"/>
    <w:rsid w:val="00EF500E"/>
    <w:rsid w:val="00EF6FB3"/>
    <w:rsid w:val="00F007C6"/>
    <w:rsid w:val="00F0172E"/>
    <w:rsid w:val="00F050BD"/>
    <w:rsid w:val="00F05657"/>
    <w:rsid w:val="00F06B70"/>
    <w:rsid w:val="00F14099"/>
    <w:rsid w:val="00F14154"/>
    <w:rsid w:val="00F1543A"/>
    <w:rsid w:val="00F1781F"/>
    <w:rsid w:val="00F17ED6"/>
    <w:rsid w:val="00F209E2"/>
    <w:rsid w:val="00F21D66"/>
    <w:rsid w:val="00F22384"/>
    <w:rsid w:val="00F2276D"/>
    <w:rsid w:val="00F23A27"/>
    <w:rsid w:val="00F25578"/>
    <w:rsid w:val="00F258E5"/>
    <w:rsid w:val="00F25B9C"/>
    <w:rsid w:val="00F25BFD"/>
    <w:rsid w:val="00F26685"/>
    <w:rsid w:val="00F26CC6"/>
    <w:rsid w:val="00F27753"/>
    <w:rsid w:val="00F300BC"/>
    <w:rsid w:val="00F3263C"/>
    <w:rsid w:val="00F3334E"/>
    <w:rsid w:val="00F3494A"/>
    <w:rsid w:val="00F36CCB"/>
    <w:rsid w:val="00F374E5"/>
    <w:rsid w:val="00F37A3B"/>
    <w:rsid w:val="00F37B93"/>
    <w:rsid w:val="00F37BAD"/>
    <w:rsid w:val="00F37ECA"/>
    <w:rsid w:val="00F43AF2"/>
    <w:rsid w:val="00F46915"/>
    <w:rsid w:val="00F5007E"/>
    <w:rsid w:val="00F50EC4"/>
    <w:rsid w:val="00F52232"/>
    <w:rsid w:val="00F550CF"/>
    <w:rsid w:val="00F55878"/>
    <w:rsid w:val="00F56753"/>
    <w:rsid w:val="00F57A6D"/>
    <w:rsid w:val="00F61A06"/>
    <w:rsid w:val="00F638CC"/>
    <w:rsid w:val="00F6494E"/>
    <w:rsid w:val="00F64C9E"/>
    <w:rsid w:val="00F64CC1"/>
    <w:rsid w:val="00F65DE9"/>
    <w:rsid w:val="00F72317"/>
    <w:rsid w:val="00F74246"/>
    <w:rsid w:val="00F80475"/>
    <w:rsid w:val="00F8247A"/>
    <w:rsid w:val="00F82E5C"/>
    <w:rsid w:val="00F83EFA"/>
    <w:rsid w:val="00F86F3D"/>
    <w:rsid w:val="00F87E94"/>
    <w:rsid w:val="00F948D7"/>
    <w:rsid w:val="00F9629A"/>
    <w:rsid w:val="00F97EFC"/>
    <w:rsid w:val="00FA1BDD"/>
    <w:rsid w:val="00FA305C"/>
    <w:rsid w:val="00FA4DD5"/>
    <w:rsid w:val="00FA5883"/>
    <w:rsid w:val="00FA6055"/>
    <w:rsid w:val="00FB0B39"/>
    <w:rsid w:val="00FB322F"/>
    <w:rsid w:val="00FB442F"/>
    <w:rsid w:val="00FB4BC2"/>
    <w:rsid w:val="00FB5EFF"/>
    <w:rsid w:val="00FB6160"/>
    <w:rsid w:val="00FB6E1C"/>
    <w:rsid w:val="00FB7B5E"/>
    <w:rsid w:val="00FC1929"/>
    <w:rsid w:val="00FC4014"/>
    <w:rsid w:val="00FC5B46"/>
    <w:rsid w:val="00FC6ABB"/>
    <w:rsid w:val="00FD2402"/>
    <w:rsid w:val="00FD38AF"/>
    <w:rsid w:val="00FD3AFD"/>
    <w:rsid w:val="00FD6D8E"/>
    <w:rsid w:val="00FE0663"/>
    <w:rsid w:val="00FE0E94"/>
    <w:rsid w:val="00FE3CD9"/>
    <w:rsid w:val="00FE44A9"/>
    <w:rsid w:val="00FE4A87"/>
    <w:rsid w:val="00FF00BD"/>
    <w:rsid w:val="00FF14FD"/>
    <w:rsid w:val="00FF190E"/>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Styl moj,Akapit z listą11,L"/>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L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iPriority w:val="35"/>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character" w:customStyle="1" w:styleId="form-strength">
    <w:name w:val="form-strength"/>
    <w:basedOn w:val="DefaultParagraphFont"/>
    <w:rsid w:val="00253F5D"/>
  </w:style>
  <w:style w:type="paragraph" w:customStyle="1" w:styleId="Paragraph">
    <w:name w:val="Paragraph"/>
    <w:link w:val="ParagraphChar"/>
    <w:qFormat/>
    <w:rsid w:val="00CB3D8B"/>
    <w:pPr>
      <w:spacing w:after="240" w:line="276" w:lineRule="auto"/>
    </w:pPr>
    <w:rPr>
      <w:sz w:val="24"/>
      <w:szCs w:val="24"/>
      <w:lang w:val="en-GB" w:eastAsia="en-US"/>
    </w:rPr>
  </w:style>
  <w:style w:type="character" w:customStyle="1" w:styleId="ParagraphChar">
    <w:name w:val="Paragraph Char"/>
    <w:basedOn w:val="DefaultParagraphFont"/>
    <w:link w:val="Paragraph"/>
    <w:rsid w:val="00CB3D8B"/>
    <w:rPr>
      <w:sz w:val="24"/>
      <w:szCs w:val="24"/>
      <w:lang w:val="en-GB" w:eastAsia="en-US"/>
    </w:rPr>
  </w:style>
  <w:style w:type="paragraph" w:styleId="FootnoteText">
    <w:name w:val="footnote text"/>
    <w:basedOn w:val="Normal"/>
    <w:link w:val="FootnoteTextChar"/>
    <w:semiHidden/>
    <w:unhideWhenUsed/>
    <w:rsid w:val="002B2C8E"/>
    <w:rPr>
      <w:sz w:val="20"/>
      <w:szCs w:val="20"/>
    </w:rPr>
  </w:style>
  <w:style w:type="character" w:customStyle="1" w:styleId="FootnoteTextChar">
    <w:name w:val="Footnote Text Char"/>
    <w:basedOn w:val="DefaultParagraphFont"/>
    <w:link w:val="FootnoteText"/>
    <w:semiHidden/>
    <w:rsid w:val="002B2C8E"/>
    <w:rPr>
      <w:rFonts w:ascii="Calibri" w:hAnsi="Calibri"/>
    </w:rPr>
  </w:style>
  <w:style w:type="character" w:styleId="FootnoteReference">
    <w:name w:val="footnote reference"/>
    <w:basedOn w:val="DefaultParagraphFont"/>
    <w:semiHidden/>
    <w:unhideWhenUsed/>
    <w:rsid w:val="002B2C8E"/>
    <w:rPr>
      <w:vertAlign w:val="superscript"/>
    </w:rPr>
  </w:style>
  <w:style w:type="paragraph" w:styleId="Revision">
    <w:name w:val="Revision"/>
    <w:hidden/>
    <w:uiPriority w:val="71"/>
    <w:semiHidden/>
    <w:rsid w:val="006753CE"/>
    <w:rPr>
      <w:rFonts w:ascii="Calibri" w:hAnsi="Calibri"/>
      <w:sz w:val="24"/>
      <w:szCs w:val="24"/>
    </w:rPr>
  </w:style>
  <w:style w:type="paragraph" w:customStyle="1" w:styleId="Default">
    <w:name w:val="Default"/>
    <w:rsid w:val="00F74246"/>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3469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2869"/>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A428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397901376">
      <w:bodyDiv w:val="1"/>
      <w:marLeft w:val="0"/>
      <w:marRight w:val="0"/>
      <w:marTop w:val="0"/>
      <w:marBottom w:val="0"/>
      <w:divBdr>
        <w:top w:val="none" w:sz="0" w:space="0" w:color="auto"/>
        <w:left w:val="none" w:sz="0" w:space="0" w:color="auto"/>
        <w:bottom w:val="none" w:sz="0" w:space="0" w:color="auto"/>
        <w:right w:val="none" w:sz="0" w:space="0" w:color="auto"/>
      </w:divBdr>
      <w:divsChild>
        <w:div w:id="158011155">
          <w:marLeft w:val="0"/>
          <w:marRight w:val="0"/>
          <w:marTop w:val="0"/>
          <w:marBottom w:val="0"/>
          <w:divBdr>
            <w:top w:val="none" w:sz="0" w:space="0" w:color="auto"/>
            <w:left w:val="none" w:sz="0" w:space="0" w:color="auto"/>
            <w:bottom w:val="none" w:sz="0" w:space="0" w:color="auto"/>
            <w:right w:val="none" w:sz="0" w:space="0" w:color="auto"/>
          </w:divBdr>
          <w:divsChild>
            <w:div w:id="169754739">
              <w:marLeft w:val="0"/>
              <w:marRight w:val="0"/>
              <w:marTop w:val="0"/>
              <w:marBottom w:val="0"/>
              <w:divBdr>
                <w:top w:val="none" w:sz="0" w:space="0" w:color="auto"/>
                <w:left w:val="none" w:sz="0" w:space="0" w:color="auto"/>
                <w:bottom w:val="none" w:sz="0" w:space="0" w:color="auto"/>
                <w:right w:val="none" w:sz="0" w:space="0" w:color="auto"/>
              </w:divBdr>
              <w:divsChild>
                <w:div w:id="2031832243">
                  <w:marLeft w:val="0"/>
                  <w:marRight w:val="0"/>
                  <w:marTop w:val="0"/>
                  <w:marBottom w:val="0"/>
                  <w:divBdr>
                    <w:top w:val="none" w:sz="0" w:space="0" w:color="auto"/>
                    <w:left w:val="none" w:sz="0" w:space="0" w:color="auto"/>
                    <w:bottom w:val="none" w:sz="0" w:space="0" w:color="auto"/>
                    <w:right w:val="none" w:sz="0" w:space="0" w:color="auto"/>
                  </w:divBdr>
                  <w:divsChild>
                    <w:div w:id="1068961352">
                      <w:marLeft w:val="0"/>
                      <w:marRight w:val="0"/>
                      <w:marTop w:val="0"/>
                      <w:marBottom w:val="240"/>
                      <w:divBdr>
                        <w:top w:val="single" w:sz="6" w:space="0" w:color="DDDDDD"/>
                        <w:left w:val="none" w:sz="0" w:space="0" w:color="auto"/>
                        <w:bottom w:val="none" w:sz="0" w:space="0" w:color="auto"/>
                        <w:right w:val="none" w:sz="0" w:space="0" w:color="auto"/>
                      </w:divBdr>
                      <w:divsChild>
                        <w:div w:id="1251892322">
                          <w:marLeft w:val="0"/>
                          <w:marRight w:val="0"/>
                          <w:marTop w:val="0"/>
                          <w:marBottom w:val="0"/>
                          <w:divBdr>
                            <w:top w:val="none" w:sz="0" w:space="0" w:color="auto"/>
                            <w:left w:val="none" w:sz="0" w:space="0" w:color="auto"/>
                            <w:bottom w:val="none" w:sz="0" w:space="0" w:color="auto"/>
                            <w:right w:val="none" w:sz="0" w:space="0" w:color="auto"/>
                          </w:divBdr>
                          <w:divsChild>
                            <w:div w:id="1926105474">
                              <w:marLeft w:val="0"/>
                              <w:marRight w:val="0"/>
                              <w:marTop w:val="0"/>
                              <w:marBottom w:val="0"/>
                              <w:divBdr>
                                <w:top w:val="none" w:sz="0" w:space="0" w:color="auto"/>
                                <w:left w:val="none" w:sz="0" w:space="0" w:color="auto"/>
                                <w:bottom w:val="none" w:sz="0" w:space="0" w:color="auto"/>
                                <w:right w:val="none" w:sz="0" w:space="0" w:color="auto"/>
                              </w:divBdr>
                              <w:divsChild>
                                <w:div w:id="1443112315">
                                  <w:marLeft w:val="0"/>
                                  <w:marRight w:val="0"/>
                                  <w:marTop w:val="0"/>
                                  <w:marBottom w:val="240"/>
                                  <w:divBdr>
                                    <w:top w:val="single" w:sz="6" w:space="0" w:color="DDDDDD"/>
                                    <w:left w:val="none" w:sz="0" w:space="0" w:color="auto"/>
                                    <w:bottom w:val="none" w:sz="0" w:space="0" w:color="auto"/>
                                    <w:right w:val="none" w:sz="0" w:space="0" w:color="auto"/>
                                  </w:divBdr>
                                  <w:divsChild>
                                    <w:div w:id="1461531287">
                                      <w:marLeft w:val="0"/>
                                      <w:marRight w:val="0"/>
                                      <w:marTop w:val="0"/>
                                      <w:marBottom w:val="0"/>
                                      <w:divBdr>
                                        <w:top w:val="none" w:sz="0" w:space="0" w:color="auto"/>
                                        <w:left w:val="none" w:sz="0" w:space="0" w:color="auto"/>
                                        <w:bottom w:val="none" w:sz="0" w:space="0" w:color="auto"/>
                                        <w:right w:val="none" w:sz="0" w:space="0" w:color="auto"/>
                                      </w:divBdr>
                                      <w:divsChild>
                                        <w:div w:id="1198548265">
                                          <w:marLeft w:val="0"/>
                                          <w:marRight w:val="0"/>
                                          <w:marTop w:val="0"/>
                                          <w:marBottom w:val="0"/>
                                          <w:divBdr>
                                            <w:top w:val="none" w:sz="0" w:space="0" w:color="auto"/>
                                            <w:left w:val="none" w:sz="0" w:space="0" w:color="auto"/>
                                            <w:bottom w:val="none" w:sz="0" w:space="0" w:color="auto"/>
                                            <w:right w:val="none" w:sz="0" w:space="0" w:color="auto"/>
                                          </w:divBdr>
                                          <w:divsChild>
                                            <w:div w:id="530463543">
                                              <w:marLeft w:val="0"/>
                                              <w:marRight w:val="0"/>
                                              <w:marTop w:val="0"/>
                                              <w:marBottom w:val="0"/>
                                              <w:divBdr>
                                                <w:top w:val="none" w:sz="0" w:space="0" w:color="auto"/>
                                                <w:left w:val="none" w:sz="0" w:space="0" w:color="auto"/>
                                                <w:bottom w:val="none" w:sz="0" w:space="0" w:color="auto"/>
                                                <w:right w:val="none" w:sz="0" w:space="0" w:color="auto"/>
                                              </w:divBdr>
                                              <w:divsChild>
                                                <w:div w:id="1784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5337">
                                          <w:marLeft w:val="0"/>
                                          <w:marRight w:val="0"/>
                                          <w:marTop w:val="0"/>
                                          <w:marBottom w:val="0"/>
                                          <w:divBdr>
                                            <w:top w:val="none" w:sz="0" w:space="0" w:color="auto"/>
                                            <w:left w:val="none" w:sz="0" w:space="0" w:color="auto"/>
                                            <w:bottom w:val="none" w:sz="0" w:space="0" w:color="auto"/>
                                            <w:right w:val="none" w:sz="0" w:space="0" w:color="auto"/>
                                          </w:divBdr>
                                          <w:divsChild>
                                            <w:div w:id="1700348750">
                                              <w:marLeft w:val="0"/>
                                              <w:marRight w:val="0"/>
                                              <w:marTop w:val="0"/>
                                              <w:marBottom w:val="0"/>
                                              <w:divBdr>
                                                <w:top w:val="none" w:sz="0" w:space="0" w:color="auto"/>
                                                <w:left w:val="none" w:sz="0" w:space="0" w:color="auto"/>
                                                <w:bottom w:val="none" w:sz="0" w:space="0" w:color="auto"/>
                                                <w:right w:val="none" w:sz="0" w:space="0" w:color="auto"/>
                                              </w:divBdr>
                                              <w:divsChild>
                                                <w:div w:id="21462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6357">
                                          <w:marLeft w:val="0"/>
                                          <w:marRight w:val="0"/>
                                          <w:marTop w:val="0"/>
                                          <w:marBottom w:val="0"/>
                                          <w:divBdr>
                                            <w:top w:val="none" w:sz="0" w:space="0" w:color="auto"/>
                                            <w:left w:val="none" w:sz="0" w:space="0" w:color="auto"/>
                                            <w:bottom w:val="none" w:sz="0" w:space="0" w:color="auto"/>
                                            <w:right w:val="none" w:sz="0" w:space="0" w:color="auto"/>
                                          </w:divBdr>
                                          <w:divsChild>
                                            <w:div w:id="1289707027">
                                              <w:marLeft w:val="0"/>
                                              <w:marRight w:val="0"/>
                                              <w:marTop w:val="0"/>
                                              <w:marBottom w:val="0"/>
                                              <w:divBdr>
                                                <w:top w:val="none" w:sz="0" w:space="0" w:color="auto"/>
                                                <w:left w:val="none" w:sz="0" w:space="0" w:color="auto"/>
                                                <w:bottom w:val="none" w:sz="0" w:space="0" w:color="auto"/>
                                                <w:right w:val="none" w:sz="0" w:space="0" w:color="auto"/>
                                              </w:divBdr>
                                              <w:divsChild>
                                                <w:div w:id="8785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0285">
                                          <w:marLeft w:val="0"/>
                                          <w:marRight w:val="0"/>
                                          <w:marTop w:val="0"/>
                                          <w:marBottom w:val="0"/>
                                          <w:divBdr>
                                            <w:top w:val="none" w:sz="0" w:space="0" w:color="auto"/>
                                            <w:left w:val="none" w:sz="0" w:space="0" w:color="auto"/>
                                            <w:bottom w:val="none" w:sz="0" w:space="0" w:color="auto"/>
                                            <w:right w:val="none" w:sz="0" w:space="0" w:color="auto"/>
                                          </w:divBdr>
                                          <w:divsChild>
                                            <w:div w:id="942761131">
                                              <w:marLeft w:val="0"/>
                                              <w:marRight w:val="0"/>
                                              <w:marTop w:val="0"/>
                                              <w:marBottom w:val="0"/>
                                              <w:divBdr>
                                                <w:top w:val="none" w:sz="0" w:space="0" w:color="auto"/>
                                                <w:left w:val="none" w:sz="0" w:space="0" w:color="auto"/>
                                                <w:bottom w:val="none" w:sz="0" w:space="0" w:color="auto"/>
                                                <w:right w:val="none" w:sz="0" w:space="0" w:color="auto"/>
                                              </w:divBdr>
                                              <w:divsChild>
                                                <w:div w:id="131853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8342">
                                          <w:marLeft w:val="0"/>
                                          <w:marRight w:val="0"/>
                                          <w:marTop w:val="0"/>
                                          <w:marBottom w:val="0"/>
                                          <w:divBdr>
                                            <w:top w:val="none" w:sz="0" w:space="0" w:color="auto"/>
                                            <w:left w:val="none" w:sz="0" w:space="0" w:color="auto"/>
                                            <w:bottom w:val="none" w:sz="0" w:space="0" w:color="auto"/>
                                            <w:right w:val="none" w:sz="0" w:space="0" w:color="auto"/>
                                          </w:divBdr>
                                          <w:divsChild>
                                            <w:div w:id="2087148261">
                                              <w:marLeft w:val="0"/>
                                              <w:marRight w:val="0"/>
                                              <w:marTop w:val="0"/>
                                              <w:marBottom w:val="0"/>
                                              <w:divBdr>
                                                <w:top w:val="none" w:sz="0" w:space="0" w:color="auto"/>
                                                <w:left w:val="none" w:sz="0" w:space="0" w:color="auto"/>
                                                <w:bottom w:val="none" w:sz="0" w:space="0" w:color="auto"/>
                                                <w:right w:val="none" w:sz="0" w:space="0" w:color="auto"/>
                                              </w:divBdr>
                                              <w:divsChild>
                                                <w:div w:id="4516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36076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53639786">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85890-E7CF-44CD-AE22-4FA76274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2302</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2020-10-21T21:42:00Z</dcterms:created>
  <dcterms:modified xsi:type="dcterms:W3CDTF">2020-10-21T21:46:00Z</dcterms:modified>
</cp:coreProperties>
</file>