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9B4C2" w14:textId="60930226" w:rsidR="00BF27A0" w:rsidRPr="000E09E0" w:rsidRDefault="008B5D34" w:rsidP="008B5D34">
      <w:pPr>
        <w:pStyle w:val="1MainTitle"/>
        <w:ind w:left="1440" w:hanging="1440"/>
        <w:jc w:val="left"/>
        <w:rPr>
          <w:rFonts w:eastAsia="Calibri"/>
          <w:lang w:eastAsia="en-US"/>
        </w:rPr>
      </w:pPr>
      <w:bookmarkStart w:id="0" w:name="_GoBack"/>
      <w:bookmarkEnd w:id="0"/>
      <w:r w:rsidRPr="000E09E0">
        <w:rPr>
          <w:rFonts w:eastAsia="Calibri"/>
          <w:lang w:eastAsia="en-US"/>
        </w:rPr>
        <w:t>14.03(g)</w:t>
      </w:r>
      <w:r w:rsidRPr="000E09E0">
        <w:rPr>
          <w:rFonts w:eastAsia="Calibri"/>
          <w:lang w:eastAsia="en-US"/>
        </w:rPr>
        <w:tab/>
        <w:t>TOPOTECAN</w:t>
      </w:r>
      <w:r w:rsidR="00BF27A0" w:rsidRPr="000E09E0">
        <w:rPr>
          <w:rFonts w:eastAsia="Calibri"/>
          <w:lang w:eastAsia="en-US"/>
        </w:rPr>
        <w:t>,</w:t>
      </w:r>
      <w:r w:rsidR="00F82E5C" w:rsidRPr="000E09E0">
        <w:rPr>
          <w:rFonts w:eastAsia="Calibri"/>
          <w:lang w:eastAsia="en-US"/>
        </w:rPr>
        <w:t xml:space="preserve"> </w:t>
      </w:r>
      <w:r w:rsidR="005E0D82" w:rsidRPr="000E09E0">
        <w:rPr>
          <w:rFonts w:eastAsia="Calibri"/>
          <w:lang w:eastAsia="en-US"/>
        </w:rPr>
        <w:br/>
      </w:r>
      <w:r w:rsidR="004C18F4">
        <w:rPr>
          <w:rFonts w:eastAsia="Calibri"/>
          <w:lang w:eastAsia="en-US"/>
        </w:rPr>
        <w:t>Solution concentrate</w:t>
      </w:r>
      <w:r w:rsidR="004C18F4" w:rsidRPr="000E09E0">
        <w:rPr>
          <w:rFonts w:eastAsia="Calibri"/>
          <w:lang w:eastAsia="en-US"/>
        </w:rPr>
        <w:t xml:space="preserve"> </w:t>
      </w:r>
      <w:r w:rsidRPr="000E09E0">
        <w:rPr>
          <w:rFonts w:eastAsia="Calibri"/>
          <w:lang w:eastAsia="en-US"/>
        </w:rPr>
        <w:t>for I.V. infusion 4 mg</w:t>
      </w:r>
      <w:r w:rsidR="004C18F4">
        <w:rPr>
          <w:rFonts w:eastAsia="Calibri"/>
          <w:lang w:eastAsia="en-US"/>
        </w:rPr>
        <w:t xml:space="preserve"> in 4 mL</w:t>
      </w:r>
      <w:r w:rsidRPr="000E09E0">
        <w:rPr>
          <w:rFonts w:eastAsia="Calibri"/>
          <w:lang w:eastAsia="en-US"/>
        </w:rPr>
        <w:t xml:space="preserve"> (as hydrochloride)</w:t>
      </w:r>
      <w:r w:rsidR="00893B1E" w:rsidRPr="000E09E0">
        <w:rPr>
          <w:rFonts w:eastAsia="Calibri"/>
          <w:lang w:eastAsia="en-US"/>
        </w:rPr>
        <w:t xml:space="preserve">, </w:t>
      </w:r>
      <w:r w:rsidR="005E0D82" w:rsidRPr="000E09E0">
        <w:rPr>
          <w:rFonts w:eastAsia="Calibri"/>
          <w:lang w:eastAsia="en-US"/>
        </w:rPr>
        <w:br/>
      </w:r>
      <w:r w:rsidRPr="000E09E0">
        <w:rPr>
          <w:rFonts w:eastAsia="Calibri"/>
          <w:lang w:eastAsia="en-US"/>
        </w:rPr>
        <w:t>Topotecan Accord</w:t>
      </w:r>
      <w:r w:rsidRPr="000E09E0">
        <w:rPr>
          <w:rFonts w:eastAsia="Calibri" w:cstheme="minorHAnsi"/>
          <w:vertAlign w:val="superscript"/>
          <w:lang w:eastAsia="en-US"/>
        </w:rPr>
        <w:t>®</w:t>
      </w:r>
      <w:r w:rsidR="006D3169" w:rsidRPr="000E09E0">
        <w:rPr>
          <w:rFonts w:eastAsia="Calibri"/>
          <w:lang w:eastAsia="en-US"/>
        </w:rPr>
        <w:t xml:space="preserve">, </w:t>
      </w:r>
      <w:r w:rsidR="005E0D82" w:rsidRPr="000E09E0">
        <w:rPr>
          <w:rFonts w:eastAsia="Calibri"/>
          <w:lang w:eastAsia="en-US"/>
        </w:rPr>
        <w:br/>
      </w:r>
      <w:r w:rsidRPr="000E09E0">
        <w:rPr>
          <w:rFonts w:eastAsia="Calibri"/>
          <w:lang w:eastAsia="en-US"/>
        </w:rPr>
        <w:t>Accord Healthcare</w:t>
      </w:r>
    </w:p>
    <w:p w14:paraId="0596616F" w14:textId="77777777" w:rsidR="008A50F1" w:rsidRPr="000E09E0" w:rsidRDefault="00CE10C4" w:rsidP="008F0213">
      <w:pPr>
        <w:pStyle w:val="2-SectionHeading"/>
      </w:pPr>
      <w:r w:rsidRPr="000E09E0">
        <w:t xml:space="preserve">Purpose of </w:t>
      </w:r>
      <w:r w:rsidR="0004240E" w:rsidRPr="000E09E0">
        <w:t>Application</w:t>
      </w:r>
      <w:r w:rsidR="00034905" w:rsidRPr="000E09E0">
        <w:t xml:space="preserve"> </w:t>
      </w:r>
    </w:p>
    <w:p w14:paraId="00EA5C1D" w14:textId="44312D19" w:rsidR="006A12A5" w:rsidRPr="000E09E0" w:rsidRDefault="00EF44A0" w:rsidP="00BF6DD3">
      <w:pPr>
        <w:pStyle w:val="3Bodytext"/>
        <w:jc w:val="both"/>
      </w:pPr>
      <w:r w:rsidRPr="000E09E0">
        <w:t xml:space="preserve">The </w:t>
      </w:r>
      <w:r w:rsidR="00377175" w:rsidRPr="000E09E0">
        <w:t xml:space="preserve">committee secretariat </w:t>
      </w:r>
      <w:r w:rsidR="00576519" w:rsidRPr="000E09E0">
        <w:t>submission requested</w:t>
      </w:r>
      <w:r w:rsidR="007D5786" w:rsidRPr="000E09E0">
        <w:t xml:space="preserve"> </w:t>
      </w:r>
      <w:r w:rsidR="00687C83" w:rsidRPr="000E09E0">
        <w:t>a Section 100 (E</w:t>
      </w:r>
      <w:r w:rsidR="00C35BA4" w:rsidRPr="000E09E0">
        <w:t xml:space="preserve">fficient </w:t>
      </w:r>
      <w:r w:rsidR="00687C83" w:rsidRPr="000E09E0">
        <w:t>F</w:t>
      </w:r>
      <w:r w:rsidR="00C35BA4" w:rsidRPr="000E09E0">
        <w:t xml:space="preserve">unding of </w:t>
      </w:r>
      <w:r w:rsidR="00687C83" w:rsidRPr="000E09E0">
        <w:t>C</w:t>
      </w:r>
      <w:r w:rsidR="00C35BA4" w:rsidRPr="000E09E0">
        <w:t>hemotherapy Program</w:t>
      </w:r>
      <w:r w:rsidR="00687C83" w:rsidRPr="000E09E0">
        <w:t>), Authority Required (STREAML</w:t>
      </w:r>
      <w:r w:rsidR="00362199" w:rsidRPr="000E09E0">
        <w:t>INED) listing of a new form</w:t>
      </w:r>
      <w:r w:rsidR="00BF6DD3" w:rsidRPr="000E09E0">
        <w:t xml:space="preserve"> </w:t>
      </w:r>
      <w:r w:rsidR="00EE4C5B" w:rsidRPr="000E09E0">
        <w:t>of topotecan</w:t>
      </w:r>
      <w:r w:rsidR="00687C83" w:rsidRPr="000E09E0">
        <w:t xml:space="preserve"> </w:t>
      </w:r>
      <w:r w:rsidR="00EE4C5B" w:rsidRPr="000E09E0">
        <w:t>(referred to as Topotecan Accord</w:t>
      </w:r>
      <w:r w:rsidR="00EE4C5B" w:rsidRPr="000E09E0">
        <w:rPr>
          <w:rFonts w:cstheme="minorHAnsi"/>
        </w:rPr>
        <w:t>® from herein</w:t>
      </w:r>
      <w:r w:rsidR="00EE4C5B" w:rsidRPr="000E09E0">
        <w:t xml:space="preserve">) </w:t>
      </w:r>
      <w:r w:rsidR="00687C83" w:rsidRPr="000E09E0">
        <w:t>under the same conditions as the existing brand Hycamtin</w:t>
      </w:r>
      <w:r w:rsidR="00687C83" w:rsidRPr="000E09E0">
        <w:rPr>
          <w:rFonts w:cstheme="minorHAnsi"/>
        </w:rPr>
        <w:t>®</w:t>
      </w:r>
      <w:r w:rsidR="00687C83" w:rsidRPr="000E09E0">
        <w:t>.</w:t>
      </w:r>
    </w:p>
    <w:p w14:paraId="34CA006F" w14:textId="77777777" w:rsidR="00A01432" w:rsidRPr="000E09E0" w:rsidRDefault="00A01432" w:rsidP="006F0A71">
      <w:pPr>
        <w:pStyle w:val="2-SectionHeading"/>
      </w:pPr>
      <w:r w:rsidRPr="000E09E0">
        <w:t xml:space="preserve">Background </w:t>
      </w:r>
    </w:p>
    <w:p w14:paraId="4C4AFCF8" w14:textId="77777777" w:rsidR="00A01432" w:rsidRPr="000E09E0" w:rsidRDefault="00A01432" w:rsidP="00B16273">
      <w:pPr>
        <w:pStyle w:val="4-SubsectionHeading"/>
      </w:pPr>
      <w:r w:rsidRPr="000E09E0">
        <w:t>Registration status</w:t>
      </w:r>
    </w:p>
    <w:p w14:paraId="5E4E12E3" w14:textId="6727A16B" w:rsidR="00A01432" w:rsidRPr="000E09E0" w:rsidRDefault="00B31409" w:rsidP="00B31409">
      <w:pPr>
        <w:pStyle w:val="3Bodytext"/>
        <w:jc w:val="both"/>
      </w:pPr>
      <w:r w:rsidRPr="000E09E0">
        <w:t>Topotecan Accord</w:t>
      </w:r>
      <w:r w:rsidR="00A01432" w:rsidRPr="000E09E0">
        <w:t xml:space="preserve"> was</w:t>
      </w:r>
      <w:r w:rsidRPr="000E09E0">
        <w:t xml:space="preserve"> TGA registered on 4 December 2019</w:t>
      </w:r>
      <w:r w:rsidR="00A01432" w:rsidRPr="000E09E0">
        <w:t xml:space="preserve"> </w:t>
      </w:r>
      <w:r w:rsidRPr="000E09E0">
        <w:t>as a single agent for the treatment of metastatic carcinoma of the ovary after failure of first-line of subsequent therapy. It is also indicated</w:t>
      </w:r>
      <w:r w:rsidR="00D946F2" w:rsidRPr="000E09E0">
        <w:t xml:space="preserve"> for the treatment of small cell lung carcinoma after failure of first line chemotherapy, and</w:t>
      </w:r>
      <w:r w:rsidRPr="000E09E0">
        <w:t xml:space="preserve"> in combination with cisplatin for the treatment of patients with histologically confirmed Stage IC-B, recurrent, or persistent carcinoma of the cervix, which is not amenable to curative treatment with su</w:t>
      </w:r>
      <w:r w:rsidR="00D60FA3" w:rsidRPr="000E09E0">
        <w:t>rgery and/or radiation therapy.</w:t>
      </w:r>
    </w:p>
    <w:p w14:paraId="0AEFAAD0" w14:textId="3899179A" w:rsidR="00D60FA3" w:rsidRPr="000E09E0" w:rsidRDefault="00362199" w:rsidP="00B31409">
      <w:pPr>
        <w:pStyle w:val="3Bodytext"/>
        <w:jc w:val="both"/>
      </w:pPr>
      <w:r w:rsidRPr="000E09E0">
        <w:t>The TGA also noted the new form of</w:t>
      </w:r>
      <w:r w:rsidR="00D60FA3" w:rsidRPr="000E09E0">
        <w:t xml:space="preserve"> topotecan (as hydrochloride) concentrated injection included data that established to the TGA’s satisfaction that the products can be considered bioequivalent to Hycamtin topotecan (as hydrochloride) powder for injection. </w:t>
      </w:r>
    </w:p>
    <w:p w14:paraId="25AFB508" w14:textId="77777777" w:rsidR="00A01432" w:rsidRPr="000E09E0" w:rsidRDefault="00A01432" w:rsidP="00B16273">
      <w:pPr>
        <w:pStyle w:val="4-SubsectionHeading"/>
      </w:pPr>
      <w:r w:rsidRPr="000E09E0">
        <w:t xml:space="preserve">Previous PBAC consideration </w:t>
      </w:r>
    </w:p>
    <w:p w14:paraId="3C699DDB" w14:textId="285A6E70" w:rsidR="00A01432" w:rsidRPr="000E09E0" w:rsidRDefault="00600F3C" w:rsidP="009A1728">
      <w:pPr>
        <w:pStyle w:val="3Bodytext"/>
        <w:jc w:val="both"/>
        <w:rPr>
          <w:i/>
        </w:rPr>
      </w:pPr>
      <w:r w:rsidRPr="000E09E0">
        <w:t xml:space="preserve">The </w:t>
      </w:r>
      <w:r w:rsidR="00622DB0">
        <w:t>concentrated solution</w:t>
      </w:r>
      <w:r w:rsidRPr="000E09E0">
        <w:t xml:space="preserve"> formulation of topotecan </w:t>
      </w:r>
      <w:r w:rsidR="00A01432" w:rsidRPr="000E09E0">
        <w:t>has not been consider</w:t>
      </w:r>
      <w:r w:rsidR="00B0540C" w:rsidRPr="000E09E0">
        <w:t xml:space="preserve">ed by the PBAC </w:t>
      </w:r>
      <w:r w:rsidR="00A01432" w:rsidRPr="000E09E0">
        <w:t xml:space="preserve">previously. </w:t>
      </w:r>
    </w:p>
    <w:p w14:paraId="3DDDF18B" w14:textId="4B426A5A" w:rsidR="005A58B5" w:rsidRPr="000E09E0" w:rsidRDefault="005A58B5" w:rsidP="005A58B5">
      <w:pPr>
        <w:pStyle w:val="3Bodytext"/>
        <w:numPr>
          <w:ilvl w:val="0"/>
          <w:numId w:val="0"/>
        </w:numPr>
        <w:ind w:left="720"/>
        <w:rPr>
          <w:i/>
        </w:rPr>
      </w:pPr>
      <w:r w:rsidRPr="000E09E0">
        <w:rPr>
          <w:i/>
        </w:rPr>
        <w:t>For more detail on PBAC’s view, see section 6 PBAC outcome.</w:t>
      </w:r>
    </w:p>
    <w:p w14:paraId="4C732A79" w14:textId="77777777" w:rsidR="00B17EE5" w:rsidRPr="000E09E0" w:rsidRDefault="00B17EE5" w:rsidP="00917D69">
      <w:pPr>
        <w:pStyle w:val="2-SectionHeading"/>
      </w:pPr>
      <w:r w:rsidRPr="000E09E0">
        <w:t>Requested listing</w:t>
      </w:r>
    </w:p>
    <w:p w14:paraId="451CDC80" w14:textId="0C70D9A8" w:rsidR="00B76761" w:rsidRPr="000E09E0" w:rsidRDefault="00B17EE5" w:rsidP="009A1728">
      <w:pPr>
        <w:pStyle w:val="3Bodytext"/>
        <w:jc w:val="both"/>
      </w:pPr>
      <w:r w:rsidRPr="000E09E0">
        <w:t>The submission requeste</w:t>
      </w:r>
      <w:r w:rsidR="00687643" w:rsidRPr="000E09E0">
        <w:t xml:space="preserve">d </w:t>
      </w:r>
      <w:r w:rsidR="004A2A9E" w:rsidRPr="000E09E0">
        <w:t>the</w:t>
      </w:r>
      <w:r w:rsidR="008A0939" w:rsidRPr="000E09E0">
        <w:t xml:space="preserve"> same</w:t>
      </w:r>
      <w:r w:rsidR="004A2A9E" w:rsidRPr="000E09E0">
        <w:t xml:space="preserve"> listing </w:t>
      </w:r>
      <w:r w:rsidR="008A0939" w:rsidRPr="000E09E0">
        <w:t xml:space="preserve">as the </w:t>
      </w:r>
      <w:r w:rsidR="004A2A9E" w:rsidRPr="000E09E0">
        <w:t>Hycamtin</w:t>
      </w:r>
      <w:r w:rsidR="008A0939" w:rsidRPr="000E09E0">
        <w:t xml:space="preserve"> branded topotecan product as shown below:</w:t>
      </w:r>
      <w:r w:rsidR="004A2A9E" w:rsidRPr="000E09E0">
        <w:t xml:space="preserve"> </w:t>
      </w:r>
    </w:p>
    <w:tbl>
      <w:tblPr>
        <w:tblW w:w="5000" w:type="pct"/>
        <w:tblLayout w:type="fixed"/>
        <w:tblLook w:val="0000" w:firstRow="0" w:lastRow="0" w:firstColumn="0" w:lastColumn="0" w:noHBand="0" w:noVBand="0"/>
      </w:tblPr>
      <w:tblGrid>
        <w:gridCol w:w="3298"/>
        <w:gridCol w:w="1282"/>
        <w:gridCol w:w="971"/>
        <w:gridCol w:w="760"/>
        <w:gridCol w:w="1188"/>
        <w:gridCol w:w="76"/>
        <w:gridCol w:w="1451"/>
      </w:tblGrid>
      <w:tr w:rsidR="00DD1499" w:rsidRPr="000E09E0" w14:paraId="397C0842" w14:textId="77777777" w:rsidTr="00E44E4B">
        <w:trPr>
          <w:cantSplit/>
          <w:trHeight w:val="471"/>
        </w:trPr>
        <w:tc>
          <w:tcPr>
            <w:tcW w:w="1827" w:type="pct"/>
            <w:tcBorders>
              <w:bottom w:val="single" w:sz="4" w:space="0" w:color="auto"/>
            </w:tcBorders>
          </w:tcPr>
          <w:p w14:paraId="7F43EB6B" w14:textId="77777777" w:rsidR="00B76761" w:rsidRPr="000E09E0" w:rsidRDefault="00B76761" w:rsidP="00031B3A">
            <w:pPr>
              <w:keepNext/>
              <w:ind w:left="-108"/>
              <w:rPr>
                <w:rFonts w:ascii="Arial Narrow" w:hAnsi="Arial Narrow" w:cs="Arial"/>
                <w:b/>
                <w:sz w:val="18"/>
                <w:szCs w:val="18"/>
              </w:rPr>
            </w:pPr>
            <w:r w:rsidRPr="000E09E0">
              <w:rPr>
                <w:rFonts w:ascii="Arial Narrow" w:hAnsi="Arial Narrow" w:cs="Arial"/>
                <w:b/>
                <w:sz w:val="18"/>
                <w:szCs w:val="18"/>
              </w:rPr>
              <w:lastRenderedPageBreak/>
              <w:t>Name, Restriction,</w:t>
            </w:r>
          </w:p>
          <w:p w14:paraId="6BAB6EAA" w14:textId="77777777" w:rsidR="00B76761" w:rsidRPr="000E09E0" w:rsidRDefault="00B76761" w:rsidP="00031B3A">
            <w:pPr>
              <w:keepNext/>
              <w:ind w:left="-108"/>
              <w:rPr>
                <w:rFonts w:ascii="Arial Narrow" w:hAnsi="Arial Narrow" w:cs="Arial"/>
                <w:b/>
                <w:sz w:val="18"/>
                <w:szCs w:val="18"/>
              </w:rPr>
            </w:pPr>
            <w:r w:rsidRPr="000E09E0">
              <w:rPr>
                <w:rFonts w:ascii="Arial Narrow" w:hAnsi="Arial Narrow" w:cs="Arial"/>
                <w:b/>
                <w:sz w:val="18"/>
                <w:szCs w:val="18"/>
              </w:rPr>
              <w:t>Manner of administration and form</w:t>
            </w:r>
          </w:p>
        </w:tc>
        <w:tc>
          <w:tcPr>
            <w:tcW w:w="710" w:type="pct"/>
            <w:tcBorders>
              <w:bottom w:val="single" w:sz="4" w:space="0" w:color="auto"/>
            </w:tcBorders>
          </w:tcPr>
          <w:p w14:paraId="14FD61FD" w14:textId="77777777" w:rsidR="008A0939" w:rsidRPr="000E09E0" w:rsidRDefault="00B76761" w:rsidP="00031B3A">
            <w:pPr>
              <w:keepNext/>
              <w:ind w:left="-108"/>
              <w:jc w:val="center"/>
              <w:rPr>
                <w:rFonts w:ascii="Arial Narrow" w:hAnsi="Arial Narrow" w:cs="Arial"/>
                <w:b/>
                <w:sz w:val="18"/>
                <w:szCs w:val="18"/>
              </w:rPr>
            </w:pPr>
            <w:r w:rsidRPr="000E09E0">
              <w:rPr>
                <w:rFonts w:ascii="Arial Narrow" w:hAnsi="Arial Narrow" w:cs="Arial"/>
                <w:b/>
                <w:sz w:val="18"/>
                <w:szCs w:val="18"/>
              </w:rPr>
              <w:t xml:space="preserve">PBS item </w:t>
            </w:r>
          </w:p>
          <w:p w14:paraId="2AC16745" w14:textId="78D4C102" w:rsidR="00B76761" w:rsidRPr="000E09E0" w:rsidRDefault="00B76761" w:rsidP="00031B3A">
            <w:pPr>
              <w:keepNext/>
              <w:ind w:left="-108"/>
              <w:jc w:val="center"/>
              <w:rPr>
                <w:rFonts w:ascii="Arial Narrow" w:hAnsi="Arial Narrow" w:cs="Arial"/>
                <w:b/>
                <w:sz w:val="18"/>
                <w:szCs w:val="18"/>
              </w:rPr>
            </w:pPr>
            <w:r w:rsidRPr="000E09E0">
              <w:rPr>
                <w:rFonts w:ascii="Arial Narrow" w:hAnsi="Arial Narrow" w:cs="Arial"/>
                <w:b/>
                <w:sz w:val="18"/>
                <w:szCs w:val="18"/>
              </w:rPr>
              <w:t>code</w:t>
            </w:r>
          </w:p>
        </w:tc>
        <w:tc>
          <w:tcPr>
            <w:tcW w:w="538" w:type="pct"/>
            <w:tcBorders>
              <w:bottom w:val="single" w:sz="4" w:space="0" w:color="auto"/>
            </w:tcBorders>
          </w:tcPr>
          <w:p w14:paraId="489CAD97" w14:textId="655D9B98" w:rsidR="00DD1499" w:rsidRPr="000E09E0" w:rsidRDefault="00A55819" w:rsidP="00DD1499">
            <w:pPr>
              <w:keepNext/>
              <w:ind w:left="-272"/>
              <w:jc w:val="center"/>
              <w:rPr>
                <w:rFonts w:ascii="Arial Narrow" w:hAnsi="Arial Narrow" w:cs="Arial"/>
                <w:b/>
                <w:sz w:val="18"/>
                <w:szCs w:val="18"/>
              </w:rPr>
            </w:pPr>
            <w:r>
              <w:rPr>
                <w:rFonts w:ascii="Arial Narrow" w:hAnsi="Arial Narrow" w:cs="Arial"/>
                <w:b/>
                <w:sz w:val="18"/>
                <w:szCs w:val="18"/>
              </w:rPr>
              <w:t>Max.</w:t>
            </w:r>
          </w:p>
          <w:p w14:paraId="58A3911D" w14:textId="0132ACA7" w:rsidR="00B76761" w:rsidRPr="000E09E0" w:rsidRDefault="00B76761" w:rsidP="00DD1499">
            <w:pPr>
              <w:keepNext/>
              <w:ind w:left="-272"/>
              <w:jc w:val="center"/>
              <w:rPr>
                <w:rFonts w:ascii="Arial Narrow" w:hAnsi="Arial Narrow" w:cs="Arial"/>
                <w:b/>
                <w:sz w:val="18"/>
                <w:szCs w:val="18"/>
              </w:rPr>
            </w:pPr>
            <w:r w:rsidRPr="000E09E0">
              <w:rPr>
                <w:rFonts w:ascii="Arial Narrow" w:hAnsi="Arial Narrow" w:cs="Arial"/>
                <w:b/>
                <w:sz w:val="18"/>
                <w:szCs w:val="18"/>
              </w:rPr>
              <w:t>a</w:t>
            </w:r>
            <w:r w:rsidR="00DD1499" w:rsidRPr="000E09E0">
              <w:rPr>
                <w:rFonts w:ascii="Arial Narrow" w:hAnsi="Arial Narrow" w:cs="Arial"/>
                <w:b/>
                <w:sz w:val="18"/>
                <w:szCs w:val="18"/>
              </w:rPr>
              <w:t>mt</w:t>
            </w:r>
          </w:p>
        </w:tc>
        <w:tc>
          <w:tcPr>
            <w:tcW w:w="421" w:type="pct"/>
            <w:tcBorders>
              <w:bottom w:val="single" w:sz="4" w:space="0" w:color="auto"/>
            </w:tcBorders>
          </w:tcPr>
          <w:p w14:paraId="5A02D859" w14:textId="77777777" w:rsidR="00B76761" w:rsidRPr="000E09E0" w:rsidRDefault="00B76761" w:rsidP="00B76761">
            <w:pPr>
              <w:keepNext/>
              <w:ind w:left="-108"/>
              <w:jc w:val="center"/>
              <w:rPr>
                <w:rFonts w:ascii="Arial Narrow" w:hAnsi="Arial Narrow" w:cs="Arial"/>
                <w:b/>
                <w:sz w:val="18"/>
                <w:szCs w:val="18"/>
              </w:rPr>
            </w:pPr>
            <w:r w:rsidRPr="000E09E0">
              <w:rPr>
                <w:rFonts w:ascii="Arial Narrow" w:hAnsi="Arial Narrow" w:cs="Arial"/>
                <w:b/>
                <w:sz w:val="18"/>
                <w:szCs w:val="18"/>
              </w:rPr>
              <w:t>№.of</w:t>
            </w:r>
          </w:p>
          <w:p w14:paraId="1602F794" w14:textId="3A32BEA6" w:rsidR="00B76761" w:rsidRPr="000E09E0" w:rsidRDefault="00B76761" w:rsidP="00B76761">
            <w:pPr>
              <w:keepNext/>
              <w:ind w:left="-108"/>
              <w:jc w:val="center"/>
              <w:rPr>
                <w:rFonts w:ascii="Arial Narrow" w:hAnsi="Arial Narrow" w:cs="Arial"/>
                <w:b/>
                <w:sz w:val="18"/>
                <w:szCs w:val="18"/>
              </w:rPr>
            </w:pPr>
            <w:r w:rsidRPr="000E09E0">
              <w:rPr>
                <w:rFonts w:ascii="Arial Narrow" w:hAnsi="Arial Narrow" w:cs="Arial"/>
                <w:b/>
                <w:sz w:val="18"/>
                <w:szCs w:val="18"/>
              </w:rPr>
              <w:t>Rpts</w:t>
            </w:r>
          </w:p>
        </w:tc>
        <w:tc>
          <w:tcPr>
            <w:tcW w:w="658" w:type="pct"/>
            <w:tcBorders>
              <w:bottom w:val="single" w:sz="4" w:space="0" w:color="auto"/>
            </w:tcBorders>
          </w:tcPr>
          <w:p w14:paraId="687769EE" w14:textId="10440562" w:rsidR="00B76761" w:rsidRPr="000E09E0" w:rsidRDefault="00B76761" w:rsidP="00031B3A">
            <w:pPr>
              <w:keepNext/>
              <w:ind w:left="-108"/>
              <w:jc w:val="center"/>
              <w:rPr>
                <w:rFonts w:ascii="Arial Narrow" w:hAnsi="Arial Narrow" w:cs="Arial"/>
                <w:b/>
                <w:sz w:val="18"/>
                <w:szCs w:val="18"/>
              </w:rPr>
            </w:pPr>
            <w:r w:rsidRPr="000E09E0">
              <w:rPr>
                <w:rFonts w:ascii="Arial Narrow" w:hAnsi="Arial Narrow" w:cs="Arial"/>
                <w:b/>
                <w:sz w:val="18"/>
                <w:szCs w:val="18"/>
              </w:rPr>
              <w:t>DPMA</w:t>
            </w:r>
          </w:p>
        </w:tc>
        <w:tc>
          <w:tcPr>
            <w:tcW w:w="846" w:type="pct"/>
            <w:gridSpan w:val="2"/>
            <w:tcBorders>
              <w:bottom w:val="single" w:sz="4" w:space="0" w:color="auto"/>
            </w:tcBorders>
          </w:tcPr>
          <w:p w14:paraId="4827C9F8" w14:textId="1B319428" w:rsidR="00B76761" w:rsidRPr="000E09E0" w:rsidRDefault="00B76761" w:rsidP="00031B3A">
            <w:pPr>
              <w:keepNext/>
              <w:rPr>
                <w:rFonts w:ascii="Arial Narrow" w:hAnsi="Arial Narrow" w:cs="Arial"/>
                <w:b/>
                <w:sz w:val="18"/>
                <w:szCs w:val="18"/>
              </w:rPr>
            </w:pPr>
            <w:r w:rsidRPr="000E09E0">
              <w:rPr>
                <w:rFonts w:ascii="Arial Narrow" w:hAnsi="Arial Narrow" w:cs="Arial"/>
                <w:b/>
                <w:sz w:val="18"/>
                <w:szCs w:val="18"/>
              </w:rPr>
              <w:t>Manufacturer</w:t>
            </w:r>
          </w:p>
        </w:tc>
      </w:tr>
      <w:tr w:rsidR="00DD1499" w:rsidRPr="000E09E0" w14:paraId="054190A6" w14:textId="77777777" w:rsidTr="00E44E4B">
        <w:trPr>
          <w:cantSplit/>
          <w:trHeight w:val="514"/>
        </w:trPr>
        <w:tc>
          <w:tcPr>
            <w:tcW w:w="1827" w:type="pct"/>
            <w:tcBorders>
              <w:top w:val="single" w:sz="4" w:space="0" w:color="auto"/>
            </w:tcBorders>
          </w:tcPr>
          <w:p w14:paraId="6655ABA8" w14:textId="18DC8C0F" w:rsidR="00B76761" w:rsidRPr="000E09E0" w:rsidRDefault="00B76761">
            <w:pPr>
              <w:keepNext/>
              <w:ind w:left="-108"/>
              <w:rPr>
                <w:rFonts w:ascii="Arial Narrow" w:hAnsi="Arial Narrow" w:cs="Arial"/>
                <w:sz w:val="18"/>
                <w:szCs w:val="18"/>
              </w:rPr>
            </w:pPr>
            <w:r w:rsidRPr="000E09E0">
              <w:rPr>
                <w:rFonts w:ascii="Arial Narrow" w:hAnsi="Arial Narrow" w:cs="Arial"/>
                <w:smallCaps/>
                <w:sz w:val="18"/>
                <w:szCs w:val="18"/>
              </w:rPr>
              <w:t>TOPOTECAN</w:t>
            </w:r>
          </w:p>
          <w:p w14:paraId="7FA74A82" w14:textId="200BCA4A" w:rsidR="00B76761" w:rsidRPr="000E09E0" w:rsidRDefault="00671F54">
            <w:pPr>
              <w:keepNext/>
              <w:ind w:left="-108"/>
              <w:rPr>
                <w:rFonts w:ascii="Arial Narrow" w:hAnsi="Arial Narrow" w:cs="Arial"/>
                <w:sz w:val="18"/>
                <w:szCs w:val="18"/>
              </w:rPr>
            </w:pPr>
            <w:r w:rsidRPr="000E09E0">
              <w:rPr>
                <w:rFonts w:ascii="Arial Narrow" w:hAnsi="Arial Narrow" w:cs="Arial"/>
                <w:sz w:val="18"/>
                <w:szCs w:val="18"/>
              </w:rPr>
              <w:t>Injection</w:t>
            </w:r>
          </w:p>
        </w:tc>
        <w:tc>
          <w:tcPr>
            <w:tcW w:w="710" w:type="pct"/>
            <w:tcBorders>
              <w:top w:val="single" w:sz="4" w:space="0" w:color="auto"/>
            </w:tcBorders>
          </w:tcPr>
          <w:p w14:paraId="4FE24E71" w14:textId="6AC90903" w:rsidR="00B76761" w:rsidRPr="000E09E0" w:rsidRDefault="00B76761" w:rsidP="00DD1499">
            <w:pPr>
              <w:keepNext/>
              <w:ind w:left="-108"/>
              <w:jc w:val="center"/>
              <w:rPr>
                <w:rFonts w:ascii="Arial Narrow" w:hAnsi="Arial Narrow" w:cs="Arial"/>
                <w:sz w:val="18"/>
                <w:szCs w:val="18"/>
              </w:rPr>
            </w:pPr>
            <w:r w:rsidRPr="000E09E0">
              <w:rPr>
                <w:rFonts w:ascii="Arial Narrow" w:hAnsi="Arial Narrow" w:cs="Arial"/>
                <w:sz w:val="18"/>
                <w:szCs w:val="18"/>
              </w:rPr>
              <w:t>4617B  (Public)</w:t>
            </w:r>
          </w:p>
          <w:p w14:paraId="37E83093" w14:textId="4FFF94A2" w:rsidR="00B76761" w:rsidRPr="000E09E0" w:rsidRDefault="00B76761" w:rsidP="00DD1499">
            <w:pPr>
              <w:keepNext/>
              <w:ind w:left="-108"/>
              <w:jc w:val="center"/>
              <w:rPr>
                <w:rFonts w:ascii="Arial Narrow" w:hAnsi="Arial Narrow" w:cs="Arial"/>
                <w:sz w:val="18"/>
                <w:szCs w:val="18"/>
              </w:rPr>
            </w:pPr>
            <w:r w:rsidRPr="000E09E0">
              <w:rPr>
                <w:rFonts w:ascii="Arial Narrow" w:hAnsi="Arial Narrow" w:cs="Arial"/>
                <w:sz w:val="18"/>
                <w:szCs w:val="18"/>
              </w:rPr>
              <w:t>7260D (Private)</w:t>
            </w:r>
          </w:p>
        </w:tc>
        <w:tc>
          <w:tcPr>
            <w:tcW w:w="538" w:type="pct"/>
            <w:tcBorders>
              <w:top w:val="single" w:sz="4" w:space="0" w:color="auto"/>
            </w:tcBorders>
          </w:tcPr>
          <w:p w14:paraId="42E8C016" w14:textId="291C3E78" w:rsidR="00B76761" w:rsidRPr="000E09E0" w:rsidRDefault="00B76761" w:rsidP="00DD1499">
            <w:pPr>
              <w:keepNext/>
              <w:jc w:val="left"/>
              <w:rPr>
                <w:rFonts w:ascii="Arial Narrow" w:hAnsi="Arial Narrow" w:cs="Arial"/>
                <w:sz w:val="18"/>
                <w:szCs w:val="18"/>
              </w:rPr>
            </w:pPr>
            <w:r w:rsidRPr="000E09E0">
              <w:rPr>
                <w:rFonts w:ascii="Arial Narrow" w:hAnsi="Arial Narrow" w:cs="Arial"/>
                <w:sz w:val="18"/>
                <w:szCs w:val="18"/>
              </w:rPr>
              <w:t>3500</w:t>
            </w:r>
            <w:r w:rsidR="00DD1499" w:rsidRPr="000E09E0">
              <w:rPr>
                <w:rFonts w:ascii="Arial Narrow" w:hAnsi="Arial Narrow" w:cs="Arial"/>
                <w:sz w:val="18"/>
                <w:szCs w:val="18"/>
              </w:rPr>
              <w:t xml:space="preserve"> </w:t>
            </w:r>
            <w:r w:rsidRPr="000E09E0">
              <w:rPr>
                <w:rFonts w:ascii="Arial Narrow" w:hAnsi="Arial Narrow" w:cs="Arial"/>
                <w:sz w:val="18"/>
                <w:szCs w:val="18"/>
              </w:rPr>
              <w:t>mcg</w:t>
            </w:r>
          </w:p>
        </w:tc>
        <w:tc>
          <w:tcPr>
            <w:tcW w:w="421" w:type="pct"/>
            <w:tcBorders>
              <w:top w:val="single" w:sz="4" w:space="0" w:color="auto"/>
            </w:tcBorders>
          </w:tcPr>
          <w:p w14:paraId="7409CDEB" w14:textId="13DDEA87" w:rsidR="00B76761" w:rsidRPr="000E09E0" w:rsidRDefault="00B76761" w:rsidP="00031B3A">
            <w:pPr>
              <w:keepNext/>
              <w:ind w:left="-108"/>
              <w:jc w:val="center"/>
              <w:rPr>
                <w:rFonts w:ascii="Arial Narrow" w:hAnsi="Arial Narrow" w:cs="Arial"/>
                <w:sz w:val="18"/>
                <w:szCs w:val="18"/>
              </w:rPr>
            </w:pPr>
            <w:r w:rsidRPr="000E09E0">
              <w:rPr>
                <w:rFonts w:ascii="Arial Narrow" w:hAnsi="Arial Narrow" w:cs="Arial"/>
                <w:sz w:val="18"/>
                <w:szCs w:val="18"/>
              </w:rPr>
              <w:t>17</w:t>
            </w:r>
          </w:p>
        </w:tc>
        <w:tc>
          <w:tcPr>
            <w:tcW w:w="700" w:type="pct"/>
            <w:gridSpan w:val="2"/>
            <w:tcBorders>
              <w:top w:val="single" w:sz="4" w:space="0" w:color="auto"/>
            </w:tcBorders>
          </w:tcPr>
          <w:p w14:paraId="1F5D30A6" w14:textId="77777777" w:rsidR="00B76761" w:rsidRPr="000E09E0" w:rsidRDefault="00B76761" w:rsidP="00031B3A">
            <w:pPr>
              <w:keepNext/>
              <w:ind w:left="-108"/>
              <w:jc w:val="center"/>
              <w:rPr>
                <w:rFonts w:ascii="Arial Narrow" w:hAnsi="Arial Narrow" w:cs="Arial"/>
                <w:sz w:val="18"/>
                <w:szCs w:val="18"/>
              </w:rPr>
            </w:pPr>
            <w:r w:rsidRPr="000E09E0">
              <w:rPr>
                <w:rFonts w:ascii="Arial Narrow" w:hAnsi="Arial Narrow" w:cs="Arial"/>
                <w:sz w:val="18"/>
                <w:szCs w:val="18"/>
              </w:rPr>
              <w:t>$117.14 (Public)</w:t>
            </w:r>
          </w:p>
          <w:p w14:paraId="6E2F50E8" w14:textId="02C83791" w:rsidR="00B76761" w:rsidRPr="000E09E0" w:rsidRDefault="00B76761" w:rsidP="00031B3A">
            <w:pPr>
              <w:keepNext/>
              <w:ind w:left="-108"/>
              <w:jc w:val="center"/>
              <w:rPr>
                <w:rFonts w:ascii="Arial Narrow" w:hAnsi="Arial Narrow" w:cs="Arial"/>
                <w:sz w:val="18"/>
                <w:szCs w:val="18"/>
              </w:rPr>
            </w:pPr>
            <w:r w:rsidRPr="000E09E0">
              <w:rPr>
                <w:rFonts w:ascii="Arial Narrow" w:hAnsi="Arial Narrow" w:cs="Arial"/>
                <w:sz w:val="18"/>
                <w:szCs w:val="18"/>
              </w:rPr>
              <w:t>$157.35 (Private)</w:t>
            </w:r>
          </w:p>
        </w:tc>
        <w:tc>
          <w:tcPr>
            <w:tcW w:w="804" w:type="pct"/>
            <w:tcBorders>
              <w:top w:val="single" w:sz="4" w:space="0" w:color="auto"/>
            </w:tcBorders>
          </w:tcPr>
          <w:p w14:paraId="42745DDC" w14:textId="0C9D8586" w:rsidR="00B76761" w:rsidRPr="000E09E0" w:rsidRDefault="00B76761" w:rsidP="00031B3A">
            <w:pPr>
              <w:keepNext/>
              <w:rPr>
                <w:rFonts w:ascii="Arial Narrow" w:hAnsi="Arial Narrow" w:cs="Arial"/>
                <w:sz w:val="18"/>
                <w:szCs w:val="18"/>
              </w:rPr>
            </w:pPr>
          </w:p>
        </w:tc>
      </w:tr>
      <w:tr w:rsidR="00DD1499" w:rsidRPr="000E09E0" w14:paraId="073F6412" w14:textId="77777777" w:rsidTr="00E44E4B">
        <w:trPr>
          <w:cantSplit/>
          <w:trHeight w:val="64"/>
        </w:trPr>
        <w:tc>
          <w:tcPr>
            <w:tcW w:w="1827" w:type="pct"/>
          </w:tcPr>
          <w:p w14:paraId="62A2B93A" w14:textId="2CA4D440" w:rsidR="00671F54" w:rsidRPr="000E09E0" w:rsidRDefault="00671F54">
            <w:pPr>
              <w:keepNext/>
              <w:ind w:left="-108"/>
              <w:rPr>
                <w:rFonts w:ascii="Arial Narrow" w:hAnsi="Arial Narrow" w:cs="Arial"/>
                <w:b/>
                <w:smallCaps/>
                <w:sz w:val="18"/>
                <w:szCs w:val="18"/>
              </w:rPr>
            </w:pPr>
            <w:r w:rsidRPr="000E09E0">
              <w:rPr>
                <w:rFonts w:ascii="Arial Narrow" w:hAnsi="Arial Narrow" w:cs="Arial"/>
                <w:b/>
                <w:sz w:val="18"/>
                <w:szCs w:val="18"/>
              </w:rPr>
              <w:t>Available brands</w:t>
            </w:r>
          </w:p>
        </w:tc>
        <w:tc>
          <w:tcPr>
            <w:tcW w:w="710" w:type="pct"/>
          </w:tcPr>
          <w:p w14:paraId="17A8C6BB" w14:textId="77777777" w:rsidR="00671F54" w:rsidRPr="000E09E0" w:rsidRDefault="00671F54" w:rsidP="00671F54">
            <w:pPr>
              <w:keepNext/>
              <w:ind w:left="-108"/>
              <w:jc w:val="left"/>
              <w:rPr>
                <w:rFonts w:ascii="Arial Narrow" w:hAnsi="Arial Narrow" w:cs="Arial"/>
                <w:sz w:val="18"/>
                <w:szCs w:val="18"/>
              </w:rPr>
            </w:pPr>
          </w:p>
        </w:tc>
        <w:tc>
          <w:tcPr>
            <w:tcW w:w="538" w:type="pct"/>
          </w:tcPr>
          <w:p w14:paraId="40DCB38C" w14:textId="77777777" w:rsidR="00671F54" w:rsidRPr="000E09E0" w:rsidRDefault="00671F54" w:rsidP="00671F54">
            <w:pPr>
              <w:keepNext/>
              <w:jc w:val="center"/>
              <w:rPr>
                <w:rFonts w:ascii="Arial Narrow" w:hAnsi="Arial Narrow" w:cs="Arial"/>
                <w:sz w:val="18"/>
                <w:szCs w:val="18"/>
              </w:rPr>
            </w:pPr>
          </w:p>
        </w:tc>
        <w:tc>
          <w:tcPr>
            <w:tcW w:w="421" w:type="pct"/>
          </w:tcPr>
          <w:p w14:paraId="6DE0E3DD" w14:textId="77777777" w:rsidR="00671F54" w:rsidRPr="000E09E0" w:rsidRDefault="00671F54" w:rsidP="00671F54">
            <w:pPr>
              <w:keepNext/>
              <w:ind w:left="-108"/>
              <w:jc w:val="center"/>
              <w:rPr>
                <w:rFonts w:ascii="Arial Narrow" w:hAnsi="Arial Narrow" w:cs="Arial"/>
                <w:sz w:val="18"/>
                <w:szCs w:val="18"/>
              </w:rPr>
            </w:pPr>
          </w:p>
        </w:tc>
        <w:tc>
          <w:tcPr>
            <w:tcW w:w="700" w:type="pct"/>
            <w:gridSpan w:val="2"/>
          </w:tcPr>
          <w:p w14:paraId="6792859A" w14:textId="77777777" w:rsidR="00671F54" w:rsidRPr="000E09E0" w:rsidRDefault="00671F54" w:rsidP="00671F54">
            <w:pPr>
              <w:keepNext/>
              <w:ind w:left="-108"/>
              <w:jc w:val="center"/>
              <w:rPr>
                <w:rFonts w:ascii="Arial Narrow" w:hAnsi="Arial Narrow" w:cs="Arial"/>
                <w:sz w:val="18"/>
                <w:szCs w:val="18"/>
              </w:rPr>
            </w:pPr>
          </w:p>
        </w:tc>
        <w:tc>
          <w:tcPr>
            <w:tcW w:w="804" w:type="pct"/>
          </w:tcPr>
          <w:p w14:paraId="7B1C4992" w14:textId="77777777" w:rsidR="00671F54" w:rsidRPr="000E09E0" w:rsidRDefault="00671F54" w:rsidP="00671F54">
            <w:pPr>
              <w:keepNext/>
              <w:rPr>
                <w:rFonts w:ascii="Arial Narrow" w:hAnsi="Arial Narrow" w:cs="Arial"/>
                <w:sz w:val="18"/>
                <w:szCs w:val="18"/>
              </w:rPr>
            </w:pPr>
          </w:p>
        </w:tc>
      </w:tr>
      <w:tr w:rsidR="00DD1499" w:rsidRPr="000E09E0" w14:paraId="4DC49C60" w14:textId="3E292823" w:rsidTr="00E44E4B">
        <w:trPr>
          <w:cantSplit/>
          <w:trHeight w:val="514"/>
        </w:trPr>
        <w:tc>
          <w:tcPr>
            <w:tcW w:w="1827" w:type="pct"/>
          </w:tcPr>
          <w:p w14:paraId="13806489" w14:textId="14B82F88" w:rsidR="00671F54" w:rsidRPr="000E09E0" w:rsidRDefault="00671F54" w:rsidP="002C4F6E">
            <w:pPr>
              <w:keepNext/>
              <w:ind w:left="-108"/>
              <w:rPr>
                <w:rFonts w:ascii="Arial Narrow" w:hAnsi="Arial Narrow" w:cs="Arial"/>
                <w:sz w:val="18"/>
                <w:szCs w:val="18"/>
                <w:vertAlign w:val="superscript"/>
              </w:rPr>
            </w:pPr>
            <w:r w:rsidRPr="000E09E0">
              <w:rPr>
                <w:rFonts w:ascii="Arial Narrow" w:hAnsi="Arial Narrow" w:cs="Arial"/>
                <w:sz w:val="18"/>
                <w:szCs w:val="18"/>
              </w:rPr>
              <w:t>Hycamtin</w:t>
            </w:r>
          </w:p>
          <w:p w14:paraId="03E68F0E" w14:textId="7BB2824E" w:rsidR="00671F54" w:rsidRPr="000E09E0" w:rsidRDefault="00671F54">
            <w:pPr>
              <w:keepNext/>
              <w:ind w:left="-108"/>
              <w:rPr>
                <w:rFonts w:ascii="Arial Narrow" w:hAnsi="Arial Narrow" w:cs="Arial"/>
                <w:smallCaps/>
                <w:sz w:val="18"/>
                <w:szCs w:val="18"/>
              </w:rPr>
            </w:pPr>
            <w:r w:rsidRPr="000E09E0">
              <w:rPr>
                <w:rFonts w:ascii="Arial Narrow" w:hAnsi="Arial Narrow" w:cs="Arial"/>
                <w:sz w:val="18"/>
                <w:szCs w:val="18"/>
              </w:rPr>
              <w:t>(topotecan 4 mg injection, 5 vials</w:t>
            </w:r>
            <w:r w:rsidR="0054677D" w:rsidRPr="000E09E0">
              <w:rPr>
                <w:rFonts w:ascii="Arial Narrow" w:hAnsi="Arial Narrow" w:cs="Arial"/>
                <w:sz w:val="18"/>
                <w:szCs w:val="18"/>
              </w:rPr>
              <w:t>)</w:t>
            </w:r>
          </w:p>
        </w:tc>
        <w:tc>
          <w:tcPr>
            <w:tcW w:w="710" w:type="pct"/>
          </w:tcPr>
          <w:p w14:paraId="3F0AB11A" w14:textId="0A3DEF0A" w:rsidR="00671F54" w:rsidRPr="000E09E0" w:rsidRDefault="00671F54" w:rsidP="00671F54">
            <w:pPr>
              <w:keepNext/>
              <w:ind w:left="-108"/>
              <w:jc w:val="left"/>
              <w:rPr>
                <w:rFonts w:ascii="Arial Narrow" w:hAnsi="Arial Narrow" w:cs="Arial"/>
                <w:sz w:val="18"/>
                <w:szCs w:val="18"/>
              </w:rPr>
            </w:pPr>
          </w:p>
        </w:tc>
        <w:tc>
          <w:tcPr>
            <w:tcW w:w="538" w:type="pct"/>
          </w:tcPr>
          <w:p w14:paraId="183901F2" w14:textId="0507FA20" w:rsidR="00671F54" w:rsidRPr="000E09E0" w:rsidRDefault="00671F54" w:rsidP="00671F54">
            <w:pPr>
              <w:keepNext/>
              <w:jc w:val="center"/>
              <w:rPr>
                <w:rFonts w:ascii="Arial Narrow" w:hAnsi="Arial Narrow" w:cs="Arial"/>
                <w:sz w:val="18"/>
                <w:szCs w:val="18"/>
              </w:rPr>
            </w:pPr>
          </w:p>
        </w:tc>
        <w:tc>
          <w:tcPr>
            <w:tcW w:w="421" w:type="pct"/>
          </w:tcPr>
          <w:p w14:paraId="5E0C7009" w14:textId="1E13468A" w:rsidR="00671F54" w:rsidRPr="000E09E0" w:rsidRDefault="00671F54" w:rsidP="00671F54">
            <w:pPr>
              <w:keepNext/>
              <w:ind w:left="-108"/>
              <w:jc w:val="center"/>
              <w:rPr>
                <w:rFonts w:ascii="Arial Narrow" w:hAnsi="Arial Narrow" w:cs="Arial"/>
                <w:sz w:val="18"/>
                <w:szCs w:val="18"/>
              </w:rPr>
            </w:pPr>
          </w:p>
        </w:tc>
        <w:tc>
          <w:tcPr>
            <w:tcW w:w="700" w:type="pct"/>
            <w:gridSpan w:val="2"/>
          </w:tcPr>
          <w:p w14:paraId="1E330248" w14:textId="6485D65A" w:rsidR="00671F54" w:rsidRPr="000E09E0" w:rsidRDefault="00671F54" w:rsidP="00671F54">
            <w:pPr>
              <w:keepNext/>
              <w:ind w:left="-108"/>
              <w:jc w:val="center"/>
              <w:rPr>
                <w:rFonts w:ascii="Arial Narrow" w:hAnsi="Arial Narrow" w:cs="Arial"/>
                <w:sz w:val="18"/>
                <w:szCs w:val="18"/>
              </w:rPr>
            </w:pPr>
          </w:p>
        </w:tc>
        <w:tc>
          <w:tcPr>
            <w:tcW w:w="804" w:type="pct"/>
          </w:tcPr>
          <w:p w14:paraId="25EB450C" w14:textId="6D645BF8" w:rsidR="00671F54" w:rsidRPr="000E09E0" w:rsidRDefault="00671F54" w:rsidP="00671F54">
            <w:pPr>
              <w:keepNext/>
              <w:rPr>
                <w:rFonts w:ascii="Arial Narrow" w:hAnsi="Arial Narrow" w:cs="Arial"/>
                <w:sz w:val="18"/>
                <w:szCs w:val="18"/>
              </w:rPr>
            </w:pPr>
            <w:r w:rsidRPr="000E09E0">
              <w:rPr>
                <w:rFonts w:ascii="Arial Narrow" w:hAnsi="Arial Narrow" w:cs="Arial"/>
                <w:sz w:val="18"/>
                <w:szCs w:val="18"/>
              </w:rPr>
              <w:t>Sandoz Pty Ltd</w:t>
            </w:r>
          </w:p>
        </w:tc>
      </w:tr>
      <w:tr w:rsidR="00DD1499" w:rsidRPr="000E09E0" w14:paraId="5759609B" w14:textId="77777777" w:rsidTr="00E44E4B">
        <w:trPr>
          <w:cantSplit/>
          <w:trHeight w:val="64"/>
        </w:trPr>
        <w:tc>
          <w:tcPr>
            <w:tcW w:w="1827" w:type="pct"/>
          </w:tcPr>
          <w:p w14:paraId="1BF3BEDA" w14:textId="7142468A" w:rsidR="0054677D" w:rsidRPr="000E09E0" w:rsidRDefault="0054677D" w:rsidP="002C4F6E">
            <w:pPr>
              <w:keepNext/>
              <w:ind w:left="-108"/>
              <w:rPr>
                <w:rFonts w:ascii="Arial Narrow" w:hAnsi="Arial Narrow" w:cs="Arial"/>
                <w:i/>
                <w:sz w:val="18"/>
                <w:szCs w:val="18"/>
              </w:rPr>
            </w:pPr>
            <w:r w:rsidRPr="000E09E0">
              <w:rPr>
                <w:rFonts w:ascii="Arial Narrow" w:hAnsi="Arial Narrow" w:cs="Arial"/>
                <w:i/>
                <w:sz w:val="18"/>
                <w:szCs w:val="18"/>
              </w:rPr>
              <w:t>Topotecan Accord</w:t>
            </w:r>
          </w:p>
          <w:p w14:paraId="6EEF0932" w14:textId="6A09DE4B" w:rsidR="00671F54" w:rsidRPr="000E09E0" w:rsidRDefault="0054677D">
            <w:pPr>
              <w:keepNext/>
              <w:ind w:left="-108"/>
              <w:rPr>
                <w:rFonts w:ascii="Arial Narrow" w:hAnsi="Arial Narrow" w:cs="Arial"/>
                <w:smallCaps/>
                <w:sz w:val="18"/>
                <w:szCs w:val="18"/>
              </w:rPr>
            </w:pPr>
            <w:r w:rsidRPr="000E09E0">
              <w:rPr>
                <w:rFonts w:ascii="Arial Narrow" w:hAnsi="Arial Narrow" w:cs="Arial"/>
                <w:i/>
                <w:sz w:val="18"/>
                <w:szCs w:val="18"/>
              </w:rPr>
              <w:t xml:space="preserve">(topotecan </w:t>
            </w:r>
            <w:r w:rsidR="00671F54" w:rsidRPr="000E09E0">
              <w:rPr>
                <w:rFonts w:ascii="Arial Narrow" w:hAnsi="Arial Narrow" w:cs="Arial"/>
                <w:i/>
                <w:sz w:val="18"/>
                <w:szCs w:val="18"/>
              </w:rPr>
              <w:t>4 m</w:t>
            </w:r>
            <w:r w:rsidR="008A0939" w:rsidRPr="000E09E0">
              <w:rPr>
                <w:rFonts w:ascii="Arial Narrow" w:hAnsi="Arial Narrow" w:cs="Arial"/>
                <w:i/>
                <w:sz w:val="18"/>
                <w:szCs w:val="18"/>
              </w:rPr>
              <w:t>g</w:t>
            </w:r>
            <w:r w:rsidR="00671F54" w:rsidRPr="000E09E0">
              <w:rPr>
                <w:rFonts w:ascii="Arial Narrow" w:hAnsi="Arial Narrow" w:cs="Arial"/>
                <w:i/>
                <w:sz w:val="18"/>
                <w:szCs w:val="18"/>
              </w:rPr>
              <w:t>/4 m</w:t>
            </w:r>
            <w:r w:rsidR="008A0939" w:rsidRPr="000E09E0">
              <w:rPr>
                <w:rFonts w:ascii="Arial Narrow" w:hAnsi="Arial Narrow" w:cs="Arial"/>
                <w:i/>
                <w:sz w:val="18"/>
                <w:szCs w:val="18"/>
              </w:rPr>
              <w:t>L</w:t>
            </w:r>
            <w:r w:rsidR="00671F54" w:rsidRPr="000E09E0">
              <w:rPr>
                <w:rFonts w:ascii="Arial Narrow" w:hAnsi="Arial Narrow" w:cs="Arial"/>
                <w:i/>
                <w:sz w:val="18"/>
                <w:szCs w:val="18"/>
              </w:rPr>
              <w:t xml:space="preserve"> injection, 5</w:t>
            </w:r>
            <w:r w:rsidR="008A0939" w:rsidRPr="000E09E0">
              <w:rPr>
                <w:rFonts w:ascii="Arial Narrow" w:hAnsi="Arial Narrow" w:cs="Arial"/>
                <w:i/>
                <w:sz w:val="18"/>
                <w:szCs w:val="18"/>
              </w:rPr>
              <w:t xml:space="preserve"> x 4mL</w:t>
            </w:r>
            <w:r w:rsidR="00671F54" w:rsidRPr="000E09E0">
              <w:rPr>
                <w:rFonts w:ascii="Arial Narrow" w:hAnsi="Arial Narrow" w:cs="Arial"/>
                <w:i/>
                <w:sz w:val="18"/>
                <w:szCs w:val="18"/>
              </w:rPr>
              <w:t xml:space="preserve"> vials</w:t>
            </w:r>
            <w:r w:rsidRPr="000E09E0">
              <w:rPr>
                <w:rFonts w:ascii="Arial Narrow" w:hAnsi="Arial Narrow" w:cs="Arial"/>
                <w:i/>
                <w:sz w:val="18"/>
                <w:szCs w:val="18"/>
              </w:rPr>
              <w:t>)</w:t>
            </w:r>
          </w:p>
        </w:tc>
        <w:tc>
          <w:tcPr>
            <w:tcW w:w="710" w:type="pct"/>
          </w:tcPr>
          <w:p w14:paraId="42AE4BB2" w14:textId="4947278E" w:rsidR="00671F54" w:rsidRPr="000E09E0" w:rsidRDefault="00671F54" w:rsidP="00671F54">
            <w:pPr>
              <w:keepNext/>
              <w:ind w:left="-108"/>
              <w:jc w:val="left"/>
              <w:rPr>
                <w:rFonts w:ascii="Arial Narrow" w:hAnsi="Arial Narrow" w:cs="Arial"/>
                <w:i/>
                <w:sz w:val="18"/>
                <w:szCs w:val="18"/>
              </w:rPr>
            </w:pPr>
          </w:p>
        </w:tc>
        <w:tc>
          <w:tcPr>
            <w:tcW w:w="538" w:type="pct"/>
          </w:tcPr>
          <w:p w14:paraId="339ACF9F" w14:textId="22E5D852" w:rsidR="00671F54" w:rsidRPr="000E09E0" w:rsidRDefault="00671F54" w:rsidP="00671F54">
            <w:pPr>
              <w:keepNext/>
              <w:jc w:val="center"/>
              <w:rPr>
                <w:rFonts w:ascii="Arial Narrow" w:hAnsi="Arial Narrow" w:cs="Arial"/>
                <w:i/>
                <w:sz w:val="18"/>
                <w:szCs w:val="18"/>
              </w:rPr>
            </w:pPr>
          </w:p>
        </w:tc>
        <w:tc>
          <w:tcPr>
            <w:tcW w:w="421" w:type="pct"/>
          </w:tcPr>
          <w:p w14:paraId="551BC613" w14:textId="5A69AB84" w:rsidR="00671F54" w:rsidRPr="000E09E0" w:rsidRDefault="00671F54" w:rsidP="00671F54">
            <w:pPr>
              <w:keepNext/>
              <w:ind w:left="-108"/>
              <w:jc w:val="center"/>
              <w:rPr>
                <w:rFonts w:ascii="Arial Narrow" w:hAnsi="Arial Narrow" w:cs="Arial"/>
                <w:i/>
                <w:sz w:val="18"/>
                <w:szCs w:val="18"/>
              </w:rPr>
            </w:pPr>
          </w:p>
        </w:tc>
        <w:tc>
          <w:tcPr>
            <w:tcW w:w="700" w:type="pct"/>
            <w:gridSpan w:val="2"/>
          </w:tcPr>
          <w:p w14:paraId="55112A7E" w14:textId="3F311E71" w:rsidR="00671F54" w:rsidRPr="000E09E0" w:rsidRDefault="00671F54" w:rsidP="00671F54">
            <w:pPr>
              <w:keepNext/>
              <w:ind w:left="-108"/>
              <w:jc w:val="center"/>
              <w:rPr>
                <w:rFonts w:ascii="Arial Narrow" w:hAnsi="Arial Narrow" w:cs="Arial"/>
                <w:i/>
                <w:sz w:val="18"/>
                <w:szCs w:val="18"/>
              </w:rPr>
            </w:pPr>
          </w:p>
        </w:tc>
        <w:tc>
          <w:tcPr>
            <w:tcW w:w="804" w:type="pct"/>
          </w:tcPr>
          <w:p w14:paraId="465F76B2" w14:textId="77777777" w:rsidR="00671F54" w:rsidRPr="000E09E0" w:rsidRDefault="00671F54" w:rsidP="002C4F6E">
            <w:pPr>
              <w:keepNext/>
              <w:jc w:val="left"/>
              <w:rPr>
                <w:rFonts w:ascii="Arial Narrow" w:hAnsi="Arial Narrow" w:cs="Arial"/>
                <w:i/>
                <w:sz w:val="18"/>
                <w:szCs w:val="18"/>
              </w:rPr>
            </w:pPr>
            <w:r w:rsidRPr="000E09E0">
              <w:rPr>
                <w:rFonts w:ascii="Arial Narrow" w:hAnsi="Arial Narrow" w:cs="Arial"/>
                <w:i/>
                <w:sz w:val="18"/>
                <w:szCs w:val="18"/>
              </w:rPr>
              <w:t>Accord Healthcare Pty Ltd</w:t>
            </w:r>
          </w:p>
        </w:tc>
      </w:tr>
    </w:tbl>
    <w:p w14:paraId="3F56EDF9" w14:textId="77777777" w:rsidR="00B76761" w:rsidRPr="000E09E0" w:rsidRDefault="00B76761" w:rsidP="00B7676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8A0939" w:rsidRPr="000E09E0" w14:paraId="6E5C2729" w14:textId="77777777" w:rsidTr="00E44E4B">
        <w:tc>
          <w:tcPr>
            <w:tcW w:w="5000" w:type="pct"/>
            <w:tcBorders>
              <w:top w:val="single" w:sz="4" w:space="0" w:color="auto"/>
              <w:left w:val="single" w:sz="4" w:space="0" w:color="auto"/>
              <w:bottom w:val="single" w:sz="4" w:space="0" w:color="auto"/>
              <w:right w:val="single" w:sz="4" w:space="0" w:color="auto"/>
            </w:tcBorders>
          </w:tcPr>
          <w:p w14:paraId="53368A15" w14:textId="6223556D" w:rsidR="008A0939" w:rsidRPr="000E09E0" w:rsidRDefault="008A0939">
            <w:pPr>
              <w:rPr>
                <w:rFonts w:ascii="Arial Narrow" w:hAnsi="Arial Narrow" w:cs="Arial"/>
                <w:sz w:val="18"/>
                <w:szCs w:val="18"/>
              </w:rPr>
            </w:pPr>
            <w:r w:rsidRPr="000E09E0">
              <w:rPr>
                <w:rFonts w:ascii="Arial Narrow" w:hAnsi="Arial Narrow" w:cs="Arial"/>
                <w:b/>
                <w:sz w:val="18"/>
                <w:szCs w:val="18"/>
              </w:rPr>
              <w:t>Category / Program:</w:t>
            </w:r>
            <w:r w:rsidRPr="000E09E0">
              <w:rPr>
                <w:rFonts w:ascii="Arial Narrow" w:hAnsi="Arial Narrow" w:cs="Arial"/>
                <w:sz w:val="18"/>
                <w:szCs w:val="18"/>
              </w:rPr>
              <w:t xml:space="preserve"> Section 100 – Efficient Funding of Chemotherapy– Public/Private </w:t>
            </w:r>
          </w:p>
        </w:tc>
      </w:tr>
      <w:tr w:rsidR="008A0939" w:rsidRPr="000E09E0" w14:paraId="28B53219" w14:textId="77777777" w:rsidTr="00E44E4B">
        <w:trPr>
          <w:trHeight w:val="240"/>
        </w:trPr>
        <w:tc>
          <w:tcPr>
            <w:tcW w:w="5000" w:type="pct"/>
            <w:tcBorders>
              <w:top w:val="single" w:sz="4" w:space="0" w:color="auto"/>
              <w:left w:val="single" w:sz="4" w:space="0" w:color="auto"/>
              <w:bottom w:val="single" w:sz="4" w:space="0" w:color="auto"/>
              <w:right w:val="single" w:sz="4" w:space="0" w:color="auto"/>
            </w:tcBorders>
          </w:tcPr>
          <w:p w14:paraId="0E4FDBF0" w14:textId="4C368780" w:rsidR="008A0939" w:rsidRPr="000E09E0" w:rsidRDefault="008A0939" w:rsidP="008A0939">
            <w:pPr>
              <w:rPr>
                <w:rFonts w:ascii="Arial Narrow" w:hAnsi="Arial Narrow" w:cs="Arial"/>
                <w:b/>
                <w:sz w:val="18"/>
                <w:szCs w:val="18"/>
              </w:rPr>
            </w:pPr>
            <w:r w:rsidRPr="000E09E0">
              <w:rPr>
                <w:rFonts w:ascii="Arial Narrow" w:hAnsi="Arial Narrow" w:cs="Arial"/>
                <w:b/>
                <w:sz w:val="18"/>
                <w:szCs w:val="18"/>
              </w:rPr>
              <w:t xml:space="preserve">Prescriber type:   </w:t>
            </w:r>
            <w:r w:rsidRPr="009A1728">
              <w:rPr>
                <w:rFonts w:ascii="Arial Narrow" w:hAnsi="Arial Narrow" w:cs="Arial"/>
                <w:sz w:val="18"/>
                <w:szCs w:val="18"/>
              </w:rPr>
              <w:fldChar w:fldCharType="begin">
                <w:ffData>
                  <w:name w:val=""/>
                  <w:enabled/>
                  <w:calcOnExit w:val="0"/>
                  <w:checkBox>
                    <w:sizeAuto/>
                    <w:default w:val="1"/>
                  </w:checkBox>
                </w:ffData>
              </w:fldChar>
            </w:r>
            <w:r w:rsidRPr="000E09E0">
              <w:rPr>
                <w:rFonts w:ascii="Arial Narrow" w:hAnsi="Arial Narrow" w:cs="Arial"/>
                <w:sz w:val="18"/>
                <w:szCs w:val="18"/>
              </w:rPr>
              <w:instrText xml:space="preserve"> FORMCHECKBOX </w:instrText>
            </w:r>
            <w:r w:rsidR="00F5657D">
              <w:rPr>
                <w:rFonts w:ascii="Arial Narrow" w:hAnsi="Arial Narrow" w:cs="Arial"/>
                <w:sz w:val="18"/>
                <w:szCs w:val="18"/>
              </w:rPr>
            </w:r>
            <w:r w:rsidR="00F5657D">
              <w:rPr>
                <w:rFonts w:ascii="Arial Narrow" w:hAnsi="Arial Narrow" w:cs="Arial"/>
                <w:sz w:val="18"/>
                <w:szCs w:val="18"/>
              </w:rPr>
              <w:fldChar w:fldCharType="separate"/>
            </w:r>
            <w:r w:rsidRPr="009A1728">
              <w:rPr>
                <w:rFonts w:ascii="Arial Narrow" w:hAnsi="Arial Narrow" w:cs="Arial"/>
                <w:sz w:val="18"/>
                <w:szCs w:val="18"/>
              </w:rPr>
              <w:fldChar w:fldCharType="end"/>
            </w:r>
            <w:r w:rsidRPr="000E09E0">
              <w:rPr>
                <w:rFonts w:ascii="Arial Narrow" w:hAnsi="Arial Narrow" w:cs="Arial"/>
                <w:sz w:val="18"/>
                <w:szCs w:val="18"/>
              </w:rPr>
              <w:t xml:space="preserve">Medical Practitioners   </w:t>
            </w:r>
          </w:p>
        </w:tc>
      </w:tr>
      <w:tr w:rsidR="008A0939" w:rsidRPr="000E09E0" w14:paraId="7CC285FE" w14:textId="77777777" w:rsidTr="00E44E4B">
        <w:tc>
          <w:tcPr>
            <w:tcW w:w="5000" w:type="pct"/>
            <w:tcBorders>
              <w:top w:val="single" w:sz="4" w:space="0" w:color="auto"/>
              <w:left w:val="single" w:sz="4" w:space="0" w:color="auto"/>
              <w:bottom w:val="single" w:sz="4" w:space="0" w:color="auto"/>
              <w:right w:val="single" w:sz="4" w:space="0" w:color="auto"/>
            </w:tcBorders>
          </w:tcPr>
          <w:p w14:paraId="6DBF8E64" w14:textId="512E51C5" w:rsidR="008A0939" w:rsidRPr="000E09E0" w:rsidRDefault="008A0939" w:rsidP="00031B3A">
            <w:pPr>
              <w:rPr>
                <w:rFonts w:ascii="Arial Narrow" w:hAnsi="Arial Narrow" w:cs="Arial"/>
                <w:b/>
                <w:sz w:val="18"/>
                <w:szCs w:val="18"/>
              </w:rPr>
            </w:pPr>
            <w:r w:rsidRPr="000E09E0">
              <w:rPr>
                <w:rFonts w:ascii="Arial Narrow" w:hAnsi="Arial Narrow" w:cs="Arial"/>
                <w:b/>
                <w:sz w:val="18"/>
                <w:szCs w:val="18"/>
              </w:rPr>
              <w:t>Restriction Type / Method:</w:t>
            </w:r>
          </w:p>
          <w:p w14:paraId="12B67566" w14:textId="205C25E2" w:rsidR="008A0939" w:rsidRPr="009A1728" w:rsidRDefault="008A0939" w:rsidP="00031B3A">
            <w:pPr>
              <w:rPr>
                <w:rFonts w:ascii="Arial Narrow" w:hAnsi="Arial Narrow" w:cs="Arial"/>
                <w:sz w:val="18"/>
                <w:szCs w:val="18"/>
              </w:rPr>
            </w:pPr>
            <w:r w:rsidRPr="009A1728">
              <w:rPr>
                <w:rFonts w:ascii="Arial Narrow" w:hAnsi="Arial Narrow" w:cs="Arial"/>
                <w:sz w:val="18"/>
                <w:szCs w:val="18"/>
              </w:rPr>
              <w:fldChar w:fldCharType="begin">
                <w:ffData>
                  <w:name w:val=""/>
                  <w:enabled/>
                  <w:calcOnExit w:val="0"/>
                  <w:checkBox>
                    <w:sizeAuto/>
                    <w:default w:val="1"/>
                  </w:checkBox>
                </w:ffData>
              </w:fldChar>
            </w:r>
            <w:r w:rsidRPr="009A1728">
              <w:rPr>
                <w:rFonts w:ascii="Arial Narrow" w:hAnsi="Arial Narrow" w:cs="Arial"/>
                <w:sz w:val="18"/>
                <w:szCs w:val="18"/>
              </w:rPr>
              <w:instrText xml:space="preserve"> FORMCHECKBOX </w:instrText>
            </w:r>
            <w:r w:rsidR="00F5657D">
              <w:rPr>
                <w:rFonts w:ascii="Arial Narrow" w:hAnsi="Arial Narrow" w:cs="Arial"/>
                <w:sz w:val="18"/>
                <w:szCs w:val="18"/>
              </w:rPr>
            </w:r>
            <w:r w:rsidR="00F5657D">
              <w:rPr>
                <w:rFonts w:ascii="Arial Narrow" w:hAnsi="Arial Narrow" w:cs="Arial"/>
                <w:sz w:val="18"/>
                <w:szCs w:val="18"/>
              </w:rPr>
              <w:fldChar w:fldCharType="separate"/>
            </w:r>
            <w:r w:rsidRPr="009A1728">
              <w:rPr>
                <w:rFonts w:ascii="Arial Narrow" w:hAnsi="Arial Narrow" w:cs="Arial"/>
                <w:sz w:val="18"/>
                <w:szCs w:val="18"/>
              </w:rPr>
              <w:fldChar w:fldCharType="end"/>
            </w:r>
            <w:r w:rsidRPr="009A1728">
              <w:rPr>
                <w:rFonts w:ascii="Arial Narrow" w:hAnsi="Arial Narrow" w:cs="Arial"/>
                <w:sz w:val="18"/>
                <w:szCs w:val="18"/>
              </w:rPr>
              <w:t xml:space="preserve">Authority Required </w:t>
            </w:r>
            <w:r w:rsidRPr="000E09E0">
              <w:rPr>
                <w:rFonts w:ascii="Arial Narrow" w:hAnsi="Arial Narrow" w:cs="Arial"/>
                <w:sz w:val="18"/>
                <w:szCs w:val="18"/>
              </w:rPr>
              <w:t>–</w:t>
            </w:r>
            <w:r w:rsidRPr="009A1728">
              <w:rPr>
                <w:rFonts w:ascii="Arial Narrow" w:hAnsi="Arial Narrow" w:cs="Arial"/>
                <w:sz w:val="18"/>
                <w:szCs w:val="18"/>
              </w:rPr>
              <w:t xml:space="preserve"> Streamlined</w:t>
            </w:r>
            <w:r w:rsidRPr="000E09E0">
              <w:rPr>
                <w:rFonts w:ascii="Arial Narrow" w:hAnsi="Arial Narrow" w:cs="Arial"/>
                <w:sz w:val="18"/>
                <w:szCs w:val="18"/>
              </w:rPr>
              <w:t xml:space="preserve"> (6238)</w:t>
            </w:r>
          </w:p>
        </w:tc>
      </w:tr>
      <w:tr w:rsidR="008A0939" w:rsidRPr="000E09E0" w14:paraId="1D9683C1" w14:textId="77777777" w:rsidTr="00E44E4B">
        <w:tc>
          <w:tcPr>
            <w:tcW w:w="5000" w:type="pct"/>
            <w:vAlign w:val="center"/>
          </w:tcPr>
          <w:p w14:paraId="69488155" w14:textId="0E8DE659" w:rsidR="008A0939" w:rsidRPr="009A1728" w:rsidRDefault="008A0939" w:rsidP="00031B3A">
            <w:pPr>
              <w:rPr>
                <w:rFonts w:ascii="Arial Narrow" w:hAnsi="Arial Narrow"/>
                <w:bCs/>
                <w:color w:val="333333"/>
                <w:sz w:val="18"/>
                <w:szCs w:val="18"/>
              </w:rPr>
            </w:pPr>
            <w:r w:rsidRPr="009A1728">
              <w:rPr>
                <w:rFonts w:ascii="Arial Narrow" w:hAnsi="Arial Narrow"/>
                <w:b/>
                <w:bCs/>
                <w:color w:val="333333"/>
                <w:sz w:val="18"/>
                <w:szCs w:val="18"/>
              </w:rPr>
              <w:t>Indication:</w:t>
            </w:r>
            <w:r w:rsidRPr="009A1728">
              <w:t xml:space="preserve"> </w:t>
            </w:r>
            <w:r w:rsidRPr="009A1728">
              <w:rPr>
                <w:rFonts w:ascii="Arial Narrow" w:hAnsi="Arial Narrow"/>
                <w:bCs/>
                <w:color w:val="333333"/>
                <w:sz w:val="18"/>
                <w:szCs w:val="18"/>
              </w:rPr>
              <w:t>Advanced metastatic ovarian cancer</w:t>
            </w:r>
          </w:p>
        </w:tc>
      </w:tr>
      <w:tr w:rsidR="008A0939" w:rsidRPr="000E09E0" w14:paraId="29F4C300" w14:textId="77777777" w:rsidTr="00E44E4B">
        <w:tc>
          <w:tcPr>
            <w:tcW w:w="5000" w:type="pct"/>
            <w:vAlign w:val="center"/>
            <w:hideMark/>
          </w:tcPr>
          <w:p w14:paraId="5BECE407" w14:textId="77777777" w:rsidR="008A0939" w:rsidRPr="009A1728" w:rsidRDefault="008A0939" w:rsidP="00031B3A">
            <w:pPr>
              <w:rPr>
                <w:rFonts w:ascii="Arial Narrow" w:hAnsi="Arial Narrow"/>
                <w:color w:val="333333"/>
                <w:sz w:val="18"/>
                <w:szCs w:val="18"/>
              </w:rPr>
            </w:pPr>
            <w:r w:rsidRPr="009A1728">
              <w:rPr>
                <w:rFonts w:ascii="Arial Narrow" w:hAnsi="Arial Narrow"/>
                <w:b/>
                <w:bCs/>
                <w:color w:val="333333"/>
                <w:sz w:val="18"/>
                <w:szCs w:val="18"/>
              </w:rPr>
              <w:t>Clinical criteria:</w:t>
            </w:r>
          </w:p>
        </w:tc>
      </w:tr>
      <w:tr w:rsidR="008A0939" w:rsidRPr="000E09E0" w14:paraId="0B9F76D6" w14:textId="77777777" w:rsidTr="00E44E4B">
        <w:tc>
          <w:tcPr>
            <w:tcW w:w="5000" w:type="pct"/>
            <w:vAlign w:val="center"/>
            <w:hideMark/>
          </w:tcPr>
          <w:p w14:paraId="7754CF3E" w14:textId="717454AF" w:rsidR="008A0939" w:rsidRPr="009A1728" w:rsidRDefault="008A0939" w:rsidP="00031B3A">
            <w:pPr>
              <w:rPr>
                <w:rFonts w:ascii="Arial Narrow" w:hAnsi="Arial Narrow"/>
                <w:color w:val="333333"/>
                <w:sz w:val="18"/>
                <w:szCs w:val="18"/>
              </w:rPr>
            </w:pPr>
            <w:r w:rsidRPr="009A1728">
              <w:rPr>
                <w:rFonts w:ascii="Arial Narrow" w:hAnsi="Arial Narrow"/>
                <w:color w:val="333333"/>
                <w:sz w:val="18"/>
                <w:szCs w:val="18"/>
              </w:rPr>
              <w:t>Patient must have failed prior therapy which included a platinum compound.</w:t>
            </w:r>
          </w:p>
        </w:tc>
      </w:tr>
    </w:tbl>
    <w:p w14:paraId="344826E0" w14:textId="77777777" w:rsidR="00600F3C" w:rsidRPr="000E09E0" w:rsidRDefault="00600F3C" w:rsidP="005A58B5">
      <w:pPr>
        <w:spacing w:after="120"/>
        <w:ind w:left="720"/>
        <w:rPr>
          <w:rFonts w:asciiTheme="minorHAnsi" w:hAnsiTheme="minorHAnsi" w:cs="Arial"/>
          <w:i/>
          <w:snapToGrid w:val="0"/>
          <w:lang w:eastAsia="en-US"/>
        </w:rPr>
      </w:pPr>
    </w:p>
    <w:p w14:paraId="5B7E6EE9" w14:textId="331B64FB" w:rsidR="00600F3C" w:rsidRPr="000E09E0" w:rsidRDefault="00600F3C" w:rsidP="007015E7">
      <w:pPr>
        <w:pStyle w:val="3Bodytext"/>
        <w:jc w:val="both"/>
        <w:rPr>
          <w:rFonts w:cs="Arial"/>
          <w:i/>
          <w:snapToGrid w:val="0"/>
          <w:lang w:eastAsia="en-US"/>
        </w:rPr>
      </w:pPr>
      <w:r w:rsidRPr="007015E7">
        <w:t>The</w:t>
      </w:r>
      <w:r w:rsidRPr="007015E7">
        <w:rPr>
          <w:rFonts w:cs="Arial"/>
          <w:snapToGrid w:val="0"/>
          <w:lang w:eastAsia="en-US"/>
        </w:rPr>
        <w:t xml:space="preserve"> submission was referred to the PBAC as the requested form (</w:t>
      </w:r>
      <w:r w:rsidR="00622DB0" w:rsidRPr="007015E7">
        <w:rPr>
          <w:rFonts w:cs="Arial"/>
          <w:snapToGrid w:val="0"/>
          <w:lang w:eastAsia="en-US"/>
        </w:rPr>
        <w:t>concentrated</w:t>
      </w:r>
      <w:r w:rsidRPr="007015E7">
        <w:rPr>
          <w:rFonts w:cs="Arial"/>
          <w:snapToGrid w:val="0"/>
          <w:lang w:eastAsia="en-US"/>
        </w:rPr>
        <w:t xml:space="preserve"> drug solution) did not have an identical, existing form to list against through the generic brand listing process (the existing form of topotecan requires the drug powder to be dissolved in diluent).</w:t>
      </w:r>
      <w:r w:rsidRPr="000E09E0">
        <w:rPr>
          <w:rFonts w:cs="Arial"/>
          <w:i/>
          <w:snapToGrid w:val="0"/>
          <w:lang w:eastAsia="en-US"/>
        </w:rPr>
        <w:t xml:space="preserve"> </w:t>
      </w:r>
    </w:p>
    <w:p w14:paraId="55AD88BC" w14:textId="1EF942A5" w:rsidR="005A58B5" w:rsidRPr="000E09E0" w:rsidRDefault="005A58B5" w:rsidP="005A58B5">
      <w:pPr>
        <w:spacing w:after="120"/>
        <w:ind w:left="720"/>
        <w:rPr>
          <w:i/>
        </w:rPr>
      </w:pPr>
      <w:r w:rsidRPr="000E09E0">
        <w:rPr>
          <w:rFonts w:asciiTheme="minorHAnsi" w:hAnsiTheme="minorHAnsi" w:cs="Arial"/>
          <w:i/>
          <w:snapToGrid w:val="0"/>
          <w:lang w:eastAsia="en-US"/>
        </w:rPr>
        <w:t>For more details on PBAC’s view, see section 6 PBAC outcome.</w:t>
      </w:r>
    </w:p>
    <w:p w14:paraId="58EFB38F" w14:textId="5D2D9DF8" w:rsidR="005A3173" w:rsidRPr="000E09E0" w:rsidRDefault="005A3173" w:rsidP="00917D69">
      <w:pPr>
        <w:pStyle w:val="2-SectionHeading"/>
        <w:rPr>
          <w:color w:val="FF0000"/>
        </w:rPr>
      </w:pPr>
      <w:r w:rsidRPr="000E09E0">
        <w:t>Comparator</w:t>
      </w:r>
      <w:r w:rsidR="0099465B" w:rsidRPr="000E09E0">
        <w:t xml:space="preserve"> </w:t>
      </w:r>
    </w:p>
    <w:p w14:paraId="78F2BEE3" w14:textId="0A267C09" w:rsidR="000B44C3" w:rsidRPr="000E09E0" w:rsidRDefault="000B44C3" w:rsidP="00CD15C1">
      <w:pPr>
        <w:pStyle w:val="3Bodytext"/>
        <w:jc w:val="both"/>
      </w:pPr>
      <w:r w:rsidRPr="000E09E0">
        <w:t xml:space="preserve">The submission </w:t>
      </w:r>
      <w:r w:rsidR="00CA3C19" w:rsidRPr="000E09E0">
        <w:t xml:space="preserve">nominated </w:t>
      </w:r>
      <w:r w:rsidRPr="000E09E0">
        <w:t xml:space="preserve">the currently listed </w:t>
      </w:r>
      <w:r w:rsidR="001021D2" w:rsidRPr="000E09E0">
        <w:t>brand</w:t>
      </w:r>
      <w:r w:rsidR="003C093A" w:rsidRPr="000E09E0">
        <w:t xml:space="preserve"> of the same drug</w:t>
      </w:r>
      <w:r w:rsidR="002D5B46" w:rsidRPr="000E09E0">
        <w:t>, Hycamtin</w:t>
      </w:r>
      <w:r w:rsidR="00CA3C19" w:rsidRPr="000E09E0">
        <w:t>, as the comparator</w:t>
      </w:r>
      <w:r w:rsidRPr="000E09E0">
        <w:t>.</w:t>
      </w:r>
      <w:r w:rsidR="00CA3C19" w:rsidRPr="000E09E0">
        <w:t xml:space="preserve"> This was appropriate.</w:t>
      </w:r>
      <w:r w:rsidRPr="000E09E0">
        <w:t xml:space="preserve"> </w:t>
      </w:r>
    </w:p>
    <w:p w14:paraId="4B6B47EF" w14:textId="5A785532" w:rsidR="005C443F" w:rsidRPr="000E09E0" w:rsidRDefault="005C443F" w:rsidP="00356E5B">
      <w:pPr>
        <w:pStyle w:val="Heading1"/>
        <w:keepLines/>
        <w:numPr>
          <w:ilvl w:val="0"/>
          <w:numId w:val="3"/>
        </w:numPr>
        <w:spacing w:before="240"/>
        <w:ind w:left="709" w:hanging="709"/>
        <w:rPr>
          <w:sz w:val="32"/>
          <w:szCs w:val="32"/>
        </w:rPr>
      </w:pPr>
      <w:r w:rsidRPr="000E09E0">
        <w:rPr>
          <w:sz w:val="32"/>
          <w:szCs w:val="32"/>
        </w:rPr>
        <w:t xml:space="preserve">Consideration of Evidence </w:t>
      </w:r>
    </w:p>
    <w:p w14:paraId="1CB0F3A8" w14:textId="3D0AF175" w:rsidR="005C443F" w:rsidRPr="000E09E0" w:rsidRDefault="005C443F" w:rsidP="005C443F">
      <w:pPr>
        <w:pStyle w:val="4-SubsectionHeading"/>
      </w:pPr>
      <w:r w:rsidRPr="000E09E0">
        <w:t xml:space="preserve">Sponsor hearing </w:t>
      </w:r>
    </w:p>
    <w:p w14:paraId="2879EAE9" w14:textId="067B2D22" w:rsidR="005C443F" w:rsidRPr="000E09E0" w:rsidRDefault="00A74BCF" w:rsidP="005C443F">
      <w:pPr>
        <w:widowControl w:val="0"/>
        <w:numPr>
          <w:ilvl w:val="1"/>
          <w:numId w:val="1"/>
        </w:numPr>
        <w:spacing w:after="120"/>
        <w:rPr>
          <w:rFonts w:asciiTheme="minorHAnsi" w:hAnsiTheme="minorHAnsi" w:cs="Arial"/>
          <w:bCs/>
          <w:snapToGrid w:val="0"/>
        </w:rPr>
      </w:pPr>
      <w:r w:rsidRPr="000E09E0">
        <w:rPr>
          <w:rFonts w:asciiTheme="minorHAnsi" w:hAnsiTheme="minorHAnsi" w:cs="Arial"/>
          <w:bCs/>
          <w:snapToGrid w:val="0"/>
        </w:rPr>
        <w:t>There was no hearing for this item as it was a</w:t>
      </w:r>
      <w:r w:rsidR="00EA3077" w:rsidRPr="000E09E0">
        <w:rPr>
          <w:rFonts w:asciiTheme="minorHAnsi" w:hAnsiTheme="minorHAnsi" w:cs="Arial"/>
          <w:bCs/>
          <w:snapToGrid w:val="0"/>
        </w:rPr>
        <w:t xml:space="preserve"> committee secretariat</w:t>
      </w:r>
      <w:r w:rsidRPr="000E09E0">
        <w:rPr>
          <w:rFonts w:asciiTheme="minorHAnsi" w:hAnsiTheme="minorHAnsi" w:cs="Arial"/>
          <w:bCs/>
          <w:snapToGrid w:val="0"/>
        </w:rPr>
        <w:t xml:space="preserve"> submission. </w:t>
      </w:r>
    </w:p>
    <w:p w14:paraId="67DDEFCA" w14:textId="6C2D4916" w:rsidR="005C443F" w:rsidRPr="000E09E0" w:rsidRDefault="005C443F" w:rsidP="005C443F">
      <w:pPr>
        <w:pStyle w:val="4-SubsectionHeading"/>
      </w:pPr>
      <w:r w:rsidRPr="000E09E0">
        <w:t>Consumer comments</w:t>
      </w:r>
    </w:p>
    <w:p w14:paraId="76396E30" w14:textId="5C60976F" w:rsidR="005C443F" w:rsidRPr="000E09E0" w:rsidRDefault="0077696E" w:rsidP="00D17ED9">
      <w:pPr>
        <w:widowControl w:val="0"/>
        <w:numPr>
          <w:ilvl w:val="1"/>
          <w:numId w:val="1"/>
        </w:numPr>
        <w:spacing w:after="120"/>
        <w:rPr>
          <w:rFonts w:asciiTheme="minorHAnsi" w:hAnsiTheme="minorHAnsi" w:cs="Arial"/>
          <w:bCs/>
          <w:snapToGrid w:val="0"/>
        </w:rPr>
      </w:pPr>
      <w:r w:rsidRPr="000E09E0">
        <w:rPr>
          <w:rFonts w:asciiTheme="minorHAnsi" w:hAnsiTheme="minorHAnsi" w:cs="Arial"/>
          <w:bCs/>
          <w:snapToGrid w:val="0"/>
        </w:rPr>
        <w:t xml:space="preserve">The PBAC noted and welcomed the input from organisations (2) via the Consumer Comments facility on the PBS website. </w:t>
      </w:r>
      <w:r w:rsidR="001D3453" w:rsidRPr="000E09E0">
        <w:rPr>
          <w:rFonts w:asciiTheme="minorHAnsi" w:hAnsiTheme="minorHAnsi" w:cs="Arial"/>
          <w:bCs/>
          <w:snapToGrid w:val="0"/>
        </w:rPr>
        <w:t xml:space="preserve">Lung Foundation Australia </w:t>
      </w:r>
      <w:r w:rsidR="00D17ED9" w:rsidRPr="000E09E0">
        <w:rPr>
          <w:rFonts w:asciiTheme="minorHAnsi" w:hAnsiTheme="minorHAnsi" w:cs="Arial"/>
          <w:bCs/>
          <w:snapToGrid w:val="0"/>
        </w:rPr>
        <w:t xml:space="preserve">described a range of benefits of listing a </w:t>
      </w:r>
      <w:r w:rsidR="00E65076" w:rsidRPr="000E09E0">
        <w:rPr>
          <w:rFonts w:asciiTheme="minorHAnsi" w:hAnsiTheme="minorHAnsi" w:cs="Arial"/>
          <w:bCs/>
          <w:snapToGrid w:val="0"/>
        </w:rPr>
        <w:t xml:space="preserve">Topotecan Accord </w:t>
      </w:r>
      <w:r w:rsidR="00D17ED9" w:rsidRPr="000E09E0">
        <w:rPr>
          <w:rFonts w:asciiTheme="minorHAnsi" w:hAnsiTheme="minorHAnsi" w:cs="Arial"/>
          <w:bCs/>
          <w:snapToGrid w:val="0"/>
        </w:rPr>
        <w:t>including a greater certainty of supply due to an alternative supplier</w:t>
      </w:r>
      <w:r w:rsidR="00D97075" w:rsidRPr="000E09E0">
        <w:rPr>
          <w:rFonts w:asciiTheme="minorHAnsi" w:hAnsiTheme="minorHAnsi" w:cs="Arial"/>
          <w:bCs/>
          <w:snapToGrid w:val="0"/>
        </w:rPr>
        <w:t xml:space="preserve"> as well as </w:t>
      </w:r>
      <w:r w:rsidR="00D17ED9" w:rsidRPr="000E09E0">
        <w:rPr>
          <w:rFonts w:asciiTheme="minorHAnsi" w:hAnsiTheme="minorHAnsi" w:cs="Arial"/>
          <w:bCs/>
          <w:snapToGrid w:val="0"/>
        </w:rPr>
        <w:t xml:space="preserve">offering an effective alternative treatment for small cell lung cancer </w:t>
      </w:r>
      <w:r w:rsidR="00E65076" w:rsidRPr="000E09E0">
        <w:rPr>
          <w:rFonts w:asciiTheme="minorHAnsi" w:hAnsiTheme="minorHAnsi" w:cs="Arial"/>
          <w:bCs/>
          <w:snapToGrid w:val="0"/>
        </w:rPr>
        <w:t xml:space="preserve">(SCLC) </w:t>
      </w:r>
      <w:r w:rsidR="00D17ED9" w:rsidRPr="000E09E0">
        <w:rPr>
          <w:rFonts w:asciiTheme="minorHAnsi" w:hAnsiTheme="minorHAnsi" w:cs="Arial"/>
          <w:bCs/>
          <w:snapToGrid w:val="0"/>
        </w:rPr>
        <w:t>on the PBS</w:t>
      </w:r>
      <w:r w:rsidR="000E09E0" w:rsidRPr="000E09E0">
        <w:rPr>
          <w:rFonts w:asciiTheme="minorHAnsi" w:hAnsiTheme="minorHAnsi" w:cs="Arial"/>
          <w:bCs/>
          <w:snapToGrid w:val="0"/>
        </w:rPr>
        <w:t xml:space="preserve">. </w:t>
      </w:r>
      <w:r w:rsidR="005C443F" w:rsidRPr="000E09E0">
        <w:rPr>
          <w:rFonts w:asciiTheme="minorHAnsi" w:hAnsiTheme="minorHAnsi" w:cs="Arial"/>
          <w:bCs/>
          <w:snapToGrid w:val="0"/>
        </w:rPr>
        <w:t xml:space="preserve"> </w:t>
      </w:r>
    </w:p>
    <w:p w14:paraId="2059CD73" w14:textId="500BA672" w:rsidR="005C443F" w:rsidRPr="000E09E0" w:rsidRDefault="00D17ED9" w:rsidP="009E2494">
      <w:pPr>
        <w:pStyle w:val="3Bodytext"/>
        <w:jc w:val="both"/>
        <w:rPr>
          <w:snapToGrid w:val="0"/>
        </w:rPr>
      </w:pPr>
      <w:r w:rsidRPr="000E09E0">
        <w:rPr>
          <w:snapToGrid w:val="0"/>
        </w:rPr>
        <w:t xml:space="preserve">The Medical Oncology Group of Australia (MOGA) also expressed </w:t>
      </w:r>
      <w:r w:rsidR="00497E38" w:rsidRPr="000E09E0">
        <w:rPr>
          <w:snapToGrid w:val="0"/>
        </w:rPr>
        <w:t>its strong support for the Topotecan Accord submission, categorising it as one of the therapies of “highest priority for PBS listing” on the ba</w:t>
      </w:r>
      <w:r w:rsidR="007D1DE8" w:rsidRPr="000E09E0">
        <w:rPr>
          <w:snapToGrid w:val="0"/>
        </w:rPr>
        <w:t xml:space="preserve">sis of </w:t>
      </w:r>
      <w:r w:rsidR="00E65076" w:rsidRPr="000E09E0">
        <w:rPr>
          <w:snapToGrid w:val="0"/>
        </w:rPr>
        <w:t>improvements in overall survival and quality of life</w:t>
      </w:r>
      <w:r w:rsidR="007802B1" w:rsidRPr="000E09E0">
        <w:rPr>
          <w:snapToGrid w:val="0"/>
        </w:rPr>
        <w:t>.</w:t>
      </w:r>
      <w:r w:rsidR="007D1DE8" w:rsidRPr="000E09E0">
        <w:rPr>
          <w:snapToGrid w:val="0"/>
        </w:rPr>
        <w:t xml:space="preserve"> The PBAC noted that the MOGA presented a European Society for Medical Oncology Magnitude of Clinical Benefit Sc</w:t>
      </w:r>
      <w:r w:rsidR="00E65076" w:rsidRPr="000E09E0">
        <w:rPr>
          <w:snapToGrid w:val="0"/>
        </w:rPr>
        <w:t>a</w:t>
      </w:r>
      <w:r w:rsidR="007D1DE8" w:rsidRPr="000E09E0">
        <w:rPr>
          <w:snapToGrid w:val="0"/>
        </w:rPr>
        <w:t xml:space="preserve">le (ESMO-MCBS) for </w:t>
      </w:r>
      <w:r w:rsidR="00E65076" w:rsidRPr="000E09E0">
        <w:rPr>
          <w:snapToGrid w:val="0"/>
        </w:rPr>
        <w:t xml:space="preserve">Topotecan </w:t>
      </w:r>
      <w:r w:rsidR="00E65076" w:rsidRPr="000E09E0">
        <w:rPr>
          <w:snapToGrid w:val="0"/>
        </w:rPr>
        <w:lastRenderedPageBreak/>
        <w:t>Accord</w:t>
      </w:r>
      <w:r w:rsidR="007D1DE8" w:rsidRPr="000E09E0">
        <w:rPr>
          <w:snapToGrid w:val="0"/>
        </w:rPr>
        <w:t xml:space="preserve">, which was limited to 4 (out of a maximum of 5, where 5 and 4 represent the grades with </w:t>
      </w:r>
      <w:r w:rsidR="000E45BE" w:rsidRPr="000E09E0">
        <w:rPr>
          <w:snapToGrid w:val="0"/>
        </w:rPr>
        <w:t>substantial improvement), based on comparison with best supportive care</w:t>
      </w:r>
      <w:r w:rsidR="00E65076" w:rsidRPr="000E09E0">
        <w:rPr>
          <w:snapToGrid w:val="0"/>
        </w:rPr>
        <w:t xml:space="preserve"> using the O’Brien et al trial</w:t>
      </w:r>
      <w:r w:rsidR="007802B1" w:rsidRPr="000E09E0">
        <w:rPr>
          <w:snapToGrid w:val="0"/>
        </w:rPr>
        <w:t>.</w:t>
      </w:r>
      <w:r w:rsidR="00015DC1" w:rsidRPr="000E09E0">
        <w:rPr>
          <w:rStyle w:val="FootnoteReference"/>
          <w:snapToGrid w:val="0"/>
        </w:rPr>
        <w:footnoteReference w:id="1"/>
      </w:r>
      <w:r w:rsidR="000E45BE" w:rsidRPr="000E09E0">
        <w:rPr>
          <w:snapToGrid w:val="0"/>
        </w:rPr>
        <w:t xml:space="preserve"> </w:t>
      </w:r>
    </w:p>
    <w:p w14:paraId="31572404" w14:textId="53A5DA35" w:rsidR="00356E5B" w:rsidRPr="000E09E0" w:rsidRDefault="00671F54" w:rsidP="005C443F">
      <w:pPr>
        <w:pStyle w:val="4-SubsectionHeading"/>
      </w:pPr>
      <w:r w:rsidRPr="000E09E0">
        <w:t>Pricing considerations</w:t>
      </w:r>
    </w:p>
    <w:p w14:paraId="51370A97" w14:textId="2E69613A" w:rsidR="00671F54" w:rsidRPr="000E09E0" w:rsidRDefault="00671F54" w:rsidP="00E44E4B">
      <w:pPr>
        <w:pStyle w:val="3Bodytext"/>
        <w:jc w:val="both"/>
        <w:rPr>
          <w:b/>
        </w:rPr>
      </w:pPr>
      <w:r w:rsidRPr="000E09E0">
        <w:rPr>
          <w:lang w:eastAsia="en-US"/>
        </w:rPr>
        <w:t xml:space="preserve">The </w:t>
      </w:r>
      <w:r w:rsidR="00FE65CD" w:rsidRPr="000E09E0">
        <w:rPr>
          <w:lang w:eastAsia="en-US"/>
        </w:rPr>
        <w:t>committee secretariat submission</w:t>
      </w:r>
      <w:r w:rsidR="004733D2" w:rsidRPr="000E09E0">
        <w:rPr>
          <w:lang w:eastAsia="en-US"/>
        </w:rPr>
        <w:t xml:space="preserve"> proposed the same price for Topotecan Accord as Hycamtin.</w:t>
      </w:r>
      <w:r w:rsidR="00D97075" w:rsidRPr="000E09E0">
        <w:rPr>
          <w:lang w:eastAsia="en-US"/>
        </w:rPr>
        <w:t xml:space="preserve"> </w:t>
      </w:r>
    </w:p>
    <w:p w14:paraId="7C054D52" w14:textId="7C0A87C3" w:rsidR="00C00DA7" w:rsidRPr="000E09E0" w:rsidRDefault="00FA10E3" w:rsidP="002D12C0">
      <w:pPr>
        <w:pStyle w:val="3Bodytext"/>
        <w:jc w:val="both"/>
        <w:rPr>
          <w:b/>
        </w:rPr>
      </w:pPr>
      <w:r w:rsidRPr="000E09E0">
        <w:rPr>
          <w:szCs w:val="24"/>
        </w:rPr>
        <w:t xml:space="preserve">The committee secretariat submission did not provide </w:t>
      </w:r>
      <w:r w:rsidR="00205318" w:rsidRPr="000E09E0">
        <w:rPr>
          <w:szCs w:val="24"/>
        </w:rPr>
        <w:t xml:space="preserve">financial estimates. </w:t>
      </w:r>
    </w:p>
    <w:p w14:paraId="342B48F8" w14:textId="5B9F5E00" w:rsidR="005A58B5" w:rsidRPr="000E09E0" w:rsidRDefault="005A58B5" w:rsidP="005C443F">
      <w:pPr>
        <w:pStyle w:val="3Bodytext"/>
        <w:numPr>
          <w:ilvl w:val="0"/>
          <w:numId w:val="0"/>
        </w:numPr>
        <w:ind w:left="720"/>
        <w:rPr>
          <w:i/>
        </w:rPr>
      </w:pPr>
      <w:r w:rsidRPr="000E09E0">
        <w:rPr>
          <w:i/>
        </w:rPr>
        <w:t>For more detail on PBAC’s view, see section 6 PBAC outcome.</w:t>
      </w:r>
    </w:p>
    <w:p w14:paraId="49D74276" w14:textId="77777777" w:rsidR="002018D8" w:rsidRPr="000E09E0" w:rsidRDefault="002018D8" w:rsidP="009F2173">
      <w:pPr>
        <w:pStyle w:val="2-SectionHeading"/>
      </w:pPr>
      <w:r w:rsidRPr="000E09E0">
        <w:t>PBAC Outcome</w:t>
      </w:r>
    </w:p>
    <w:p w14:paraId="2137AAE9" w14:textId="4D7EB4C0" w:rsidR="002018D8" w:rsidRPr="009A1728" w:rsidRDefault="00582A75" w:rsidP="002018D8">
      <w:pPr>
        <w:widowControl w:val="0"/>
        <w:numPr>
          <w:ilvl w:val="1"/>
          <w:numId w:val="1"/>
        </w:numPr>
        <w:spacing w:after="120"/>
        <w:rPr>
          <w:rFonts w:asciiTheme="minorHAnsi" w:hAnsiTheme="minorHAnsi" w:cs="Arial"/>
          <w:bCs/>
          <w:snapToGrid w:val="0"/>
        </w:rPr>
      </w:pPr>
      <w:r w:rsidRPr="00E44E4B">
        <w:rPr>
          <w:rFonts w:asciiTheme="minorHAnsi" w:hAnsiTheme="minorHAnsi" w:cs="Arial"/>
          <w:bCs/>
          <w:snapToGrid w:val="0"/>
        </w:rPr>
        <w:t>The PBAC recommended the</w:t>
      </w:r>
      <w:r w:rsidR="00FE1013" w:rsidRPr="00E44E4B">
        <w:rPr>
          <w:rFonts w:asciiTheme="minorHAnsi" w:hAnsiTheme="minorHAnsi" w:cs="Arial"/>
          <w:bCs/>
          <w:snapToGrid w:val="0"/>
        </w:rPr>
        <w:t xml:space="preserve"> listing of </w:t>
      </w:r>
      <w:r w:rsidR="00882341" w:rsidRPr="00E44E4B">
        <w:rPr>
          <w:rFonts w:asciiTheme="minorHAnsi" w:hAnsiTheme="minorHAnsi" w:cs="Arial"/>
          <w:bCs/>
          <w:snapToGrid w:val="0"/>
        </w:rPr>
        <w:t xml:space="preserve">a new form of topotecan, </w:t>
      </w:r>
      <w:r w:rsidR="0002183D">
        <w:rPr>
          <w:rFonts w:asciiTheme="minorHAnsi" w:hAnsiTheme="minorHAnsi" w:cs="Arial"/>
          <w:bCs/>
          <w:snapToGrid w:val="0"/>
        </w:rPr>
        <w:t xml:space="preserve">solution concentrate for I.V. infusion 4 mg in 4 mL (as hydrochloride), </w:t>
      </w:r>
      <w:r w:rsidR="004609E3" w:rsidRPr="009A1728">
        <w:rPr>
          <w:rFonts w:asciiTheme="minorHAnsi" w:hAnsiTheme="minorHAnsi" w:cs="Arial"/>
          <w:bCs/>
          <w:snapToGrid w:val="0"/>
        </w:rPr>
        <w:t>as an unrestricted b</w:t>
      </w:r>
      <w:r w:rsidRPr="009A1728">
        <w:rPr>
          <w:rFonts w:asciiTheme="minorHAnsi" w:hAnsiTheme="minorHAnsi" w:cs="Arial"/>
          <w:bCs/>
          <w:snapToGrid w:val="0"/>
        </w:rPr>
        <w:t>enefit</w:t>
      </w:r>
      <w:r w:rsidR="00625D93" w:rsidRPr="009A1728">
        <w:rPr>
          <w:rFonts w:asciiTheme="minorHAnsi" w:hAnsiTheme="minorHAnsi" w:cs="Arial"/>
          <w:bCs/>
          <w:snapToGrid w:val="0"/>
        </w:rPr>
        <w:t xml:space="preserve">, on the basis that it should be </w:t>
      </w:r>
      <w:r w:rsidR="00E811C1" w:rsidRPr="009A1728">
        <w:rPr>
          <w:rFonts w:asciiTheme="minorHAnsi" w:hAnsiTheme="minorHAnsi" w:cs="Arial"/>
          <w:bCs/>
          <w:snapToGrid w:val="0"/>
        </w:rPr>
        <w:t>available only under special arrangements under Section 100</w:t>
      </w:r>
      <w:r w:rsidR="00912BD1" w:rsidRPr="009A1728">
        <w:rPr>
          <w:rFonts w:asciiTheme="minorHAnsi" w:hAnsiTheme="minorHAnsi" w:cs="Arial"/>
          <w:bCs/>
          <w:snapToGrid w:val="0"/>
        </w:rPr>
        <w:t xml:space="preserve"> (Efficient Funding of Chemotherapy)</w:t>
      </w:r>
      <w:r w:rsidR="00E811C1" w:rsidRPr="009A1728">
        <w:rPr>
          <w:rFonts w:asciiTheme="minorHAnsi" w:hAnsiTheme="minorHAnsi" w:cs="Arial"/>
          <w:bCs/>
          <w:snapToGrid w:val="0"/>
        </w:rPr>
        <w:t>.</w:t>
      </w:r>
    </w:p>
    <w:p w14:paraId="018FA1B0" w14:textId="5F91123C" w:rsidR="00FA10E3" w:rsidRPr="000E09E0" w:rsidRDefault="00FA10E3" w:rsidP="0012641D">
      <w:pPr>
        <w:pStyle w:val="3Bodytext"/>
        <w:jc w:val="both"/>
      </w:pPr>
      <w:r w:rsidRPr="000E09E0">
        <w:t xml:space="preserve">The PBAC noted that the TGA considered the new form of topotecan to be bioequivalent to </w:t>
      </w:r>
      <w:r w:rsidR="00BA603B" w:rsidRPr="000E09E0">
        <w:t xml:space="preserve">the currently listed form of topotecan, </w:t>
      </w:r>
      <w:r w:rsidRPr="000E09E0">
        <w:t>Hycamtin.</w:t>
      </w:r>
    </w:p>
    <w:p w14:paraId="148DCB12" w14:textId="79A95615" w:rsidR="00D85647" w:rsidRPr="000E09E0" w:rsidRDefault="00FC04B5" w:rsidP="0012641D">
      <w:pPr>
        <w:pStyle w:val="3Bodytext"/>
        <w:jc w:val="both"/>
      </w:pPr>
      <w:r w:rsidRPr="000E09E0">
        <w:t xml:space="preserve">The PBAC noted that the submission requested the same </w:t>
      </w:r>
      <w:r w:rsidR="0002183D">
        <w:t>listing</w:t>
      </w:r>
      <w:r w:rsidR="0002183D" w:rsidRPr="000E09E0">
        <w:t xml:space="preserve"> </w:t>
      </w:r>
      <w:r w:rsidRPr="000E09E0">
        <w:t>as Hycamtin</w:t>
      </w:r>
      <w:r w:rsidR="00F927EF" w:rsidRPr="000E09E0">
        <w:t>.</w:t>
      </w:r>
      <w:r w:rsidRPr="000E09E0">
        <w:t xml:space="preserve"> </w:t>
      </w:r>
      <w:r w:rsidR="00F927EF" w:rsidRPr="000E09E0">
        <w:t>H</w:t>
      </w:r>
      <w:r w:rsidRPr="000E09E0">
        <w:t>owever</w:t>
      </w:r>
      <w:r w:rsidR="00F927EF" w:rsidRPr="000E09E0">
        <w:t>,</w:t>
      </w:r>
      <w:r w:rsidRPr="000E09E0">
        <w:t xml:space="preserve"> the PBAC considered that expanding the current PBS listing to an unrestricted benefit would allow </w:t>
      </w:r>
      <w:r w:rsidR="003D4750" w:rsidRPr="000E09E0">
        <w:t>topotecan to be used in a number of different cancers types</w:t>
      </w:r>
      <w:r w:rsidR="002B11F3" w:rsidRPr="000E09E0">
        <w:t xml:space="preserve"> for a small population of patients who are intolerant to current treatment combinations</w:t>
      </w:r>
      <w:r w:rsidRPr="000E09E0">
        <w:t>.</w:t>
      </w:r>
      <w:r w:rsidR="003D4750" w:rsidRPr="000E09E0">
        <w:t xml:space="preserve"> </w:t>
      </w:r>
      <w:r w:rsidR="0013489C" w:rsidRPr="000E09E0">
        <w:t xml:space="preserve">The PBAC noted that </w:t>
      </w:r>
      <w:r w:rsidR="003D4750" w:rsidRPr="000E09E0">
        <w:t xml:space="preserve">the Lung Foundation </w:t>
      </w:r>
      <w:r w:rsidR="0013489C" w:rsidRPr="000E09E0">
        <w:t xml:space="preserve">Australia </w:t>
      </w:r>
      <w:r w:rsidR="003D4750" w:rsidRPr="000E09E0">
        <w:t xml:space="preserve">and the </w:t>
      </w:r>
      <w:r w:rsidR="003D4750" w:rsidRPr="000E09E0">
        <w:rPr>
          <w:snapToGrid w:val="0"/>
        </w:rPr>
        <w:t>Medical Oncology Group of Australia</w:t>
      </w:r>
      <w:r w:rsidR="0013489C" w:rsidRPr="000E09E0">
        <w:rPr>
          <w:snapToGrid w:val="0"/>
        </w:rPr>
        <w:t xml:space="preserve"> were supportive of extending the indication of topotecan to include small cell lung cancer</w:t>
      </w:r>
      <w:r w:rsidR="003D4750" w:rsidRPr="000E09E0">
        <w:rPr>
          <w:snapToGrid w:val="0"/>
        </w:rPr>
        <w:t>.</w:t>
      </w:r>
      <w:r w:rsidR="002B11F3" w:rsidRPr="000E09E0">
        <w:rPr>
          <w:snapToGrid w:val="0"/>
        </w:rPr>
        <w:t xml:space="preserve"> </w:t>
      </w:r>
    </w:p>
    <w:p w14:paraId="67D54ADC" w14:textId="4E7D0D2B" w:rsidR="006C0BEF" w:rsidRPr="000E09E0" w:rsidRDefault="004609E3" w:rsidP="002120DF">
      <w:pPr>
        <w:pStyle w:val="3Bodytext"/>
        <w:jc w:val="both"/>
      </w:pPr>
      <w:r w:rsidRPr="000E09E0">
        <w:t>The PBAC</w:t>
      </w:r>
      <w:r w:rsidR="00622DB0">
        <w:t xml:space="preserve"> noted that topotecan has significantly reduced in price since it was initially listed on the PBS, and</w:t>
      </w:r>
      <w:r w:rsidRPr="000E09E0">
        <w:t xml:space="preserve"> considered that changing the </w:t>
      </w:r>
      <w:r w:rsidR="00BA603B" w:rsidRPr="000E09E0">
        <w:t xml:space="preserve">authority level </w:t>
      </w:r>
      <w:r w:rsidRPr="000E09E0">
        <w:t xml:space="preserve">from an Authority Required (STREAMLINED) to an unrestricted benefit would </w:t>
      </w:r>
      <w:r w:rsidR="00622DB0">
        <w:t>likely</w:t>
      </w:r>
      <w:r w:rsidR="00622DB0" w:rsidRPr="000E09E0">
        <w:t xml:space="preserve"> </w:t>
      </w:r>
      <w:r w:rsidRPr="000E09E0">
        <w:t xml:space="preserve">have </w:t>
      </w:r>
      <w:r w:rsidR="006B5E5D">
        <w:t xml:space="preserve">only </w:t>
      </w:r>
      <w:r w:rsidRPr="000E09E0">
        <w:t xml:space="preserve">a small financial impact </w:t>
      </w:r>
      <w:r w:rsidR="00057992" w:rsidRPr="000E09E0">
        <w:t xml:space="preserve">given </w:t>
      </w:r>
      <w:r w:rsidR="00622DB0">
        <w:t>that</w:t>
      </w:r>
      <w:r w:rsidR="002B11F3" w:rsidRPr="000E09E0">
        <w:t xml:space="preserve"> </w:t>
      </w:r>
      <w:r w:rsidR="007802B1" w:rsidRPr="000E09E0">
        <w:t xml:space="preserve">additional </w:t>
      </w:r>
      <w:r w:rsidR="002B11F3" w:rsidRPr="000E09E0">
        <w:t>use would be in a small number of patients</w:t>
      </w:r>
      <w:r w:rsidRPr="000E09E0">
        <w:t>.</w:t>
      </w:r>
    </w:p>
    <w:p w14:paraId="1A592798" w14:textId="6FCF5DA3" w:rsidR="002018D8" w:rsidRDefault="0070146E" w:rsidP="002018D8">
      <w:pPr>
        <w:widowControl w:val="0"/>
        <w:numPr>
          <w:ilvl w:val="1"/>
          <w:numId w:val="1"/>
        </w:numPr>
        <w:spacing w:after="120"/>
        <w:rPr>
          <w:rFonts w:asciiTheme="minorHAnsi" w:hAnsiTheme="minorHAnsi" w:cs="Arial"/>
          <w:bCs/>
          <w:snapToGrid w:val="0"/>
        </w:rPr>
      </w:pPr>
      <w:r w:rsidRPr="009A1728">
        <w:rPr>
          <w:rFonts w:asciiTheme="minorHAnsi" w:hAnsiTheme="minorHAnsi" w:cs="Arial"/>
          <w:bCs/>
          <w:snapToGrid w:val="0"/>
        </w:rPr>
        <w:t>The PBAC considered that the change from Authorit</w:t>
      </w:r>
      <w:r w:rsidR="00567D92" w:rsidRPr="009A1728">
        <w:rPr>
          <w:rFonts w:asciiTheme="minorHAnsi" w:hAnsiTheme="minorHAnsi" w:cs="Arial"/>
          <w:bCs/>
          <w:snapToGrid w:val="0"/>
        </w:rPr>
        <w:t>y Required (STREAMLINED) to an unrestricted b</w:t>
      </w:r>
      <w:r w:rsidRPr="009A1728">
        <w:rPr>
          <w:rFonts w:asciiTheme="minorHAnsi" w:hAnsiTheme="minorHAnsi" w:cs="Arial"/>
          <w:bCs/>
          <w:snapToGrid w:val="0"/>
        </w:rPr>
        <w:t xml:space="preserve">enefit should </w:t>
      </w:r>
      <w:r w:rsidR="00731561">
        <w:rPr>
          <w:rFonts w:asciiTheme="minorHAnsi" w:hAnsiTheme="minorHAnsi" w:cs="Arial"/>
          <w:bCs/>
          <w:snapToGrid w:val="0"/>
        </w:rPr>
        <w:t>also be applied</w:t>
      </w:r>
      <w:r w:rsidRPr="009A1728">
        <w:rPr>
          <w:rFonts w:asciiTheme="minorHAnsi" w:hAnsiTheme="minorHAnsi" w:cs="Arial"/>
          <w:bCs/>
          <w:snapToGrid w:val="0"/>
        </w:rPr>
        <w:t xml:space="preserve"> to topotecan (Hycamtin). </w:t>
      </w:r>
    </w:p>
    <w:p w14:paraId="0148209E" w14:textId="1E8FD784" w:rsidR="000F7330" w:rsidRPr="009A1728" w:rsidRDefault="000F7330" w:rsidP="00446FB2">
      <w:pPr>
        <w:pStyle w:val="3Bodytext"/>
        <w:jc w:val="both"/>
        <w:rPr>
          <w:rFonts w:cs="Arial"/>
          <w:bCs/>
          <w:snapToGrid w:val="0"/>
        </w:rPr>
      </w:pPr>
      <w:r w:rsidRPr="000F7330">
        <w:rPr>
          <w:rFonts w:eastAsia="Times New Roman" w:cs="Arial"/>
          <w:bCs/>
          <w:snapToGrid w:val="0"/>
          <w:szCs w:val="24"/>
        </w:rPr>
        <w:t xml:space="preserve">The PBAC noted that its recommendation was on a cost-minimisation basis and advised that, because </w:t>
      </w:r>
      <w:r>
        <w:rPr>
          <w:rFonts w:eastAsia="Times New Roman" w:cs="Arial"/>
          <w:bCs/>
          <w:snapToGrid w:val="0"/>
          <w:szCs w:val="24"/>
        </w:rPr>
        <w:t>Topotecan Accord</w:t>
      </w:r>
      <w:r w:rsidRPr="000F7330">
        <w:rPr>
          <w:rFonts w:eastAsia="Times New Roman" w:cs="Arial"/>
          <w:bCs/>
          <w:snapToGrid w:val="0"/>
          <w:szCs w:val="24"/>
        </w:rPr>
        <w:t xml:space="preserve"> is not expected to provide a substantial and clinically relevant improvement in efficacy, or reduction of toxicity, over </w:t>
      </w:r>
      <w:r>
        <w:rPr>
          <w:rFonts w:eastAsia="Times New Roman" w:cs="Arial"/>
          <w:bCs/>
          <w:snapToGrid w:val="0"/>
          <w:szCs w:val="24"/>
        </w:rPr>
        <w:t>Hycamtin</w:t>
      </w:r>
      <w:r w:rsidRPr="000F7330">
        <w:rPr>
          <w:rFonts w:eastAsia="Times New Roman" w:cs="Arial"/>
          <w:bCs/>
          <w:snapToGrid w:val="0"/>
          <w:szCs w:val="24"/>
        </w:rPr>
        <w:t xml:space="preserve">, or not expected to address a high and urgent unmet clinical need given the presence of an alternative therapy, the criteria prescribed by the </w:t>
      </w:r>
      <w:r w:rsidRPr="000F7330">
        <w:rPr>
          <w:rFonts w:eastAsia="Times New Roman" w:cs="Arial"/>
          <w:bCs/>
          <w:i/>
          <w:snapToGrid w:val="0"/>
          <w:szCs w:val="24"/>
        </w:rPr>
        <w:t xml:space="preserve">National Health </w:t>
      </w:r>
      <w:r w:rsidRPr="000F7330">
        <w:rPr>
          <w:rFonts w:eastAsia="Times New Roman" w:cs="Arial"/>
          <w:bCs/>
          <w:i/>
          <w:snapToGrid w:val="0"/>
          <w:szCs w:val="24"/>
        </w:rPr>
        <w:lastRenderedPageBreak/>
        <w:t>(Pharmaceuticals and Vaccines – Cost Recovery) Regulations 2009</w:t>
      </w:r>
      <w:r w:rsidRPr="000F7330">
        <w:rPr>
          <w:rFonts w:eastAsia="Times New Roman" w:cs="Arial"/>
          <w:bCs/>
          <w:snapToGrid w:val="0"/>
          <w:szCs w:val="24"/>
        </w:rPr>
        <w:t xml:space="preserve"> for Pricing Pathway A were not met.</w:t>
      </w:r>
    </w:p>
    <w:p w14:paraId="5A6EB097" w14:textId="18B3C7F1" w:rsidR="002018D8" w:rsidRPr="009A1728" w:rsidRDefault="00DF6E76" w:rsidP="002018D8">
      <w:pPr>
        <w:widowControl w:val="0"/>
        <w:numPr>
          <w:ilvl w:val="1"/>
          <w:numId w:val="1"/>
        </w:numPr>
        <w:spacing w:after="120"/>
        <w:rPr>
          <w:rFonts w:asciiTheme="minorHAnsi" w:hAnsiTheme="minorHAnsi" w:cs="Arial"/>
          <w:bCs/>
          <w:snapToGrid w:val="0"/>
        </w:rPr>
      </w:pPr>
      <w:r w:rsidRPr="009A1728">
        <w:rPr>
          <w:rFonts w:asciiTheme="minorHAnsi" w:hAnsiTheme="minorHAnsi" w:cs="Arial"/>
          <w:bCs/>
          <w:snapToGrid w:val="0"/>
        </w:rPr>
        <w:t>The PBAC noted that this submission is not eligible for an Independent Review as it received a positive recommendation</w:t>
      </w:r>
      <w:r w:rsidR="000E09E0" w:rsidRPr="009A1728">
        <w:rPr>
          <w:rFonts w:asciiTheme="minorHAnsi" w:hAnsiTheme="minorHAnsi" w:cs="Arial"/>
          <w:bCs/>
          <w:snapToGrid w:val="0"/>
        </w:rPr>
        <w:t xml:space="preserve">. </w:t>
      </w:r>
    </w:p>
    <w:p w14:paraId="549F02CD" w14:textId="5DD6204E" w:rsidR="002018D8" w:rsidRPr="009A1728" w:rsidRDefault="002018D8" w:rsidP="002018D8">
      <w:pPr>
        <w:spacing w:before="240"/>
        <w:rPr>
          <w:rFonts w:asciiTheme="minorHAnsi" w:hAnsiTheme="minorHAnsi" w:cs="Arial"/>
          <w:b/>
          <w:bCs/>
          <w:snapToGrid w:val="0"/>
        </w:rPr>
      </w:pPr>
      <w:r w:rsidRPr="009A1728">
        <w:rPr>
          <w:rFonts w:asciiTheme="minorHAnsi" w:hAnsiTheme="minorHAnsi" w:cs="Arial"/>
          <w:b/>
          <w:bCs/>
          <w:snapToGrid w:val="0"/>
        </w:rPr>
        <w:t>Outcome:</w:t>
      </w:r>
    </w:p>
    <w:p w14:paraId="733B6449" w14:textId="2B055A6B" w:rsidR="002018D8" w:rsidRDefault="00DF6E76" w:rsidP="002018D8">
      <w:pPr>
        <w:rPr>
          <w:rFonts w:asciiTheme="minorHAnsi" w:hAnsiTheme="minorHAnsi" w:cs="Arial"/>
          <w:bCs/>
          <w:snapToGrid w:val="0"/>
        </w:rPr>
      </w:pPr>
      <w:r w:rsidRPr="009A1728">
        <w:rPr>
          <w:rFonts w:asciiTheme="minorHAnsi" w:hAnsiTheme="minorHAnsi" w:cs="Arial"/>
          <w:bCs/>
          <w:snapToGrid w:val="0"/>
        </w:rPr>
        <w:t xml:space="preserve">Recommended </w:t>
      </w:r>
    </w:p>
    <w:p w14:paraId="076A78EA" w14:textId="77777777" w:rsidR="0014624E" w:rsidRPr="009A1728" w:rsidRDefault="0014624E" w:rsidP="002018D8">
      <w:pPr>
        <w:rPr>
          <w:rFonts w:asciiTheme="minorHAnsi" w:hAnsiTheme="minorHAnsi" w:cs="Arial"/>
          <w:bCs/>
          <w:snapToGrid w:val="0"/>
        </w:rPr>
      </w:pPr>
    </w:p>
    <w:p w14:paraId="12436505" w14:textId="6957DA98" w:rsidR="002018D8" w:rsidRPr="009A1728" w:rsidRDefault="002018D8" w:rsidP="009F2173">
      <w:pPr>
        <w:pStyle w:val="2-SectionHeading"/>
        <w:rPr>
          <w:i/>
        </w:rPr>
      </w:pPr>
      <w:r w:rsidRPr="009A1728">
        <w:t>Recommended listing</w:t>
      </w:r>
    </w:p>
    <w:p w14:paraId="3E872EB5" w14:textId="77F48AF4" w:rsidR="002018D8" w:rsidRPr="009A1728" w:rsidRDefault="00EE468F" w:rsidP="009A1728">
      <w:pPr>
        <w:pStyle w:val="3Bodytext"/>
        <w:jc w:val="both"/>
        <w:rPr>
          <w:rFonts w:cs="Arial"/>
          <w:b/>
          <w:bCs/>
          <w:snapToGrid w:val="0"/>
        </w:rPr>
      </w:pPr>
      <w:r w:rsidRPr="000E09E0">
        <w:rPr>
          <w:rFonts w:eastAsia="Times New Roman" w:cs="Arial"/>
          <w:bCs/>
          <w:snapToGrid w:val="0"/>
          <w:szCs w:val="24"/>
        </w:rPr>
        <w:t xml:space="preserve">Add new </w:t>
      </w:r>
      <w:r w:rsidR="00DD1499" w:rsidRPr="000E09E0">
        <w:rPr>
          <w:rFonts w:eastAsia="Times New Roman" w:cs="Arial"/>
          <w:bCs/>
          <w:snapToGrid w:val="0"/>
          <w:szCs w:val="24"/>
        </w:rPr>
        <w:t xml:space="preserve">non-originator </w:t>
      </w:r>
      <w:r w:rsidRPr="000E09E0">
        <w:rPr>
          <w:rFonts w:eastAsia="Times New Roman" w:cs="Arial"/>
          <w:bCs/>
          <w:snapToGrid w:val="0"/>
          <w:szCs w:val="24"/>
        </w:rPr>
        <w:t>medicinal product pack to the existing listing for topotecan</w:t>
      </w:r>
      <w:r w:rsidR="00DD1499" w:rsidRPr="000E09E0">
        <w:rPr>
          <w:rFonts w:eastAsia="Times New Roman" w:cs="Arial"/>
          <w:bCs/>
          <w:snapToGrid w:val="0"/>
          <w:szCs w:val="24"/>
        </w:rPr>
        <w:t xml:space="preserve"> as shown below</w:t>
      </w:r>
      <w:r w:rsidRPr="000E09E0">
        <w:rPr>
          <w:rFonts w:eastAsia="Times New Roman" w:cs="Arial"/>
          <w:bCs/>
          <w:snapToGrid w:val="0"/>
          <w:szCs w:val="24"/>
        </w:rPr>
        <w:t>.</w:t>
      </w:r>
    </w:p>
    <w:p w14:paraId="631CAD90" w14:textId="1075E969" w:rsidR="00DD1499" w:rsidRPr="000E09E0" w:rsidRDefault="00DD1499" w:rsidP="009A1728">
      <w:pPr>
        <w:pStyle w:val="3Bodytext"/>
        <w:jc w:val="both"/>
        <w:rPr>
          <w:rFonts w:cs="Arial"/>
          <w:b/>
          <w:bCs/>
          <w:snapToGrid w:val="0"/>
        </w:rPr>
      </w:pPr>
      <w:r w:rsidRPr="000E09E0">
        <w:rPr>
          <w:rFonts w:eastAsia="Times New Roman" w:cs="Arial"/>
          <w:bCs/>
          <w:snapToGrid w:val="0"/>
          <w:szCs w:val="24"/>
        </w:rPr>
        <w:t>Amend restriction type from ‘Authority Required (Streamline</w:t>
      </w:r>
      <w:r w:rsidR="009A1728">
        <w:rPr>
          <w:rFonts w:eastAsia="Times New Roman" w:cs="Arial"/>
          <w:bCs/>
          <w:snapToGrid w:val="0"/>
          <w:szCs w:val="24"/>
        </w:rPr>
        <w:t>d</w:t>
      </w:r>
      <w:r w:rsidRPr="000E09E0">
        <w:rPr>
          <w:rFonts w:eastAsia="Times New Roman" w:cs="Arial"/>
          <w:bCs/>
          <w:snapToGrid w:val="0"/>
          <w:szCs w:val="24"/>
        </w:rPr>
        <w:t>)’ to ‘unrestricted benefit’</w:t>
      </w:r>
      <w:r w:rsidR="00561786" w:rsidRPr="000E09E0">
        <w:rPr>
          <w:rFonts w:eastAsia="Times New Roman" w:cs="Arial"/>
          <w:bCs/>
          <w:snapToGrid w:val="0"/>
          <w:szCs w:val="24"/>
        </w:rPr>
        <w:t xml:space="preserve"> for all topotecan listed products</w:t>
      </w:r>
      <w:r w:rsidRPr="000E09E0">
        <w:rPr>
          <w:rFonts w:eastAsia="Times New Roman" w:cs="Arial"/>
          <w:bCs/>
          <w:snapToGrid w:val="0"/>
          <w:szCs w:val="24"/>
        </w:rPr>
        <w:t>.</w:t>
      </w:r>
    </w:p>
    <w:tbl>
      <w:tblPr>
        <w:tblW w:w="5000" w:type="pct"/>
        <w:tblLook w:val="0000" w:firstRow="0" w:lastRow="0" w:firstColumn="0" w:lastColumn="0" w:noHBand="0" w:noVBand="0"/>
      </w:tblPr>
      <w:tblGrid>
        <w:gridCol w:w="3301"/>
        <w:gridCol w:w="1464"/>
        <w:gridCol w:w="1309"/>
        <w:gridCol w:w="641"/>
        <w:gridCol w:w="2311"/>
      </w:tblGrid>
      <w:tr w:rsidR="0012641D" w:rsidRPr="000E09E0" w14:paraId="553B721D" w14:textId="77777777" w:rsidTr="00E44E4B">
        <w:trPr>
          <w:cantSplit/>
          <w:trHeight w:val="471"/>
        </w:trPr>
        <w:tc>
          <w:tcPr>
            <w:tcW w:w="1829" w:type="pct"/>
            <w:tcBorders>
              <w:bottom w:val="single" w:sz="4" w:space="0" w:color="auto"/>
            </w:tcBorders>
          </w:tcPr>
          <w:p w14:paraId="63B5A4D4" w14:textId="77777777" w:rsidR="0012641D" w:rsidRPr="000E09E0" w:rsidRDefault="0012641D" w:rsidP="00054F52">
            <w:pPr>
              <w:pStyle w:val="TableText0"/>
              <w:rPr>
                <w:b/>
                <w:sz w:val="18"/>
              </w:rPr>
            </w:pPr>
            <w:r w:rsidRPr="000E09E0">
              <w:rPr>
                <w:b/>
                <w:sz w:val="18"/>
              </w:rPr>
              <w:t>Name, Restriction,</w:t>
            </w:r>
          </w:p>
          <w:p w14:paraId="4A814A62" w14:textId="77777777" w:rsidR="0012641D" w:rsidRPr="000E09E0" w:rsidRDefault="0012641D" w:rsidP="00054F52">
            <w:pPr>
              <w:pStyle w:val="TableText0"/>
            </w:pPr>
            <w:r w:rsidRPr="000E09E0">
              <w:rPr>
                <w:b/>
                <w:sz w:val="18"/>
              </w:rPr>
              <w:t>Manner of administration and form</w:t>
            </w:r>
          </w:p>
        </w:tc>
        <w:tc>
          <w:tcPr>
            <w:tcW w:w="811" w:type="pct"/>
            <w:tcBorders>
              <w:bottom w:val="single" w:sz="4" w:space="0" w:color="auto"/>
            </w:tcBorders>
          </w:tcPr>
          <w:p w14:paraId="5D0F649F" w14:textId="77777777" w:rsidR="0012641D" w:rsidRPr="000E09E0" w:rsidRDefault="0012641D" w:rsidP="00A53424">
            <w:pPr>
              <w:keepNext/>
              <w:ind w:left="-108"/>
              <w:jc w:val="center"/>
              <w:rPr>
                <w:rFonts w:ascii="Arial Narrow" w:hAnsi="Arial Narrow" w:cs="Arial"/>
                <w:b/>
                <w:sz w:val="18"/>
                <w:szCs w:val="18"/>
              </w:rPr>
            </w:pPr>
            <w:r w:rsidRPr="000E09E0">
              <w:rPr>
                <w:rFonts w:ascii="Arial Narrow" w:hAnsi="Arial Narrow" w:cs="Arial"/>
                <w:b/>
                <w:sz w:val="18"/>
                <w:szCs w:val="18"/>
              </w:rPr>
              <w:t>PBS item code</w:t>
            </w:r>
          </w:p>
        </w:tc>
        <w:tc>
          <w:tcPr>
            <w:tcW w:w="725" w:type="pct"/>
            <w:tcBorders>
              <w:bottom w:val="single" w:sz="4" w:space="0" w:color="auto"/>
            </w:tcBorders>
          </w:tcPr>
          <w:p w14:paraId="32940B7E" w14:textId="77777777" w:rsidR="0012641D" w:rsidRPr="000E09E0" w:rsidRDefault="0012641D" w:rsidP="00A53424">
            <w:pPr>
              <w:keepNext/>
              <w:ind w:left="-108"/>
              <w:jc w:val="center"/>
              <w:rPr>
                <w:rFonts w:ascii="Arial Narrow" w:hAnsi="Arial Narrow" w:cs="Arial"/>
                <w:b/>
                <w:sz w:val="18"/>
                <w:szCs w:val="18"/>
              </w:rPr>
            </w:pPr>
            <w:r w:rsidRPr="000E09E0">
              <w:rPr>
                <w:rFonts w:ascii="Arial Narrow" w:hAnsi="Arial Narrow" w:cs="Arial"/>
                <w:b/>
                <w:sz w:val="18"/>
                <w:szCs w:val="18"/>
              </w:rPr>
              <w:t>Max. amount</w:t>
            </w:r>
          </w:p>
        </w:tc>
        <w:tc>
          <w:tcPr>
            <w:tcW w:w="355" w:type="pct"/>
            <w:tcBorders>
              <w:bottom w:val="single" w:sz="4" w:space="0" w:color="auto"/>
            </w:tcBorders>
          </w:tcPr>
          <w:p w14:paraId="7489B18B" w14:textId="77777777" w:rsidR="0012641D" w:rsidRPr="000E09E0" w:rsidRDefault="0012641D" w:rsidP="00A53424">
            <w:pPr>
              <w:keepNext/>
              <w:ind w:left="-108"/>
              <w:jc w:val="center"/>
              <w:rPr>
                <w:rFonts w:ascii="Arial Narrow" w:hAnsi="Arial Narrow" w:cs="Arial"/>
                <w:b/>
                <w:sz w:val="18"/>
                <w:szCs w:val="18"/>
              </w:rPr>
            </w:pPr>
            <w:r w:rsidRPr="000E09E0">
              <w:rPr>
                <w:rFonts w:ascii="Arial Narrow" w:hAnsi="Arial Narrow" w:cs="Arial"/>
                <w:b/>
                <w:sz w:val="18"/>
                <w:szCs w:val="18"/>
              </w:rPr>
              <w:t>№.of</w:t>
            </w:r>
          </w:p>
          <w:p w14:paraId="616D1A5B" w14:textId="77777777" w:rsidR="0012641D" w:rsidRPr="000E09E0" w:rsidRDefault="0012641D" w:rsidP="00A53424">
            <w:pPr>
              <w:keepNext/>
              <w:ind w:left="-108"/>
              <w:jc w:val="center"/>
              <w:rPr>
                <w:rFonts w:ascii="Arial Narrow" w:hAnsi="Arial Narrow" w:cs="Arial"/>
                <w:b/>
                <w:sz w:val="18"/>
                <w:szCs w:val="18"/>
              </w:rPr>
            </w:pPr>
            <w:r w:rsidRPr="000E09E0">
              <w:rPr>
                <w:rFonts w:ascii="Arial Narrow" w:hAnsi="Arial Narrow" w:cs="Arial"/>
                <w:b/>
                <w:sz w:val="18"/>
                <w:szCs w:val="18"/>
              </w:rPr>
              <w:t>Rpts</w:t>
            </w:r>
          </w:p>
        </w:tc>
        <w:tc>
          <w:tcPr>
            <w:tcW w:w="1280" w:type="pct"/>
            <w:tcBorders>
              <w:bottom w:val="single" w:sz="4" w:space="0" w:color="auto"/>
            </w:tcBorders>
          </w:tcPr>
          <w:p w14:paraId="53008000" w14:textId="77777777" w:rsidR="0012641D" w:rsidRPr="000E09E0" w:rsidRDefault="0012641D" w:rsidP="00A53424">
            <w:pPr>
              <w:keepNext/>
              <w:rPr>
                <w:rFonts w:ascii="Arial Narrow" w:hAnsi="Arial Narrow" w:cs="Arial"/>
                <w:b/>
                <w:sz w:val="18"/>
                <w:szCs w:val="18"/>
              </w:rPr>
            </w:pPr>
            <w:r w:rsidRPr="000E09E0">
              <w:rPr>
                <w:rFonts w:ascii="Arial Narrow" w:hAnsi="Arial Narrow" w:cs="Arial"/>
                <w:b/>
                <w:sz w:val="18"/>
                <w:szCs w:val="18"/>
              </w:rPr>
              <w:t>Manufacturer</w:t>
            </w:r>
          </w:p>
        </w:tc>
      </w:tr>
      <w:tr w:rsidR="0012641D" w:rsidRPr="000E09E0" w14:paraId="4DE6F603" w14:textId="77777777" w:rsidTr="00E44E4B">
        <w:trPr>
          <w:cantSplit/>
          <w:trHeight w:val="514"/>
        </w:trPr>
        <w:tc>
          <w:tcPr>
            <w:tcW w:w="1829" w:type="pct"/>
            <w:tcBorders>
              <w:top w:val="single" w:sz="4" w:space="0" w:color="auto"/>
            </w:tcBorders>
          </w:tcPr>
          <w:p w14:paraId="6495B4E0" w14:textId="77777777" w:rsidR="0012641D" w:rsidRPr="000E09E0" w:rsidRDefault="0012641D" w:rsidP="00A53424">
            <w:pPr>
              <w:keepNext/>
              <w:ind w:left="-108"/>
              <w:rPr>
                <w:rFonts w:ascii="Arial Narrow" w:hAnsi="Arial Narrow" w:cs="Arial"/>
                <w:sz w:val="18"/>
                <w:szCs w:val="18"/>
              </w:rPr>
            </w:pPr>
            <w:r w:rsidRPr="000E09E0">
              <w:rPr>
                <w:rFonts w:ascii="Arial Narrow" w:hAnsi="Arial Narrow" w:cs="Arial"/>
                <w:smallCaps/>
                <w:sz w:val="18"/>
                <w:szCs w:val="18"/>
              </w:rPr>
              <w:t>TOPOTECAN</w:t>
            </w:r>
          </w:p>
          <w:p w14:paraId="5E48D641" w14:textId="77777777" w:rsidR="0012641D" w:rsidRPr="000E09E0" w:rsidRDefault="0012641D" w:rsidP="00A53424">
            <w:pPr>
              <w:keepNext/>
              <w:ind w:left="-108"/>
              <w:rPr>
                <w:rFonts w:ascii="Arial Narrow" w:hAnsi="Arial Narrow" w:cs="Arial"/>
                <w:sz w:val="18"/>
                <w:szCs w:val="18"/>
              </w:rPr>
            </w:pPr>
            <w:r w:rsidRPr="000E09E0">
              <w:rPr>
                <w:rFonts w:ascii="Arial Narrow" w:hAnsi="Arial Narrow" w:cs="Arial"/>
                <w:sz w:val="18"/>
                <w:szCs w:val="18"/>
              </w:rPr>
              <w:t>Injection</w:t>
            </w:r>
          </w:p>
        </w:tc>
        <w:tc>
          <w:tcPr>
            <w:tcW w:w="811" w:type="pct"/>
            <w:tcBorders>
              <w:top w:val="single" w:sz="4" w:space="0" w:color="auto"/>
            </w:tcBorders>
          </w:tcPr>
          <w:p w14:paraId="2B50767F" w14:textId="77777777" w:rsidR="0012641D" w:rsidRPr="000E09E0" w:rsidRDefault="0012641D" w:rsidP="00A53424">
            <w:pPr>
              <w:keepNext/>
              <w:ind w:left="-108"/>
              <w:jc w:val="left"/>
              <w:rPr>
                <w:rFonts w:ascii="Arial Narrow" w:hAnsi="Arial Narrow" w:cs="Arial"/>
                <w:sz w:val="18"/>
                <w:szCs w:val="18"/>
              </w:rPr>
            </w:pPr>
            <w:r w:rsidRPr="000E09E0">
              <w:rPr>
                <w:rFonts w:ascii="Arial Narrow" w:hAnsi="Arial Narrow" w:cs="Arial"/>
                <w:sz w:val="18"/>
                <w:szCs w:val="18"/>
              </w:rPr>
              <w:t>4617B  (Public)</w:t>
            </w:r>
          </w:p>
          <w:p w14:paraId="48DEBBC8" w14:textId="77777777" w:rsidR="0012641D" w:rsidRPr="000E09E0" w:rsidRDefault="0012641D" w:rsidP="00A53424">
            <w:pPr>
              <w:keepNext/>
              <w:ind w:left="-108"/>
              <w:jc w:val="left"/>
              <w:rPr>
                <w:rFonts w:ascii="Arial Narrow" w:hAnsi="Arial Narrow" w:cs="Arial"/>
                <w:sz w:val="18"/>
                <w:szCs w:val="18"/>
              </w:rPr>
            </w:pPr>
            <w:r w:rsidRPr="000E09E0">
              <w:rPr>
                <w:rFonts w:ascii="Arial Narrow" w:hAnsi="Arial Narrow" w:cs="Arial"/>
                <w:sz w:val="18"/>
                <w:szCs w:val="18"/>
              </w:rPr>
              <w:t>7260D (Private)</w:t>
            </w:r>
          </w:p>
        </w:tc>
        <w:tc>
          <w:tcPr>
            <w:tcW w:w="725" w:type="pct"/>
            <w:tcBorders>
              <w:top w:val="single" w:sz="4" w:space="0" w:color="auto"/>
            </w:tcBorders>
          </w:tcPr>
          <w:p w14:paraId="23D6B2BD" w14:textId="77777777" w:rsidR="0012641D" w:rsidRPr="000E09E0" w:rsidRDefault="0012641D" w:rsidP="00A53424">
            <w:pPr>
              <w:keepNext/>
              <w:jc w:val="center"/>
              <w:rPr>
                <w:rFonts w:ascii="Arial Narrow" w:hAnsi="Arial Narrow" w:cs="Arial"/>
                <w:sz w:val="18"/>
                <w:szCs w:val="18"/>
              </w:rPr>
            </w:pPr>
            <w:r w:rsidRPr="000E09E0">
              <w:rPr>
                <w:rFonts w:ascii="Arial Narrow" w:hAnsi="Arial Narrow" w:cs="Arial"/>
                <w:sz w:val="18"/>
                <w:szCs w:val="18"/>
              </w:rPr>
              <w:t>3500 mcg</w:t>
            </w:r>
          </w:p>
        </w:tc>
        <w:tc>
          <w:tcPr>
            <w:tcW w:w="355" w:type="pct"/>
            <w:tcBorders>
              <w:top w:val="single" w:sz="4" w:space="0" w:color="auto"/>
            </w:tcBorders>
          </w:tcPr>
          <w:p w14:paraId="7E93B048" w14:textId="77777777" w:rsidR="0012641D" w:rsidRPr="000E09E0" w:rsidRDefault="0012641D" w:rsidP="00A53424">
            <w:pPr>
              <w:keepNext/>
              <w:ind w:left="-108"/>
              <w:jc w:val="center"/>
              <w:rPr>
                <w:rFonts w:ascii="Arial Narrow" w:hAnsi="Arial Narrow" w:cs="Arial"/>
                <w:sz w:val="18"/>
                <w:szCs w:val="18"/>
              </w:rPr>
            </w:pPr>
            <w:r w:rsidRPr="000E09E0">
              <w:rPr>
                <w:rFonts w:ascii="Arial Narrow" w:hAnsi="Arial Narrow" w:cs="Arial"/>
                <w:sz w:val="18"/>
                <w:szCs w:val="18"/>
              </w:rPr>
              <w:t>17</w:t>
            </w:r>
          </w:p>
        </w:tc>
        <w:tc>
          <w:tcPr>
            <w:tcW w:w="1280" w:type="pct"/>
            <w:tcBorders>
              <w:top w:val="single" w:sz="4" w:space="0" w:color="auto"/>
            </w:tcBorders>
          </w:tcPr>
          <w:p w14:paraId="081CA4B2" w14:textId="77777777" w:rsidR="0012641D" w:rsidRPr="000E09E0" w:rsidRDefault="0012641D" w:rsidP="00A53424">
            <w:pPr>
              <w:keepNext/>
              <w:rPr>
                <w:rFonts w:ascii="Arial Narrow" w:hAnsi="Arial Narrow" w:cs="Arial"/>
                <w:sz w:val="18"/>
                <w:szCs w:val="18"/>
              </w:rPr>
            </w:pPr>
          </w:p>
        </w:tc>
      </w:tr>
      <w:tr w:rsidR="00561786" w:rsidRPr="000E09E0" w14:paraId="0E3A5F70" w14:textId="77777777" w:rsidTr="00E44E4B">
        <w:trPr>
          <w:cantSplit/>
          <w:trHeight w:val="514"/>
        </w:trPr>
        <w:tc>
          <w:tcPr>
            <w:tcW w:w="1829" w:type="pct"/>
          </w:tcPr>
          <w:p w14:paraId="39AF267A" w14:textId="2095B809" w:rsidR="00561786" w:rsidRPr="000E09E0" w:rsidRDefault="00561786" w:rsidP="00561786">
            <w:pPr>
              <w:keepNext/>
              <w:ind w:left="-108"/>
              <w:rPr>
                <w:rFonts w:ascii="Arial Narrow" w:hAnsi="Arial Narrow" w:cs="Arial"/>
                <w:b/>
                <w:sz w:val="18"/>
                <w:szCs w:val="18"/>
              </w:rPr>
            </w:pPr>
            <w:r w:rsidRPr="000E09E0">
              <w:rPr>
                <w:rFonts w:ascii="Arial Narrow" w:hAnsi="Arial Narrow" w:cs="Arial"/>
                <w:b/>
                <w:sz w:val="18"/>
                <w:szCs w:val="18"/>
              </w:rPr>
              <w:t>Available brand</w:t>
            </w:r>
            <w:r w:rsidR="00600F3C" w:rsidRPr="000E09E0">
              <w:rPr>
                <w:rFonts w:ascii="Arial Narrow" w:hAnsi="Arial Narrow" w:cs="Arial"/>
                <w:b/>
                <w:sz w:val="18"/>
                <w:szCs w:val="18"/>
              </w:rPr>
              <w:t>s</w:t>
            </w:r>
          </w:p>
          <w:p w14:paraId="0F63DF3B" w14:textId="20951381" w:rsidR="00561786" w:rsidRPr="000E09E0" w:rsidRDefault="00392528" w:rsidP="00561786">
            <w:pPr>
              <w:keepNext/>
              <w:ind w:left="-108"/>
              <w:rPr>
                <w:rFonts w:ascii="Arial Narrow" w:hAnsi="Arial Narrow" w:cs="Arial"/>
                <w:sz w:val="18"/>
                <w:szCs w:val="18"/>
              </w:rPr>
            </w:pPr>
            <w:r>
              <w:rPr>
                <w:rFonts w:ascii="Arial Narrow" w:hAnsi="Arial Narrow" w:cs="Arial"/>
                <w:sz w:val="18"/>
                <w:szCs w:val="18"/>
              </w:rPr>
              <w:t>Hycamtin</w:t>
            </w:r>
          </w:p>
          <w:p w14:paraId="786B6183" w14:textId="60243F22" w:rsidR="00561786" w:rsidRPr="000E09E0" w:rsidRDefault="00561786" w:rsidP="00561786">
            <w:pPr>
              <w:keepNext/>
              <w:ind w:left="-108"/>
              <w:rPr>
                <w:rFonts w:ascii="Arial Narrow" w:hAnsi="Arial Narrow" w:cs="Arial"/>
                <w:sz w:val="18"/>
                <w:szCs w:val="18"/>
              </w:rPr>
            </w:pPr>
            <w:r w:rsidRPr="000E09E0">
              <w:rPr>
                <w:rFonts w:ascii="Arial Narrow" w:hAnsi="Arial Narrow" w:cs="Arial"/>
                <w:sz w:val="18"/>
                <w:szCs w:val="18"/>
              </w:rPr>
              <w:t>(topotecan 4 mg injection, 5 vials)</w:t>
            </w:r>
          </w:p>
          <w:p w14:paraId="25A53F3D" w14:textId="3481F39B" w:rsidR="00561786" w:rsidRPr="000E09E0" w:rsidRDefault="00561786" w:rsidP="00561786">
            <w:pPr>
              <w:keepNext/>
              <w:ind w:left="-108"/>
              <w:rPr>
                <w:rFonts w:ascii="Arial Narrow" w:hAnsi="Arial Narrow" w:cs="Arial"/>
                <w:smallCaps/>
                <w:sz w:val="18"/>
                <w:szCs w:val="18"/>
              </w:rPr>
            </w:pPr>
          </w:p>
        </w:tc>
        <w:tc>
          <w:tcPr>
            <w:tcW w:w="811" w:type="pct"/>
          </w:tcPr>
          <w:p w14:paraId="4F77BED5" w14:textId="77777777" w:rsidR="00561786" w:rsidRPr="000E09E0" w:rsidRDefault="00561786" w:rsidP="00561786">
            <w:pPr>
              <w:keepNext/>
              <w:ind w:left="-108"/>
              <w:jc w:val="left"/>
              <w:rPr>
                <w:rFonts w:ascii="Arial Narrow" w:hAnsi="Arial Narrow" w:cs="Arial"/>
                <w:sz w:val="18"/>
                <w:szCs w:val="18"/>
              </w:rPr>
            </w:pPr>
          </w:p>
        </w:tc>
        <w:tc>
          <w:tcPr>
            <w:tcW w:w="725" w:type="pct"/>
          </w:tcPr>
          <w:p w14:paraId="3FE0C9A5" w14:textId="77777777" w:rsidR="00561786" w:rsidRPr="000E09E0" w:rsidRDefault="00561786" w:rsidP="00561786">
            <w:pPr>
              <w:keepNext/>
              <w:jc w:val="center"/>
              <w:rPr>
                <w:rFonts w:ascii="Arial Narrow" w:hAnsi="Arial Narrow" w:cs="Arial"/>
                <w:sz w:val="18"/>
                <w:szCs w:val="18"/>
              </w:rPr>
            </w:pPr>
          </w:p>
        </w:tc>
        <w:tc>
          <w:tcPr>
            <w:tcW w:w="355" w:type="pct"/>
          </w:tcPr>
          <w:p w14:paraId="2DA497BC" w14:textId="77777777" w:rsidR="00561786" w:rsidRPr="000E09E0" w:rsidRDefault="00561786" w:rsidP="00561786">
            <w:pPr>
              <w:keepNext/>
              <w:ind w:left="-108"/>
              <w:jc w:val="center"/>
              <w:rPr>
                <w:rFonts w:ascii="Arial Narrow" w:hAnsi="Arial Narrow" w:cs="Arial"/>
                <w:sz w:val="18"/>
                <w:szCs w:val="18"/>
              </w:rPr>
            </w:pPr>
          </w:p>
        </w:tc>
        <w:tc>
          <w:tcPr>
            <w:tcW w:w="1280" w:type="pct"/>
          </w:tcPr>
          <w:p w14:paraId="1E5DC424" w14:textId="11DCAB40" w:rsidR="00561786" w:rsidRPr="000E09E0" w:rsidRDefault="00561786" w:rsidP="00561786">
            <w:pPr>
              <w:keepNext/>
              <w:rPr>
                <w:rFonts w:ascii="Arial Narrow" w:hAnsi="Arial Narrow" w:cs="Arial"/>
                <w:sz w:val="18"/>
                <w:szCs w:val="18"/>
              </w:rPr>
            </w:pPr>
            <w:r w:rsidRPr="000E09E0">
              <w:rPr>
                <w:rFonts w:ascii="Arial Narrow" w:hAnsi="Arial Narrow" w:cs="Arial"/>
                <w:sz w:val="18"/>
                <w:szCs w:val="18"/>
              </w:rPr>
              <w:t>Sandoz Pty Ltd</w:t>
            </w:r>
          </w:p>
        </w:tc>
      </w:tr>
      <w:tr w:rsidR="00561786" w:rsidRPr="000E09E0" w14:paraId="08FB74CE" w14:textId="77777777" w:rsidTr="00E44E4B">
        <w:trPr>
          <w:cantSplit/>
          <w:trHeight w:val="64"/>
        </w:trPr>
        <w:tc>
          <w:tcPr>
            <w:tcW w:w="1829" w:type="pct"/>
          </w:tcPr>
          <w:p w14:paraId="26AACA14" w14:textId="1081AF4C" w:rsidR="00561786" w:rsidRPr="000E09E0" w:rsidRDefault="00561786" w:rsidP="00600F3C">
            <w:pPr>
              <w:keepNext/>
              <w:ind w:left="-110"/>
              <w:rPr>
                <w:rFonts w:ascii="Arial Narrow" w:hAnsi="Arial Narrow" w:cs="Arial"/>
                <w:i/>
                <w:sz w:val="18"/>
                <w:szCs w:val="18"/>
              </w:rPr>
            </w:pPr>
            <w:r w:rsidRPr="000E09E0">
              <w:rPr>
                <w:rFonts w:ascii="Arial Narrow" w:hAnsi="Arial Narrow" w:cs="Arial"/>
                <w:i/>
                <w:sz w:val="18"/>
                <w:szCs w:val="18"/>
              </w:rPr>
              <w:t>Topotecan Accord</w:t>
            </w:r>
          </w:p>
          <w:p w14:paraId="011722C2" w14:textId="7AA9AC89" w:rsidR="00561786" w:rsidRPr="000E09E0" w:rsidRDefault="00561786" w:rsidP="00561786">
            <w:pPr>
              <w:keepNext/>
              <w:ind w:left="-108"/>
              <w:rPr>
                <w:rFonts w:ascii="Arial Narrow" w:hAnsi="Arial Narrow" w:cs="Arial"/>
                <w:i/>
                <w:smallCaps/>
                <w:sz w:val="18"/>
                <w:szCs w:val="18"/>
              </w:rPr>
            </w:pPr>
            <w:r w:rsidRPr="000E09E0">
              <w:rPr>
                <w:rFonts w:ascii="Arial Narrow" w:hAnsi="Arial Narrow" w:cs="Arial"/>
                <w:i/>
                <w:sz w:val="18"/>
                <w:szCs w:val="18"/>
              </w:rPr>
              <w:t>(topotecan 4 mg/4 mL injection, 5 x 4 mL vials)</w:t>
            </w:r>
          </w:p>
        </w:tc>
        <w:tc>
          <w:tcPr>
            <w:tcW w:w="811" w:type="pct"/>
          </w:tcPr>
          <w:p w14:paraId="6F9D1682" w14:textId="77777777" w:rsidR="00561786" w:rsidRPr="000E09E0" w:rsidRDefault="00561786" w:rsidP="00561786">
            <w:pPr>
              <w:keepNext/>
              <w:ind w:left="-108"/>
              <w:jc w:val="left"/>
              <w:rPr>
                <w:rFonts w:ascii="Arial Narrow" w:hAnsi="Arial Narrow" w:cs="Arial"/>
                <w:i/>
                <w:sz w:val="18"/>
                <w:szCs w:val="18"/>
              </w:rPr>
            </w:pPr>
          </w:p>
        </w:tc>
        <w:tc>
          <w:tcPr>
            <w:tcW w:w="725" w:type="pct"/>
          </w:tcPr>
          <w:p w14:paraId="7875759B" w14:textId="77777777" w:rsidR="00561786" w:rsidRPr="000E09E0" w:rsidRDefault="00561786" w:rsidP="00561786">
            <w:pPr>
              <w:keepNext/>
              <w:jc w:val="center"/>
              <w:rPr>
                <w:rFonts w:ascii="Arial Narrow" w:hAnsi="Arial Narrow" w:cs="Arial"/>
                <w:i/>
                <w:sz w:val="18"/>
                <w:szCs w:val="18"/>
              </w:rPr>
            </w:pPr>
          </w:p>
        </w:tc>
        <w:tc>
          <w:tcPr>
            <w:tcW w:w="355" w:type="pct"/>
          </w:tcPr>
          <w:p w14:paraId="4D2DB4C4" w14:textId="77777777" w:rsidR="00561786" w:rsidRPr="000E09E0" w:rsidRDefault="00561786" w:rsidP="00561786">
            <w:pPr>
              <w:keepNext/>
              <w:ind w:left="-108"/>
              <w:jc w:val="center"/>
              <w:rPr>
                <w:rFonts w:ascii="Arial Narrow" w:hAnsi="Arial Narrow" w:cs="Arial"/>
                <w:i/>
                <w:sz w:val="18"/>
                <w:szCs w:val="18"/>
              </w:rPr>
            </w:pPr>
          </w:p>
        </w:tc>
        <w:tc>
          <w:tcPr>
            <w:tcW w:w="1280" w:type="pct"/>
          </w:tcPr>
          <w:p w14:paraId="632B2370" w14:textId="77777777" w:rsidR="00561786" w:rsidRPr="000E09E0" w:rsidRDefault="00561786" w:rsidP="00561786">
            <w:pPr>
              <w:keepNext/>
              <w:jc w:val="left"/>
              <w:rPr>
                <w:rFonts w:ascii="Arial Narrow" w:hAnsi="Arial Narrow" w:cs="Arial"/>
                <w:i/>
                <w:sz w:val="18"/>
                <w:szCs w:val="18"/>
              </w:rPr>
            </w:pPr>
            <w:r w:rsidRPr="000E09E0">
              <w:rPr>
                <w:rFonts w:ascii="Arial Narrow" w:hAnsi="Arial Narrow" w:cs="Arial"/>
                <w:i/>
                <w:sz w:val="18"/>
                <w:szCs w:val="18"/>
              </w:rPr>
              <w:t>Accord Healthcare Pty Ltd</w:t>
            </w:r>
          </w:p>
        </w:tc>
      </w:tr>
    </w:tbl>
    <w:p w14:paraId="31BCB2A4" w14:textId="77777777" w:rsidR="00054F52" w:rsidRPr="000E09E0" w:rsidRDefault="00054F52" w:rsidP="00054F52"/>
    <w:p w14:paraId="2F1E1313" w14:textId="664B44F0" w:rsidR="00054F52" w:rsidRPr="000E09E0" w:rsidRDefault="00561786" w:rsidP="00054F52">
      <w:pPr>
        <w:rPr>
          <w:rFonts w:ascii="Arial Narrow" w:hAnsi="Arial Narrow"/>
          <w:b/>
          <w:sz w:val="18"/>
          <w:szCs w:val="18"/>
        </w:rPr>
      </w:pPr>
      <w:r w:rsidRPr="000E09E0">
        <w:rPr>
          <w:rFonts w:ascii="Arial Narrow" w:hAnsi="Arial Narrow"/>
          <w:b/>
          <w:sz w:val="18"/>
          <w:szCs w:val="18"/>
        </w:rPr>
        <w:t xml:space="preserve">Amend </w:t>
      </w:r>
      <w:r w:rsidR="00054F52" w:rsidRPr="000E09E0">
        <w:rPr>
          <w:rFonts w:ascii="Arial Narrow" w:hAnsi="Arial Narrow"/>
          <w:b/>
          <w:sz w:val="18"/>
          <w:szCs w:val="18"/>
        </w:rPr>
        <w:t>Restriction Summary 6238 / Treatment of Concept</w:t>
      </w:r>
      <w:r w:rsidR="009A1728">
        <w:rPr>
          <w:rFonts w:ascii="Arial Narrow" w:hAnsi="Arial Narrow"/>
          <w:b/>
          <w:sz w:val="18"/>
          <w:szCs w:val="18"/>
        </w:rPr>
        <w:t xml:space="preserve"> </w:t>
      </w:r>
      <w:r w:rsidR="00054F52" w:rsidRPr="000E09E0">
        <w:rPr>
          <w:rFonts w:ascii="Arial Narrow" w:hAnsi="Arial Narrow"/>
          <w:b/>
          <w:sz w:val="18"/>
          <w:szCs w:val="18"/>
        </w:rPr>
        <w:t>6238 Authority Required Streamlined</w:t>
      </w:r>
      <w:r w:rsidRPr="000E09E0">
        <w:rPr>
          <w:rFonts w:ascii="Arial Narrow" w:hAnsi="Arial Narrow"/>
          <w:b/>
          <w:sz w:val="18"/>
          <w:szCs w:val="18"/>
        </w:rPr>
        <w:t xml:space="preserve"> as follows</w:t>
      </w:r>
    </w:p>
    <w:tbl>
      <w:tblPr>
        <w:tblW w:w="44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019"/>
      </w:tblGrid>
      <w:tr w:rsidR="0014624E" w:rsidRPr="000E09E0" w14:paraId="55F61CEE" w14:textId="77777777" w:rsidTr="0014624E">
        <w:tc>
          <w:tcPr>
            <w:tcW w:w="5000" w:type="pct"/>
            <w:tcBorders>
              <w:top w:val="single" w:sz="4" w:space="0" w:color="auto"/>
              <w:left w:val="single" w:sz="4" w:space="0" w:color="auto"/>
              <w:bottom w:val="single" w:sz="4" w:space="0" w:color="auto"/>
              <w:right w:val="single" w:sz="4" w:space="0" w:color="auto"/>
            </w:tcBorders>
          </w:tcPr>
          <w:p w14:paraId="1F9FF13B" w14:textId="77777777" w:rsidR="0014624E" w:rsidRPr="000E09E0" w:rsidRDefault="0014624E" w:rsidP="00A53424">
            <w:pPr>
              <w:rPr>
                <w:rFonts w:ascii="Arial Narrow" w:hAnsi="Arial Narrow" w:cs="Arial"/>
                <w:sz w:val="18"/>
                <w:szCs w:val="18"/>
              </w:rPr>
            </w:pPr>
            <w:r w:rsidRPr="000E09E0">
              <w:rPr>
                <w:rFonts w:ascii="Arial Narrow" w:hAnsi="Arial Narrow" w:cs="Arial"/>
                <w:b/>
                <w:sz w:val="18"/>
                <w:szCs w:val="18"/>
              </w:rPr>
              <w:t>Category / Program:</w:t>
            </w:r>
            <w:r w:rsidRPr="000E09E0">
              <w:rPr>
                <w:rFonts w:ascii="Arial Narrow" w:hAnsi="Arial Narrow" w:cs="Arial"/>
                <w:sz w:val="18"/>
                <w:szCs w:val="18"/>
              </w:rPr>
              <w:t xml:space="preserve"> Section 100 – Efficient Funding of Chemotherapy– Public/Private </w:t>
            </w:r>
          </w:p>
        </w:tc>
      </w:tr>
      <w:tr w:rsidR="0014624E" w:rsidRPr="000E09E0" w14:paraId="44ADB8BC" w14:textId="77777777" w:rsidTr="0014624E">
        <w:trPr>
          <w:trHeight w:val="240"/>
        </w:trPr>
        <w:tc>
          <w:tcPr>
            <w:tcW w:w="5000" w:type="pct"/>
            <w:tcBorders>
              <w:top w:val="single" w:sz="4" w:space="0" w:color="auto"/>
              <w:left w:val="single" w:sz="4" w:space="0" w:color="auto"/>
              <w:bottom w:val="single" w:sz="4" w:space="0" w:color="auto"/>
              <w:right w:val="single" w:sz="4" w:space="0" w:color="auto"/>
            </w:tcBorders>
          </w:tcPr>
          <w:p w14:paraId="43F90E7D" w14:textId="18B005A3" w:rsidR="0014624E" w:rsidRPr="000E09E0" w:rsidRDefault="0014624E" w:rsidP="00561786">
            <w:pPr>
              <w:rPr>
                <w:rFonts w:ascii="Arial Narrow" w:hAnsi="Arial Narrow" w:cs="Arial"/>
                <w:b/>
                <w:sz w:val="18"/>
                <w:szCs w:val="18"/>
              </w:rPr>
            </w:pPr>
            <w:r w:rsidRPr="000E09E0">
              <w:rPr>
                <w:rFonts w:ascii="Arial Narrow" w:hAnsi="Arial Narrow" w:cs="Arial"/>
                <w:b/>
                <w:sz w:val="18"/>
                <w:szCs w:val="18"/>
              </w:rPr>
              <w:t xml:space="preserve">Prescriber type:   </w:t>
            </w:r>
            <w:r w:rsidRPr="009A1728">
              <w:rPr>
                <w:rFonts w:ascii="Arial Narrow" w:hAnsi="Arial Narrow" w:cs="Arial"/>
                <w:sz w:val="18"/>
                <w:szCs w:val="18"/>
              </w:rPr>
              <w:fldChar w:fldCharType="begin">
                <w:ffData>
                  <w:name w:val=""/>
                  <w:enabled/>
                  <w:calcOnExit w:val="0"/>
                  <w:checkBox>
                    <w:sizeAuto/>
                    <w:default w:val="1"/>
                  </w:checkBox>
                </w:ffData>
              </w:fldChar>
            </w:r>
            <w:r w:rsidRPr="000E09E0">
              <w:rPr>
                <w:rFonts w:ascii="Arial Narrow" w:hAnsi="Arial Narrow" w:cs="Arial"/>
                <w:sz w:val="18"/>
                <w:szCs w:val="18"/>
              </w:rPr>
              <w:instrText xml:space="preserve"> FORMCHECKBOX </w:instrText>
            </w:r>
            <w:r w:rsidR="00F5657D">
              <w:rPr>
                <w:rFonts w:ascii="Arial Narrow" w:hAnsi="Arial Narrow" w:cs="Arial"/>
                <w:sz w:val="18"/>
                <w:szCs w:val="18"/>
              </w:rPr>
            </w:r>
            <w:r w:rsidR="00F5657D">
              <w:rPr>
                <w:rFonts w:ascii="Arial Narrow" w:hAnsi="Arial Narrow" w:cs="Arial"/>
                <w:sz w:val="18"/>
                <w:szCs w:val="18"/>
              </w:rPr>
              <w:fldChar w:fldCharType="separate"/>
            </w:r>
            <w:r w:rsidRPr="009A1728">
              <w:rPr>
                <w:rFonts w:ascii="Arial Narrow" w:hAnsi="Arial Narrow" w:cs="Arial"/>
                <w:sz w:val="18"/>
                <w:szCs w:val="18"/>
              </w:rPr>
              <w:fldChar w:fldCharType="end"/>
            </w:r>
            <w:r w:rsidRPr="000E09E0">
              <w:rPr>
                <w:rFonts w:ascii="Arial Narrow" w:hAnsi="Arial Narrow" w:cs="Arial"/>
                <w:sz w:val="18"/>
                <w:szCs w:val="18"/>
              </w:rPr>
              <w:t xml:space="preserve">Medical Practitioners   </w:t>
            </w:r>
          </w:p>
        </w:tc>
      </w:tr>
      <w:tr w:rsidR="0014624E" w:rsidRPr="000E09E0" w14:paraId="12530B49" w14:textId="77777777" w:rsidTr="0014624E">
        <w:tc>
          <w:tcPr>
            <w:tcW w:w="5000" w:type="pct"/>
            <w:tcBorders>
              <w:top w:val="single" w:sz="4" w:space="0" w:color="auto"/>
              <w:left w:val="single" w:sz="4" w:space="0" w:color="auto"/>
              <w:bottom w:val="single" w:sz="4" w:space="0" w:color="auto"/>
              <w:right w:val="single" w:sz="4" w:space="0" w:color="auto"/>
            </w:tcBorders>
          </w:tcPr>
          <w:p w14:paraId="07E0B672" w14:textId="2CC55B36" w:rsidR="0014624E" w:rsidRPr="000E09E0" w:rsidRDefault="0014624E" w:rsidP="00A53424">
            <w:pPr>
              <w:rPr>
                <w:rFonts w:ascii="Arial Narrow" w:hAnsi="Arial Narrow" w:cs="Arial"/>
                <w:b/>
                <w:sz w:val="18"/>
                <w:szCs w:val="18"/>
              </w:rPr>
            </w:pPr>
            <w:r w:rsidRPr="000E09E0">
              <w:rPr>
                <w:rFonts w:ascii="Arial Narrow" w:hAnsi="Arial Narrow" w:cs="Arial"/>
                <w:b/>
                <w:sz w:val="18"/>
                <w:szCs w:val="18"/>
              </w:rPr>
              <w:t xml:space="preserve">Restriction Type: </w:t>
            </w:r>
          </w:p>
          <w:p w14:paraId="52C3F859" w14:textId="0BDF6118" w:rsidR="0014624E" w:rsidRPr="000E09E0" w:rsidRDefault="0014624E" w:rsidP="00A53424">
            <w:pPr>
              <w:rPr>
                <w:rFonts w:ascii="Arial Narrow" w:hAnsi="Arial Narrow" w:cs="Arial"/>
                <w:i/>
                <w:sz w:val="18"/>
                <w:szCs w:val="18"/>
              </w:rPr>
            </w:pPr>
            <w:r w:rsidRPr="009A1728">
              <w:rPr>
                <w:rFonts w:ascii="Arial Narrow" w:hAnsi="Arial Narrow" w:cs="Arial"/>
                <w:i/>
                <w:sz w:val="18"/>
                <w:szCs w:val="18"/>
              </w:rPr>
              <w:fldChar w:fldCharType="begin">
                <w:ffData>
                  <w:name w:val=""/>
                  <w:enabled/>
                  <w:calcOnExit w:val="0"/>
                  <w:checkBox>
                    <w:sizeAuto/>
                    <w:default w:val="1"/>
                  </w:checkBox>
                </w:ffData>
              </w:fldChar>
            </w:r>
            <w:r w:rsidRPr="000E09E0">
              <w:rPr>
                <w:rFonts w:ascii="Arial Narrow" w:hAnsi="Arial Narrow" w:cs="Arial"/>
                <w:i/>
                <w:sz w:val="18"/>
                <w:szCs w:val="18"/>
              </w:rPr>
              <w:instrText xml:space="preserve"> FORMCHECKBOX </w:instrText>
            </w:r>
            <w:r w:rsidR="00F5657D">
              <w:rPr>
                <w:rFonts w:ascii="Arial Narrow" w:hAnsi="Arial Narrow" w:cs="Arial"/>
                <w:i/>
                <w:sz w:val="18"/>
                <w:szCs w:val="18"/>
              </w:rPr>
            </w:r>
            <w:r w:rsidR="00F5657D">
              <w:rPr>
                <w:rFonts w:ascii="Arial Narrow" w:hAnsi="Arial Narrow" w:cs="Arial"/>
                <w:i/>
                <w:sz w:val="18"/>
                <w:szCs w:val="18"/>
              </w:rPr>
              <w:fldChar w:fldCharType="separate"/>
            </w:r>
            <w:r w:rsidRPr="009A1728">
              <w:rPr>
                <w:rFonts w:ascii="Arial Narrow" w:hAnsi="Arial Narrow" w:cs="Arial"/>
                <w:i/>
                <w:sz w:val="18"/>
                <w:szCs w:val="18"/>
              </w:rPr>
              <w:fldChar w:fldCharType="end"/>
            </w:r>
            <w:r w:rsidRPr="000E09E0">
              <w:rPr>
                <w:rFonts w:ascii="Arial Narrow" w:hAnsi="Arial Narrow" w:cs="Arial"/>
                <w:i/>
                <w:sz w:val="18"/>
                <w:szCs w:val="18"/>
              </w:rPr>
              <w:t>Unrestricted benefit</w:t>
            </w:r>
          </w:p>
          <w:p w14:paraId="3B0D8FD1" w14:textId="065DD593" w:rsidR="0014624E" w:rsidRPr="000E09E0" w:rsidRDefault="0014624E" w:rsidP="00A53424">
            <w:pPr>
              <w:rPr>
                <w:rFonts w:ascii="Arial Narrow" w:hAnsi="Arial Narrow" w:cs="Arial"/>
                <w:strike/>
                <w:sz w:val="18"/>
                <w:szCs w:val="18"/>
              </w:rPr>
            </w:pPr>
            <w:r w:rsidRPr="009A1728">
              <w:rPr>
                <w:rFonts w:ascii="Arial Narrow" w:hAnsi="Arial Narrow" w:cs="Arial"/>
                <w:strike/>
                <w:sz w:val="18"/>
                <w:szCs w:val="18"/>
              </w:rPr>
              <w:fldChar w:fldCharType="begin">
                <w:ffData>
                  <w:name w:val=""/>
                  <w:enabled/>
                  <w:calcOnExit w:val="0"/>
                  <w:checkBox>
                    <w:sizeAuto/>
                    <w:default w:val="1"/>
                  </w:checkBox>
                </w:ffData>
              </w:fldChar>
            </w:r>
            <w:r w:rsidRPr="000E09E0">
              <w:rPr>
                <w:rFonts w:ascii="Arial Narrow" w:hAnsi="Arial Narrow" w:cs="Arial"/>
                <w:strike/>
                <w:sz w:val="18"/>
                <w:szCs w:val="18"/>
              </w:rPr>
              <w:instrText xml:space="preserve"> FORMCHECKBOX </w:instrText>
            </w:r>
            <w:r w:rsidR="00F5657D">
              <w:rPr>
                <w:rFonts w:ascii="Arial Narrow" w:hAnsi="Arial Narrow" w:cs="Arial"/>
                <w:strike/>
                <w:sz w:val="18"/>
                <w:szCs w:val="18"/>
              </w:rPr>
            </w:r>
            <w:r w:rsidR="00F5657D">
              <w:rPr>
                <w:rFonts w:ascii="Arial Narrow" w:hAnsi="Arial Narrow" w:cs="Arial"/>
                <w:strike/>
                <w:sz w:val="18"/>
                <w:szCs w:val="18"/>
              </w:rPr>
              <w:fldChar w:fldCharType="separate"/>
            </w:r>
            <w:r w:rsidRPr="009A1728">
              <w:rPr>
                <w:rFonts w:ascii="Arial Narrow" w:hAnsi="Arial Narrow" w:cs="Arial"/>
                <w:strike/>
                <w:sz w:val="18"/>
                <w:szCs w:val="18"/>
              </w:rPr>
              <w:fldChar w:fldCharType="end"/>
            </w:r>
            <w:r w:rsidRPr="000E09E0">
              <w:rPr>
                <w:rFonts w:ascii="Arial Narrow" w:hAnsi="Arial Narrow" w:cs="Arial"/>
                <w:strike/>
                <w:sz w:val="18"/>
                <w:szCs w:val="18"/>
              </w:rPr>
              <w:t>Authority Required – Streamlined (6238)</w:t>
            </w:r>
          </w:p>
        </w:tc>
      </w:tr>
      <w:tr w:rsidR="0014624E" w:rsidRPr="000E09E0" w14:paraId="10F0F011" w14:textId="77777777" w:rsidTr="0014624E">
        <w:tc>
          <w:tcPr>
            <w:tcW w:w="5000" w:type="pct"/>
            <w:vAlign w:val="center"/>
          </w:tcPr>
          <w:p w14:paraId="7CD84C38" w14:textId="16C21044" w:rsidR="0014624E" w:rsidRPr="000E09E0" w:rsidRDefault="0014624E" w:rsidP="00561786">
            <w:pPr>
              <w:rPr>
                <w:rFonts w:ascii="Arial Narrow" w:hAnsi="Arial Narrow" w:cs="Arial"/>
                <w:b/>
                <w:strike/>
                <w:sz w:val="18"/>
                <w:szCs w:val="18"/>
              </w:rPr>
            </w:pPr>
            <w:r w:rsidRPr="000E09E0">
              <w:rPr>
                <w:rFonts w:ascii="Arial Narrow" w:hAnsi="Arial Narrow"/>
                <w:b/>
                <w:bCs/>
                <w:strike/>
                <w:color w:val="333333"/>
                <w:sz w:val="18"/>
                <w:szCs w:val="18"/>
              </w:rPr>
              <w:t>Indication:</w:t>
            </w:r>
            <w:r w:rsidRPr="000E09E0">
              <w:rPr>
                <w:strike/>
              </w:rPr>
              <w:t xml:space="preserve"> </w:t>
            </w:r>
            <w:r w:rsidRPr="000E09E0">
              <w:rPr>
                <w:rFonts w:ascii="Arial Narrow" w:hAnsi="Arial Narrow"/>
                <w:bCs/>
                <w:strike/>
                <w:color w:val="333333"/>
                <w:sz w:val="18"/>
                <w:szCs w:val="18"/>
              </w:rPr>
              <w:t>Advanced metastatic ovarian cancer</w:t>
            </w:r>
          </w:p>
        </w:tc>
      </w:tr>
      <w:tr w:rsidR="0014624E" w:rsidRPr="000E09E0" w14:paraId="5E8B0CC6" w14:textId="77777777" w:rsidTr="0014624E">
        <w:tc>
          <w:tcPr>
            <w:tcW w:w="5000" w:type="pct"/>
            <w:vAlign w:val="center"/>
          </w:tcPr>
          <w:p w14:paraId="36EA88B3" w14:textId="2DF6CE08" w:rsidR="0014624E" w:rsidRPr="000E09E0" w:rsidRDefault="0014624E" w:rsidP="00561786">
            <w:pPr>
              <w:rPr>
                <w:rFonts w:ascii="Arial Narrow" w:hAnsi="Arial Narrow" w:cs="Arial"/>
                <w:b/>
                <w:strike/>
                <w:sz w:val="18"/>
                <w:szCs w:val="18"/>
              </w:rPr>
            </w:pPr>
            <w:r w:rsidRPr="000E09E0">
              <w:rPr>
                <w:rFonts w:ascii="Arial Narrow" w:hAnsi="Arial Narrow"/>
                <w:b/>
                <w:bCs/>
                <w:strike/>
                <w:color w:val="333333"/>
                <w:sz w:val="18"/>
                <w:szCs w:val="18"/>
              </w:rPr>
              <w:t>Clinical criteria:</w:t>
            </w:r>
          </w:p>
        </w:tc>
      </w:tr>
      <w:tr w:rsidR="0014624E" w:rsidRPr="000E09E0" w14:paraId="770EB5BF" w14:textId="77777777" w:rsidTr="0014624E">
        <w:tc>
          <w:tcPr>
            <w:tcW w:w="5000" w:type="pct"/>
            <w:vAlign w:val="center"/>
          </w:tcPr>
          <w:p w14:paraId="744430BD" w14:textId="704ACDC3" w:rsidR="0014624E" w:rsidRPr="000E09E0" w:rsidRDefault="0014624E" w:rsidP="00561786">
            <w:pPr>
              <w:rPr>
                <w:rFonts w:ascii="Arial Narrow" w:hAnsi="Arial Narrow" w:cs="Arial"/>
                <w:b/>
                <w:strike/>
                <w:sz w:val="18"/>
                <w:szCs w:val="18"/>
              </w:rPr>
            </w:pPr>
            <w:r w:rsidRPr="000E09E0">
              <w:rPr>
                <w:rFonts w:ascii="Arial Narrow" w:hAnsi="Arial Narrow"/>
                <w:strike/>
                <w:color w:val="333333"/>
                <w:sz w:val="18"/>
                <w:szCs w:val="18"/>
              </w:rPr>
              <w:t>Patient must have failed prior therapy which included a platinum compound.</w:t>
            </w:r>
          </w:p>
        </w:tc>
      </w:tr>
    </w:tbl>
    <w:p w14:paraId="7DE0D6BC" w14:textId="77777777" w:rsidR="002018D8" w:rsidRPr="000E09E0" w:rsidRDefault="002018D8" w:rsidP="002018D8">
      <w:pPr>
        <w:widowControl w:val="0"/>
        <w:rPr>
          <w:rFonts w:asciiTheme="minorHAnsi" w:hAnsiTheme="minorHAnsi" w:cs="Arial"/>
          <w:bCs/>
          <w:snapToGrid w:val="0"/>
        </w:rPr>
      </w:pPr>
    </w:p>
    <w:p w14:paraId="2607963C" w14:textId="667D53B9" w:rsidR="00F82054" w:rsidRDefault="00600F3C" w:rsidP="00EE3F63">
      <w:pPr>
        <w:spacing w:after="120"/>
        <w:rPr>
          <w:rFonts w:cs="Calibri"/>
          <w:b/>
          <w:i/>
        </w:rPr>
      </w:pPr>
      <w:r w:rsidRPr="000E09E0">
        <w:rPr>
          <w:rFonts w:cs="Calibri"/>
          <w:b/>
          <w:i/>
        </w:rPr>
        <w:t>This restriction may be subject to further review. Should there be any changes made to the restriction the Sponsor will be informed.</w:t>
      </w:r>
    </w:p>
    <w:p w14:paraId="209A9C2C" w14:textId="77777777" w:rsidR="00A55819" w:rsidRDefault="00A55819">
      <w:pPr>
        <w:jc w:val="left"/>
        <w:rPr>
          <w:rFonts w:asciiTheme="minorHAnsi" w:hAnsiTheme="minorHAnsi" w:cs="Arial"/>
          <w:b/>
          <w:snapToGrid w:val="0"/>
          <w:sz w:val="32"/>
          <w:szCs w:val="32"/>
          <w:lang w:eastAsia="en-US"/>
        </w:rPr>
      </w:pPr>
      <w:r>
        <w:br w:type="page"/>
      </w:r>
    </w:p>
    <w:p w14:paraId="27FB8531" w14:textId="0D521274" w:rsidR="00F82054" w:rsidRDefault="00F82054" w:rsidP="00F82054">
      <w:pPr>
        <w:pStyle w:val="2Sections"/>
        <w:numPr>
          <w:ilvl w:val="0"/>
          <w:numId w:val="1"/>
        </w:numPr>
        <w:rPr>
          <w:color w:val="1F497D"/>
        </w:rPr>
      </w:pPr>
      <w:r w:rsidRPr="00C07617">
        <w:lastRenderedPageBreak/>
        <w:t>Context for Decision</w:t>
      </w:r>
    </w:p>
    <w:p w14:paraId="773179DF" w14:textId="2CFAE82C" w:rsidR="00F82054" w:rsidRDefault="00F82054" w:rsidP="00F82054">
      <w:pPr>
        <w:rPr>
          <w:rFonts w:asciiTheme="minorHAnsi" w:hAnsiTheme="minorHAnsi" w:cs="Arial"/>
          <w:bCs/>
          <w:lang w:val="en-GB"/>
        </w:rPr>
      </w:pPr>
      <w:r w:rsidRPr="007129F2">
        <w:rPr>
          <w:rFonts w:asciiTheme="minorHAnsi" w:hAnsiTheme="minorHAnsi" w:cs="Arial"/>
          <w:bCs/>
          <w:lang w:val="en-GB"/>
        </w:rPr>
        <w:t xml:space="preserve">The PBAC helps decide whether and, if so, how medicines should be subsidised through the Pharmaceutical Benefits Scheme (PBS) in Australia. It considers applications regarding the listing of </w:t>
      </w:r>
      <w:r w:rsidRPr="003F5AE0">
        <w:rPr>
          <w:rFonts w:asciiTheme="minorHAnsi" w:hAnsiTheme="minorHAnsi" w:cs="Arial"/>
          <w:bCs/>
          <w:lang w:val="en-GB"/>
        </w:rPr>
        <w:t>medicines</w:t>
      </w:r>
      <w:r w:rsidRPr="007129F2">
        <w:rPr>
          <w:rFonts w:asciiTheme="minorHAnsi" w:hAnsiTheme="minorHAnsi" w:cs="Arial"/>
          <w:bCs/>
          <w:lang w:val="en-GB"/>
        </w:rPr>
        <w:t xml:space="preserve">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0A9AD50" w14:textId="77777777" w:rsidR="00F82054" w:rsidRPr="007129F2" w:rsidRDefault="00F82054" w:rsidP="00F82054">
      <w:pPr>
        <w:rPr>
          <w:rFonts w:asciiTheme="minorHAnsi" w:hAnsiTheme="minorHAnsi" w:cs="Arial"/>
          <w:bCs/>
          <w:lang w:val="en-GB"/>
        </w:rPr>
      </w:pPr>
    </w:p>
    <w:p w14:paraId="401D4E62" w14:textId="2B532997" w:rsidR="00F82054" w:rsidRPr="00C07617" w:rsidRDefault="00F82054" w:rsidP="00F82054">
      <w:pPr>
        <w:pStyle w:val="2Sections"/>
        <w:numPr>
          <w:ilvl w:val="0"/>
          <w:numId w:val="1"/>
        </w:numPr>
        <w:rPr>
          <w:b w:val="0"/>
        </w:rPr>
      </w:pPr>
      <w:r>
        <w:t>Sponsor’s Comment</w:t>
      </w:r>
    </w:p>
    <w:p w14:paraId="338320F4" w14:textId="77777777" w:rsidR="00F82054" w:rsidRPr="001179AC" w:rsidRDefault="00F82054" w:rsidP="00F82054">
      <w:pPr>
        <w:spacing w:after="120"/>
        <w:rPr>
          <w:rFonts w:asciiTheme="minorHAnsi" w:hAnsiTheme="minorHAnsi" w:cs="Arial"/>
          <w:bCs/>
        </w:rPr>
      </w:pPr>
      <w:r w:rsidRPr="00C07617">
        <w:rPr>
          <w:rFonts w:asciiTheme="minorHAnsi" w:hAnsiTheme="minorHAnsi" w:cs="Arial"/>
          <w:bCs/>
        </w:rPr>
        <w:t>The sponsor had no comment.</w:t>
      </w:r>
    </w:p>
    <w:p w14:paraId="29770D09" w14:textId="77777777" w:rsidR="00F82054" w:rsidRPr="00EE3F63" w:rsidRDefault="00F82054" w:rsidP="00EE3F63">
      <w:pPr>
        <w:spacing w:after="120"/>
      </w:pPr>
    </w:p>
    <w:sectPr w:rsidR="00F82054" w:rsidRPr="00EE3F63" w:rsidSect="00C27B58">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B0C92" w14:textId="77777777" w:rsidR="002D7269" w:rsidRDefault="002D7269">
      <w:r>
        <w:separator/>
      </w:r>
    </w:p>
    <w:p w14:paraId="038E238C" w14:textId="77777777" w:rsidR="002D7269" w:rsidRDefault="002D7269"/>
  </w:endnote>
  <w:endnote w:type="continuationSeparator" w:id="0">
    <w:p w14:paraId="4AA3880E" w14:textId="77777777" w:rsidR="002D7269" w:rsidRDefault="002D7269">
      <w:r>
        <w:continuationSeparator/>
      </w:r>
    </w:p>
    <w:p w14:paraId="7EA76869" w14:textId="77777777" w:rsidR="002D7269" w:rsidRDefault="002D72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2D7269" w14:paraId="7AE7B59D" w14:textId="77777777" w:rsidTr="005A3173">
      <w:trPr>
        <w:trHeight w:val="151"/>
      </w:trPr>
      <w:tc>
        <w:tcPr>
          <w:tcW w:w="2250" w:type="pct"/>
          <w:tcBorders>
            <w:top w:val="nil"/>
            <w:left w:val="nil"/>
            <w:bottom w:val="single" w:sz="4" w:space="0" w:color="4F81BD"/>
            <w:right w:val="nil"/>
          </w:tcBorders>
        </w:tcPr>
        <w:p w14:paraId="67C1D142" w14:textId="77777777" w:rsidR="002D7269" w:rsidRPr="005A3173" w:rsidRDefault="002D7269" w:rsidP="005A3173">
          <w:pPr>
            <w:pStyle w:val="Header"/>
            <w:spacing w:line="276" w:lineRule="auto"/>
            <w:rPr>
              <w:rFonts w:eastAsia="MS Gothic"/>
              <w:b/>
              <w:bCs/>
              <w:color w:val="4F81BD"/>
            </w:rPr>
          </w:pPr>
        </w:p>
      </w:tc>
      <w:tc>
        <w:tcPr>
          <w:tcW w:w="500" w:type="pct"/>
          <w:vMerge w:val="restart"/>
          <w:noWrap/>
          <w:vAlign w:val="center"/>
          <w:hideMark/>
        </w:tcPr>
        <w:p w14:paraId="1185B349" w14:textId="77777777" w:rsidR="002D7269" w:rsidRPr="005A3173" w:rsidRDefault="002D726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513BB6FC" w14:textId="77777777" w:rsidR="002D7269" w:rsidRPr="005A3173" w:rsidRDefault="002D7269" w:rsidP="005A3173">
          <w:pPr>
            <w:pStyle w:val="Header"/>
            <w:spacing w:line="276" w:lineRule="auto"/>
            <w:rPr>
              <w:rFonts w:eastAsia="MS Gothic"/>
              <w:b/>
              <w:bCs/>
              <w:color w:val="4F81BD"/>
            </w:rPr>
          </w:pPr>
        </w:p>
      </w:tc>
    </w:tr>
    <w:tr w:rsidR="002D7269" w14:paraId="09AEC201" w14:textId="77777777" w:rsidTr="005A3173">
      <w:trPr>
        <w:trHeight w:val="150"/>
      </w:trPr>
      <w:tc>
        <w:tcPr>
          <w:tcW w:w="2250" w:type="pct"/>
          <w:tcBorders>
            <w:top w:val="single" w:sz="4" w:space="0" w:color="4F81BD"/>
            <w:left w:val="nil"/>
            <w:bottom w:val="nil"/>
            <w:right w:val="nil"/>
          </w:tcBorders>
        </w:tcPr>
        <w:p w14:paraId="262F4099" w14:textId="77777777" w:rsidR="002D7269" w:rsidRPr="005A3173" w:rsidRDefault="002D7269" w:rsidP="005A3173">
          <w:pPr>
            <w:pStyle w:val="Header"/>
            <w:spacing w:line="276" w:lineRule="auto"/>
            <w:rPr>
              <w:rFonts w:eastAsia="MS Gothic"/>
              <w:b/>
              <w:bCs/>
              <w:color w:val="4F81BD"/>
            </w:rPr>
          </w:pPr>
        </w:p>
      </w:tc>
      <w:tc>
        <w:tcPr>
          <w:tcW w:w="0" w:type="auto"/>
          <w:vMerge/>
          <w:vAlign w:val="center"/>
          <w:hideMark/>
        </w:tcPr>
        <w:p w14:paraId="7DCDEB18" w14:textId="77777777" w:rsidR="002D7269" w:rsidRPr="005A3173" w:rsidRDefault="002D7269" w:rsidP="005A3173">
          <w:pPr>
            <w:rPr>
              <w:color w:val="365F91"/>
              <w:sz w:val="22"/>
              <w:szCs w:val="22"/>
            </w:rPr>
          </w:pPr>
        </w:p>
      </w:tc>
      <w:tc>
        <w:tcPr>
          <w:tcW w:w="2250" w:type="pct"/>
          <w:tcBorders>
            <w:top w:val="single" w:sz="4" w:space="0" w:color="4F81BD"/>
            <w:left w:val="nil"/>
            <w:bottom w:val="nil"/>
            <w:right w:val="nil"/>
          </w:tcBorders>
        </w:tcPr>
        <w:p w14:paraId="5FC0FCCA" w14:textId="77777777" w:rsidR="002D7269" w:rsidRPr="005A3173" w:rsidRDefault="002D7269" w:rsidP="005A3173">
          <w:pPr>
            <w:pStyle w:val="Header"/>
            <w:spacing w:line="276" w:lineRule="auto"/>
            <w:rPr>
              <w:rFonts w:eastAsia="MS Gothic"/>
              <w:b/>
              <w:bCs/>
              <w:color w:val="4F81BD"/>
            </w:rPr>
          </w:pPr>
        </w:p>
      </w:tc>
    </w:tr>
  </w:tbl>
  <w:p w14:paraId="10555411" w14:textId="77777777" w:rsidR="002D7269" w:rsidRDefault="002D7269"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86D064" w14:textId="77777777" w:rsidR="002D7269" w:rsidRDefault="002D7269">
    <w:pPr>
      <w:pStyle w:val="Footer"/>
    </w:pPr>
  </w:p>
  <w:p w14:paraId="32F5595B" w14:textId="77777777" w:rsidR="002D7269" w:rsidRDefault="002D726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BDDB2" w14:textId="77777777" w:rsidR="0025161D" w:rsidRDefault="0025161D">
    <w:pPr>
      <w:pStyle w:val="Footer"/>
      <w:jc w:val="center"/>
    </w:pPr>
  </w:p>
  <w:p w14:paraId="071A6C8C" w14:textId="14AC14EE" w:rsidR="0025161D" w:rsidRPr="0025161D" w:rsidRDefault="00F5657D" w:rsidP="0025161D">
    <w:pPr>
      <w:pStyle w:val="Footer"/>
      <w:jc w:val="center"/>
      <w:rPr>
        <w:b/>
      </w:rPr>
    </w:pPr>
    <w:sdt>
      <w:sdtPr>
        <w:rPr>
          <w:b/>
        </w:rPr>
        <w:id w:val="-513458799"/>
        <w:docPartObj>
          <w:docPartGallery w:val="Page Numbers (Bottom of Page)"/>
          <w:docPartUnique/>
        </w:docPartObj>
      </w:sdtPr>
      <w:sdtEndPr>
        <w:rPr>
          <w:noProof/>
        </w:rPr>
      </w:sdtEndPr>
      <w:sdtContent>
        <w:r w:rsidR="0025161D" w:rsidRPr="0025161D">
          <w:rPr>
            <w:b/>
          </w:rPr>
          <w:fldChar w:fldCharType="begin"/>
        </w:r>
        <w:r w:rsidR="0025161D" w:rsidRPr="0025161D">
          <w:rPr>
            <w:b/>
          </w:rPr>
          <w:instrText xml:space="preserve"> PAGE   \* MERGEFORMAT </w:instrText>
        </w:r>
        <w:r w:rsidR="0025161D" w:rsidRPr="0025161D">
          <w:rPr>
            <w:b/>
          </w:rPr>
          <w:fldChar w:fldCharType="separate"/>
        </w:r>
        <w:r>
          <w:rPr>
            <w:b/>
            <w:noProof/>
          </w:rPr>
          <w:t>1</w:t>
        </w:r>
        <w:r w:rsidR="0025161D" w:rsidRPr="0025161D">
          <w:rPr>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2D7269" w14:paraId="031AA569" w14:textId="77777777" w:rsidTr="005A3173">
      <w:trPr>
        <w:trHeight w:val="151"/>
      </w:trPr>
      <w:tc>
        <w:tcPr>
          <w:tcW w:w="2250" w:type="pct"/>
          <w:tcBorders>
            <w:top w:val="nil"/>
            <w:left w:val="nil"/>
            <w:bottom w:val="single" w:sz="4" w:space="0" w:color="4F81BD"/>
            <w:right w:val="nil"/>
          </w:tcBorders>
        </w:tcPr>
        <w:p w14:paraId="41814DAF" w14:textId="77777777" w:rsidR="002D7269" w:rsidRPr="005A3173" w:rsidRDefault="002D7269" w:rsidP="005A3173">
          <w:pPr>
            <w:pStyle w:val="Header"/>
            <w:spacing w:line="276" w:lineRule="auto"/>
            <w:rPr>
              <w:rFonts w:eastAsia="MS Gothic"/>
              <w:b/>
              <w:bCs/>
              <w:color w:val="4F81BD"/>
            </w:rPr>
          </w:pPr>
        </w:p>
      </w:tc>
      <w:tc>
        <w:tcPr>
          <w:tcW w:w="500" w:type="pct"/>
          <w:vMerge w:val="restart"/>
          <w:noWrap/>
          <w:vAlign w:val="center"/>
          <w:hideMark/>
        </w:tcPr>
        <w:p w14:paraId="188E01ED" w14:textId="77777777" w:rsidR="002D7269" w:rsidRPr="005A3173" w:rsidRDefault="002D726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AECA24A" w14:textId="77777777" w:rsidR="002D7269" w:rsidRPr="005A3173" w:rsidRDefault="002D7269" w:rsidP="005A3173">
          <w:pPr>
            <w:pStyle w:val="Header"/>
            <w:spacing w:line="276" w:lineRule="auto"/>
            <w:rPr>
              <w:rFonts w:eastAsia="MS Gothic"/>
              <w:b/>
              <w:bCs/>
              <w:color w:val="4F81BD"/>
            </w:rPr>
          </w:pPr>
        </w:p>
      </w:tc>
    </w:tr>
    <w:tr w:rsidR="002D7269" w14:paraId="1AF3C146" w14:textId="77777777" w:rsidTr="005A3173">
      <w:trPr>
        <w:trHeight w:val="150"/>
      </w:trPr>
      <w:tc>
        <w:tcPr>
          <w:tcW w:w="2250" w:type="pct"/>
          <w:tcBorders>
            <w:top w:val="single" w:sz="4" w:space="0" w:color="4F81BD"/>
            <w:left w:val="nil"/>
            <w:bottom w:val="nil"/>
            <w:right w:val="nil"/>
          </w:tcBorders>
        </w:tcPr>
        <w:p w14:paraId="30486D49" w14:textId="77777777" w:rsidR="002D7269" w:rsidRPr="005A3173" w:rsidRDefault="002D7269" w:rsidP="005A3173">
          <w:pPr>
            <w:pStyle w:val="Header"/>
            <w:spacing w:line="276" w:lineRule="auto"/>
            <w:rPr>
              <w:rFonts w:eastAsia="MS Gothic"/>
              <w:b/>
              <w:bCs/>
              <w:color w:val="4F81BD"/>
            </w:rPr>
          </w:pPr>
        </w:p>
      </w:tc>
      <w:tc>
        <w:tcPr>
          <w:tcW w:w="0" w:type="auto"/>
          <w:vMerge/>
          <w:vAlign w:val="center"/>
          <w:hideMark/>
        </w:tcPr>
        <w:p w14:paraId="65954F94" w14:textId="77777777" w:rsidR="002D7269" w:rsidRPr="005A3173" w:rsidRDefault="002D7269" w:rsidP="005A3173">
          <w:pPr>
            <w:rPr>
              <w:color w:val="365F91"/>
              <w:sz w:val="22"/>
              <w:szCs w:val="22"/>
            </w:rPr>
          </w:pPr>
        </w:p>
      </w:tc>
      <w:tc>
        <w:tcPr>
          <w:tcW w:w="2250" w:type="pct"/>
          <w:tcBorders>
            <w:top w:val="single" w:sz="4" w:space="0" w:color="4F81BD"/>
            <w:left w:val="nil"/>
            <w:bottom w:val="nil"/>
            <w:right w:val="nil"/>
          </w:tcBorders>
        </w:tcPr>
        <w:p w14:paraId="2C1ACB3E" w14:textId="77777777" w:rsidR="002D7269" w:rsidRPr="005A3173" w:rsidRDefault="002D7269"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2D7269" w14:paraId="4C2C8FBC" w14:textId="77777777" w:rsidTr="005A3173">
      <w:trPr>
        <w:trHeight w:val="151"/>
      </w:trPr>
      <w:tc>
        <w:tcPr>
          <w:tcW w:w="2250" w:type="pct"/>
          <w:tcBorders>
            <w:top w:val="nil"/>
            <w:left w:val="nil"/>
            <w:bottom w:val="single" w:sz="4" w:space="0" w:color="4F81BD"/>
            <w:right w:val="nil"/>
          </w:tcBorders>
        </w:tcPr>
        <w:p w14:paraId="144A534E" w14:textId="77777777" w:rsidR="002D7269" w:rsidRPr="005A3173" w:rsidRDefault="002D7269" w:rsidP="005A3173">
          <w:pPr>
            <w:pStyle w:val="Header"/>
            <w:spacing w:line="276" w:lineRule="auto"/>
            <w:rPr>
              <w:rFonts w:eastAsia="MS Gothic"/>
              <w:b/>
              <w:bCs/>
              <w:color w:val="4F81BD"/>
            </w:rPr>
          </w:pPr>
        </w:p>
      </w:tc>
      <w:tc>
        <w:tcPr>
          <w:tcW w:w="500" w:type="pct"/>
          <w:vMerge w:val="restart"/>
          <w:noWrap/>
          <w:vAlign w:val="center"/>
          <w:hideMark/>
        </w:tcPr>
        <w:p w14:paraId="026A85A5" w14:textId="77777777" w:rsidR="002D7269" w:rsidRPr="005A3173" w:rsidRDefault="002D726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4B95C828" w14:textId="77777777" w:rsidR="002D7269" w:rsidRPr="005A3173" w:rsidRDefault="002D7269" w:rsidP="005A3173">
          <w:pPr>
            <w:pStyle w:val="Header"/>
            <w:spacing w:line="276" w:lineRule="auto"/>
            <w:rPr>
              <w:rFonts w:eastAsia="MS Gothic"/>
              <w:b/>
              <w:bCs/>
              <w:color w:val="4F81BD"/>
            </w:rPr>
          </w:pPr>
        </w:p>
      </w:tc>
    </w:tr>
    <w:tr w:rsidR="002D7269" w14:paraId="1EFFFA27" w14:textId="77777777" w:rsidTr="005A3173">
      <w:trPr>
        <w:trHeight w:val="150"/>
      </w:trPr>
      <w:tc>
        <w:tcPr>
          <w:tcW w:w="2250" w:type="pct"/>
          <w:tcBorders>
            <w:top w:val="single" w:sz="4" w:space="0" w:color="4F81BD"/>
            <w:left w:val="nil"/>
            <w:bottom w:val="nil"/>
            <w:right w:val="nil"/>
          </w:tcBorders>
        </w:tcPr>
        <w:p w14:paraId="6492EAAC" w14:textId="77777777" w:rsidR="002D7269" w:rsidRPr="005A3173" w:rsidRDefault="002D7269" w:rsidP="005A3173">
          <w:pPr>
            <w:pStyle w:val="Header"/>
            <w:spacing w:line="276" w:lineRule="auto"/>
            <w:rPr>
              <w:rFonts w:eastAsia="MS Gothic"/>
              <w:b/>
              <w:bCs/>
              <w:color w:val="4F81BD"/>
            </w:rPr>
          </w:pPr>
        </w:p>
      </w:tc>
      <w:tc>
        <w:tcPr>
          <w:tcW w:w="0" w:type="auto"/>
          <w:vMerge/>
          <w:vAlign w:val="center"/>
          <w:hideMark/>
        </w:tcPr>
        <w:p w14:paraId="7341BE58" w14:textId="77777777" w:rsidR="002D7269" w:rsidRPr="005A3173" w:rsidRDefault="002D7269" w:rsidP="005A3173">
          <w:pPr>
            <w:rPr>
              <w:color w:val="365F91"/>
              <w:sz w:val="22"/>
              <w:szCs w:val="22"/>
            </w:rPr>
          </w:pPr>
        </w:p>
      </w:tc>
      <w:tc>
        <w:tcPr>
          <w:tcW w:w="2250" w:type="pct"/>
          <w:tcBorders>
            <w:top w:val="single" w:sz="4" w:space="0" w:color="4F81BD"/>
            <w:left w:val="nil"/>
            <w:bottom w:val="nil"/>
            <w:right w:val="nil"/>
          </w:tcBorders>
        </w:tcPr>
        <w:p w14:paraId="3C302B75" w14:textId="77777777" w:rsidR="002D7269" w:rsidRPr="005A3173" w:rsidRDefault="002D7269" w:rsidP="005A3173">
          <w:pPr>
            <w:pStyle w:val="Header"/>
            <w:spacing w:line="276" w:lineRule="auto"/>
            <w:rPr>
              <w:rFonts w:eastAsia="MS Gothic"/>
              <w:b/>
              <w:bCs/>
              <w:color w:val="4F81BD"/>
            </w:rPr>
          </w:pPr>
        </w:p>
      </w:tc>
    </w:tr>
  </w:tbl>
  <w:p w14:paraId="5D2C6B0E" w14:textId="77777777" w:rsidR="002D7269" w:rsidRPr="007C0F57" w:rsidRDefault="002D7269"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14:paraId="0C13DD78" w14:textId="77777777" w:rsidR="002D7269" w:rsidRPr="007C0F57" w:rsidRDefault="002D7269" w:rsidP="007C0F57">
    <w:pPr>
      <w:pStyle w:val="Footer"/>
      <w:jc w:val="center"/>
      <w:rPr>
        <w:b/>
        <w:i/>
        <w:sz w:val="20"/>
        <w:szCs w:val="20"/>
      </w:rPr>
    </w:pPr>
    <w:r w:rsidRPr="007C0F57">
      <w:rPr>
        <w:b/>
        <w:i/>
        <w:sz w:val="20"/>
        <w:szCs w:val="20"/>
      </w:rPr>
      <w:t>Commercial-in-Confidence</w:t>
    </w:r>
  </w:p>
  <w:p w14:paraId="7123EEDA" w14:textId="77777777" w:rsidR="002D7269" w:rsidRDefault="002D726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B161B" w14:textId="77777777" w:rsidR="002D7269" w:rsidRDefault="002D7269">
      <w:r>
        <w:separator/>
      </w:r>
    </w:p>
    <w:p w14:paraId="1F7BFAE1" w14:textId="77777777" w:rsidR="002D7269" w:rsidRDefault="002D7269"/>
  </w:footnote>
  <w:footnote w:type="continuationSeparator" w:id="0">
    <w:p w14:paraId="254A1251" w14:textId="77777777" w:rsidR="002D7269" w:rsidRDefault="002D7269">
      <w:r>
        <w:continuationSeparator/>
      </w:r>
    </w:p>
    <w:p w14:paraId="25AD7CC7" w14:textId="77777777" w:rsidR="002D7269" w:rsidRDefault="002D7269"/>
  </w:footnote>
  <w:footnote w:id="1">
    <w:p w14:paraId="66367CFE" w14:textId="307BA017" w:rsidR="00015DC1" w:rsidRDefault="00015DC1">
      <w:pPr>
        <w:pStyle w:val="FootnoteText"/>
      </w:pPr>
      <w:r>
        <w:rPr>
          <w:rStyle w:val="FootnoteReference"/>
        </w:rPr>
        <w:footnoteRef/>
      </w:r>
      <w:r>
        <w:t xml:space="preserve"> </w:t>
      </w:r>
      <w:r w:rsidRPr="00015DC1">
        <w:rPr>
          <w:szCs w:val="22"/>
        </w:rPr>
        <w:t>O'Brien MER, Ciuleanu T-E, Tsekov H, et al: Phase III Trial Comparing Supportive Care Alone With Supportive Care With Oral Topotecan in Patients With Relapsed Small-Cell Lung Cancer. Journal of Clinical Oncology 24:5441-5447, 2006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2D7269" w:rsidRPr="008E0D90" w14:paraId="5BED4405" w14:textId="77777777" w:rsidTr="00A06225">
      <w:trPr>
        <w:trHeight w:val="151"/>
      </w:trPr>
      <w:tc>
        <w:tcPr>
          <w:tcW w:w="2389" w:type="pct"/>
          <w:tcBorders>
            <w:top w:val="nil"/>
            <w:left w:val="nil"/>
            <w:bottom w:val="single" w:sz="4" w:space="0" w:color="4F81BD"/>
            <w:right w:val="nil"/>
          </w:tcBorders>
        </w:tcPr>
        <w:p w14:paraId="56B15E6D" w14:textId="77777777" w:rsidR="002D7269" w:rsidRPr="00A06225" w:rsidRDefault="002D7269">
          <w:pPr>
            <w:pStyle w:val="Header"/>
            <w:spacing w:line="276" w:lineRule="auto"/>
            <w:rPr>
              <w:rFonts w:ascii="Cambria" w:eastAsia="MS Gothic" w:hAnsi="Cambria"/>
              <w:b/>
              <w:bCs/>
              <w:color w:val="4F81BD"/>
            </w:rPr>
          </w:pPr>
        </w:p>
      </w:tc>
      <w:tc>
        <w:tcPr>
          <w:tcW w:w="333" w:type="pct"/>
          <w:vMerge w:val="restart"/>
          <w:noWrap/>
          <w:vAlign w:val="center"/>
          <w:hideMark/>
        </w:tcPr>
        <w:p w14:paraId="6D804E8A" w14:textId="77777777" w:rsidR="002D7269" w:rsidRPr="00A06225" w:rsidRDefault="002D7269"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6E520741" w14:textId="77777777" w:rsidR="002D7269" w:rsidRPr="00A06225" w:rsidRDefault="002D7269">
          <w:pPr>
            <w:pStyle w:val="Header"/>
            <w:spacing w:line="276" w:lineRule="auto"/>
            <w:rPr>
              <w:rFonts w:ascii="Cambria" w:eastAsia="MS Gothic" w:hAnsi="Cambria"/>
              <w:b/>
              <w:bCs/>
              <w:color w:val="4F81BD"/>
            </w:rPr>
          </w:pPr>
        </w:p>
      </w:tc>
    </w:tr>
    <w:tr w:rsidR="002D7269" w:rsidRPr="008E0D90" w14:paraId="1B0F50EB" w14:textId="77777777" w:rsidTr="00A06225">
      <w:trPr>
        <w:trHeight w:val="150"/>
      </w:trPr>
      <w:tc>
        <w:tcPr>
          <w:tcW w:w="2389" w:type="pct"/>
          <w:tcBorders>
            <w:top w:val="single" w:sz="4" w:space="0" w:color="4F81BD"/>
            <w:left w:val="nil"/>
            <w:bottom w:val="nil"/>
            <w:right w:val="nil"/>
          </w:tcBorders>
        </w:tcPr>
        <w:p w14:paraId="385753F3" w14:textId="77777777" w:rsidR="002D7269" w:rsidRPr="00A06225" w:rsidRDefault="002D7269">
          <w:pPr>
            <w:pStyle w:val="Header"/>
            <w:spacing w:line="276" w:lineRule="auto"/>
            <w:rPr>
              <w:rFonts w:ascii="Cambria" w:eastAsia="MS Gothic" w:hAnsi="Cambria"/>
              <w:b/>
              <w:bCs/>
              <w:color w:val="4F81BD"/>
            </w:rPr>
          </w:pPr>
        </w:p>
      </w:tc>
      <w:tc>
        <w:tcPr>
          <w:tcW w:w="0" w:type="auto"/>
          <w:vMerge/>
          <w:vAlign w:val="center"/>
          <w:hideMark/>
        </w:tcPr>
        <w:p w14:paraId="093C6CD8" w14:textId="77777777" w:rsidR="002D7269" w:rsidRPr="00A06225" w:rsidRDefault="002D7269">
          <w:pPr>
            <w:rPr>
              <w:rFonts w:ascii="Cambria" w:hAnsi="Cambria"/>
              <w:color w:val="4F81BD"/>
              <w:sz w:val="22"/>
              <w:szCs w:val="22"/>
            </w:rPr>
          </w:pPr>
        </w:p>
      </w:tc>
      <w:tc>
        <w:tcPr>
          <w:tcW w:w="2278" w:type="pct"/>
          <w:tcBorders>
            <w:top w:val="single" w:sz="4" w:space="0" w:color="4F81BD"/>
            <w:left w:val="nil"/>
            <w:bottom w:val="nil"/>
            <w:right w:val="nil"/>
          </w:tcBorders>
        </w:tcPr>
        <w:p w14:paraId="6E284C98" w14:textId="77777777" w:rsidR="002D7269" w:rsidRPr="00A06225" w:rsidRDefault="002D7269">
          <w:pPr>
            <w:pStyle w:val="Header"/>
            <w:spacing w:line="276" w:lineRule="auto"/>
            <w:rPr>
              <w:rFonts w:ascii="Cambria" w:eastAsia="MS Gothic" w:hAnsi="Cambria"/>
              <w:b/>
              <w:bCs/>
              <w:color w:val="4F81BD"/>
            </w:rPr>
          </w:pPr>
        </w:p>
      </w:tc>
    </w:tr>
  </w:tbl>
  <w:p w14:paraId="359FF7DA" w14:textId="77777777" w:rsidR="002D7269" w:rsidRDefault="002D7269">
    <w:pPr>
      <w:pStyle w:val="Header"/>
    </w:pPr>
  </w:p>
  <w:p w14:paraId="54F42DAD" w14:textId="77777777" w:rsidR="002D7269" w:rsidRDefault="002D726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DC262" w14:textId="77777777" w:rsidR="00F82054" w:rsidRPr="00966288" w:rsidRDefault="00F82054" w:rsidP="00F82054">
    <w:pPr>
      <w:pStyle w:val="MinorOVRHeader"/>
      <w:jc w:val="center"/>
      <w:rPr>
        <w:i/>
      </w:rPr>
    </w:pPr>
    <w:r>
      <w:rPr>
        <w:i/>
      </w:rPr>
      <w:t>Public Summary Document</w:t>
    </w:r>
    <w:r w:rsidRPr="00966288">
      <w:rPr>
        <w:i/>
      </w:rPr>
      <w:t xml:space="preserve"> – </w:t>
    </w:r>
    <w:r>
      <w:rPr>
        <w:i/>
      </w:rPr>
      <w:t xml:space="preserve">July </w:t>
    </w:r>
    <w:r w:rsidRPr="00966288">
      <w:rPr>
        <w:i/>
      </w:rPr>
      <w:t>2020 PBAC Meeting</w:t>
    </w:r>
  </w:p>
  <w:p w14:paraId="5C5BC219" w14:textId="4136395A" w:rsidR="002D7269" w:rsidRDefault="002D7269" w:rsidP="00A128E6">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singleLevel"/>
    <w:tmpl w:val="98E4CF8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0015B3"/>
    <w:multiLevelType w:val="hybridMultilevel"/>
    <w:tmpl w:val="1DA4780C"/>
    <w:lvl w:ilvl="0" w:tplc="18143B82">
      <w:start w:val="1"/>
      <w:numFmt w:val="bullet"/>
      <w:lvlText w:val=""/>
      <w:lvlJc w:val="left"/>
      <w:pPr>
        <w:tabs>
          <w:tab w:val="num" w:pos="720"/>
        </w:tabs>
        <w:ind w:left="720" w:hanging="360"/>
      </w:pPr>
      <w:rPr>
        <w:rFonts w:ascii="Symbol" w:hAnsi="Symbol" w:hint="default"/>
      </w:rPr>
    </w:lvl>
    <w:lvl w:ilvl="1" w:tplc="3BB87880">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996683"/>
    <w:multiLevelType w:val="hybridMultilevel"/>
    <w:tmpl w:val="9492516E"/>
    <w:lvl w:ilvl="0" w:tplc="7C06699A">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B219F8"/>
    <w:multiLevelType w:val="hybridMultilevel"/>
    <w:tmpl w:val="C3DC4DD6"/>
    <w:lvl w:ilvl="0" w:tplc="92BE2BB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4F033A4"/>
    <w:multiLevelType w:val="hybridMultilevel"/>
    <w:tmpl w:val="950A25FA"/>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13" w15:restartNumberingAfterBreak="0">
    <w:nsid w:val="42376C72"/>
    <w:multiLevelType w:val="hybridMultilevel"/>
    <w:tmpl w:val="2426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12625C"/>
    <w:multiLevelType w:val="hybridMultilevel"/>
    <w:tmpl w:val="DD9A1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784D033C"/>
    <w:multiLevelType w:val="multilevel"/>
    <w:tmpl w:val="CE0C1662"/>
    <w:lvl w:ilvl="0">
      <w:start w:val="1"/>
      <w:numFmt w:val="decimal"/>
      <w:pStyle w:val="2-SectionHeading"/>
      <w:lvlText w:val="%1"/>
      <w:lvlJc w:val="left"/>
      <w:pPr>
        <w:ind w:left="720" w:hanging="720"/>
      </w:pPr>
      <w:rPr>
        <w:rFonts w:hint="default"/>
        <w:b/>
        <w:i w:val="0"/>
        <w:color w:val="auto"/>
      </w:rPr>
    </w:lvl>
    <w:lvl w:ilvl="1">
      <w:start w:val="1"/>
      <w:numFmt w:val="decimal"/>
      <w:pStyle w:val="3Bodytext"/>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1"/>
  </w:num>
  <w:num w:numId="2">
    <w:abstractNumId w:val="0"/>
  </w:num>
  <w:num w:numId="3">
    <w:abstractNumId w:val="21"/>
  </w:num>
  <w:num w:numId="4">
    <w:abstractNumId w:val="17"/>
  </w:num>
  <w:num w:numId="5">
    <w:abstractNumId w:val="23"/>
  </w:num>
  <w:num w:numId="6">
    <w:abstractNumId w:val="19"/>
  </w:num>
  <w:num w:numId="7">
    <w:abstractNumId w:val="20"/>
  </w:num>
  <w:num w:numId="8">
    <w:abstractNumId w:val="15"/>
  </w:num>
  <w:num w:numId="9">
    <w:abstractNumId w:val="5"/>
  </w:num>
  <w:num w:numId="10">
    <w:abstractNumId w:val="18"/>
  </w:num>
  <w:num w:numId="11">
    <w:abstractNumId w:val="12"/>
  </w:num>
  <w:num w:numId="12">
    <w:abstractNumId w:val="1"/>
  </w:num>
  <w:num w:numId="13">
    <w:abstractNumId w:val="21"/>
  </w:num>
  <w:num w:numId="14">
    <w:abstractNumId w:val="7"/>
  </w:num>
  <w:num w:numId="15">
    <w:abstractNumId w:val="22"/>
  </w:num>
  <w:num w:numId="16">
    <w:abstractNumId w:val="14"/>
  </w:num>
  <w:num w:numId="17">
    <w:abstractNumId w:val="13"/>
  </w:num>
  <w:num w:numId="18">
    <w:abstractNumId w:val="21"/>
  </w:num>
  <w:num w:numId="19">
    <w:abstractNumId w:val="10"/>
  </w:num>
  <w:num w:numId="20">
    <w:abstractNumId w:val="4"/>
  </w:num>
  <w:num w:numId="21">
    <w:abstractNumId w:val="6"/>
  </w:num>
  <w:num w:numId="22">
    <w:abstractNumId w:val="21"/>
  </w:num>
  <w:num w:numId="23">
    <w:abstractNumId w:val="16"/>
  </w:num>
  <w:num w:numId="24">
    <w:abstractNumId w:val="3"/>
  </w:num>
  <w:num w:numId="25">
    <w:abstractNumId w:val="2"/>
  </w:num>
  <w:num w:numId="26">
    <w:abstractNumId w:val="9"/>
  </w:num>
  <w:num w:numId="27">
    <w:abstractNumId w:val="11"/>
  </w:num>
  <w:num w:numId="28">
    <w:abstractNumId w:val="8"/>
  </w:num>
  <w:num w:numId="29">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25AD"/>
    <w:rsid w:val="0000335D"/>
    <w:rsid w:val="00006EC5"/>
    <w:rsid w:val="00011A59"/>
    <w:rsid w:val="00015DC1"/>
    <w:rsid w:val="00016A41"/>
    <w:rsid w:val="000214D1"/>
    <w:rsid w:val="0002183D"/>
    <w:rsid w:val="0002464A"/>
    <w:rsid w:val="0003106B"/>
    <w:rsid w:val="0003180B"/>
    <w:rsid w:val="00034905"/>
    <w:rsid w:val="000421A1"/>
    <w:rsid w:val="0004240E"/>
    <w:rsid w:val="00045E26"/>
    <w:rsid w:val="0005119E"/>
    <w:rsid w:val="000514B5"/>
    <w:rsid w:val="00052867"/>
    <w:rsid w:val="00054F52"/>
    <w:rsid w:val="00057992"/>
    <w:rsid w:val="00060E64"/>
    <w:rsid w:val="00066755"/>
    <w:rsid w:val="000763D5"/>
    <w:rsid w:val="00077143"/>
    <w:rsid w:val="00082169"/>
    <w:rsid w:val="000918CB"/>
    <w:rsid w:val="00091B06"/>
    <w:rsid w:val="000951C4"/>
    <w:rsid w:val="00095ADA"/>
    <w:rsid w:val="000969AD"/>
    <w:rsid w:val="000A3AA2"/>
    <w:rsid w:val="000A44B2"/>
    <w:rsid w:val="000A52F6"/>
    <w:rsid w:val="000A57E6"/>
    <w:rsid w:val="000B44C3"/>
    <w:rsid w:val="000B558D"/>
    <w:rsid w:val="000C5F95"/>
    <w:rsid w:val="000C6996"/>
    <w:rsid w:val="000D09E9"/>
    <w:rsid w:val="000D113F"/>
    <w:rsid w:val="000D23BA"/>
    <w:rsid w:val="000E09E0"/>
    <w:rsid w:val="000E45BE"/>
    <w:rsid w:val="000E5EA1"/>
    <w:rsid w:val="000E681E"/>
    <w:rsid w:val="000F0003"/>
    <w:rsid w:val="000F3384"/>
    <w:rsid w:val="000F4E6A"/>
    <w:rsid w:val="000F7330"/>
    <w:rsid w:val="000F7354"/>
    <w:rsid w:val="00101ABE"/>
    <w:rsid w:val="001021D2"/>
    <w:rsid w:val="00102202"/>
    <w:rsid w:val="00104227"/>
    <w:rsid w:val="001107BF"/>
    <w:rsid w:val="00113649"/>
    <w:rsid w:val="001157A6"/>
    <w:rsid w:val="0012417C"/>
    <w:rsid w:val="00124636"/>
    <w:rsid w:val="0012641D"/>
    <w:rsid w:val="0012749D"/>
    <w:rsid w:val="0013489C"/>
    <w:rsid w:val="001377BD"/>
    <w:rsid w:val="00142395"/>
    <w:rsid w:val="00142714"/>
    <w:rsid w:val="001452ED"/>
    <w:rsid w:val="0014624E"/>
    <w:rsid w:val="00147D84"/>
    <w:rsid w:val="001549C1"/>
    <w:rsid w:val="00162BDD"/>
    <w:rsid w:val="00162D4E"/>
    <w:rsid w:val="00163329"/>
    <w:rsid w:val="00164623"/>
    <w:rsid w:val="001652DE"/>
    <w:rsid w:val="00165B64"/>
    <w:rsid w:val="00165EA7"/>
    <w:rsid w:val="00180713"/>
    <w:rsid w:val="00180720"/>
    <w:rsid w:val="001830CE"/>
    <w:rsid w:val="00185AC6"/>
    <w:rsid w:val="0018643B"/>
    <w:rsid w:val="00196307"/>
    <w:rsid w:val="001A33EA"/>
    <w:rsid w:val="001A4C4F"/>
    <w:rsid w:val="001A76FB"/>
    <w:rsid w:val="001B017F"/>
    <w:rsid w:val="001B2BBC"/>
    <w:rsid w:val="001B3A40"/>
    <w:rsid w:val="001B3FFE"/>
    <w:rsid w:val="001B5129"/>
    <w:rsid w:val="001B677D"/>
    <w:rsid w:val="001B7695"/>
    <w:rsid w:val="001C0B4C"/>
    <w:rsid w:val="001C1195"/>
    <w:rsid w:val="001C2E42"/>
    <w:rsid w:val="001C6E47"/>
    <w:rsid w:val="001D1F5F"/>
    <w:rsid w:val="001D3453"/>
    <w:rsid w:val="001E06D2"/>
    <w:rsid w:val="001F005B"/>
    <w:rsid w:val="001F1850"/>
    <w:rsid w:val="001F3189"/>
    <w:rsid w:val="002018D8"/>
    <w:rsid w:val="00203FAC"/>
    <w:rsid w:val="00205318"/>
    <w:rsid w:val="002120DF"/>
    <w:rsid w:val="00213CFB"/>
    <w:rsid w:val="0021553C"/>
    <w:rsid w:val="0021557B"/>
    <w:rsid w:val="00216B2B"/>
    <w:rsid w:val="002174FD"/>
    <w:rsid w:val="00217BE1"/>
    <w:rsid w:val="00222323"/>
    <w:rsid w:val="00234252"/>
    <w:rsid w:val="00235B7E"/>
    <w:rsid w:val="00237AC6"/>
    <w:rsid w:val="00244490"/>
    <w:rsid w:val="00245B9C"/>
    <w:rsid w:val="0025161D"/>
    <w:rsid w:val="00253499"/>
    <w:rsid w:val="002551A4"/>
    <w:rsid w:val="00257664"/>
    <w:rsid w:val="00257908"/>
    <w:rsid w:val="00265151"/>
    <w:rsid w:val="00266509"/>
    <w:rsid w:val="00271BA1"/>
    <w:rsid w:val="002762FA"/>
    <w:rsid w:val="00277505"/>
    <w:rsid w:val="00277549"/>
    <w:rsid w:val="00280617"/>
    <w:rsid w:val="002823B6"/>
    <w:rsid w:val="00283670"/>
    <w:rsid w:val="002869C5"/>
    <w:rsid w:val="00293F32"/>
    <w:rsid w:val="00294274"/>
    <w:rsid w:val="0029458F"/>
    <w:rsid w:val="002A0E04"/>
    <w:rsid w:val="002A104C"/>
    <w:rsid w:val="002A1EF7"/>
    <w:rsid w:val="002A494D"/>
    <w:rsid w:val="002A4960"/>
    <w:rsid w:val="002B0AE0"/>
    <w:rsid w:val="002B11F3"/>
    <w:rsid w:val="002B1AE6"/>
    <w:rsid w:val="002B1D51"/>
    <w:rsid w:val="002B2DE8"/>
    <w:rsid w:val="002B30F8"/>
    <w:rsid w:val="002B388A"/>
    <w:rsid w:val="002B5596"/>
    <w:rsid w:val="002C212F"/>
    <w:rsid w:val="002C29AE"/>
    <w:rsid w:val="002C4F6E"/>
    <w:rsid w:val="002C7485"/>
    <w:rsid w:val="002D12C0"/>
    <w:rsid w:val="002D283A"/>
    <w:rsid w:val="002D4543"/>
    <w:rsid w:val="002D5B46"/>
    <w:rsid w:val="002D7269"/>
    <w:rsid w:val="002E3153"/>
    <w:rsid w:val="002E5292"/>
    <w:rsid w:val="002E72CA"/>
    <w:rsid w:val="002F600D"/>
    <w:rsid w:val="002F725E"/>
    <w:rsid w:val="00300AD6"/>
    <w:rsid w:val="00300B1B"/>
    <w:rsid w:val="003019D0"/>
    <w:rsid w:val="003064AF"/>
    <w:rsid w:val="00310B68"/>
    <w:rsid w:val="003160F1"/>
    <w:rsid w:val="00317C6C"/>
    <w:rsid w:val="00320CD3"/>
    <w:rsid w:val="00326E79"/>
    <w:rsid w:val="003301B1"/>
    <w:rsid w:val="00331189"/>
    <w:rsid w:val="0033263D"/>
    <w:rsid w:val="00334292"/>
    <w:rsid w:val="0033518A"/>
    <w:rsid w:val="003367EF"/>
    <w:rsid w:val="0033718F"/>
    <w:rsid w:val="00337DE0"/>
    <w:rsid w:val="00341AE4"/>
    <w:rsid w:val="00342455"/>
    <w:rsid w:val="003443E9"/>
    <w:rsid w:val="00346D3B"/>
    <w:rsid w:val="003476EE"/>
    <w:rsid w:val="003541DD"/>
    <w:rsid w:val="00356E5B"/>
    <w:rsid w:val="003615D5"/>
    <w:rsid w:val="00362199"/>
    <w:rsid w:val="003718A2"/>
    <w:rsid w:val="003736C9"/>
    <w:rsid w:val="00377175"/>
    <w:rsid w:val="00384988"/>
    <w:rsid w:val="003872CF"/>
    <w:rsid w:val="0038750E"/>
    <w:rsid w:val="00392528"/>
    <w:rsid w:val="0039782C"/>
    <w:rsid w:val="003A5B4A"/>
    <w:rsid w:val="003A5D95"/>
    <w:rsid w:val="003B23C5"/>
    <w:rsid w:val="003B2A75"/>
    <w:rsid w:val="003B6124"/>
    <w:rsid w:val="003C093A"/>
    <w:rsid w:val="003C1ECF"/>
    <w:rsid w:val="003C2D8E"/>
    <w:rsid w:val="003C2FB5"/>
    <w:rsid w:val="003D24C5"/>
    <w:rsid w:val="003D4750"/>
    <w:rsid w:val="003D4AC4"/>
    <w:rsid w:val="003D63B7"/>
    <w:rsid w:val="003D74C5"/>
    <w:rsid w:val="003E468B"/>
    <w:rsid w:val="003E62BD"/>
    <w:rsid w:val="003F0C3A"/>
    <w:rsid w:val="003F3228"/>
    <w:rsid w:val="003F5C8C"/>
    <w:rsid w:val="003F63CE"/>
    <w:rsid w:val="003F775A"/>
    <w:rsid w:val="00400E55"/>
    <w:rsid w:val="0040128E"/>
    <w:rsid w:val="0040216B"/>
    <w:rsid w:val="00403260"/>
    <w:rsid w:val="00413AB7"/>
    <w:rsid w:val="00413EAD"/>
    <w:rsid w:val="004252EC"/>
    <w:rsid w:val="00430D39"/>
    <w:rsid w:val="00441CE1"/>
    <w:rsid w:val="004465BD"/>
    <w:rsid w:val="00446938"/>
    <w:rsid w:val="00446FB2"/>
    <w:rsid w:val="0044718A"/>
    <w:rsid w:val="00454966"/>
    <w:rsid w:val="00455058"/>
    <w:rsid w:val="004609E3"/>
    <w:rsid w:val="00461A44"/>
    <w:rsid w:val="00466ADA"/>
    <w:rsid w:val="004702BB"/>
    <w:rsid w:val="004733D2"/>
    <w:rsid w:val="0047494B"/>
    <w:rsid w:val="00476245"/>
    <w:rsid w:val="00476837"/>
    <w:rsid w:val="00477A9B"/>
    <w:rsid w:val="00482A31"/>
    <w:rsid w:val="00483035"/>
    <w:rsid w:val="00485940"/>
    <w:rsid w:val="004904B9"/>
    <w:rsid w:val="00497E38"/>
    <w:rsid w:val="004A2484"/>
    <w:rsid w:val="004A2A9E"/>
    <w:rsid w:val="004A5A85"/>
    <w:rsid w:val="004A65C2"/>
    <w:rsid w:val="004A71D1"/>
    <w:rsid w:val="004A7C5B"/>
    <w:rsid w:val="004B1845"/>
    <w:rsid w:val="004B2E98"/>
    <w:rsid w:val="004B3C7A"/>
    <w:rsid w:val="004B5640"/>
    <w:rsid w:val="004C03D0"/>
    <w:rsid w:val="004C18F4"/>
    <w:rsid w:val="004C1BD7"/>
    <w:rsid w:val="004C31FE"/>
    <w:rsid w:val="004C524C"/>
    <w:rsid w:val="004C5FFA"/>
    <w:rsid w:val="004C691D"/>
    <w:rsid w:val="004C6C07"/>
    <w:rsid w:val="004D4FF6"/>
    <w:rsid w:val="004E176F"/>
    <w:rsid w:val="004E68BC"/>
    <w:rsid w:val="004E692D"/>
    <w:rsid w:val="004E7D87"/>
    <w:rsid w:val="004F1DA3"/>
    <w:rsid w:val="004F2553"/>
    <w:rsid w:val="004F51E4"/>
    <w:rsid w:val="00501554"/>
    <w:rsid w:val="00502AFE"/>
    <w:rsid w:val="00503AD7"/>
    <w:rsid w:val="00504E0C"/>
    <w:rsid w:val="005101BD"/>
    <w:rsid w:val="005109D4"/>
    <w:rsid w:val="00514CD7"/>
    <w:rsid w:val="005161A4"/>
    <w:rsid w:val="00520D6A"/>
    <w:rsid w:val="00522DB6"/>
    <w:rsid w:val="005248B3"/>
    <w:rsid w:val="00525759"/>
    <w:rsid w:val="0052792D"/>
    <w:rsid w:val="005319B2"/>
    <w:rsid w:val="00532402"/>
    <w:rsid w:val="00532C74"/>
    <w:rsid w:val="00534E2E"/>
    <w:rsid w:val="00541247"/>
    <w:rsid w:val="00544552"/>
    <w:rsid w:val="00544CE1"/>
    <w:rsid w:val="00545130"/>
    <w:rsid w:val="0054677D"/>
    <w:rsid w:val="00551492"/>
    <w:rsid w:val="0055286A"/>
    <w:rsid w:val="00555745"/>
    <w:rsid w:val="00557D4F"/>
    <w:rsid w:val="00561786"/>
    <w:rsid w:val="0056484E"/>
    <w:rsid w:val="00567D92"/>
    <w:rsid w:val="00572247"/>
    <w:rsid w:val="005764CD"/>
    <w:rsid w:val="00576519"/>
    <w:rsid w:val="00577C4D"/>
    <w:rsid w:val="00580532"/>
    <w:rsid w:val="00581932"/>
    <w:rsid w:val="00582A75"/>
    <w:rsid w:val="00584538"/>
    <w:rsid w:val="005963BB"/>
    <w:rsid w:val="005A3173"/>
    <w:rsid w:val="005A3223"/>
    <w:rsid w:val="005A3DA3"/>
    <w:rsid w:val="005A52C4"/>
    <w:rsid w:val="005A58B5"/>
    <w:rsid w:val="005C2FDB"/>
    <w:rsid w:val="005C443F"/>
    <w:rsid w:val="005C4F73"/>
    <w:rsid w:val="005D03AB"/>
    <w:rsid w:val="005D12CC"/>
    <w:rsid w:val="005D41AA"/>
    <w:rsid w:val="005D5017"/>
    <w:rsid w:val="005D63FA"/>
    <w:rsid w:val="005E0D82"/>
    <w:rsid w:val="005E1333"/>
    <w:rsid w:val="005E3136"/>
    <w:rsid w:val="005E507D"/>
    <w:rsid w:val="005F3933"/>
    <w:rsid w:val="00600F3C"/>
    <w:rsid w:val="00601A91"/>
    <w:rsid w:val="00602BA3"/>
    <w:rsid w:val="00605B63"/>
    <w:rsid w:val="00605F9A"/>
    <w:rsid w:val="00606EED"/>
    <w:rsid w:val="006124AC"/>
    <w:rsid w:val="00612E34"/>
    <w:rsid w:val="00614159"/>
    <w:rsid w:val="00616C5F"/>
    <w:rsid w:val="00616DAC"/>
    <w:rsid w:val="006175C3"/>
    <w:rsid w:val="00617C00"/>
    <w:rsid w:val="00622DB0"/>
    <w:rsid w:val="00625D93"/>
    <w:rsid w:val="006263BF"/>
    <w:rsid w:val="0062748A"/>
    <w:rsid w:val="00630A2C"/>
    <w:rsid w:val="0063682E"/>
    <w:rsid w:val="00637D6C"/>
    <w:rsid w:val="00641914"/>
    <w:rsid w:val="00642DA8"/>
    <w:rsid w:val="006436CD"/>
    <w:rsid w:val="00651169"/>
    <w:rsid w:val="00653D69"/>
    <w:rsid w:val="00654CA8"/>
    <w:rsid w:val="006552E6"/>
    <w:rsid w:val="00655794"/>
    <w:rsid w:val="00657C63"/>
    <w:rsid w:val="006670BE"/>
    <w:rsid w:val="00670A76"/>
    <w:rsid w:val="006711AA"/>
    <w:rsid w:val="00671F54"/>
    <w:rsid w:val="00672B57"/>
    <w:rsid w:val="00673F1F"/>
    <w:rsid w:val="00675622"/>
    <w:rsid w:val="0067747D"/>
    <w:rsid w:val="006818D5"/>
    <w:rsid w:val="00681CA4"/>
    <w:rsid w:val="00681E00"/>
    <w:rsid w:val="00683BFA"/>
    <w:rsid w:val="00684464"/>
    <w:rsid w:val="006874DF"/>
    <w:rsid w:val="00687643"/>
    <w:rsid w:val="00687C83"/>
    <w:rsid w:val="0069039D"/>
    <w:rsid w:val="006906DB"/>
    <w:rsid w:val="00691E6C"/>
    <w:rsid w:val="00693DFB"/>
    <w:rsid w:val="0069501D"/>
    <w:rsid w:val="00696129"/>
    <w:rsid w:val="006966D1"/>
    <w:rsid w:val="006976CB"/>
    <w:rsid w:val="00697CF2"/>
    <w:rsid w:val="006A12A5"/>
    <w:rsid w:val="006A1505"/>
    <w:rsid w:val="006A5E20"/>
    <w:rsid w:val="006A63CF"/>
    <w:rsid w:val="006A6806"/>
    <w:rsid w:val="006B0D94"/>
    <w:rsid w:val="006B2AF6"/>
    <w:rsid w:val="006B485D"/>
    <w:rsid w:val="006B5E5D"/>
    <w:rsid w:val="006C0BEF"/>
    <w:rsid w:val="006C334C"/>
    <w:rsid w:val="006C708E"/>
    <w:rsid w:val="006D14E7"/>
    <w:rsid w:val="006D209F"/>
    <w:rsid w:val="006D3169"/>
    <w:rsid w:val="006D4444"/>
    <w:rsid w:val="006D5359"/>
    <w:rsid w:val="006D61E7"/>
    <w:rsid w:val="006D6493"/>
    <w:rsid w:val="006D6EC7"/>
    <w:rsid w:val="006E1BCD"/>
    <w:rsid w:val="006E5F0C"/>
    <w:rsid w:val="006F0A71"/>
    <w:rsid w:val="006F40C2"/>
    <w:rsid w:val="006F5125"/>
    <w:rsid w:val="006F733D"/>
    <w:rsid w:val="0070146E"/>
    <w:rsid w:val="007015E7"/>
    <w:rsid w:val="00702B6F"/>
    <w:rsid w:val="00704973"/>
    <w:rsid w:val="00706A2F"/>
    <w:rsid w:val="0070718E"/>
    <w:rsid w:val="00710259"/>
    <w:rsid w:val="0071031F"/>
    <w:rsid w:val="00711603"/>
    <w:rsid w:val="0071340B"/>
    <w:rsid w:val="00715BBB"/>
    <w:rsid w:val="007174BB"/>
    <w:rsid w:val="0072025D"/>
    <w:rsid w:val="0073137C"/>
    <w:rsid w:val="00731561"/>
    <w:rsid w:val="007353D3"/>
    <w:rsid w:val="0074156B"/>
    <w:rsid w:val="00747092"/>
    <w:rsid w:val="007555E8"/>
    <w:rsid w:val="007607FA"/>
    <w:rsid w:val="0076420C"/>
    <w:rsid w:val="00771D07"/>
    <w:rsid w:val="007731FD"/>
    <w:rsid w:val="007736EA"/>
    <w:rsid w:val="00773BE3"/>
    <w:rsid w:val="00774E2C"/>
    <w:rsid w:val="007753C2"/>
    <w:rsid w:val="0077696E"/>
    <w:rsid w:val="007802B1"/>
    <w:rsid w:val="007838B8"/>
    <w:rsid w:val="007876EE"/>
    <w:rsid w:val="007915BA"/>
    <w:rsid w:val="007A550D"/>
    <w:rsid w:val="007A691E"/>
    <w:rsid w:val="007B1A56"/>
    <w:rsid w:val="007B26BC"/>
    <w:rsid w:val="007B3DDC"/>
    <w:rsid w:val="007B72A6"/>
    <w:rsid w:val="007C0F57"/>
    <w:rsid w:val="007C40B6"/>
    <w:rsid w:val="007C729F"/>
    <w:rsid w:val="007D1DE8"/>
    <w:rsid w:val="007D503D"/>
    <w:rsid w:val="007D5786"/>
    <w:rsid w:val="007E1D28"/>
    <w:rsid w:val="007E2ECA"/>
    <w:rsid w:val="007E3D50"/>
    <w:rsid w:val="007F0021"/>
    <w:rsid w:val="007F2641"/>
    <w:rsid w:val="007F4B0F"/>
    <w:rsid w:val="007F7C36"/>
    <w:rsid w:val="00802925"/>
    <w:rsid w:val="00806796"/>
    <w:rsid w:val="00811CC0"/>
    <w:rsid w:val="008151D6"/>
    <w:rsid w:val="00821527"/>
    <w:rsid w:val="00821EFA"/>
    <w:rsid w:val="00825B27"/>
    <w:rsid w:val="008268BB"/>
    <w:rsid w:val="00826F6D"/>
    <w:rsid w:val="008306F3"/>
    <w:rsid w:val="00830E40"/>
    <w:rsid w:val="00831426"/>
    <w:rsid w:val="00835C62"/>
    <w:rsid w:val="00847EC0"/>
    <w:rsid w:val="00855FD6"/>
    <w:rsid w:val="00856DDD"/>
    <w:rsid w:val="00863E68"/>
    <w:rsid w:val="008647B5"/>
    <w:rsid w:val="00867AC4"/>
    <w:rsid w:val="00875DCB"/>
    <w:rsid w:val="0087600B"/>
    <w:rsid w:val="008807F4"/>
    <w:rsid w:val="00882085"/>
    <w:rsid w:val="00882341"/>
    <w:rsid w:val="00883188"/>
    <w:rsid w:val="00893382"/>
    <w:rsid w:val="00893578"/>
    <w:rsid w:val="00893B1E"/>
    <w:rsid w:val="00897681"/>
    <w:rsid w:val="00897D58"/>
    <w:rsid w:val="00897F22"/>
    <w:rsid w:val="008A0939"/>
    <w:rsid w:val="008A0B39"/>
    <w:rsid w:val="008A1956"/>
    <w:rsid w:val="008A34D5"/>
    <w:rsid w:val="008A4937"/>
    <w:rsid w:val="008A50F1"/>
    <w:rsid w:val="008A59D9"/>
    <w:rsid w:val="008A6819"/>
    <w:rsid w:val="008B2EC0"/>
    <w:rsid w:val="008B363B"/>
    <w:rsid w:val="008B5D34"/>
    <w:rsid w:val="008D1B5C"/>
    <w:rsid w:val="008D3C82"/>
    <w:rsid w:val="008D447E"/>
    <w:rsid w:val="008D7A41"/>
    <w:rsid w:val="008E2C72"/>
    <w:rsid w:val="008E3680"/>
    <w:rsid w:val="008E5870"/>
    <w:rsid w:val="008F0213"/>
    <w:rsid w:val="008F1434"/>
    <w:rsid w:val="008F54C3"/>
    <w:rsid w:val="008F5BE4"/>
    <w:rsid w:val="008F7355"/>
    <w:rsid w:val="00900D77"/>
    <w:rsid w:val="009023DC"/>
    <w:rsid w:val="009027C5"/>
    <w:rsid w:val="009067B7"/>
    <w:rsid w:val="00911F87"/>
    <w:rsid w:val="00912BD1"/>
    <w:rsid w:val="00917D69"/>
    <w:rsid w:val="00926560"/>
    <w:rsid w:val="00930937"/>
    <w:rsid w:val="009324A6"/>
    <w:rsid w:val="00933E6C"/>
    <w:rsid w:val="00937958"/>
    <w:rsid w:val="00941602"/>
    <w:rsid w:val="00942160"/>
    <w:rsid w:val="00947D5C"/>
    <w:rsid w:val="0095146F"/>
    <w:rsid w:val="00957944"/>
    <w:rsid w:val="009602C5"/>
    <w:rsid w:val="00962223"/>
    <w:rsid w:val="00966D0D"/>
    <w:rsid w:val="0096783C"/>
    <w:rsid w:val="009722B3"/>
    <w:rsid w:val="0097235D"/>
    <w:rsid w:val="00974C21"/>
    <w:rsid w:val="00975948"/>
    <w:rsid w:val="00977BF3"/>
    <w:rsid w:val="009803E4"/>
    <w:rsid w:val="00980B0E"/>
    <w:rsid w:val="00983654"/>
    <w:rsid w:val="009836A3"/>
    <w:rsid w:val="009855A8"/>
    <w:rsid w:val="009913F4"/>
    <w:rsid w:val="0099465B"/>
    <w:rsid w:val="009A0CDD"/>
    <w:rsid w:val="009A1728"/>
    <w:rsid w:val="009A3168"/>
    <w:rsid w:val="009A47AB"/>
    <w:rsid w:val="009A61CA"/>
    <w:rsid w:val="009B0C64"/>
    <w:rsid w:val="009B0F67"/>
    <w:rsid w:val="009C703C"/>
    <w:rsid w:val="009D206E"/>
    <w:rsid w:val="009D3CAA"/>
    <w:rsid w:val="009D6532"/>
    <w:rsid w:val="009D76F1"/>
    <w:rsid w:val="009E2494"/>
    <w:rsid w:val="009E2E8E"/>
    <w:rsid w:val="009E40E1"/>
    <w:rsid w:val="009F03F7"/>
    <w:rsid w:val="009F0EFA"/>
    <w:rsid w:val="009F2173"/>
    <w:rsid w:val="009F4E46"/>
    <w:rsid w:val="009F5B65"/>
    <w:rsid w:val="009F5F2E"/>
    <w:rsid w:val="00A01432"/>
    <w:rsid w:val="00A06225"/>
    <w:rsid w:val="00A128E6"/>
    <w:rsid w:val="00A13C18"/>
    <w:rsid w:val="00A144D3"/>
    <w:rsid w:val="00A22AC3"/>
    <w:rsid w:val="00A23F3F"/>
    <w:rsid w:val="00A24067"/>
    <w:rsid w:val="00A2744D"/>
    <w:rsid w:val="00A34087"/>
    <w:rsid w:val="00A34E6C"/>
    <w:rsid w:val="00A36398"/>
    <w:rsid w:val="00A37C8D"/>
    <w:rsid w:val="00A4020E"/>
    <w:rsid w:val="00A40FB5"/>
    <w:rsid w:val="00A42826"/>
    <w:rsid w:val="00A429B3"/>
    <w:rsid w:val="00A42D89"/>
    <w:rsid w:val="00A45ACC"/>
    <w:rsid w:val="00A50893"/>
    <w:rsid w:val="00A5273B"/>
    <w:rsid w:val="00A53A9D"/>
    <w:rsid w:val="00A546E8"/>
    <w:rsid w:val="00A55819"/>
    <w:rsid w:val="00A55FEE"/>
    <w:rsid w:val="00A57422"/>
    <w:rsid w:val="00A62C1A"/>
    <w:rsid w:val="00A6426D"/>
    <w:rsid w:val="00A665C1"/>
    <w:rsid w:val="00A673A4"/>
    <w:rsid w:val="00A70622"/>
    <w:rsid w:val="00A70977"/>
    <w:rsid w:val="00A70D58"/>
    <w:rsid w:val="00A744F9"/>
    <w:rsid w:val="00A74BCF"/>
    <w:rsid w:val="00A77613"/>
    <w:rsid w:val="00A81851"/>
    <w:rsid w:val="00A81B09"/>
    <w:rsid w:val="00A8390C"/>
    <w:rsid w:val="00A86AE0"/>
    <w:rsid w:val="00A928BD"/>
    <w:rsid w:val="00A97DE9"/>
    <w:rsid w:val="00AA12CD"/>
    <w:rsid w:val="00AA4D1C"/>
    <w:rsid w:val="00AA52FD"/>
    <w:rsid w:val="00AB5856"/>
    <w:rsid w:val="00AC193C"/>
    <w:rsid w:val="00AC4DE5"/>
    <w:rsid w:val="00AC5206"/>
    <w:rsid w:val="00AD4322"/>
    <w:rsid w:val="00AD6C2F"/>
    <w:rsid w:val="00AE01F7"/>
    <w:rsid w:val="00AE11A5"/>
    <w:rsid w:val="00AE13E2"/>
    <w:rsid w:val="00AE22D3"/>
    <w:rsid w:val="00AE5A49"/>
    <w:rsid w:val="00AF0F2F"/>
    <w:rsid w:val="00AF62DF"/>
    <w:rsid w:val="00AF68CC"/>
    <w:rsid w:val="00AF70D7"/>
    <w:rsid w:val="00B0540C"/>
    <w:rsid w:val="00B06478"/>
    <w:rsid w:val="00B07CFB"/>
    <w:rsid w:val="00B1059E"/>
    <w:rsid w:val="00B1126B"/>
    <w:rsid w:val="00B132B3"/>
    <w:rsid w:val="00B16273"/>
    <w:rsid w:val="00B170A5"/>
    <w:rsid w:val="00B176C8"/>
    <w:rsid w:val="00B17EE5"/>
    <w:rsid w:val="00B205AA"/>
    <w:rsid w:val="00B22E84"/>
    <w:rsid w:val="00B233AD"/>
    <w:rsid w:val="00B23E25"/>
    <w:rsid w:val="00B25F75"/>
    <w:rsid w:val="00B26B3F"/>
    <w:rsid w:val="00B2778F"/>
    <w:rsid w:val="00B31409"/>
    <w:rsid w:val="00B33635"/>
    <w:rsid w:val="00B40B8A"/>
    <w:rsid w:val="00B42AF4"/>
    <w:rsid w:val="00B43E90"/>
    <w:rsid w:val="00B467DC"/>
    <w:rsid w:val="00B56118"/>
    <w:rsid w:val="00B6773F"/>
    <w:rsid w:val="00B70EB3"/>
    <w:rsid w:val="00B7525E"/>
    <w:rsid w:val="00B760FB"/>
    <w:rsid w:val="00B76761"/>
    <w:rsid w:val="00B767AB"/>
    <w:rsid w:val="00B801BA"/>
    <w:rsid w:val="00B84D5C"/>
    <w:rsid w:val="00B92945"/>
    <w:rsid w:val="00B943DF"/>
    <w:rsid w:val="00BA1851"/>
    <w:rsid w:val="00BA2DA8"/>
    <w:rsid w:val="00BA347C"/>
    <w:rsid w:val="00BA603B"/>
    <w:rsid w:val="00BA6785"/>
    <w:rsid w:val="00BB27F4"/>
    <w:rsid w:val="00BB5C49"/>
    <w:rsid w:val="00BB69F5"/>
    <w:rsid w:val="00BB7E9A"/>
    <w:rsid w:val="00BB7EC3"/>
    <w:rsid w:val="00BC4B9A"/>
    <w:rsid w:val="00BD02C3"/>
    <w:rsid w:val="00BD35F2"/>
    <w:rsid w:val="00BD7483"/>
    <w:rsid w:val="00BD784C"/>
    <w:rsid w:val="00BE020A"/>
    <w:rsid w:val="00BE13DF"/>
    <w:rsid w:val="00BF092C"/>
    <w:rsid w:val="00BF27A0"/>
    <w:rsid w:val="00BF4CB6"/>
    <w:rsid w:val="00BF6DD3"/>
    <w:rsid w:val="00C00DA7"/>
    <w:rsid w:val="00C01650"/>
    <w:rsid w:val="00C04CDE"/>
    <w:rsid w:val="00C12768"/>
    <w:rsid w:val="00C12D70"/>
    <w:rsid w:val="00C21B09"/>
    <w:rsid w:val="00C2673A"/>
    <w:rsid w:val="00C27B58"/>
    <w:rsid w:val="00C35996"/>
    <w:rsid w:val="00C35BA4"/>
    <w:rsid w:val="00C37708"/>
    <w:rsid w:val="00C41CD7"/>
    <w:rsid w:val="00C4747E"/>
    <w:rsid w:val="00C5151E"/>
    <w:rsid w:val="00C5342C"/>
    <w:rsid w:val="00C53B2B"/>
    <w:rsid w:val="00C60272"/>
    <w:rsid w:val="00C603D4"/>
    <w:rsid w:val="00C60827"/>
    <w:rsid w:val="00C6256A"/>
    <w:rsid w:val="00C710E2"/>
    <w:rsid w:val="00C71C3F"/>
    <w:rsid w:val="00C7409E"/>
    <w:rsid w:val="00C76295"/>
    <w:rsid w:val="00C76E76"/>
    <w:rsid w:val="00C7726A"/>
    <w:rsid w:val="00C77891"/>
    <w:rsid w:val="00C913D1"/>
    <w:rsid w:val="00C91449"/>
    <w:rsid w:val="00C92D10"/>
    <w:rsid w:val="00CA3C19"/>
    <w:rsid w:val="00CA48D9"/>
    <w:rsid w:val="00CB1193"/>
    <w:rsid w:val="00CB4767"/>
    <w:rsid w:val="00CB493D"/>
    <w:rsid w:val="00CC3B97"/>
    <w:rsid w:val="00CD15C1"/>
    <w:rsid w:val="00CD339B"/>
    <w:rsid w:val="00CE10C4"/>
    <w:rsid w:val="00CE27B5"/>
    <w:rsid w:val="00CE6DAF"/>
    <w:rsid w:val="00CF0F9D"/>
    <w:rsid w:val="00CF3458"/>
    <w:rsid w:val="00CF410A"/>
    <w:rsid w:val="00D0321E"/>
    <w:rsid w:val="00D05A10"/>
    <w:rsid w:val="00D07A8A"/>
    <w:rsid w:val="00D11869"/>
    <w:rsid w:val="00D14528"/>
    <w:rsid w:val="00D1455A"/>
    <w:rsid w:val="00D17ED9"/>
    <w:rsid w:val="00D22093"/>
    <w:rsid w:val="00D2417F"/>
    <w:rsid w:val="00D25FAC"/>
    <w:rsid w:val="00D31150"/>
    <w:rsid w:val="00D3138B"/>
    <w:rsid w:val="00D3280C"/>
    <w:rsid w:val="00D3406A"/>
    <w:rsid w:val="00D3563B"/>
    <w:rsid w:val="00D40B11"/>
    <w:rsid w:val="00D40F4F"/>
    <w:rsid w:val="00D441F1"/>
    <w:rsid w:val="00D4572C"/>
    <w:rsid w:val="00D469B2"/>
    <w:rsid w:val="00D53F56"/>
    <w:rsid w:val="00D54B09"/>
    <w:rsid w:val="00D57C8D"/>
    <w:rsid w:val="00D60FA3"/>
    <w:rsid w:val="00D618B7"/>
    <w:rsid w:val="00D65658"/>
    <w:rsid w:val="00D678F9"/>
    <w:rsid w:val="00D72B6F"/>
    <w:rsid w:val="00D741EB"/>
    <w:rsid w:val="00D7679C"/>
    <w:rsid w:val="00D820F3"/>
    <w:rsid w:val="00D83605"/>
    <w:rsid w:val="00D84934"/>
    <w:rsid w:val="00D85647"/>
    <w:rsid w:val="00D91271"/>
    <w:rsid w:val="00D919F5"/>
    <w:rsid w:val="00D946F2"/>
    <w:rsid w:val="00D94F03"/>
    <w:rsid w:val="00D97075"/>
    <w:rsid w:val="00DA0D14"/>
    <w:rsid w:val="00DA1FC9"/>
    <w:rsid w:val="00DA2CB5"/>
    <w:rsid w:val="00DA4BAC"/>
    <w:rsid w:val="00DA75A5"/>
    <w:rsid w:val="00DB0151"/>
    <w:rsid w:val="00DC2055"/>
    <w:rsid w:val="00DC2C3E"/>
    <w:rsid w:val="00DC4880"/>
    <w:rsid w:val="00DD1499"/>
    <w:rsid w:val="00DE5FAD"/>
    <w:rsid w:val="00DE6D27"/>
    <w:rsid w:val="00DF01F8"/>
    <w:rsid w:val="00DF0769"/>
    <w:rsid w:val="00DF217D"/>
    <w:rsid w:val="00DF26A7"/>
    <w:rsid w:val="00DF3277"/>
    <w:rsid w:val="00DF6E76"/>
    <w:rsid w:val="00DF7919"/>
    <w:rsid w:val="00E0207E"/>
    <w:rsid w:val="00E03912"/>
    <w:rsid w:val="00E078D9"/>
    <w:rsid w:val="00E134E7"/>
    <w:rsid w:val="00E15627"/>
    <w:rsid w:val="00E164B3"/>
    <w:rsid w:val="00E16910"/>
    <w:rsid w:val="00E21796"/>
    <w:rsid w:val="00E24E09"/>
    <w:rsid w:val="00E27234"/>
    <w:rsid w:val="00E42BDB"/>
    <w:rsid w:val="00E44E4B"/>
    <w:rsid w:val="00E51FD6"/>
    <w:rsid w:val="00E57EEB"/>
    <w:rsid w:val="00E603B2"/>
    <w:rsid w:val="00E62D94"/>
    <w:rsid w:val="00E64F37"/>
    <w:rsid w:val="00E65076"/>
    <w:rsid w:val="00E65E54"/>
    <w:rsid w:val="00E661C7"/>
    <w:rsid w:val="00E66E44"/>
    <w:rsid w:val="00E74D20"/>
    <w:rsid w:val="00E80155"/>
    <w:rsid w:val="00E811C1"/>
    <w:rsid w:val="00E8134B"/>
    <w:rsid w:val="00E81E0D"/>
    <w:rsid w:val="00E81EBA"/>
    <w:rsid w:val="00E81F28"/>
    <w:rsid w:val="00E848C0"/>
    <w:rsid w:val="00E85FA6"/>
    <w:rsid w:val="00E91B96"/>
    <w:rsid w:val="00E93D1E"/>
    <w:rsid w:val="00E941A1"/>
    <w:rsid w:val="00E95CE3"/>
    <w:rsid w:val="00EA2243"/>
    <w:rsid w:val="00EA252F"/>
    <w:rsid w:val="00EA2825"/>
    <w:rsid w:val="00EA2FA0"/>
    <w:rsid w:val="00EA3077"/>
    <w:rsid w:val="00EA6518"/>
    <w:rsid w:val="00EA7466"/>
    <w:rsid w:val="00EA7EDE"/>
    <w:rsid w:val="00EB0B63"/>
    <w:rsid w:val="00EB1936"/>
    <w:rsid w:val="00EB37BE"/>
    <w:rsid w:val="00EB5088"/>
    <w:rsid w:val="00EB6C91"/>
    <w:rsid w:val="00EC0903"/>
    <w:rsid w:val="00EC2945"/>
    <w:rsid w:val="00ED1644"/>
    <w:rsid w:val="00ED2593"/>
    <w:rsid w:val="00ED509D"/>
    <w:rsid w:val="00ED7D55"/>
    <w:rsid w:val="00ED7D9C"/>
    <w:rsid w:val="00EE31A2"/>
    <w:rsid w:val="00EE3F63"/>
    <w:rsid w:val="00EE468F"/>
    <w:rsid w:val="00EE4C5B"/>
    <w:rsid w:val="00EF0069"/>
    <w:rsid w:val="00EF44A0"/>
    <w:rsid w:val="00EF4FED"/>
    <w:rsid w:val="00EF6FB3"/>
    <w:rsid w:val="00F007C6"/>
    <w:rsid w:val="00F0172E"/>
    <w:rsid w:val="00F050BD"/>
    <w:rsid w:val="00F05657"/>
    <w:rsid w:val="00F15B6D"/>
    <w:rsid w:val="00F17ED6"/>
    <w:rsid w:val="00F209E2"/>
    <w:rsid w:val="00F25578"/>
    <w:rsid w:val="00F258E5"/>
    <w:rsid w:val="00F25B9C"/>
    <w:rsid w:val="00F26CC6"/>
    <w:rsid w:val="00F300BC"/>
    <w:rsid w:val="00F3263C"/>
    <w:rsid w:val="00F3334E"/>
    <w:rsid w:val="00F36CCB"/>
    <w:rsid w:val="00F374E5"/>
    <w:rsid w:val="00F37B93"/>
    <w:rsid w:val="00F37BAD"/>
    <w:rsid w:val="00F37ECA"/>
    <w:rsid w:val="00F432EB"/>
    <w:rsid w:val="00F43AF2"/>
    <w:rsid w:val="00F43BA8"/>
    <w:rsid w:val="00F44C87"/>
    <w:rsid w:val="00F5007E"/>
    <w:rsid w:val="00F50EC4"/>
    <w:rsid w:val="00F52232"/>
    <w:rsid w:val="00F550CF"/>
    <w:rsid w:val="00F5657D"/>
    <w:rsid w:val="00F57A6D"/>
    <w:rsid w:val="00F638CC"/>
    <w:rsid w:val="00F64C9E"/>
    <w:rsid w:val="00F64CC1"/>
    <w:rsid w:val="00F650F3"/>
    <w:rsid w:val="00F72317"/>
    <w:rsid w:val="00F76658"/>
    <w:rsid w:val="00F80475"/>
    <w:rsid w:val="00F82054"/>
    <w:rsid w:val="00F8247A"/>
    <w:rsid w:val="00F82E5C"/>
    <w:rsid w:val="00F8305F"/>
    <w:rsid w:val="00F90BA6"/>
    <w:rsid w:val="00F927EF"/>
    <w:rsid w:val="00F9629A"/>
    <w:rsid w:val="00F97EFC"/>
    <w:rsid w:val="00FA10E3"/>
    <w:rsid w:val="00FA1BDD"/>
    <w:rsid w:val="00FA305C"/>
    <w:rsid w:val="00FA4DD5"/>
    <w:rsid w:val="00FA5883"/>
    <w:rsid w:val="00FA6055"/>
    <w:rsid w:val="00FB0B39"/>
    <w:rsid w:val="00FB322F"/>
    <w:rsid w:val="00FB38F7"/>
    <w:rsid w:val="00FB442F"/>
    <w:rsid w:val="00FC04B5"/>
    <w:rsid w:val="00FC1929"/>
    <w:rsid w:val="00FC388F"/>
    <w:rsid w:val="00FC5B46"/>
    <w:rsid w:val="00FD640C"/>
    <w:rsid w:val="00FD6D8E"/>
    <w:rsid w:val="00FE0663"/>
    <w:rsid w:val="00FE0E94"/>
    <w:rsid w:val="00FE1013"/>
    <w:rsid w:val="00FE2F26"/>
    <w:rsid w:val="00FE3CD9"/>
    <w:rsid w:val="00FE65CD"/>
    <w:rsid w:val="00FF00BD"/>
    <w:rsid w:val="00FF1ED4"/>
    <w:rsid w:val="00FF2801"/>
    <w:rsid w:val="00FF47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1553"/>
    <o:shapelayout v:ext="edit">
      <o:idmap v:ext="edit" data="1"/>
    </o:shapelayout>
  </w:shapeDefaults>
  <w:decimalSymbol w:val="."/>
  <w:listSeparator w:val=","/>
  <w14:docId w14:val="71C0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938"/>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11"/>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8"/>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tabs>
        <w:tab w:val="clear" w:pos="36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12"/>
      </w:numPr>
      <w:contextualSpacing/>
    </w:pPr>
  </w:style>
  <w:style w:type="paragraph" w:styleId="FootnoteText">
    <w:name w:val="footnote text"/>
    <w:basedOn w:val="Normal"/>
    <w:link w:val="FootnoteTextChar"/>
    <w:semiHidden/>
    <w:unhideWhenUsed/>
    <w:rsid w:val="00015DC1"/>
    <w:rPr>
      <w:sz w:val="20"/>
      <w:szCs w:val="20"/>
    </w:rPr>
  </w:style>
  <w:style w:type="character" w:customStyle="1" w:styleId="FootnoteTextChar">
    <w:name w:val="Footnote Text Char"/>
    <w:basedOn w:val="DefaultParagraphFont"/>
    <w:link w:val="FootnoteText"/>
    <w:semiHidden/>
    <w:rsid w:val="00015DC1"/>
    <w:rPr>
      <w:rFonts w:ascii="Calibri" w:hAnsi="Calibri"/>
    </w:rPr>
  </w:style>
  <w:style w:type="character" w:styleId="FootnoteReference">
    <w:name w:val="footnote reference"/>
    <w:basedOn w:val="DefaultParagraphFont"/>
    <w:semiHidden/>
    <w:unhideWhenUsed/>
    <w:rsid w:val="00015D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29CC9-1591-4790-BBE9-C4984E0F0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1226</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2020-07-30T09:17:00Z</dcterms:created>
  <dcterms:modified xsi:type="dcterms:W3CDTF">2020-10-26T23:36:00Z</dcterms:modified>
</cp:coreProperties>
</file>