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EE20B" w14:textId="1A9EE20A" w:rsidR="007637E5" w:rsidRPr="00880C9F" w:rsidRDefault="007637E5" w:rsidP="00491D53">
      <w:pPr>
        <w:pStyle w:val="1MainTitle"/>
        <w:ind w:left="1440" w:hanging="1440"/>
        <w:jc w:val="left"/>
        <w:rPr>
          <w:rFonts w:asciiTheme="minorHAnsi" w:hAnsiTheme="minorHAnsi" w:cstheme="minorHAnsi"/>
        </w:rPr>
      </w:pPr>
      <w:bookmarkStart w:id="0" w:name="_GoBack"/>
      <w:bookmarkEnd w:id="0"/>
      <w:r w:rsidRPr="00880C9F">
        <w:rPr>
          <w:rFonts w:asciiTheme="minorHAnsi" w:hAnsiTheme="minorHAnsi" w:cstheme="minorHAnsi"/>
        </w:rPr>
        <w:t>14.03</w:t>
      </w:r>
      <w:r w:rsidR="002374DC">
        <w:rPr>
          <w:rFonts w:asciiTheme="minorHAnsi" w:hAnsiTheme="minorHAnsi" w:cstheme="minorHAnsi"/>
        </w:rPr>
        <w:t>(</w:t>
      </w:r>
      <w:r w:rsidRPr="00880C9F">
        <w:rPr>
          <w:rFonts w:asciiTheme="minorHAnsi" w:hAnsiTheme="minorHAnsi" w:cstheme="minorHAnsi"/>
        </w:rPr>
        <w:t>i</w:t>
      </w:r>
      <w:r w:rsidR="002374DC">
        <w:rPr>
          <w:rFonts w:asciiTheme="minorHAnsi" w:hAnsiTheme="minorHAnsi" w:cstheme="minorHAnsi"/>
        </w:rPr>
        <w:t>)</w:t>
      </w:r>
      <w:r w:rsidRPr="00880C9F">
        <w:rPr>
          <w:rFonts w:asciiTheme="minorHAnsi" w:hAnsiTheme="minorHAnsi" w:cstheme="minorHAnsi"/>
        </w:rPr>
        <w:tab/>
        <w:t>VITAMINS, MINERALS AND TRACE ELEMENTS WITH CARBOHYDRATE</w:t>
      </w:r>
      <w:r w:rsidRPr="00880C9F">
        <w:rPr>
          <w:rFonts w:asciiTheme="minorHAnsi" w:hAnsiTheme="minorHAnsi" w:cstheme="minorHAnsi"/>
        </w:rPr>
        <w:br/>
        <w:t xml:space="preserve">Oral powder 200 g, </w:t>
      </w:r>
      <w:r w:rsidRPr="00880C9F">
        <w:rPr>
          <w:rFonts w:asciiTheme="minorHAnsi" w:hAnsiTheme="minorHAnsi" w:cstheme="minorHAnsi"/>
        </w:rPr>
        <w:br/>
        <w:t>Paediatric Seravit</w:t>
      </w:r>
      <w:r w:rsidRPr="00880C9F">
        <w:rPr>
          <w:rFonts w:asciiTheme="minorHAnsi" w:hAnsiTheme="minorHAnsi" w:cstheme="minorHAnsi"/>
          <w:vertAlign w:val="superscript"/>
        </w:rPr>
        <w:t>®</w:t>
      </w:r>
      <w:r w:rsidRPr="00880C9F">
        <w:rPr>
          <w:rFonts w:asciiTheme="minorHAnsi" w:hAnsiTheme="minorHAnsi" w:cstheme="minorHAnsi"/>
        </w:rPr>
        <w:t xml:space="preserve">, </w:t>
      </w:r>
      <w:r w:rsidRPr="00880C9F">
        <w:rPr>
          <w:rFonts w:asciiTheme="minorHAnsi" w:hAnsiTheme="minorHAnsi" w:cstheme="minorHAnsi"/>
        </w:rPr>
        <w:br/>
        <w:t>Nutricia Australia Pty Ltd</w:t>
      </w:r>
    </w:p>
    <w:p w14:paraId="132D62BF" w14:textId="77777777" w:rsidR="007637E5" w:rsidRPr="00880C9F" w:rsidRDefault="007637E5" w:rsidP="00491D53">
      <w:pPr>
        <w:pStyle w:val="2-SectionHeading"/>
      </w:pPr>
      <w:r w:rsidRPr="00880C9F">
        <w:t xml:space="preserve">Purpose of Application </w:t>
      </w:r>
    </w:p>
    <w:p w14:paraId="4F31FC99" w14:textId="14E94E67" w:rsidR="007637E5" w:rsidRPr="00880C9F" w:rsidRDefault="007637E5" w:rsidP="000D6161">
      <w:pPr>
        <w:pStyle w:val="ListParagraph"/>
        <w:numPr>
          <w:ilvl w:val="1"/>
          <w:numId w:val="1"/>
        </w:numPr>
        <w:jc w:val="both"/>
        <w:rPr>
          <w:rFonts w:eastAsiaTheme="minorHAnsi" w:cstheme="minorBidi"/>
          <w:snapToGrid/>
          <w:szCs w:val="22"/>
        </w:rPr>
      </w:pPr>
      <w:r w:rsidRPr="00880C9F">
        <w:rPr>
          <w:rFonts w:eastAsiaTheme="minorHAnsi" w:cstheme="minorBidi"/>
          <w:snapToGrid/>
          <w:szCs w:val="22"/>
        </w:rPr>
        <w:t xml:space="preserve">The </w:t>
      </w:r>
      <w:r w:rsidR="00A56093" w:rsidRPr="00880C9F">
        <w:rPr>
          <w:rFonts w:eastAsiaTheme="minorHAnsi" w:cstheme="minorBidi"/>
          <w:szCs w:val="22"/>
        </w:rPr>
        <w:t xml:space="preserve">Committee Secretariat Submission </w:t>
      </w:r>
      <w:r w:rsidRPr="00880C9F">
        <w:rPr>
          <w:rFonts w:eastAsiaTheme="minorHAnsi" w:cstheme="minorBidi"/>
          <w:snapToGrid/>
          <w:szCs w:val="22"/>
        </w:rPr>
        <w:t>requested</w:t>
      </w:r>
      <w:r w:rsidRPr="00880C9F">
        <w:t xml:space="preserve"> a formulation change to Paediatric Seravit</w:t>
      </w:r>
      <w:r w:rsidR="00D23401" w:rsidRPr="00880C9F">
        <w:rPr>
          <w:rFonts w:cstheme="minorHAnsi"/>
        </w:rPr>
        <w:t>®</w:t>
      </w:r>
      <w:r w:rsidR="00D23401" w:rsidRPr="00880C9F">
        <w:rPr>
          <w:rFonts w:eastAsiaTheme="minorHAnsi" w:cstheme="minorBidi"/>
          <w:szCs w:val="22"/>
        </w:rPr>
        <w:t xml:space="preserve"> </w:t>
      </w:r>
      <w:r w:rsidR="00D23401" w:rsidRPr="00880C9F">
        <w:rPr>
          <w:rFonts w:eastAsiaTheme="minorHAnsi" w:cstheme="minorBidi"/>
          <w:snapToGrid/>
          <w:szCs w:val="22"/>
        </w:rPr>
        <w:t>based on new European compositional standards.</w:t>
      </w:r>
    </w:p>
    <w:p w14:paraId="4BB450CC" w14:textId="77777777" w:rsidR="007637E5" w:rsidRPr="00880C9F" w:rsidRDefault="007637E5" w:rsidP="007637E5">
      <w:pPr>
        <w:pStyle w:val="Heading1"/>
        <w:keepNext/>
        <w:keepLines/>
        <w:numPr>
          <w:ilvl w:val="0"/>
          <w:numId w:val="1"/>
        </w:numPr>
        <w:spacing w:before="240"/>
        <w:ind w:left="709" w:hanging="709"/>
        <w:rPr>
          <w:sz w:val="32"/>
          <w:szCs w:val="32"/>
        </w:rPr>
      </w:pPr>
      <w:r w:rsidRPr="00880C9F">
        <w:rPr>
          <w:sz w:val="32"/>
          <w:szCs w:val="32"/>
        </w:rPr>
        <w:t>Background</w:t>
      </w:r>
    </w:p>
    <w:p w14:paraId="5F8C8C6E" w14:textId="77777777" w:rsidR="007637E5" w:rsidRPr="00880C9F" w:rsidRDefault="00776C4D" w:rsidP="000D6161">
      <w:pPr>
        <w:pStyle w:val="ListParagraph"/>
        <w:numPr>
          <w:ilvl w:val="1"/>
          <w:numId w:val="1"/>
        </w:numPr>
        <w:jc w:val="both"/>
        <w:rPr>
          <w:rFonts w:eastAsiaTheme="minorHAnsi" w:cstheme="minorBidi"/>
          <w:snapToGrid/>
          <w:szCs w:val="22"/>
        </w:rPr>
      </w:pPr>
      <w:r w:rsidRPr="00880C9F">
        <w:rPr>
          <w:rFonts w:eastAsiaTheme="minorHAnsi" w:cstheme="minorBidi"/>
          <w:snapToGrid/>
          <w:szCs w:val="22"/>
        </w:rPr>
        <w:t>Paediatric Seravit</w:t>
      </w:r>
      <w:r w:rsidR="007637E5" w:rsidRPr="00880C9F">
        <w:rPr>
          <w:rFonts w:eastAsiaTheme="minorHAnsi" w:cstheme="minorBidi"/>
          <w:snapToGrid/>
          <w:szCs w:val="22"/>
        </w:rPr>
        <w:t xml:space="preserve"> was listed on the PBS on 1 </w:t>
      </w:r>
      <w:r w:rsidRPr="00880C9F">
        <w:rPr>
          <w:rFonts w:eastAsiaTheme="minorHAnsi" w:cstheme="minorBidi"/>
          <w:snapToGrid/>
          <w:szCs w:val="22"/>
        </w:rPr>
        <w:t>April</w:t>
      </w:r>
      <w:r w:rsidR="007637E5" w:rsidRPr="00880C9F">
        <w:rPr>
          <w:rFonts w:eastAsiaTheme="minorHAnsi" w:cstheme="minorBidi"/>
          <w:snapToGrid/>
          <w:szCs w:val="22"/>
        </w:rPr>
        <w:t xml:space="preserve"> </w:t>
      </w:r>
      <w:r w:rsidR="004B5F24" w:rsidRPr="00880C9F">
        <w:rPr>
          <w:rFonts w:eastAsiaTheme="minorHAnsi" w:cstheme="minorBidi"/>
          <w:snapToGrid/>
          <w:szCs w:val="22"/>
        </w:rPr>
        <w:t>2010</w:t>
      </w:r>
      <w:r w:rsidR="007637E5" w:rsidRPr="00880C9F">
        <w:rPr>
          <w:rFonts w:eastAsiaTheme="minorHAnsi" w:cstheme="minorBidi"/>
          <w:snapToGrid/>
          <w:szCs w:val="22"/>
        </w:rPr>
        <w:t>.</w:t>
      </w:r>
      <w:r w:rsidR="00CC7159" w:rsidRPr="00880C9F">
        <w:rPr>
          <w:rFonts w:eastAsiaTheme="minorHAnsi" w:cstheme="minorBidi"/>
          <w:snapToGrid/>
          <w:szCs w:val="22"/>
        </w:rPr>
        <w:t xml:space="preserve"> </w:t>
      </w:r>
    </w:p>
    <w:p w14:paraId="2DF44E80" w14:textId="5FBD323E" w:rsidR="00017CBA" w:rsidRPr="00880C9F" w:rsidRDefault="00017CBA" w:rsidP="000D6161">
      <w:pPr>
        <w:pStyle w:val="3Bodytext"/>
        <w:numPr>
          <w:ilvl w:val="1"/>
          <w:numId w:val="1"/>
        </w:numPr>
        <w:jc w:val="both"/>
        <w:rPr>
          <w:rFonts w:eastAsiaTheme="minorHAnsi" w:cstheme="minorBidi"/>
          <w:szCs w:val="22"/>
        </w:rPr>
      </w:pPr>
      <w:r w:rsidRPr="00880C9F">
        <w:rPr>
          <w:rFonts w:eastAsiaTheme="minorHAnsi" w:cstheme="minorBidi"/>
          <w:szCs w:val="22"/>
        </w:rPr>
        <w:t xml:space="preserve">The sponsor previously </w:t>
      </w:r>
      <w:r w:rsidR="00B45C43" w:rsidRPr="00880C9F">
        <w:rPr>
          <w:rFonts w:eastAsiaTheme="minorHAnsi" w:cstheme="minorBidi"/>
          <w:szCs w:val="22"/>
        </w:rPr>
        <w:t xml:space="preserve">indicated </w:t>
      </w:r>
      <w:r w:rsidRPr="00880C9F">
        <w:rPr>
          <w:rFonts w:eastAsiaTheme="minorHAnsi" w:cstheme="minorBidi"/>
          <w:szCs w:val="22"/>
        </w:rPr>
        <w:t xml:space="preserve">that Paediatric Seravit </w:t>
      </w:r>
      <w:r w:rsidR="00B45C43" w:rsidRPr="00880C9F">
        <w:rPr>
          <w:rFonts w:eastAsiaTheme="minorHAnsi" w:cstheme="minorBidi"/>
          <w:szCs w:val="22"/>
        </w:rPr>
        <w:t>met the requirements for</w:t>
      </w:r>
      <w:r w:rsidRPr="00880C9F">
        <w:rPr>
          <w:rFonts w:eastAsiaTheme="minorHAnsi" w:cstheme="minorBidi"/>
          <w:szCs w:val="22"/>
        </w:rPr>
        <w:t xml:space="preserve"> “Food for Special Medical Purposes” (FSMP) </w:t>
      </w:r>
      <w:r w:rsidR="00B45C43" w:rsidRPr="00880C9F">
        <w:rPr>
          <w:rFonts w:eastAsiaTheme="minorHAnsi" w:cstheme="minorBidi"/>
          <w:szCs w:val="22"/>
        </w:rPr>
        <w:t>as set out under The</w:t>
      </w:r>
      <w:r w:rsidRPr="00880C9F">
        <w:rPr>
          <w:rFonts w:eastAsiaTheme="minorHAnsi" w:cstheme="minorBidi"/>
          <w:szCs w:val="22"/>
        </w:rPr>
        <w:t xml:space="preserve"> Australia New Zealand Food Standards Code 2.9.5 Food for Special Medical Purposes.</w:t>
      </w:r>
    </w:p>
    <w:p w14:paraId="1074459E" w14:textId="7157640D" w:rsidR="00CA175A" w:rsidRPr="00880C9F" w:rsidRDefault="007637E5" w:rsidP="000D6161">
      <w:pPr>
        <w:pStyle w:val="3Bodytext"/>
        <w:numPr>
          <w:ilvl w:val="1"/>
          <w:numId w:val="1"/>
        </w:numPr>
        <w:jc w:val="both"/>
        <w:rPr>
          <w:rFonts w:eastAsiaTheme="minorHAnsi" w:cstheme="minorBidi"/>
          <w:szCs w:val="22"/>
        </w:rPr>
      </w:pPr>
      <w:r w:rsidRPr="00880C9F">
        <w:rPr>
          <w:rFonts w:eastAsiaTheme="minorHAnsi" w:cstheme="minorBidi"/>
          <w:szCs w:val="22"/>
        </w:rPr>
        <w:t xml:space="preserve">The submission </w:t>
      </w:r>
      <w:r w:rsidR="00490723" w:rsidRPr="00880C9F">
        <w:rPr>
          <w:rFonts w:eastAsiaTheme="minorHAnsi" w:cstheme="minorBidi"/>
          <w:szCs w:val="22"/>
        </w:rPr>
        <w:t xml:space="preserve">stated that the </w:t>
      </w:r>
      <w:r w:rsidRPr="00880C9F">
        <w:rPr>
          <w:rFonts w:eastAsiaTheme="minorHAnsi" w:cstheme="minorBidi"/>
          <w:szCs w:val="22"/>
        </w:rPr>
        <w:t xml:space="preserve">requested  change to the formulation of </w:t>
      </w:r>
      <w:r w:rsidR="00F1027E" w:rsidRPr="00880C9F">
        <w:rPr>
          <w:rFonts w:eastAsiaTheme="minorHAnsi" w:cstheme="minorBidi"/>
          <w:szCs w:val="22"/>
        </w:rPr>
        <w:t xml:space="preserve">Paediatric Seravit </w:t>
      </w:r>
      <w:r w:rsidR="00490723" w:rsidRPr="00880C9F">
        <w:rPr>
          <w:rFonts w:eastAsiaTheme="minorHAnsi" w:cstheme="minorBidi"/>
          <w:szCs w:val="22"/>
        </w:rPr>
        <w:t xml:space="preserve">was </w:t>
      </w:r>
      <w:r w:rsidRPr="00880C9F">
        <w:rPr>
          <w:rFonts w:eastAsiaTheme="minorHAnsi" w:cstheme="minorBidi"/>
          <w:szCs w:val="22"/>
        </w:rPr>
        <w:t>to comply with the composi</w:t>
      </w:r>
      <w:r w:rsidR="00EF6D6A" w:rsidRPr="00880C9F">
        <w:rPr>
          <w:rFonts w:eastAsiaTheme="minorHAnsi" w:cstheme="minorBidi"/>
          <w:szCs w:val="22"/>
        </w:rPr>
        <w:t xml:space="preserve">tional standards specified </w:t>
      </w:r>
      <w:r w:rsidR="00CA175A" w:rsidRPr="00880C9F">
        <w:rPr>
          <w:rFonts w:eastAsiaTheme="minorHAnsi" w:cstheme="minorBidi"/>
          <w:szCs w:val="22"/>
        </w:rPr>
        <w:t xml:space="preserve">in the </w:t>
      </w:r>
      <w:r w:rsidR="00EF6D6A" w:rsidRPr="00880C9F">
        <w:rPr>
          <w:rFonts w:eastAsiaTheme="minorHAnsi" w:cstheme="minorBidi"/>
          <w:szCs w:val="22"/>
        </w:rPr>
        <w:t xml:space="preserve">European Union (EU) Commission Delegated Regulation (EU) 2016/127 </w:t>
      </w:r>
      <w:r w:rsidR="00B45C43" w:rsidRPr="00880C9F">
        <w:rPr>
          <w:rFonts w:eastAsiaTheme="minorHAnsi" w:cstheme="minorBidi"/>
          <w:szCs w:val="22"/>
        </w:rPr>
        <w:t xml:space="preserve">on </w:t>
      </w:r>
      <w:r w:rsidR="00EF6D6A" w:rsidRPr="00880C9F">
        <w:rPr>
          <w:rFonts w:eastAsiaTheme="minorHAnsi" w:cstheme="minorBidi"/>
          <w:szCs w:val="22"/>
        </w:rPr>
        <w:t>infants (IF) a</w:t>
      </w:r>
      <w:r w:rsidR="00017CBA" w:rsidRPr="00880C9F">
        <w:rPr>
          <w:rFonts w:eastAsiaTheme="minorHAnsi" w:cstheme="minorBidi"/>
          <w:szCs w:val="22"/>
        </w:rPr>
        <w:t xml:space="preserve">nd follow-on formulae (FOF) and </w:t>
      </w:r>
      <w:r w:rsidR="00EF6D6A" w:rsidRPr="00880C9F">
        <w:rPr>
          <w:rFonts w:eastAsiaTheme="minorHAnsi" w:cstheme="minorBidi"/>
          <w:szCs w:val="22"/>
        </w:rPr>
        <w:t xml:space="preserve">the </w:t>
      </w:r>
      <w:r w:rsidR="00CA175A" w:rsidRPr="00880C9F">
        <w:rPr>
          <w:rFonts w:eastAsiaTheme="minorHAnsi" w:cstheme="minorBidi"/>
          <w:szCs w:val="22"/>
        </w:rPr>
        <w:t>European Union (EU) Commission Delegated Regulation (EU) 2016/12</w:t>
      </w:r>
      <w:r w:rsidR="00EF6D6A" w:rsidRPr="00880C9F">
        <w:rPr>
          <w:rFonts w:eastAsiaTheme="minorHAnsi" w:cstheme="minorBidi"/>
          <w:szCs w:val="22"/>
        </w:rPr>
        <w:t xml:space="preserve">8 </w:t>
      </w:r>
      <w:r w:rsidR="00B45C43" w:rsidRPr="00880C9F">
        <w:rPr>
          <w:rFonts w:eastAsiaTheme="minorHAnsi" w:cstheme="minorBidi"/>
          <w:szCs w:val="22"/>
        </w:rPr>
        <w:t>on</w:t>
      </w:r>
      <w:r w:rsidR="00EF6D6A" w:rsidRPr="00880C9F">
        <w:rPr>
          <w:rFonts w:eastAsiaTheme="minorHAnsi" w:cstheme="minorBidi"/>
          <w:szCs w:val="22"/>
        </w:rPr>
        <w:t xml:space="preserve"> FSMP.</w:t>
      </w:r>
      <w:r w:rsidR="00490723" w:rsidRPr="00880C9F">
        <w:rPr>
          <w:rFonts w:eastAsiaTheme="minorHAnsi" w:cstheme="minorBidi"/>
          <w:i/>
          <w:szCs w:val="22"/>
        </w:rPr>
        <w:t xml:space="preserve"> </w:t>
      </w:r>
    </w:p>
    <w:p w14:paraId="1465A160" w14:textId="27E49931" w:rsidR="00E56D8C" w:rsidRPr="00880C9F" w:rsidRDefault="00E56D8C" w:rsidP="006C6E56">
      <w:pPr>
        <w:pStyle w:val="Bodytextitalics"/>
        <w:ind w:left="720"/>
      </w:pPr>
      <w:r w:rsidRPr="00880C9F">
        <w:t xml:space="preserve">For more detail on PBAC’s view, see section </w:t>
      </w:r>
      <w:r w:rsidR="005B1E88" w:rsidRPr="00880C9F">
        <w:t>6</w:t>
      </w:r>
      <w:r w:rsidRPr="00880C9F">
        <w:t xml:space="preserve"> PBAC outcome.</w:t>
      </w:r>
    </w:p>
    <w:p w14:paraId="579F6BF4" w14:textId="77777777" w:rsidR="007637E5" w:rsidRPr="00880C9F" w:rsidRDefault="007637E5" w:rsidP="00491D53">
      <w:pPr>
        <w:pStyle w:val="2-SectionHeading"/>
      </w:pPr>
      <w:r w:rsidRPr="00880C9F">
        <w:t>Requested listing</w:t>
      </w:r>
    </w:p>
    <w:p w14:paraId="7DA065EB" w14:textId="38570F07" w:rsidR="0075491C" w:rsidRPr="00880C9F" w:rsidRDefault="007637E5" w:rsidP="006C6E56">
      <w:pPr>
        <w:pStyle w:val="ListParagraph"/>
        <w:numPr>
          <w:ilvl w:val="1"/>
          <w:numId w:val="1"/>
        </w:numPr>
        <w:jc w:val="both"/>
        <w:rPr>
          <w:rFonts w:eastAsiaTheme="minorHAnsi" w:cstheme="minorBidi"/>
          <w:szCs w:val="22"/>
        </w:rPr>
      </w:pPr>
      <w:r w:rsidRPr="00880C9F">
        <w:rPr>
          <w:rFonts w:eastAsiaTheme="minorHAnsi" w:cstheme="minorBidi"/>
          <w:snapToGrid/>
          <w:szCs w:val="22"/>
        </w:rPr>
        <w:t xml:space="preserve">The submission proposed no changes to the existing listing (PBS item code </w:t>
      </w:r>
      <w:r w:rsidR="00EF6D6A" w:rsidRPr="00880C9F">
        <w:rPr>
          <w:rFonts w:eastAsiaTheme="minorHAnsi" w:cstheme="minorBidi"/>
          <w:snapToGrid/>
          <w:szCs w:val="22"/>
        </w:rPr>
        <w:t>9328Y</w:t>
      </w:r>
      <w:r w:rsidRPr="00880C9F">
        <w:rPr>
          <w:rFonts w:eastAsiaTheme="minorHAnsi" w:cstheme="minorBidi"/>
          <w:snapToGrid/>
          <w:szCs w:val="22"/>
        </w:rPr>
        <w:t>).</w:t>
      </w:r>
    </w:p>
    <w:p w14:paraId="4FA90E05" w14:textId="33ED6870" w:rsidR="00E56D8C" w:rsidRPr="00880C9F" w:rsidRDefault="00E56D8C" w:rsidP="006C6E56">
      <w:pPr>
        <w:pStyle w:val="Bodytextitalics"/>
        <w:ind w:left="709"/>
      </w:pPr>
      <w:r w:rsidRPr="00880C9F">
        <w:t xml:space="preserve">For more detail on PBAC’s view, see section </w:t>
      </w:r>
      <w:r w:rsidR="005B1E88" w:rsidRPr="00880C9F">
        <w:t>6</w:t>
      </w:r>
      <w:r w:rsidRPr="00880C9F">
        <w:t xml:space="preserve"> PBAC outcome.</w:t>
      </w:r>
    </w:p>
    <w:p w14:paraId="0D72D206" w14:textId="3CCCBAD9" w:rsidR="007637E5" w:rsidRPr="00880C9F" w:rsidRDefault="007637E5" w:rsidP="007637E5">
      <w:pPr>
        <w:pStyle w:val="Heading1"/>
        <w:keepNext/>
        <w:keepLines/>
        <w:numPr>
          <w:ilvl w:val="0"/>
          <w:numId w:val="1"/>
        </w:numPr>
        <w:spacing w:before="240"/>
        <w:ind w:left="709" w:hanging="709"/>
        <w:rPr>
          <w:sz w:val="32"/>
          <w:szCs w:val="32"/>
        </w:rPr>
      </w:pPr>
      <w:r w:rsidRPr="00880C9F">
        <w:rPr>
          <w:sz w:val="32"/>
          <w:szCs w:val="32"/>
        </w:rPr>
        <w:t>Consideration of the evidence</w:t>
      </w:r>
    </w:p>
    <w:p w14:paraId="6A4EE5A9" w14:textId="77777777" w:rsidR="000771F2" w:rsidRPr="00880C9F" w:rsidRDefault="000771F2" w:rsidP="005B1E88">
      <w:pPr>
        <w:pStyle w:val="Heading2"/>
        <w:keepLines/>
        <w:spacing w:before="240" w:after="120"/>
        <w:rPr>
          <w:rFonts w:asciiTheme="minorHAnsi" w:eastAsiaTheme="majorEastAsia" w:hAnsiTheme="minorHAnsi" w:cstheme="majorBidi"/>
          <w:b w:val="0"/>
          <w:i w:val="0"/>
          <w:sz w:val="28"/>
          <w:szCs w:val="28"/>
        </w:rPr>
      </w:pPr>
      <w:r w:rsidRPr="00880C9F">
        <w:rPr>
          <w:rFonts w:asciiTheme="minorHAnsi" w:eastAsiaTheme="majorEastAsia" w:hAnsiTheme="minorHAnsi" w:cstheme="majorBidi"/>
          <w:sz w:val="28"/>
          <w:szCs w:val="28"/>
        </w:rPr>
        <w:t>Sponsor hearing</w:t>
      </w:r>
    </w:p>
    <w:p w14:paraId="13995286" w14:textId="35CC5732" w:rsidR="000771F2" w:rsidRPr="00880C9F" w:rsidRDefault="000771F2" w:rsidP="000771F2">
      <w:pPr>
        <w:widowControl w:val="0"/>
        <w:numPr>
          <w:ilvl w:val="1"/>
          <w:numId w:val="1"/>
        </w:numPr>
        <w:spacing w:after="120"/>
        <w:rPr>
          <w:rFonts w:asciiTheme="minorHAnsi" w:hAnsiTheme="minorHAnsi" w:cs="Arial"/>
          <w:bCs/>
          <w:snapToGrid w:val="0"/>
        </w:rPr>
      </w:pPr>
      <w:r w:rsidRPr="00880C9F">
        <w:rPr>
          <w:rFonts w:asciiTheme="minorHAnsi" w:hAnsiTheme="minorHAnsi" w:cs="Arial"/>
          <w:bCs/>
          <w:snapToGrid w:val="0"/>
        </w:rPr>
        <w:t xml:space="preserve">There was no hearing for this item as it was a </w:t>
      </w:r>
      <w:r w:rsidR="00A73995" w:rsidRPr="00880C9F">
        <w:rPr>
          <w:rFonts w:asciiTheme="minorHAnsi" w:hAnsiTheme="minorHAnsi" w:cs="Arial"/>
          <w:bCs/>
          <w:snapToGrid w:val="0"/>
        </w:rPr>
        <w:t>C</w:t>
      </w:r>
      <w:r w:rsidR="005B1E88" w:rsidRPr="00880C9F">
        <w:rPr>
          <w:rFonts w:asciiTheme="minorHAnsi" w:hAnsiTheme="minorHAnsi" w:cs="Arial"/>
          <w:bCs/>
          <w:snapToGrid w:val="0"/>
        </w:rPr>
        <w:t>omm</w:t>
      </w:r>
      <w:r w:rsidR="00A73995" w:rsidRPr="00880C9F">
        <w:rPr>
          <w:rFonts w:asciiTheme="minorHAnsi" w:hAnsiTheme="minorHAnsi" w:cs="Arial"/>
          <w:bCs/>
          <w:snapToGrid w:val="0"/>
        </w:rPr>
        <w:t>ittee S</w:t>
      </w:r>
      <w:r w:rsidR="005B1E88" w:rsidRPr="00880C9F">
        <w:rPr>
          <w:rFonts w:asciiTheme="minorHAnsi" w:hAnsiTheme="minorHAnsi" w:cs="Arial"/>
          <w:bCs/>
          <w:snapToGrid w:val="0"/>
        </w:rPr>
        <w:t xml:space="preserve">ecretariat </w:t>
      </w:r>
      <w:r w:rsidRPr="00880C9F">
        <w:rPr>
          <w:rFonts w:asciiTheme="minorHAnsi" w:hAnsiTheme="minorHAnsi" w:cs="Arial"/>
          <w:bCs/>
          <w:snapToGrid w:val="0"/>
        </w:rPr>
        <w:t>submission.</w:t>
      </w:r>
    </w:p>
    <w:p w14:paraId="7BFF8A96" w14:textId="77777777" w:rsidR="000771F2" w:rsidRPr="00880C9F" w:rsidRDefault="000771F2" w:rsidP="005B1E88">
      <w:pPr>
        <w:pStyle w:val="Heading2"/>
        <w:keepLines/>
        <w:spacing w:before="240" w:after="120"/>
        <w:rPr>
          <w:rFonts w:asciiTheme="minorHAnsi" w:eastAsiaTheme="majorEastAsia" w:hAnsiTheme="minorHAnsi" w:cstheme="majorBidi"/>
          <w:b w:val="0"/>
          <w:i w:val="0"/>
          <w:sz w:val="28"/>
          <w:szCs w:val="28"/>
        </w:rPr>
      </w:pPr>
      <w:r w:rsidRPr="00880C9F">
        <w:rPr>
          <w:rFonts w:asciiTheme="minorHAnsi" w:eastAsiaTheme="majorEastAsia" w:hAnsiTheme="minorHAnsi" w:cstheme="majorBidi"/>
          <w:sz w:val="28"/>
          <w:szCs w:val="28"/>
        </w:rPr>
        <w:t>Consumer comments</w:t>
      </w:r>
    </w:p>
    <w:p w14:paraId="1528E848" w14:textId="2AAC62D8" w:rsidR="000771F2" w:rsidRPr="00880C9F" w:rsidRDefault="000771F2" w:rsidP="005B1E88">
      <w:pPr>
        <w:widowControl w:val="0"/>
        <w:numPr>
          <w:ilvl w:val="1"/>
          <w:numId w:val="1"/>
        </w:numPr>
        <w:spacing w:after="120"/>
        <w:rPr>
          <w:bCs/>
        </w:rPr>
      </w:pPr>
      <w:r w:rsidRPr="00880C9F">
        <w:rPr>
          <w:rFonts w:asciiTheme="minorHAnsi" w:hAnsiTheme="minorHAnsi" w:cs="Arial"/>
          <w:bCs/>
          <w:snapToGrid w:val="0"/>
        </w:rPr>
        <w:t>The PBAC noted that no consumer comments were received for this item.</w:t>
      </w:r>
    </w:p>
    <w:p w14:paraId="08EFE828" w14:textId="77777777" w:rsidR="007637E5" w:rsidRPr="00880C9F" w:rsidRDefault="007637E5" w:rsidP="007637E5">
      <w:pPr>
        <w:pStyle w:val="Heading2"/>
        <w:keepLines/>
        <w:spacing w:before="240" w:after="120"/>
        <w:rPr>
          <w:rFonts w:asciiTheme="minorHAnsi" w:eastAsiaTheme="majorEastAsia" w:hAnsiTheme="minorHAnsi" w:cstheme="majorBidi"/>
          <w:sz w:val="28"/>
          <w:szCs w:val="28"/>
        </w:rPr>
      </w:pPr>
      <w:r w:rsidRPr="00880C9F">
        <w:rPr>
          <w:rFonts w:asciiTheme="minorHAnsi" w:eastAsiaTheme="majorEastAsia" w:hAnsiTheme="minorHAnsi" w:cstheme="majorBidi"/>
          <w:sz w:val="28"/>
          <w:szCs w:val="28"/>
        </w:rPr>
        <w:t>Clinical trials</w:t>
      </w:r>
    </w:p>
    <w:p w14:paraId="76A9EDF1" w14:textId="4EE4BAC3" w:rsidR="007637E5" w:rsidRPr="00880C9F" w:rsidRDefault="00A82B33" w:rsidP="000D6161">
      <w:pPr>
        <w:pStyle w:val="ListParagraph"/>
        <w:numPr>
          <w:ilvl w:val="1"/>
          <w:numId w:val="1"/>
        </w:numPr>
        <w:jc w:val="both"/>
        <w:rPr>
          <w:rFonts w:eastAsiaTheme="minorHAnsi" w:cstheme="minorBidi"/>
          <w:snapToGrid/>
          <w:szCs w:val="22"/>
        </w:rPr>
      </w:pPr>
      <w:r w:rsidRPr="00880C9F">
        <w:rPr>
          <w:rFonts w:eastAsiaTheme="minorHAnsi" w:cstheme="minorBidi"/>
          <w:snapToGrid/>
          <w:szCs w:val="22"/>
        </w:rPr>
        <w:t>N</w:t>
      </w:r>
      <w:r w:rsidR="007637E5" w:rsidRPr="00880C9F">
        <w:rPr>
          <w:rFonts w:eastAsiaTheme="minorHAnsi" w:cstheme="minorBidi"/>
          <w:snapToGrid/>
          <w:szCs w:val="22"/>
        </w:rPr>
        <w:t>o clinical trials were presented in the submission.</w:t>
      </w:r>
    </w:p>
    <w:p w14:paraId="701A2538" w14:textId="77777777" w:rsidR="007637E5" w:rsidRPr="00880C9F" w:rsidRDefault="007637E5" w:rsidP="007637E5">
      <w:pPr>
        <w:pStyle w:val="Heading2"/>
        <w:keepLines/>
        <w:spacing w:before="240" w:after="120"/>
        <w:rPr>
          <w:rFonts w:asciiTheme="minorHAnsi" w:eastAsiaTheme="majorEastAsia" w:hAnsiTheme="minorHAnsi" w:cstheme="majorBidi"/>
          <w:sz w:val="28"/>
          <w:szCs w:val="28"/>
        </w:rPr>
      </w:pPr>
      <w:r w:rsidRPr="00880C9F">
        <w:rPr>
          <w:rFonts w:asciiTheme="minorHAnsi" w:eastAsiaTheme="majorEastAsia" w:hAnsiTheme="minorHAnsi" w:cstheme="majorBidi"/>
          <w:sz w:val="28"/>
          <w:szCs w:val="28"/>
        </w:rPr>
        <w:lastRenderedPageBreak/>
        <w:t>Other relevant matters</w:t>
      </w:r>
    </w:p>
    <w:p w14:paraId="3612BA20" w14:textId="5C40C3C5" w:rsidR="007637E5" w:rsidRPr="00880C9F" w:rsidRDefault="0061448B" w:rsidP="000D6161">
      <w:pPr>
        <w:pStyle w:val="ListParagraph"/>
        <w:numPr>
          <w:ilvl w:val="1"/>
          <w:numId w:val="1"/>
        </w:numPr>
        <w:jc w:val="both"/>
        <w:rPr>
          <w:rFonts w:eastAsiaTheme="minorHAnsi" w:cstheme="minorBidi"/>
          <w:snapToGrid/>
          <w:szCs w:val="22"/>
        </w:rPr>
      </w:pPr>
      <w:r w:rsidRPr="00880C9F">
        <w:rPr>
          <w:rFonts w:eastAsiaTheme="minorHAnsi" w:cstheme="minorBidi"/>
          <w:snapToGrid/>
          <w:szCs w:val="22"/>
        </w:rPr>
        <w:t>The main changes to the nutritional profile proposed in the submission include</w:t>
      </w:r>
      <w:r w:rsidR="00B33344" w:rsidRPr="00880C9F">
        <w:rPr>
          <w:rFonts w:eastAsiaTheme="minorHAnsi" w:cstheme="minorBidi"/>
          <w:snapToGrid/>
          <w:szCs w:val="22"/>
        </w:rPr>
        <w:t>d</w:t>
      </w:r>
      <w:r w:rsidRPr="00880C9F">
        <w:rPr>
          <w:rFonts w:eastAsiaTheme="minorHAnsi" w:cstheme="minorBidi"/>
          <w:snapToGrid/>
          <w:szCs w:val="22"/>
        </w:rPr>
        <w:t xml:space="preserve"> an increase in the levels of iodine, folic acid and choline, and a decrease in the levels of molybdenum,</w:t>
      </w:r>
      <w:r w:rsidRPr="00880C9F">
        <w:rPr>
          <w:rFonts w:ascii="Arial Narrow" w:eastAsiaTheme="minorHAnsi" w:hAnsi="Arial Narrow" w:cstheme="minorHAnsi"/>
          <w:color w:val="000000"/>
          <w:sz w:val="20"/>
        </w:rPr>
        <w:t xml:space="preserve"> </w:t>
      </w:r>
      <w:r w:rsidRPr="00880C9F">
        <w:rPr>
          <w:rFonts w:eastAsiaTheme="minorHAnsi" w:cstheme="minorBidi"/>
          <w:snapToGrid/>
          <w:szCs w:val="22"/>
        </w:rPr>
        <w:t xml:space="preserve">chromium and vitamin K. </w:t>
      </w:r>
      <w:r w:rsidR="00017CBA" w:rsidRPr="00880C9F">
        <w:rPr>
          <w:rFonts w:eastAsiaTheme="minorHAnsi" w:cstheme="minorBidi"/>
          <w:snapToGrid/>
          <w:szCs w:val="22"/>
        </w:rPr>
        <w:t>The</w:t>
      </w:r>
      <w:r w:rsidRPr="00880C9F">
        <w:rPr>
          <w:rFonts w:eastAsiaTheme="minorHAnsi" w:cstheme="minorBidi"/>
          <w:snapToGrid/>
          <w:szCs w:val="22"/>
        </w:rPr>
        <w:t xml:space="preserve"> full</w:t>
      </w:r>
      <w:r w:rsidR="00017CBA" w:rsidRPr="00880C9F">
        <w:rPr>
          <w:rFonts w:eastAsiaTheme="minorHAnsi" w:cstheme="minorBidi"/>
          <w:snapToGrid/>
          <w:szCs w:val="22"/>
        </w:rPr>
        <w:t xml:space="preserve"> changes</w:t>
      </w:r>
      <w:r w:rsidR="007637E5" w:rsidRPr="00880C9F">
        <w:rPr>
          <w:rFonts w:eastAsiaTheme="minorHAnsi" w:cstheme="minorBidi"/>
          <w:snapToGrid/>
          <w:szCs w:val="22"/>
        </w:rPr>
        <w:t xml:space="preserve"> to the formulation of </w:t>
      </w:r>
      <w:r w:rsidR="00165C14" w:rsidRPr="00880C9F">
        <w:rPr>
          <w:rFonts w:eastAsiaTheme="minorHAnsi" w:cstheme="minorBidi"/>
          <w:snapToGrid/>
          <w:szCs w:val="22"/>
        </w:rPr>
        <w:t>Paediatric Seravit</w:t>
      </w:r>
      <w:r w:rsidR="007637E5" w:rsidRPr="00880C9F">
        <w:rPr>
          <w:rFonts w:eastAsiaTheme="minorHAnsi" w:cstheme="minorBidi"/>
          <w:snapToGrid/>
          <w:szCs w:val="22"/>
        </w:rPr>
        <w:t xml:space="preserve"> are presented in Table 1. </w:t>
      </w:r>
    </w:p>
    <w:p w14:paraId="19120FB0" w14:textId="35BB0FEE" w:rsidR="007637E5" w:rsidRPr="00880C9F" w:rsidRDefault="007637E5" w:rsidP="00491D53">
      <w:pPr>
        <w:pStyle w:val="TableFigureHeading"/>
        <w:keepLines/>
        <w:widowControl w:val="0"/>
      </w:pPr>
      <w:r w:rsidRPr="00880C9F">
        <w:t xml:space="preserve">Table 1: </w:t>
      </w:r>
      <w:r w:rsidR="00B468D1" w:rsidRPr="00880C9F">
        <w:t>Nutritional composition changes to Paediatric Seravit</w:t>
      </w:r>
    </w:p>
    <w:tbl>
      <w:tblPr>
        <w:tblStyle w:val="TableGrid"/>
        <w:tblW w:w="9209" w:type="dxa"/>
        <w:tblLayout w:type="fixed"/>
        <w:tblLook w:val="0000" w:firstRow="0" w:lastRow="0" w:firstColumn="0" w:lastColumn="0" w:noHBand="0" w:noVBand="0"/>
        <w:tblCaption w:val="Table 1: Nutritional composition changes to Paediatric Seravit"/>
      </w:tblPr>
      <w:tblGrid>
        <w:gridCol w:w="2263"/>
        <w:gridCol w:w="1985"/>
        <w:gridCol w:w="2480"/>
        <w:gridCol w:w="2481"/>
      </w:tblGrid>
      <w:tr w:rsidR="00163D9B" w:rsidRPr="00880C9F" w14:paraId="76104C22" w14:textId="77777777" w:rsidTr="0073440A">
        <w:trPr>
          <w:trHeight w:val="244"/>
          <w:tblHeader/>
        </w:trPr>
        <w:tc>
          <w:tcPr>
            <w:tcW w:w="2263" w:type="dxa"/>
          </w:tcPr>
          <w:p w14:paraId="64F08703"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b/>
                <w:bCs/>
                <w:color w:val="000000"/>
                <w:sz w:val="20"/>
                <w:szCs w:val="20"/>
                <w:lang w:eastAsia="en-US"/>
              </w:rPr>
              <w:t xml:space="preserve">Parameter </w:t>
            </w:r>
          </w:p>
        </w:tc>
        <w:tc>
          <w:tcPr>
            <w:tcW w:w="1985" w:type="dxa"/>
          </w:tcPr>
          <w:p w14:paraId="7A786124"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b/>
                <w:bCs/>
                <w:color w:val="000000"/>
                <w:sz w:val="20"/>
                <w:szCs w:val="20"/>
                <w:lang w:eastAsia="en-US"/>
              </w:rPr>
              <w:t>Unit per 100g</w:t>
            </w:r>
          </w:p>
        </w:tc>
        <w:tc>
          <w:tcPr>
            <w:tcW w:w="2480" w:type="dxa"/>
          </w:tcPr>
          <w:p w14:paraId="7733A739" w14:textId="645EFAE5" w:rsidR="00163D9B" w:rsidRPr="00880C9F" w:rsidRDefault="0081296D"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b/>
                <w:bCs/>
                <w:color w:val="000000"/>
                <w:sz w:val="20"/>
                <w:szCs w:val="20"/>
                <w:lang w:eastAsia="en-US"/>
              </w:rPr>
              <w:t>Current</w:t>
            </w:r>
            <w:r w:rsidR="00163D9B" w:rsidRPr="00880C9F">
              <w:rPr>
                <w:rFonts w:ascii="Arial Narrow" w:eastAsiaTheme="minorHAnsi" w:hAnsi="Arial Narrow" w:cstheme="minorHAnsi"/>
                <w:b/>
                <w:bCs/>
                <w:color w:val="000000"/>
                <w:sz w:val="20"/>
                <w:szCs w:val="20"/>
                <w:lang w:eastAsia="en-US"/>
              </w:rPr>
              <w:t xml:space="preserve"> Paediatric Seravit</w:t>
            </w:r>
          </w:p>
        </w:tc>
        <w:tc>
          <w:tcPr>
            <w:tcW w:w="2481" w:type="dxa"/>
          </w:tcPr>
          <w:p w14:paraId="13A32D5F" w14:textId="2ACC1070"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b/>
                <w:bCs/>
                <w:color w:val="000000"/>
                <w:sz w:val="20"/>
                <w:szCs w:val="20"/>
                <w:lang w:eastAsia="en-US"/>
              </w:rPr>
              <w:t>New Paediatric Seravit</w:t>
            </w:r>
          </w:p>
        </w:tc>
      </w:tr>
      <w:tr w:rsidR="00163D9B" w:rsidRPr="00880C9F" w14:paraId="59C64D5F" w14:textId="77777777" w:rsidTr="00B468D1">
        <w:trPr>
          <w:trHeight w:val="181"/>
        </w:trPr>
        <w:tc>
          <w:tcPr>
            <w:tcW w:w="2263" w:type="dxa"/>
          </w:tcPr>
          <w:p w14:paraId="6A459E26"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Energy value </w:t>
            </w:r>
          </w:p>
        </w:tc>
        <w:tc>
          <w:tcPr>
            <w:tcW w:w="1985" w:type="dxa"/>
          </w:tcPr>
          <w:p w14:paraId="0BD103EE"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kJ</w:t>
            </w:r>
          </w:p>
        </w:tc>
        <w:tc>
          <w:tcPr>
            <w:tcW w:w="2480" w:type="dxa"/>
          </w:tcPr>
          <w:p w14:paraId="6C90790E"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1275</w:t>
            </w:r>
          </w:p>
        </w:tc>
        <w:tc>
          <w:tcPr>
            <w:tcW w:w="2481" w:type="dxa"/>
          </w:tcPr>
          <w:p w14:paraId="7D8105BE"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1246</w:t>
            </w:r>
          </w:p>
        </w:tc>
      </w:tr>
      <w:tr w:rsidR="00163D9B" w:rsidRPr="00880C9F" w14:paraId="2D451624" w14:textId="77777777" w:rsidTr="00B468D1">
        <w:trPr>
          <w:trHeight w:val="181"/>
        </w:trPr>
        <w:tc>
          <w:tcPr>
            <w:tcW w:w="2263" w:type="dxa"/>
          </w:tcPr>
          <w:p w14:paraId="27931F63"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Energy Value </w:t>
            </w:r>
          </w:p>
        </w:tc>
        <w:tc>
          <w:tcPr>
            <w:tcW w:w="1985" w:type="dxa"/>
          </w:tcPr>
          <w:p w14:paraId="5227E5B1"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kcal</w:t>
            </w:r>
          </w:p>
        </w:tc>
        <w:tc>
          <w:tcPr>
            <w:tcW w:w="2480" w:type="dxa"/>
          </w:tcPr>
          <w:p w14:paraId="5FA39123"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300</w:t>
            </w:r>
          </w:p>
        </w:tc>
        <w:tc>
          <w:tcPr>
            <w:tcW w:w="2481" w:type="dxa"/>
          </w:tcPr>
          <w:p w14:paraId="2103E3C1"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293</w:t>
            </w:r>
          </w:p>
        </w:tc>
      </w:tr>
      <w:tr w:rsidR="00163D9B" w:rsidRPr="00880C9F" w14:paraId="0225315D" w14:textId="77777777" w:rsidTr="00B468D1">
        <w:trPr>
          <w:trHeight w:val="181"/>
        </w:trPr>
        <w:tc>
          <w:tcPr>
            <w:tcW w:w="2263" w:type="dxa"/>
          </w:tcPr>
          <w:p w14:paraId="4E6F314D"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Sugars </w:t>
            </w:r>
          </w:p>
        </w:tc>
        <w:tc>
          <w:tcPr>
            <w:tcW w:w="1985" w:type="dxa"/>
          </w:tcPr>
          <w:p w14:paraId="1AC34917"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g</w:t>
            </w:r>
          </w:p>
        </w:tc>
        <w:tc>
          <w:tcPr>
            <w:tcW w:w="2480" w:type="dxa"/>
          </w:tcPr>
          <w:p w14:paraId="50D7C355"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6.75</w:t>
            </w:r>
          </w:p>
        </w:tc>
        <w:tc>
          <w:tcPr>
            <w:tcW w:w="2481" w:type="dxa"/>
          </w:tcPr>
          <w:p w14:paraId="006D74C4"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5.9</w:t>
            </w:r>
          </w:p>
        </w:tc>
      </w:tr>
      <w:tr w:rsidR="00163D9B" w:rsidRPr="00880C9F" w14:paraId="24D31D5F" w14:textId="77777777" w:rsidTr="00B468D1">
        <w:trPr>
          <w:trHeight w:val="181"/>
        </w:trPr>
        <w:tc>
          <w:tcPr>
            <w:tcW w:w="2263" w:type="dxa"/>
          </w:tcPr>
          <w:p w14:paraId="67E36C10"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Maltose </w:t>
            </w:r>
          </w:p>
        </w:tc>
        <w:tc>
          <w:tcPr>
            <w:tcW w:w="1985" w:type="dxa"/>
          </w:tcPr>
          <w:p w14:paraId="1AB59EC1"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g</w:t>
            </w:r>
          </w:p>
        </w:tc>
        <w:tc>
          <w:tcPr>
            <w:tcW w:w="2480" w:type="dxa"/>
          </w:tcPr>
          <w:p w14:paraId="449823C9"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4.4</w:t>
            </w:r>
          </w:p>
        </w:tc>
        <w:tc>
          <w:tcPr>
            <w:tcW w:w="2481" w:type="dxa"/>
          </w:tcPr>
          <w:p w14:paraId="1BA1AF69"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4.6</w:t>
            </w:r>
          </w:p>
        </w:tc>
      </w:tr>
      <w:tr w:rsidR="00163D9B" w:rsidRPr="00880C9F" w14:paraId="084F73CF" w14:textId="77777777" w:rsidTr="00B468D1">
        <w:trPr>
          <w:trHeight w:val="181"/>
        </w:trPr>
        <w:tc>
          <w:tcPr>
            <w:tcW w:w="2263" w:type="dxa"/>
          </w:tcPr>
          <w:p w14:paraId="521A9143"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Polysaccharides </w:t>
            </w:r>
          </w:p>
        </w:tc>
        <w:tc>
          <w:tcPr>
            <w:tcW w:w="1985" w:type="dxa"/>
          </w:tcPr>
          <w:p w14:paraId="6043A9AE"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g</w:t>
            </w:r>
          </w:p>
        </w:tc>
        <w:tc>
          <w:tcPr>
            <w:tcW w:w="2480" w:type="dxa"/>
          </w:tcPr>
          <w:p w14:paraId="1ED15918"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64.1</w:t>
            </w:r>
          </w:p>
        </w:tc>
        <w:tc>
          <w:tcPr>
            <w:tcW w:w="2481" w:type="dxa"/>
          </w:tcPr>
          <w:p w14:paraId="6053C23C"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61.9</w:t>
            </w:r>
          </w:p>
        </w:tc>
      </w:tr>
      <w:tr w:rsidR="00163D9B" w:rsidRPr="00880C9F" w14:paraId="12F8B402" w14:textId="77777777" w:rsidTr="00B468D1">
        <w:trPr>
          <w:trHeight w:val="183"/>
        </w:trPr>
        <w:tc>
          <w:tcPr>
            <w:tcW w:w="2263" w:type="dxa"/>
          </w:tcPr>
          <w:p w14:paraId="6B1A70E9"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Sodium </w:t>
            </w:r>
          </w:p>
        </w:tc>
        <w:tc>
          <w:tcPr>
            <w:tcW w:w="1985" w:type="dxa"/>
          </w:tcPr>
          <w:p w14:paraId="706A9AFE"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44C90852"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&lt;20</w:t>
            </w:r>
          </w:p>
        </w:tc>
        <w:tc>
          <w:tcPr>
            <w:tcW w:w="2481" w:type="dxa"/>
          </w:tcPr>
          <w:p w14:paraId="6F5109FA"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&lt;40</w:t>
            </w:r>
          </w:p>
        </w:tc>
      </w:tr>
      <w:tr w:rsidR="00163D9B" w:rsidRPr="00880C9F" w14:paraId="270C7792" w14:textId="77777777" w:rsidTr="00B468D1">
        <w:trPr>
          <w:trHeight w:val="182"/>
        </w:trPr>
        <w:tc>
          <w:tcPr>
            <w:tcW w:w="2263" w:type="dxa"/>
          </w:tcPr>
          <w:p w14:paraId="6A1E71B0"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Potassium </w:t>
            </w:r>
          </w:p>
        </w:tc>
        <w:tc>
          <w:tcPr>
            <w:tcW w:w="1985" w:type="dxa"/>
          </w:tcPr>
          <w:p w14:paraId="2CFC5949"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67FA1205"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&lt;30</w:t>
            </w:r>
          </w:p>
        </w:tc>
        <w:tc>
          <w:tcPr>
            <w:tcW w:w="2481" w:type="dxa"/>
          </w:tcPr>
          <w:p w14:paraId="7F92351C"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&lt;30</w:t>
            </w:r>
          </w:p>
        </w:tc>
      </w:tr>
      <w:tr w:rsidR="00163D9B" w:rsidRPr="00880C9F" w14:paraId="50DCBF02" w14:textId="77777777" w:rsidTr="00B468D1">
        <w:trPr>
          <w:trHeight w:val="181"/>
        </w:trPr>
        <w:tc>
          <w:tcPr>
            <w:tcW w:w="2263" w:type="dxa"/>
          </w:tcPr>
          <w:p w14:paraId="2453F462"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Chloride </w:t>
            </w:r>
          </w:p>
        </w:tc>
        <w:tc>
          <w:tcPr>
            <w:tcW w:w="1985" w:type="dxa"/>
          </w:tcPr>
          <w:p w14:paraId="43D30CFF"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12A671B9"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&lt;20</w:t>
            </w:r>
          </w:p>
        </w:tc>
        <w:tc>
          <w:tcPr>
            <w:tcW w:w="2481" w:type="dxa"/>
          </w:tcPr>
          <w:p w14:paraId="16658CF1"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&lt;30</w:t>
            </w:r>
          </w:p>
        </w:tc>
      </w:tr>
      <w:tr w:rsidR="00163D9B" w:rsidRPr="00880C9F" w14:paraId="0A5A0209" w14:textId="77777777" w:rsidTr="00B468D1">
        <w:trPr>
          <w:trHeight w:val="183"/>
        </w:trPr>
        <w:tc>
          <w:tcPr>
            <w:tcW w:w="2263" w:type="dxa"/>
          </w:tcPr>
          <w:p w14:paraId="3F98982D"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Calcium </w:t>
            </w:r>
          </w:p>
        </w:tc>
        <w:tc>
          <w:tcPr>
            <w:tcW w:w="1985" w:type="dxa"/>
          </w:tcPr>
          <w:p w14:paraId="5C12D821"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59FA4566"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2570</w:t>
            </w:r>
          </w:p>
        </w:tc>
        <w:tc>
          <w:tcPr>
            <w:tcW w:w="2481" w:type="dxa"/>
          </w:tcPr>
          <w:p w14:paraId="71454AF8"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2750</w:t>
            </w:r>
          </w:p>
        </w:tc>
      </w:tr>
      <w:tr w:rsidR="00163D9B" w:rsidRPr="00880C9F" w14:paraId="09F107EC" w14:textId="77777777" w:rsidTr="00B468D1">
        <w:trPr>
          <w:trHeight w:val="183"/>
        </w:trPr>
        <w:tc>
          <w:tcPr>
            <w:tcW w:w="2263" w:type="dxa"/>
          </w:tcPr>
          <w:p w14:paraId="3A0CC326"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Magnesium </w:t>
            </w:r>
          </w:p>
        </w:tc>
        <w:tc>
          <w:tcPr>
            <w:tcW w:w="1985" w:type="dxa"/>
          </w:tcPr>
          <w:p w14:paraId="16A76545"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2EE4C117"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357</w:t>
            </w:r>
          </w:p>
        </w:tc>
        <w:tc>
          <w:tcPr>
            <w:tcW w:w="2481" w:type="dxa"/>
          </w:tcPr>
          <w:p w14:paraId="18D04B9A"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500</w:t>
            </w:r>
          </w:p>
        </w:tc>
      </w:tr>
      <w:tr w:rsidR="00163D9B" w:rsidRPr="00880C9F" w14:paraId="71E1DB01" w14:textId="77777777" w:rsidTr="00B468D1">
        <w:trPr>
          <w:trHeight w:val="172"/>
        </w:trPr>
        <w:tc>
          <w:tcPr>
            <w:tcW w:w="2263" w:type="dxa"/>
          </w:tcPr>
          <w:p w14:paraId="7EC9AC51"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Phosphorus </w:t>
            </w:r>
          </w:p>
        </w:tc>
        <w:tc>
          <w:tcPr>
            <w:tcW w:w="1985" w:type="dxa"/>
          </w:tcPr>
          <w:p w14:paraId="19E4997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71E0FFD6"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1714</w:t>
            </w:r>
          </w:p>
        </w:tc>
        <w:tc>
          <w:tcPr>
            <w:tcW w:w="2481" w:type="dxa"/>
          </w:tcPr>
          <w:p w14:paraId="5FC3B41E"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1850</w:t>
            </w:r>
          </w:p>
        </w:tc>
      </w:tr>
      <w:tr w:rsidR="00163D9B" w:rsidRPr="00880C9F" w14:paraId="211D5EAC" w14:textId="77777777" w:rsidTr="00B468D1">
        <w:trPr>
          <w:trHeight w:val="176"/>
        </w:trPr>
        <w:tc>
          <w:tcPr>
            <w:tcW w:w="2263" w:type="dxa"/>
          </w:tcPr>
          <w:p w14:paraId="009BBC17"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Iron </w:t>
            </w:r>
          </w:p>
        </w:tc>
        <w:tc>
          <w:tcPr>
            <w:tcW w:w="1985" w:type="dxa"/>
          </w:tcPr>
          <w:p w14:paraId="718B623E"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0B44E4F5"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69</w:t>
            </w:r>
          </w:p>
        </w:tc>
        <w:tc>
          <w:tcPr>
            <w:tcW w:w="2481" w:type="dxa"/>
          </w:tcPr>
          <w:p w14:paraId="6D103064"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50</w:t>
            </w:r>
          </w:p>
        </w:tc>
      </w:tr>
      <w:tr w:rsidR="00163D9B" w:rsidRPr="00880C9F" w14:paraId="05A8579D" w14:textId="77777777" w:rsidTr="00B468D1">
        <w:trPr>
          <w:trHeight w:val="182"/>
        </w:trPr>
        <w:tc>
          <w:tcPr>
            <w:tcW w:w="2263" w:type="dxa"/>
          </w:tcPr>
          <w:p w14:paraId="7EC5A726"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Copper </w:t>
            </w:r>
          </w:p>
        </w:tc>
        <w:tc>
          <w:tcPr>
            <w:tcW w:w="1985" w:type="dxa"/>
          </w:tcPr>
          <w:p w14:paraId="7FAA659F"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470978A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4.6</w:t>
            </w:r>
          </w:p>
        </w:tc>
        <w:tc>
          <w:tcPr>
            <w:tcW w:w="2481" w:type="dxa"/>
          </w:tcPr>
          <w:p w14:paraId="51675EB0"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4.2</w:t>
            </w:r>
          </w:p>
        </w:tc>
      </w:tr>
      <w:tr w:rsidR="00163D9B" w:rsidRPr="00880C9F" w14:paraId="0D4D274F" w14:textId="77777777" w:rsidTr="00B468D1">
        <w:trPr>
          <w:trHeight w:val="181"/>
        </w:trPr>
        <w:tc>
          <w:tcPr>
            <w:tcW w:w="2263" w:type="dxa"/>
          </w:tcPr>
          <w:p w14:paraId="2635D510"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Zinc </w:t>
            </w:r>
          </w:p>
        </w:tc>
        <w:tc>
          <w:tcPr>
            <w:tcW w:w="1985" w:type="dxa"/>
          </w:tcPr>
          <w:p w14:paraId="7A3B9509"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5AD16C62"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46</w:t>
            </w:r>
          </w:p>
        </w:tc>
        <w:tc>
          <w:tcPr>
            <w:tcW w:w="2481" w:type="dxa"/>
          </w:tcPr>
          <w:p w14:paraId="2F37DE05"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36</w:t>
            </w:r>
          </w:p>
        </w:tc>
      </w:tr>
      <w:tr w:rsidR="00163D9B" w:rsidRPr="00880C9F" w14:paraId="6AFC52F1" w14:textId="77777777" w:rsidTr="00B468D1">
        <w:trPr>
          <w:trHeight w:val="183"/>
        </w:trPr>
        <w:tc>
          <w:tcPr>
            <w:tcW w:w="2263" w:type="dxa"/>
          </w:tcPr>
          <w:p w14:paraId="63E9ABBB"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Manganese </w:t>
            </w:r>
          </w:p>
        </w:tc>
        <w:tc>
          <w:tcPr>
            <w:tcW w:w="1985" w:type="dxa"/>
          </w:tcPr>
          <w:p w14:paraId="166E2151"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1A00E7FC"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4.6</w:t>
            </w:r>
          </w:p>
        </w:tc>
        <w:tc>
          <w:tcPr>
            <w:tcW w:w="2481" w:type="dxa"/>
          </w:tcPr>
          <w:p w14:paraId="2FD073EF"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1.6</w:t>
            </w:r>
          </w:p>
        </w:tc>
      </w:tr>
      <w:tr w:rsidR="00163D9B" w:rsidRPr="00880C9F" w14:paraId="329549A3" w14:textId="77777777" w:rsidTr="00B468D1">
        <w:trPr>
          <w:trHeight w:val="159"/>
        </w:trPr>
        <w:tc>
          <w:tcPr>
            <w:tcW w:w="2263" w:type="dxa"/>
          </w:tcPr>
          <w:p w14:paraId="6D06CD73"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Molybdenum </w:t>
            </w:r>
          </w:p>
        </w:tc>
        <w:tc>
          <w:tcPr>
            <w:tcW w:w="1985" w:type="dxa"/>
          </w:tcPr>
          <w:p w14:paraId="3904B62E"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w:t>
            </w:r>
          </w:p>
        </w:tc>
        <w:tc>
          <w:tcPr>
            <w:tcW w:w="2480" w:type="dxa"/>
          </w:tcPr>
          <w:p w14:paraId="04CDD0D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351</w:t>
            </w:r>
          </w:p>
        </w:tc>
        <w:tc>
          <w:tcPr>
            <w:tcW w:w="2481" w:type="dxa"/>
          </w:tcPr>
          <w:p w14:paraId="66D27311"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108</w:t>
            </w:r>
          </w:p>
        </w:tc>
      </w:tr>
      <w:tr w:rsidR="00163D9B" w:rsidRPr="00880C9F" w14:paraId="63D567F7" w14:textId="77777777" w:rsidTr="00B468D1">
        <w:trPr>
          <w:trHeight w:val="160"/>
        </w:trPr>
        <w:tc>
          <w:tcPr>
            <w:tcW w:w="2263" w:type="dxa"/>
          </w:tcPr>
          <w:p w14:paraId="2436D2B9"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Selenium </w:t>
            </w:r>
          </w:p>
        </w:tc>
        <w:tc>
          <w:tcPr>
            <w:tcW w:w="1985" w:type="dxa"/>
          </w:tcPr>
          <w:p w14:paraId="663EDB3F"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w:t>
            </w:r>
          </w:p>
        </w:tc>
        <w:tc>
          <w:tcPr>
            <w:tcW w:w="2480" w:type="dxa"/>
          </w:tcPr>
          <w:p w14:paraId="146DEA23"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137</w:t>
            </w:r>
          </w:p>
        </w:tc>
        <w:tc>
          <w:tcPr>
            <w:tcW w:w="2481" w:type="dxa"/>
          </w:tcPr>
          <w:p w14:paraId="57BC09EB"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137</w:t>
            </w:r>
          </w:p>
        </w:tc>
      </w:tr>
      <w:tr w:rsidR="00163D9B" w:rsidRPr="00880C9F" w14:paraId="4A8C5DD3" w14:textId="77777777" w:rsidTr="00B468D1">
        <w:trPr>
          <w:trHeight w:val="160"/>
        </w:trPr>
        <w:tc>
          <w:tcPr>
            <w:tcW w:w="2263" w:type="dxa"/>
          </w:tcPr>
          <w:p w14:paraId="0D0268A4"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Chromium </w:t>
            </w:r>
          </w:p>
        </w:tc>
        <w:tc>
          <w:tcPr>
            <w:tcW w:w="1985" w:type="dxa"/>
          </w:tcPr>
          <w:p w14:paraId="3075235C"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w:t>
            </w:r>
          </w:p>
        </w:tc>
        <w:tc>
          <w:tcPr>
            <w:tcW w:w="2480" w:type="dxa"/>
          </w:tcPr>
          <w:p w14:paraId="18DA5AB7"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137</w:t>
            </w:r>
          </w:p>
        </w:tc>
        <w:tc>
          <w:tcPr>
            <w:tcW w:w="2481" w:type="dxa"/>
          </w:tcPr>
          <w:p w14:paraId="0BD6CD3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90</w:t>
            </w:r>
          </w:p>
        </w:tc>
      </w:tr>
      <w:tr w:rsidR="00163D9B" w:rsidRPr="00880C9F" w14:paraId="64924F70" w14:textId="77777777" w:rsidTr="00B468D1">
        <w:trPr>
          <w:trHeight w:val="159"/>
        </w:trPr>
        <w:tc>
          <w:tcPr>
            <w:tcW w:w="2263" w:type="dxa"/>
          </w:tcPr>
          <w:p w14:paraId="05F83821"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Iodine </w:t>
            </w:r>
          </w:p>
        </w:tc>
        <w:tc>
          <w:tcPr>
            <w:tcW w:w="1985" w:type="dxa"/>
          </w:tcPr>
          <w:p w14:paraId="1E8E009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w:t>
            </w:r>
          </w:p>
        </w:tc>
        <w:tc>
          <w:tcPr>
            <w:tcW w:w="2480" w:type="dxa"/>
          </w:tcPr>
          <w:p w14:paraId="48BA4A78"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332</w:t>
            </w:r>
          </w:p>
        </w:tc>
        <w:tc>
          <w:tcPr>
            <w:tcW w:w="2481" w:type="dxa"/>
          </w:tcPr>
          <w:p w14:paraId="2DC7C9B7"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820</w:t>
            </w:r>
          </w:p>
        </w:tc>
      </w:tr>
      <w:tr w:rsidR="00163D9B" w:rsidRPr="00880C9F" w14:paraId="79D047C5" w14:textId="77777777" w:rsidTr="00B468D1">
        <w:trPr>
          <w:trHeight w:val="159"/>
        </w:trPr>
        <w:tc>
          <w:tcPr>
            <w:tcW w:w="2263" w:type="dxa"/>
          </w:tcPr>
          <w:p w14:paraId="5BFE7359"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Vitamin A </w:t>
            </w:r>
          </w:p>
        </w:tc>
        <w:tc>
          <w:tcPr>
            <w:tcW w:w="1985" w:type="dxa"/>
          </w:tcPr>
          <w:p w14:paraId="4B9BFA3E"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 RE</w:t>
            </w:r>
          </w:p>
        </w:tc>
        <w:tc>
          <w:tcPr>
            <w:tcW w:w="2480" w:type="dxa"/>
          </w:tcPr>
          <w:p w14:paraId="39DBFF5B"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4200</w:t>
            </w:r>
          </w:p>
        </w:tc>
        <w:tc>
          <w:tcPr>
            <w:tcW w:w="2481" w:type="dxa"/>
          </w:tcPr>
          <w:p w14:paraId="47E00FF0"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3200</w:t>
            </w:r>
          </w:p>
        </w:tc>
      </w:tr>
      <w:tr w:rsidR="00163D9B" w:rsidRPr="00880C9F" w14:paraId="3CDB24E2" w14:textId="77777777" w:rsidTr="00B468D1">
        <w:trPr>
          <w:trHeight w:val="159"/>
        </w:trPr>
        <w:tc>
          <w:tcPr>
            <w:tcW w:w="2263" w:type="dxa"/>
          </w:tcPr>
          <w:p w14:paraId="465E4BC0"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Vitamin E (αTE) </w:t>
            </w:r>
          </w:p>
        </w:tc>
        <w:tc>
          <w:tcPr>
            <w:tcW w:w="1985" w:type="dxa"/>
          </w:tcPr>
          <w:p w14:paraId="2A8CCFE8"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7710B1DF"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21.4</w:t>
            </w:r>
          </w:p>
        </w:tc>
        <w:tc>
          <w:tcPr>
            <w:tcW w:w="2481" w:type="dxa"/>
          </w:tcPr>
          <w:p w14:paraId="5684B9D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54.2</w:t>
            </w:r>
          </w:p>
        </w:tc>
      </w:tr>
      <w:tr w:rsidR="00163D9B" w:rsidRPr="00880C9F" w14:paraId="59377BEC" w14:textId="77777777" w:rsidTr="00B468D1">
        <w:trPr>
          <w:trHeight w:val="159"/>
        </w:trPr>
        <w:tc>
          <w:tcPr>
            <w:tcW w:w="2263" w:type="dxa"/>
          </w:tcPr>
          <w:p w14:paraId="3E22C486"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Vitamin K </w:t>
            </w:r>
          </w:p>
        </w:tc>
        <w:tc>
          <w:tcPr>
            <w:tcW w:w="1985" w:type="dxa"/>
          </w:tcPr>
          <w:p w14:paraId="56DA1B06"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w:t>
            </w:r>
          </w:p>
        </w:tc>
        <w:tc>
          <w:tcPr>
            <w:tcW w:w="2480" w:type="dxa"/>
          </w:tcPr>
          <w:p w14:paraId="084BA6E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166</w:t>
            </w:r>
          </w:p>
        </w:tc>
        <w:tc>
          <w:tcPr>
            <w:tcW w:w="2481" w:type="dxa"/>
          </w:tcPr>
          <w:p w14:paraId="594F7B3B"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108</w:t>
            </w:r>
          </w:p>
        </w:tc>
      </w:tr>
      <w:tr w:rsidR="00163D9B" w:rsidRPr="00880C9F" w14:paraId="314DEE4A" w14:textId="77777777" w:rsidTr="00B468D1">
        <w:trPr>
          <w:trHeight w:val="159"/>
        </w:trPr>
        <w:tc>
          <w:tcPr>
            <w:tcW w:w="2263" w:type="dxa"/>
          </w:tcPr>
          <w:p w14:paraId="4099DF61"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Vitamin D </w:t>
            </w:r>
          </w:p>
        </w:tc>
        <w:tc>
          <w:tcPr>
            <w:tcW w:w="1985" w:type="dxa"/>
          </w:tcPr>
          <w:p w14:paraId="6A1B737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w:t>
            </w:r>
          </w:p>
        </w:tc>
        <w:tc>
          <w:tcPr>
            <w:tcW w:w="2480" w:type="dxa"/>
          </w:tcPr>
          <w:p w14:paraId="3A2A67CA"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55.5</w:t>
            </w:r>
          </w:p>
        </w:tc>
        <w:tc>
          <w:tcPr>
            <w:tcW w:w="2481" w:type="dxa"/>
          </w:tcPr>
          <w:p w14:paraId="07DC8102"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100</w:t>
            </w:r>
          </w:p>
        </w:tc>
      </w:tr>
      <w:tr w:rsidR="00163D9B" w:rsidRPr="00880C9F" w14:paraId="394F84D1" w14:textId="77777777" w:rsidTr="00B468D1">
        <w:trPr>
          <w:trHeight w:val="159"/>
        </w:trPr>
        <w:tc>
          <w:tcPr>
            <w:tcW w:w="2263" w:type="dxa"/>
          </w:tcPr>
          <w:p w14:paraId="15BB4814"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Thiamin (B1) </w:t>
            </w:r>
          </w:p>
        </w:tc>
        <w:tc>
          <w:tcPr>
            <w:tcW w:w="1985" w:type="dxa"/>
          </w:tcPr>
          <w:p w14:paraId="4CC8EDC6"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53569BD8"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3.2</w:t>
            </w:r>
          </w:p>
        </w:tc>
        <w:tc>
          <w:tcPr>
            <w:tcW w:w="2481" w:type="dxa"/>
          </w:tcPr>
          <w:p w14:paraId="3CA5A248"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3.2</w:t>
            </w:r>
          </w:p>
        </w:tc>
      </w:tr>
      <w:tr w:rsidR="00163D9B" w:rsidRPr="00880C9F" w14:paraId="6B26A690" w14:textId="77777777" w:rsidTr="00B468D1">
        <w:trPr>
          <w:trHeight w:val="159"/>
        </w:trPr>
        <w:tc>
          <w:tcPr>
            <w:tcW w:w="2263" w:type="dxa"/>
          </w:tcPr>
          <w:p w14:paraId="3AA7058A"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Riboflavin (B2) </w:t>
            </w:r>
          </w:p>
        </w:tc>
        <w:tc>
          <w:tcPr>
            <w:tcW w:w="1985" w:type="dxa"/>
          </w:tcPr>
          <w:p w14:paraId="348C6124"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08776C09"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4.4</w:t>
            </w:r>
          </w:p>
        </w:tc>
        <w:tc>
          <w:tcPr>
            <w:tcW w:w="2481" w:type="dxa"/>
          </w:tcPr>
          <w:p w14:paraId="68785375"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4.4</w:t>
            </w:r>
          </w:p>
        </w:tc>
      </w:tr>
      <w:tr w:rsidR="00163D9B" w:rsidRPr="00880C9F" w14:paraId="5A7FA8FC" w14:textId="77777777" w:rsidTr="00B468D1">
        <w:trPr>
          <w:trHeight w:val="159"/>
        </w:trPr>
        <w:tc>
          <w:tcPr>
            <w:tcW w:w="2263" w:type="dxa"/>
          </w:tcPr>
          <w:p w14:paraId="44D0D434"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Niacin (B3) </w:t>
            </w:r>
          </w:p>
        </w:tc>
        <w:tc>
          <w:tcPr>
            <w:tcW w:w="1985" w:type="dxa"/>
          </w:tcPr>
          <w:p w14:paraId="1A69AC54"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6304D965"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35</w:t>
            </w:r>
          </w:p>
        </w:tc>
        <w:tc>
          <w:tcPr>
            <w:tcW w:w="2481" w:type="dxa"/>
          </w:tcPr>
          <w:p w14:paraId="4C14F173"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41</w:t>
            </w:r>
          </w:p>
        </w:tc>
      </w:tr>
      <w:tr w:rsidR="00163D9B" w:rsidRPr="00880C9F" w14:paraId="6CD6941B" w14:textId="77777777" w:rsidTr="00B468D1">
        <w:trPr>
          <w:trHeight w:val="159"/>
        </w:trPr>
        <w:tc>
          <w:tcPr>
            <w:tcW w:w="2263" w:type="dxa"/>
          </w:tcPr>
          <w:p w14:paraId="6E82AE13"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Panthothenic acid (B5) </w:t>
            </w:r>
          </w:p>
        </w:tc>
        <w:tc>
          <w:tcPr>
            <w:tcW w:w="1985" w:type="dxa"/>
          </w:tcPr>
          <w:p w14:paraId="265D09A3"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5A477A12"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17</w:t>
            </w:r>
          </w:p>
        </w:tc>
        <w:tc>
          <w:tcPr>
            <w:tcW w:w="2481" w:type="dxa"/>
          </w:tcPr>
          <w:p w14:paraId="0322E5C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24</w:t>
            </w:r>
          </w:p>
        </w:tc>
      </w:tr>
      <w:tr w:rsidR="00163D9B" w:rsidRPr="00880C9F" w14:paraId="226BC75B" w14:textId="77777777" w:rsidTr="00B468D1">
        <w:trPr>
          <w:trHeight w:val="159"/>
        </w:trPr>
        <w:tc>
          <w:tcPr>
            <w:tcW w:w="2263" w:type="dxa"/>
          </w:tcPr>
          <w:p w14:paraId="7EFCB735"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Vitamin B6 </w:t>
            </w:r>
          </w:p>
        </w:tc>
        <w:tc>
          <w:tcPr>
            <w:tcW w:w="1985" w:type="dxa"/>
          </w:tcPr>
          <w:p w14:paraId="400D76A6"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5F8D84A9"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3.4</w:t>
            </w:r>
          </w:p>
        </w:tc>
        <w:tc>
          <w:tcPr>
            <w:tcW w:w="2481" w:type="dxa"/>
          </w:tcPr>
          <w:p w14:paraId="532736B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3.6</w:t>
            </w:r>
          </w:p>
        </w:tc>
      </w:tr>
      <w:tr w:rsidR="00163D9B" w:rsidRPr="00880C9F" w14:paraId="261B332D" w14:textId="77777777" w:rsidTr="00B468D1">
        <w:trPr>
          <w:trHeight w:val="159"/>
        </w:trPr>
        <w:tc>
          <w:tcPr>
            <w:tcW w:w="2263" w:type="dxa"/>
          </w:tcPr>
          <w:p w14:paraId="1BCBA79B"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Folic acid </w:t>
            </w:r>
          </w:p>
        </w:tc>
        <w:tc>
          <w:tcPr>
            <w:tcW w:w="1985" w:type="dxa"/>
          </w:tcPr>
          <w:p w14:paraId="6EE9ABF7"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w:t>
            </w:r>
          </w:p>
        </w:tc>
        <w:tc>
          <w:tcPr>
            <w:tcW w:w="2480" w:type="dxa"/>
          </w:tcPr>
          <w:p w14:paraId="15770796"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303</w:t>
            </w:r>
          </w:p>
        </w:tc>
        <w:tc>
          <w:tcPr>
            <w:tcW w:w="2481" w:type="dxa"/>
          </w:tcPr>
          <w:p w14:paraId="126ACBDA"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600</w:t>
            </w:r>
          </w:p>
        </w:tc>
      </w:tr>
      <w:tr w:rsidR="00163D9B" w:rsidRPr="00880C9F" w14:paraId="0FCDBF8A" w14:textId="77777777" w:rsidTr="00B468D1">
        <w:trPr>
          <w:trHeight w:val="159"/>
        </w:trPr>
        <w:tc>
          <w:tcPr>
            <w:tcW w:w="2263" w:type="dxa"/>
          </w:tcPr>
          <w:p w14:paraId="7C871C09"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Vitamin B12 </w:t>
            </w:r>
          </w:p>
        </w:tc>
        <w:tc>
          <w:tcPr>
            <w:tcW w:w="1985" w:type="dxa"/>
          </w:tcPr>
          <w:p w14:paraId="664B8B8A"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w:t>
            </w:r>
          </w:p>
        </w:tc>
        <w:tc>
          <w:tcPr>
            <w:tcW w:w="2480" w:type="dxa"/>
          </w:tcPr>
          <w:p w14:paraId="7B351A26"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8.6</w:t>
            </w:r>
          </w:p>
        </w:tc>
        <w:tc>
          <w:tcPr>
            <w:tcW w:w="2481" w:type="dxa"/>
          </w:tcPr>
          <w:p w14:paraId="3F392F06"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9.0</w:t>
            </w:r>
          </w:p>
        </w:tc>
      </w:tr>
      <w:tr w:rsidR="00163D9B" w:rsidRPr="00880C9F" w14:paraId="506A08F5" w14:textId="77777777" w:rsidTr="00B468D1">
        <w:trPr>
          <w:trHeight w:val="159"/>
        </w:trPr>
        <w:tc>
          <w:tcPr>
            <w:tcW w:w="2263" w:type="dxa"/>
          </w:tcPr>
          <w:p w14:paraId="6339DA1C"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Biotin </w:t>
            </w:r>
          </w:p>
        </w:tc>
        <w:tc>
          <w:tcPr>
            <w:tcW w:w="1985" w:type="dxa"/>
          </w:tcPr>
          <w:p w14:paraId="3D71613A"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μg</w:t>
            </w:r>
          </w:p>
        </w:tc>
        <w:tc>
          <w:tcPr>
            <w:tcW w:w="2480" w:type="dxa"/>
          </w:tcPr>
          <w:p w14:paraId="41ABCDFB"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214</w:t>
            </w:r>
          </w:p>
        </w:tc>
        <w:tc>
          <w:tcPr>
            <w:tcW w:w="2481" w:type="dxa"/>
          </w:tcPr>
          <w:p w14:paraId="7709DCD7"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120</w:t>
            </w:r>
          </w:p>
        </w:tc>
      </w:tr>
      <w:tr w:rsidR="00163D9B" w:rsidRPr="00880C9F" w14:paraId="526FE007" w14:textId="77777777" w:rsidTr="00B468D1">
        <w:trPr>
          <w:trHeight w:val="159"/>
        </w:trPr>
        <w:tc>
          <w:tcPr>
            <w:tcW w:w="2263" w:type="dxa"/>
          </w:tcPr>
          <w:p w14:paraId="0EE68BBA"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Vitamin C </w:t>
            </w:r>
          </w:p>
        </w:tc>
        <w:tc>
          <w:tcPr>
            <w:tcW w:w="1985" w:type="dxa"/>
          </w:tcPr>
          <w:p w14:paraId="3D8B278D"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1E7922EB"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400</w:t>
            </w:r>
          </w:p>
        </w:tc>
        <w:tc>
          <w:tcPr>
            <w:tcW w:w="2481" w:type="dxa"/>
          </w:tcPr>
          <w:p w14:paraId="283D4AEB"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400</w:t>
            </w:r>
          </w:p>
        </w:tc>
      </w:tr>
      <w:tr w:rsidR="00163D9B" w:rsidRPr="00880C9F" w14:paraId="040CDDF4" w14:textId="77777777" w:rsidTr="00B468D1">
        <w:trPr>
          <w:trHeight w:val="159"/>
        </w:trPr>
        <w:tc>
          <w:tcPr>
            <w:tcW w:w="2263" w:type="dxa"/>
          </w:tcPr>
          <w:p w14:paraId="28F25166"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Choline </w:t>
            </w:r>
          </w:p>
        </w:tc>
        <w:tc>
          <w:tcPr>
            <w:tcW w:w="1985" w:type="dxa"/>
          </w:tcPr>
          <w:p w14:paraId="73297C42"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1990F7C0"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350</w:t>
            </w:r>
          </w:p>
        </w:tc>
        <w:tc>
          <w:tcPr>
            <w:tcW w:w="2481" w:type="dxa"/>
          </w:tcPr>
          <w:p w14:paraId="697D3952"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1250</w:t>
            </w:r>
          </w:p>
        </w:tc>
      </w:tr>
      <w:tr w:rsidR="00163D9B" w:rsidRPr="00880C9F" w14:paraId="3F214C90" w14:textId="77777777" w:rsidTr="00B468D1">
        <w:trPr>
          <w:trHeight w:val="159"/>
        </w:trPr>
        <w:tc>
          <w:tcPr>
            <w:tcW w:w="2263" w:type="dxa"/>
          </w:tcPr>
          <w:p w14:paraId="7CAB80F9" w14:textId="77777777" w:rsidR="00163D9B" w:rsidRPr="00880C9F" w:rsidRDefault="00163D9B" w:rsidP="00491D53">
            <w:pPr>
              <w:keepNext/>
              <w:keepLines/>
              <w:widowControl w:val="0"/>
              <w:autoSpaceDE w:val="0"/>
              <w:autoSpaceDN w:val="0"/>
              <w:adjustRightInd w:val="0"/>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 xml:space="preserve">Inositol </w:t>
            </w:r>
          </w:p>
        </w:tc>
        <w:tc>
          <w:tcPr>
            <w:tcW w:w="1985" w:type="dxa"/>
          </w:tcPr>
          <w:p w14:paraId="5A7FDE85"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mg</w:t>
            </w:r>
          </w:p>
        </w:tc>
        <w:tc>
          <w:tcPr>
            <w:tcW w:w="2480" w:type="dxa"/>
          </w:tcPr>
          <w:p w14:paraId="76887D23"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700</w:t>
            </w:r>
          </w:p>
        </w:tc>
        <w:tc>
          <w:tcPr>
            <w:tcW w:w="2481" w:type="dxa"/>
          </w:tcPr>
          <w:p w14:paraId="6D35AC56" w14:textId="77777777" w:rsidR="00163D9B" w:rsidRPr="00880C9F" w:rsidRDefault="00163D9B" w:rsidP="00491D53">
            <w:pPr>
              <w:keepNext/>
              <w:keepLines/>
              <w:widowControl w:val="0"/>
              <w:autoSpaceDE w:val="0"/>
              <w:autoSpaceDN w:val="0"/>
              <w:adjustRightInd w:val="0"/>
              <w:jc w:val="center"/>
              <w:rPr>
                <w:rFonts w:ascii="Arial Narrow" w:eastAsiaTheme="minorHAnsi" w:hAnsi="Arial Narrow" w:cstheme="minorHAnsi"/>
                <w:color w:val="000000"/>
                <w:sz w:val="20"/>
                <w:szCs w:val="20"/>
                <w:lang w:eastAsia="en-US"/>
              </w:rPr>
            </w:pPr>
            <w:r w:rsidRPr="00880C9F">
              <w:rPr>
                <w:rFonts w:ascii="Arial Narrow" w:eastAsiaTheme="minorHAnsi" w:hAnsi="Arial Narrow" w:cstheme="minorHAnsi"/>
                <w:color w:val="000000"/>
                <w:sz w:val="20"/>
                <w:szCs w:val="20"/>
                <w:lang w:eastAsia="en-US"/>
              </w:rPr>
              <w:t>700</w:t>
            </w:r>
          </w:p>
        </w:tc>
      </w:tr>
    </w:tbl>
    <w:p w14:paraId="5AE5E9FA" w14:textId="7B39F014" w:rsidR="00CD1704" w:rsidRPr="00880C9F" w:rsidRDefault="0081296D" w:rsidP="00491D53">
      <w:pPr>
        <w:pStyle w:val="TableFigureFooter"/>
        <w:keepNext/>
        <w:keepLines/>
        <w:widowControl w:val="0"/>
      </w:pPr>
      <w:r w:rsidRPr="00880C9F">
        <w:t>Source: Table 1, p 2 of the submission</w:t>
      </w:r>
    </w:p>
    <w:p w14:paraId="109AE832" w14:textId="78BC2413" w:rsidR="00E56D8C" w:rsidRPr="00880C9F" w:rsidRDefault="00E56D8C" w:rsidP="005B1E88">
      <w:pPr>
        <w:pStyle w:val="Bodytextitalics"/>
      </w:pPr>
      <w:r w:rsidRPr="00880C9F">
        <w:t xml:space="preserve">For more detail on PBAC’s view, see section </w:t>
      </w:r>
      <w:r w:rsidR="005B1E88" w:rsidRPr="00880C9F">
        <w:t>6</w:t>
      </w:r>
      <w:r w:rsidRPr="00880C9F">
        <w:t xml:space="preserve"> PBAC outcome.</w:t>
      </w:r>
    </w:p>
    <w:p w14:paraId="63C252F3" w14:textId="4A9515B4" w:rsidR="00CD1704" w:rsidRPr="00880C9F" w:rsidRDefault="00CD1704" w:rsidP="00CD1704">
      <w:pPr>
        <w:pStyle w:val="Heading1"/>
        <w:keepNext/>
        <w:keepLines/>
        <w:numPr>
          <w:ilvl w:val="0"/>
          <w:numId w:val="1"/>
        </w:numPr>
        <w:spacing w:before="240"/>
        <w:ind w:left="709" w:hanging="709"/>
        <w:rPr>
          <w:sz w:val="32"/>
          <w:szCs w:val="32"/>
        </w:rPr>
      </w:pPr>
      <w:r w:rsidRPr="00880C9F">
        <w:rPr>
          <w:sz w:val="32"/>
          <w:szCs w:val="32"/>
        </w:rPr>
        <w:t>NPWP consideration</w:t>
      </w:r>
    </w:p>
    <w:p w14:paraId="551FDAAD" w14:textId="1ACC156B" w:rsidR="00CD1704" w:rsidRPr="00880C9F" w:rsidRDefault="00CD1704" w:rsidP="00CD1704">
      <w:pPr>
        <w:pStyle w:val="3Bodytext"/>
        <w:numPr>
          <w:ilvl w:val="1"/>
          <w:numId w:val="1"/>
        </w:numPr>
        <w:jc w:val="both"/>
      </w:pPr>
      <w:r w:rsidRPr="00880C9F">
        <w:t>The NPWP noted the requested change to formulation for Paediatric Seravit</w:t>
      </w:r>
      <w:r w:rsidRPr="00880C9F">
        <w:rPr>
          <w:rFonts w:cstheme="minorHAnsi"/>
        </w:rPr>
        <w:t xml:space="preserve"> due to new European compositional standards. </w:t>
      </w:r>
    </w:p>
    <w:p w14:paraId="4214FE3B" w14:textId="64C0F3FF" w:rsidR="00CD1704" w:rsidRPr="00880C9F" w:rsidRDefault="00CD1704">
      <w:pPr>
        <w:pStyle w:val="3Bodytext"/>
        <w:numPr>
          <w:ilvl w:val="1"/>
          <w:numId w:val="1"/>
        </w:numPr>
        <w:jc w:val="both"/>
      </w:pPr>
      <w:r w:rsidRPr="00880C9F">
        <w:lastRenderedPageBreak/>
        <w:t>The NPWP noted that the manganese levels were low</w:t>
      </w:r>
      <w:r w:rsidR="00BC1C58" w:rsidRPr="00880C9F">
        <w:t>er than the</w:t>
      </w:r>
      <w:r w:rsidRPr="00880C9F">
        <w:t xml:space="preserve"> Australian adequate intake </w:t>
      </w:r>
      <w:r w:rsidR="00BC1C58" w:rsidRPr="00880C9F">
        <w:t xml:space="preserve">(AI) </w:t>
      </w:r>
      <w:r w:rsidRPr="00880C9F">
        <w:t>levels</w:t>
      </w:r>
      <w:r w:rsidR="00BC1C58" w:rsidRPr="00880C9F">
        <w:t>.</w:t>
      </w:r>
      <w:r w:rsidRPr="00880C9F">
        <w:t xml:space="preserve"> </w:t>
      </w:r>
      <w:r w:rsidR="007D6BE5" w:rsidRPr="00880C9F">
        <w:t>H</w:t>
      </w:r>
      <w:r w:rsidRPr="00880C9F">
        <w:t>owever</w:t>
      </w:r>
      <w:r w:rsidR="00BC1C58" w:rsidRPr="00880C9F">
        <w:t>,</w:t>
      </w:r>
      <w:r w:rsidRPr="00880C9F">
        <w:t xml:space="preserve"> the NPWP considered that </w:t>
      </w:r>
      <w:r w:rsidR="00BC1C58" w:rsidRPr="00880C9F">
        <w:t xml:space="preserve">this was not a </w:t>
      </w:r>
      <w:r w:rsidRPr="00880C9F">
        <w:t>concern as drinking water, vegetables and cereals were the main dietary sources for manganese</w:t>
      </w:r>
      <w:r w:rsidR="00BC1C58" w:rsidRPr="00880C9F">
        <w:t xml:space="preserve"> and no RDI for manganese ha</w:t>
      </w:r>
      <w:r w:rsidR="005B1E88" w:rsidRPr="00880C9F">
        <w:t>d</w:t>
      </w:r>
      <w:r w:rsidR="00BC1C58" w:rsidRPr="00880C9F">
        <w:t xml:space="preserve"> been set</w:t>
      </w:r>
      <w:r w:rsidRPr="00880C9F">
        <w:t>.</w:t>
      </w:r>
    </w:p>
    <w:p w14:paraId="546E859D" w14:textId="6FD193E2" w:rsidR="00CD1704" w:rsidRPr="00880C9F" w:rsidRDefault="0050551E" w:rsidP="007D6BE5">
      <w:pPr>
        <w:pStyle w:val="3Bodytext"/>
        <w:numPr>
          <w:ilvl w:val="1"/>
          <w:numId w:val="1"/>
        </w:numPr>
        <w:jc w:val="both"/>
        <w:rPr>
          <w:rFonts w:cstheme="minorHAnsi"/>
        </w:rPr>
      </w:pPr>
      <w:r w:rsidRPr="00880C9F">
        <w:rPr>
          <w:rFonts w:cstheme="minorHAnsi"/>
        </w:rPr>
        <w:t>The NPWP noted that</w:t>
      </w:r>
      <w:r w:rsidR="00490723" w:rsidRPr="00880C9F">
        <w:rPr>
          <w:rFonts w:cstheme="minorHAnsi"/>
        </w:rPr>
        <w:t xml:space="preserve"> </w:t>
      </w:r>
      <w:r w:rsidR="00CC2824" w:rsidRPr="00880C9F">
        <w:rPr>
          <w:rFonts w:cstheme="minorHAnsi"/>
        </w:rPr>
        <w:t xml:space="preserve">the </w:t>
      </w:r>
      <w:r w:rsidR="00490723" w:rsidRPr="00880C9F">
        <w:rPr>
          <w:rFonts w:cstheme="minorHAnsi"/>
        </w:rPr>
        <w:t>stated aim of the submission was to request changes to the formulation of</w:t>
      </w:r>
      <w:r w:rsidRPr="00880C9F">
        <w:rPr>
          <w:rFonts w:cstheme="minorHAnsi"/>
        </w:rPr>
        <w:t xml:space="preserve"> </w:t>
      </w:r>
      <w:r w:rsidR="00CD1704" w:rsidRPr="00880C9F">
        <w:rPr>
          <w:rFonts w:cstheme="minorHAnsi"/>
        </w:rPr>
        <w:t xml:space="preserve">Paediatric </w:t>
      </w:r>
      <w:r w:rsidRPr="00880C9F">
        <w:rPr>
          <w:rFonts w:cstheme="minorHAnsi"/>
        </w:rPr>
        <w:t>Seravit</w:t>
      </w:r>
      <w:r w:rsidR="00490723" w:rsidRPr="00880C9F">
        <w:rPr>
          <w:rFonts w:cstheme="minorHAnsi"/>
        </w:rPr>
        <w:t xml:space="preserve"> to comply with</w:t>
      </w:r>
      <w:r w:rsidR="00CD1704" w:rsidRPr="00880C9F">
        <w:rPr>
          <w:rFonts w:cstheme="minorHAnsi"/>
        </w:rPr>
        <w:t xml:space="preserve"> </w:t>
      </w:r>
      <w:r w:rsidR="00E72C3B" w:rsidRPr="00880C9F">
        <w:rPr>
          <w:rFonts w:cstheme="minorHAnsi"/>
        </w:rPr>
        <w:t xml:space="preserve">the </w:t>
      </w:r>
      <w:r w:rsidR="00E72C3B" w:rsidRPr="00880C9F">
        <w:rPr>
          <w:rFonts w:eastAsiaTheme="minorHAnsi" w:cstheme="minorBidi"/>
          <w:szCs w:val="22"/>
        </w:rPr>
        <w:t>EU Commission Delegated Regulation 2016/127 on IF and FOF</w:t>
      </w:r>
      <w:r w:rsidR="00490723" w:rsidRPr="00880C9F">
        <w:rPr>
          <w:rFonts w:eastAsiaTheme="minorHAnsi" w:cstheme="minorBidi"/>
          <w:szCs w:val="22"/>
        </w:rPr>
        <w:t xml:space="preserve">. The NPWP considered that Paediatric Seravit </w:t>
      </w:r>
      <w:r w:rsidR="005B1E88" w:rsidRPr="00880C9F">
        <w:rPr>
          <w:rFonts w:eastAsiaTheme="minorHAnsi" w:cstheme="minorBidi"/>
          <w:szCs w:val="22"/>
        </w:rPr>
        <w:t xml:space="preserve">did </w:t>
      </w:r>
      <w:r w:rsidR="00490723" w:rsidRPr="00880C9F">
        <w:rPr>
          <w:rFonts w:eastAsiaTheme="minorHAnsi" w:cstheme="minorBidi"/>
          <w:szCs w:val="22"/>
        </w:rPr>
        <w:t>not appear to comply with the new European compositional standards for several nutrients</w:t>
      </w:r>
      <w:r w:rsidR="00E72C3B" w:rsidRPr="00880C9F">
        <w:rPr>
          <w:rFonts w:eastAsiaTheme="minorHAnsi" w:cstheme="minorBidi"/>
          <w:szCs w:val="22"/>
        </w:rPr>
        <w:t xml:space="preserve">, </w:t>
      </w:r>
      <w:r w:rsidR="00CD1704" w:rsidRPr="00880C9F">
        <w:rPr>
          <w:rFonts w:cstheme="minorHAnsi"/>
        </w:rPr>
        <w:t xml:space="preserve">but </w:t>
      </w:r>
      <w:r w:rsidRPr="00880C9F">
        <w:rPr>
          <w:rFonts w:cstheme="minorHAnsi"/>
        </w:rPr>
        <w:t>considered that it contain</w:t>
      </w:r>
      <w:r w:rsidR="005B1E88" w:rsidRPr="00880C9F">
        <w:rPr>
          <w:rFonts w:cstheme="minorHAnsi"/>
        </w:rPr>
        <w:t>ed</w:t>
      </w:r>
      <w:r w:rsidR="00CD1704" w:rsidRPr="00880C9F">
        <w:rPr>
          <w:rFonts w:cstheme="minorHAnsi"/>
        </w:rPr>
        <w:t xml:space="preserve"> reasonable levels of micronutrients compared to RDI</w:t>
      </w:r>
      <w:r w:rsidRPr="00880C9F">
        <w:rPr>
          <w:rFonts w:cstheme="minorHAnsi"/>
        </w:rPr>
        <w:t>.</w:t>
      </w:r>
    </w:p>
    <w:p w14:paraId="72528EA4" w14:textId="562331AC" w:rsidR="00383FD2" w:rsidRPr="00880C9F" w:rsidRDefault="00383FD2" w:rsidP="007D6BE5">
      <w:pPr>
        <w:pStyle w:val="3Bodytext"/>
        <w:numPr>
          <w:ilvl w:val="1"/>
          <w:numId w:val="1"/>
        </w:numPr>
        <w:jc w:val="both"/>
        <w:rPr>
          <w:rFonts w:eastAsiaTheme="minorHAnsi" w:cstheme="minorBidi"/>
          <w:szCs w:val="22"/>
        </w:rPr>
      </w:pPr>
      <w:r w:rsidRPr="00880C9F">
        <w:rPr>
          <w:rFonts w:eastAsiaTheme="minorHAnsi" w:cstheme="minorBidi"/>
          <w:szCs w:val="22"/>
        </w:rPr>
        <w:t xml:space="preserve">The NPWP noted the revised formulation included a range of changes to the nutritional profile, including </w:t>
      </w:r>
      <w:r w:rsidR="002E6012" w:rsidRPr="00880C9F">
        <w:rPr>
          <w:rFonts w:eastAsiaTheme="minorHAnsi" w:cstheme="minorBidi"/>
          <w:szCs w:val="22"/>
        </w:rPr>
        <w:t xml:space="preserve">the </w:t>
      </w:r>
      <w:r w:rsidRPr="00880C9F">
        <w:rPr>
          <w:rFonts w:eastAsiaTheme="minorHAnsi" w:cstheme="minorBidi"/>
          <w:szCs w:val="22"/>
        </w:rPr>
        <w:t>vitamin, mineral and micronutrient profile. The NPWP considered that the nutritional values spreadsheets and comparison with appropriate F</w:t>
      </w:r>
      <w:r w:rsidR="001C56F8" w:rsidRPr="00880C9F">
        <w:rPr>
          <w:rFonts w:eastAsiaTheme="minorHAnsi" w:cstheme="minorBidi"/>
          <w:szCs w:val="22"/>
        </w:rPr>
        <w:t>S</w:t>
      </w:r>
      <w:r w:rsidRPr="00880C9F">
        <w:rPr>
          <w:rFonts w:eastAsiaTheme="minorHAnsi" w:cstheme="minorBidi"/>
          <w:szCs w:val="22"/>
        </w:rPr>
        <w:t>ANZ and EU Food standards included in the submission were informative and agreed it would be useful for submissions to continue to present information in this format.</w:t>
      </w:r>
    </w:p>
    <w:p w14:paraId="271ECB9D" w14:textId="167E7EF2" w:rsidR="00CD1704" w:rsidRPr="00880C9F" w:rsidRDefault="001B74F0" w:rsidP="001B74F0">
      <w:pPr>
        <w:pStyle w:val="3Bodytext"/>
        <w:numPr>
          <w:ilvl w:val="1"/>
          <w:numId w:val="1"/>
        </w:numPr>
        <w:jc w:val="both"/>
        <w:rPr>
          <w:rFonts w:eastAsiaTheme="minorHAnsi"/>
        </w:rPr>
      </w:pPr>
      <w:r w:rsidRPr="00880C9F">
        <w:t>The NPWP considered the new formulation complied with F</w:t>
      </w:r>
      <w:r w:rsidR="001C56F8" w:rsidRPr="00880C9F">
        <w:t>S</w:t>
      </w:r>
      <w:r w:rsidRPr="00880C9F">
        <w:t>ANZ and had no concerns that the changes to formulation would pose a risk to the health and safety of patients.</w:t>
      </w:r>
    </w:p>
    <w:p w14:paraId="0DD8D3A6" w14:textId="60D50DA2" w:rsidR="00E56D8C" w:rsidRPr="00880C9F" w:rsidRDefault="00E56D8C" w:rsidP="006C6E56">
      <w:pPr>
        <w:pStyle w:val="Bodytextitalics"/>
      </w:pPr>
      <w:r w:rsidRPr="00880C9F">
        <w:t xml:space="preserve">For more detail on PBAC’s view, see section </w:t>
      </w:r>
      <w:r w:rsidR="005B1E88" w:rsidRPr="00880C9F">
        <w:t>6</w:t>
      </w:r>
      <w:r w:rsidRPr="00880C9F">
        <w:t xml:space="preserve"> PBAC outcome.</w:t>
      </w:r>
    </w:p>
    <w:p w14:paraId="5A4AA942" w14:textId="77777777" w:rsidR="000771F2" w:rsidRPr="00880C9F" w:rsidRDefault="000771F2" w:rsidP="006C6E56">
      <w:pPr>
        <w:pStyle w:val="Heading1"/>
        <w:keepNext/>
        <w:keepLines/>
        <w:numPr>
          <w:ilvl w:val="0"/>
          <w:numId w:val="1"/>
        </w:numPr>
        <w:spacing w:before="240"/>
        <w:ind w:left="709" w:hanging="709"/>
        <w:rPr>
          <w:b w:val="0"/>
          <w:sz w:val="32"/>
          <w:szCs w:val="32"/>
        </w:rPr>
      </w:pPr>
      <w:r w:rsidRPr="00880C9F">
        <w:rPr>
          <w:sz w:val="32"/>
          <w:szCs w:val="32"/>
        </w:rPr>
        <w:t>PBAC Outcome</w:t>
      </w:r>
    </w:p>
    <w:p w14:paraId="5249EB3D" w14:textId="6878DAE3" w:rsidR="000D6C60" w:rsidRPr="00761AE6" w:rsidRDefault="000D6C60" w:rsidP="000D6C60">
      <w:pPr>
        <w:widowControl w:val="0"/>
        <w:numPr>
          <w:ilvl w:val="1"/>
          <w:numId w:val="1"/>
        </w:numPr>
        <w:spacing w:after="120"/>
        <w:rPr>
          <w:rFonts w:asciiTheme="minorHAnsi" w:hAnsiTheme="minorHAnsi" w:cs="Arial"/>
          <w:bCs/>
          <w:snapToGrid w:val="0"/>
        </w:rPr>
      </w:pPr>
      <w:r w:rsidRPr="00761AE6">
        <w:rPr>
          <w:rFonts w:asciiTheme="minorHAnsi" w:hAnsiTheme="minorHAnsi" w:cs="Arial"/>
          <w:bCs/>
          <w:snapToGrid w:val="0"/>
        </w:rPr>
        <w:t xml:space="preserve">The PBAC recommended continuing the Restricted Benefit listing of </w:t>
      </w:r>
      <w:r w:rsidRPr="00880C9F">
        <w:rPr>
          <w:rFonts w:asciiTheme="minorHAnsi" w:hAnsiTheme="minorHAnsi" w:cstheme="minorHAnsi"/>
        </w:rPr>
        <w:t>vitamins, minerals and trace elements with carbohydrate</w:t>
      </w:r>
      <w:r w:rsidRPr="00761AE6">
        <w:rPr>
          <w:rFonts w:asciiTheme="minorHAnsi" w:hAnsiTheme="minorHAnsi" w:cs="Arial"/>
          <w:bCs/>
          <w:snapToGrid w:val="0"/>
        </w:rPr>
        <w:t xml:space="preserve">, Paediatric Seravit, for </w:t>
      </w:r>
      <w:r w:rsidRPr="00880C9F">
        <w:rPr>
          <w:rFonts w:asciiTheme="minorHAnsi" w:hAnsiTheme="minorHAnsi" w:cs="Arial"/>
          <w:bCs/>
          <w:snapToGrid w:val="0"/>
        </w:rPr>
        <w:t>the dietary management of conditions requiring a highly restrictive therapeutic diet</w:t>
      </w:r>
      <w:r w:rsidRPr="00761AE6">
        <w:rPr>
          <w:rFonts w:asciiTheme="minorHAnsi" w:hAnsiTheme="minorHAnsi" w:cs="Arial"/>
          <w:bCs/>
          <w:snapToGrid w:val="0"/>
        </w:rPr>
        <w:t xml:space="preserve"> in infants and young children following its reformulation due to changes in European compositional standards. </w:t>
      </w:r>
    </w:p>
    <w:p w14:paraId="56A14F1D" w14:textId="2535E75B" w:rsidR="000D6C60" w:rsidRPr="00761AE6" w:rsidRDefault="000D6C60" w:rsidP="000D6C60">
      <w:pPr>
        <w:widowControl w:val="0"/>
        <w:numPr>
          <w:ilvl w:val="1"/>
          <w:numId w:val="1"/>
        </w:numPr>
        <w:spacing w:after="120"/>
        <w:rPr>
          <w:rFonts w:asciiTheme="minorHAnsi" w:hAnsiTheme="minorHAnsi" w:cs="Arial"/>
          <w:bCs/>
          <w:snapToGrid w:val="0"/>
        </w:rPr>
      </w:pPr>
      <w:r w:rsidRPr="00761AE6">
        <w:rPr>
          <w:rFonts w:asciiTheme="minorHAnsi" w:hAnsiTheme="minorHAnsi" w:cs="Arial"/>
          <w:bCs/>
          <w:snapToGrid w:val="0"/>
        </w:rPr>
        <w:t xml:space="preserve">The PBAC noted that the </w:t>
      </w:r>
      <w:r w:rsidRPr="00880C9F">
        <w:rPr>
          <w:rFonts w:asciiTheme="minorHAnsi" w:hAnsiTheme="minorHAnsi" w:cs="Arial"/>
          <w:bCs/>
          <w:snapToGrid w:val="0"/>
        </w:rPr>
        <w:t>NPWP considered that although the manganese levels were lower than the Australian adequate intake (AI) levels, this was not a concern as drinking water, vegetables and cereals were the main dietary sources for manganese.</w:t>
      </w:r>
    </w:p>
    <w:p w14:paraId="78D2708D" w14:textId="4D32CEBF" w:rsidR="000D6C60" w:rsidRPr="00761AE6" w:rsidRDefault="000D6C60" w:rsidP="000D6C60">
      <w:pPr>
        <w:widowControl w:val="0"/>
        <w:numPr>
          <w:ilvl w:val="1"/>
          <w:numId w:val="1"/>
        </w:numPr>
        <w:spacing w:after="120"/>
        <w:rPr>
          <w:rFonts w:asciiTheme="minorHAnsi" w:hAnsiTheme="minorHAnsi" w:cs="Arial"/>
          <w:bCs/>
          <w:snapToGrid w:val="0"/>
        </w:rPr>
      </w:pPr>
      <w:r w:rsidRPr="00761AE6">
        <w:rPr>
          <w:rFonts w:asciiTheme="minorHAnsi" w:hAnsiTheme="minorHAnsi" w:cs="Arial"/>
          <w:bCs/>
          <w:snapToGrid w:val="0"/>
        </w:rPr>
        <w:t>The PBAC noted</w:t>
      </w:r>
      <w:r w:rsidR="00CF136D" w:rsidRPr="00761AE6">
        <w:rPr>
          <w:rFonts w:asciiTheme="minorHAnsi" w:hAnsiTheme="minorHAnsi" w:cs="Arial"/>
          <w:bCs/>
          <w:snapToGrid w:val="0"/>
        </w:rPr>
        <w:t xml:space="preserve"> that</w:t>
      </w:r>
      <w:r w:rsidR="00526B1C" w:rsidRPr="00761AE6">
        <w:rPr>
          <w:rFonts w:asciiTheme="minorHAnsi" w:hAnsiTheme="minorHAnsi" w:cs="Arial"/>
          <w:bCs/>
          <w:snapToGrid w:val="0"/>
        </w:rPr>
        <w:t xml:space="preserve"> while</w:t>
      </w:r>
      <w:r w:rsidRPr="00761AE6">
        <w:rPr>
          <w:rFonts w:asciiTheme="minorHAnsi" w:hAnsiTheme="minorHAnsi" w:cs="Arial"/>
          <w:bCs/>
          <w:snapToGrid w:val="0"/>
        </w:rPr>
        <w:t xml:space="preserve"> </w:t>
      </w:r>
      <w:r w:rsidRPr="00880C9F">
        <w:rPr>
          <w:rFonts w:eastAsiaTheme="minorHAnsi" w:cstheme="minorBidi"/>
          <w:szCs w:val="22"/>
        </w:rPr>
        <w:t xml:space="preserve">Paediatric Seravit </w:t>
      </w:r>
      <w:r w:rsidR="005B1E88" w:rsidRPr="00880C9F">
        <w:rPr>
          <w:rFonts w:eastAsiaTheme="minorHAnsi" w:cstheme="minorBidi"/>
          <w:szCs w:val="22"/>
        </w:rPr>
        <w:t xml:space="preserve">did </w:t>
      </w:r>
      <w:r w:rsidRPr="00880C9F">
        <w:rPr>
          <w:rFonts w:eastAsiaTheme="minorHAnsi" w:cstheme="minorBidi"/>
          <w:szCs w:val="22"/>
        </w:rPr>
        <w:t xml:space="preserve">not appear to comply with the new European compositional standards for several nutrients, </w:t>
      </w:r>
      <w:r w:rsidR="00526B1C" w:rsidRPr="00880C9F">
        <w:rPr>
          <w:rFonts w:eastAsiaTheme="minorHAnsi" w:cstheme="minorBidi"/>
          <w:szCs w:val="22"/>
        </w:rPr>
        <w:t>the NPWP</w:t>
      </w:r>
      <w:r w:rsidRPr="00761AE6">
        <w:rPr>
          <w:rFonts w:asciiTheme="minorHAnsi" w:hAnsiTheme="minorHAnsi" w:cs="Arial"/>
          <w:bCs/>
          <w:snapToGrid w:val="0"/>
        </w:rPr>
        <w:t xml:space="preserve"> had no concerns that the changes in formulation would pose a risk to the health and safety of patients.</w:t>
      </w:r>
    </w:p>
    <w:p w14:paraId="0EC1B165" w14:textId="3843C761" w:rsidR="000D6C60" w:rsidRPr="00761AE6" w:rsidRDefault="000D6C60" w:rsidP="006C6E56">
      <w:pPr>
        <w:widowControl w:val="0"/>
        <w:numPr>
          <w:ilvl w:val="1"/>
          <w:numId w:val="1"/>
        </w:numPr>
        <w:spacing w:after="120"/>
        <w:rPr>
          <w:rFonts w:asciiTheme="minorHAnsi" w:hAnsiTheme="minorHAnsi" w:cs="Arial"/>
          <w:b/>
          <w:bCs/>
          <w:snapToGrid w:val="0"/>
        </w:rPr>
      </w:pPr>
      <w:r w:rsidRPr="00761AE6">
        <w:rPr>
          <w:rFonts w:asciiTheme="minorHAnsi" w:hAnsiTheme="minorHAnsi" w:cs="Arial"/>
          <w:bCs/>
          <w:snapToGrid w:val="0"/>
        </w:rPr>
        <w:t>The PBAC noted that this submission is not eligible for an Independent Review as it received a positive recommendation.</w:t>
      </w:r>
    </w:p>
    <w:p w14:paraId="37BF38E6" w14:textId="77777777" w:rsidR="000D6C60" w:rsidRPr="00761AE6" w:rsidRDefault="000D6C60" w:rsidP="000D6C60">
      <w:pPr>
        <w:widowControl w:val="0"/>
        <w:spacing w:after="120"/>
        <w:rPr>
          <w:rFonts w:asciiTheme="minorHAnsi" w:hAnsiTheme="minorHAnsi" w:cs="Arial"/>
          <w:b/>
          <w:bCs/>
          <w:snapToGrid w:val="0"/>
        </w:rPr>
      </w:pPr>
      <w:r w:rsidRPr="00761AE6">
        <w:rPr>
          <w:rFonts w:asciiTheme="minorHAnsi" w:hAnsiTheme="minorHAnsi" w:cs="Arial"/>
          <w:b/>
          <w:bCs/>
          <w:snapToGrid w:val="0"/>
        </w:rPr>
        <w:t>Outcome:</w:t>
      </w:r>
    </w:p>
    <w:p w14:paraId="3DF694CA" w14:textId="77777777" w:rsidR="000D6C60" w:rsidRPr="00761AE6" w:rsidRDefault="000D6C60" w:rsidP="000D6C60">
      <w:pPr>
        <w:rPr>
          <w:rFonts w:asciiTheme="minorHAnsi" w:hAnsiTheme="minorHAnsi" w:cs="Arial"/>
          <w:bCs/>
          <w:snapToGrid w:val="0"/>
        </w:rPr>
      </w:pPr>
      <w:r w:rsidRPr="00761AE6">
        <w:rPr>
          <w:rFonts w:asciiTheme="minorHAnsi" w:hAnsiTheme="minorHAnsi" w:cs="Arial"/>
          <w:bCs/>
          <w:snapToGrid w:val="0"/>
        </w:rPr>
        <w:t xml:space="preserve">Recommended </w:t>
      </w:r>
    </w:p>
    <w:p w14:paraId="2D34E2C2" w14:textId="77777777" w:rsidR="000D6C60" w:rsidRPr="00880C9F" w:rsidRDefault="000D6C60" w:rsidP="000D6C60">
      <w:pPr>
        <w:pStyle w:val="Heading1"/>
        <w:keepNext/>
        <w:keepLines/>
        <w:numPr>
          <w:ilvl w:val="0"/>
          <w:numId w:val="1"/>
        </w:numPr>
        <w:spacing w:before="240"/>
        <w:ind w:left="709" w:hanging="709"/>
        <w:rPr>
          <w:sz w:val="32"/>
          <w:szCs w:val="32"/>
        </w:rPr>
      </w:pPr>
      <w:r w:rsidRPr="00880C9F">
        <w:rPr>
          <w:sz w:val="32"/>
          <w:szCs w:val="32"/>
        </w:rPr>
        <w:lastRenderedPageBreak/>
        <w:t>Recommended listing</w:t>
      </w:r>
    </w:p>
    <w:p w14:paraId="60EBF41B" w14:textId="6FC4E29A" w:rsidR="000D6C60" w:rsidRDefault="000D6C60" w:rsidP="000D6C60">
      <w:pPr>
        <w:widowControl w:val="0"/>
        <w:numPr>
          <w:ilvl w:val="1"/>
          <w:numId w:val="1"/>
        </w:numPr>
        <w:spacing w:after="120"/>
        <w:rPr>
          <w:rFonts w:asciiTheme="minorHAnsi" w:hAnsiTheme="minorHAnsi" w:cs="Arial"/>
          <w:bCs/>
          <w:snapToGrid w:val="0"/>
        </w:rPr>
      </w:pPr>
      <w:r w:rsidRPr="00761AE6">
        <w:rPr>
          <w:rFonts w:asciiTheme="minorHAnsi" w:hAnsiTheme="minorHAnsi" w:cs="Arial"/>
          <w:bCs/>
          <w:snapToGrid w:val="0"/>
        </w:rPr>
        <w:t>No change to the existing listing</w:t>
      </w:r>
    </w:p>
    <w:p w14:paraId="74A960C5" w14:textId="64123611" w:rsidR="00E421D6" w:rsidRDefault="00ED5D64" w:rsidP="00ED5D64">
      <w:pPr>
        <w:widowControl w:val="0"/>
        <w:spacing w:after="120"/>
        <w:ind w:left="720"/>
        <w:rPr>
          <w:rFonts w:asciiTheme="minorHAnsi" w:hAnsiTheme="minorHAnsi" w:cs="Arial"/>
          <w:b/>
          <w:bCs/>
          <w:i/>
          <w:snapToGrid w:val="0"/>
        </w:rPr>
      </w:pPr>
      <w:r w:rsidRPr="00ED5D64">
        <w:rPr>
          <w:rFonts w:asciiTheme="minorHAnsi" w:hAnsiTheme="minorHAnsi" w:cs="Arial"/>
          <w:b/>
          <w:bCs/>
          <w:i/>
          <w:snapToGrid w:val="0"/>
        </w:rPr>
        <w:t>This restriction may be subject to further review. Should there be any changes made to the restriction the Sponsor will be informed.</w:t>
      </w:r>
    </w:p>
    <w:p w14:paraId="76158EFD" w14:textId="77777777" w:rsidR="00DB3B6A" w:rsidRDefault="00DB3B6A" w:rsidP="00DB3B6A">
      <w:pPr>
        <w:pStyle w:val="Heading1"/>
        <w:keepNext/>
        <w:keepLines/>
        <w:numPr>
          <w:ilvl w:val="0"/>
          <w:numId w:val="1"/>
        </w:numPr>
        <w:spacing w:before="240"/>
        <w:ind w:left="709" w:hanging="709"/>
        <w:rPr>
          <w:b w:val="0"/>
          <w:sz w:val="32"/>
        </w:rPr>
      </w:pPr>
      <w:r w:rsidRPr="00C07617">
        <w:rPr>
          <w:sz w:val="32"/>
        </w:rPr>
        <w:t>Context for Decision</w:t>
      </w:r>
    </w:p>
    <w:p w14:paraId="34917F04" w14:textId="76249FDB" w:rsidR="00DB3B6A" w:rsidRPr="007129F2" w:rsidRDefault="00DB3B6A" w:rsidP="00CD171F">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CC296AB" w14:textId="218298E3" w:rsidR="00DB3B6A" w:rsidRPr="00C07617" w:rsidRDefault="00DB3B6A" w:rsidP="00DB3B6A">
      <w:pPr>
        <w:pStyle w:val="Heading1"/>
        <w:keepNext/>
        <w:keepLines/>
        <w:numPr>
          <w:ilvl w:val="0"/>
          <w:numId w:val="1"/>
        </w:numPr>
        <w:spacing w:before="240"/>
        <w:ind w:left="709" w:hanging="709"/>
        <w:rPr>
          <w:b w:val="0"/>
          <w:sz w:val="32"/>
        </w:rPr>
      </w:pPr>
      <w:r w:rsidRPr="00C07617" w:rsidDel="007129F2">
        <w:t xml:space="preserve"> </w:t>
      </w:r>
      <w:r>
        <w:rPr>
          <w:sz w:val="32"/>
        </w:rPr>
        <w:t>Sponsor’s Comment</w:t>
      </w:r>
    </w:p>
    <w:p w14:paraId="03E6FE38" w14:textId="77777777" w:rsidR="00DB3B6A" w:rsidRPr="001179AC" w:rsidRDefault="00DB3B6A" w:rsidP="00CD171F">
      <w:pPr>
        <w:spacing w:after="120"/>
        <w:rPr>
          <w:rFonts w:asciiTheme="minorHAnsi" w:hAnsiTheme="minorHAnsi" w:cs="Arial"/>
          <w:bCs/>
        </w:rPr>
      </w:pPr>
      <w:r w:rsidRPr="00C07617">
        <w:rPr>
          <w:rFonts w:asciiTheme="minorHAnsi" w:hAnsiTheme="minorHAnsi" w:cs="Arial"/>
          <w:bCs/>
        </w:rPr>
        <w:t>The sponsor had no comment.</w:t>
      </w:r>
    </w:p>
    <w:p w14:paraId="7D99AB44" w14:textId="77777777" w:rsidR="00DB3B6A" w:rsidRPr="00880C9F" w:rsidRDefault="00DB3B6A" w:rsidP="00DB3B6A">
      <w:pPr>
        <w:widowControl w:val="0"/>
        <w:spacing w:after="120"/>
      </w:pPr>
    </w:p>
    <w:sectPr w:rsidR="00DB3B6A" w:rsidRPr="00880C9F"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9443C" w14:textId="77777777" w:rsidR="007637E5" w:rsidRDefault="007637E5" w:rsidP="007637E5">
      <w:r>
        <w:separator/>
      </w:r>
    </w:p>
  </w:endnote>
  <w:endnote w:type="continuationSeparator" w:id="0">
    <w:p w14:paraId="3EEBE439" w14:textId="77777777" w:rsidR="007637E5" w:rsidRDefault="007637E5" w:rsidP="0076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0" w:usb1="2A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14:paraId="7BB61653" w14:textId="77777777" w:rsidTr="005A3173">
      <w:trPr>
        <w:trHeight w:val="151"/>
      </w:trPr>
      <w:tc>
        <w:tcPr>
          <w:tcW w:w="2250" w:type="pct"/>
          <w:tcBorders>
            <w:top w:val="nil"/>
            <w:left w:val="nil"/>
            <w:bottom w:val="single" w:sz="4" w:space="0" w:color="4F81BD"/>
            <w:right w:val="nil"/>
          </w:tcBorders>
        </w:tcPr>
        <w:p w14:paraId="6BECD210" w14:textId="77777777" w:rsidR="00F80475" w:rsidRPr="005A3173" w:rsidRDefault="00417510" w:rsidP="005A3173">
          <w:pPr>
            <w:pStyle w:val="Header"/>
            <w:spacing w:line="276" w:lineRule="auto"/>
            <w:rPr>
              <w:rFonts w:eastAsia="MS Gothic"/>
              <w:b/>
              <w:bCs/>
              <w:color w:val="4F81BD"/>
            </w:rPr>
          </w:pPr>
        </w:p>
      </w:tc>
      <w:tc>
        <w:tcPr>
          <w:tcW w:w="500" w:type="pct"/>
          <w:vMerge w:val="restart"/>
          <w:noWrap/>
          <w:vAlign w:val="center"/>
          <w:hideMark/>
        </w:tcPr>
        <w:p w14:paraId="7743A36C" w14:textId="77777777" w:rsidR="00F80475" w:rsidRPr="005A3173" w:rsidRDefault="00BB158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8E170EC" w14:textId="77777777" w:rsidR="00F80475" w:rsidRPr="005A3173" w:rsidRDefault="00417510" w:rsidP="005A3173">
          <w:pPr>
            <w:pStyle w:val="Header"/>
            <w:spacing w:line="276" w:lineRule="auto"/>
            <w:rPr>
              <w:rFonts w:eastAsia="MS Gothic"/>
              <w:b/>
              <w:bCs/>
              <w:color w:val="4F81BD"/>
            </w:rPr>
          </w:pPr>
        </w:p>
      </w:tc>
    </w:tr>
    <w:tr w:rsidR="00F80475" w14:paraId="6D82330E" w14:textId="77777777" w:rsidTr="005A3173">
      <w:trPr>
        <w:trHeight w:val="150"/>
      </w:trPr>
      <w:tc>
        <w:tcPr>
          <w:tcW w:w="2250" w:type="pct"/>
          <w:tcBorders>
            <w:top w:val="single" w:sz="4" w:space="0" w:color="4F81BD"/>
            <w:left w:val="nil"/>
            <w:bottom w:val="nil"/>
            <w:right w:val="nil"/>
          </w:tcBorders>
        </w:tcPr>
        <w:p w14:paraId="13837374" w14:textId="77777777" w:rsidR="00F80475" w:rsidRPr="005A3173" w:rsidRDefault="00417510" w:rsidP="005A3173">
          <w:pPr>
            <w:pStyle w:val="Header"/>
            <w:spacing w:line="276" w:lineRule="auto"/>
            <w:rPr>
              <w:rFonts w:eastAsia="MS Gothic"/>
              <w:b/>
              <w:bCs/>
              <w:color w:val="4F81BD"/>
            </w:rPr>
          </w:pPr>
        </w:p>
      </w:tc>
      <w:tc>
        <w:tcPr>
          <w:tcW w:w="0" w:type="auto"/>
          <w:vMerge/>
          <w:vAlign w:val="center"/>
          <w:hideMark/>
        </w:tcPr>
        <w:p w14:paraId="34F0E203" w14:textId="77777777" w:rsidR="00F80475" w:rsidRPr="005A3173" w:rsidRDefault="00417510" w:rsidP="005A3173">
          <w:pPr>
            <w:rPr>
              <w:color w:val="365F91"/>
              <w:sz w:val="22"/>
              <w:szCs w:val="22"/>
            </w:rPr>
          </w:pPr>
        </w:p>
      </w:tc>
      <w:tc>
        <w:tcPr>
          <w:tcW w:w="2250" w:type="pct"/>
          <w:tcBorders>
            <w:top w:val="single" w:sz="4" w:space="0" w:color="4F81BD"/>
            <w:left w:val="nil"/>
            <w:bottom w:val="nil"/>
            <w:right w:val="nil"/>
          </w:tcBorders>
        </w:tcPr>
        <w:p w14:paraId="181B61C3" w14:textId="77777777" w:rsidR="00F80475" w:rsidRPr="005A3173" w:rsidRDefault="00417510" w:rsidP="005A3173">
          <w:pPr>
            <w:pStyle w:val="Header"/>
            <w:spacing w:line="276" w:lineRule="auto"/>
            <w:rPr>
              <w:rFonts w:eastAsia="MS Gothic"/>
              <w:b/>
              <w:bCs/>
              <w:color w:val="4F81BD"/>
            </w:rPr>
          </w:pPr>
        </w:p>
      </w:tc>
    </w:tr>
  </w:tbl>
  <w:p w14:paraId="36ED8949" w14:textId="77777777" w:rsidR="00F80475" w:rsidRDefault="00BB158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89042" w14:textId="77777777" w:rsidR="00F80475" w:rsidRDefault="00417510">
    <w:pPr>
      <w:pStyle w:val="Footer"/>
    </w:pPr>
  </w:p>
  <w:p w14:paraId="30830C8B" w14:textId="77777777" w:rsidR="00F80475" w:rsidRDefault="0041751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AAD5" w14:textId="77777777" w:rsidR="000F3384" w:rsidRDefault="00417510" w:rsidP="00E27234">
    <w:pPr>
      <w:pStyle w:val="PBACFooter"/>
      <w:rPr>
        <w:rFonts w:asciiTheme="minorHAnsi" w:hAnsiTheme="minorHAnsi" w:cstheme="minorHAnsi"/>
        <w:sz w:val="24"/>
      </w:rPr>
    </w:pPr>
  </w:p>
  <w:p w14:paraId="22B9753D" w14:textId="02434CBF" w:rsidR="00F80475" w:rsidRPr="005B1E88" w:rsidRDefault="000771F2" w:rsidP="000771F2">
    <w:pPr>
      <w:pStyle w:val="PBACFooter"/>
      <w:rPr>
        <w:rFonts w:asciiTheme="minorHAnsi" w:hAnsiTheme="minorHAnsi" w:cstheme="minorHAnsi"/>
        <w:sz w:val="32"/>
      </w:rPr>
    </w:pPr>
    <w:r w:rsidRPr="005B1E88">
      <w:rPr>
        <w:rFonts w:ascii="Calibri" w:hAnsi="Calibri"/>
        <w:b w:val="0"/>
        <w:sz w:val="24"/>
      </w:rPr>
      <w:fldChar w:fldCharType="begin"/>
    </w:r>
    <w:r w:rsidRPr="005B1E88">
      <w:rPr>
        <w:rFonts w:ascii="Calibri" w:hAnsi="Calibri"/>
        <w:sz w:val="24"/>
      </w:rPr>
      <w:instrText xml:space="preserve"> PAGE   \* MERGEFORMAT </w:instrText>
    </w:r>
    <w:r w:rsidRPr="005B1E88">
      <w:rPr>
        <w:rFonts w:ascii="Calibri" w:hAnsi="Calibri"/>
        <w:b w:val="0"/>
        <w:sz w:val="24"/>
      </w:rPr>
      <w:fldChar w:fldCharType="separate"/>
    </w:r>
    <w:r w:rsidR="00417510">
      <w:rPr>
        <w:rFonts w:ascii="Calibri" w:hAnsi="Calibri"/>
        <w:noProof/>
        <w:sz w:val="24"/>
      </w:rPr>
      <w:t>1</w:t>
    </w:r>
    <w:r w:rsidRPr="005B1E88">
      <w:rPr>
        <w:rFonts w:ascii="Calibri" w:hAnsi="Calibri"/>
        <w:b w:val="0"/>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14:paraId="029C8A62" w14:textId="77777777" w:rsidTr="005A3173">
      <w:trPr>
        <w:trHeight w:val="151"/>
      </w:trPr>
      <w:tc>
        <w:tcPr>
          <w:tcW w:w="2250" w:type="pct"/>
          <w:tcBorders>
            <w:top w:val="nil"/>
            <w:left w:val="nil"/>
            <w:bottom w:val="single" w:sz="4" w:space="0" w:color="4F81BD"/>
            <w:right w:val="nil"/>
          </w:tcBorders>
        </w:tcPr>
        <w:p w14:paraId="2B18CA16" w14:textId="77777777" w:rsidR="00F80475" w:rsidRPr="005A3173" w:rsidRDefault="00417510" w:rsidP="005A3173">
          <w:pPr>
            <w:pStyle w:val="Header"/>
            <w:spacing w:line="276" w:lineRule="auto"/>
            <w:rPr>
              <w:rFonts w:eastAsia="MS Gothic"/>
              <w:b/>
              <w:bCs/>
              <w:color w:val="4F81BD"/>
            </w:rPr>
          </w:pPr>
        </w:p>
      </w:tc>
      <w:tc>
        <w:tcPr>
          <w:tcW w:w="500" w:type="pct"/>
          <w:vMerge w:val="restart"/>
          <w:noWrap/>
          <w:vAlign w:val="center"/>
          <w:hideMark/>
        </w:tcPr>
        <w:p w14:paraId="710D6F07" w14:textId="77777777" w:rsidR="00F80475" w:rsidRPr="005A3173" w:rsidRDefault="00BB158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B6952DC" w14:textId="77777777" w:rsidR="00F80475" w:rsidRPr="005A3173" w:rsidRDefault="00417510" w:rsidP="005A3173">
          <w:pPr>
            <w:pStyle w:val="Header"/>
            <w:spacing w:line="276" w:lineRule="auto"/>
            <w:rPr>
              <w:rFonts w:eastAsia="MS Gothic"/>
              <w:b/>
              <w:bCs/>
              <w:color w:val="4F81BD"/>
            </w:rPr>
          </w:pPr>
        </w:p>
      </w:tc>
    </w:tr>
    <w:tr w:rsidR="00F80475" w14:paraId="686A3896" w14:textId="77777777" w:rsidTr="005A3173">
      <w:trPr>
        <w:trHeight w:val="150"/>
      </w:trPr>
      <w:tc>
        <w:tcPr>
          <w:tcW w:w="2250" w:type="pct"/>
          <w:tcBorders>
            <w:top w:val="single" w:sz="4" w:space="0" w:color="4F81BD"/>
            <w:left w:val="nil"/>
            <w:bottom w:val="nil"/>
            <w:right w:val="nil"/>
          </w:tcBorders>
        </w:tcPr>
        <w:p w14:paraId="4A757784" w14:textId="77777777" w:rsidR="00F80475" w:rsidRPr="005A3173" w:rsidRDefault="00417510" w:rsidP="005A3173">
          <w:pPr>
            <w:pStyle w:val="Header"/>
            <w:spacing w:line="276" w:lineRule="auto"/>
            <w:rPr>
              <w:rFonts w:eastAsia="MS Gothic"/>
              <w:b/>
              <w:bCs/>
              <w:color w:val="4F81BD"/>
            </w:rPr>
          </w:pPr>
        </w:p>
      </w:tc>
      <w:tc>
        <w:tcPr>
          <w:tcW w:w="0" w:type="auto"/>
          <w:vMerge/>
          <w:vAlign w:val="center"/>
          <w:hideMark/>
        </w:tcPr>
        <w:p w14:paraId="1776D95A" w14:textId="77777777" w:rsidR="00F80475" w:rsidRPr="005A3173" w:rsidRDefault="00417510" w:rsidP="005A3173">
          <w:pPr>
            <w:rPr>
              <w:color w:val="365F91"/>
              <w:sz w:val="22"/>
              <w:szCs w:val="22"/>
            </w:rPr>
          </w:pPr>
        </w:p>
      </w:tc>
      <w:tc>
        <w:tcPr>
          <w:tcW w:w="2250" w:type="pct"/>
          <w:tcBorders>
            <w:top w:val="single" w:sz="4" w:space="0" w:color="4F81BD"/>
            <w:left w:val="nil"/>
            <w:bottom w:val="nil"/>
            <w:right w:val="nil"/>
          </w:tcBorders>
        </w:tcPr>
        <w:p w14:paraId="457D065F" w14:textId="77777777" w:rsidR="00F80475" w:rsidRPr="005A3173" w:rsidRDefault="0041751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14:paraId="38323D3E" w14:textId="77777777" w:rsidTr="005A3173">
      <w:trPr>
        <w:trHeight w:val="151"/>
      </w:trPr>
      <w:tc>
        <w:tcPr>
          <w:tcW w:w="2250" w:type="pct"/>
          <w:tcBorders>
            <w:top w:val="nil"/>
            <w:left w:val="nil"/>
            <w:bottom w:val="single" w:sz="4" w:space="0" w:color="4F81BD"/>
            <w:right w:val="nil"/>
          </w:tcBorders>
        </w:tcPr>
        <w:p w14:paraId="4E09B6AC" w14:textId="77777777" w:rsidR="00F80475" w:rsidRPr="005A3173" w:rsidRDefault="00417510" w:rsidP="005A3173">
          <w:pPr>
            <w:pStyle w:val="Header"/>
            <w:spacing w:line="276" w:lineRule="auto"/>
            <w:rPr>
              <w:rFonts w:eastAsia="MS Gothic"/>
              <w:b/>
              <w:bCs/>
              <w:color w:val="4F81BD"/>
            </w:rPr>
          </w:pPr>
        </w:p>
      </w:tc>
      <w:tc>
        <w:tcPr>
          <w:tcW w:w="500" w:type="pct"/>
          <w:vMerge w:val="restart"/>
          <w:noWrap/>
          <w:vAlign w:val="center"/>
          <w:hideMark/>
        </w:tcPr>
        <w:p w14:paraId="65B1B8B4" w14:textId="77777777" w:rsidR="00F80475" w:rsidRPr="005A3173" w:rsidRDefault="00BB158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E07B185" w14:textId="77777777" w:rsidR="00F80475" w:rsidRPr="005A3173" w:rsidRDefault="00417510" w:rsidP="005A3173">
          <w:pPr>
            <w:pStyle w:val="Header"/>
            <w:spacing w:line="276" w:lineRule="auto"/>
            <w:rPr>
              <w:rFonts w:eastAsia="MS Gothic"/>
              <w:b/>
              <w:bCs/>
              <w:color w:val="4F81BD"/>
            </w:rPr>
          </w:pPr>
        </w:p>
      </w:tc>
    </w:tr>
    <w:tr w:rsidR="00F80475" w14:paraId="017B22FE" w14:textId="77777777" w:rsidTr="005A3173">
      <w:trPr>
        <w:trHeight w:val="150"/>
      </w:trPr>
      <w:tc>
        <w:tcPr>
          <w:tcW w:w="2250" w:type="pct"/>
          <w:tcBorders>
            <w:top w:val="single" w:sz="4" w:space="0" w:color="4F81BD"/>
            <w:left w:val="nil"/>
            <w:bottom w:val="nil"/>
            <w:right w:val="nil"/>
          </w:tcBorders>
        </w:tcPr>
        <w:p w14:paraId="7A644C29" w14:textId="77777777" w:rsidR="00F80475" w:rsidRPr="005A3173" w:rsidRDefault="00417510" w:rsidP="005A3173">
          <w:pPr>
            <w:pStyle w:val="Header"/>
            <w:spacing w:line="276" w:lineRule="auto"/>
            <w:rPr>
              <w:rFonts w:eastAsia="MS Gothic"/>
              <w:b/>
              <w:bCs/>
              <w:color w:val="4F81BD"/>
            </w:rPr>
          </w:pPr>
        </w:p>
      </w:tc>
      <w:tc>
        <w:tcPr>
          <w:tcW w:w="0" w:type="auto"/>
          <w:vMerge/>
          <w:vAlign w:val="center"/>
          <w:hideMark/>
        </w:tcPr>
        <w:p w14:paraId="74CABC86" w14:textId="77777777" w:rsidR="00F80475" w:rsidRPr="005A3173" w:rsidRDefault="00417510" w:rsidP="005A3173">
          <w:pPr>
            <w:rPr>
              <w:color w:val="365F91"/>
              <w:sz w:val="22"/>
              <w:szCs w:val="22"/>
            </w:rPr>
          </w:pPr>
        </w:p>
      </w:tc>
      <w:tc>
        <w:tcPr>
          <w:tcW w:w="2250" w:type="pct"/>
          <w:tcBorders>
            <w:top w:val="single" w:sz="4" w:space="0" w:color="4F81BD"/>
            <w:left w:val="nil"/>
            <w:bottom w:val="nil"/>
            <w:right w:val="nil"/>
          </w:tcBorders>
        </w:tcPr>
        <w:p w14:paraId="20AF55CB" w14:textId="77777777" w:rsidR="00F80475" w:rsidRPr="005A3173" w:rsidRDefault="00417510" w:rsidP="005A3173">
          <w:pPr>
            <w:pStyle w:val="Header"/>
            <w:spacing w:line="276" w:lineRule="auto"/>
            <w:rPr>
              <w:rFonts w:eastAsia="MS Gothic"/>
              <w:b/>
              <w:bCs/>
              <w:color w:val="4F81BD"/>
            </w:rPr>
          </w:pPr>
        </w:p>
      </w:tc>
    </w:tr>
  </w:tbl>
  <w:p w14:paraId="6BFA205F" w14:textId="77777777" w:rsidR="00F80475" w:rsidRPr="007C0F57" w:rsidRDefault="00BB158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75B8BBE5" w14:textId="77777777" w:rsidR="00F80475" w:rsidRPr="007C0F57" w:rsidRDefault="00BB158D" w:rsidP="007C0F57">
    <w:pPr>
      <w:pStyle w:val="Footer"/>
      <w:jc w:val="center"/>
      <w:rPr>
        <w:b/>
        <w:i/>
        <w:sz w:val="20"/>
        <w:szCs w:val="20"/>
      </w:rPr>
    </w:pPr>
    <w:r w:rsidRPr="007C0F57">
      <w:rPr>
        <w:b/>
        <w:i/>
        <w:sz w:val="20"/>
        <w:szCs w:val="20"/>
      </w:rPr>
      <w:t>Commercial-in-Confidence</w:t>
    </w:r>
  </w:p>
  <w:p w14:paraId="4B0D2E69" w14:textId="77777777" w:rsidR="00F80475" w:rsidRDefault="004175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1730F" w14:textId="77777777" w:rsidR="007637E5" w:rsidRDefault="007637E5" w:rsidP="007637E5">
      <w:r>
        <w:separator/>
      </w:r>
    </w:p>
  </w:footnote>
  <w:footnote w:type="continuationSeparator" w:id="0">
    <w:p w14:paraId="2D840D71" w14:textId="77777777" w:rsidR="007637E5" w:rsidRDefault="007637E5" w:rsidP="0076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14:paraId="213F2AF7" w14:textId="77777777" w:rsidTr="00A06225">
      <w:trPr>
        <w:trHeight w:val="151"/>
      </w:trPr>
      <w:tc>
        <w:tcPr>
          <w:tcW w:w="2389" w:type="pct"/>
          <w:tcBorders>
            <w:top w:val="nil"/>
            <w:left w:val="nil"/>
            <w:bottom w:val="single" w:sz="4" w:space="0" w:color="4F81BD"/>
            <w:right w:val="nil"/>
          </w:tcBorders>
        </w:tcPr>
        <w:p w14:paraId="4ABED3B8" w14:textId="77777777" w:rsidR="00F80475" w:rsidRPr="00A06225" w:rsidRDefault="00417510">
          <w:pPr>
            <w:pStyle w:val="Header"/>
            <w:spacing w:line="276" w:lineRule="auto"/>
            <w:rPr>
              <w:rFonts w:ascii="Cambria" w:eastAsia="MS Gothic" w:hAnsi="Cambria"/>
              <w:b/>
              <w:bCs/>
              <w:color w:val="4F81BD"/>
            </w:rPr>
          </w:pPr>
        </w:p>
      </w:tc>
      <w:tc>
        <w:tcPr>
          <w:tcW w:w="333" w:type="pct"/>
          <w:vMerge w:val="restart"/>
          <w:noWrap/>
          <w:vAlign w:val="center"/>
          <w:hideMark/>
        </w:tcPr>
        <w:p w14:paraId="15CD1496" w14:textId="77777777" w:rsidR="00F80475" w:rsidRPr="00A06225" w:rsidRDefault="00BB158D" w:rsidP="00A06225">
          <w:pPr>
            <w:pStyle w:val="MediumGrid21"/>
            <w:rPr>
              <w:rFonts w:ascii="Cambria" w:hAnsi="Cambria"/>
              <w:color w:val="4F81BD"/>
            </w:rPr>
          </w:pPr>
          <w:r w:rsidRPr="00A06225">
            <w:rPr>
              <w:rFonts w:ascii="Cambria" w:hAnsi="Cambria"/>
              <w:color w:val="4F81BD"/>
            </w:rPr>
            <w:t>[Type text]</w:t>
          </w:r>
        </w:p>
      </w:tc>
      <w:tc>
        <w:tcPr>
          <w:tcW w:w="2278" w:type="pct"/>
          <w:tcBorders>
            <w:top w:val="nil"/>
            <w:left w:val="nil"/>
            <w:bottom w:val="single" w:sz="4" w:space="0" w:color="4F81BD"/>
            <w:right w:val="nil"/>
          </w:tcBorders>
        </w:tcPr>
        <w:p w14:paraId="779B70B1" w14:textId="77777777" w:rsidR="00F80475" w:rsidRPr="00A06225" w:rsidRDefault="00417510">
          <w:pPr>
            <w:pStyle w:val="Header"/>
            <w:spacing w:line="276" w:lineRule="auto"/>
            <w:rPr>
              <w:rFonts w:ascii="Cambria" w:eastAsia="MS Gothic" w:hAnsi="Cambria"/>
              <w:b/>
              <w:bCs/>
              <w:color w:val="4F81BD"/>
            </w:rPr>
          </w:pPr>
        </w:p>
      </w:tc>
    </w:tr>
    <w:tr w:rsidR="00F80475" w:rsidRPr="008E0D90" w14:paraId="63087677" w14:textId="77777777" w:rsidTr="00A06225">
      <w:trPr>
        <w:trHeight w:val="150"/>
      </w:trPr>
      <w:tc>
        <w:tcPr>
          <w:tcW w:w="2389" w:type="pct"/>
          <w:tcBorders>
            <w:top w:val="single" w:sz="4" w:space="0" w:color="4F81BD"/>
            <w:left w:val="nil"/>
            <w:bottom w:val="nil"/>
            <w:right w:val="nil"/>
          </w:tcBorders>
        </w:tcPr>
        <w:p w14:paraId="0F601888" w14:textId="77777777" w:rsidR="00F80475" w:rsidRPr="00A06225" w:rsidRDefault="00417510">
          <w:pPr>
            <w:pStyle w:val="Header"/>
            <w:spacing w:line="276" w:lineRule="auto"/>
            <w:rPr>
              <w:rFonts w:ascii="Cambria" w:eastAsia="MS Gothic" w:hAnsi="Cambria"/>
              <w:b/>
              <w:bCs/>
              <w:color w:val="4F81BD"/>
            </w:rPr>
          </w:pPr>
        </w:p>
      </w:tc>
      <w:tc>
        <w:tcPr>
          <w:tcW w:w="0" w:type="auto"/>
          <w:vMerge/>
          <w:vAlign w:val="center"/>
          <w:hideMark/>
        </w:tcPr>
        <w:p w14:paraId="7499C1DD" w14:textId="77777777" w:rsidR="00F80475" w:rsidRPr="00A06225" w:rsidRDefault="00417510">
          <w:pPr>
            <w:rPr>
              <w:rFonts w:ascii="Cambria" w:hAnsi="Cambria"/>
              <w:color w:val="4F81BD"/>
              <w:sz w:val="22"/>
              <w:szCs w:val="22"/>
            </w:rPr>
          </w:pPr>
        </w:p>
      </w:tc>
      <w:tc>
        <w:tcPr>
          <w:tcW w:w="2278" w:type="pct"/>
          <w:tcBorders>
            <w:top w:val="single" w:sz="4" w:space="0" w:color="4F81BD"/>
            <w:left w:val="nil"/>
            <w:bottom w:val="nil"/>
            <w:right w:val="nil"/>
          </w:tcBorders>
        </w:tcPr>
        <w:p w14:paraId="49AF3EC9" w14:textId="77777777" w:rsidR="00F80475" w:rsidRPr="00A06225" w:rsidRDefault="00417510">
          <w:pPr>
            <w:pStyle w:val="Header"/>
            <w:spacing w:line="276" w:lineRule="auto"/>
            <w:rPr>
              <w:rFonts w:ascii="Cambria" w:eastAsia="MS Gothic" w:hAnsi="Cambria"/>
              <w:b/>
              <w:bCs/>
              <w:color w:val="4F81BD"/>
            </w:rPr>
          </w:pPr>
        </w:p>
      </w:tc>
    </w:tr>
  </w:tbl>
  <w:p w14:paraId="56B59E14" w14:textId="77777777" w:rsidR="00F80475" w:rsidRDefault="00417510">
    <w:pPr>
      <w:pStyle w:val="Header"/>
    </w:pPr>
  </w:p>
  <w:p w14:paraId="107E3FDB" w14:textId="77777777" w:rsidR="00F80475" w:rsidRDefault="0041751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CF07" w14:textId="16496613" w:rsidR="000771F2" w:rsidRPr="00056684" w:rsidRDefault="00DB3B6A" w:rsidP="000771F2">
    <w:pPr>
      <w:pStyle w:val="Header"/>
      <w:ind w:left="360"/>
      <w:rPr>
        <w:rFonts w:asciiTheme="minorHAnsi" w:hAnsiTheme="minorHAnsi" w:cs="Arial"/>
        <w:i/>
        <w:color w:val="808080"/>
      </w:rPr>
    </w:pPr>
    <w:r>
      <w:rPr>
        <w:rFonts w:asciiTheme="minorHAnsi" w:hAnsiTheme="minorHAnsi" w:cs="Arial"/>
        <w:i/>
        <w:color w:val="808080"/>
      </w:rPr>
      <w:t>Public Summary Document</w:t>
    </w:r>
    <w:r w:rsidR="000D6C60">
      <w:rPr>
        <w:rFonts w:asciiTheme="minorHAnsi" w:hAnsiTheme="minorHAnsi" w:cs="Arial"/>
        <w:i/>
        <w:color w:val="808080"/>
      </w:rPr>
      <w:t xml:space="preserve"> </w:t>
    </w:r>
    <w:r w:rsidR="000771F2" w:rsidRPr="00056684">
      <w:rPr>
        <w:rFonts w:asciiTheme="minorHAnsi" w:hAnsiTheme="minorHAnsi" w:cs="Arial"/>
        <w:i/>
        <w:color w:val="808080"/>
      </w:rPr>
      <w:t xml:space="preserve">– </w:t>
    </w:r>
    <w:r w:rsidR="000771F2">
      <w:rPr>
        <w:rFonts w:asciiTheme="minorHAnsi" w:hAnsiTheme="minorHAnsi" w:cs="Arial"/>
        <w:i/>
        <w:color w:val="808080"/>
      </w:rPr>
      <w:t>July 2020</w:t>
    </w:r>
    <w:r w:rsidR="000771F2" w:rsidRPr="00056684">
      <w:rPr>
        <w:rFonts w:asciiTheme="minorHAnsi" w:hAnsiTheme="minorHAnsi" w:cs="Arial"/>
        <w:i/>
        <w:color w:val="808080"/>
      </w:rPr>
      <w:t xml:space="preserve"> PBAC Meeting</w:t>
    </w:r>
  </w:p>
  <w:p w14:paraId="322DB128" w14:textId="77777777" w:rsidR="00F80475" w:rsidRDefault="00417510"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6DB0" w14:textId="77777777" w:rsidR="00232437" w:rsidRDefault="00232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AC68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9F4054"/>
    <w:multiLevelType w:val="multilevel"/>
    <w:tmpl w:val="17AE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660980"/>
    <w:multiLevelType w:val="hybridMultilevel"/>
    <w:tmpl w:val="3200A3EA"/>
    <w:lvl w:ilvl="0" w:tplc="7DE0801C">
      <w:start w:val="2"/>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346AD7"/>
    <w:multiLevelType w:val="hybridMultilevel"/>
    <w:tmpl w:val="0E704954"/>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8F37348"/>
    <w:multiLevelType w:val="hybridMultilevel"/>
    <w:tmpl w:val="BB3C5FF8"/>
    <w:lvl w:ilvl="0" w:tplc="0C090001">
      <w:start w:val="1"/>
      <w:numFmt w:val="bullet"/>
      <w:lvlText w:val=""/>
      <w:lvlJc w:val="left"/>
      <w:pPr>
        <w:ind w:left="1440" w:hanging="360"/>
      </w:pPr>
      <w:rPr>
        <w:rFonts w:ascii="Symbol" w:hAnsi="Symbol" w:hint="default"/>
      </w:rPr>
    </w:lvl>
    <w:lvl w:ilvl="1" w:tplc="0C090003" w:tentative="1">
      <w:start w:val="1"/>
      <w:numFmt w:val="bullet"/>
      <w:pStyle w:val="3-BodyTex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9AC21F6"/>
    <w:multiLevelType w:val="multilevel"/>
    <w:tmpl w:val="36A8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710A4"/>
    <w:multiLevelType w:val="hybridMultilevel"/>
    <w:tmpl w:val="9D4CF2C8"/>
    <w:lvl w:ilvl="0" w:tplc="4A96AD60">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756D91"/>
    <w:multiLevelType w:val="multilevel"/>
    <w:tmpl w:val="50568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3B78BD"/>
    <w:multiLevelType w:val="hybridMultilevel"/>
    <w:tmpl w:val="3F32B982"/>
    <w:lvl w:ilvl="0" w:tplc="27D8E2F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4D033C"/>
    <w:multiLevelType w:val="multilevel"/>
    <w:tmpl w:val="BB3473EA"/>
    <w:lvl w:ilvl="0">
      <w:start w:val="1"/>
      <w:numFmt w:val="decimal"/>
      <w:pStyle w:val="2-SectionHeading"/>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7"/>
  </w:num>
  <w:num w:numId="3">
    <w:abstractNumId w:val="9"/>
  </w:num>
  <w:num w:numId="4">
    <w:abstractNumId w:val="10"/>
  </w:num>
  <w:num w:numId="5">
    <w:abstractNumId w:val="3"/>
  </w:num>
  <w:num w:numId="6">
    <w:abstractNumId w:val="16"/>
  </w:num>
  <w:num w:numId="7">
    <w:abstractNumId w:val="0"/>
  </w:num>
  <w:num w:numId="8">
    <w:abstractNumId w:val="8"/>
  </w:num>
  <w:num w:numId="9">
    <w:abstractNumId w:val="16"/>
  </w:num>
  <w:num w:numId="10">
    <w:abstractNumId w:val="16"/>
  </w:num>
  <w:num w:numId="11">
    <w:abstractNumId w:val="14"/>
  </w:num>
  <w:num w:numId="12">
    <w:abstractNumId w:val="15"/>
  </w:num>
  <w:num w:numId="13">
    <w:abstractNumId w:val="11"/>
  </w:num>
  <w:num w:numId="14">
    <w:abstractNumId w:val="12"/>
  </w:num>
  <w:num w:numId="15">
    <w:abstractNumId w:val="13"/>
  </w:num>
  <w:num w:numId="16">
    <w:abstractNumId w:val="2"/>
  </w:num>
  <w:num w:numId="17">
    <w:abstractNumId w:val="1"/>
  </w:num>
  <w:num w:numId="18">
    <w:abstractNumId w:val="5"/>
  </w:num>
  <w:num w:numId="19">
    <w:abstractNumId w:val="6"/>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E5"/>
    <w:rsid w:val="00011FA0"/>
    <w:rsid w:val="00017CBA"/>
    <w:rsid w:val="0003348A"/>
    <w:rsid w:val="00064961"/>
    <w:rsid w:val="000771F2"/>
    <w:rsid w:val="00077A69"/>
    <w:rsid w:val="000D6161"/>
    <w:rsid w:val="000D6C60"/>
    <w:rsid w:val="00141050"/>
    <w:rsid w:val="00163D9B"/>
    <w:rsid w:val="00165C14"/>
    <w:rsid w:val="00171B50"/>
    <w:rsid w:val="001B74F0"/>
    <w:rsid w:val="001C56F8"/>
    <w:rsid w:val="001F7B9C"/>
    <w:rsid w:val="00232437"/>
    <w:rsid w:val="002374DC"/>
    <w:rsid w:val="0023765E"/>
    <w:rsid w:val="0024029B"/>
    <w:rsid w:val="002704E3"/>
    <w:rsid w:val="002B19AE"/>
    <w:rsid w:val="002E6012"/>
    <w:rsid w:val="00300FF2"/>
    <w:rsid w:val="00383FD2"/>
    <w:rsid w:val="00417510"/>
    <w:rsid w:val="00471179"/>
    <w:rsid w:val="00490723"/>
    <w:rsid w:val="00491D53"/>
    <w:rsid w:val="0049749B"/>
    <w:rsid w:val="004B5F24"/>
    <w:rsid w:val="0050551E"/>
    <w:rsid w:val="00526B1C"/>
    <w:rsid w:val="00547DD9"/>
    <w:rsid w:val="005B1E88"/>
    <w:rsid w:val="005D6A4A"/>
    <w:rsid w:val="0061448B"/>
    <w:rsid w:val="00660D2D"/>
    <w:rsid w:val="00683983"/>
    <w:rsid w:val="006C1AB1"/>
    <w:rsid w:val="006C6E56"/>
    <w:rsid w:val="0073440A"/>
    <w:rsid w:val="0073545C"/>
    <w:rsid w:val="0075491C"/>
    <w:rsid w:val="00761AE6"/>
    <w:rsid w:val="007637E5"/>
    <w:rsid w:val="00776C4D"/>
    <w:rsid w:val="007D6BE5"/>
    <w:rsid w:val="0081296D"/>
    <w:rsid w:val="00835C73"/>
    <w:rsid w:val="00844990"/>
    <w:rsid w:val="00880C9F"/>
    <w:rsid w:val="00885073"/>
    <w:rsid w:val="008C306E"/>
    <w:rsid w:val="00A56093"/>
    <w:rsid w:val="00A73995"/>
    <w:rsid w:val="00A82B33"/>
    <w:rsid w:val="00AA0C35"/>
    <w:rsid w:val="00AB1F59"/>
    <w:rsid w:val="00B0673B"/>
    <w:rsid w:val="00B33344"/>
    <w:rsid w:val="00B45C43"/>
    <w:rsid w:val="00B468D1"/>
    <w:rsid w:val="00B529D7"/>
    <w:rsid w:val="00BB158D"/>
    <w:rsid w:val="00BC1C58"/>
    <w:rsid w:val="00C64D95"/>
    <w:rsid w:val="00C72470"/>
    <w:rsid w:val="00CA175A"/>
    <w:rsid w:val="00CC2824"/>
    <w:rsid w:val="00CC7159"/>
    <w:rsid w:val="00CD1704"/>
    <w:rsid w:val="00CD171F"/>
    <w:rsid w:val="00CF136D"/>
    <w:rsid w:val="00D23401"/>
    <w:rsid w:val="00D627A4"/>
    <w:rsid w:val="00D7683F"/>
    <w:rsid w:val="00D96662"/>
    <w:rsid w:val="00DA2408"/>
    <w:rsid w:val="00DB3B6A"/>
    <w:rsid w:val="00DC06FB"/>
    <w:rsid w:val="00DC4BCD"/>
    <w:rsid w:val="00DD076B"/>
    <w:rsid w:val="00DF7331"/>
    <w:rsid w:val="00E07E0D"/>
    <w:rsid w:val="00E2323F"/>
    <w:rsid w:val="00E24169"/>
    <w:rsid w:val="00E421D6"/>
    <w:rsid w:val="00E52CCF"/>
    <w:rsid w:val="00E56D8C"/>
    <w:rsid w:val="00E72C3B"/>
    <w:rsid w:val="00E82A56"/>
    <w:rsid w:val="00ED3342"/>
    <w:rsid w:val="00ED5D64"/>
    <w:rsid w:val="00EF6D6A"/>
    <w:rsid w:val="00F1027E"/>
    <w:rsid w:val="00F3584F"/>
    <w:rsid w:val="00F56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B0E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96D"/>
    <w:pPr>
      <w:jc w:val="both"/>
    </w:pPr>
    <w:rPr>
      <w:rFonts w:ascii="Calibri" w:hAnsi="Calibri"/>
      <w:sz w:val="24"/>
      <w:szCs w:val="24"/>
    </w:rPr>
  </w:style>
  <w:style w:type="paragraph" w:styleId="Heading1">
    <w:name w:val="heading 1"/>
    <w:basedOn w:val="ListParagraph"/>
    <w:next w:val="Normal"/>
    <w:link w:val="Heading1Char"/>
    <w:uiPriority w:val="1"/>
    <w:rsid w:val="007637E5"/>
    <w:pPr>
      <w:ind w:left="0"/>
      <w:outlineLvl w:val="0"/>
    </w:pPr>
    <w:rPr>
      <w:b/>
      <w:szCs w:val="22"/>
    </w:rPr>
  </w:style>
  <w:style w:type="paragraph" w:styleId="Heading2">
    <w:name w:val="heading 2"/>
    <w:aliases w:val="Subsection Headings"/>
    <w:basedOn w:val="Normal"/>
    <w:next w:val="Normal"/>
    <w:link w:val="Heading2Char"/>
    <w:uiPriority w:val="1"/>
    <w:rsid w:val="007637E5"/>
    <w:pPr>
      <w:keepNext/>
      <w:outlineLvl w:val="1"/>
    </w:pPr>
    <w:rPr>
      <w:rFonts w:ascii="Arial" w:hAnsi="Arial"/>
      <w:b/>
      <w:i/>
      <w:sz w:val="22"/>
    </w:rPr>
  </w:style>
  <w:style w:type="paragraph" w:styleId="Heading3">
    <w:name w:val="heading 3"/>
    <w:basedOn w:val="Normal"/>
    <w:next w:val="Normal"/>
    <w:link w:val="Heading3Char"/>
    <w:uiPriority w:val="9"/>
    <w:semiHidden/>
    <w:unhideWhenUsed/>
    <w:rsid w:val="008129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37E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7637E5"/>
    <w:rPr>
      <w:rFonts w:ascii="Arial" w:eastAsia="Times New Roman" w:hAnsi="Arial" w:cs="Times New Roman"/>
      <w:b/>
      <w:i/>
      <w:szCs w:val="24"/>
      <w:lang w:eastAsia="en-AU"/>
    </w:rPr>
  </w:style>
  <w:style w:type="paragraph" w:styleId="Header">
    <w:name w:val="header"/>
    <w:aliases w:val="Page Header,Header title,he=header,cntr/bld"/>
    <w:basedOn w:val="Normal"/>
    <w:link w:val="HeaderChar"/>
    <w:uiPriority w:val="99"/>
    <w:qFormat/>
    <w:rsid w:val="0081296D"/>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81296D"/>
    <w:rPr>
      <w:rFonts w:ascii="Calibri" w:hAnsi="Calibri"/>
      <w:sz w:val="24"/>
      <w:szCs w:val="24"/>
    </w:rPr>
  </w:style>
  <w:style w:type="paragraph" w:styleId="Footer">
    <w:name w:val="footer"/>
    <w:basedOn w:val="Normal"/>
    <w:link w:val="FooterChar"/>
    <w:uiPriority w:val="99"/>
    <w:rsid w:val="007637E5"/>
    <w:pPr>
      <w:tabs>
        <w:tab w:val="center" w:pos="4153"/>
        <w:tab w:val="right" w:pos="8306"/>
      </w:tabs>
    </w:pPr>
  </w:style>
  <w:style w:type="character" w:customStyle="1" w:styleId="FooterChar">
    <w:name w:val="Footer Char"/>
    <w:basedOn w:val="DefaultParagraphFont"/>
    <w:link w:val="Footer"/>
    <w:uiPriority w:val="99"/>
    <w:rsid w:val="007637E5"/>
    <w:rPr>
      <w:rFonts w:ascii="Times New Roman" w:eastAsia="Times New Roman" w:hAnsi="Times New Roman" w:cs="Times New Roman"/>
      <w:sz w:val="24"/>
      <w:szCs w:val="24"/>
      <w:lang w:eastAsia="en-AU"/>
    </w:rPr>
  </w:style>
  <w:style w:type="character" w:styleId="PageNumber">
    <w:name w:val="page number"/>
    <w:basedOn w:val="DefaultParagraphFont"/>
    <w:rsid w:val="007637E5"/>
  </w:style>
  <w:style w:type="table" w:styleId="TableGrid">
    <w:name w:val="Table Grid"/>
    <w:basedOn w:val="TableNormal"/>
    <w:uiPriority w:val="59"/>
    <w:rsid w:val="007637E5"/>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rsid w:val="007637E5"/>
    <w:rPr>
      <w:rFonts w:ascii="PMingLiU" w:eastAsia="MS Mincho" w:hAnsi="PMingLiU"/>
      <w:lang w:val="en-US"/>
    </w:rPr>
  </w:style>
  <w:style w:type="character" w:customStyle="1" w:styleId="MediumGrid2Char">
    <w:name w:val="Medium Grid 2 Char"/>
    <w:link w:val="MediumGrid21"/>
    <w:rsid w:val="007637E5"/>
    <w:rPr>
      <w:rFonts w:ascii="PMingLiU" w:eastAsia="MS Mincho" w:hAnsi="PMingLiU" w:cs="Times New Roman"/>
      <w:lang w:val="en-US"/>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81296D"/>
    <w:pPr>
      <w:spacing w:after="120"/>
      <w:ind w:left="1134" w:hanging="357"/>
    </w:pPr>
    <w:rPr>
      <w:rFonts w:asciiTheme="minorHAnsi" w:hAnsiTheme="minorHAnsi" w:cs="Arial"/>
      <w:snapToGrid w:val="0"/>
      <w:sz w:val="24"/>
      <w:szCs w:val="24"/>
    </w:rPr>
  </w:style>
  <w:style w:type="paragraph" w:styleId="NoSpacing">
    <w:name w:val="No Spacing"/>
    <w:basedOn w:val="Normal"/>
    <w:link w:val="NoSpacingChar"/>
    <w:uiPriority w:val="1"/>
    <w:qFormat/>
    <w:rsid w:val="007637E5"/>
    <w:rPr>
      <w:rFonts w:ascii="Arial" w:hAnsi="Arial"/>
      <w:sz w:val="22"/>
      <w:szCs w:val="2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81296D"/>
    <w:rPr>
      <w:rFonts w:asciiTheme="minorHAnsi" w:hAnsiTheme="minorHAnsi" w:cs="Arial"/>
      <w:snapToGrid w:val="0"/>
      <w:sz w:val="24"/>
      <w:szCs w:val="24"/>
    </w:rPr>
  </w:style>
  <w:style w:type="paragraph" w:customStyle="1" w:styleId="2Sections">
    <w:name w:val="2. Sections"/>
    <w:qFormat/>
    <w:rsid w:val="007637E5"/>
    <w:pPr>
      <w:spacing w:before="240" w:after="120"/>
      <w:outlineLvl w:val="0"/>
    </w:pPr>
    <w:rPr>
      <w:rFonts w:cs="Arial"/>
      <w:b/>
      <w:snapToGrid w:val="0"/>
      <w:sz w:val="32"/>
      <w:szCs w:val="32"/>
    </w:rPr>
  </w:style>
  <w:style w:type="paragraph" w:customStyle="1" w:styleId="1MainTitle">
    <w:name w:val="1. Main Title"/>
    <w:basedOn w:val="Title"/>
    <w:link w:val="1MainTitleChar"/>
    <w:rsid w:val="007637E5"/>
    <w:pPr>
      <w:spacing w:before="120" w:after="160"/>
      <w:ind w:left="720" w:hanging="720"/>
      <w:outlineLvl w:val="0"/>
    </w:pPr>
    <w:rPr>
      <w:b/>
      <w:spacing w:val="5"/>
      <w:sz w:val="36"/>
      <w:szCs w:val="36"/>
    </w:rPr>
  </w:style>
  <w:style w:type="paragraph" w:customStyle="1" w:styleId="MinorOVRHeader">
    <w:name w:val="Minor OVR Header"/>
    <w:basedOn w:val="Header"/>
    <w:link w:val="MinorOVRHeaderChar"/>
    <w:rsid w:val="007637E5"/>
    <w:pPr>
      <w:jc w:val="right"/>
    </w:pPr>
    <w:rPr>
      <w:rFonts w:cs="Arial"/>
    </w:rPr>
  </w:style>
  <w:style w:type="character" w:customStyle="1" w:styleId="1MainTitleChar">
    <w:name w:val="1. Main Title Char"/>
    <w:basedOn w:val="TitleChar"/>
    <w:link w:val="1MainTitle"/>
    <w:rsid w:val="007637E5"/>
    <w:rPr>
      <w:rFonts w:asciiTheme="majorHAnsi" w:eastAsiaTheme="majorEastAsia" w:hAnsiTheme="majorHAnsi" w:cstheme="majorBidi"/>
      <w:b/>
      <w:spacing w:val="5"/>
      <w:kern w:val="28"/>
      <w:sz w:val="36"/>
      <w:szCs w:val="36"/>
      <w:lang w:eastAsia="en-AU"/>
    </w:rPr>
  </w:style>
  <w:style w:type="character" w:customStyle="1" w:styleId="MinorOVRHeaderChar">
    <w:name w:val="Minor OVR Header Char"/>
    <w:basedOn w:val="HeaderChar"/>
    <w:link w:val="MinorOVRHeader"/>
    <w:rsid w:val="007637E5"/>
    <w:rPr>
      <w:rFonts w:ascii="Times New Roman" w:eastAsia="Times New Roman" w:hAnsi="Times New Roman" w:cs="Arial"/>
      <w:sz w:val="24"/>
      <w:szCs w:val="24"/>
      <w:lang w:eastAsia="en-AU"/>
    </w:rPr>
  </w:style>
  <w:style w:type="character" w:customStyle="1" w:styleId="NoSpacingChar">
    <w:name w:val="No Spacing Char"/>
    <w:basedOn w:val="DefaultParagraphFont"/>
    <w:link w:val="NoSpacing"/>
    <w:uiPriority w:val="99"/>
    <w:rsid w:val="007637E5"/>
    <w:rPr>
      <w:rFonts w:ascii="Arial" w:eastAsia="Times New Roman" w:hAnsi="Arial" w:cs="Times New Roman"/>
      <w:lang w:eastAsia="en-AU"/>
    </w:rPr>
  </w:style>
  <w:style w:type="paragraph" w:customStyle="1" w:styleId="3Bodytext">
    <w:name w:val="3. Body text"/>
    <w:basedOn w:val="ListParagraph"/>
    <w:link w:val="3BodytextChar"/>
    <w:qFormat/>
    <w:rsid w:val="007637E5"/>
    <w:pPr>
      <w:ind w:left="0"/>
    </w:pPr>
    <w:rPr>
      <w:snapToGrid/>
    </w:rPr>
  </w:style>
  <w:style w:type="paragraph" w:customStyle="1" w:styleId="PBACFooter">
    <w:name w:val="PBAC Footer"/>
    <w:basedOn w:val="Footer"/>
    <w:link w:val="PBACFooterChar"/>
    <w:rsid w:val="007637E5"/>
    <w:pPr>
      <w:jc w:val="center"/>
    </w:pPr>
    <w:rPr>
      <w:rFonts w:ascii="Arial" w:hAnsi="Arial" w:cs="Arial"/>
      <w:b/>
      <w:sz w:val="20"/>
      <w:szCs w:val="20"/>
    </w:rPr>
  </w:style>
  <w:style w:type="character" w:customStyle="1" w:styleId="3BodytextChar">
    <w:name w:val="3. Body text Char"/>
    <w:basedOn w:val="ListParagraphChar"/>
    <w:link w:val="3Bodytext"/>
    <w:rsid w:val="007637E5"/>
    <w:rPr>
      <w:rFonts w:ascii="Arial" w:eastAsia="Times New Roman" w:hAnsi="Arial" w:cs="Arial"/>
      <w:snapToGrid/>
      <w:sz w:val="24"/>
      <w:szCs w:val="20"/>
    </w:rPr>
  </w:style>
  <w:style w:type="character" w:customStyle="1" w:styleId="PBACFooterChar">
    <w:name w:val="PBAC Footer Char"/>
    <w:basedOn w:val="FooterChar"/>
    <w:link w:val="PBACFooter"/>
    <w:rsid w:val="007637E5"/>
    <w:rPr>
      <w:rFonts w:ascii="Arial" w:eastAsia="Times New Roman" w:hAnsi="Arial" w:cs="Arial"/>
      <w:b/>
      <w:sz w:val="20"/>
      <w:szCs w:val="20"/>
      <w:lang w:eastAsia="en-AU"/>
    </w:rPr>
  </w:style>
  <w:style w:type="paragraph" w:styleId="Title">
    <w:name w:val="Title"/>
    <w:basedOn w:val="Normal"/>
    <w:next w:val="Normal"/>
    <w:link w:val="TitleChar"/>
    <w:uiPriority w:val="10"/>
    <w:rsid w:val="007637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7E5"/>
    <w:rPr>
      <w:rFonts w:asciiTheme="majorHAnsi" w:eastAsiaTheme="majorEastAsia" w:hAnsiTheme="majorHAnsi" w:cstheme="majorBidi"/>
      <w:spacing w:val="-10"/>
      <w:kern w:val="28"/>
      <w:sz w:val="56"/>
      <w:szCs w:val="56"/>
      <w:lang w:eastAsia="en-AU"/>
    </w:rPr>
  </w:style>
  <w:style w:type="paragraph" w:styleId="NormalWeb">
    <w:name w:val="Normal (Web)"/>
    <w:basedOn w:val="Normal"/>
    <w:uiPriority w:val="99"/>
    <w:semiHidden/>
    <w:unhideWhenUsed/>
    <w:rsid w:val="001F7B9C"/>
    <w:pPr>
      <w:spacing w:after="150"/>
    </w:pPr>
    <w:rPr>
      <w:color w:val="222222"/>
    </w:rPr>
  </w:style>
  <w:style w:type="paragraph" w:customStyle="1" w:styleId="Default">
    <w:name w:val="Default"/>
    <w:rsid w:val="00163D9B"/>
    <w:pPr>
      <w:autoSpaceDE w:val="0"/>
      <w:autoSpaceDN w:val="0"/>
      <w:adjustRightInd w:val="0"/>
    </w:pPr>
    <w:rPr>
      <w:rFonts w:ascii="Calibri" w:hAnsi="Calibri" w:cs="Calibri"/>
      <w:color w:val="000000"/>
      <w:sz w:val="24"/>
      <w:szCs w:val="24"/>
    </w:rPr>
  </w:style>
  <w:style w:type="paragraph" w:customStyle="1" w:styleId="4-SubsectionHeading">
    <w:name w:val="4-Subsection Heading"/>
    <w:basedOn w:val="Heading2"/>
    <w:next w:val="3-BodyText"/>
    <w:link w:val="4-SubsectionHeadingChar"/>
    <w:qFormat/>
    <w:rsid w:val="0081296D"/>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81296D"/>
    <w:rPr>
      <w:rFonts w:asciiTheme="minorHAnsi" w:eastAsiaTheme="majorEastAsia" w:hAnsiTheme="minorHAnsi" w:cstheme="majorBidi"/>
      <w:b/>
      <w:i/>
      <w:spacing w:val="5"/>
      <w:kern w:val="28"/>
      <w:sz w:val="28"/>
      <w:szCs w:val="36"/>
      <w:lang w:eastAsia="en-AU"/>
    </w:rPr>
  </w:style>
  <w:style w:type="paragraph" w:customStyle="1" w:styleId="2-SectionHeading">
    <w:name w:val="2-Section Heading"/>
    <w:qFormat/>
    <w:rsid w:val="0081296D"/>
    <w:pPr>
      <w:keepNext/>
      <w:numPr>
        <w:numId w:val="10"/>
      </w:numPr>
      <w:spacing w:before="240" w:after="120"/>
      <w:outlineLvl w:val="0"/>
    </w:pPr>
    <w:rPr>
      <w:rFonts w:asciiTheme="minorHAnsi" w:hAnsiTheme="minorHAnsi" w:cs="Arial"/>
      <w:b/>
      <w:snapToGrid w:val="0"/>
      <w:sz w:val="32"/>
      <w:szCs w:val="32"/>
    </w:rPr>
  </w:style>
  <w:style w:type="character" w:styleId="CommentReference">
    <w:name w:val="annotation reference"/>
    <w:basedOn w:val="DefaultParagraphFont"/>
    <w:uiPriority w:val="99"/>
    <w:unhideWhenUsed/>
    <w:rsid w:val="00F3584F"/>
    <w:rPr>
      <w:sz w:val="16"/>
      <w:szCs w:val="16"/>
    </w:rPr>
  </w:style>
  <w:style w:type="paragraph" w:styleId="CommentText">
    <w:name w:val="annotation text"/>
    <w:basedOn w:val="Normal"/>
    <w:link w:val="CommentTextChar"/>
    <w:unhideWhenUsed/>
    <w:rsid w:val="00F3584F"/>
    <w:rPr>
      <w:sz w:val="20"/>
      <w:szCs w:val="20"/>
    </w:rPr>
  </w:style>
  <w:style w:type="character" w:customStyle="1" w:styleId="CommentTextChar">
    <w:name w:val="Comment Text Char"/>
    <w:basedOn w:val="DefaultParagraphFont"/>
    <w:link w:val="CommentText"/>
    <w:rsid w:val="00F358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3584F"/>
    <w:rPr>
      <w:b/>
      <w:bCs/>
    </w:rPr>
  </w:style>
  <w:style w:type="character" w:customStyle="1" w:styleId="CommentSubjectChar">
    <w:name w:val="Comment Subject Char"/>
    <w:basedOn w:val="CommentTextChar"/>
    <w:link w:val="CommentSubject"/>
    <w:uiPriority w:val="99"/>
    <w:semiHidden/>
    <w:rsid w:val="00F358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35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4F"/>
    <w:rPr>
      <w:rFonts w:ascii="Segoe UI" w:eastAsia="Times New Roman" w:hAnsi="Segoe UI" w:cs="Segoe UI"/>
      <w:sz w:val="18"/>
      <w:szCs w:val="18"/>
      <w:lang w:eastAsia="en-AU"/>
    </w:rPr>
  </w:style>
  <w:style w:type="paragraph" w:customStyle="1" w:styleId="TableText">
    <w:name w:val="Table Text"/>
    <w:link w:val="TableTextChar"/>
    <w:qFormat/>
    <w:rsid w:val="0081296D"/>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81296D"/>
    <w:rPr>
      <w:rFonts w:ascii="Arial Narrow" w:eastAsiaTheme="majorEastAsia" w:hAnsi="Arial Narrow" w:cstheme="majorBidi"/>
      <w:bCs/>
      <w:szCs w:val="24"/>
    </w:rPr>
  </w:style>
  <w:style w:type="paragraph" w:customStyle="1" w:styleId="GeneralHeading">
    <w:name w:val="General Heading"/>
    <w:qFormat/>
    <w:rsid w:val="0081296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81296D"/>
    <w:pPr>
      <w:keepNext/>
    </w:pPr>
    <w:rPr>
      <w:rFonts w:ascii="Arial Narrow" w:eastAsiaTheme="majorEastAsia" w:hAnsi="Arial Narrow"/>
      <w:b/>
      <w:szCs w:val="24"/>
      <w:lang w:val="en-US"/>
    </w:rPr>
  </w:style>
  <w:style w:type="paragraph" w:customStyle="1" w:styleId="1-MainHeading">
    <w:name w:val="1-Main Heading"/>
    <w:link w:val="1-MainHeadingChar"/>
    <w:qFormat/>
    <w:rsid w:val="0081296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81296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81296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81296D"/>
    <w:rPr>
      <w:rFonts w:ascii="Arial Narrow" w:eastAsiaTheme="majorEastAsia" w:hAnsi="Arial Narrow" w:cstheme="majorBidi"/>
      <w:b/>
      <w:bCs/>
      <w:szCs w:val="24"/>
    </w:rPr>
  </w:style>
  <w:style w:type="paragraph" w:customStyle="1" w:styleId="3-BodyText">
    <w:name w:val="3-Body Text"/>
    <w:link w:val="3-BodyTextChar"/>
    <w:qFormat/>
    <w:rsid w:val="0081296D"/>
    <w:pPr>
      <w:numPr>
        <w:ilvl w:val="1"/>
        <w:numId w:val="3"/>
      </w:numPr>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81296D"/>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81296D"/>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81296D"/>
    <w:rPr>
      <w:rFonts w:ascii="Calibri" w:hAnsi="Calibri" w:cs="Arial"/>
      <w:b/>
      <w:sz w:val="24"/>
      <w:szCs w:val="24"/>
    </w:rPr>
  </w:style>
  <w:style w:type="paragraph" w:customStyle="1" w:styleId="TableFigureFooter">
    <w:name w:val="Table/Figure Footer"/>
    <w:basedOn w:val="Normal"/>
    <w:link w:val="TableFigureFooterChar"/>
    <w:qFormat/>
    <w:rsid w:val="0081296D"/>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81296D"/>
    <w:rPr>
      <w:rFonts w:ascii="Arial Narrow" w:hAnsi="Arial Narrow" w:cs="Arial"/>
      <w:snapToGrid w:val="0"/>
      <w:sz w:val="18"/>
      <w:szCs w:val="22"/>
    </w:rPr>
  </w:style>
  <w:style w:type="paragraph" w:customStyle="1" w:styleId="5-SubsectionSubheading">
    <w:name w:val="5-Subsection Subheading"/>
    <w:basedOn w:val="Heading3"/>
    <w:next w:val="3-BodyText"/>
    <w:link w:val="5-SubsectionSubheadingChar"/>
    <w:qFormat/>
    <w:rsid w:val="0081296D"/>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81296D"/>
    <w:rPr>
      <w:rFonts w:asciiTheme="minorHAnsi" w:eastAsiaTheme="majorEastAsia" w:hAnsiTheme="minorHAnsi" w:cstheme="majorBidi"/>
      <w:b/>
      <w:color w:val="000000" w:themeColor="text1"/>
      <w:sz w:val="24"/>
      <w:szCs w:val="24"/>
      <w:lang w:eastAsia="en-AU"/>
    </w:rPr>
  </w:style>
  <w:style w:type="character" w:customStyle="1" w:styleId="Heading3Char">
    <w:name w:val="Heading 3 Char"/>
    <w:basedOn w:val="DefaultParagraphFont"/>
    <w:link w:val="Heading3"/>
    <w:uiPriority w:val="9"/>
    <w:semiHidden/>
    <w:rsid w:val="0081296D"/>
    <w:rPr>
      <w:rFonts w:asciiTheme="majorHAnsi" w:eastAsiaTheme="majorEastAsia" w:hAnsiTheme="majorHAnsi" w:cstheme="majorBidi"/>
      <w:color w:val="243F60" w:themeColor="accent1" w:themeShade="7F"/>
      <w:sz w:val="24"/>
      <w:szCs w:val="24"/>
      <w:lang w:eastAsia="en-AU"/>
    </w:rPr>
  </w:style>
  <w:style w:type="paragraph" w:styleId="ListBullet">
    <w:name w:val="List Bullet"/>
    <w:basedOn w:val="Normal"/>
    <w:uiPriority w:val="99"/>
    <w:semiHidden/>
    <w:unhideWhenUsed/>
    <w:rsid w:val="0081296D"/>
    <w:pPr>
      <w:numPr>
        <w:numId w:val="7"/>
      </w:numPr>
      <w:contextualSpacing/>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F7331"/>
    <w:pPr>
      <w:spacing w:after="160" w:line="240" w:lineRule="exact"/>
      <w:jc w:val="left"/>
    </w:pPr>
    <w:rPr>
      <w:rFonts w:ascii="Verdana" w:eastAsia="MS Mincho" w:hAnsi="Verdana" w:cs="Verdana"/>
      <w:sz w:val="20"/>
      <w:szCs w:val="20"/>
      <w:lang w:val="en-US"/>
    </w:rPr>
  </w:style>
  <w:style w:type="paragraph" w:styleId="Revision">
    <w:name w:val="Revision"/>
    <w:hidden/>
    <w:uiPriority w:val="99"/>
    <w:semiHidden/>
    <w:rsid w:val="00E2323F"/>
    <w:rPr>
      <w:rFonts w:ascii="Calibri" w:hAnsi="Calibri"/>
      <w:sz w:val="24"/>
      <w:szCs w:val="24"/>
    </w:rPr>
  </w:style>
  <w:style w:type="paragraph" w:customStyle="1" w:styleId="PBACHeading1">
    <w:name w:val="PBAC Heading 1"/>
    <w:qFormat/>
    <w:rsid w:val="000771F2"/>
    <w:pPr>
      <w:ind w:left="720" w:hanging="720"/>
    </w:pPr>
    <w:rPr>
      <w:rFonts w:ascii="Arial" w:hAnsi="Arial" w:cs="Arial"/>
      <w:b/>
      <w:snapToGrid w:val="0"/>
      <w:sz w:val="22"/>
      <w:szCs w:val="22"/>
    </w:rPr>
  </w:style>
  <w:style w:type="character" w:styleId="Hyperlink">
    <w:name w:val="Hyperlink"/>
    <w:uiPriority w:val="99"/>
    <w:rsid w:val="000771F2"/>
    <w:rPr>
      <w:color w:val="0000FF"/>
      <w:u w:val="single"/>
    </w:rPr>
  </w:style>
  <w:style w:type="paragraph" w:customStyle="1" w:styleId="Bodytextitalics">
    <w:name w:val="Body text italics"/>
    <w:basedOn w:val="BodyText"/>
    <w:qFormat/>
    <w:rsid w:val="00E56D8C"/>
    <w:rPr>
      <w:rFonts w:asciiTheme="minorHAnsi" w:eastAsiaTheme="minorHAnsi" w:hAnsiTheme="minorHAnsi" w:cstheme="minorBidi"/>
      <w:i/>
      <w:szCs w:val="22"/>
      <w:lang w:eastAsia="en-AU"/>
    </w:rPr>
  </w:style>
  <w:style w:type="paragraph" w:styleId="BodyText">
    <w:name w:val="Body Text"/>
    <w:basedOn w:val="Normal"/>
    <w:link w:val="BodyTextChar"/>
    <w:uiPriority w:val="99"/>
    <w:semiHidden/>
    <w:unhideWhenUsed/>
    <w:rsid w:val="00E56D8C"/>
    <w:pPr>
      <w:spacing w:after="120"/>
    </w:pPr>
  </w:style>
  <w:style w:type="character" w:customStyle="1" w:styleId="BodyTextChar">
    <w:name w:val="Body Text Char"/>
    <w:basedOn w:val="DefaultParagraphFont"/>
    <w:link w:val="BodyText"/>
    <w:uiPriority w:val="99"/>
    <w:semiHidden/>
    <w:rsid w:val="00E56D8C"/>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09718">
      <w:bodyDiv w:val="1"/>
      <w:marLeft w:val="0"/>
      <w:marRight w:val="0"/>
      <w:marTop w:val="0"/>
      <w:marBottom w:val="0"/>
      <w:divBdr>
        <w:top w:val="none" w:sz="0" w:space="0" w:color="auto"/>
        <w:left w:val="none" w:sz="0" w:space="0" w:color="auto"/>
        <w:bottom w:val="none" w:sz="0" w:space="0" w:color="auto"/>
        <w:right w:val="none" w:sz="0" w:space="0" w:color="auto"/>
      </w:divBdr>
      <w:divsChild>
        <w:div w:id="745030167">
          <w:marLeft w:val="0"/>
          <w:marRight w:val="0"/>
          <w:marTop w:val="0"/>
          <w:marBottom w:val="0"/>
          <w:divBdr>
            <w:top w:val="none" w:sz="0" w:space="0" w:color="auto"/>
            <w:left w:val="none" w:sz="0" w:space="0" w:color="auto"/>
            <w:bottom w:val="none" w:sz="0" w:space="0" w:color="auto"/>
            <w:right w:val="none" w:sz="0" w:space="0" w:color="auto"/>
          </w:divBdr>
          <w:divsChild>
            <w:div w:id="1208877497">
              <w:marLeft w:val="0"/>
              <w:marRight w:val="0"/>
              <w:marTop w:val="0"/>
              <w:marBottom w:val="0"/>
              <w:divBdr>
                <w:top w:val="none" w:sz="0" w:space="0" w:color="auto"/>
                <w:left w:val="none" w:sz="0" w:space="0" w:color="auto"/>
                <w:bottom w:val="none" w:sz="0" w:space="0" w:color="auto"/>
                <w:right w:val="none" w:sz="0" w:space="0" w:color="auto"/>
              </w:divBdr>
              <w:divsChild>
                <w:div w:id="336811108">
                  <w:marLeft w:val="0"/>
                  <w:marRight w:val="0"/>
                  <w:marTop w:val="0"/>
                  <w:marBottom w:val="0"/>
                  <w:divBdr>
                    <w:top w:val="none" w:sz="0" w:space="0" w:color="auto"/>
                    <w:left w:val="none" w:sz="0" w:space="0" w:color="auto"/>
                    <w:bottom w:val="none" w:sz="0" w:space="0" w:color="auto"/>
                    <w:right w:val="none" w:sz="0" w:space="0" w:color="auto"/>
                  </w:divBdr>
                  <w:divsChild>
                    <w:div w:id="16928907">
                      <w:marLeft w:val="0"/>
                      <w:marRight w:val="0"/>
                      <w:marTop w:val="0"/>
                      <w:marBottom w:val="0"/>
                      <w:divBdr>
                        <w:top w:val="none" w:sz="0" w:space="0" w:color="auto"/>
                        <w:left w:val="none" w:sz="0" w:space="0" w:color="auto"/>
                        <w:bottom w:val="none" w:sz="0" w:space="0" w:color="auto"/>
                        <w:right w:val="none" w:sz="0" w:space="0" w:color="auto"/>
                      </w:divBdr>
                      <w:divsChild>
                        <w:div w:id="599148812">
                          <w:marLeft w:val="0"/>
                          <w:marRight w:val="0"/>
                          <w:marTop w:val="0"/>
                          <w:marBottom w:val="0"/>
                          <w:divBdr>
                            <w:top w:val="none" w:sz="0" w:space="0" w:color="auto"/>
                            <w:left w:val="none" w:sz="0" w:space="0" w:color="auto"/>
                            <w:bottom w:val="none" w:sz="0" w:space="0" w:color="auto"/>
                            <w:right w:val="none" w:sz="0" w:space="0" w:color="auto"/>
                          </w:divBdr>
                          <w:divsChild>
                            <w:div w:id="7615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280464">
      <w:bodyDiv w:val="1"/>
      <w:marLeft w:val="0"/>
      <w:marRight w:val="0"/>
      <w:marTop w:val="0"/>
      <w:marBottom w:val="0"/>
      <w:divBdr>
        <w:top w:val="none" w:sz="0" w:space="0" w:color="auto"/>
        <w:left w:val="none" w:sz="0" w:space="0" w:color="auto"/>
        <w:bottom w:val="none" w:sz="0" w:space="0" w:color="auto"/>
        <w:right w:val="none" w:sz="0" w:space="0" w:color="auto"/>
      </w:divBdr>
      <w:divsChild>
        <w:div w:id="1030183162">
          <w:marLeft w:val="0"/>
          <w:marRight w:val="0"/>
          <w:marTop w:val="0"/>
          <w:marBottom w:val="0"/>
          <w:divBdr>
            <w:top w:val="none" w:sz="0" w:space="0" w:color="auto"/>
            <w:left w:val="none" w:sz="0" w:space="0" w:color="auto"/>
            <w:bottom w:val="none" w:sz="0" w:space="0" w:color="auto"/>
            <w:right w:val="none" w:sz="0" w:space="0" w:color="auto"/>
          </w:divBdr>
          <w:divsChild>
            <w:div w:id="1765495865">
              <w:marLeft w:val="0"/>
              <w:marRight w:val="0"/>
              <w:marTop w:val="0"/>
              <w:marBottom w:val="0"/>
              <w:divBdr>
                <w:top w:val="none" w:sz="0" w:space="0" w:color="auto"/>
                <w:left w:val="none" w:sz="0" w:space="0" w:color="auto"/>
                <w:bottom w:val="none" w:sz="0" w:space="0" w:color="auto"/>
                <w:right w:val="none" w:sz="0" w:space="0" w:color="auto"/>
              </w:divBdr>
              <w:divsChild>
                <w:div w:id="677004835">
                  <w:marLeft w:val="0"/>
                  <w:marRight w:val="0"/>
                  <w:marTop w:val="0"/>
                  <w:marBottom w:val="0"/>
                  <w:divBdr>
                    <w:top w:val="none" w:sz="0" w:space="0" w:color="auto"/>
                    <w:left w:val="none" w:sz="0" w:space="0" w:color="auto"/>
                    <w:bottom w:val="none" w:sz="0" w:space="0" w:color="auto"/>
                    <w:right w:val="none" w:sz="0" w:space="0" w:color="auto"/>
                  </w:divBdr>
                  <w:divsChild>
                    <w:div w:id="2064402735">
                      <w:marLeft w:val="0"/>
                      <w:marRight w:val="0"/>
                      <w:marTop w:val="0"/>
                      <w:marBottom w:val="0"/>
                      <w:divBdr>
                        <w:top w:val="none" w:sz="0" w:space="0" w:color="auto"/>
                        <w:left w:val="none" w:sz="0" w:space="0" w:color="auto"/>
                        <w:bottom w:val="none" w:sz="0" w:space="0" w:color="auto"/>
                        <w:right w:val="none" w:sz="0" w:space="0" w:color="auto"/>
                      </w:divBdr>
                      <w:divsChild>
                        <w:div w:id="692651892">
                          <w:marLeft w:val="0"/>
                          <w:marRight w:val="0"/>
                          <w:marTop w:val="0"/>
                          <w:marBottom w:val="0"/>
                          <w:divBdr>
                            <w:top w:val="none" w:sz="0" w:space="0" w:color="auto"/>
                            <w:left w:val="none" w:sz="0" w:space="0" w:color="auto"/>
                            <w:bottom w:val="none" w:sz="0" w:space="0" w:color="auto"/>
                            <w:right w:val="none" w:sz="0" w:space="0" w:color="auto"/>
                          </w:divBdr>
                          <w:divsChild>
                            <w:div w:id="2097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29333">
      <w:bodyDiv w:val="1"/>
      <w:marLeft w:val="0"/>
      <w:marRight w:val="0"/>
      <w:marTop w:val="0"/>
      <w:marBottom w:val="0"/>
      <w:divBdr>
        <w:top w:val="none" w:sz="0" w:space="0" w:color="auto"/>
        <w:left w:val="none" w:sz="0" w:space="0" w:color="auto"/>
        <w:bottom w:val="none" w:sz="0" w:space="0" w:color="auto"/>
        <w:right w:val="none" w:sz="0" w:space="0" w:color="auto"/>
      </w:divBdr>
      <w:divsChild>
        <w:div w:id="856383138">
          <w:marLeft w:val="0"/>
          <w:marRight w:val="0"/>
          <w:marTop w:val="0"/>
          <w:marBottom w:val="0"/>
          <w:divBdr>
            <w:top w:val="none" w:sz="0" w:space="0" w:color="auto"/>
            <w:left w:val="none" w:sz="0" w:space="0" w:color="auto"/>
            <w:bottom w:val="none" w:sz="0" w:space="0" w:color="auto"/>
            <w:right w:val="none" w:sz="0" w:space="0" w:color="auto"/>
          </w:divBdr>
          <w:divsChild>
            <w:div w:id="238947924">
              <w:marLeft w:val="0"/>
              <w:marRight w:val="0"/>
              <w:marTop w:val="0"/>
              <w:marBottom w:val="0"/>
              <w:divBdr>
                <w:top w:val="none" w:sz="0" w:space="0" w:color="auto"/>
                <w:left w:val="none" w:sz="0" w:space="0" w:color="auto"/>
                <w:bottom w:val="none" w:sz="0" w:space="0" w:color="auto"/>
                <w:right w:val="none" w:sz="0" w:space="0" w:color="auto"/>
              </w:divBdr>
              <w:divsChild>
                <w:div w:id="1967275316">
                  <w:marLeft w:val="0"/>
                  <w:marRight w:val="0"/>
                  <w:marTop w:val="0"/>
                  <w:marBottom w:val="0"/>
                  <w:divBdr>
                    <w:top w:val="none" w:sz="0" w:space="0" w:color="auto"/>
                    <w:left w:val="none" w:sz="0" w:space="0" w:color="auto"/>
                    <w:bottom w:val="none" w:sz="0" w:space="0" w:color="auto"/>
                    <w:right w:val="none" w:sz="0" w:space="0" w:color="auto"/>
                  </w:divBdr>
                  <w:divsChild>
                    <w:div w:id="699668488">
                      <w:marLeft w:val="0"/>
                      <w:marRight w:val="0"/>
                      <w:marTop w:val="0"/>
                      <w:marBottom w:val="0"/>
                      <w:divBdr>
                        <w:top w:val="none" w:sz="0" w:space="0" w:color="auto"/>
                        <w:left w:val="none" w:sz="0" w:space="0" w:color="auto"/>
                        <w:bottom w:val="none" w:sz="0" w:space="0" w:color="auto"/>
                        <w:right w:val="none" w:sz="0" w:space="0" w:color="auto"/>
                      </w:divBdr>
                      <w:divsChild>
                        <w:div w:id="847645207">
                          <w:marLeft w:val="0"/>
                          <w:marRight w:val="0"/>
                          <w:marTop w:val="0"/>
                          <w:marBottom w:val="0"/>
                          <w:divBdr>
                            <w:top w:val="none" w:sz="0" w:space="0" w:color="auto"/>
                            <w:left w:val="none" w:sz="0" w:space="0" w:color="auto"/>
                            <w:bottom w:val="none" w:sz="0" w:space="0" w:color="auto"/>
                            <w:right w:val="none" w:sz="0" w:space="0" w:color="auto"/>
                          </w:divBdr>
                          <w:divsChild>
                            <w:div w:id="12415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17370">
      <w:bodyDiv w:val="1"/>
      <w:marLeft w:val="0"/>
      <w:marRight w:val="0"/>
      <w:marTop w:val="0"/>
      <w:marBottom w:val="0"/>
      <w:divBdr>
        <w:top w:val="none" w:sz="0" w:space="0" w:color="auto"/>
        <w:left w:val="none" w:sz="0" w:space="0" w:color="auto"/>
        <w:bottom w:val="none" w:sz="0" w:space="0" w:color="auto"/>
        <w:right w:val="none" w:sz="0" w:space="0" w:color="auto"/>
      </w:divBdr>
    </w:div>
    <w:div w:id="999575718">
      <w:bodyDiv w:val="1"/>
      <w:marLeft w:val="0"/>
      <w:marRight w:val="0"/>
      <w:marTop w:val="0"/>
      <w:marBottom w:val="0"/>
      <w:divBdr>
        <w:top w:val="none" w:sz="0" w:space="0" w:color="auto"/>
        <w:left w:val="none" w:sz="0" w:space="0" w:color="auto"/>
        <w:bottom w:val="none" w:sz="0" w:space="0" w:color="auto"/>
        <w:right w:val="none" w:sz="0" w:space="0" w:color="auto"/>
      </w:divBdr>
    </w:div>
    <w:div w:id="1119491858">
      <w:bodyDiv w:val="1"/>
      <w:marLeft w:val="0"/>
      <w:marRight w:val="0"/>
      <w:marTop w:val="0"/>
      <w:marBottom w:val="0"/>
      <w:divBdr>
        <w:top w:val="none" w:sz="0" w:space="0" w:color="auto"/>
        <w:left w:val="none" w:sz="0" w:space="0" w:color="auto"/>
        <w:bottom w:val="none" w:sz="0" w:space="0" w:color="auto"/>
        <w:right w:val="none" w:sz="0" w:space="0" w:color="auto"/>
      </w:divBdr>
    </w:div>
    <w:div w:id="1208957895">
      <w:bodyDiv w:val="1"/>
      <w:marLeft w:val="0"/>
      <w:marRight w:val="0"/>
      <w:marTop w:val="0"/>
      <w:marBottom w:val="0"/>
      <w:divBdr>
        <w:top w:val="none" w:sz="0" w:space="0" w:color="auto"/>
        <w:left w:val="none" w:sz="0" w:space="0" w:color="auto"/>
        <w:bottom w:val="none" w:sz="0" w:space="0" w:color="auto"/>
        <w:right w:val="none" w:sz="0" w:space="0" w:color="auto"/>
      </w:divBdr>
      <w:divsChild>
        <w:div w:id="2030835922">
          <w:marLeft w:val="0"/>
          <w:marRight w:val="0"/>
          <w:marTop w:val="0"/>
          <w:marBottom w:val="0"/>
          <w:divBdr>
            <w:top w:val="none" w:sz="0" w:space="0" w:color="auto"/>
            <w:left w:val="none" w:sz="0" w:space="0" w:color="auto"/>
            <w:bottom w:val="none" w:sz="0" w:space="0" w:color="auto"/>
            <w:right w:val="none" w:sz="0" w:space="0" w:color="auto"/>
          </w:divBdr>
          <w:divsChild>
            <w:div w:id="1013066401">
              <w:marLeft w:val="0"/>
              <w:marRight w:val="0"/>
              <w:marTop w:val="0"/>
              <w:marBottom w:val="0"/>
              <w:divBdr>
                <w:top w:val="none" w:sz="0" w:space="0" w:color="auto"/>
                <w:left w:val="none" w:sz="0" w:space="0" w:color="auto"/>
                <w:bottom w:val="none" w:sz="0" w:space="0" w:color="auto"/>
                <w:right w:val="none" w:sz="0" w:space="0" w:color="auto"/>
              </w:divBdr>
              <w:divsChild>
                <w:div w:id="1212227418">
                  <w:marLeft w:val="0"/>
                  <w:marRight w:val="0"/>
                  <w:marTop w:val="0"/>
                  <w:marBottom w:val="0"/>
                  <w:divBdr>
                    <w:top w:val="none" w:sz="0" w:space="0" w:color="auto"/>
                    <w:left w:val="none" w:sz="0" w:space="0" w:color="auto"/>
                    <w:bottom w:val="none" w:sz="0" w:space="0" w:color="auto"/>
                    <w:right w:val="none" w:sz="0" w:space="0" w:color="auto"/>
                  </w:divBdr>
                  <w:divsChild>
                    <w:div w:id="1996882909">
                      <w:marLeft w:val="0"/>
                      <w:marRight w:val="0"/>
                      <w:marTop w:val="0"/>
                      <w:marBottom w:val="0"/>
                      <w:divBdr>
                        <w:top w:val="none" w:sz="0" w:space="0" w:color="auto"/>
                        <w:left w:val="none" w:sz="0" w:space="0" w:color="auto"/>
                        <w:bottom w:val="none" w:sz="0" w:space="0" w:color="auto"/>
                        <w:right w:val="none" w:sz="0" w:space="0" w:color="auto"/>
                      </w:divBdr>
                      <w:divsChild>
                        <w:div w:id="1257325843">
                          <w:marLeft w:val="0"/>
                          <w:marRight w:val="0"/>
                          <w:marTop w:val="0"/>
                          <w:marBottom w:val="0"/>
                          <w:divBdr>
                            <w:top w:val="none" w:sz="0" w:space="0" w:color="auto"/>
                            <w:left w:val="none" w:sz="0" w:space="0" w:color="auto"/>
                            <w:bottom w:val="none" w:sz="0" w:space="0" w:color="auto"/>
                            <w:right w:val="none" w:sz="0" w:space="0" w:color="auto"/>
                          </w:divBdr>
                          <w:divsChild>
                            <w:div w:id="1374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17744">
      <w:bodyDiv w:val="1"/>
      <w:marLeft w:val="0"/>
      <w:marRight w:val="0"/>
      <w:marTop w:val="0"/>
      <w:marBottom w:val="0"/>
      <w:divBdr>
        <w:top w:val="none" w:sz="0" w:space="0" w:color="auto"/>
        <w:left w:val="none" w:sz="0" w:space="0" w:color="auto"/>
        <w:bottom w:val="none" w:sz="0" w:space="0" w:color="auto"/>
        <w:right w:val="none" w:sz="0" w:space="0" w:color="auto"/>
      </w:divBdr>
      <w:divsChild>
        <w:div w:id="968972653">
          <w:marLeft w:val="0"/>
          <w:marRight w:val="0"/>
          <w:marTop w:val="0"/>
          <w:marBottom w:val="0"/>
          <w:divBdr>
            <w:top w:val="none" w:sz="0" w:space="0" w:color="auto"/>
            <w:left w:val="none" w:sz="0" w:space="0" w:color="auto"/>
            <w:bottom w:val="none" w:sz="0" w:space="0" w:color="auto"/>
            <w:right w:val="none" w:sz="0" w:space="0" w:color="auto"/>
          </w:divBdr>
          <w:divsChild>
            <w:div w:id="1661811481">
              <w:marLeft w:val="0"/>
              <w:marRight w:val="0"/>
              <w:marTop w:val="0"/>
              <w:marBottom w:val="0"/>
              <w:divBdr>
                <w:top w:val="none" w:sz="0" w:space="0" w:color="auto"/>
                <w:left w:val="none" w:sz="0" w:space="0" w:color="auto"/>
                <w:bottom w:val="none" w:sz="0" w:space="0" w:color="auto"/>
                <w:right w:val="none" w:sz="0" w:space="0" w:color="auto"/>
              </w:divBdr>
              <w:divsChild>
                <w:div w:id="595092826">
                  <w:marLeft w:val="0"/>
                  <w:marRight w:val="0"/>
                  <w:marTop w:val="0"/>
                  <w:marBottom w:val="0"/>
                  <w:divBdr>
                    <w:top w:val="none" w:sz="0" w:space="0" w:color="auto"/>
                    <w:left w:val="none" w:sz="0" w:space="0" w:color="auto"/>
                    <w:bottom w:val="none" w:sz="0" w:space="0" w:color="auto"/>
                    <w:right w:val="none" w:sz="0" w:space="0" w:color="auto"/>
                  </w:divBdr>
                  <w:divsChild>
                    <w:div w:id="1234002581">
                      <w:marLeft w:val="0"/>
                      <w:marRight w:val="0"/>
                      <w:marTop w:val="0"/>
                      <w:marBottom w:val="0"/>
                      <w:divBdr>
                        <w:top w:val="none" w:sz="0" w:space="0" w:color="auto"/>
                        <w:left w:val="none" w:sz="0" w:space="0" w:color="auto"/>
                        <w:bottom w:val="none" w:sz="0" w:space="0" w:color="auto"/>
                        <w:right w:val="none" w:sz="0" w:space="0" w:color="auto"/>
                      </w:divBdr>
                      <w:divsChild>
                        <w:div w:id="1761829199">
                          <w:marLeft w:val="0"/>
                          <w:marRight w:val="0"/>
                          <w:marTop w:val="0"/>
                          <w:marBottom w:val="0"/>
                          <w:divBdr>
                            <w:top w:val="none" w:sz="0" w:space="0" w:color="auto"/>
                            <w:left w:val="none" w:sz="0" w:space="0" w:color="auto"/>
                            <w:bottom w:val="none" w:sz="0" w:space="0" w:color="auto"/>
                            <w:right w:val="none" w:sz="0" w:space="0" w:color="auto"/>
                          </w:divBdr>
                          <w:divsChild>
                            <w:div w:id="649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C9E6-EADF-4A4E-9009-CAE16E15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2020-07-30T09:26:00Z</dcterms:created>
  <dcterms:modified xsi:type="dcterms:W3CDTF">2020-10-26T23:42:00Z</dcterms:modified>
</cp:coreProperties>
</file>