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83C8" w14:textId="24CB4FB1" w:rsidR="00BB0A26" w:rsidRDefault="00BB0A26" w:rsidP="008833DA">
      <w:pPr>
        <w:spacing w:after="120" w:line="240" w:lineRule="auto"/>
        <w:contextualSpacing/>
        <w:outlineLvl w:val="0"/>
        <w:rPr>
          <w:rFonts w:eastAsiaTheme="majorEastAsia" w:cstheme="majorBidi"/>
          <w:b/>
          <w:spacing w:val="5"/>
          <w:kern w:val="28"/>
          <w:sz w:val="36"/>
          <w:szCs w:val="36"/>
        </w:rPr>
      </w:pPr>
      <w:bookmarkStart w:id="0" w:name="_GoBack"/>
      <w:bookmarkEnd w:id="0"/>
      <w:r>
        <w:rPr>
          <w:rFonts w:eastAsiaTheme="majorEastAsia" w:cstheme="majorBidi"/>
          <w:b/>
          <w:spacing w:val="5"/>
          <w:kern w:val="28"/>
          <w:sz w:val="36"/>
          <w:szCs w:val="36"/>
        </w:rPr>
        <w:t xml:space="preserve">Agenda item </w:t>
      </w:r>
      <w:r w:rsidR="005547A1" w:rsidRPr="00BB0A26">
        <w:rPr>
          <w:rFonts w:eastAsiaTheme="majorEastAsia" w:cstheme="majorBidi"/>
          <w:b/>
          <w:spacing w:val="5"/>
          <w:kern w:val="28"/>
          <w:sz w:val="36"/>
          <w:szCs w:val="36"/>
        </w:rPr>
        <w:t>11.02</w:t>
      </w:r>
      <w:r w:rsidR="005547A1" w:rsidRPr="00BB0A26">
        <w:rPr>
          <w:rFonts w:eastAsiaTheme="majorEastAsia" w:cstheme="majorBidi"/>
          <w:b/>
          <w:spacing w:val="5"/>
          <w:kern w:val="28"/>
          <w:sz w:val="36"/>
          <w:szCs w:val="36"/>
        </w:rPr>
        <w:tab/>
      </w:r>
    </w:p>
    <w:p w14:paraId="0E5C0133" w14:textId="778E4CCB" w:rsidR="00760601" w:rsidRPr="008833DA" w:rsidRDefault="005547A1" w:rsidP="008833DA">
      <w:pPr>
        <w:spacing w:after="120" w:line="240" w:lineRule="auto"/>
        <w:contextualSpacing/>
        <w:outlineLvl w:val="0"/>
        <w:rPr>
          <w:rFonts w:eastAsiaTheme="majorEastAsia" w:cstheme="majorBidi"/>
          <w:b/>
          <w:spacing w:val="5"/>
          <w:kern w:val="28"/>
          <w:sz w:val="36"/>
          <w:szCs w:val="36"/>
        </w:rPr>
      </w:pPr>
      <w:r w:rsidRPr="00BB0A26">
        <w:rPr>
          <w:rFonts w:eastAsiaTheme="majorEastAsia" w:cstheme="majorBidi"/>
          <w:b/>
          <w:spacing w:val="5"/>
          <w:kern w:val="28"/>
          <w:sz w:val="36"/>
          <w:szCs w:val="36"/>
        </w:rPr>
        <w:t xml:space="preserve">TENOFOVIR with EMTRICITABINE, </w:t>
      </w:r>
      <w:r w:rsidRPr="00BB0A26">
        <w:rPr>
          <w:rFonts w:eastAsiaTheme="majorEastAsia" w:cstheme="majorBidi"/>
          <w:b/>
          <w:spacing w:val="5"/>
          <w:kern w:val="28"/>
          <w:sz w:val="36"/>
          <w:szCs w:val="36"/>
        </w:rPr>
        <w:br/>
        <w:t xml:space="preserve">Tablet containing tenofovir disoproxil fumarate 300 mg with emtricitabine 200 mg, </w:t>
      </w:r>
      <w:r w:rsidRPr="00BB0A26">
        <w:rPr>
          <w:rFonts w:eastAsiaTheme="majorEastAsia" w:cstheme="majorBidi"/>
          <w:b/>
          <w:spacing w:val="5"/>
          <w:kern w:val="28"/>
          <w:sz w:val="36"/>
          <w:szCs w:val="36"/>
        </w:rPr>
        <w:br/>
        <w:t xml:space="preserve">Tenofovir/Emtricitabine 300/200 APOTEX®, </w:t>
      </w:r>
      <w:r w:rsidR="00A041A9">
        <w:rPr>
          <w:rFonts w:eastAsiaTheme="majorEastAsia" w:cstheme="majorBidi"/>
          <w:b/>
          <w:spacing w:val="5"/>
          <w:kern w:val="28"/>
          <w:sz w:val="36"/>
          <w:szCs w:val="36"/>
        </w:rPr>
        <w:br/>
      </w:r>
      <w:r w:rsidRPr="00BB0A26">
        <w:rPr>
          <w:rFonts w:eastAsiaTheme="majorEastAsia" w:cstheme="majorBidi"/>
          <w:b/>
          <w:spacing w:val="5"/>
          <w:kern w:val="28"/>
          <w:sz w:val="36"/>
          <w:szCs w:val="36"/>
        </w:rPr>
        <w:t>Apotex Pty Ltd.</w:t>
      </w:r>
      <w:r w:rsidRPr="00BB0A26">
        <w:rPr>
          <w:rFonts w:eastAsiaTheme="majorEastAsia" w:cstheme="majorBidi"/>
          <w:b/>
          <w:spacing w:val="5"/>
          <w:kern w:val="28"/>
          <w:sz w:val="36"/>
          <w:szCs w:val="36"/>
        </w:rPr>
        <w:br/>
      </w:r>
      <w:r w:rsidRPr="005547A1">
        <w:rPr>
          <w:rFonts w:ascii="Calibri" w:eastAsia="Times New Roman" w:hAnsi="Calibri" w:cs="Times New Roman"/>
          <w:b/>
          <w:spacing w:val="5"/>
          <w:kern w:val="28"/>
          <w:sz w:val="36"/>
          <w:szCs w:val="36"/>
          <w:lang w:eastAsia="en-AU"/>
        </w:rPr>
        <w:br/>
      </w:r>
      <w:r w:rsidRPr="00BB0A26">
        <w:rPr>
          <w:rFonts w:eastAsiaTheme="majorEastAsia" w:cstheme="majorBidi"/>
          <w:b/>
          <w:spacing w:val="5"/>
          <w:kern w:val="28"/>
          <w:sz w:val="36"/>
          <w:szCs w:val="36"/>
        </w:rPr>
        <w:t xml:space="preserve">Tablet containing tenofovir disoproxil maleate 300 mg with emtricitabine 200 mg, </w:t>
      </w:r>
      <w:r w:rsidRPr="00BB0A26">
        <w:rPr>
          <w:rFonts w:eastAsiaTheme="majorEastAsia" w:cstheme="majorBidi"/>
          <w:b/>
          <w:spacing w:val="5"/>
          <w:kern w:val="28"/>
          <w:sz w:val="36"/>
          <w:szCs w:val="36"/>
        </w:rPr>
        <w:br/>
        <w:t xml:space="preserve">Tenofovir Disoproxil Emtricitabine Mylan 300/200®, </w:t>
      </w:r>
      <w:r w:rsidRPr="00BB0A26">
        <w:rPr>
          <w:rFonts w:eastAsiaTheme="majorEastAsia" w:cstheme="majorBidi"/>
          <w:b/>
          <w:spacing w:val="5"/>
          <w:kern w:val="28"/>
          <w:sz w:val="36"/>
          <w:szCs w:val="36"/>
        </w:rPr>
        <w:br/>
        <w:t>Alphapharm Pty Ltd. (trading as Mylan)</w:t>
      </w:r>
      <w:r w:rsidRPr="00BB0A26">
        <w:rPr>
          <w:rFonts w:eastAsiaTheme="majorEastAsia" w:cstheme="majorBidi"/>
          <w:b/>
          <w:spacing w:val="5"/>
          <w:kern w:val="28"/>
          <w:sz w:val="36"/>
          <w:szCs w:val="36"/>
        </w:rPr>
        <w:br/>
      </w:r>
      <w:r w:rsidRPr="00BB0A26">
        <w:rPr>
          <w:rFonts w:eastAsiaTheme="majorEastAsia" w:cstheme="majorBidi"/>
          <w:b/>
          <w:spacing w:val="5"/>
          <w:kern w:val="28"/>
          <w:sz w:val="36"/>
          <w:szCs w:val="36"/>
        </w:rPr>
        <w:br/>
        <w:t xml:space="preserve">Tablet containing tenofovir disoproxil phosphate 291 mg with emtricitabine 200 mg, </w:t>
      </w:r>
      <w:r w:rsidRPr="00BB0A26">
        <w:rPr>
          <w:rFonts w:eastAsiaTheme="majorEastAsia" w:cstheme="majorBidi"/>
          <w:b/>
          <w:spacing w:val="5"/>
          <w:kern w:val="28"/>
          <w:sz w:val="36"/>
          <w:szCs w:val="36"/>
        </w:rPr>
        <w:br/>
        <w:t xml:space="preserve">Tenofovir EMT GH®, </w:t>
      </w:r>
      <w:r w:rsidR="00A041A9">
        <w:rPr>
          <w:rFonts w:eastAsiaTheme="majorEastAsia" w:cstheme="majorBidi"/>
          <w:b/>
          <w:spacing w:val="5"/>
          <w:kern w:val="28"/>
          <w:sz w:val="36"/>
          <w:szCs w:val="36"/>
        </w:rPr>
        <w:br/>
      </w:r>
      <w:r w:rsidRPr="00BB0A26">
        <w:rPr>
          <w:rFonts w:eastAsiaTheme="majorEastAsia" w:cstheme="majorBidi"/>
          <w:b/>
          <w:spacing w:val="5"/>
          <w:kern w:val="28"/>
          <w:sz w:val="36"/>
          <w:szCs w:val="36"/>
        </w:rPr>
        <w:t>Generic Health Pty Ltd.</w:t>
      </w:r>
    </w:p>
    <w:p w14:paraId="04FDD9F2" w14:textId="77EC35A4" w:rsidR="00665C6E" w:rsidRDefault="00665C6E" w:rsidP="00C57ABD">
      <w:pPr>
        <w:pStyle w:val="PBACHeading1"/>
        <w:spacing w:before="240" w:after="120"/>
        <w:ind w:left="709" w:hanging="709"/>
        <w:rPr>
          <w:rFonts w:asciiTheme="minorHAnsi" w:hAnsiTheme="minorHAnsi"/>
          <w:sz w:val="32"/>
          <w:szCs w:val="32"/>
        </w:rPr>
      </w:pPr>
      <w:r>
        <w:rPr>
          <w:rFonts w:asciiTheme="minorHAnsi" w:hAnsiTheme="minorHAnsi"/>
          <w:sz w:val="32"/>
          <w:szCs w:val="32"/>
        </w:rPr>
        <w:t xml:space="preserve">Purpose </w:t>
      </w:r>
      <w:r w:rsidR="00FD125F">
        <w:rPr>
          <w:rFonts w:asciiTheme="minorHAnsi" w:hAnsiTheme="minorHAnsi"/>
          <w:sz w:val="32"/>
          <w:szCs w:val="32"/>
        </w:rPr>
        <w:t>of Item</w:t>
      </w:r>
    </w:p>
    <w:p w14:paraId="1C2CE386" w14:textId="35B72206" w:rsidR="00EA7B8C" w:rsidRPr="00D54D7B" w:rsidRDefault="00FD125F" w:rsidP="00D54D7B">
      <w:pPr>
        <w:pStyle w:val="ListParagraph"/>
        <w:numPr>
          <w:ilvl w:val="1"/>
          <w:numId w:val="4"/>
        </w:numPr>
        <w:snapToGrid w:val="0"/>
        <w:spacing w:after="120" w:line="240" w:lineRule="auto"/>
        <w:rPr>
          <w:rFonts w:cstheme="minorHAnsi"/>
        </w:rPr>
      </w:pPr>
      <w:r w:rsidRPr="00D54D7B">
        <w:rPr>
          <w:rFonts w:cstheme="minorHAnsi"/>
        </w:rPr>
        <w:t>To request PBAC consideration of t</w:t>
      </w:r>
      <w:r w:rsidR="006126A9" w:rsidRPr="00D54D7B">
        <w:rPr>
          <w:rFonts w:cstheme="minorHAnsi"/>
        </w:rPr>
        <w:t>he Australasian Society for HIV, Viral Hepatitis and Sexual Health Medicine</w:t>
      </w:r>
      <w:r w:rsidRPr="00D54D7B">
        <w:rPr>
          <w:rFonts w:cstheme="minorHAnsi"/>
        </w:rPr>
        <w:t>’s</w:t>
      </w:r>
      <w:r w:rsidR="006126A9" w:rsidRPr="00D54D7B">
        <w:rPr>
          <w:rFonts w:cstheme="minorHAnsi"/>
        </w:rPr>
        <w:t xml:space="preserve"> (ASHM</w:t>
      </w:r>
      <w:r w:rsidRPr="00D54D7B">
        <w:rPr>
          <w:rFonts w:cstheme="minorHAnsi"/>
        </w:rPr>
        <w:t>’s</w:t>
      </w:r>
      <w:r w:rsidR="006126A9" w:rsidRPr="00D54D7B">
        <w:rPr>
          <w:rFonts w:cstheme="minorHAnsi"/>
        </w:rPr>
        <w:t>)</w:t>
      </w:r>
      <w:r w:rsidR="00665C6E" w:rsidRPr="00D54D7B">
        <w:rPr>
          <w:rFonts w:cstheme="minorHAnsi"/>
        </w:rPr>
        <w:t xml:space="preserve"> </w:t>
      </w:r>
      <w:r w:rsidRPr="00D54D7B">
        <w:rPr>
          <w:rFonts w:cstheme="minorHAnsi"/>
        </w:rPr>
        <w:t xml:space="preserve">proposed change to </w:t>
      </w:r>
      <w:r w:rsidR="00EA7B8C" w:rsidRPr="006871DE">
        <w:t>Pharmaceutical Benefits Scheme (</w:t>
      </w:r>
      <w:r w:rsidR="001A548A" w:rsidRPr="006871DE">
        <w:t>PBS</w:t>
      </w:r>
      <w:r w:rsidR="00EA7B8C" w:rsidRPr="006871DE">
        <w:t>)</w:t>
      </w:r>
      <w:r w:rsidR="001A548A" w:rsidRPr="006871DE">
        <w:t xml:space="preserve"> </w:t>
      </w:r>
      <w:r w:rsidR="00DC6CDF" w:rsidRPr="006871DE">
        <w:t xml:space="preserve">prescribing </w:t>
      </w:r>
      <w:r w:rsidR="003B3510" w:rsidRPr="006871DE">
        <w:t xml:space="preserve">criteria </w:t>
      </w:r>
      <w:r w:rsidR="001A548A" w:rsidRPr="006871DE">
        <w:t xml:space="preserve">for </w:t>
      </w:r>
      <w:r w:rsidR="006166A1" w:rsidRPr="006871DE">
        <w:t xml:space="preserve">HIV Pre-Exposure Prophylaxis (PrEP) </w:t>
      </w:r>
      <w:r w:rsidR="00873AF3">
        <w:t>medications</w:t>
      </w:r>
      <w:r w:rsidR="00D54D7B">
        <w:t xml:space="preserve"> in response to the </w:t>
      </w:r>
      <w:r w:rsidR="00217D30" w:rsidRPr="00C07DEF">
        <w:rPr>
          <w:i/>
        </w:rPr>
        <w:t xml:space="preserve">2019 </w:t>
      </w:r>
      <w:r w:rsidR="001A548A" w:rsidRPr="00C07DEF">
        <w:rPr>
          <w:i/>
        </w:rPr>
        <w:t xml:space="preserve">ASHM PrEP </w:t>
      </w:r>
      <w:r w:rsidR="00605D39" w:rsidRPr="00C07DEF">
        <w:rPr>
          <w:i/>
        </w:rPr>
        <w:t>G</w:t>
      </w:r>
      <w:r w:rsidR="001A548A" w:rsidRPr="00C07DEF">
        <w:rPr>
          <w:i/>
        </w:rPr>
        <w:t>uidelines</w:t>
      </w:r>
      <w:r w:rsidR="00E81A88">
        <w:t>.</w:t>
      </w:r>
      <w:r w:rsidR="00BB0A26">
        <w:rPr>
          <w:rStyle w:val="FootnoteReference"/>
        </w:rPr>
        <w:footnoteReference w:id="1"/>
      </w:r>
    </w:p>
    <w:p w14:paraId="64F29683" w14:textId="3BC878E0" w:rsidR="001F3A1A" w:rsidRDefault="001F3A1A" w:rsidP="00AF0A0C">
      <w:pPr>
        <w:pStyle w:val="PBACHeading1"/>
        <w:spacing w:before="240" w:after="120"/>
        <w:ind w:left="709" w:hanging="709"/>
        <w:rPr>
          <w:rFonts w:asciiTheme="minorHAnsi" w:hAnsiTheme="minorHAnsi"/>
          <w:sz w:val="32"/>
          <w:szCs w:val="32"/>
        </w:rPr>
      </w:pPr>
      <w:r>
        <w:rPr>
          <w:rFonts w:asciiTheme="minorHAnsi" w:hAnsiTheme="minorHAnsi"/>
          <w:sz w:val="32"/>
          <w:szCs w:val="32"/>
        </w:rPr>
        <w:t>Background</w:t>
      </w:r>
      <w:r w:rsidR="004A4064">
        <w:rPr>
          <w:rFonts w:asciiTheme="minorHAnsi" w:hAnsiTheme="minorHAnsi"/>
          <w:sz w:val="32"/>
          <w:szCs w:val="32"/>
        </w:rPr>
        <w:t xml:space="preserve"> and current situation</w:t>
      </w:r>
    </w:p>
    <w:p w14:paraId="6392D229" w14:textId="197C3E81" w:rsidR="004A4064" w:rsidRDefault="00C0636A" w:rsidP="004A4064">
      <w:pPr>
        <w:pStyle w:val="ListParagraph"/>
        <w:numPr>
          <w:ilvl w:val="1"/>
          <w:numId w:val="4"/>
        </w:numPr>
        <w:snapToGrid w:val="0"/>
        <w:spacing w:after="120" w:line="240" w:lineRule="auto"/>
        <w:contextualSpacing w:val="0"/>
        <w:rPr>
          <w:rFonts w:cstheme="minorHAnsi"/>
        </w:rPr>
      </w:pPr>
      <w:r>
        <w:rPr>
          <w:rFonts w:cstheme="minorHAnsi"/>
        </w:rPr>
        <w:t>Tenofovir disoproxil with emtricitabine (TD/F</w:t>
      </w:r>
      <w:r w:rsidR="00760601">
        <w:rPr>
          <w:rFonts w:cstheme="minorHAnsi"/>
        </w:rPr>
        <w:t xml:space="preserve">TC) </w:t>
      </w:r>
      <w:r w:rsidR="009B3501">
        <w:rPr>
          <w:rFonts w:cstheme="minorHAnsi"/>
        </w:rPr>
        <w:t>was recommended by the PBAC in December 2017 and PB</w:t>
      </w:r>
      <w:r w:rsidR="00C07DEF">
        <w:rPr>
          <w:rFonts w:cstheme="minorHAnsi"/>
        </w:rPr>
        <w:t>S listed on 1 April 2018 for PrEP</w:t>
      </w:r>
      <w:r w:rsidR="009B3501">
        <w:rPr>
          <w:rFonts w:cstheme="minorHAnsi"/>
        </w:rPr>
        <w:t>.</w:t>
      </w:r>
    </w:p>
    <w:p w14:paraId="1EC6CB69" w14:textId="01ADD536" w:rsidR="004A4064" w:rsidRDefault="004A4064" w:rsidP="004A4064">
      <w:pPr>
        <w:pStyle w:val="ListParagraph"/>
        <w:numPr>
          <w:ilvl w:val="1"/>
          <w:numId w:val="4"/>
        </w:numPr>
        <w:snapToGrid w:val="0"/>
        <w:spacing w:after="120" w:line="240" w:lineRule="auto"/>
        <w:contextualSpacing w:val="0"/>
        <w:rPr>
          <w:rFonts w:cstheme="minorHAnsi"/>
        </w:rPr>
      </w:pPr>
      <w:r w:rsidRPr="004A4064">
        <w:rPr>
          <w:rFonts w:cstheme="minorHAnsi"/>
        </w:rPr>
        <w:t>The PBAC's recommendation for listing was based on, among other matters, its assessment of the cost-effectiveness of PrEP based on the model dev</w:t>
      </w:r>
      <w:r>
        <w:rPr>
          <w:rFonts w:cstheme="minorHAnsi"/>
        </w:rPr>
        <w:t xml:space="preserve">eloped by the Kirby Institute. </w:t>
      </w:r>
      <w:r w:rsidRPr="004A4064">
        <w:rPr>
          <w:rFonts w:cstheme="minorHAnsi"/>
        </w:rPr>
        <w:t xml:space="preserve">The results for the Kirby model were presented for a number of scenarios based on different uptake in individuals at high, medium or low risk of infection. </w:t>
      </w:r>
    </w:p>
    <w:p w14:paraId="524D0296" w14:textId="3BD9061C" w:rsidR="009B3501" w:rsidRPr="004A4064" w:rsidRDefault="00C60A5B" w:rsidP="00C07DEF">
      <w:pPr>
        <w:pStyle w:val="ListParagraph"/>
        <w:numPr>
          <w:ilvl w:val="1"/>
          <w:numId w:val="4"/>
        </w:numPr>
        <w:snapToGrid w:val="0"/>
        <w:spacing w:after="120" w:line="240" w:lineRule="auto"/>
        <w:contextualSpacing w:val="0"/>
        <w:rPr>
          <w:rFonts w:cstheme="minorHAnsi"/>
        </w:rPr>
      </w:pPr>
      <w:r>
        <w:rPr>
          <w:rFonts w:cstheme="minorHAnsi"/>
        </w:rPr>
        <w:t>At its December 2017 meeting, t</w:t>
      </w:r>
      <w:r w:rsidR="00605D39" w:rsidRPr="004A4064">
        <w:rPr>
          <w:rFonts w:cstheme="minorHAnsi"/>
        </w:rPr>
        <w:t>he PBAC advised</w:t>
      </w:r>
      <w:r w:rsidR="00041DDE">
        <w:rPr>
          <w:rFonts w:cstheme="minorHAnsi"/>
        </w:rPr>
        <w:t xml:space="preserve"> </w:t>
      </w:r>
      <w:r w:rsidR="00605D39" w:rsidRPr="004A4064">
        <w:rPr>
          <w:rFonts w:cstheme="minorHAnsi"/>
        </w:rPr>
        <w:t xml:space="preserve">that it was appropriate for </w:t>
      </w:r>
      <w:r w:rsidR="00217D30" w:rsidRPr="004A4064">
        <w:rPr>
          <w:rFonts w:cstheme="minorHAnsi"/>
        </w:rPr>
        <w:t xml:space="preserve">the </w:t>
      </w:r>
      <w:r w:rsidR="00217D30" w:rsidRPr="00C07DEF">
        <w:rPr>
          <w:rFonts w:cstheme="minorHAnsi"/>
          <w:i/>
        </w:rPr>
        <w:t>2017</w:t>
      </w:r>
      <w:r w:rsidR="00217D30" w:rsidRPr="004A4064">
        <w:rPr>
          <w:rFonts w:cstheme="minorHAnsi"/>
          <w:i/>
        </w:rPr>
        <w:t> </w:t>
      </w:r>
      <w:r w:rsidR="00217D30" w:rsidRPr="00C07DEF">
        <w:rPr>
          <w:rFonts w:cstheme="minorHAnsi"/>
          <w:i/>
        </w:rPr>
        <w:t xml:space="preserve">ASHM PrEP Guidelines </w:t>
      </w:r>
      <w:r w:rsidR="00217D30" w:rsidRPr="004A4064">
        <w:rPr>
          <w:rFonts w:cstheme="minorHAnsi"/>
        </w:rPr>
        <w:t>to be used as the basis for defining medium and high-</w:t>
      </w:r>
      <w:r w:rsidR="00217D30" w:rsidRPr="004A4064">
        <w:rPr>
          <w:rFonts w:cstheme="minorHAnsi"/>
        </w:rPr>
        <w:lastRenderedPageBreak/>
        <w:t>risk individuals and that patients should return a negative HIV test prior to commencing PrEP</w:t>
      </w:r>
      <w:r w:rsidR="00C07DEF">
        <w:rPr>
          <w:rFonts w:cstheme="minorHAnsi"/>
        </w:rPr>
        <w:t xml:space="preserve"> and at 3-monthly intervals during treatment</w:t>
      </w:r>
      <w:r w:rsidR="00217D30" w:rsidRPr="004A4064">
        <w:rPr>
          <w:rFonts w:cstheme="minorHAnsi"/>
        </w:rPr>
        <w:t>.</w:t>
      </w:r>
    </w:p>
    <w:p w14:paraId="2B326592" w14:textId="2BC5F8DC" w:rsidR="009B3501" w:rsidRPr="009B3501" w:rsidRDefault="00C0636A" w:rsidP="00C07DEF">
      <w:pPr>
        <w:pStyle w:val="ListParagraph"/>
        <w:numPr>
          <w:ilvl w:val="1"/>
          <w:numId w:val="4"/>
        </w:numPr>
        <w:snapToGrid w:val="0"/>
        <w:spacing w:after="120" w:line="240" w:lineRule="auto"/>
        <w:contextualSpacing w:val="0"/>
        <w:rPr>
          <w:rFonts w:cstheme="minorHAnsi"/>
        </w:rPr>
      </w:pPr>
      <w:r w:rsidRPr="009B3501">
        <w:t>The</w:t>
      </w:r>
      <w:r w:rsidRPr="009B3501">
        <w:rPr>
          <w:rFonts w:cstheme="minorHAnsi"/>
        </w:rPr>
        <w:t xml:space="preserve"> </w:t>
      </w:r>
      <w:r w:rsidR="0015325C" w:rsidRPr="009B3501">
        <w:rPr>
          <w:rFonts w:cstheme="minorHAnsi"/>
        </w:rPr>
        <w:t xml:space="preserve">current </w:t>
      </w:r>
      <w:r w:rsidR="00C65F5C">
        <w:rPr>
          <w:rFonts w:cstheme="minorHAnsi"/>
        </w:rPr>
        <w:t xml:space="preserve">restriction for </w:t>
      </w:r>
      <w:r w:rsidR="0015325C" w:rsidRPr="009B3501">
        <w:rPr>
          <w:rFonts w:cstheme="minorHAnsi"/>
        </w:rPr>
        <w:t xml:space="preserve">PBS subsidised TD/FTC </w:t>
      </w:r>
      <w:r w:rsidR="00C60A5B">
        <w:rPr>
          <w:rFonts w:cstheme="minorHAnsi"/>
        </w:rPr>
        <w:t xml:space="preserve">for PrEP </w:t>
      </w:r>
      <w:r w:rsidR="0015325C" w:rsidRPr="009B3501">
        <w:rPr>
          <w:rFonts w:cstheme="minorHAnsi"/>
        </w:rPr>
        <w:t>requires patients to be</w:t>
      </w:r>
      <w:r w:rsidRPr="009B3501">
        <w:rPr>
          <w:rFonts w:cstheme="minorHAnsi"/>
        </w:rPr>
        <w:t xml:space="preserve"> </w:t>
      </w:r>
      <w:r w:rsidR="00605D39" w:rsidRPr="009B3501">
        <w:rPr>
          <w:rFonts w:cstheme="minorHAnsi"/>
        </w:rPr>
        <w:t xml:space="preserve">at </w:t>
      </w:r>
      <w:r w:rsidRPr="009B3501">
        <w:rPr>
          <w:rFonts w:cstheme="minorHAnsi"/>
        </w:rPr>
        <w:t xml:space="preserve">medium to high risk of HIV infection as </w:t>
      </w:r>
      <w:r w:rsidR="00605D39" w:rsidRPr="009B3501">
        <w:rPr>
          <w:rFonts w:cstheme="minorHAnsi"/>
        </w:rPr>
        <w:t xml:space="preserve">defined by the </w:t>
      </w:r>
      <w:r w:rsidR="00217D30" w:rsidRPr="00C07DEF">
        <w:rPr>
          <w:rFonts w:cstheme="minorHAnsi"/>
          <w:i/>
        </w:rPr>
        <w:t xml:space="preserve">2017 </w:t>
      </w:r>
      <w:r w:rsidRPr="00C07DEF">
        <w:rPr>
          <w:rFonts w:cstheme="minorHAnsi"/>
          <w:i/>
        </w:rPr>
        <w:t xml:space="preserve">ASHM </w:t>
      </w:r>
      <w:r w:rsidR="00605D39" w:rsidRPr="00C07DEF">
        <w:rPr>
          <w:rFonts w:cstheme="minorHAnsi"/>
          <w:i/>
        </w:rPr>
        <w:t>G</w:t>
      </w:r>
      <w:r w:rsidRPr="00C07DEF">
        <w:rPr>
          <w:rFonts w:cstheme="minorHAnsi"/>
          <w:i/>
        </w:rPr>
        <w:t>uidelines</w:t>
      </w:r>
      <w:r w:rsidR="00217D30">
        <w:rPr>
          <w:rFonts w:cstheme="minorHAnsi"/>
        </w:rPr>
        <w:t xml:space="preserve">. </w:t>
      </w:r>
    </w:p>
    <w:p w14:paraId="71BC4D13" w14:textId="32ADEFA9" w:rsidR="008B512A" w:rsidRPr="00217D30" w:rsidRDefault="00C0636A" w:rsidP="00217D30">
      <w:pPr>
        <w:pStyle w:val="ListParagraph"/>
        <w:numPr>
          <w:ilvl w:val="1"/>
          <w:numId w:val="4"/>
        </w:numPr>
        <w:snapToGrid w:val="0"/>
        <w:spacing w:after="120" w:line="240" w:lineRule="auto"/>
        <w:contextualSpacing w:val="0"/>
        <w:rPr>
          <w:rFonts w:cstheme="minorHAnsi"/>
        </w:rPr>
      </w:pPr>
      <w:r>
        <w:rPr>
          <w:rFonts w:cstheme="minorHAnsi"/>
        </w:rPr>
        <w:t xml:space="preserve">The ASHM </w:t>
      </w:r>
      <w:r w:rsidR="009B3501">
        <w:rPr>
          <w:rFonts w:cstheme="minorHAnsi"/>
        </w:rPr>
        <w:t>updated its guidelines in</w:t>
      </w:r>
      <w:r w:rsidR="00873AF3">
        <w:rPr>
          <w:rFonts w:cstheme="minorHAnsi"/>
        </w:rPr>
        <w:t xml:space="preserve"> 2019</w:t>
      </w:r>
      <w:r w:rsidR="006871DE" w:rsidRPr="00D17F63">
        <w:rPr>
          <w:rFonts w:cstheme="minorHAnsi"/>
        </w:rPr>
        <w:t>.</w:t>
      </w:r>
      <w:r w:rsidR="006871DE">
        <w:rPr>
          <w:rFonts w:cstheme="minorHAnsi"/>
          <w:szCs w:val="24"/>
        </w:rPr>
        <w:t xml:space="preserve"> </w:t>
      </w:r>
      <w:r w:rsidR="00217D30" w:rsidRPr="00217D30">
        <w:rPr>
          <w:rFonts w:cstheme="minorHAnsi"/>
        </w:rPr>
        <w:t xml:space="preserve">The </w:t>
      </w:r>
      <w:r w:rsidR="00217D30" w:rsidRPr="00217D30">
        <w:rPr>
          <w:i/>
        </w:rPr>
        <w:t>2019 ASHM PrEP Guidelines</w:t>
      </w:r>
      <w:r w:rsidR="006871DE">
        <w:t xml:space="preserve"> no longer </w:t>
      </w:r>
      <w:r w:rsidR="00873AF3">
        <w:t xml:space="preserve">propose </w:t>
      </w:r>
      <w:r w:rsidR="006871DE">
        <w:t>classif</w:t>
      </w:r>
      <w:r w:rsidR="00873AF3">
        <w:t xml:space="preserve">ication of </w:t>
      </w:r>
      <w:r w:rsidR="006871DE">
        <w:t xml:space="preserve">people into </w:t>
      </w:r>
      <w:r w:rsidR="006871DE" w:rsidRPr="00C90935">
        <w:t>high and medium HIV risk</w:t>
      </w:r>
      <w:r w:rsidR="00217D30">
        <w:t>. It</w:t>
      </w:r>
      <w:r w:rsidR="006871DE">
        <w:t xml:space="preserve"> recommend</w:t>
      </w:r>
      <w:r w:rsidR="00217D30">
        <w:t>s</w:t>
      </w:r>
      <w:r w:rsidR="006871DE">
        <w:t xml:space="preserve"> that PrEP be prescribed in any situation where there is an identified risk of HIV transmission, including risk that is current or may occur in the near future</w:t>
      </w:r>
      <w:r w:rsidR="006871DE" w:rsidRPr="007832F6">
        <w:t>.</w:t>
      </w:r>
    </w:p>
    <w:p w14:paraId="13472017" w14:textId="21D3E17F" w:rsidR="00760601" w:rsidRPr="00605D39" w:rsidRDefault="008158FB" w:rsidP="00605D39">
      <w:pPr>
        <w:pStyle w:val="ListParagraph"/>
        <w:numPr>
          <w:ilvl w:val="1"/>
          <w:numId w:val="4"/>
        </w:numPr>
        <w:snapToGrid w:val="0"/>
        <w:spacing w:after="120" w:line="240" w:lineRule="auto"/>
        <w:contextualSpacing w:val="0"/>
        <w:rPr>
          <w:rFonts w:cstheme="minorHAnsi"/>
        </w:rPr>
      </w:pPr>
      <w:r>
        <w:rPr>
          <w:rFonts w:cstheme="minorHAnsi"/>
        </w:rPr>
        <w:t>T</w:t>
      </w:r>
      <w:r w:rsidR="0079367B" w:rsidRPr="00605D39">
        <w:rPr>
          <w:rFonts w:cstheme="minorHAnsi"/>
        </w:rPr>
        <w:t xml:space="preserve">he price of </w:t>
      </w:r>
      <w:r w:rsidR="00C0636A" w:rsidRPr="00605D39">
        <w:rPr>
          <w:rFonts w:cstheme="minorHAnsi"/>
        </w:rPr>
        <w:t>TD/FTC</w:t>
      </w:r>
      <w:r w:rsidR="0079367B" w:rsidRPr="00605D39">
        <w:rPr>
          <w:rFonts w:cstheme="minorHAnsi"/>
        </w:rPr>
        <w:t xml:space="preserve"> has decreased by 58%, from an AEMP of $220.34</w:t>
      </w:r>
      <w:r w:rsidR="002C759D" w:rsidRPr="00605D39">
        <w:rPr>
          <w:rFonts w:cstheme="minorHAnsi"/>
        </w:rPr>
        <w:t xml:space="preserve"> per pack of 30</w:t>
      </w:r>
      <w:r w:rsidR="002D04A0" w:rsidRPr="00605D39">
        <w:rPr>
          <w:rFonts w:cstheme="minorHAnsi"/>
        </w:rPr>
        <w:t xml:space="preserve"> at time of listing to $92.49 as of</w:t>
      </w:r>
      <w:r w:rsidR="0079367B" w:rsidRPr="00605D39">
        <w:rPr>
          <w:rFonts w:cstheme="minorHAnsi"/>
        </w:rPr>
        <w:t xml:space="preserve"> 1 August 2020. These reductions have</w:t>
      </w:r>
      <w:r w:rsidR="00C0636A" w:rsidRPr="00605D39">
        <w:rPr>
          <w:rFonts w:cstheme="minorHAnsi"/>
        </w:rPr>
        <w:t xml:space="preserve"> largely</w:t>
      </w:r>
      <w:r w:rsidR="0079367B" w:rsidRPr="00605D39">
        <w:rPr>
          <w:rFonts w:cstheme="minorHAnsi"/>
        </w:rPr>
        <w:t xml:space="preserve"> been driven by price disclosure as </w:t>
      </w:r>
      <w:r w:rsidR="00C0636A" w:rsidRPr="00605D39">
        <w:rPr>
          <w:rFonts w:cstheme="minorHAnsi"/>
        </w:rPr>
        <w:t xml:space="preserve">TD/FTC </w:t>
      </w:r>
      <w:r w:rsidR="0079367B" w:rsidRPr="00605D39">
        <w:rPr>
          <w:rFonts w:cstheme="minorHAnsi"/>
        </w:rPr>
        <w:t>is in the F2 formulary. The reference brand, Truvada</w:t>
      </w:r>
      <w:r w:rsidR="0079367B" w:rsidRPr="00605D39">
        <w:rPr>
          <w:rFonts w:cstheme="minorHAnsi"/>
          <w:vertAlign w:val="superscript"/>
        </w:rPr>
        <w:t>®</w:t>
      </w:r>
      <w:r w:rsidR="0079367B" w:rsidRPr="00605D39">
        <w:rPr>
          <w:rFonts w:cstheme="minorHAnsi"/>
        </w:rPr>
        <w:t xml:space="preserve">, </w:t>
      </w:r>
      <w:r w:rsidR="00D20757" w:rsidRPr="00605D39">
        <w:rPr>
          <w:rFonts w:cstheme="minorHAnsi"/>
        </w:rPr>
        <w:t xml:space="preserve">was </w:t>
      </w:r>
      <w:r w:rsidR="0079367B" w:rsidRPr="00605D39">
        <w:rPr>
          <w:rFonts w:cstheme="minorHAnsi"/>
        </w:rPr>
        <w:t>delisted from the PBS in April 2020.</w:t>
      </w:r>
      <w:r w:rsidR="00EC07E9" w:rsidRPr="00605D39">
        <w:rPr>
          <w:rFonts w:cstheme="minorHAnsi"/>
        </w:rPr>
        <w:t xml:space="preserve"> </w:t>
      </w:r>
    </w:p>
    <w:p w14:paraId="71030202" w14:textId="2CC3A8A0" w:rsidR="00FB7750" w:rsidRPr="002D7DF9" w:rsidRDefault="00EC07E9" w:rsidP="00FB7750">
      <w:pPr>
        <w:pStyle w:val="ListParagraph"/>
        <w:numPr>
          <w:ilvl w:val="1"/>
          <w:numId w:val="4"/>
        </w:numPr>
        <w:snapToGrid w:val="0"/>
        <w:spacing w:after="120" w:line="240" w:lineRule="auto"/>
        <w:rPr>
          <w:rFonts w:cstheme="minorHAnsi"/>
        </w:rPr>
      </w:pPr>
      <w:r w:rsidRPr="008B512A">
        <w:rPr>
          <w:rFonts w:cstheme="minorHAnsi"/>
        </w:rPr>
        <w:t>The annual cost of</w:t>
      </w:r>
      <w:r w:rsidR="002D04A0" w:rsidRPr="008B512A">
        <w:rPr>
          <w:rFonts w:cstheme="minorHAnsi"/>
        </w:rPr>
        <w:t xml:space="preserve"> daily</w:t>
      </w:r>
      <w:r w:rsidRPr="008B512A">
        <w:rPr>
          <w:rFonts w:cstheme="minorHAnsi"/>
        </w:rPr>
        <w:t xml:space="preserve"> PrEP</w:t>
      </w:r>
      <w:r w:rsidR="00760601">
        <w:rPr>
          <w:rFonts w:cstheme="minorHAnsi"/>
        </w:rPr>
        <w:t xml:space="preserve"> per patient</w:t>
      </w:r>
      <w:r w:rsidRPr="008B512A">
        <w:rPr>
          <w:rFonts w:cstheme="minorHAnsi"/>
        </w:rPr>
        <w:t xml:space="preserve"> at the current DPMQ</w:t>
      </w:r>
      <w:r w:rsidR="00760601">
        <w:rPr>
          <w:rFonts w:cstheme="minorHAnsi"/>
        </w:rPr>
        <w:t xml:space="preserve"> as of 1 August 2020</w:t>
      </w:r>
      <w:r w:rsidRPr="008B512A">
        <w:rPr>
          <w:rFonts w:cstheme="minorHAnsi"/>
        </w:rPr>
        <w:t xml:space="preserve"> ($111.47</w:t>
      </w:r>
      <w:r w:rsidR="00760601">
        <w:rPr>
          <w:rFonts w:cstheme="minorHAnsi"/>
        </w:rPr>
        <w:t xml:space="preserve">, </w:t>
      </w:r>
      <w:r w:rsidR="002D04A0" w:rsidRPr="008B512A">
        <w:rPr>
          <w:rFonts w:cstheme="minorHAnsi"/>
        </w:rPr>
        <w:t>12.16 prescriptions</w:t>
      </w:r>
      <w:r w:rsidR="00760601">
        <w:rPr>
          <w:rFonts w:cstheme="minorHAnsi"/>
        </w:rPr>
        <w:t>/year</w:t>
      </w:r>
      <w:r w:rsidR="002D04A0" w:rsidRPr="008B512A">
        <w:rPr>
          <w:rFonts w:cstheme="minorHAnsi"/>
        </w:rPr>
        <w:t>)</w:t>
      </w:r>
      <w:r w:rsidR="00760601">
        <w:rPr>
          <w:rFonts w:cstheme="minorHAnsi"/>
        </w:rPr>
        <w:t xml:space="preserve"> equates to</w:t>
      </w:r>
      <w:r w:rsidRPr="008B512A">
        <w:rPr>
          <w:rFonts w:cstheme="minorHAnsi"/>
        </w:rPr>
        <w:t xml:space="preserve"> $1,</w:t>
      </w:r>
      <w:r w:rsidR="002D04A0" w:rsidRPr="008B512A">
        <w:rPr>
          <w:rFonts w:cstheme="minorHAnsi"/>
        </w:rPr>
        <w:t>355.48</w:t>
      </w:r>
      <w:r w:rsidRPr="008B512A">
        <w:rPr>
          <w:rFonts w:cstheme="minorHAnsi"/>
        </w:rPr>
        <w:t xml:space="preserve"> per patient.</w:t>
      </w:r>
    </w:p>
    <w:p w14:paraId="361F418E" w14:textId="4D5CFF14" w:rsidR="0038181D" w:rsidRDefault="0038181D" w:rsidP="002D7DF9">
      <w:pPr>
        <w:pStyle w:val="ListParagraph"/>
        <w:snapToGrid w:val="0"/>
        <w:spacing w:before="240" w:after="120" w:line="240" w:lineRule="auto"/>
        <w:contextualSpacing w:val="0"/>
        <w:outlineLvl w:val="1"/>
        <w:rPr>
          <w:rFonts w:cstheme="minorHAnsi"/>
          <w:b/>
          <w:i/>
          <w:sz w:val="28"/>
          <w:szCs w:val="28"/>
        </w:rPr>
      </w:pPr>
      <w:r>
        <w:rPr>
          <w:rFonts w:cstheme="minorHAnsi"/>
          <w:b/>
          <w:i/>
          <w:sz w:val="28"/>
          <w:szCs w:val="28"/>
        </w:rPr>
        <w:t>December 2017 PBAC Recommendation</w:t>
      </w:r>
      <w:r w:rsidR="00C07DEF">
        <w:rPr>
          <w:rFonts w:cstheme="minorHAnsi"/>
          <w:b/>
          <w:i/>
          <w:sz w:val="28"/>
          <w:szCs w:val="28"/>
        </w:rPr>
        <w:t xml:space="preserve"> </w:t>
      </w:r>
    </w:p>
    <w:p w14:paraId="3921AA95" w14:textId="1B3740F2" w:rsidR="00477FAC" w:rsidRPr="00493D64" w:rsidRDefault="0038181D" w:rsidP="00477FAC">
      <w:pPr>
        <w:pStyle w:val="ListParagraph"/>
        <w:numPr>
          <w:ilvl w:val="1"/>
          <w:numId w:val="4"/>
        </w:numPr>
        <w:snapToGrid w:val="0"/>
        <w:spacing w:after="120" w:line="240" w:lineRule="auto"/>
        <w:contextualSpacing w:val="0"/>
        <w:rPr>
          <w:rFonts w:cstheme="minorHAnsi"/>
        </w:rPr>
      </w:pPr>
      <w:r w:rsidRPr="00510C38">
        <w:rPr>
          <w:rFonts w:cstheme="minorHAnsi"/>
        </w:rPr>
        <w:t>The December 2017 PBAC recommendation was based upon the PBAC’s consideration of an economic model developed by the Kirby Institute, which presented cost</w:t>
      </w:r>
      <w:r w:rsidR="00493518" w:rsidRPr="00510C38">
        <w:rPr>
          <w:rFonts w:cstheme="minorHAnsi"/>
        </w:rPr>
        <w:t>-</w:t>
      </w:r>
      <w:r w:rsidRPr="00510C38">
        <w:rPr>
          <w:rFonts w:cstheme="minorHAnsi"/>
        </w:rPr>
        <w:t xml:space="preserve">effectiveness scenarios for numerous combinations of projected use </w:t>
      </w:r>
      <w:r w:rsidR="00760601" w:rsidRPr="00510C38">
        <w:rPr>
          <w:rFonts w:cstheme="minorHAnsi"/>
        </w:rPr>
        <w:t>for the men-who-have-sex-with-men (MSM) population</w:t>
      </w:r>
      <w:r w:rsidRPr="00510C38">
        <w:rPr>
          <w:rFonts w:cstheme="minorHAnsi"/>
        </w:rPr>
        <w:t xml:space="preserve"> at high, medium or low risk of acqui</w:t>
      </w:r>
      <w:r w:rsidR="00760601" w:rsidRPr="00510C38">
        <w:rPr>
          <w:rFonts w:cstheme="minorHAnsi"/>
        </w:rPr>
        <w:t>ring HIV</w:t>
      </w:r>
      <w:r w:rsidRPr="00510C38">
        <w:rPr>
          <w:rFonts w:cstheme="minorHAnsi"/>
        </w:rPr>
        <w:t xml:space="preserve"> at different annual cost thresholds. </w:t>
      </w:r>
    </w:p>
    <w:p w14:paraId="010589D4" w14:textId="05B5E2B7" w:rsidR="0038181D" w:rsidRPr="00760601" w:rsidRDefault="0038181D" w:rsidP="00760601">
      <w:pPr>
        <w:pStyle w:val="ListParagraph"/>
        <w:numPr>
          <w:ilvl w:val="1"/>
          <w:numId w:val="4"/>
        </w:numPr>
        <w:snapToGrid w:val="0"/>
        <w:spacing w:after="120" w:line="240" w:lineRule="auto"/>
        <w:contextualSpacing w:val="0"/>
        <w:rPr>
          <w:rFonts w:cstheme="minorHAnsi"/>
        </w:rPr>
      </w:pPr>
      <w:r w:rsidRPr="00CD0F64">
        <w:rPr>
          <w:rFonts w:cstheme="minorHAnsi"/>
          <w:bCs/>
        </w:rPr>
        <w:t xml:space="preserve">The PBAC considered the impact of a number of uptake scenarios on the cost-effectiveness of PrEP. The PBAC noted with 80% uptake in high and medium risk individuals (80-80-0) the annual cost of tenofovir with emtricitabine would need to be </w:t>
      </w:r>
      <w:r w:rsidRPr="00573375">
        <w:rPr>
          <w:rFonts w:cstheme="minorHAnsi"/>
          <w:bCs/>
        </w:rPr>
        <w:t>$3,750 per patient for the ICER to be $15,000 per QALY gained. If there was 10% use in low risk individuals, the annual cost would need to be reduced by 23% (to $2,888 per patient) for the ICER to remain at $15,000 per QALY gained.</w:t>
      </w:r>
      <w:r>
        <w:rPr>
          <w:rFonts w:cstheme="minorHAnsi"/>
          <w:bCs/>
        </w:rPr>
        <w:t xml:space="preserve"> </w:t>
      </w:r>
      <w:r w:rsidRPr="00EC07E9">
        <w:rPr>
          <w:rFonts w:cstheme="minorHAnsi"/>
          <w:bCs/>
        </w:rPr>
        <w:t>Overall, the PBAC advised that tenofovi</w:t>
      </w:r>
      <w:r w:rsidR="00760601">
        <w:rPr>
          <w:rFonts w:cstheme="minorHAnsi"/>
          <w:bCs/>
        </w:rPr>
        <w:t>r with emtricitabine for PrEP was</w:t>
      </w:r>
      <w:r w:rsidRPr="00EC07E9">
        <w:rPr>
          <w:rFonts w:cstheme="minorHAnsi"/>
          <w:bCs/>
        </w:rPr>
        <w:t xml:space="preserve"> likely to be acceptably cost-effective if the annual treatment cost did not exceed $2,500 per patient.</w:t>
      </w:r>
      <w:r w:rsidRPr="00EC07E9">
        <w:t xml:space="preserve"> </w:t>
      </w:r>
      <w:r>
        <w:rPr>
          <w:rFonts w:cstheme="minorHAnsi"/>
          <w:bCs/>
        </w:rPr>
        <w:t>This was</w:t>
      </w:r>
      <w:r w:rsidRPr="00EC07E9">
        <w:rPr>
          <w:rFonts w:cstheme="minorHAnsi"/>
          <w:bCs/>
        </w:rPr>
        <w:t xml:space="preserve"> equivalent to a DPMQ of approximate</w:t>
      </w:r>
      <w:r>
        <w:rPr>
          <w:rFonts w:cstheme="minorHAnsi"/>
          <w:bCs/>
        </w:rPr>
        <w:t xml:space="preserve">ly $205 (an AEMP of ~$180) per pack of 30 tablets. The price of </w:t>
      </w:r>
      <w:r w:rsidR="00760601">
        <w:rPr>
          <w:rFonts w:cstheme="minorHAnsi"/>
          <w:bCs/>
        </w:rPr>
        <w:t>TD/FTC</w:t>
      </w:r>
      <w:r>
        <w:rPr>
          <w:rFonts w:cstheme="minorHAnsi"/>
          <w:bCs/>
        </w:rPr>
        <w:t xml:space="preserve"> was weighted with its existing HIV treatment indication at time of listing. </w:t>
      </w:r>
      <w:r w:rsidR="0059500C">
        <w:rPr>
          <w:rFonts w:cstheme="minorHAnsi"/>
          <w:bCs/>
        </w:rPr>
        <w:t>The PBAC</w:t>
      </w:r>
      <w:r w:rsidR="00760601">
        <w:rPr>
          <w:rFonts w:cstheme="minorHAnsi"/>
          <w:bCs/>
        </w:rPr>
        <w:t xml:space="preserve"> noted the cost-effectiveness of PrEP was particularly sensitive to the proportion of patients defined as having a low risk of acquiring HIV, however</w:t>
      </w:r>
      <w:r w:rsidR="0059500C">
        <w:rPr>
          <w:rFonts w:cstheme="minorHAnsi"/>
          <w:bCs/>
        </w:rPr>
        <w:t xml:space="preserve"> considered that use in </w:t>
      </w:r>
      <w:r w:rsidR="00760601">
        <w:rPr>
          <w:rFonts w:cstheme="minorHAnsi"/>
          <w:bCs/>
        </w:rPr>
        <w:t>this group</w:t>
      </w:r>
      <w:r w:rsidR="0059500C">
        <w:rPr>
          <w:rFonts w:cstheme="minorHAnsi"/>
          <w:bCs/>
        </w:rPr>
        <w:t xml:space="preserve"> was likely to be low.</w:t>
      </w:r>
      <w:r w:rsidR="00760601">
        <w:rPr>
          <w:rFonts w:cstheme="minorHAnsi"/>
          <w:bCs/>
        </w:rPr>
        <w:t xml:space="preserve"> </w:t>
      </w:r>
      <w:r w:rsidR="00C0636A" w:rsidRPr="00760601">
        <w:rPr>
          <w:rFonts w:cstheme="minorHAnsi"/>
          <w:bCs/>
        </w:rPr>
        <w:t>The below table</w:t>
      </w:r>
      <w:r w:rsidRPr="00760601">
        <w:rPr>
          <w:rFonts w:cstheme="minorHAnsi"/>
          <w:bCs/>
        </w:rPr>
        <w:t xml:space="preserve"> outline</w:t>
      </w:r>
      <w:r w:rsidR="00477FAC">
        <w:rPr>
          <w:rFonts w:cstheme="minorHAnsi"/>
          <w:bCs/>
        </w:rPr>
        <w:t>s</w:t>
      </w:r>
      <w:r w:rsidRPr="00760601">
        <w:rPr>
          <w:rFonts w:cstheme="minorHAnsi"/>
          <w:bCs/>
        </w:rPr>
        <w:t xml:space="preserve"> the annual costs and ICER thresholds for different usage patterns from the Kirby model relied upon in the December 2017 submission.</w:t>
      </w:r>
    </w:p>
    <w:p w14:paraId="4C85412A" w14:textId="7E552E77" w:rsidR="0038181D" w:rsidRPr="00B27427" w:rsidRDefault="0038181D" w:rsidP="0038181D">
      <w:pPr>
        <w:pStyle w:val="Caption"/>
      </w:pPr>
      <w:r w:rsidRPr="00B27427">
        <w:lastRenderedPageBreak/>
        <w:t xml:space="preserve">Table </w:t>
      </w:r>
      <w:fldSimple w:instr=" SEQ Table \* ARABIC ">
        <w:r w:rsidR="00217211">
          <w:rPr>
            <w:noProof/>
          </w:rPr>
          <w:t>1</w:t>
        </w:r>
      </w:fldSimple>
      <w:r w:rsidRPr="00B27427">
        <w:t>: PrEP annual cost required for scenario to be cost-effective for a given willingness-to-pay threshold (A$ per QALY gained). For each scenario and cost-effectiveness threshold, the table shows the median value from the simulation ensemble. Corrected results for analyses considered at July 2017 meeting.</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909"/>
        <w:gridCol w:w="2647"/>
        <w:gridCol w:w="2648"/>
        <w:gridCol w:w="2646"/>
      </w:tblGrid>
      <w:tr w:rsidR="0038181D" w:rsidRPr="00B27427" w14:paraId="2BB12818" w14:textId="63FA8B4A" w:rsidTr="00042210">
        <w:tc>
          <w:tcPr>
            <w:tcW w:w="501" w:type="pct"/>
            <w:vAlign w:val="bottom"/>
          </w:tcPr>
          <w:p w14:paraId="2F21B61C" w14:textId="275AF4E8" w:rsidR="0038181D" w:rsidRPr="00B27427" w:rsidRDefault="0038181D" w:rsidP="00042210">
            <w:pPr>
              <w:keepNext/>
              <w:widowControl w:val="0"/>
              <w:rPr>
                <w:rFonts w:ascii="Arial Narrow" w:hAnsi="Arial Narrow" w:cs="Arial"/>
                <w:b/>
                <w:snapToGrid w:val="0"/>
                <w:sz w:val="20"/>
                <w:szCs w:val="20"/>
              </w:rPr>
            </w:pPr>
            <w:r w:rsidRPr="00B27427">
              <w:rPr>
                <w:rFonts w:ascii="Arial Narrow" w:hAnsi="Arial Narrow" w:cs="Arial"/>
                <w:b/>
                <w:snapToGrid w:val="0"/>
                <w:sz w:val="20"/>
                <w:szCs w:val="20"/>
              </w:rPr>
              <w:t>Scenario</w:t>
            </w:r>
          </w:p>
        </w:tc>
        <w:tc>
          <w:tcPr>
            <w:tcW w:w="1500" w:type="pct"/>
            <w:vAlign w:val="bottom"/>
          </w:tcPr>
          <w:p w14:paraId="3B542AE9" w14:textId="22E70D63" w:rsidR="0038181D" w:rsidRPr="00B27427" w:rsidRDefault="0038181D" w:rsidP="00042210">
            <w:pPr>
              <w:keepNext/>
              <w:widowControl w:val="0"/>
              <w:jc w:val="center"/>
              <w:rPr>
                <w:rFonts w:ascii="Arial Narrow" w:hAnsi="Arial Narrow" w:cs="Arial"/>
                <w:b/>
                <w:snapToGrid w:val="0"/>
                <w:sz w:val="20"/>
                <w:szCs w:val="20"/>
              </w:rPr>
            </w:pPr>
            <w:r w:rsidRPr="00B27427">
              <w:rPr>
                <w:rFonts w:ascii="Arial Narrow" w:hAnsi="Arial Narrow" w:cs="Arial"/>
                <w:b/>
                <w:snapToGrid w:val="0"/>
                <w:sz w:val="20"/>
                <w:szCs w:val="20"/>
              </w:rPr>
              <w:t>$30,000 per QALY gained</w:t>
            </w:r>
          </w:p>
        </w:tc>
        <w:tc>
          <w:tcPr>
            <w:tcW w:w="1500" w:type="pct"/>
            <w:vAlign w:val="bottom"/>
          </w:tcPr>
          <w:p w14:paraId="26FF0536" w14:textId="3D08D199" w:rsidR="0038181D" w:rsidRPr="00B27427" w:rsidRDefault="0038181D" w:rsidP="00042210">
            <w:pPr>
              <w:keepNext/>
              <w:widowControl w:val="0"/>
              <w:jc w:val="center"/>
              <w:rPr>
                <w:rFonts w:ascii="Arial Narrow" w:hAnsi="Arial Narrow" w:cs="Arial"/>
                <w:b/>
                <w:snapToGrid w:val="0"/>
                <w:sz w:val="20"/>
                <w:szCs w:val="20"/>
              </w:rPr>
            </w:pPr>
            <w:r w:rsidRPr="00B27427">
              <w:rPr>
                <w:rFonts w:ascii="Arial Narrow" w:hAnsi="Arial Narrow" w:cs="Arial"/>
                <w:b/>
                <w:snapToGrid w:val="0"/>
                <w:sz w:val="20"/>
                <w:szCs w:val="20"/>
              </w:rPr>
              <w:t>$60,000 per QALY gained</w:t>
            </w:r>
          </w:p>
        </w:tc>
        <w:tc>
          <w:tcPr>
            <w:tcW w:w="1499" w:type="pct"/>
            <w:vAlign w:val="bottom"/>
          </w:tcPr>
          <w:p w14:paraId="2077B6EB" w14:textId="22E2704A" w:rsidR="0038181D" w:rsidRPr="00B27427" w:rsidRDefault="0038181D" w:rsidP="00042210">
            <w:pPr>
              <w:keepNext/>
              <w:widowControl w:val="0"/>
              <w:jc w:val="center"/>
              <w:rPr>
                <w:rFonts w:ascii="Arial Narrow" w:hAnsi="Arial Narrow" w:cs="Arial"/>
                <w:b/>
                <w:snapToGrid w:val="0"/>
                <w:sz w:val="20"/>
                <w:szCs w:val="20"/>
              </w:rPr>
            </w:pPr>
            <w:r w:rsidRPr="00B27427">
              <w:rPr>
                <w:rFonts w:ascii="Arial Narrow" w:hAnsi="Arial Narrow" w:cs="Arial"/>
                <w:b/>
                <w:snapToGrid w:val="0"/>
                <w:sz w:val="20"/>
                <w:szCs w:val="20"/>
              </w:rPr>
              <w:t>$90,000 per QALY gained</w:t>
            </w:r>
          </w:p>
        </w:tc>
      </w:tr>
      <w:tr w:rsidR="0038181D" w:rsidRPr="00B27427" w14:paraId="5DD17DE2" w14:textId="6316F6C8" w:rsidTr="00042210">
        <w:tc>
          <w:tcPr>
            <w:tcW w:w="501" w:type="pct"/>
          </w:tcPr>
          <w:p w14:paraId="465BE893" w14:textId="32A20666"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30-0-0</w:t>
            </w:r>
          </w:p>
        </w:tc>
        <w:tc>
          <w:tcPr>
            <w:tcW w:w="1500" w:type="pct"/>
            <w:vAlign w:val="bottom"/>
          </w:tcPr>
          <w:p w14:paraId="4EF630A9" w14:textId="7A8B5932"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$7,090</w:t>
            </w:r>
          </w:p>
        </w:tc>
        <w:tc>
          <w:tcPr>
            <w:tcW w:w="1500" w:type="pct"/>
            <w:vAlign w:val="bottom"/>
          </w:tcPr>
          <w:p w14:paraId="55B59464" w14:textId="7CD15E22"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$9,440</w:t>
            </w:r>
          </w:p>
        </w:tc>
        <w:tc>
          <w:tcPr>
            <w:tcW w:w="1499" w:type="pct"/>
            <w:vAlign w:val="bottom"/>
          </w:tcPr>
          <w:p w14:paraId="320AA7BB" w14:textId="55CE36BE"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$11,770</w:t>
            </w:r>
          </w:p>
        </w:tc>
      </w:tr>
      <w:tr w:rsidR="0038181D" w:rsidRPr="00B27427" w14:paraId="0E21F968" w14:textId="47103E2A" w:rsidTr="00042210">
        <w:tc>
          <w:tcPr>
            <w:tcW w:w="501" w:type="pct"/>
          </w:tcPr>
          <w:p w14:paraId="48D735D8" w14:textId="204880C2"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60-0-0</w:t>
            </w:r>
          </w:p>
        </w:tc>
        <w:tc>
          <w:tcPr>
            <w:tcW w:w="1500" w:type="pct"/>
            <w:vAlign w:val="bottom"/>
          </w:tcPr>
          <w:p w14:paraId="03398B25" w14:textId="0EBA6B48"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$5,790</w:t>
            </w:r>
          </w:p>
        </w:tc>
        <w:tc>
          <w:tcPr>
            <w:tcW w:w="1500" w:type="pct"/>
            <w:vAlign w:val="bottom"/>
          </w:tcPr>
          <w:p w14:paraId="519BBE97" w14:textId="756D6676"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$7,690</w:t>
            </w:r>
          </w:p>
        </w:tc>
        <w:tc>
          <w:tcPr>
            <w:tcW w:w="1499" w:type="pct"/>
            <w:vAlign w:val="bottom"/>
          </w:tcPr>
          <w:p w14:paraId="5EEB90E1" w14:textId="1214E7E0"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$9,580</w:t>
            </w:r>
          </w:p>
        </w:tc>
      </w:tr>
      <w:tr w:rsidR="0038181D" w:rsidRPr="00B27427" w14:paraId="2A019745" w14:textId="3B865181" w:rsidTr="00042210">
        <w:tc>
          <w:tcPr>
            <w:tcW w:w="501" w:type="pct"/>
          </w:tcPr>
          <w:p w14:paraId="4869D350" w14:textId="52C64E57"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90-0-0</w:t>
            </w:r>
          </w:p>
        </w:tc>
        <w:tc>
          <w:tcPr>
            <w:tcW w:w="1500" w:type="pct"/>
            <w:vAlign w:val="bottom"/>
          </w:tcPr>
          <w:p w14:paraId="1EDC774F" w14:textId="63721138"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$4,870</w:t>
            </w:r>
          </w:p>
        </w:tc>
        <w:tc>
          <w:tcPr>
            <w:tcW w:w="1500" w:type="pct"/>
            <w:vAlign w:val="bottom"/>
          </w:tcPr>
          <w:p w14:paraId="0AD9E3F9" w14:textId="18A7BBDD"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$6,450</w:t>
            </w:r>
          </w:p>
        </w:tc>
        <w:tc>
          <w:tcPr>
            <w:tcW w:w="1499" w:type="pct"/>
            <w:vAlign w:val="bottom"/>
          </w:tcPr>
          <w:p w14:paraId="640B8BDD" w14:textId="7D22CFAE"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$8,020</w:t>
            </w:r>
          </w:p>
        </w:tc>
      </w:tr>
      <w:tr w:rsidR="0038181D" w:rsidRPr="00B27427" w14:paraId="3F50DC7E" w14:textId="3BFAC298" w:rsidTr="00042210">
        <w:tc>
          <w:tcPr>
            <w:tcW w:w="501" w:type="pct"/>
          </w:tcPr>
          <w:p w14:paraId="1A1500D2" w14:textId="100C2FCB"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90-20-0</w:t>
            </w:r>
          </w:p>
        </w:tc>
        <w:tc>
          <w:tcPr>
            <w:tcW w:w="1500" w:type="pct"/>
            <w:vAlign w:val="bottom"/>
          </w:tcPr>
          <w:p w14:paraId="32CD2818" w14:textId="09D1440E"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$4,720</w:t>
            </w:r>
          </w:p>
        </w:tc>
        <w:tc>
          <w:tcPr>
            <w:tcW w:w="1500" w:type="pct"/>
            <w:vAlign w:val="bottom"/>
          </w:tcPr>
          <w:p w14:paraId="0387F637" w14:textId="129D625E"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$6,230</w:t>
            </w:r>
          </w:p>
        </w:tc>
        <w:tc>
          <w:tcPr>
            <w:tcW w:w="1499" w:type="pct"/>
            <w:vAlign w:val="bottom"/>
          </w:tcPr>
          <w:p w14:paraId="11FD5920" w14:textId="5A850417"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$7,730</w:t>
            </w:r>
          </w:p>
        </w:tc>
      </w:tr>
      <w:tr w:rsidR="0038181D" w:rsidRPr="00B27427" w14:paraId="475CAE99" w14:textId="5ECB6C4D" w:rsidTr="00042210">
        <w:tc>
          <w:tcPr>
            <w:tcW w:w="501" w:type="pct"/>
          </w:tcPr>
          <w:p w14:paraId="1C27ACA3" w14:textId="35B59AA2"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90-60-0</w:t>
            </w:r>
          </w:p>
        </w:tc>
        <w:tc>
          <w:tcPr>
            <w:tcW w:w="1500" w:type="pct"/>
            <w:vAlign w:val="bottom"/>
          </w:tcPr>
          <w:p w14:paraId="39169B0B" w14:textId="1EBA4154"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$4,430</w:t>
            </w:r>
          </w:p>
        </w:tc>
        <w:tc>
          <w:tcPr>
            <w:tcW w:w="1500" w:type="pct"/>
            <w:vAlign w:val="bottom"/>
          </w:tcPr>
          <w:p w14:paraId="3346C6D2" w14:textId="580A7212"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$5,830</w:t>
            </w:r>
          </w:p>
        </w:tc>
        <w:tc>
          <w:tcPr>
            <w:tcW w:w="1499" w:type="pct"/>
            <w:vAlign w:val="bottom"/>
          </w:tcPr>
          <w:p w14:paraId="3D462741" w14:textId="23E68D67"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$7,230</w:t>
            </w:r>
          </w:p>
        </w:tc>
      </w:tr>
      <w:tr w:rsidR="0038181D" w:rsidRPr="00B27427" w14:paraId="3A05E857" w14:textId="405253B8" w:rsidTr="00042210">
        <w:tc>
          <w:tcPr>
            <w:tcW w:w="501" w:type="pct"/>
          </w:tcPr>
          <w:p w14:paraId="49A2F015" w14:textId="456F5ABB"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90-20-10</w:t>
            </w:r>
          </w:p>
        </w:tc>
        <w:tc>
          <w:tcPr>
            <w:tcW w:w="1500" w:type="pct"/>
            <w:vAlign w:val="bottom"/>
          </w:tcPr>
          <w:p w14:paraId="0AE140EE" w14:textId="690BB576"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$3,620</w:t>
            </w:r>
          </w:p>
        </w:tc>
        <w:tc>
          <w:tcPr>
            <w:tcW w:w="1500" w:type="pct"/>
            <w:vAlign w:val="bottom"/>
          </w:tcPr>
          <w:p w14:paraId="7E84A221" w14:textId="2D127370"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$4,780</w:t>
            </w:r>
          </w:p>
        </w:tc>
        <w:tc>
          <w:tcPr>
            <w:tcW w:w="1499" w:type="pct"/>
            <w:vAlign w:val="bottom"/>
          </w:tcPr>
          <w:p w14:paraId="414CCA9E" w14:textId="268E68AC"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$5,930</w:t>
            </w:r>
          </w:p>
        </w:tc>
      </w:tr>
      <w:tr w:rsidR="0038181D" w:rsidRPr="00B27427" w14:paraId="0BC88B9A" w14:textId="3400E677" w:rsidTr="00042210">
        <w:tc>
          <w:tcPr>
            <w:tcW w:w="501" w:type="pct"/>
          </w:tcPr>
          <w:p w14:paraId="0FAF1C63" w14:textId="2CD6FD1C"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90-60-30</w:t>
            </w:r>
          </w:p>
        </w:tc>
        <w:tc>
          <w:tcPr>
            <w:tcW w:w="1500" w:type="pct"/>
            <w:vAlign w:val="bottom"/>
          </w:tcPr>
          <w:p w14:paraId="4BE0C014" w14:textId="28AD84FD" w:rsidR="0038181D" w:rsidRPr="00EC07E9" w:rsidRDefault="0038181D" w:rsidP="00042210">
            <w:pPr>
              <w:keepNext/>
              <w:widowControl w:val="0"/>
              <w:jc w:val="center"/>
              <w:rPr>
                <w:rFonts w:ascii="Arial Narrow" w:hAnsi="Arial Narrow" w:cs="Arial"/>
                <w:snapToGrid w:val="0"/>
                <w:sz w:val="20"/>
                <w:szCs w:val="20"/>
              </w:rPr>
            </w:pPr>
            <w:r w:rsidRPr="00EC07E9">
              <w:rPr>
                <w:rFonts w:ascii="Arial Narrow" w:hAnsi="Arial Narrow" w:cs="Arial"/>
                <w:snapToGrid w:val="0"/>
                <w:color w:val="000000" w:themeColor="text1"/>
                <w:sz w:val="20"/>
                <w:szCs w:val="20"/>
              </w:rPr>
              <w:t>$2,430</w:t>
            </w:r>
          </w:p>
        </w:tc>
        <w:tc>
          <w:tcPr>
            <w:tcW w:w="1500" w:type="pct"/>
            <w:vAlign w:val="bottom"/>
          </w:tcPr>
          <w:p w14:paraId="0835AF5D" w14:textId="08773DE1"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$3,210</w:t>
            </w:r>
          </w:p>
        </w:tc>
        <w:tc>
          <w:tcPr>
            <w:tcW w:w="1499" w:type="pct"/>
            <w:vAlign w:val="bottom"/>
          </w:tcPr>
          <w:p w14:paraId="0E952C13" w14:textId="0FF48E39"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$3,990</w:t>
            </w:r>
          </w:p>
        </w:tc>
      </w:tr>
      <w:tr w:rsidR="0038181D" w:rsidRPr="00B27427" w14:paraId="0644AFC9" w14:textId="7645BB9F" w:rsidTr="00042210">
        <w:tc>
          <w:tcPr>
            <w:tcW w:w="501" w:type="pct"/>
          </w:tcPr>
          <w:p w14:paraId="27A05D5A" w14:textId="1C4FC61A" w:rsidR="0038181D" w:rsidRPr="00B27427" w:rsidRDefault="0038181D" w:rsidP="00042210">
            <w:pPr>
              <w:keepNext/>
              <w:widowControl w:val="0"/>
              <w:rPr>
                <w:rFonts w:ascii="Arial Narrow" w:hAnsi="Arial Narrow" w:cs="Arial"/>
                <w:snapToGrid w:val="0"/>
                <w:sz w:val="20"/>
                <w:szCs w:val="20"/>
              </w:rPr>
            </w:pPr>
            <w:r w:rsidRPr="00B27427">
              <w:rPr>
                <w:rFonts w:ascii="Arial Narrow" w:hAnsi="Arial Narrow" w:cs="Arial"/>
                <w:snapToGrid w:val="0"/>
                <w:sz w:val="20"/>
                <w:szCs w:val="20"/>
              </w:rPr>
              <w:t>90-90-90</w:t>
            </w:r>
          </w:p>
        </w:tc>
        <w:tc>
          <w:tcPr>
            <w:tcW w:w="1500" w:type="pct"/>
            <w:vAlign w:val="bottom"/>
          </w:tcPr>
          <w:p w14:paraId="4E2A0755" w14:textId="410DB81B"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$1,440</w:t>
            </w:r>
          </w:p>
        </w:tc>
        <w:tc>
          <w:tcPr>
            <w:tcW w:w="1500" w:type="pct"/>
            <w:vAlign w:val="bottom"/>
          </w:tcPr>
          <w:p w14:paraId="3D682637" w14:textId="6C801685"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$1,890</w:t>
            </w:r>
          </w:p>
        </w:tc>
        <w:tc>
          <w:tcPr>
            <w:tcW w:w="1499" w:type="pct"/>
            <w:vAlign w:val="bottom"/>
          </w:tcPr>
          <w:p w14:paraId="5F8ED9C1" w14:textId="0379E4A8" w:rsidR="0038181D" w:rsidRPr="00B27427" w:rsidRDefault="0038181D" w:rsidP="00042210">
            <w:pPr>
              <w:keepNext/>
              <w:widowControl w:val="0"/>
              <w:jc w:val="center"/>
              <w:rPr>
                <w:rFonts w:ascii="Arial Narrow" w:hAnsi="Arial Narrow" w:cs="Arial"/>
                <w:snapToGrid w:val="0"/>
                <w:sz w:val="20"/>
                <w:szCs w:val="20"/>
              </w:rPr>
            </w:pPr>
            <w:r w:rsidRPr="00B27427">
              <w:rPr>
                <w:rFonts w:ascii="Arial Narrow" w:hAnsi="Arial Narrow" w:cs="Arial"/>
                <w:snapToGrid w:val="0"/>
                <w:sz w:val="20"/>
                <w:szCs w:val="20"/>
              </w:rPr>
              <w:t>$2,340</w:t>
            </w:r>
          </w:p>
        </w:tc>
      </w:tr>
    </w:tbl>
    <w:p w14:paraId="089B580F" w14:textId="39A425AD" w:rsidR="0038181D" w:rsidRPr="00DB79CF" w:rsidRDefault="0038181D" w:rsidP="0038181D">
      <w:pPr>
        <w:pStyle w:val="ListParagraph"/>
        <w:ind w:left="0"/>
        <w:rPr>
          <w:rFonts w:ascii="Arial Narrow" w:hAnsi="Arial Narrow"/>
          <w:i/>
          <w:sz w:val="20"/>
        </w:rPr>
      </w:pPr>
      <w:r w:rsidRPr="00B27427">
        <w:rPr>
          <w:rFonts w:ascii="Arial Narrow" w:hAnsi="Arial Narrow"/>
          <w:sz w:val="20"/>
        </w:rPr>
        <w:t xml:space="preserve">Source: Kirby Institute and the Centre for Social Research in Health (October 2017). Discussion paper: Updated Estimates of the number of people eligible for PrEP in Australia, and related cost-effectiveness, Table A7, p 38. </w:t>
      </w:r>
      <w:r w:rsidR="00DB79CF" w:rsidRPr="00573375">
        <w:rPr>
          <w:rFonts w:ascii="Arial Narrow" w:hAnsi="Arial Narrow"/>
          <w:sz w:val="20"/>
        </w:rPr>
        <w:t>Extracted from the December 2017 Public Summary Document.</w:t>
      </w:r>
    </w:p>
    <w:p w14:paraId="4713DDDB" w14:textId="77777777" w:rsidR="0038181D" w:rsidRPr="0008463A" w:rsidRDefault="0038181D" w:rsidP="0038181D">
      <w:pPr>
        <w:pStyle w:val="ListParagraph"/>
        <w:ind w:left="0"/>
        <w:rPr>
          <w:rFonts w:ascii="Arial Narrow" w:hAnsi="Arial Narrow"/>
          <w:sz w:val="20"/>
        </w:rPr>
      </w:pPr>
    </w:p>
    <w:p w14:paraId="0376F18A" w14:textId="08A7CE63" w:rsidR="00C71581" w:rsidRPr="00C96F12" w:rsidRDefault="00C70C92" w:rsidP="00C70C92">
      <w:pPr>
        <w:pStyle w:val="ListParagraph"/>
        <w:numPr>
          <w:ilvl w:val="1"/>
          <w:numId w:val="4"/>
        </w:numPr>
        <w:snapToGrid w:val="0"/>
        <w:spacing w:after="120" w:line="240" w:lineRule="auto"/>
        <w:rPr>
          <w:rFonts w:cstheme="minorHAnsi"/>
        </w:rPr>
      </w:pPr>
      <w:r>
        <w:rPr>
          <w:rFonts w:cstheme="minorHAnsi"/>
        </w:rPr>
        <w:t>At the current annual treatment cost of daily PrEP ($1,355), the cost effectiveness is below $30,000 per QALY for all scenarios, including Scenario 90-90-90, which assumed 90% of all patients at high, medium or low risk are treated.</w:t>
      </w:r>
    </w:p>
    <w:p w14:paraId="468C5F58" w14:textId="77777777" w:rsidR="00FE640E" w:rsidRDefault="00FE640E" w:rsidP="007D552B">
      <w:pPr>
        <w:pStyle w:val="PBACHeading1"/>
        <w:spacing w:before="240" w:after="120"/>
        <w:ind w:left="709" w:hanging="709"/>
        <w:rPr>
          <w:rFonts w:asciiTheme="minorHAnsi" w:hAnsiTheme="minorHAnsi"/>
          <w:sz w:val="32"/>
          <w:szCs w:val="32"/>
        </w:rPr>
      </w:pPr>
      <w:r>
        <w:rPr>
          <w:rFonts w:asciiTheme="minorHAnsi" w:hAnsiTheme="minorHAnsi"/>
          <w:sz w:val="32"/>
          <w:szCs w:val="32"/>
        </w:rPr>
        <w:t>Consideration of the evidence</w:t>
      </w:r>
    </w:p>
    <w:p w14:paraId="11497D93" w14:textId="4F398B79" w:rsidR="00E90756" w:rsidRPr="00C07DEF" w:rsidRDefault="00E90756" w:rsidP="00C07DEF">
      <w:pPr>
        <w:pStyle w:val="PBACHeading1"/>
        <w:numPr>
          <w:ilvl w:val="0"/>
          <w:numId w:val="0"/>
        </w:numPr>
        <w:spacing w:before="240" w:after="120"/>
        <w:ind w:left="709"/>
        <w:rPr>
          <w:rFonts w:asciiTheme="minorHAnsi" w:eastAsiaTheme="minorHAnsi" w:hAnsiTheme="minorHAnsi" w:cstheme="minorHAnsi"/>
          <w:i/>
          <w:sz w:val="28"/>
          <w:szCs w:val="28"/>
        </w:rPr>
      </w:pPr>
      <w:r w:rsidRPr="00C07DEF">
        <w:rPr>
          <w:rFonts w:asciiTheme="minorHAnsi" w:eastAsiaTheme="minorHAnsi" w:hAnsiTheme="minorHAnsi" w:cstheme="minorHAnsi"/>
          <w:i/>
          <w:sz w:val="28"/>
          <w:szCs w:val="28"/>
        </w:rPr>
        <w:t>ASHM comments on PrEP Use and Impact in Australia</w:t>
      </w:r>
    </w:p>
    <w:p w14:paraId="7AF805C6" w14:textId="2E640F41" w:rsidR="00FD1DFD" w:rsidRPr="0046416A" w:rsidRDefault="006D3D43" w:rsidP="002D7DF9">
      <w:pPr>
        <w:pStyle w:val="ListParagraph"/>
        <w:numPr>
          <w:ilvl w:val="1"/>
          <w:numId w:val="4"/>
        </w:numPr>
        <w:spacing w:after="120"/>
        <w:contextualSpacing w:val="0"/>
      </w:pPr>
      <w:r w:rsidRPr="00E90756">
        <w:t>Australia</w:t>
      </w:r>
      <w:r w:rsidR="00D76553" w:rsidRPr="00E90756">
        <w:t xml:space="preserve"> was one of the first countries in the world to provide access to </w:t>
      </w:r>
      <w:r w:rsidR="003B3510" w:rsidRPr="00E90756">
        <w:t xml:space="preserve">government </w:t>
      </w:r>
      <w:r w:rsidR="00D76553" w:rsidRPr="00E90756">
        <w:t xml:space="preserve">subsidised PrEP </w:t>
      </w:r>
      <w:r w:rsidRPr="00E90756">
        <w:t xml:space="preserve">for people </w:t>
      </w:r>
      <w:r w:rsidR="00D76553" w:rsidRPr="00E90756">
        <w:t>at risk of HIV.</w:t>
      </w:r>
      <w:r w:rsidR="00041DDE">
        <w:t xml:space="preserve"> </w:t>
      </w:r>
      <w:r w:rsidR="009C12AB" w:rsidRPr="00E90756">
        <w:t xml:space="preserve">The PBS listing of medications for </w:t>
      </w:r>
      <w:r w:rsidR="00D76553" w:rsidRPr="00E90756">
        <w:t xml:space="preserve">PrEP </w:t>
      </w:r>
      <w:r w:rsidR="009C12AB" w:rsidRPr="00E90756">
        <w:t>in April 201</w:t>
      </w:r>
      <w:r w:rsidR="007E76A7" w:rsidRPr="00E90756">
        <w:t>8</w:t>
      </w:r>
      <w:r w:rsidR="009C12AB" w:rsidRPr="00E90756">
        <w:t xml:space="preserve"> </w:t>
      </w:r>
      <w:r w:rsidR="00D76553" w:rsidRPr="00E90756">
        <w:t>has</w:t>
      </w:r>
      <w:r w:rsidR="001716CC">
        <w:t xml:space="preserve"> likely</w:t>
      </w:r>
      <w:r w:rsidR="00D76553" w:rsidRPr="00E90756">
        <w:t xml:space="preserve"> </w:t>
      </w:r>
      <w:r w:rsidR="009C12AB" w:rsidRPr="00E90756">
        <w:t xml:space="preserve">played a </w:t>
      </w:r>
      <w:r w:rsidR="00D76553" w:rsidRPr="00E90756">
        <w:t>key role in the decline of new HIV notifications</w:t>
      </w:r>
      <w:r w:rsidRPr="00E90756">
        <w:t xml:space="preserve">, with </w:t>
      </w:r>
      <w:r w:rsidR="00D76553" w:rsidRPr="00E90756">
        <w:t xml:space="preserve">the annual number of HIV diagnoses in Australia </w:t>
      </w:r>
      <w:r w:rsidRPr="00E90756">
        <w:t>declining</w:t>
      </w:r>
      <w:r w:rsidR="00B52055">
        <w:t xml:space="preserve"> by 23% during 2014-2018</w:t>
      </w:r>
      <w:r w:rsidR="003F15B5" w:rsidRPr="00E90756">
        <w:t xml:space="preserve">. </w:t>
      </w:r>
      <w:r w:rsidR="00D76553" w:rsidRPr="00E90756">
        <w:t xml:space="preserve">This decrease was </w:t>
      </w:r>
      <w:r w:rsidR="00EF448B" w:rsidRPr="00E90756">
        <w:t xml:space="preserve">largely </w:t>
      </w:r>
      <w:r w:rsidR="00D76553" w:rsidRPr="00E90756">
        <w:t xml:space="preserve">attributable to a 30% decline in </w:t>
      </w:r>
      <w:r w:rsidR="00EF448B" w:rsidRPr="00E90756">
        <w:t xml:space="preserve">HIV </w:t>
      </w:r>
      <w:r w:rsidR="00D76553" w:rsidRPr="00E90756">
        <w:t>notifications among men who have sex with men (MSM)</w:t>
      </w:r>
      <w:r w:rsidR="00E81A88">
        <w:t>.</w:t>
      </w:r>
      <w:r w:rsidR="00B52055">
        <w:rPr>
          <w:rStyle w:val="FootnoteReference"/>
        </w:rPr>
        <w:footnoteReference w:id="2"/>
      </w:r>
    </w:p>
    <w:p w14:paraId="5F58CBA2" w14:textId="66308D17" w:rsidR="002B02A3" w:rsidRPr="0046416A" w:rsidRDefault="005A7297" w:rsidP="00E90756">
      <w:pPr>
        <w:pStyle w:val="ListParagraph"/>
        <w:numPr>
          <w:ilvl w:val="1"/>
          <w:numId w:val="4"/>
        </w:numPr>
        <w:spacing w:after="120"/>
        <w:contextualSpacing w:val="0"/>
      </w:pPr>
      <w:r>
        <w:t>Based on data published by the Kirby Institute, a</w:t>
      </w:r>
      <w:r w:rsidR="00DC03A9" w:rsidRPr="0046416A">
        <w:t xml:space="preserve">t the </w:t>
      </w:r>
      <w:r w:rsidR="00D76553" w:rsidRPr="0046416A">
        <w:t>end of June 2019 it was estimated that 26,520 people were on PrEP in Australia, of whom</w:t>
      </w:r>
      <w:r w:rsidR="00B52055">
        <w:t xml:space="preserve"> 98.8% were recognised as male</w:t>
      </w:r>
      <w:r w:rsidR="00E81A88">
        <w:t>.</w:t>
      </w:r>
      <w:r w:rsidR="00B52055">
        <w:rPr>
          <w:rStyle w:val="FootnoteReference"/>
        </w:rPr>
        <w:footnoteReference w:id="3"/>
      </w:r>
      <w:r w:rsidR="00D76553" w:rsidRPr="0046416A">
        <w:t xml:space="preserve"> </w:t>
      </w:r>
      <w:r w:rsidR="00154403">
        <w:t>A</w:t>
      </w:r>
      <w:r w:rsidR="00D76553" w:rsidRPr="0046416A">
        <w:t xml:space="preserve"> 25% decline in new HIV diagnoses was observed among MSM in New South Wales,</w:t>
      </w:r>
      <w:r w:rsidR="00154403">
        <w:t xml:space="preserve"> largely related to PrEP availability and awareness,</w:t>
      </w:r>
      <w:r w:rsidR="00D76553" w:rsidRPr="0046416A">
        <w:t xml:space="preserve"> from 295 in the 12 months before the Expanded PrEP Implementation in Communities New </w:t>
      </w:r>
      <w:r w:rsidR="00D76553" w:rsidRPr="0046416A">
        <w:lastRenderedPageBreak/>
        <w:t>South Wales (EPIC-NSW) study commenced to 221 in the 12 mont</w:t>
      </w:r>
      <w:r w:rsidR="00B52055">
        <w:t>hs following study commencement.</w:t>
      </w:r>
      <w:r w:rsidR="00B52055">
        <w:rPr>
          <w:rStyle w:val="FootnoteReference"/>
        </w:rPr>
        <w:footnoteReference w:id="4"/>
      </w:r>
    </w:p>
    <w:p w14:paraId="276A0D41" w14:textId="47A6D522" w:rsidR="00F87724" w:rsidRPr="0046416A" w:rsidRDefault="002B02A3" w:rsidP="002D7DF9">
      <w:pPr>
        <w:pStyle w:val="ListParagraph"/>
        <w:numPr>
          <w:ilvl w:val="1"/>
          <w:numId w:val="4"/>
        </w:numPr>
        <w:spacing w:after="120"/>
        <w:contextualSpacing w:val="0"/>
      </w:pPr>
      <w:r w:rsidRPr="0046416A">
        <w:t>The</w:t>
      </w:r>
      <w:r w:rsidR="008D0DFE">
        <w:t xml:space="preserve"> ASHM noted the</w:t>
      </w:r>
      <w:r w:rsidRPr="0046416A">
        <w:t xml:space="preserve"> latest estimate from the Kirby Institute shows that around 26,360 people</w:t>
      </w:r>
      <w:r w:rsidR="00A15AB6" w:rsidRPr="0046416A">
        <w:t xml:space="preserve"> throughout Australia</w:t>
      </w:r>
      <w:r w:rsidRPr="0046416A">
        <w:t xml:space="preserve"> were taking PrEP at some time during the three months to 31 March 2020.</w:t>
      </w:r>
      <w:r w:rsidR="00041DDE">
        <w:t xml:space="preserve"> </w:t>
      </w:r>
      <w:r w:rsidR="00391016" w:rsidRPr="0046416A">
        <w:t xml:space="preserve">A comparison between 2019 and 2020 PrEP uptake figures indicates that PrEP uptake appears to have </w:t>
      </w:r>
      <w:r w:rsidR="00873AF3" w:rsidRPr="0046416A">
        <w:t>slowed</w:t>
      </w:r>
      <w:r w:rsidR="00391016" w:rsidRPr="0046416A">
        <w:t xml:space="preserve">, notwithstanding that </w:t>
      </w:r>
      <w:r w:rsidR="00104FC2" w:rsidRPr="0046416A">
        <w:t xml:space="preserve">there have been ongoing </w:t>
      </w:r>
      <w:r w:rsidR="00391016" w:rsidRPr="0046416A">
        <w:t>governmental and community PrEP awareness campaigns</w:t>
      </w:r>
      <w:r w:rsidR="00F87724" w:rsidRPr="0046416A">
        <w:t>.</w:t>
      </w:r>
    </w:p>
    <w:p w14:paraId="42232E4B" w14:textId="17E66B37" w:rsidR="00104FC2" w:rsidRPr="0046416A" w:rsidRDefault="00BE525E" w:rsidP="002D7DF9">
      <w:pPr>
        <w:pStyle w:val="ListParagraph"/>
        <w:numPr>
          <w:ilvl w:val="1"/>
          <w:numId w:val="4"/>
        </w:numPr>
        <w:spacing w:after="120"/>
        <w:contextualSpacing w:val="0"/>
      </w:pPr>
      <w:r>
        <w:t>ASHM</w:t>
      </w:r>
      <w:r w:rsidR="00F87724" w:rsidRPr="0046416A">
        <w:t xml:space="preserve"> </w:t>
      </w:r>
      <w:r w:rsidR="008D0DFE">
        <w:t>also stated</w:t>
      </w:r>
      <w:r w:rsidR="00F87724" w:rsidRPr="0046416A">
        <w:t xml:space="preserve"> that PBS costs for PrEP</w:t>
      </w:r>
      <w:r w:rsidR="008D0DFE">
        <w:t xml:space="preserve"> may</w:t>
      </w:r>
      <w:r w:rsidR="00F87724" w:rsidRPr="0046416A">
        <w:t xml:space="preserve"> have been </w:t>
      </w:r>
      <w:r w:rsidR="00583BC0" w:rsidRPr="0046416A">
        <w:t xml:space="preserve">considerably </w:t>
      </w:r>
      <w:r w:rsidR="00F87724" w:rsidRPr="0046416A">
        <w:t>lower than predicted by the Department of Finance at the time of PBS listing of PrEP (1 April 201</w:t>
      </w:r>
      <w:r w:rsidR="007E76A7" w:rsidRPr="0046416A">
        <w:t>8</w:t>
      </w:r>
      <w:r w:rsidR="00F87724" w:rsidRPr="0046416A">
        <w:t>)</w:t>
      </w:r>
      <w:r w:rsidR="00104FC2" w:rsidRPr="0046416A">
        <w:t>, indicating a slowing of PrEP uptake and continuation</w:t>
      </w:r>
      <w:r w:rsidR="00F87724" w:rsidRPr="0046416A">
        <w:t>.</w:t>
      </w:r>
    </w:p>
    <w:p w14:paraId="53E618A4" w14:textId="1E08F551" w:rsidR="0046416A" w:rsidRPr="002D7DF9" w:rsidRDefault="00F87724" w:rsidP="002D7DF9">
      <w:pPr>
        <w:pStyle w:val="ListParagraph"/>
        <w:numPr>
          <w:ilvl w:val="1"/>
          <w:numId w:val="4"/>
        </w:numPr>
        <w:spacing w:after="120"/>
        <w:contextualSpacing w:val="0"/>
      </w:pPr>
      <w:r w:rsidRPr="0046416A">
        <w:t xml:space="preserve">At this time, </w:t>
      </w:r>
      <w:r w:rsidR="000713A0" w:rsidRPr="0046416A">
        <w:t xml:space="preserve">a key target of </w:t>
      </w:r>
      <w:r w:rsidRPr="0046416A">
        <w:t>Australia’s National HIV Strategy target</w:t>
      </w:r>
      <w:r w:rsidR="00A15AB6" w:rsidRPr="0046416A">
        <w:t>,</w:t>
      </w:r>
      <w:r w:rsidRPr="0046416A">
        <w:t xml:space="preserve"> which is to increase the proportion of eligible </w:t>
      </w:r>
      <w:r w:rsidR="00104FC2" w:rsidRPr="0046416A">
        <w:t>people</w:t>
      </w:r>
      <w:r w:rsidRPr="0046416A">
        <w:t xml:space="preserve"> </w:t>
      </w:r>
      <w:r w:rsidR="000713A0" w:rsidRPr="0046416A">
        <w:t>taking</w:t>
      </w:r>
      <w:r w:rsidRPr="0046416A">
        <w:t xml:space="preserve"> PrEP to 75 per cent by 2022, </w:t>
      </w:r>
      <w:r w:rsidR="000713A0" w:rsidRPr="0046416A">
        <w:t xml:space="preserve">may not </w:t>
      </w:r>
      <w:r w:rsidRPr="0046416A">
        <w:t>be met. The</w:t>
      </w:r>
      <w:r w:rsidR="00E203E3">
        <w:t xml:space="preserve"> ASHM considered the</w:t>
      </w:r>
      <w:r w:rsidRPr="0046416A">
        <w:t xml:space="preserve"> </w:t>
      </w:r>
      <w:r w:rsidR="00104FC2" w:rsidRPr="0046416A">
        <w:t xml:space="preserve">impact of the </w:t>
      </w:r>
      <w:r w:rsidR="00E90756">
        <w:t>COVID</w:t>
      </w:r>
      <w:r w:rsidRPr="0046416A">
        <w:t>-19 pandemic</w:t>
      </w:r>
      <w:r w:rsidR="00104FC2" w:rsidRPr="0046416A">
        <w:t xml:space="preserve"> on PrEP use is unknown, but there are anecdotal reports that there are impacts on PrEP </w:t>
      </w:r>
      <w:r w:rsidR="00583BC0" w:rsidRPr="0046416A">
        <w:t>use, including reluctance among some people to seek medical care because of the pandemic.</w:t>
      </w:r>
    </w:p>
    <w:p w14:paraId="1306A626" w14:textId="7114DB99" w:rsidR="0046416A" w:rsidRPr="002D7DF9" w:rsidRDefault="005A7297" w:rsidP="002D7DF9">
      <w:pPr>
        <w:pStyle w:val="ListParagraph"/>
        <w:snapToGrid w:val="0"/>
        <w:spacing w:before="240" w:after="120" w:line="240" w:lineRule="auto"/>
        <w:contextualSpacing w:val="0"/>
        <w:outlineLvl w:val="1"/>
        <w:rPr>
          <w:rFonts w:cstheme="minorHAnsi"/>
          <w:b/>
          <w:i/>
          <w:sz w:val="28"/>
          <w:szCs w:val="28"/>
        </w:rPr>
      </w:pPr>
      <w:r>
        <w:rPr>
          <w:rFonts w:cstheme="minorHAnsi"/>
          <w:b/>
          <w:i/>
          <w:sz w:val="28"/>
          <w:szCs w:val="28"/>
        </w:rPr>
        <w:t xml:space="preserve">PBS </w:t>
      </w:r>
      <w:r w:rsidR="0046416A" w:rsidRPr="002D7DF9">
        <w:rPr>
          <w:rFonts w:cstheme="minorHAnsi"/>
          <w:b/>
          <w:i/>
          <w:sz w:val="28"/>
          <w:szCs w:val="28"/>
        </w:rPr>
        <w:t>Utilisation of PrEP since April 2018</w:t>
      </w:r>
    </w:p>
    <w:p w14:paraId="72223F10" w14:textId="00CCEAF7" w:rsidR="00FE640E" w:rsidRDefault="005A7297" w:rsidP="00042210">
      <w:pPr>
        <w:pStyle w:val="ListParagraph"/>
        <w:numPr>
          <w:ilvl w:val="1"/>
          <w:numId w:val="4"/>
        </w:numPr>
      </w:pPr>
      <w:r>
        <w:t>To examine the use of PrEP on the PBS, data were</w:t>
      </w:r>
      <w:r w:rsidR="0046416A">
        <w:t xml:space="preserve"> extracted from Services</w:t>
      </w:r>
      <w:r w:rsidR="00FE640E">
        <w:t xml:space="preserve"> Australia</w:t>
      </w:r>
      <w:r w:rsidR="0046416A">
        <w:t xml:space="preserve"> Supplied Prescription Database on the utilisation of PrEP for the period 1 April 2018 to 30 June 2020. </w:t>
      </w:r>
    </w:p>
    <w:p w14:paraId="44B8BF50" w14:textId="1872920C" w:rsidR="00FE640E" w:rsidRDefault="0046416A" w:rsidP="00042210">
      <w:pPr>
        <w:pStyle w:val="ListParagraph"/>
        <w:numPr>
          <w:ilvl w:val="1"/>
          <w:numId w:val="4"/>
        </w:numPr>
      </w:pPr>
      <w:r>
        <w:t>Over that period, the number of patients supplied PrEP</w:t>
      </w:r>
      <w:r w:rsidR="008D0DFE">
        <w:t xml:space="preserve"> in a calendar month</w:t>
      </w:r>
      <w:r>
        <w:t xml:space="preserve"> increased from 1,920 (4,217 scripts) in April 2018 to a peak of 12,669 (21,149 scripts) in March 2020.</w:t>
      </w:r>
      <w:r w:rsidR="005A7297">
        <w:t xml:space="preserve"> </w:t>
      </w:r>
      <w:r w:rsidR="00477FAC">
        <w:t>The PBAC noted the number of PrEP prescriptions was lower than the estimates in the December 2017 submission.</w:t>
      </w:r>
    </w:p>
    <w:p w14:paraId="0EE6ABED" w14:textId="77777777" w:rsidR="00FE640E" w:rsidRDefault="005A7297" w:rsidP="00042210">
      <w:pPr>
        <w:pStyle w:val="ListParagraph"/>
        <w:numPr>
          <w:ilvl w:val="1"/>
          <w:numId w:val="4"/>
        </w:numPr>
      </w:pPr>
      <w:r>
        <w:t>There was a sharp decrease in the number of supplied prescriptions and patients in April 2020 and subsequent months, which was preceded by an off-trend increas</w:t>
      </w:r>
      <w:r w:rsidR="008D0DFE">
        <w:t>e in prescribing in March 2020, aligning with the announcement and commencement of COVID-19 related public health measures and restrictions.</w:t>
      </w:r>
      <w:r w:rsidR="0046416A">
        <w:t xml:space="preserve"> </w:t>
      </w:r>
    </w:p>
    <w:p w14:paraId="607CD21B" w14:textId="467CF5F9" w:rsidR="0046416A" w:rsidRDefault="0038521F" w:rsidP="00042210">
      <w:pPr>
        <w:pStyle w:val="ListParagraph"/>
        <w:numPr>
          <w:ilvl w:val="1"/>
          <w:numId w:val="4"/>
        </w:numPr>
      </w:pPr>
      <w:r>
        <w:t xml:space="preserve">Utilisation statistics by month </w:t>
      </w:r>
      <w:r w:rsidR="00ED2304">
        <w:t xml:space="preserve">(prescription </w:t>
      </w:r>
      <w:r>
        <w:t>counts and patient counts)</w:t>
      </w:r>
      <w:r w:rsidR="005A7297">
        <w:t xml:space="preserve"> from the date of listing</w:t>
      </w:r>
      <w:r>
        <w:t xml:space="preserve"> are presented</w:t>
      </w:r>
      <w:r w:rsidR="00ED2304">
        <w:t xml:space="preserve"> in the </w:t>
      </w:r>
      <w:r w:rsidR="00FE640E">
        <w:t>F</w:t>
      </w:r>
      <w:r w:rsidR="00ED2304">
        <w:t>igure</w:t>
      </w:r>
      <w:r w:rsidR="00FE640E">
        <w:t xml:space="preserve"> 1</w:t>
      </w:r>
      <w:r w:rsidR="00950083">
        <w:t xml:space="preserve"> and Figure 2</w:t>
      </w:r>
      <w:r w:rsidR="00ED2304">
        <w:t>.</w:t>
      </w:r>
    </w:p>
    <w:p w14:paraId="454CC869" w14:textId="394D5EAA" w:rsidR="00ED2304" w:rsidRDefault="00ED2304" w:rsidP="00ED2304">
      <w:pPr>
        <w:pStyle w:val="Caption"/>
      </w:pPr>
      <w:r>
        <w:lastRenderedPageBreak/>
        <w:t xml:space="preserve">Figure </w:t>
      </w:r>
      <w:fldSimple w:instr=" SEQ Figure \* ARABIC ">
        <w:r w:rsidR="00217211">
          <w:rPr>
            <w:noProof/>
          </w:rPr>
          <w:t>1</w:t>
        </w:r>
      </w:fldSimple>
      <w:r>
        <w:t>: Monthly PrEP prescriptions dispensed 1 April 2018 - 30 June 2020</w:t>
      </w:r>
    </w:p>
    <w:p w14:paraId="470635AD" w14:textId="04A7B31E" w:rsidR="00ED2304" w:rsidRPr="0046416A" w:rsidRDefault="00ED2304" w:rsidP="0046416A">
      <w:pPr>
        <w:pStyle w:val="ListParagraph"/>
        <w:ind w:hanging="720"/>
      </w:pPr>
      <w:r>
        <w:rPr>
          <w:noProof/>
          <w:lang w:eastAsia="en-AU"/>
        </w:rPr>
        <w:drawing>
          <wp:inline distT="0" distB="0" distL="0" distR="0" wp14:anchorId="308F3B2C" wp14:editId="647BC3DC">
            <wp:extent cx="5553075" cy="3476625"/>
            <wp:effectExtent l="0" t="0" r="9525" b="9525"/>
            <wp:docPr id="1" name="Chart 1" title="Figure 1: Monthly PrEP prescriptions dispensed 1 April 2018 - 30 June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F952FA" w14:textId="3C98BEC3" w:rsidR="0046416A" w:rsidRDefault="00ED2304" w:rsidP="00FD1DFD">
      <w:pPr>
        <w:pStyle w:val="ListParagraph"/>
        <w:ind w:hanging="720"/>
        <w:rPr>
          <w:rFonts w:ascii="Arial Narrow" w:hAnsi="Arial Narrow"/>
          <w:sz w:val="20"/>
          <w:szCs w:val="20"/>
        </w:rPr>
      </w:pPr>
      <w:r>
        <w:rPr>
          <w:rFonts w:ascii="Arial Narrow" w:hAnsi="Arial Narrow"/>
          <w:sz w:val="20"/>
          <w:szCs w:val="20"/>
        </w:rPr>
        <w:t xml:space="preserve">Source: </w:t>
      </w:r>
      <w:r w:rsidR="00950083">
        <w:rPr>
          <w:rFonts w:ascii="Arial Narrow" w:hAnsi="Arial Narrow"/>
          <w:sz w:val="20"/>
          <w:szCs w:val="20"/>
        </w:rPr>
        <w:t xml:space="preserve">Services Australia </w:t>
      </w:r>
      <w:r w:rsidR="00E90756">
        <w:rPr>
          <w:rFonts w:ascii="Arial Narrow" w:hAnsi="Arial Narrow"/>
          <w:sz w:val="20"/>
          <w:szCs w:val="20"/>
        </w:rPr>
        <w:t>supplied prescription database, extracted 20 August 2020. Combined total of all brands/forms of tenofovir with emtricitabine dispensed under PrEP PBS item codes</w:t>
      </w:r>
    </w:p>
    <w:p w14:paraId="78157DB2" w14:textId="194FD4F9" w:rsidR="00E90756" w:rsidRDefault="00E90756" w:rsidP="00E90756">
      <w:pPr>
        <w:pStyle w:val="Caption"/>
      </w:pPr>
      <w:r>
        <w:t xml:space="preserve">Figure </w:t>
      </w:r>
      <w:fldSimple w:instr=" SEQ Figure \* ARABIC ">
        <w:r w:rsidR="00217211">
          <w:rPr>
            <w:noProof/>
          </w:rPr>
          <w:t>2</w:t>
        </w:r>
      </w:fldSimple>
      <w:r>
        <w:t>: Monthly number of patients dispensed PBS-subsidised PrEP 1 April 2018 - 30 June 2020</w:t>
      </w:r>
    </w:p>
    <w:p w14:paraId="5F986EF1" w14:textId="2D4494B4" w:rsidR="00E90756" w:rsidRPr="00ED2304" w:rsidRDefault="00E90756" w:rsidP="00FD1DFD">
      <w:pPr>
        <w:pStyle w:val="ListParagraph"/>
        <w:ind w:hanging="720"/>
        <w:rPr>
          <w:rFonts w:ascii="Arial Narrow" w:hAnsi="Arial Narrow"/>
          <w:sz w:val="20"/>
          <w:szCs w:val="20"/>
        </w:rPr>
      </w:pPr>
      <w:r>
        <w:rPr>
          <w:noProof/>
          <w:lang w:eastAsia="en-AU"/>
        </w:rPr>
        <w:drawing>
          <wp:inline distT="0" distB="0" distL="0" distR="0" wp14:anchorId="3B098699" wp14:editId="050D64BC">
            <wp:extent cx="5573864" cy="3172571"/>
            <wp:effectExtent l="0" t="0" r="8255" b="8890"/>
            <wp:docPr id="2" name="Chart 2" title="Figure 2: Monthly number of patients dispensed PBS-subsidised PrEP 1 April 2018 - 30 June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F663BD" w14:textId="0BFB69F0" w:rsidR="00E90756" w:rsidRPr="008B5516" w:rsidRDefault="00E90756" w:rsidP="00E90756">
      <w:pPr>
        <w:pStyle w:val="ListParagraph"/>
        <w:ind w:hanging="720"/>
        <w:rPr>
          <w:rFonts w:ascii="Arial Narrow" w:hAnsi="Arial Narrow"/>
          <w:i/>
          <w:sz w:val="20"/>
          <w:szCs w:val="20"/>
        </w:rPr>
      </w:pPr>
      <w:r>
        <w:rPr>
          <w:rFonts w:ascii="Arial Narrow" w:hAnsi="Arial Narrow"/>
          <w:sz w:val="20"/>
          <w:szCs w:val="20"/>
        </w:rPr>
        <w:t xml:space="preserve">Source: </w:t>
      </w:r>
      <w:r w:rsidR="00950083">
        <w:rPr>
          <w:rFonts w:ascii="Arial Narrow" w:hAnsi="Arial Narrow"/>
          <w:sz w:val="20"/>
          <w:szCs w:val="20"/>
        </w:rPr>
        <w:t xml:space="preserve">Services Australia </w:t>
      </w:r>
      <w:r>
        <w:rPr>
          <w:rFonts w:ascii="Arial Narrow" w:hAnsi="Arial Narrow"/>
          <w:sz w:val="20"/>
          <w:szCs w:val="20"/>
        </w:rPr>
        <w:t>supplied prescription database, extracted 20 August 2020. Combined total of all brands/forms of tenofovir with emtricitabine dispensed under PrEP PBS item codes</w:t>
      </w:r>
      <w:r w:rsidR="008B5516">
        <w:rPr>
          <w:rFonts w:ascii="Arial Narrow" w:hAnsi="Arial Narrow"/>
          <w:sz w:val="20"/>
          <w:szCs w:val="20"/>
        </w:rPr>
        <w:t>.</w:t>
      </w:r>
    </w:p>
    <w:p w14:paraId="5DEC449E" w14:textId="77777777" w:rsidR="00042210" w:rsidRDefault="00042210" w:rsidP="00E90756">
      <w:pPr>
        <w:pStyle w:val="ListParagraph"/>
        <w:ind w:hanging="720"/>
        <w:rPr>
          <w:rFonts w:ascii="Arial Narrow" w:hAnsi="Arial Narrow"/>
          <w:sz w:val="20"/>
          <w:szCs w:val="20"/>
        </w:rPr>
      </w:pPr>
    </w:p>
    <w:p w14:paraId="3127A8EC" w14:textId="154BC31C" w:rsidR="000713A0" w:rsidRDefault="00042210" w:rsidP="0032213D">
      <w:pPr>
        <w:pStyle w:val="ListParagraph"/>
        <w:numPr>
          <w:ilvl w:val="1"/>
          <w:numId w:val="4"/>
        </w:numPr>
      </w:pPr>
      <w:r>
        <w:lastRenderedPageBreak/>
        <w:t>For the only full calendar year for which PrEP has been listed on the PBS (2019), Commonwealth benefits paid for PrEP was $30,204,524</w:t>
      </w:r>
      <w:r w:rsidR="00950083">
        <w:t>.</w:t>
      </w:r>
      <w:r w:rsidR="008D0DFE">
        <w:rPr>
          <w:rStyle w:val="FootnoteReference"/>
        </w:rPr>
        <w:footnoteReference w:id="5"/>
      </w:r>
      <w:r>
        <w:t xml:space="preserve"> </w:t>
      </w:r>
    </w:p>
    <w:p w14:paraId="41A5E999" w14:textId="3959D241" w:rsidR="00385A7A" w:rsidRPr="00C57ABD" w:rsidRDefault="00385A7A" w:rsidP="002D7DF9">
      <w:pPr>
        <w:pStyle w:val="PBACHeading1"/>
        <w:spacing w:before="240" w:after="120"/>
        <w:ind w:left="709" w:hanging="709"/>
        <w:rPr>
          <w:rFonts w:asciiTheme="minorHAnsi" w:hAnsiTheme="minorHAnsi"/>
          <w:sz w:val="32"/>
          <w:szCs w:val="32"/>
        </w:rPr>
      </w:pPr>
      <w:r w:rsidRPr="007D552B">
        <w:rPr>
          <w:rFonts w:asciiTheme="minorHAnsi" w:hAnsiTheme="minorHAnsi"/>
          <w:sz w:val="32"/>
          <w:szCs w:val="32"/>
        </w:rPr>
        <w:t>ASHM Comments on simplifying PBS Prescribing Criteria for PrEP</w:t>
      </w:r>
    </w:p>
    <w:p w14:paraId="37167F22" w14:textId="372AA831" w:rsidR="005234A0" w:rsidRPr="002D7DF9" w:rsidRDefault="005234A0" w:rsidP="002D7DF9">
      <w:pPr>
        <w:pStyle w:val="ListParagraph"/>
        <w:numPr>
          <w:ilvl w:val="1"/>
          <w:numId w:val="4"/>
        </w:numPr>
        <w:spacing w:after="120"/>
        <w:contextualSpacing w:val="0"/>
      </w:pPr>
      <w:r>
        <w:t>Since PBS availability of PrEP in April 201</w:t>
      </w:r>
      <w:r w:rsidR="007E76A7">
        <w:t>8</w:t>
      </w:r>
      <w:r>
        <w:t xml:space="preserve">, ASHM has sought to streamline the information provided to clinicians and patients about PrEP wherever possible. </w:t>
      </w:r>
      <w:r w:rsidR="0015768C">
        <w:t xml:space="preserve">The ASHM advised the 2017 </w:t>
      </w:r>
      <w:r>
        <w:t xml:space="preserve">PrEP guidelines contained some complex </w:t>
      </w:r>
      <w:r w:rsidR="00D17F63">
        <w:t xml:space="preserve">assessment </w:t>
      </w:r>
      <w:r>
        <w:t xml:space="preserve">criteria, </w:t>
      </w:r>
      <w:r w:rsidRPr="00D17F63">
        <w:t>which from anecdotal reports</w:t>
      </w:r>
      <w:r w:rsidR="00A50437">
        <w:t>,</w:t>
      </w:r>
      <w:r w:rsidRPr="00D17F63">
        <w:t xml:space="preserve"> were a disincentive to </w:t>
      </w:r>
      <w:r w:rsidR="00D17F63" w:rsidRPr="00D17F63">
        <w:t xml:space="preserve">some </w:t>
      </w:r>
      <w:r w:rsidRPr="00D17F63">
        <w:t xml:space="preserve">patients to ask about PrEP and for </w:t>
      </w:r>
      <w:r w:rsidR="00D17F63" w:rsidRPr="00D17F63">
        <w:t xml:space="preserve">some </w:t>
      </w:r>
      <w:r w:rsidRPr="00D17F63">
        <w:t>clinicians to prescribe it</w:t>
      </w:r>
      <w:r w:rsidR="0015768C">
        <w:t>;</w:t>
      </w:r>
      <w:r w:rsidR="00D17F63" w:rsidRPr="00D17F63">
        <w:t xml:space="preserve"> especially in low HIV caseload settings and/or among patients with diverse cultural and linguistic backgrounds or who may be marginalised in other ways</w:t>
      </w:r>
      <w:r w:rsidRPr="00D17F63">
        <w:t xml:space="preserve">. </w:t>
      </w:r>
    </w:p>
    <w:p w14:paraId="14159387" w14:textId="2D881398" w:rsidR="005234A0" w:rsidRPr="00385A7A" w:rsidRDefault="000713A0" w:rsidP="00385A7A">
      <w:pPr>
        <w:pStyle w:val="ListParagraph"/>
        <w:numPr>
          <w:ilvl w:val="1"/>
          <w:numId w:val="4"/>
        </w:numPr>
        <w:spacing w:after="120"/>
        <w:contextualSpacing w:val="0"/>
      </w:pPr>
      <w:r w:rsidRPr="00D17F63">
        <w:t xml:space="preserve">The 2017 ASHM PrEP guidelines classified a person’s risk of HIV acquisition as high or low based </w:t>
      </w:r>
      <w:r w:rsidR="00D17F63" w:rsidRPr="00D17F63">
        <w:t xml:space="preserve">on criteria from </w:t>
      </w:r>
      <w:r w:rsidR="00A50437" w:rsidRPr="00A50437">
        <w:t>Poynten</w:t>
      </w:r>
      <w:r w:rsidR="00A50437">
        <w:t xml:space="preserve"> et al., </w:t>
      </w:r>
      <w:r w:rsidR="0050504E">
        <w:t>2010</w:t>
      </w:r>
      <w:r w:rsidR="00950083">
        <w:t>.</w:t>
      </w:r>
      <w:r w:rsidR="00B52055">
        <w:rPr>
          <w:rStyle w:val="FootnoteReference"/>
        </w:rPr>
        <w:footnoteReference w:id="6"/>
      </w:r>
      <w:r w:rsidRPr="00196219">
        <w:t xml:space="preserve"> The</w:t>
      </w:r>
      <w:r w:rsidRPr="00D17F63">
        <w:t xml:space="preserve"> 2017 guidelines recommended that an individual had to report HIV risk in the 3 months before commencing PrEP and that the individual anticipated that they would have HIV risk in the 3 months after commencing PrEP. Additionally, in the 2017 guidelines, clinicians were invited to consider offering PrEP on a case-by-case </w:t>
      </w:r>
      <w:r w:rsidR="008D0DFE">
        <w:t>basis</w:t>
      </w:r>
      <w:r w:rsidRPr="00D17F63">
        <w:t xml:space="preserve"> to people who did not meet high or medium</w:t>
      </w:r>
      <w:r w:rsidR="0085005A">
        <w:t xml:space="preserve"> </w:t>
      </w:r>
      <w:r w:rsidRPr="00D17F63">
        <w:t>risk criteria.</w:t>
      </w:r>
    </w:p>
    <w:p w14:paraId="44128A30" w14:textId="4E13A86D" w:rsidR="00457A0D" w:rsidRPr="00385A7A" w:rsidRDefault="0085005A" w:rsidP="002D7DF9">
      <w:pPr>
        <w:pStyle w:val="ListParagraph"/>
        <w:numPr>
          <w:ilvl w:val="1"/>
          <w:numId w:val="4"/>
        </w:numPr>
        <w:spacing w:after="120"/>
        <w:contextualSpacing w:val="0"/>
      </w:pPr>
      <w:r>
        <w:t xml:space="preserve">Reflecting the need to </w:t>
      </w:r>
      <w:r w:rsidR="001E13DE">
        <w:t xml:space="preserve">minimise complexity, </w:t>
      </w:r>
      <w:r w:rsidR="000713A0" w:rsidRPr="00D17F63">
        <w:t>the 2019 ASHM PrEP guidelines no longer classify a person’s risk of HIV acquisition as high or low and no longer require that an individual demonstrate HIV risk in the previous 3</w:t>
      </w:r>
      <w:r w:rsidR="00950083">
        <w:t> </w:t>
      </w:r>
      <w:r w:rsidR="000713A0" w:rsidRPr="00D17F63">
        <w:t xml:space="preserve">months. Instead the 2019 guidelines provide behavioural examples of what would make a person suitable for PrEP, including whether a person’s quality of life would likely improve if they were offered PrEP, e.g. people with high levels of </w:t>
      </w:r>
      <w:r w:rsidR="006871DE">
        <w:t>anxiety about HIV acquisition.</w:t>
      </w:r>
    </w:p>
    <w:p w14:paraId="78562DED" w14:textId="689711DF" w:rsidR="009112D6" w:rsidRDefault="00145CD6" w:rsidP="002D7DF9">
      <w:pPr>
        <w:pStyle w:val="ListParagraph"/>
        <w:numPr>
          <w:ilvl w:val="1"/>
          <w:numId w:val="4"/>
        </w:numPr>
        <w:spacing w:after="120"/>
        <w:contextualSpacing w:val="0"/>
      </w:pPr>
      <w:r>
        <w:t>The ASHM argued the</w:t>
      </w:r>
      <w:r w:rsidR="00457A0D" w:rsidRPr="00457A0D">
        <w:t xml:space="preserve"> </w:t>
      </w:r>
      <w:r w:rsidR="00457A0D">
        <w:t xml:space="preserve">current </w:t>
      </w:r>
      <w:r w:rsidR="00457A0D" w:rsidRPr="00457A0D">
        <w:t>epidemiological data highlight the need to strengthen the current strategies for HIV prevention in Australia, especially in Indigenous populations, overseas-born MSM where HIV rates are rising, and heterosexuals</w:t>
      </w:r>
      <w:r w:rsidR="00457A0D">
        <w:t xml:space="preserve">, which would include expanding </w:t>
      </w:r>
      <w:r w:rsidR="00457A0D" w:rsidRPr="00457A0D">
        <w:t>the uptake of PrEP by all eligible people at risk. The PrEP suitability eligibility criteria that are provided in these guidelines are not intended to limit or deny access to PrEP to any person who seeks it. Instead, they are intended to help identify and actively recommend PrEP to people suitable for PrEP and to guide clinicians in their discussions about PrEP with patients who are uncertain about their HIV risk and need for PrEP use</w:t>
      </w:r>
      <w:r w:rsidR="00C07DEF">
        <w:t>.</w:t>
      </w:r>
      <w:r w:rsidR="00457A0D" w:rsidRPr="00457A0D">
        <w:t xml:space="preserve"> </w:t>
      </w:r>
    </w:p>
    <w:p w14:paraId="23915B0D" w14:textId="28A05681" w:rsidR="00145CD6" w:rsidRDefault="00145CD6" w:rsidP="00953D88">
      <w:pPr>
        <w:pStyle w:val="ListParagraph"/>
        <w:numPr>
          <w:ilvl w:val="1"/>
          <w:numId w:val="4"/>
        </w:numPr>
        <w:contextualSpacing w:val="0"/>
      </w:pPr>
      <w:r>
        <w:lastRenderedPageBreak/>
        <w:t>The 2019 ASHM PrEP Guidelines also support the use of intermittent/on demand PrEP only for the cis-gender</w:t>
      </w:r>
      <w:r>
        <w:rPr>
          <w:rStyle w:val="FootnoteReference"/>
        </w:rPr>
        <w:footnoteReference w:id="7"/>
      </w:r>
      <w:r>
        <w:t xml:space="preserve"> MSM population, and only for those who do not have chronic hepatitis B (CHB) and are engaging in sexual activity less than twice a week, </w:t>
      </w:r>
      <w:r w:rsidR="008D0DFE">
        <w:t xml:space="preserve">where such activity </w:t>
      </w:r>
      <w:r>
        <w:t>is unpredictable and can be delayed by at least two hours. The Guidelines were informed by clinical studies which indicated that in cis-gender women, PrEP does not achieve adequate levels in tissues to be considered effective when taken intermittently. Intermittent/on demand PrEP was not considered suitable for those engaging in frequent at-risk activities and for those with CHB due to the risk of disease flare.</w:t>
      </w:r>
    </w:p>
    <w:p w14:paraId="73D740E3" w14:textId="51B0F748" w:rsidR="0038057A" w:rsidRPr="007D552B" w:rsidRDefault="00953D88" w:rsidP="002D7DF9">
      <w:pPr>
        <w:pStyle w:val="PBACHeading1"/>
        <w:spacing w:before="240" w:after="120"/>
        <w:ind w:left="709" w:hanging="709"/>
        <w:rPr>
          <w:rFonts w:asciiTheme="minorHAnsi" w:hAnsiTheme="minorHAnsi"/>
          <w:sz w:val="32"/>
          <w:szCs w:val="32"/>
        </w:rPr>
      </w:pPr>
      <w:r>
        <w:rPr>
          <w:rFonts w:asciiTheme="minorHAnsi" w:hAnsiTheme="minorHAnsi"/>
          <w:sz w:val="32"/>
          <w:szCs w:val="32"/>
        </w:rPr>
        <w:t>R</w:t>
      </w:r>
      <w:r w:rsidR="007D552B" w:rsidRPr="007D552B">
        <w:rPr>
          <w:rFonts w:asciiTheme="minorHAnsi" w:hAnsiTheme="minorHAnsi"/>
          <w:sz w:val="32"/>
          <w:szCs w:val="32"/>
        </w:rPr>
        <w:t xml:space="preserve">equested change </w:t>
      </w:r>
      <w:r w:rsidR="0038057A" w:rsidRPr="007D552B">
        <w:rPr>
          <w:rFonts w:asciiTheme="minorHAnsi" w:hAnsiTheme="minorHAnsi"/>
          <w:sz w:val="32"/>
          <w:szCs w:val="32"/>
        </w:rPr>
        <w:t>in PBS Prescribing Criteria for PrEP</w:t>
      </w:r>
    </w:p>
    <w:p w14:paraId="54F83B0B" w14:textId="33AFB50C" w:rsidR="00E203E3" w:rsidRDefault="00145CD6" w:rsidP="00C96F12">
      <w:pPr>
        <w:pStyle w:val="ListParagraph"/>
        <w:numPr>
          <w:ilvl w:val="1"/>
          <w:numId w:val="4"/>
        </w:numPr>
        <w:contextualSpacing w:val="0"/>
      </w:pPr>
      <w:r>
        <w:t>The ASHM requested</w:t>
      </w:r>
      <w:r w:rsidR="005628BA" w:rsidRPr="0032213D">
        <w:t xml:space="preserve"> that the PBAC consider changing the clinical criteria for </w:t>
      </w:r>
      <w:r w:rsidR="0038181D" w:rsidRPr="0032213D">
        <w:t>prescribing PrEP</w:t>
      </w:r>
      <w:r w:rsidR="005628BA" w:rsidRPr="0032213D">
        <w:t xml:space="preserve"> medication under the PBS to accord with the criteria recommended i</w:t>
      </w:r>
      <w:r>
        <w:t xml:space="preserve">n the 2019 ASHM PrEP Guidelines, including the reference to medium or high risk and to remove current age restrictions </w:t>
      </w:r>
      <w:r w:rsidR="00953D88">
        <w:t>to allow greater flexibility in the listing.</w:t>
      </w:r>
    </w:p>
    <w:p w14:paraId="165656E9" w14:textId="77777777" w:rsidR="00D45FD2" w:rsidRPr="00D52702" w:rsidRDefault="00D45FD2" w:rsidP="00BA4E55">
      <w:pPr>
        <w:keepNext/>
        <w:widowControl w:val="0"/>
        <w:numPr>
          <w:ilvl w:val="0"/>
          <w:numId w:val="22"/>
        </w:numPr>
        <w:spacing w:before="240" w:after="120" w:line="240" w:lineRule="auto"/>
        <w:jc w:val="both"/>
        <w:outlineLvl w:val="0"/>
        <w:rPr>
          <w:rFonts w:cs="Arial"/>
          <w:b/>
          <w:bCs/>
          <w:snapToGrid w:val="0"/>
          <w:sz w:val="32"/>
        </w:rPr>
      </w:pPr>
      <w:r w:rsidRPr="00D52702">
        <w:rPr>
          <w:rFonts w:cs="Arial"/>
          <w:b/>
          <w:bCs/>
          <w:snapToGrid w:val="0"/>
          <w:sz w:val="32"/>
        </w:rPr>
        <w:t>PBAC Outcome</w:t>
      </w:r>
    </w:p>
    <w:p w14:paraId="335C1FC4" w14:textId="7D4FAF14" w:rsidR="00382CD7" w:rsidRPr="00382CD7" w:rsidRDefault="00A40B24" w:rsidP="00D45FD2">
      <w:pPr>
        <w:widowControl w:val="0"/>
        <w:numPr>
          <w:ilvl w:val="1"/>
          <w:numId w:val="22"/>
        </w:numPr>
        <w:spacing w:after="120" w:line="240" w:lineRule="auto"/>
        <w:jc w:val="both"/>
        <w:rPr>
          <w:rFonts w:cs="Arial"/>
          <w:bCs/>
          <w:snapToGrid w:val="0"/>
          <w:sz w:val="24"/>
          <w:szCs w:val="24"/>
          <w:lang w:val="en-GB"/>
        </w:rPr>
      </w:pPr>
      <w:r w:rsidRPr="00382CD7">
        <w:rPr>
          <w:rFonts w:cs="Arial"/>
          <w:bCs/>
          <w:snapToGrid w:val="0"/>
          <w:sz w:val="24"/>
          <w:szCs w:val="24"/>
          <w:lang w:val="en-GB"/>
        </w:rPr>
        <w:t>The PBAC recommended the continu</w:t>
      </w:r>
      <w:r w:rsidR="00BA4E55">
        <w:rPr>
          <w:rFonts w:cs="Arial"/>
          <w:bCs/>
          <w:snapToGrid w:val="0"/>
          <w:sz w:val="24"/>
          <w:szCs w:val="24"/>
          <w:lang w:val="en-GB"/>
        </w:rPr>
        <w:t>ed</w:t>
      </w:r>
      <w:r w:rsidRPr="00382CD7">
        <w:rPr>
          <w:rFonts w:cs="Arial"/>
          <w:bCs/>
          <w:snapToGrid w:val="0"/>
          <w:sz w:val="24"/>
          <w:szCs w:val="24"/>
          <w:lang w:val="en-GB"/>
        </w:rPr>
        <w:t xml:space="preserve"> PBS listing of tenofovir disoproxil wit</w:t>
      </w:r>
      <w:r w:rsidR="008F1F69">
        <w:rPr>
          <w:rFonts w:cs="Arial"/>
          <w:bCs/>
          <w:snapToGrid w:val="0"/>
          <w:sz w:val="24"/>
          <w:szCs w:val="24"/>
          <w:lang w:val="en-GB"/>
        </w:rPr>
        <w:t>h emtricitabine (TD/FTC) for</w:t>
      </w:r>
      <w:r w:rsidRPr="00382CD7">
        <w:rPr>
          <w:rFonts w:cs="Arial"/>
          <w:bCs/>
          <w:snapToGrid w:val="0"/>
          <w:sz w:val="24"/>
          <w:szCs w:val="24"/>
          <w:lang w:val="en-GB"/>
        </w:rPr>
        <w:t xml:space="preserve"> pre-exposure prophylaxis (PrEP)</w:t>
      </w:r>
      <w:r w:rsidR="008F1F69">
        <w:rPr>
          <w:rFonts w:cs="Arial"/>
          <w:bCs/>
          <w:snapToGrid w:val="0"/>
          <w:sz w:val="24"/>
          <w:szCs w:val="24"/>
          <w:lang w:val="en-GB"/>
        </w:rPr>
        <w:t xml:space="preserve"> against</w:t>
      </w:r>
      <w:r w:rsidRPr="00382CD7">
        <w:rPr>
          <w:rFonts w:cs="Arial"/>
          <w:bCs/>
          <w:snapToGrid w:val="0"/>
          <w:sz w:val="24"/>
          <w:szCs w:val="24"/>
          <w:lang w:val="en-GB"/>
        </w:rPr>
        <w:t xml:space="preserve"> HIV infection and further recommended the restriction level be reduced to a Restricted Benefit to support broad access for patients who are at risk of HIV infection. </w:t>
      </w:r>
    </w:p>
    <w:p w14:paraId="3CDE9553" w14:textId="65A8D599" w:rsidR="00CC72A7" w:rsidRPr="00CC72A7" w:rsidRDefault="00A40B24" w:rsidP="00CC72A7">
      <w:pPr>
        <w:widowControl w:val="0"/>
        <w:numPr>
          <w:ilvl w:val="1"/>
          <w:numId w:val="22"/>
        </w:numPr>
        <w:spacing w:after="120" w:line="240" w:lineRule="auto"/>
        <w:jc w:val="both"/>
        <w:rPr>
          <w:rFonts w:cs="Arial"/>
          <w:bCs/>
          <w:snapToGrid w:val="0"/>
          <w:sz w:val="24"/>
          <w:szCs w:val="24"/>
          <w:lang w:val="en-GB"/>
        </w:rPr>
      </w:pPr>
      <w:r w:rsidRPr="00382CD7">
        <w:rPr>
          <w:rFonts w:cs="Arial"/>
          <w:bCs/>
          <w:snapToGrid w:val="0"/>
          <w:sz w:val="24"/>
          <w:szCs w:val="24"/>
          <w:lang w:val="en-GB"/>
        </w:rPr>
        <w:t>In making</w:t>
      </w:r>
      <w:r w:rsidR="00382CD7" w:rsidRPr="00382CD7">
        <w:rPr>
          <w:rFonts w:cs="Arial"/>
          <w:bCs/>
          <w:snapToGrid w:val="0"/>
          <w:sz w:val="24"/>
          <w:szCs w:val="24"/>
          <w:lang w:val="en-GB"/>
        </w:rPr>
        <w:t xml:space="preserve"> this recommendation</w:t>
      </w:r>
      <w:r w:rsidR="00382CD7">
        <w:rPr>
          <w:rFonts w:cs="Arial"/>
          <w:bCs/>
          <w:snapToGrid w:val="0"/>
          <w:sz w:val="24"/>
          <w:szCs w:val="24"/>
          <w:lang w:val="en-GB"/>
        </w:rPr>
        <w:t>,</w:t>
      </w:r>
      <w:r w:rsidRPr="00382CD7">
        <w:rPr>
          <w:rFonts w:cs="Arial"/>
          <w:bCs/>
          <w:snapToGrid w:val="0"/>
          <w:sz w:val="24"/>
          <w:szCs w:val="24"/>
          <w:lang w:val="en-GB"/>
        </w:rPr>
        <w:t xml:space="preserve"> the PBAC considered </w:t>
      </w:r>
      <w:r w:rsidR="00CC72A7">
        <w:rPr>
          <w:rFonts w:cs="Arial"/>
          <w:bCs/>
          <w:snapToGrid w:val="0"/>
          <w:sz w:val="24"/>
          <w:szCs w:val="24"/>
          <w:lang w:val="en-GB"/>
        </w:rPr>
        <w:t xml:space="preserve">the </w:t>
      </w:r>
      <w:r w:rsidR="00CC72A7" w:rsidRPr="00CC72A7">
        <w:rPr>
          <w:rFonts w:cs="Arial"/>
          <w:bCs/>
          <w:snapToGrid w:val="0"/>
          <w:sz w:val="24"/>
          <w:szCs w:val="24"/>
          <w:lang w:val="en-GB"/>
        </w:rPr>
        <w:t>guidelines and additional training provided by the ASHM, as a peak clinical organisation in this field</w:t>
      </w:r>
      <w:r w:rsidR="00CC72A7">
        <w:rPr>
          <w:rFonts w:cs="Arial"/>
          <w:bCs/>
          <w:snapToGrid w:val="0"/>
          <w:sz w:val="24"/>
          <w:szCs w:val="24"/>
          <w:lang w:val="en-GB"/>
        </w:rPr>
        <w:t>,</w:t>
      </w:r>
      <w:r w:rsidR="00CC72A7" w:rsidRPr="00CC72A7">
        <w:rPr>
          <w:rFonts w:cs="Arial"/>
          <w:bCs/>
          <w:snapToGrid w:val="0"/>
          <w:sz w:val="24"/>
          <w:szCs w:val="24"/>
          <w:lang w:val="en-GB"/>
        </w:rPr>
        <w:t xml:space="preserve"> provide an adequate framework for PrEP prescribing that is likely to result in the cost-effective use of PrEP in the context of:</w:t>
      </w:r>
    </w:p>
    <w:p w14:paraId="38CB310B" w14:textId="3E889E58" w:rsidR="00382CD7" w:rsidRPr="00382CD7" w:rsidRDefault="00A40B24" w:rsidP="00382CD7">
      <w:pPr>
        <w:pStyle w:val="ListParagraph"/>
        <w:widowControl w:val="0"/>
        <w:numPr>
          <w:ilvl w:val="0"/>
          <w:numId w:val="29"/>
        </w:numPr>
        <w:spacing w:after="120" w:line="240" w:lineRule="auto"/>
        <w:jc w:val="both"/>
        <w:rPr>
          <w:rFonts w:cs="Arial"/>
          <w:bCs/>
          <w:snapToGrid w:val="0"/>
          <w:lang w:val="en-GB"/>
        </w:rPr>
      </w:pPr>
      <w:r w:rsidRPr="00382CD7">
        <w:rPr>
          <w:rFonts w:cs="Arial"/>
          <w:bCs/>
          <w:snapToGrid w:val="0"/>
          <w:lang w:val="en-GB"/>
        </w:rPr>
        <w:t xml:space="preserve">the level of price reduction since listing and current price of </w:t>
      </w:r>
      <w:r w:rsidR="00382CD7" w:rsidRPr="00382CD7">
        <w:rPr>
          <w:rFonts w:cs="Arial"/>
          <w:bCs/>
          <w:snapToGrid w:val="0"/>
          <w:lang w:val="en-GB"/>
        </w:rPr>
        <w:t>TD/FTC on the PBS</w:t>
      </w:r>
      <w:r w:rsidR="00CC72A7">
        <w:rPr>
          <w:rFonts w:cs="Arial"/>
          <w:bCs/>
          <w:snapToGrid w:val="0"/>
          <w:lang w:val="en-GB"/>
        </w:rPr>
        <w:t xml:space="preserve"> (and possible future price reductions due to price disclosure)</w:t>
      </w:r>
      <w:r w:rsidR="00382CD7">
        <w:rPr>
          <w:rFonts w:cs="Arial"/>
          <w:bCs/>
          <w:snapToGrid w:val="0"/>
          <w:lang w:val="en-GB"/>
        </w:rPr>
        <w:t>;</w:t>
      </w:r>
      <w:r w:rsidR="00382CD7" w:rsidRPr="00382CD7">
        <w:rPr>
          <w:rFonts w:cs="Arial"/>
          <w:bCs/>
          <w:snapToGrid w:val="0"/>
          <w:lang w:val="en-GB"/>
        </w:rPr>
        <w:t xml:space="preserve"> </w:t>
      </w:r>
    </w:p>
    <w:p w14:paraId="3D1F89EA" w14:textId="4FBEF321" w:rsidR="00382CD7" w:rsidRPr="00382CD7" w:rsidRDefault="00A40B24" w:rsidP="00382CD7">
      <w:pPr>
        <w:pStyle w:val="ListParagraph"/>
        <w:widowControl w:val="0"/>
        <w:numPr>
          <w:ilvl w:val="0"/>
          <w:numId w:val="29"/>
        </w:numPr>
        <w:spacing w:after="120" w:line="240" w:lineRule="auto"/>
        <w:jc w:val="both"/>
        <w:rPr>
          <w:rFonts w:cs="Arial"/>
          <w:bCs/>
          <w:snapToGrid w:val="0"/>
          <w:lang w:val="en-GB"/>
        </w:rPr>
      </w:pPr>
      <w:r w:rsidRPr="00382CD7">
        <w:rPr>
          <w:rFonts w:cs="Arial"/>
          <w:bCs/>
          <w:snapToGrid w:val="0"/>
          <w:lang w:val="en-GB"/>
        </w:rPr>
        <w:t>the</w:t>
      </w:r>
      <w:r w:rsidR="00382CD7">
        <w:rPr>
          <w:rFonts w:cs="Arial"/>
          <w:bCs/>
          <w:snapToGrid w:val="0"/>
          <w:lang w:val="en-GB"/>
        </w:rPr>
        <w:t xml:space="preserve"> PBS</w:t>
      </w:r>
      <w:r w:rsidRPr="00382CD7">
        <w:rPr>
          <w:rFonts w:cs="Arial"/>
          <w:bCs/>
          <w:snapToGrid w:val="0"/>
          <w:lang w:val="en-GB"/>
        </w:rPr>
        <w:t xml:space="preserve"> utilisation of PrEP to date</w:t>
      </w:r>
      <w:r w:rsidR="00651244">
        <w:rPr>
          <w:rFonts w:cs="Arial"/>
          <w:bCs/>
          <w:snapToGrid w:val="0"/>
          <w:lang w:val="en-GB"/>
        </w:rPr>
        <w:t xml:space="preserve"> being lower than anticipated</w:t>
      </w:r>
      <w:r w:rsidR="00382CD7" w:rsidRPr="00382CD7">
        <w:rPr>
          <w:rFonts w:cs="Arial"/>
          <w:bCs/>
          <w:snapToGrid w:val="0"/>
          <w:lang w:val="en-GB"/>
        </w:rPr>
        <w:t>;</w:t>
      </w:r>
      <w:r w:rsidR="00041DDE">
        <w:rPr>
          <w:rFonts w:cs="Arial"/>
          <w:bCs/>
          <w:snapToGrid w:val="0"/>
          <w:lang w:val="en-GB"/>
        </w:rPr>
        <w:t xml:space="preserve"> </w:t>
      </w:r>
      <w:r w:rsidRPr="00382CD7">
        <w:rPr>
          <w:rFonts w:cs="Arial"/>
          <w:bCs/>
          <w:snapToGrid w:val="0"/>
          <w:lang w:val="en-GB"/>
        </w:rPr>
        <w:t xml:space="preserve">and </w:t>
      </w:r>
    </w:p>
    <w:p w14:paraId="0950F48D" w14:textId="66D065E8" w:rsidR="00D45FD2" w:rsidRPr="00382CD7" w:rsidRDefault="00A40B24" w:rsidP="00382CD7">
      <w:pPr>
        <w:pStyle w:val="ListParagraph"/>
        <w:widowControl w:val="0"/>
        <w:numPr>
          <w:ilvl w:val="0"/>
          <w:numId w:val="29"/>
        </w:numPr>
        <w:spacing w:after="120" w:line="240" w:lineRule="auto"/>
        <w:jc w:val="both"/>
        <w:rPr>
          <w:rFonts w:cs="Arial"/>
          <w:bCs/>
          <w:snapToGrid w:val="0"/>
          <w:lang w:val="en-GB"/>
        </w:rPr>
      </w:pPr>
      <w:r w:rsidRPr="00382CD7">
        <w:rPr>
          <w:rFonts w:cs="Arial"/>
          <w:bCs/>
          <w:snapToGrid w:val="0"/>
          <w:lang w:val="en-GB"/>
        </w:rPr>
        <w:t xml:space="preserve">observed real-world reduction in new HIV notifications in the </w:t>
      </w:r>
      <w:r w:rsidR="00382CD7">
        <w:rPr>
          <w:rFonts w:cs="Arial"/>
          <w:bCs/>
          <w:snapToGrid w:val="0"/>
          <w:lang w:val="en-GB"/>
        </w:rPr>
        <w:t>men-who-</w:t>
      </w:r>
      <w:r w:rsidR="00382CD7" w:rsidRPr="00382CD7">
        <w:rPr>
          <w:rFonts w:cs="Arial"/>
          <w:bCs/>
          <w:snapToGrid w:val="0"/>
          <w:lang w:val="en-GB"/>
        </w:rPr>
        <w:t>have</w:t>
      </w:r>
      <w:r w:rsidR="00382CD7">
        <w:rPr>
          <w:rFonts w:cs="Arial"/>
          <w:bCs/>
          <w:snapToGrid w:val="0"/>
          <w:lang w:val="en-GB"/>
        </w:rPr>
        <w:t>- sex-with-</w:t>
      </w:r>
      <w:r w:rsidR="00382CD7" w:rsidRPr="00382CD7">
        <w:rPr>
          <w:rFonts w:cs="Arial"/>
          <w:bCs/>
          <w:snapToGrid w:val="0"/>
          <w:lang w:val="en-GB"/>
        </w:rPr>
        <w:t>men (MSM) population since</w:t>
      </w:r>
      <w:r w:rsidR="00E27B1B">
        <w:rPr>
          <w:rFonts w:cs="Arial"/>
          <w:bCs/>
          <w:snapToGrid w:val="0"/>
          <w:lang w:val="en-GB"/>
        </w:rPr>
        <w:t xml:space="preserve"> 2014, including</w:t>
      </w:r>
      <w:r w:rsidR="00382CD7" w:rsidRPr="00382CD7">
        <w:rPr>
          <w:rFonts w:cs="Arial"/>
          <w:bCs/>
          <w:snapToGrid w:val="0"/>
          <w:lang w:val="en-GB"/>
        </w:rPr>
        <w:t xml:space="preserve"> sta</w:t>
      </w:r>
      <w:r w:rsidR="00E27B1B">
        <w:rPr>
          <w:rFonts w:cs="Arial"/>
          <w:bCs/>
          <w:snapToGrid w:val="0"/>
          <w:lang w:val="en-GB"/>
        </w:rPr>
        <w:t>te-based demonstration programs</w:t>
      </w:r>
      <w:r w:rsidR="00CC72A7">
        <w:rPr>
          <w:rFonts w:cs="Arial"/>
          <w:bCs/>
          <w:snapToGrid w:val="0"/>
          <w:lang w:val="en-GB"/>
        </w:rPr>
        <w:t xml:space="preserve"> and PBS listings</w:t>
      </w:r>
      <w:r w:rsidR="00382CD7" w:rsidRPr="00382CD7">
        <w:rPr>
          <w:rFonts w:cs="Arial"/>
          <w:bCs/>
          <w:snapToGrid w:val="0"/>
          <w:lang w:val="en-GB"/>
        </w:rPr>
        <w:t>.</w:t>
      </w:r>
    </w:p>
    <w:p w14:paraId="07A32691" w14:textId="3485A83C" w:rsidR="00AA4F74" w:rsidRDefault="00AA4F74" w:rsidP="00C71581">
      <w:pPr>
        <w:widowControl w:val="0"/>
        <w:numPr>
          <w:ilvl w:val="1"/>
          <w:numId w:val="22"/>
        </w:numPr>
        <w:spacing w:after="120" w:line="240" w:lineRule="auto"/>
        <w:jc w:val="both"/>
        <w:rPr>
          <w:rFonts w:cs="Arial"/>
          <w:bCs/>
          <w:snapToGrid w:val="0"/>
          <w:sz w:val="24"/>
          <w:szCs w:val="24"/>
          <w:lang w:val="en-GB"/>
        </w:rPr>
      </w:pPr>
      <w:r>
        <w:rPr>
          <w:rFonts w:cs="Arial"/>
          <w:bCs/>
          <w:snapToGrid w:val="0"/>
          <w:sz w:val="24"/>
          <w:szCs w:val="24"/>
          <w:lang w:val="en-GB"/>
        </w:rPr>
        <w:t xml:space="preserve">The PBAC noted the price of PrEP had reduced by 58% (at the AEMP level) </w:t>
      </w:r>
      <w:r w:rsidR="00F737BD">
        <w:rPr>
          <w:rFonts w:cs="Arial"/>
          <w:bCs/>
          <w:snapToGrid w:val="0"/>
          <w:sz w:val="24"/>
          <w:szCs w:val="24"/>
          <w:lang w:val="en-GB"/>
        </w:rPr>
        <w:t>and the annual treatment cost with TD/FTC was approximately $1,350 per ye</w:t>
      </w:r>
      <w:r w:rsidR="00981128">
        <w:rPr>
          <w:rFonts w:cs="Arial"/>
          <w:bCs/>
          <w:snapToGrid w:val="0"/>
          <w:sz w:val="24"/>
          <w:szCs w:val="24"/>
          <w:lang w:val="en-GB"/>
        </w:rPr>
        <w:t xml:space="preserve">ar. </w:t>
      </w:r>
      <w:r w:rsidR="00AC0497" w:rsidRPr="00AC0497">
        <w:rPr>
          <w:rFonts w:cstheme="minorHAnsi"/>
          <w:sz w:val="24"/>
          <w:szCs w:val="24"/>
        </w:rPr>
        <w:t xml:space="preserve">The PBAC </w:t>
      </w:r>
      <w:r w:rsidR="00C70C92">
        <w:rPr>
          <w:rFonts w:cstheme="minorHAnsi"/>
          <w:sz w:val="24"/>
          <w:szCs w:val="24"/>
        </w:rPr>
        <w:t xml:space="preserve">noted </w:t>
      </w:r>
      <w:r w:rsidR="00AC0497">
        <w:rPr>
          <w:rFonts w:cstheme="minorHAnsi"/>
          <w:sz w:val="24"/>
          <w:szCs w:val="24"/>
        </w:rPr>
        <w:t>that while the</w:t>
      </w:r>
      <w:r w:rsidR="00AC0497" w:rsidRPr="00AC0497">
        <w:rPr>
          <w:rFonts w:cstheme="minorHAnsi"/>
          <w:sz w:val="24"/>
          <w:szCs w:val="24"/>
        </w:rPr>
        <w:t xml:space="preserve"> Kirby</w:t>
      </w:r>
      <w:r w:rsidR="00C70C92">
        <w:rPr>
          <w:rFonts w:cstheme="minorHAnsi"/>
          <w:sz w:val="24"/>
          <w:szCs w:val="24"/>
        </w:rPr>
        <w:t xml:space="preserve"> Institute</w:t>
      </w:r>
      <w:r w:rsidR="00AC0497" w:rsidRPr="00AC0497">
        <w:rPr>
          <w:rFonts w:cstheme="minorHAnsi"/>
          <w:sz w:val="24"/>
          <w:szCs w:val="24"/>
        </w:rPr>
        <w:t xml:space="preserve"> model was of limited applicability to the revised population defined in the ASHM Guidelines; </w:t>
      </w:r>
      <w:r w:rsidR="00C70C92">
        <w:rPr>
          <w:rFonts w:cstheme="minorHAnsi"/>
          <w:sz w:val="24"/>
          <w:szCs w:val="24"/>
        </w:rPr>
        <w:t>that within these limitations</w:t>
      </w:r>
      <w:r w:rsidR="00AC0497" w:rsidRPr="00AC0497">
        <w:rPr>
          <w:rFonts w:cstheme="minorHAnsi"/>
          <w:sz w:val="24"/>
          <w:szCs w:val="24"/>
        </w:rPr>
        <w:t xml:space="preserve"> the cost-effectiveness of PrEP was below $30,000 per QALY in all model scenarios.</w:t>
      </w:r>
      <w:r w:rsidR="00041DDE">
        <w:rPr>
          <w:rFonts w:cstheme="minorHAnsi"/>
        </w:rPr>
        <w:t xml:space="preserve"> </w:t>
      </w:r>
      <w:r w:rsidR="00981128">
        <w:rPr>
          <w:rFonts w:cs="Arial"/>
          <w:bCs/>
          <w:snapToGrid w:val="0"/>
          <w:sz w:val="24"/>
          <w:szCs w:val="24"/>
          <w:lang w:val="en-GB"/>
        </w:rPr>
        <w:t>The PBAC</w:t>
      </w:r>
      <w:r w:rsidR="00890152">
        <w:rPr>
          <w:rFonts w:cs="Arial"/>
          <w:bCs/>
          <w:snapToGrid w:val="0"/>
          <w:sz w:val="24"/>
          <w:szCs w:val="24"/>
          <w:lang w:val="en-GB"/>
        </w:rPr>
        <w:t xml:space="preserve"> also recalled in its previous recommendation of PrEP that studies had indicated a proportion of patients had expressed an unwillingness to use PrEP and that individuals who self-identified as being at higher risk of acquiring HIV were likely to be more willing to use it.</w:t>
      </w:r>
      <w:r w:rsidR="00C71581">
        <w:rPr>
          <w:rFonts w:cs="Arial"/>
          <w:bCs/>
          <w:snapToGrid w:val="0"/>
          <w:sz w:val="24"/>
          <w:szCs w:val="24"/>
          <w:lang w:val="en-GB"/>
        </w:rPr>
        <w:t xml:space="preserve"> </w:t>
      </w:r>
      <w:r w:rsidR="000F4C3C">
        <w:rPr>
          <w:rFonts w:cs="Arial"/>
          <w:bCs/>
          <w:snapToGrid w:val="0"/>
          <w:sz w:val="24"/>
          <w:szCs w:val="24"/>
          <w:lang w:val="en-GB"/>
        </w:rPr>
        <w:t>The Committee</w:t>
      </w:r>
      <w:r w:rsidR="00C71581" w:rsidRPr="00C71581">
        <w:rPr>
          <w:rFonts w:cs="Arial"/>
          <w:bCs/>
          <w:snapToGrid w:val="0"/>
          <w:sz w:val="24"/>
          <w:szCs w:val="24"/>
          <w:lang w:val="en-GB"/>
        </w:rPr>
        <w:t xml:space="preserve"> considered </w:t>
      </w:r>
      <w:r w:rsidR="000F4C3C">
        <w:rPr>
          <w:rFonts w:cs="Arial"/>
          <w:bCs/>
          <w:snapToGrid w:val="0"/>
          <w:sz w:val="24"/>
          <w:szCs w:val="24"/>
          <w:lang w:val="en-GB"/>
        </w:rPr>
        <w:t xml:space="preserve">that while </w:t>
      </w:r>
      <w:r w:rsidR="00C71581" w:rsidRPr="00C71581">
        <w:rPr>
          <w:rFonts w:cs="Arial"/>
          <w:bCs/>
          <w:snapToGrid w:val="0"/>
          <w:sz w:val="24"/>
          <w:szCs w:val="24"/>
          <w:lang w:val="en-GB"/>
        </w:rPr>
        <w:t>there</w:t>
      </w:r>
      <w:r w:rsidR="00C71581">
        <w:rPr>
          <w:rFonts w:cs="Arial"/>
          <w:bCs/>
          <w:snapToGrid w:val="0"/>
          <w:sz w:val="24"/>
          <w:szCs w:val="24"/>
          <w:lang w:val="en-GB"/>
        </w:rPr>
        <w:t xml:space="preserve"> were</w:t>
      </w:r>
      <w:r w:rsidR="00C71581" w:rsidRPr="00C71581">
        <w:rPr>
          <w:rFonts w:cs="Arial"/>
          <w:bCs/>
          <w:snapToGrid w:val="0"/>
          <w:sz w:val="24"/>
          <w:szCs w:val="24"/>
          <w:lang w:val="en-GB"/>
        </w:rPr>
        <w:t xml:space="preserve"> uncertainties in the cost-effectiveness of PrEP</w:t>
      </w:r>
      <w:r w:rsidR="000F4C3C">
        <w:rPr>
          <w:rFonts w:cs="Arial"/>
          <w:bCs/>
          <w:snapToGrid w:val="0"/>
          <w:sz w:val="24"/>
          <w:szCs w:val="24"/>
          <w:lang w:val="en-GB"/>
        </w:rPr>
        <w:t xml:space="preserve"> due to differences</w:t>
      </w:r>
      <w:r w:rsidR="00C71581" w:rsidRPr="00C71581">
        <w:rPr>
          <w:rFonts w:cs="Arial"/>
          <w:bCs/>
          <w:snapToGrid w:val="0"/>
          <w:sz w:val="24"/>
          <w:szCs w:val="24"/>
          <w:lang w:val="en-GB"/>
        </w:rPr>
        <w:t xml:space="preserve"> </w:t>
      </w:r>
      <w:r w:rsidR="000F4C3C">
        <w:rPr>
          <w:rFonts w:cs="Arial"/>
          <w:bCs/>
          <w:snapToGrid w:val="0"/>
          <w:sz w:val="24"/>
          <w:szCs w:val="24"/>
          <w:lang w:val="en-GB"/>
        </w:rPr>
        <w:t>in the Kirby model and</w:t>
      </w:r>
      <w:r w:rsidR="00C71581" w:rsidRPr="00C71581">
        <w:rPr>
          <w:rFonts w:cs="Arial"/>
          <w:bCs/>
          <w:snapToGrid w:val="0"/>
          <w:sz w:val="24"/>
          <w:szCs w:val="24"/>
          <w:lang w:val="en-GB"/>
        </w:rPr>
        <w:t xml:space="preserve"> revised ASHM guidelines</w:t>
      </w:r>
      <w:r w:rsidR="000F4C3C">
        <w:rPr>
          <w:rFonts w:cs="Arial"/>
          <w:bCs/>
          <w:snapToGrid w:val="0"/>
          <w:sz w:val="24"/>
          <w:szCs w:val="24"/>
          <w:lang w:val="en-GB"/>
        </w:rPr>
        <w:t xml:space="preserve"> populations</w:t>
      </w:r>
      <w:r w:rsidR="00C71581" w:rsidRPr="00C71581">
        <w:rPr>
          <w:rFonts w:cs="Arial"/>
          <w:bCs/>
          <w:snapToGrid w:val="0"/>
          <w:sz w:val="24"/>
          <w:szCs w:val="24"/>
          <w:lang w:val="en-GB"/>
        </w:rPr>
        <w:t xml:space="preserve">, the current price of PrEP provided additional confidence that </w:t>
      </w:r>
      <w:r w:rsidR="00C71581" w:rsidRPr="00C71581">
        <w:rPr>
          <w:rFonts w:cs="Arial"/>
          <w:bCs/>
          <w:snapToGrid w:val="0"/>
          <w:sz w:val="24"/>
          <w:szCs w:val="24"/>
          <w:lang w:val="en-GB"/>
        </w:rPr>
        <w:lastRenderedPageBreak/>
        <w:t xml:space="preserve">PrEP was likely to be acceptably cost-effective in an expanded at-risk population </w:t>
      </w:r>
      <w:r w:rsidR="000F4C3C">
        <w:rPr>
          <w:rFonts w:cs="Arial"/>
          <w:bCs/>
          <w:snapToGrid w:val="0"/>
          <w:sz w:val="24"/>
          <w:szCs w:val="24"/>
          <w:lang w:val="en-GB"/>
        </w:rPr>
        <w:t xml:space="preserve">that was not </w:t>
      </w:r>
      <w:r w:rsidR="00E203E3">
        <w:rPr>
          <w:rFonts w:cs="Arial"/>
          <w:bCs/>
          <w:snapToGrid w:val="0"/>
          <w:sz w:val="24"/>
          <w:szCs w:val="24"/>
          <w:lang w:val="en-GB"/>
        </w:rPr>
        <w:t>bound</w:t>
      </w:r>
      <w:r w:rsidR="000F4C3C">
        <w:rPr>
          <w:rFonts w:cs="Arial"/>
          <w:bCs/>
          <w:snapToGrid w:val="0"/>
          <w:sz w:val="24"/>
          <w:szCs w:val="24"/>
          <w:lang w:val="en-GB"/>
        </w:rPr>
        <w:t xml:space="preserve"> by the level of risk.</w:t>
      </w:r>
      <w:r w:rsidR="00890152">
        <w:rPr>
          <w:rFonts w:cs="Arial"/>
          <w:bCs/>
          <w:snapToGrid w:val="0"/>
          <w:sz w:val="24"/>
          <w:szCs w:val="24"/>
          <w:lang w:val="en-GB"/>
        </w:rPr>
        <w:t xml:space="preserve"> The PBAC</w:t>
      </w:r>
      <w:r w:rsidR="00981128">
        <w:rPr>
          <w:rFonts w:cs="Arial"/>
          <w:bCs/>
          <w:snapToGrid w:val="0"/>
          <w:sz w:val="24"/>
          <w:szCs w:val="24"/>
          <w:lang w:val="en-GB"/>
        </w:rPr>
        <w:t xml:space="preserve"> considered that</w:t>
      </w:r>
      <w:r w:rsidR="00C460D4">
        <w:rPr>
          <w:rFonts w:cs="Arial"/>
          <w:bCs/>
          <w:snapToGrid w:val="0"/>
          <w:sz w:val="24"/>
          <w:szCs w:val="24"/>
          <w:lang w:val="en-GB"/>
        </w:rPr>
        <w:t>,</w:t>
      </w:r>
      <w:r w:rsidR="000F4C3C">
        <w:rPr>
          <w:rFonts w:cs="Arial"/>
          <w:bCs/>
          <w:snapToGrid w:val="0"/>
          <w:sz w:val="24"/>
          <w:szCs w:val="24"/>
          <w:lang w:val="en-GB"/>
        </w:rPr>
        <w:t xml:space="preserve"> at the current price</w:t>
      </w:r>
      <w:r w:rsidR="00C460D4">
        <w:rPr>
          <w:rFonts w:cs="Arial"/>
          <w:bCs/>
          <w:snapToGrid w:val="0"/>
          <w:sz w:val="24"/>
          <w:szCs w:val="24"/>
          <w:lang w:val="en-GB"/>
        </w:rPr>
        <w:t>,</w:t>
      </w:r>
      <w:r w:rsidR="000F4C3C">
        <w:rPr>
          <w:rFonts w:cs="Arial"/>
          <w:bCs/>
          <w:snapToGrid w:val="0"/>
          <w:sz w:val="24"/>
          <w:szCs w:val="24"/>
          <w:lang w:val="en-GB"/>
        </w:rPr>
        <w:t xml:space="preserve"> PrEP use in the</w:t>
      </w:r>
      <w:r w:rsidR="00981128">
        <w:rPr>
          <w:rFonts w:cs="Arial"/>
          <w:bCs/>
          <w:snapToGrid w:val="0"/>
          <w:sz w:val="24"/>
          <w:szCs w:val="24"/>
          <w:lang w:val="en-GB"/>
        </w:rPr>
        <w:t xml:space="preserve"> population defined in the revised ASHM Guidelines</w:t>
      </w:r>
      <w:r w:rsidR="00890152">
        <w:rPr>
          <w:rFonts w:cs="Arial"/>
          <w:bCs/>
          <w:snapToGrid w:val="0"/>
          <w:sz w:val="24"/>
          <w:szCs w:val="24"/>
          <w:lang w:val="en-GB"/>
        </w:rPr>
        <w:t xml:space="preserve"> was likely to </w:t>
      </w:r>
      <w:r w:rsidR="00C96F12">
        <w:rPr>
          <w:rFonts w:cs="Arial"/>
          <w:bCs/>
          <w:snapToGrid w:val="0"/>
          <w:sz w:val="24"/>
          <w:szCs w:val="24"/>
          <w:lang w:val="en-GB"/>
        </w:rPr>
        <w:t>be cost-</w:t>
      </w:r>
      <w:r w:rsidR="00D06367">
        <w:rPr>
          <w:rFonts w:cs="Arial"/>
          <w:bCs/>
          <w:snapToGrid w:val="0"/>
          <w:sz w:val="24"/>
          <w:szCs w:val="24"/>
          <w:lang w:val="en-GB"/>
        </w:rPr>
        <w:t>effective for those at-risk individuals who are most likely to seek treatment.</w:t>
      </w:r>
      <w:r w:rsidR="00C71581">
        <w:rPr>
          <w:rFonts w:cs="Arial"/>
          <w:bCs/>
          <w:snapToGrid w:val="0"/>
          <w:sz w:val="24"/>
          <w:szCs w:val="24"/>
          <w:lang w:val="en-GB"/>
        </w:rPr>
        <w:t xml:space="preserve"> </w:t>
      </w:r>
    </w:p>
    <w:p w14:paraId="298598F8" w14:textId="1717B541" w:rsidR="002B4718" w:rsidRDefault="002B4718" w:rsidP="00D45FD2">
      <w:pPr>
        <w:widowControl w:val="0"/>
        <w:numPr>
          <w:ilvl w:val="1"/>
          <w:numId w:val="22"/>
        </w:numPr>
        <w:spacing w:after="120" w:line="240" w:lineRule="auto"/>
        <w:jc w:val="both"/>
        <w:rPr>
          <w:rFonts w:cs="Arial"/>
          <w:bCs/>
          <w:snapToGrid w:val="0"/>
          <w:sz w:val="24"/>
          <w:szCs w:val="24"/>
          <w:lang w:val="en-GB"/>
        </w:rPr>
      </w:pPr>
      <w:r>
        <w:rPr>
          <w:rFonts w:cs="Arial"/>
          <w:bCs/>
          <w:snapToGrid w:val="0"/>
          <w:sz w:val="24"/>
          <w:szCs w:val="24"/>
          <w:lang w:val="en-GB"/>
        </w:rPr>
        <w:t>The Committee noted the real-world data referred to by the ASHM, such as the annual surveillance reports published by the Kirby Institute</w:t>
      </w:r>
      <w:r w:rsidR="00DF7CB7">
        <w:rPr>
          <w:rFonts w:cs="Arial"/>
          <w:bCs/>
          <w:snapToGrid w:val="0"/>
          <w:sz w:val="24"/>
          <w:szCs w:val="24"/>
          <w:lang w:val="en-GB"/>
        </w:rPr>
        <w:t>,</w:t>
      </w:r>
      <w:r>
        <w:rPr>
          <w:rFonts w:cs="Arial"/>
          <w:bCs/>
          <w:snapToGrid w:val="0"/>
          <w:sz w:val="24"/>
          <w:szCs w:val="24"/>
          <w:lang w:val="en-GB"/>
        </w:rPr>
        <w:t xml:space="preserve"> showed a decline in new HIV notifications between 2014 – 2018, particularly in the MSM population</w:t>
      </w:r>
      <w:r w:rsidR="00DF7CB7">
        <w:rPr>
          <w:rFonts w:cs="Arial"/>
          <w:bCs/>
          <w:snapToGrid w:val="0"/>
          <w:sz w:val="24"/>
          <w:szCs w:val="24"/>
          <w:lang w:val="en-GB"/>
        </w:rPr>
        <w:t>;</w:t>
      </w:r>
      <w:r>
        <w:rPr>
          <w:rFonts w:cs="Arial"/>
          <w:bCs/>
          <w:snapToGrid w:val="0"/>
          <w:sz w:val="24"/>
          <w:szCs w:val="24"/>
          <w:lang w:val="en-GB"/>
        </w:rPr>
        <w:t xml:space="preserve"> and this trend aligned with the period in which state-based PrEP demonstration projects commenced. The PBAC considered the ongoing surveillance data reinforced that the availability of subsidised PrEP </w:t>
      </w:r>
      <w:r w:rsidR="005F3F3E">
        <w:rPr>
          <w:rFonts w:cs="Arial"/>
          <w:bCs/>
          <w:snapToGrid w:val="0"/>
          <w:sz w:val="24"/>
          <w:szCs w:val="24"/>
          <w:lang w:val="en-GB"/>
        </w:rPr>
        <w:t>likely had</w:t>
      </w:r>
      <w:r>
        <w:rPr>
          <w:rFonts w:cs="Arial"/>
          <w:bCs/>
          <w:snapToGrid w:val="0"/>
          <w:sz w:val="24"/>
          <w:szCs w:val="24"/>
          <w:lang w:val="en-GB"/>
        </w:rPr>
        <w:t xml:space="preserve"> substantial impact</w:t>
      </w:r>
      <w:r w:rsidR="005F3F3E">
        <w:rPr>
          <w:rFonts w:cs="Arial"/>
          <w:bCs/>
          <w:snapToGrid w:val="0"/>
          <w:sz w:val="24"/>
          <w:szCs w:val="24"/>
          <w:lang w:val="en-GB"/>
        </w:rPr>
        <w:t xml:space="preserve"> for the MSM population</w:t>
      </w:r>
      <w:r>
        <w:rPr>
          <w:rFonts w:cs="Arial"/>
          <w:bCs/>
          <w:snapToGrid w:val="0"/>
          <w:sz w:val="24"/>
          <w:szCs w:val="24"/>
          <w:lang w:val="en-GB"/>
        </w:rPr>
        <w:t xml:space="preserve"> and was effective at reducing the transmission of HIV in the real-world setting. </w:t>
      </w:r>
    </w:p>
    <w:p w14:paraId="20A35BE3" w14:textId="5ED2B8BD" w:rsidR="00E203E3" w:rsidRPr="00C96F12" w:rsidRDefault="00BA4E55" w:rsidP="00C96F12">
      <w:pPr>
        <w:widowControl w:val="0"/>
        <w:numPr>
          <w:ilvl w:val="1"/>
          <w:numId w:val="22"/>
        </w:numPr>
        <w:spacing w:after="120" w:line="240" w:lineRule="auto"/>
        <w:jc w:val="both"/>
        <w:rPr>
          <w:rFonts w:cs="Arial"/>
          <w:bCs/>
          <w:snapToGrid w:val="0"/>
          <w:sz w:val="24"/>
          <w:szCs w:val="24"/>
          <w:lang w:val="en-GB"/>
        </w:rPr>
      </w:pPr>
      <w:r w:rsidRPr="00AA4F74">
        <w:rPr>
          <w:rFonts w:cs="Arial"/>
          <w:bCs/>
          <w:snapToGrid w:val="0"/>
          <w:sz w:val="24"/>
          <w:szCs w:val="24"/>
          <w:lang w:val="en-GB"/>
        </w:rPr>
        <w:t xml:space="preserve">The PBAC noted the revised 2019 ASHM Guidelines </w:t>
      </w:r>
      <w:r w:rsidR="00AC515B" w:rsidRPr="00AA4F74">
        <w:rPr>
          <w:rFonts w:cs="Arial"/>
          <w:bCs/>
          <w:snapToGrid w:val="0"/>
          <w:sz w:val="24"/>
          <w:szCs w:val="24"/>
          <w:lang w:val="en-GB"/>
        </w:rPr>
        <w:t>remove</w:t>
      </w:r>
      <w:r w:rsidR="00C460D4">
        <w:rPr>
          <w:rFonts w:cs="Arial"/>
          <w:bCs/>
          <w:snapToGrid w:val="0"/>
          <w:sz w:val="24"/>
          <w:szCs w:val="24"/>
          <w:lang w:val="en-GB"/>
        </w:rPr>
        <w:t>d</w:t>
      </w:r>
      <w:r w:rsidR="00AC515B" w:rsidRPr="00AA4F74">
        <w:rPr>
          <w:rFonts w:cs="Arial"/>
          <w:bCs/>
          <w:snapToGrid w:val="0"/>
          <w:sz w:val="24"/>
          <w:szCs w:val="24"/>
          <w:lang w:val="en-GB"/>
        </w:rPr>
        <w:t xml:space="preserve"> reference to the level of patient risk based on past and present behaviour and now establish</w:t>
      </w:r>
      <w:r w:rsidR="00DF7CB7">
        <w:rPr>
          <w:rFonts w:cs="Arial"/>
          <w:bCs/>
          <w:snapToGrid w:val="0"/>
          <w:sz w:val="24"/>
          <w:szCs w:val="24"/>
          <w:lang w:val="en-GB"/>
        </w:rPr>
        <w:t xml:space="preserve"> risk</w:t>
      </w:r>
      <w:r w:rsidR="00AC515B" w:rsidRPr="00AA4F74">
        <w:rPr>
          <w:rFonts w:cs="Arial"/>
          <w:bCs/>
          <w:snapToGrid w:val="0"/>
          <w:sz w:val="24"/>
          <w:szCs w:val="24"/>
          <w:lang w:val="en-GB"/>
        </w:rPr>
        <w:t xml:space="preserve"> through identifying individual behaviours amongst different groups. The PBAC considered the revised criteria</w:t>
      </w:r>
      <w:r w:rsidR="00D06367">
        <w:rPr>
          <w:rFonts w:cs="Arial"/>
          <w:bCs/>
          <w:snapToGrid w:val="0"/>
          <w:sz w:val="24"/>
          <w:szCs w:val="24"/>
          <w:lang w:val="en-GB"/>
        </w:rPr>
        <w:t xml:space="preserve"> were more patient-centric and </w:t>
      </w:r>
      <w:r w:rsidR="00AC515B" w:rsidRPr="00AA4F74">
        <w:rPr>
          <w:rFonts w:cs="Arial"/>
          <w:bCs/>
          <w:snapToGrid w:val="0"/>
          <w:sz w:val="24"/>
          <w:szCs w:val="24"/>
          <w:lang w:val="en-GB"/>
        </w:rPr>
        <w:t xml:space="preserve">whilst they may </w:t>
      </w:r>
      <w:r w:rsidR="00AA4F74" w:rsidRPr="00AA4F74">
        <w:rPr>
          <w:rFonts w:cs="Arial"/>
          <w:bCs/>
          <w:snapToGrid w:val="0"/>
          <w:sz w:val="24"/>
          <w:szCs w:val="24"/>
          <w:lang w:val="en-GB"/>
        </w:rPr>
        <w:t xml:space="preserve">increase demand for PrEP, it was unlikely the changed criteria </w:t>
      </w:r>
      <w:r w:rsidR="00F722E8">
        <w:rPr>
          <w:rFonts w:cs="Arial"/>
          <w:bCs/>
          <w:snapToGrid w:val="0"/>
          <w:sz w:val="24"/>
          <w:szCs w:val="24"/>
          <w:lang w:val="en-GB"/>
        </w:rPr>
        <w:t xml:space="preserve">and restriction type </w:t>
      </w:r>
      <w:r w:rsidR="00AA4F74" w:rsidRPr="00AA4F74">
        <w:rPr>
          <w:rFonts w:cs="Arial"/>
          <w:bCs/>
          <w:snapToGrid w:val="0"/>
          <w:sz w:val="24"/>
          <w:szCs w:val="24"/>
          <w:lang w:val="en-GB"/>
        </w:rPr>
        <w:t xml:space="preserve">would lead to a substantial increase in </w:t>
      </w:r>
      <w:r w:rsidR="00D06367">
        <w:rPr>
          <w:rFonts w:cs="Arial"/>
          <w:bCs/>
          <w:snapToGrid w:val="0"/>
          <w:sz w:val="24"/>
          <w:szCs w:val="24"/>
          <w:lang w:val="en-GB"/>
        </w:rPr>
        <w:t>PBS</w:t>
      </w:r>
      <w:r w:rsidR="00CC72A7">
        <w:rPr>
          <w:rFonts w:cs="Arial"/>
          <w:bCs/>
          <w:snapToGrid w:val="0"/>
          <w:sz w:val="24"/>
          <w:szCs w:val="24"/>
          <w:lang w:val="en-GB"/>
        </w:rPr>
        <w:t xml:space="preserve"> use</w:t>
      </w:r>
      <w:r w:rsidR="00AA4F74" w:rsidRPr="00F737BD">
        <w:rPr>
          <w:rFonts w:cs="Arial"/>
          <w:bCs/>
          <w:snapToGrid w:val="0"/>
          <w:sz w:val="24"/>
          <w:szCs w:val="24"/>
          <w:lang w:val="en-GB"/>
        </w:rPr>
        <w:t>.</w:t>
      </w:r>
    </w:p>
    <w:p w14:paraId="11647535" w14:textId="281DCF95" w:rsidR="005F3F3E" w:rsidRDefault="005F3F3E" w:rsidP="00F737BD">
      <w:pPr>
        <w:widowControl w:val="0"/>
        <w:numPr>
          <w:ilvl w:val="1"/>
          <w:numId w:val="22"/>
        </w:numPr>
        <w:spacing w:after="120" w:line="240" w:lineRule="auto"/>
        <w:jc w:val="both"/>
        <w:rPr>
          <w:rFonts w:cs="Arial"/>
          <w:bCs/>
          <w:snapToGrid w:val="0"/>
          <w:sz w:val="24"/>
          <w:szCs w:val="24"/>
          <w:lang w:val="en-GB"/>
        </w:rPr>
      </w:pPr>
      <w:r>
        <w:rPr>
          <w:rFonts w:cs="Arial"/>
          <w:bCs/>
          <w:snapToGrid w:val="0"/>
          <w:sz w:val="24"/>
          <w:szCs w:val="24"/>
          <w:lang w:val="en-GB"/>
        </w:rPr>
        <w:t xml:space="preserve">In making a recommendation to </w:t>
      </w:r>
      <w:r w:rsidR="00F722E8">
        <w:rPr>
          <w:rFonts w:cs="Arial"/>
          <w:bCs/>
          <w:snapToGrid w:val="0"/>
          <w:sz w:val="24"/>
          <w:szCs w:val="24"/>
          <w:lang w:val="en-GB"/>
        </w:rPr>
        <w:t xml:space="preserve">change from a streamlined authority listing </w:t>
      </w:r>
      <w:r>
        <w:rPr>
          <w:rFonts w:cs="Arial"/>
          <w:bCs/>
          <w:snapToGrid w:val="0"/>
          <w:sz w:val="24"/>
          <w:szCs w:val="24"/>
          <w:lang w:val="en-GB"/>
        </w:rPr>
        <w:t>to a Restricted Benefit</w:t>
      </w:r>
      <w:r w:rsidR="00F722E8">
        <w:rPr>
          <w:rFonts w:cs="Arial"/>
          <w:bCs/>
          <w:snapToGrid w:val="0"/>
          <w:sz w:val="24"/>
          <w:szCs w:val="24"/>
          <w:lang w:val="en-GB"/>
        </w:rPr>
        <w:t xml:space="preserve"> listing</w:t>
      </w:r>
      <w:r>
        <w:rPr>
          <w:rFonts w:cs="Arial"/>
          <w:bCs/>
          <w:snapToGrid w:val="0"/>
          <w:sz w:val="24"/>
          <w:szCs w:val="24"/>
          <w:lang w:val="en-GB"/>
        </w:rPr>
        <w:t>, the PBAC was satisfied that given the demonstrated impact of PrEP on HIV transmission in the MSM population, the current price of TD/FTC and likely further reductions due to price disclosure, that the use of PBS-subsidised PrEP could be supported for individuals who are likely to engage in risk behaviours and are willing to use PrEP. The PBAC considered the revised listing should not include specific criteria for risk or reference to specific guidelines</w:t>
      </w:r>
      <w:r w:rsidR="00B71C11">
        <w:rPr>
          <w:rFonts w:cs="Arial"/>
          <w:bCs/>
          <w:snapToGrid w:val="0"/>
          <w:sz w:val="24"/>
          <w:szCs w:val="24"/>
          <w:lang w:val="en-GB"/>
        </w:rPr>
        <w:t xml:space="preserve"> and removal of the current age restrictions </w:t>
      </w:r>
      <w:r>
        <w:rPr>
          <w:rFonts w:cs="Arial"/>
          <w:bCs/>
          <w:snapToGrid w:val="0"/>
          <w:sz w:val="24"/>
          <w:szCs w:val="24"/>
          <w:lang w:val="en-GB"/>
        </w:rPr>
        <w:t xml:space="preserve">to allow for </w:t>
      </w:r>
      <w:r w:rsidR="00B71C11">
        <w:rPr>
          <w:rFonts w:cs="Arial"/>
          <w:bCs/>
          <w:snapToGrid w:val="0"/>
          <w:sz w:val="24"/>
          <w:szCs w:val="24"/>
          <w:lang w:val="en-GB"/>
        </w:rPr>
        <w:t>case-by-base decision-making between</w:t>
      </w:r>
      <w:r>
        <w:rPr>
          <w:rFonts w:cs="Arial"/>
          <w:bCs/>
          <w:snapToGrid w:val="0"/>
          <w:sz w:val="24"/>
          <w:szCs w:val="24"/>
          <w:lang w:val="en-GB"/>
        </w:rPr>
        <w:t xml:space="preserve"> p</w:t>
      </w:r>
      <w:r w:rsidR="00B71C11">
        <w:rPr>
          <w:rFonts w:cs="Arial"/>
          <w:bCs/>
          <w:snapToGrid w:val="0"/>
          <w:sz w:val="24"/>
          <w:szCs w:val="24"/>
          <w:lang w:val="en-GB"/>
        </w:rPr>
        <w:t>atients and clinicians.</w:t>
      </w:r>
      <w:r w:rsidR="00CC72A7">
        <w:rPr>
          <w:rFonts w:cs="Arial"/>
          <w:bCs/>
          <w:snapToGrid w:val="0"/>
          <w:sz w:val="24"/>
          <w:szCs w:val="24"/>
          <w:lang w:val="en-GB"/>
        </w:rPr>
        <w:t xml:space="preserve"> The Committee agreed the ASHM Guidelines provide a framework for such decision-making.</w:t>
      </w:r>
      <w:r w:rsidR="00B71C11">
        <w:rPr>
          <w:rFonts w:cs="Arial"/>
          <w:bCs/>
          <w:snapToGrid w:val="0"/>
          <w:sz w:val="24"/>
          <w:szCs w:val="24"/>
          <w:lang w:val="en-GB"/>
        </w:rPr>
        <w:t xml:space="preserve"> </w:t>
      </w:r>
      <w:r w:rsidR="00CC72A7">
        <w:rPr>
          <w:rFonts w:cs="Arial"/>
          <w:bCs/>
          <w:snapToGrid w:val="0"/>
          <w:sz w:val="24"/>
          <w:szCs w:val="24"/>
          <w:lang w:val="en-GB"/>
        </w:rPr>
        <w:t>The</w:t>
      </w:r>
      <w:r w:rsidR="00B71C11">
        <w:rPr>
          <w:rFonts w:cs="Arial"/>
          <w:bCs/>
          <w:snapToGrid w:val="0"/>
          <w:sz w:val="24"/>
          <w:szCs w:val="24"/>
          <w:lang w:val="en-GB"/>
        </w:rPr>
        <w:t xml:space="preserve"> PBAC considered that the requirement for patients to have their HIV negative status confirmed between each 3-month supply of PrEP should remain to ensure patients who acquire HIV are managed appropriately and to provide opportunities for regular sexual health check-ups. The PBAC considered the wording </w:t>
      </w:r>
      <w:r w:rsidR="00CC72A7">
        <w:rPr>
          <w:rFonts w:cs="Arial"/>
          <w:bCs/>
          <w:snapToGrid w:val="0"/>
          <w:sz w:val="24"/>
          <w:szCs w:val="24"/>
          <w:lang w:val="en-GB"/>
        </w:rPr>
        <w:t xml:space="preserve">should be flexible and </w:t>
      </w:r>
      <w:r w:rsidR="00B71C11">
        <w:rPr>
          <w:rFonts w:cs="Arial"/>
          <w:bCs/>
          <w:snapToGrid w:val="0"/>
          <w:sz w:val="24"/>
          <w:szCs w:val="24"/>
          <w:lang w:val="en-GB"/>
        </w:rPr>
        <w:t>not preclude treatment if the test result is not available at time of prescribing.</w:t>
      </w:r>
    </w:p>
    <w:p w14:paraId="73FBE8B9" w14:textId="1EBD07BD" w:rsidR="0008105C" w:rsidRPr="0008105C" w:rsidRDefault="00531FE2" w:rsidP="0008105C">
      <w:pPr>
        <w:widowControl w:val="0"/>
        <w:numPr>
          <w:ilvl w:val="1"/>
          <w:numId w:val="22"/>
        </w:numPr>
        <w:spacing w:after="120" w:line="240" w:lineRule="auto"/>
        <w:jc w:val="both"/>
        <w:rPr>
          <w:rFonts w:cs="Arial"/>
          <w:bCs/>
          <w:snapToGrid w:val="0"/>
          <w:sz w:val="24"/>
          <w:szCs w:val="24"/>
          <w:lang w:val="en-GB"/>
        </w:rPr>
      </w:pPr>
      <w:r>
        <w:rPr>
          <w:rFonts w:cs="Arial"/>
          <w:bCs/>
          <w:snapToGrid w:val="0"/>
          <w:sz w:val="24"/>
          <w:szCs w:val="24"/>
          <w:lang w:val="en-GB"/>
        </w:rPr>
        <w:t>The PBAC noted the PBS utilisation of PrEP has increased in a broadly linear fashion since listing</w:t>
      </w:r>
      <w:r w:rsidR="00CC72A7">
        <w:rPr>
          <w:rFonts w:cs="Arial"/>
          <w:bCs/>
          <w:snapToGrid w:val="0"/>
          <w:sz w:val="24"/>
          <w:szCs w:val="24"/>
          <w:lang w:val="en-GB"/>
        </w:rPr>
        <w:t xml:space="preserve"> in April 2018</w:t>
      </w:r>
      <w:r>
        <w:rPr>
          <w:rFonts w:cs="Arial"/>
          <w:bCs/>
          <w:snapToGrid w:val="0"/>
          <w:sz w:val="24"/>
          <w:szCs w:val="24"/>
          <w:lang w:val="en-GB"/>
        </w:rPr>
        <w:t xml:space="preserve"> until late 2019, from about 5,000 monthly prescriptions in the initial months since listing t</w:t>
      </w:r>
      <w:r w:rsidR="00CC72A7">
        <w:rPr>
          <w:rFonts w:cs="Arial"/>
          <w:bCs/>
          <w:snapToGrid w:val="0"/>
          <w:sz w:val="24"/>
          <w:szCs w:val="24"/>
          <w:lang w:val="en-GB"/>
        </w:rPr>
        <w:t>o a plateau of about 18,000 per</w:t>
      </w:r>
      <w:r>
        <w:rPr>
          <w:rFonts w:cs="Arial"/>
          <w:bCs/>
          <w:snapToGrid w:val="0"/>
          <w:sz w:val="24"/>
          <w:szCs w:val="24"/>
          <w:lang w:val="en-GB"/>
        </w:rPr>
        <w:t xml:space="preserve"> month</w:t>
      </w:r>
      <w:r w:rsidR="00CC72A7">
        <w:rPr>
          <w:rFonts w:cs="Arial"/>
          <w:bCs/>
          <w:snapToGrid w:val="0"/>
          <w:sz w:val="24"/>
          <w:szCs w:val="24"/>
          <w:lang w:val="en-GB"/>
        </w:rPr>
        <w:t xml:space="preserve"> (~12,000 discrete patients)</w:t>
      </w:r>
      <w:r>
        <w:rPr>
          <w:rFonts w:cs="Arial"/>
          <w:bCs/>
          <w:snapToGrid w:val="0"/>
          <w:sz w:val="24"/>
          <w:szCs w:val="24"/>
          <w:lang w:val="en-GB"/>
        </w:rPr>
        <w:t xml:space="preserve"> from September 2019 onwards.</w:t>
      </w:r>
      <w:r w:rsidR="00B97D04">
        <w:rPr>
          <w:rFonts w:cs="Arial"/>
          <w:bCs/>
          <w:snapToGrid w:val="0"/>
          <w:sz w:val="24"/>
          <w:szCs w:val="24"/>
          <w:lang w:val="en-GB"/>
        </w:rPr>
        <w:t xml:space="preserve"> The PBAC recalled it had considered the likely uptake o</w:t>
      </w:r>
      <w:r w:rsidR="00CC72A7">
        <w:rPr>
          <w:rFonts w:cs="Arial"/>
          <w:bCs/>
          <w:snapToGrid w:val="0"/>
          <w:sz w:val="24"/>
          <w:szCs w:val="24"/>
          <w:lang w:val="en-GB"/>
        </w:rPr>
        <w:t>f PrEP to be in the order of 60</w:t>
      </w:r>
      <w:r w:rsidR="00B97D04">
        <w:rPr>
          <w:rFonts w:cs="Arial"/>
          <w:bCs/>
          <w:snapToGrid w:val="0"/>
          <w:sz w:val="24"/>
          <w:szCs w:val="24"/>
          <w:lang w:val="en-GB"/>
        </w:rPr>
        <w:t xml:space="preserve">-70% of eligible individuals (based on the 2017 guidelines), or in a range of approximately 16,000-19,000 individuals in 2019. Based on the available data, the PBAC </w:t>
      </w:r>
      <w:r w:rsidR="000F4C3C">
        <w:rPr>
          <w:rFonts w:cs="Arial"/>
          <w:bCs/>
          <w:snapToGrid w:val="0"/>
          <w:sz w:val="24"/>
          <w:szCs w:val="24"/>
          <w:lang w:val="en-GB"/>
        </w:rPr>
        <w:t>noted</w:t>
      </w:r>
      <w:r w:rsidR="00DD53EB">
        <w:rPr>
          <w:rFonts w:cs="Arial"/>
          <w:bCs/>
          <w:snapToGrid w:val="0"/>
          <w:sz w:val="24"/>
          <w:szCs w:val="24"/>
          <w:lang w:val="en-GB"/>
        </w:rPr>
        <w:t xml:space="preserve"> </w:t>
      </w:r>
      <w:r w:rsidR="00B97D04">
        <w:rPr>
          <w:rFonts w:cs="Arial"/>
          <w:bCs/>
          <w:snapToGrid w:val="0"/>
          <w:sz w:val="24"/>
          <w:szCs w:val="24"/>
          <w:lang w:val="en-GB"/>
        </w:rPr>
        <w:t xml:space="preserve">the use of PrEP in 2019 </w:t>
      </w:r>
      <w:r w:rsidR="00DD53EB">
        <w:rPr>
          <w:rFonts w:cs="Arial"/>
          <w:bCs/>
          <w:snapToGrid w:val="0"/>
          <w:sz w:val="24"/>
          <w:szCs w:val="24"/>
          <w:lang w:val="en-GB"/>
        </w:rPr>
        <w:t>was</w:t>
      </w:r>
      <w:r w:rsidR="00B97D04">
        <w:rPr>
          <w:rFonts w:cs="Arial"/>
          <w:bCs/>
          <w:snapToGrid w:val="0"/>
          <w:sz w:val="24"/>
          <w:szCs w:val="24"/>
          <w:lang w:val="en-GB"/>
        </w:rPr>
        <w:t xml:space="preserve"> lower than expected</w:t>
      </w:r>
      <w:r w:rsidR="00DD53EB">
        <w:rPr>
          <w:rFonts w:cs="Arial"/>
          <w:bCs/>
          <w:snapToGrid w:val="0"/>
          <w:sz w:val="24"/>
          <w:szCs w:val="24"/>
          <w:lang w:val="en-GB"/>
        </w:rPr>
        <w:t>.</w:t>
      </w:r>
      <w:r w:rsidR="00B97D04">
        <w:rPr>
          <w:rFonts w:cs="Arial"/>
          <w:bCs/>
          <w:snapToGrid w:val="0"/>
          <w:sz w:val="24"/>
          <w:szCs w:val="24"/>
          <w:lang w:val="en-GB"/>
        </w:rPr>
        <w:t xml:space="preserve"> </w:t>
      </w:r>
      <w:r w:rsidR="00DD53EB">
        <w:rPr>
          <w:rFonts w:cs="Arial"/>
          <w:bCs/>
          <w:snapToGrid w:val="0"/>
          <w:sz w:val="24"/>
          <w:szCs w:val="24"/>
          <w:lang w:val="en-GB"/>
        </w:rPr>
        <w:t>H</w:t>
      </w:r>
      <w:r w:rsidR="00B97D04">
        <w:rPr>
          <w:rFonts w:cs="Arial"/>
          <w:bCs/>
          <w:snapToGrid w:val="0"/>
          <w:sz w:val="24"/>
          <w:szCs w:val="24"/>
          <w:lang w:val="en-GB"/>
        </w:rPr>
        <w:t>owever</w:t>
      </w:r>
      <w:r w:rsidR="00DD53EB">
        <w:rPr>
          <w:rFonts w:cs="Arial"/>
          <w:bCs/>
          <w:snapToGrid w:val="0"/>
          <w:sz w:val="24"/>
          <w:szCs w:val="24"/>
          <w:lang w:val="en-GB"/>
        </w:rPr>
        <w:t>,</w:t>
      </w:r>
      <w:r w:rsidR="00B97D04">
        <w:rPr>
          <w:rFonts w:cs="Arial"/>
          <w:bCs/>
          <w:snapToGrid w:val="0"/>
          <w:sz w:val="24"/>
          <w:szCs w:val="24"/>
          <w:lang w:val="en-GB"/>
        </w:rPr>
        <w:t xml:space="preserve"> </w:t>
      </w:r>
      <w:r w:rsidR="00DD53EB">
        <w:rPr>
          <w:rFonts w:cs="Arial"/>
          <w:bCs/>
          <w:snapToGrid w:val="0"/>
          <w:sz w:val="24"/>
          <w:szCs w:val="24"/>
          <w:lang w:val="en-GB"/>
        </w:rPr>
        <w:t xml:space="preserve">PBAC considered </w:t>
      </w:r>
      <w:r w:rsidR="00B97D04">
        <w:rPr>
          <w:rFonts w:cs="Arial"/>
          <w:bCs/>
          <w:snapToGrid w:val="0"/>
          <w:sz w:val="24"/>
          <w:szCs w:val="24"/>
          <w:lang w:val="en-GB"/>
        </w:rPr>
        <w:t xml:space="preserve">the disparity between number of </w:t>
      </w:r>
      <w:r w:rsidR="00DD53EB">
        <w:rPr>
          <w:rFonts w:cs="Arial"/>
          <w:bCs/>
          <w:snapToGrid w:val="0"/>
          <w:sz w:val="24"/>
          <w:szCs w:val="24"/>
          <w:lang w:val="en-GB"/>
        </w:rPr>
        <w:t xml:space="preserve">supplied </w:t>
      </w:r>
      <w:r w:rsidR="00B97D04">
        <w:rPr>
          <w:rFonts w:cs="Arial"/>
          <w:bCs/>
          <w:snapToGrid w:val="0"/>
          <w:sz w:val="24"/>
          <w:szCs w:val="24"/>
          <w:lang w:val="en-GB"/>
        </w:rPr>
        <w:t>prescriptions and number of patients warranted further review.</w:t>
      </w:r>
      <w:r w:rsidR="008D0DFE">
        <w:rPr>
          <w:rFonts w:cs="Arial"/>
          <w:bCs/>
          <w:snapToGrid w:val="0"/>
          <w:sz w:val="24"/>
          <w:szCs w:val="24"/>
          <w:lang w:val="en-GB"/>
        </w:rPr>
        <w:t xml:space="preserve"> The PBAC also considered the rate and level of price reductions for TD/FTC on the PBS contributed substantially to expenditure being lower than expected.</w:t>
      </w:r>
    </w:p>
    <w:p w14:paraId="6FCD0C52" w14:textId="30341BD9" w:rsidR="00531FE2" w:rsidRDefault="0008105C" w:rsidP="00F737BD">
      <w:pPr>
        <w:widowControl w:val="0"/>
        <w:numPr>
          <w:ilvl w:val="1"/>
          <w:numId w:val="22"/>
        </w:numPr>
        <w:spacing w:after="120" w:line="240" w:lineRule="auto"/>
        <w:jc w:val="both"/>
        <w:rPr>
          <w:rFonts w:cs="Arial"/>
          <w:bCs/>
          <w:snapToGrid w:val="0"/>
          <w:sz w:val="24"/>
          <w:szCs w:val="24"/>
          <w:lang w:val="en-GB"/>
        </w:rPr>
      </w:pPr>
      <w:r>
        <w:rPr>
          <w:rFonts w:cs="Arial"/>
          <w:bCs/>
          <w:snapToGrid w:val="0"/>
          <w:sz w:val="24"/>
          <w:szCs w:val="24"/>
          <w:lang w:val="en-GB"/>
        </w:rPr>
        <w:t>The Committee also</w:t>
      </w:r>
      <w:r w:rsidR="00531FE2">
        <w:rPr>
          <w:rFonts w:cs="Arial"/>
          <w:bCs/>
          <w:snapToGrid w:val="0"/>
          <w:sz w:val="24"/>
          <w:szCs w:val="24"/>
          <w:lang w:val="en-GB"/>
        </w:rPr>
        <w:t xml:space="preserve"> noted the PBS use of PrEP declined about 50%</w:t>
      </w:r>
      <w:r w:rsidR="00B97D04">
        <w:rPr>
          <w:rFonts w:cs="Arial"/>
          <w:bCs/>
          <w:snapToGrid w:val="0"/>
          <w:sz w:val="24"/>
          <w:szCs w:val="24"/>
          <w:lang w:val="en-GB"/>
        </w:rPr>
        <w:t xml:space="preserve"> compared to March 2020</w:t>
      </w:r>
      <w:r w:rsidR="00531FE2">
        <w:rPr>
          <w:rFonts w:cs="Arial"/>
          <w:bCs/>
          <w:snapToGrid w:val="0"/>
          <w:sz w:val="24"/>
          <w:szCs w:val="24"/>
          <w:lang w:val="en-GB"/>
        </w:rPr>
        <w:t xml:space="preserve"> and had partially recovered in subsequent months. The PBAC considered </w:t>
      </w:r>
      <w:r w:rsidR="00531FE2">
        <w:rPr>
          <w:rFonts w:cs="Arial"/>
          <w:bCs/>
          <w:snapToGrid w:val="0"/>
          <w:sz w:val="24"/>
          <w:szCs w:val="24"/>
          <w:lang w:val="en-GB"/>
        </w:rPr>
        <w:lastRenderedPageBreak/>
        <w:t xml:space="preserve">the substantial changes in PrEP dispensing from April 2020 onwards were likely driven by individuals’ behaviour changes attributable to COVID-19 and associated public health measures, such as restrictions on movement and gatherings. </w:t>
      </w:r>
    </w:p>
    <w:p w14:paraId="6AFB2EB5" w14:textId="678B1A53" w:rsidR="00B97D04" w:rsidRPr="0008105C" w:rsidRDefault="00B71C11" w:rsidP="0008105C">
      <w:pPr>
        <w:widowControl w:val="0"/>
        <w:numPr>
          <w:ilvl w:val="1"/>
          <w:numId w:val="22"/>
        </w:numPr>
        <w:spacing w:after="120" w:line="240" w:lineRule="auto"/>
        <w:jc w:val="both"/>
        <w:rPr>
          <w:rFonts w:cs="Arial"/>
          <w:bCs/>
          <w:snapToGrid w:val="0"/>
          <w:sz w:val="24"/>
          <w:szCs w:val="24"/>
          <w:lang w:val="en-GB"/>
        </w:rPr>
      </w:pPr>
      <w:r>
        <w:rPr>
          <w:rFonts w:cs="Arial"/>
          <w:bCs/>
          <w:snapToGrid w:val="0"/>
          <w:sz w:val="24"/>
          <w:szCs w:val="24"/>
          <w:lang w:val="en-GB"/>
        </w:rPr>
        <w:t>The PBAC</w:t>
      </w:r>
      <w:r w:rsidR="00531FE2">
        <w:rPr>
          <w:rFonts w:cs="Arial"/>
          <w:bCs/>
          <w:snapToGrid w:val="0"/>
          <w:sz w:val="24"/>
          <w:szCs w:val="24"/>
          <w:lang w:val="en-GB"/>
        </w:rPr>
        <w:t xml:space="preserve"> noted this submission is not eligible for an Independent Review as it received a positive recommendation.</w:t>
      </w:r>
    </w:p>
    <w:p w14:paraId="27D25542" w14:textId="52002794" w:rsidR="00D45FD2" w:rsidRPr="008F1F69" w:rsidRDefault="00D45FD2" w:rsidP="00D45FD2">
      <w:pPr>
        <w:spacing w:before="240" w:after="0"/>
        <w:jc w:val="both"/>
        <w:rPr>
          <w:rFonts w:cs="Arial"/>
          <w:b/>
          <w:bCs/>
          <w:snapToGrid w:val="0"/>
          <w:sz w:val="24"/>
          <w:szCs w:val="24"/>
          <w:lang w:val="en-GB"/>
        </w:rPr>
      </w:pPr>
      <w:r w:rsidRPr="008F1F69">
        <w:rPr>
          <w:rFonts w:cs="Arial"/>
          <w:b/>
          <w:bCs/>
          <w:snapToGrid w:val="0"/>
          <w:sz w:val="24"/>
          <w:szCs w:val="24"/>
          <w:lang w:val="en-GB"/>
        </w:rPr>
        <w:t>Outcome:</w:t>
      </w:r>
    </w:p>
    <w:p w14:paraId="546975DD" w14:textId="0519D2EB" w:rsidR="00D45FD2" w:rsidRPr="00D32DD5" w:rsidRDefault="00531FE2" w:rsidP="00D32DD5">
      <w:pPr>
        <w:jc w:val="both"/>
        <w:rPr>
          <w:rFonts w:cs="Arial"/>
          <w:bCs/>
          <w:snapToGrid w:val="0"/>
          <w:sz w:val="24"/>
          <w:szCs w:val="24"/>
          <w:lang w:val="en-GB"/>
        </w:rPr>
      </w:pPr>
      <w:r w:rsidRPr="008F1F69">
        <w:rPr>
          <w:rFonts w:cs="Arial"/>
          <w:bCs/>
          <w:snapToGrid w:val="0"/>
          <w:sz w:val="24"/>
          <w:szCs w:val="24"/>
          <w:lang w:val="en-GB"/>
        </w:rPr>
        <w:t>Recommended</w:t>
      </w:r>
    </w:p>
    <w:p w14:paraId="6CDB826A" w14:textId="77777777" w:rsidR="00D45FD2" w:rsidRPr="008833DA" w:rsidRDefault="00D45FD2" w:rsidP="008833DA">
      <w:pPr>
        <w:keepNext/>
        <w:widowControl w:val="0"/>
        <w:numPr>
          <w:ilvl w:val="0"/>
          <w:numId w:val="22"/>
        </w:numPr>
        <w:spacing w:before="240" w:after="120" w:line="240" w:lineRule="auto"/>
        <w:jc w:val="both"/>
        <w:outlineLvl w:val="0"/>
        <w:rPr>
          <w:rFonts w:cs="Arial"/>
          <w:b/>
          <w:bCs/>
          <w:snapToGrid w:val="0"/>
          <w:sz w:val="32"/>
        </w:rPr>
      </w:pPr>
      <w:r w:rsidRPr="008833DA">
        <w:rPr>
          <w:rFonts w:cs="Arial"/>
          <w:b/>
          <w:bCs/>
          <w:snapToGrid w:val="0"/>
          <w:sz w:val="32"/>
        </w:rPr>
        <w:t>Recommended listing</w:t>
      </w:r>
    </w:p>
    <w:p w14:paraId="096B6C81" w14:textId="47A1A1BE" w:rsidR="00D45FD2" w:rsidRPr="00D32DD5" w:rsidRDefault="00D45FD2" w:rsidP="00D45FD2">
      <w:pPr>
        <w:widowControl w:val="0"/>
        <w:numPr>
          <w:ilvl w:val="1"/>
          <w:numId w:val="22"/>
        </w:numPr>
        <w:spacing w:after="120" w:line="240" w:lineRule="auto"/>
        <w:jc w:val="both"/>
        <w:rPr>
          <w:rFonts w:cs="Arial"/>
          <w:b/>
          <w:bCs/>
          <w:snapToGrid w:val="0"/>
          <w:sz w:val="24"/>
          <w:szCs w:val="24"/>
        </w:rPr>
      </w:pPr>
      <w:r w:rsidRPr="008F1F69">
        <w:rPr>
          <w:rFonts w:cs="Arial"/>
          <w:bCs/>
          <w:snapToGrid w:val="0"/>
          <w:sz w:val="24"/>
          <w:szCs w:val="24"/>
        </w:rPr>
        <w:t>Amend existing</w:t>
      </w:r>
      <w:r w:rsidR="00041DDE">
        <w:rPr>
          <w:rFonts w:cs="Arial"/>
          <w:bCs/>
          <w:snapToGrid w:val="0"/>
          <w:sz w:val="24"/>
          <w:szCs w:val="24"/>
        </w:rPr>
        <w:t xml:space="preserve"> </w:t>
      </w:r>
      <w:r w:rsidRPr="008F1F69">
        <w:rPr>
          <w:rFonts w:cs="Arial"/>
          <w:bCs/>
          <w:snapToGrid w:val="0"/>
          <w:sz w:val="24"/>
          <w:szCs w:val="24"/>
        </w:rPr>
        <w:t>listing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851"/>
        <w:gridCol w:w="708"/>
        <w:gridCol w:w="851"/>
        <w:gridCol w:w="709"/>
        <w:gridCol w:w="1842"/>
      </w:tblGrid>
      <w:tr w:rsidR="00D45FD2" w:rsidRPr="00D45FD2" w14:paraId="5C29BF7C" w14:textId="77777777" w:rsidTr="00847039">
        <w:trPr>
          <w:cantSplit/>
          <w:trHeight w:val="471"/>
        </w:trPr>
        <w:tc>
          <w:tcPr>
            <w:tcW w:w="4106" w:type="dxa"/>
          </w:tcPr>
          <w:p w14:paraId="48FEB546" w14:textId="77777777" w:rsidR="00D45FD2" w:rsidRPr="00D45FD2" w:rsidRDefault="00D45FD2" w:rsidP="00585D17">
            <w:pPr>
              <w:keepNext/>
              <w:spacing w:after="0" w:line="240" w:lineRule="auto"/>
              <w:ind w:left="-108"/>
              <w:rPr>
                <w:rFonts w:ascii="Arial Narrow" w:hAnsi="Arial Narrow" w:cs="Arial"/>
                <w:b/>
                <w:bCs/>
                <w:sz w:val="18"/>
                <w:szCs w:val="18"/>
              </w:rPr>
            </w:pPr>
            <w:r w:rsidRPr="00D45FD2">
              <w:rPr>
                <w:rFonts w:ascii="Arial Narrow" w:hAnsi="Arial Narrow" w:cs="Arial"/>
                <w:b/>
                <w:bCs/>
                <w:sz w:val="18"/>
                <w:szCs w:val="18"/>
              </w:rPr>
              <w:t>MEDICINAL PRODUCT</w:t>
            </w:r>
          </w:p>
          <w:p w14:paraId="6E7D2049" w14:textId="77777777" w:rsidR="00D45FD2" w:rsidRPr="00D45FD2" w:rsidRDefault="00D45FD2" w:rsidP="00585D17">
            <w:pPr>
              <w:keepNext/>
              <w:spacing w:after="0" w:line="240" w:lineRule="auto"/>
              <w:ind w:left="-108"/>
              <w:rPr>
                <w:rFonts w:ascii="Arial Narrow" w:hAnsi="Arial Narrow" w:cs="Arial"/>
                <w:b/>
                <w:sz w:val="18"/>
                <w:szCs w:val="18"/>
              </w:rPr>
            </w:pPr>
            <w:r w:rsidRPr="00D45FD2">
              <w:rPr>
                <w:rFonts w:ascii="Arial Narrow" w:hAnsi="Arial Narrow" w:cs="Arial"/>
                <w:b/>
                <w:bCs/>
                <w:sz w:val="18"/>
                <w:szCs w:val="18"/>
              </w:rPr>
              <w:t xml:space="preserve"> Medicinal Product Pack</w:t>
            </w:r>
          </w:p>
        </w:tc>
        <w:tc>
          <w:tcPr>
            <w:tcW w:w="851" w:type="dxa"/>
          </w:tcPr>
          <w:p w14:paraId="514C72E6" w14:textId="77777777" w:rsidR="00D45FD2" w:rsidRPr="00D45FD2" w:rsidRDefault="00D45FD2" w:rsidP="00585D17">
            <w:pPr>
              <w:keepNext/>
              <w:spacing w:after="0" w:line="240" w:lineRule="auto"/>
              <w:ind w:left="-108"/>
              <w:jc w:val="center"/>
              <w:rPr>
                <w:rFonts w:ascii="Arial Narrow" w:hAnsi="Arial Narrow" w:cs="Arial"/>
                <w:b/>
                <w:sz w:val="18"/>
                <w:szCs w:val="18"/>
              </w:rPr>
            </w:pPr>
            <w:r w:rsidRPr="00D45FD2">
              <w:rPr>
                <w:rFonts w:ascii="Arial Narrow" w:hAnsi="Arial Narrow" w:cs="Arial"/>
                <w:b/>
                <w:sz w:val="18"/>
                <w:szCs w:val="18"/>
              </w:rPr>
              <w:t>PBS item code</w:t>
            </w:r>
          </w:p>
        </w:tc>
        <w:tc>
          <w:tcPr>
            <w:tcW w:w="708" w:type="dxa"/>
          </w:tcPr>
          <w:p w14:paraId="7CE0CE6C" w14:textId="77777777" w:rsidR="00D45FD2" w:rsidRPr="00D45FD2" w:rsidRDefault="00D45FD2" w:rsidP="00585D17">
            <w:pPr>
              <w:keepNext/>
              <w:spacing w:after="0" w:line="240" w:lineRule="auto"/>
              <w:ind w:left="-108"/>
              <w:jc w:val="center"/>
              <w:rPr>
                <w:rFonts w:ascii="Arial Narrow" w:hAnsi="Arial Narrow" w:cs="Arial"/>
                <w:b/>
                <w:sz w:val="18"/>
                <w:szCs w:val="18"/>
              </w:rPr>
            </w:pPr>
            <w:r w:rsidRPr="00D45FD2">
              <w:rPr>
                <w:rFonts w:ascii="Arial Narrow" w:hAnsi="Arial Narrow" w:cs="Arial"/>
                <w:b/>
                <w:sz w:val="18"/>
                <w:szCs w:val="18"/>
              </w:rPr>
              <w:t>Max. qty packs</w:t>
            </w:r>
          </w:p>
        </w:tc>
        <w:tc>
          <w:tcPr>
            <w:tcW w:w="851" w:type="dxa"/>
          </w:tcPr>
          <w:p w14:paraId="575C0283" w14:textId="77777777" w:rsidR="00D45FD2" w:rsidRPr="00D45FD2" w:rsidRDefault="00D45FD2" w:rsidP="00585D17">
            <w:pPr>
              <w:keepNext/>
              <w:spacing w:after="0" w:line="240" w:lineRule="auto"/>
              <w:ind w:left="-108"/>
              <w:jc w:val="center"/>
              <w:rPr>
                <w:rFonts w:ascii="Arial Narrow" w:hAnsi="Arial Narrow" w:cs="Arial"/>
                <w:b/>
                <w:sz w:val="18"/>
                <w:szCs w:val="18"/>
              </w:rPr>
            </w:pPr>
            <w:r w:rsidRPr="00D45FD2">
              <w:rPr>
                <w:rFonts w:ascii="Arial Narrow" w:hAnsi="Arial Narrow" w:cs="Arial"/>
                <w:b/>
                <w:sz w:val="18"/>
                <w:szCs w:val="18"/>
              </w:rPr>
              <w:t>Max. qty units</w:t>
            </w:r>
          </w:p>
        </w:tc>
        <w:tc>
          <w:tcPr>
            <w:tcW w:w="709" w:type="dxa"/>
          </w:tcPr>
          <w:p w14:paraId="7FD95066" w14:textId="77777777" w:rsidR="00D45FD2" w:rsidRPr="00D45FD2" w:rsidRDefault="00D45FD2" w:rsidP="00585D17">
            <w:pPr>
              <w:keepNext/>
              <w:spacing w:after="0" w:line="240" w:lineRule="auto"/>
              <w:ind w:left="-108"/>
              <w:jc w:val="center"/>
              <w:rPr>
                <w:rFonts w:ascii="Arial Narrow" w:hAnsi="Arial Narrow" w:cs="Arial"/>
                <w:b/>
                <w:sz w:val="18"/>
                <w:szCs w:val="18"/>
              </w:rPr>
            </w:pPr>
            <w:r w:rsidRPr="00D45FD2">
              <w:rPr>
                <w:rFonts w:ascii="Arial Narrow" w:hAnsi="Arial Narrow" w:cs="Arial"/>
                <w:b/>
                <w:sz w:val="18"/>
                <w:szCs w:val="18"/>
              </w:rPr>
              <w:t>№.of</w:t>
            </w:r>
          </w:p>
          <w:p w14:paraId="4EEE6013" w14:textId="77777777" w:rsidR="00D45FD2" w:rsidRPr="00D45FD2" w:rsidRDefault="00D45FD2" w:rsidP="00585D17">
            <w:pPr>
              <w:keepNext/>
              <w:spacing w:after="0" w:line="240" w:lineRule="auto"/>
              <w:ind w:left="-108"/>
              <w:jc w:val="center"/>
              <w:rPr>
                <w:rFonts w:ascii="Arial Narrow" w:hAnsi="Arial Narrow" w:cs="Arial"/>
                <w:b/>
                <w:sz w:val="18"/>
                <w:szCs w:val="18"/>
              </w:rPr>
            </w:pPr>
            <w:r w:rsidRPr="00D45FD2">
              <w:rPr>
                <w:rFonts w:ascii="Arial Narrow" w:hAnsi="Arial Narrow" w:cs="Arial"/>
                <w:b/>
                <w:sz w:val="18"/>
                <w:szCs w:val="18"/>
              </w:rPr>
              <w:t>Rpts</w:t>
            </w:r>
          </w:p>
        </w:tc>
        <w:tc>
          <w:tcPr>
            <w:tcW w:w="1842" w:type="dxa"/>
          </w:tcPr>
          <w:p w14:paraId="29E89F08" w14:textId="77777777" w:rsidR="00D45FD2" w:rsidRPr="00D45FD2" w:rsidRDefault="00D45FD2" w:rsidP="00585D17">
            <w:pPr>
              <w:keepNext/>
              <w:spacing w:after="0" w:line="240" w:lineRule="auto"/>
              <w:rPr>
                <w:rFonts w:ascii="Arial Narrow" w:hAnsi="Arial Narrow" w:cs="Arial"/>
                <w:b/>
                <w:sz w:val="18"/>
                <w:szCs w:val="18"/>
                <w:lang w:val="fr-FR"/>
              </w:rPr>
            </w:pPr>
            <w:r w:rsidRPr="00D45FD2">
              <w:rPr>
                <w:rFonts w:ascii="Arial Narrow" w:hAnsi="Arial Narrow" w:cs="Arial"/>
                <w:b/>
                <w:sz w:val="18"/>
                <w:szCs w:val="18"/>
              </w:rPr>
              <w:t>Available brands</w:t>
            </w:r>
          </w:p>
        </w:tc>
      </w:tr>
      <w:tr w:rsidR="00D45FD2" w:rsidRPr="00D45FD2" w14:paraId="5E41B0B2" w14:textId="77777777" w:rsidTr="00847039">
        <w:trPr>
          <w:cantSplit/>
          <w:trHeight w:val="761"/>
        </w:trPr>
        <w:tc>
          <w:tcPr>
            <w:tcW w:w="4106" w:type="dxa"/>
          </w:tcPr>
          <w:p w14:paraId="48A3E01F" w14:textId="77777777" w:rsidR="00D45FD2" w:rsidRPr="00D45FD2" w:rsidRDefault="00D45FD2" w:rsidP="00585D17">
            <w:pPr>
              <w:keepNext/>
              <w:spacing w:after="0" w:line="240" w:lineRule="auto"/>
              <w:ind w:left="-108"/>
              <w:jc w:val="both"/>
              <w:rPr>
                <w:rFonts w:ascii="Arial Narrow" w:hAnsi="Arial Narrow" w:cs="Arial"/>
                <w:sz w:val="18"/>
                <w:szCs w:val="18"/>
              </w:rPr>
            </w:pPr>
            <w:r w:rsidRPr="00D45FD2">
              <w:rPr>
                <w:rFonts w:ascii="Arial Narrow" w:hAnsi="Arial Narrow" w:cs="Arial"/>
                <w:sz w:val="18"/>
                <w:szCs w:val="18"/>
              </w:rPr>
              <w:t>TENOFOVIR with EMTRICITABINE</w:t>
            </w:r>
          </w:p>
          <w:p w14:paraId="51D9EA90" w14:textId="77777777" w:rsidR="00D45FD2" w:rsidRPr="00D45FD2" w:rsidRDefault="00D45FD2" w:rsidP="00585D17">
            <w:pPr>
              <w:keepNext/>
              <w:spacing w:after="0" w:line="240" w:lineRule="auto"/>
              <w:ind w:left="-108"/>
              <w:jc w:val="both"/>
              <w:rPr>
                <w:rFonts w:ascii="Arial Narrow" w:hAnsi="Arial Narrow" w:cs="Arial"/>
                <w:sz w:val="18"/>
                <w:szCs w:val="18"/>
              </w:rPr>
            </w:pPr>
          </w:p>
          <w:p w14:paraId="30088655" w14:textId="77777777" w:rsidR="00D45FD2" w:rsidRPr="00D45FD2" w:rsidRDefault="00D45FD2" w:rsidP="00585D17">
            <w:pPr>
              <w:keepNext/>
              <w:spacing w:after="0" w:line="240" w:lineRule="auto"/>
              <w:ind w:left="-108"/>
              <w:jc w:val="both"/>
              <w:rPr>
                <w:rFonts w:ascii="Arial Narrow" w:hAnsi="Arial Narrow" w:cs="Arial"/>
                <w:sz w:val="18"/>
                <w:szCs w:val="18"/>
              </w:rPr>
            </w:pPr>
            <w:r w:rsidRPr="00D45FD2">
              <w:rPr>
                <w:rFonts w:ascii="Arial Narrow" w:hAnsi="Arial Narrow" w:cs="Arial"/>
                <w:sz w:val="18"/>
                <w:szCs w:val="18"/>
              </w:rPr>
              <w:t>tenofovir disoproxil fumarate 300 mg + emtricitabine 200 mg tablet, 30</w:t>
            </w:r>
          </w:p>
        </w:tc>
        <w:tc>
          <w:tcPr>
            <w:tcW w:w="851" w:type="dxa"/>
          </w:tcPr>
          <w:p w14:paraId="5216338F"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38C4D622" w14:textId="77777777" w:rsidR="00D45FD2" w:rsidRPr="00D45FD2" w:rsidRDefault="00D45FD2" w:rsidP="00585D17">
            <w:pPr>
              <w:keepNext/>
              <w:spacing w:after="0" w:line="240" w:lineRule="auto"/>
              <w:rPr>
                <w:rFonts w:ascii="Arial Narrow" w:hAnsi="Arial Narrow" w:cs="Arial"/>
                <w:sz w:val="18"/>
                <w:szCs w:val="18"/>
              </w:rPr>
            </w:pPr>
          </w:p>
          <w:p w14:paraId="7257A061"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11276L</w:t>
            </w:r>
          </w:p>
        </w:tc>
        <w:tc>
          <w:tcPr>
            <w:tcW w:w="708" w:type="dxa"/>
          </w:tcPr>
          <w:p w14:paraId="26B094C3" w14:textId="77777777" w:rsidR="00D45FD2" w:rsidRPr="00D45FD2" w:rsidRDefault="00D45FD2" w:rsidP="00585D17">
            <w:pPr>
              <w:keepNext/>
              <w:spacing w:after="0" w:line="240" w:lineRule="auto"/>
              <w:jc w:val="center"/>
              <w:rPr>
                <w:rFonts w:ascii="Arial Narrow" w:hAnsi="Arial Narrow" w:cs="Arial"/>
                <w:sz w:val="18"/>
                <w:szCs w:val="18"/>
              </w:rPr>
            </w:pPr>
          </w:p>
          <w:p w14:paraId="5F47C97D" w14:textId="77777777" w:rsidR="00D45FD2" w:rsidRPr="00D45FD2" w:rsidRDefault="00D45FD2" w:rsidP="00585D17">
            <w:pPr>
              <w:keepNext/>
              <w:spacing w:after="0" w:line="240" w:lineRule="auto"/>
              <w:rPr>
                <w:rFonts w:ascii="Arial Narrow" w:hAnsi="Arial Narrow" w:cs="Arial"/>
                <w:sz w:val="18"/>
                <w:szCs w:val="18"/>
              </w:rPr>
            </w:pPr>
          </w:p>
          <w:p w14:paraId="6009B9A4" w14:textId="77777777" w:rsidR="00D45FD2" w:rsidRPr="00D45FD2" w:rsidRDefault="00D45FD2" w:rsidP="00585D17">
            <w:pPr>
              <w:keepNext/>
              <w:spacing w:after="0" w:line="240" w:lineRule="auto"/>
              <w:jc w:val="center"/>
              <w:rPr>
                <w:rFonts w:ascii="Arial Narrow" w:hAnsi="Arial Narrow" w:cs="Arial"/>
                <w:sz w:val="18"/>
                <w:szCs w:val="18"/>
              </w:rPr>
            </w:pPr>
            <w:r w:rsidRPr="00D45FD2">
              <w:rPr>
                <w:rFonts w:ascii="Arial Narrow" w:hAnsi="Arial Narrow" w:cs="Arial"/>
                <w:sz w:val="18"/>
                <w:szCs w:val="18"/>
              </w:rPr>
              <w:t>1</w:t>
            </w:r>
          </w:p>
        </w:tc>
        <w:tc>
          <w:tcPr>
            <w:tcW w:w="851" w:type="dxa"/>
          </w:tcPr>
          <w:p w14:paraId="7023C4BB" w14:textId="77777777" w:rsidR="00D45FD2" w:rsidRPr="00D45FD2" w:rsidRDefault="00D45FD2" w:rsidP="00585D17">
            <w:pPr>
              <w:keepNext/>
              <w:spacing w:after="0" w:line="240" w:lineRule="auto"/>
              <w:rPr>
                <w:rFonts w:ascii="Arial Narrow" w:hAnsi="Arial Narrow" w:cs="Arial"/>
                <w:sz w:val="18"/>
                <w:szCs w:val="18"/>
              </w:rPr>
            </w:pPr>
          </w:p>
          <w:p w14:paraId="273F3950"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3F8683CF"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30</w:t>
            </w:r>
          </w:p>
        </w:tc>
        <w:tc>
          <w:tcPr>
            <w:tcW w:w="709" w:type="dxa"/>
          </w:tcPr>
          <w:p w14:paraId="267B7C8F"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6A66440D" w14:textId="77777777" w:rsidR="00D45FD2" w:rsidRPr="00D45FD2" w:rsidRDefault="00D45FD2" w:rsidP="00585D17">
            <w:pPr>
              <w:keepNext/>
              <w:spacing w:after="0" w:line="240" w:lineRule="auto"/>
              <w:rPr>
                <w:rFonts w:ascii="Arial Narrow" w:hAnsi="Arial Narrow" w:cs="Arial"/>
                <w:sz w:val="18"/>
                <w:szCs w:val="18"/>
              </w:rPr>
            </w:pPr>
          </w:p>
          <w:p w14:paraId="704D9936"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2</w:t>
            </w:r>
          </w:p>
          <w:p w14:paraId="6BFB9B6F" w14:textId="77777777" w:rsidR="00D45FD2" w:rsidRPr="00D45FD2" w:rsidRDefault="00D45FD2" w:rsidP="00585D17">
            <w:pPr>
              <w:keepNext/>
              <w:spacing w:after="0" w:line="240" w:lineRule="auto"/>
              <w:rPr>
                <w:rFonts w:ascii="Arial Narrow" w:hAnsi="Arial Narrow" w:cs="Arial"/>
                <w:sz w:val="18"/>
                <w:szCs w:val="18"/>
              </w:rPr>
            </w:pPr>
          </w:p>
        </w:tc>
        <w:tc>
          <w:tcPr>
            <w:tcW w:w="1842" w:type="dxa"/>
          </w:tcPr>
          <w:p w14:paraId="2E86E40A" w14:textId="77777777" w:rsidR="00D45FD2" w:rsidRPr="00D45FD2" w:rsidRDefault="00D45FD2" w:rsidP="00585D17">
            <w:pPr>
              <w:keepNext/>
              <w:spacing w:after="0" w:line="240" w:lineRule="auto"/>
              <w:jc w:val="both"/>
              <w:rPr>
                <w:rFonts w:ascii="Arial Narrow" w:hAnsi="Arial Narrow" w:cs="Arial"/>
                <w:sz w:val="18"/>
                <w:szCs w:val="18"/>
              </w:rPr>
            </w:pPr>
          </w:p>
          <w:p w14:paraId="07E73112" w14:textId="77777777" w:rsidR="00D45FD2" w:rsidRPr="00D45FD2" w:rsidRDefault="00D45FD2" w:rsidP="00585D17">
            <w:pPr>
              <w:keepNext/>
              <w:spacing w:after="0" w:line="240" w:lineRule="auto"/>
              <w:rPr>
                <w:rFonts w:ascii="Arial Narrow" w:hAnsi="Arial Narrow" w:cs="Arial"/>
                <w:sz w:val="18"/>
                <w:szCs w:val="18"/>
              </w:rPr>
            </w:pPr>
            <w:r w:rsidRPr="00D45FD2">
              <w:rPr>
                <w:rFonts w:ascii="Arial Narrow" w:hAnsi="Arial Narrow" w:cs="Arial"/>
                <w:sz w:val="18"/>
                <w:szCs w:val="18"/>
              </w:rPr>
              <w:t>Tenofovir/Emtricitabine 300/200 APOTEX</w:t>
            </w:r>
          </w:p>
          <w:p w14:paraId="4B52466C" w14:textId="77777777" w:rsidR="00D45FD2" w:rsidRPr="00D45FD2" w:rsidRDefault="00D45FD2" w:rsidP="00585D17">
            <w:pPr>
              <w:keepNext/>
              <w:spacing w:after="0" w:line="240" w:lineRule="auto"/>
              <w:rPr>
                <w:rFonts w:ascii="Arial Narrow" w:hAnsi="Arial Narrow" w:cs="Arial"/>
                <w:sz w:val="18"/>
                <w:szCs w:val="18"/>
              </w:rPr>
            </w:pPr>
          </w:p>
          <w:p w14:paraId="2E6470A2" w14:textId="77777777" w:rsidR="00D45FD2" w:rsidRPr="00D45FD2" w:rsidRDefault="00D45FD2" w:rsidP="00585D17">
            <w:pPr>
              <w:keepNext/>
              <w:spacing w:after="0" w:line="240" w:lineRule="auto"/>
              <w:rPr>
                <w:rFonts w:ascii="Arial Narrow" w:hAnsi="Arial Narrow" w:cs="Arial"/>
                <w:sz w:val="18"/>
                <w:szCs w:val="18"/>
              </w:rPr>
            </w:pPr>
            <w:r w:rsidRPr="00D45FD2">
              <w:rPr>
                <w:rFonts w:ascii="Arial Narrow" w:hAnsi="Arial Narrow" w:cs="Arial"/>
                <w:sz w:val="18"/>
                <w:szCs w:val="18"/>
              </w:rPr>
              <w:t>Apotex Pty Ltd</w:t>
            </w:r>
          </w:p>
        </w:tc>
      </w:tr>
      <w:tr w:rsidR="00D45FD2" w:rsidRPr="00D45FD2" w14:paraId="140462F8" w14:textId="77777777" w:rsidTr="00847039">
        <w:trPr>
          <w:cantSplit/>
          <w:trHeight w:val="347"/>
        </w:trPr>
        <w:tc>
          <w:tcPr>
            <w:tcW w:w="4106" w:type="dxa"/>
          </w:tcPr>
          <w:p w14:paraId="19247F33" w14:textId="77777777" w:rsidR="00D45FD2" w:rsidRPr="00D45FD2" w:rsidRDefault="00D45FD2" w:rsidP="00585D17">
            <w:pPr>
              <w:keepNext/>
              <w:spacing w:after="0" w:line="240" w:lineRule="auto"/>
              <w:ind w:left="-108"/>
              <w:rPr>
                <w:rFonts w:ascii="Arial Narrow" w:hAnsi="Arial Narrow" w:cs="Arial"/>
                <w:sz w:val="18"/>
                <w:szCs w:val="18"/>
              </w:rPr>
            </w:pPr>
          </w:p>
          <w:p w14:paraId="28307589" w14:textId="77777777" w:rsidR="00D45FD2" w:rsidRPr="00D45FD2" w:rsidRDefault="00D45FD2" w:rsidP="00585D17">
            <w:pPr>
              <w:keepNext/>
              <w:spacing w:after="0" w:line="240" w:lineRule="auto"/>
              <w:ind w:left="-108"/>
              <w:rPr>
                <w:rFonts w:ascii="Arial Narrow" w:hAnsi="Arial Narrow" w:cs="Arial"/>
                <w:sz w:val="18"/>
                <w:szCs w:val="18"/>
              </w:rPr>
            </w:pPr>
            <w:r w:rsidRPr="00D45FD2">
              <w:rPr>
                <w:rFonts w:ascii="Arial Narrow" w:hAnsi="Arial Narrow" w:cs="Arial"/>
                <w:sz w:val="18"/>
                <w:szCs w:val="18"/>
              </w:rPr>
              <w:t>tenofovir disoproxil maleate 300 mg + emtricitabine 200 mg tablet, 30</w:t>
            </w:r>
          </w:p>
        </w:tc>
        <w:tc>
          <w:tcPr>
            <w:tcW w:w="851" w:type="dxa"/>
          </w:tcPr>
          <w:p w14:paraId="6619D079"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075FABA5"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11296M</w:t>
            </w:r>
          </w:p>
        </w:tc>
        <w:tc>
          <w:tcPr>
            <w:tcW w:w="708" w:type="dxa"/>
          </w:tcPr>
          <w:p w14:paraId="7C488BD0" w14:textId="77777777" w:rsidR="00D45FD2" w:rsidRPr="00D45FD2" w:rsidRDefault="00D45FD2" w:rsidP="00585D17">
            <w:pPr>
              <w:keepNext/>
              <w:spacing w:after="0" w:line="240" w:lineRule="auto"/>
              <w:jc w:val="center"/>
              <w:rPr>
                <w:rFonts w:ascii="Arial Narrow" w:hAnsi="Arial Narrow" w:cs="Arial"/>
                <w:sz w:val="18"/>
                <w:szCs w:val="18"/>
              </w:rPr>
            </w:pPr>
          </w:p>
          <w:p w14:paraId="0628B795" w14:textId="77777777" w:rsidR="00D45FD2" w:rsidRPr="00D45FD2" w:rsidRDefault="00D45FD2" w:rsidP="00585D17">
            <w:pPr>
              <w:keepNext/>
              <w:spacing w:after="0" w:line="240" w:lineRule="auto"/>
              <w:jc w:val="center"/>
              <w:rPr>
                <w:rFonts w:ascii="Arial Narrow" w:hAnsi="Arial Narrow" w:cs="Arial"/>
                <w:sz w:val="18"/>
                <w:szCs w:val="18"/>
              </w:rPr>
            </w:pPr>
            <w:r w:rsidRPr="00D45FD2">
              <w:rPr>
                <w:rFonts w:ascii="Arial Narrow" w:hAnsi="Arial Narrow" w:cs="Arial"/>
                <w:sz w:val="18"/>
                <w:szCs w:val="18"/>
              </w:rPr>
              <w:t>1</w:t>
            </w:r>
          </w:p>
        </w:tc>
        <w:tc>
          <w:tcPr>
            <w:tcW w:w="851" w:type="dxa"/>
          </w:tcPr>
          <w:p w14:paraId="63177CE9"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171FCFD0"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30</w:t>
            </w:r>
          </w:p>
        </w:tc>
        <w:tc>
          <w:tcPr>
            <w:tcW w:w="709" w:type="dxa"/>
          </w:tcPr>
          <w:p w14:paraId="3A7417E2"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12C51138"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2</w:t>
            </w:r>
          </w:p>
        </w:tc>
        <w:tc>
          <w:tcPr>
            <w:tcW w:w="1842" w:type="dxa"/>
          </w:tcPr>
          <w:p w14:paraId="2D325C33" w14:textId="77777777" w:rsidR="00D45FD2" w:rsidRPr="00D45FD2" w:rsidRDefault="00D45FD2" w:rsidP="00585D17">
            <w:pPr>
              <w:keepNext/>
              <w:spacing w:after="0" w:line="240" w:lineRule="auto"/>
              <w:rPr>
                <w:rFonts w:ascii="Arial Narrow" w:hAnsi="Arial Narrow" w:cs="Arial"/>
                <w:sz w:val="18"/>
                <w:szCs w:val="18"/>
              </w:rPr>
            </w:pPr>
            <w:r w:rsidRPr="00D45FD2">
              <w:rPr>
                <w:rFonts w:ascii="Arial Narrow" w:hAnsi="Arial Narrow" w:cs="Arial"/>
                <w:sz w:val="18"/>
                <w:szCs w:val="18"/>
              </w:rPr>
              <w:t>Tenofovir Disoproxil Emtricitabine Mylan 300/200</w:t>
            </w:r>
          </w:p>
          <w:p w14:paraId="0007D59E" w14:textId="77777777" w:rsidR="00D45FD2" w:rsidRPr="00D45FD2" w:rsidRDefault="00D45FD2" w:rsidP="00585D17">
            <w:pPr>
              <w:keepNext/>
              <w:spacing w:after="0" w:line="240" w:lineRule="auto"/>
              <w:rPr>
                <w:rFonts w:ascii="Arial Narrow" w:hAnsi="Arial Narrow" w:cs="Arial"/>
                <w:sz w:val="18"/>
                <w:szCs w:val="18"/>
              </w:rPr>
            </w:pPr>
          </w:p>
          <w:p w14:paraId="479AADA5" w14:textId="77777777" w:rsidR="00D45FD2" w:rsidRPr="00D45FD2" w:rsidRDefault="00D45FD2" w:rsidP="00585D17">
            <w:pPr>
              <w:keepNext/>
              <w:spacing w:after="0" w:line="240" w:lineRule="auto"/>
              <w:rPr>
                <w:rFonts w:ascii="Arial Narrow" w:hAnsi="Arial Narrow" w:cs="Arial"/>
                <w:sz w:val="18"/>
                <w:szCs w:val="18"/>
              </w:rPr>
            </w:pPr>
            <w:r w:rsidRPr="00D45FD2">
              <w:rPr>
                <w:rFonts w:ascii="Arial Narrow" w:hAnsi="Arial Narrow" w:cs="Arial"/>
                <w:sz w:val="18"/>
                <w:szCs w:val="18"/>
              </w:rPr>
              <w:t>Alphapharm Pty Ltd</w:t>
            </w:r>
          </w:p>
        </w:tc>
      </w:tr>
      <w:tr w:rsidR="00D45FD2" w:rsidRPr="00D45FD2" w14:paraId="3C6BCC42" w14:textId="77777777" w:rsidTr="00847039">
        <w:trPr>
          <w:cantSplit/>
          <w:trHeight w:val="327"/>
        </w:trPr>
        <w:tc>
          <w:tcPr>
            <w:tcW w:w="4106" w:type="dxa"/>
          </w:tcPr>
          <w:p w14:paraId="075584E9" w14:textId="77777777" w:rsidR="00D45FD2" w:rsidRPr="00D45FD2" w:rsidRDefault="00D45FD2" w:rsidP="00585D17">
            <w:pPr>
              <w:keepNext/>
              <w:tabs>
                <w:tab w:val="left" w:pos="1077"/>
              </w:tabs>
              <w:spacing w:after="0" w:line="240" w:lineRule="auto"/>
              <w:ind w:left="-108"/>
              <w:rPr>
                <w:rFonts w:ascii="Arial Narrow" w:hAnsi="Arial Narrow" w:cs="Arial"/>
                <w:sz w:val="18"/>
                <w:szCs w:val="18"/>
              </w:rPr>
            </w:pPr>
          </w:p>
          <w:p w14:paraId="76D896B0" w14:textId="77777777" w:rsidR="00D45FD2" w:rsidRPr="00D45FD2" w:rsidRDefault="00D45FD2" w:rsidP="00585D17">
            <w:pPr>
              <w:keepNext/>
              <w:tabs>
                <w:tab w:val="left" w:pos="1077"/>
              </w:tabs>
              <w:spacing w:after="0" w:line="240" w:lineRule="auto"/>
              <w:ind w:left="-108"/>
              <w:rPr>
                <w:rFonts w:ascii="Arial Narrow" w:hAnsi="Arial Narrow" w:cs="Arial"/>
                <w:sz w:val="18"/>
                <w:szCs w:val="18"/>
              </w:rPr>
            </w:pPr>
            <w:r w:rsidRPr="00D45FD2">
              <w:rPr>
                <w:rFonts w:ascii="Arial Narrow" w:hAnsi="Arial Narrow" w:cs="Arial"/>
                <w:sz w:val="18"/>
                <w:szCs w:val="18"/>
              </w:rPr>
              <w:t>tenofovir disoproxil phosphate 291 mg + emtricitabine 200 mg tablet, 30</w:t>
            </w:r>
          </w:p>
        </w:tc>
        <w:tc>
          <w:tcPr>
            <w:tcW w:w="851" w:type="dxa"/>
          </w:tcPr>
          <w:p w14:paraId="6E19D90B" w14:textId="77777777" w:rsidR="00D45FD2" w:rsidRPr="00D45FD2" w:rsidRDefault="00D45FD2" w:rsidP="00585D17">
            <w:pPr>
              <w:keepNext/>
              <w:spacing w:after="0" w:line="240" w:lineRule="auto"/>
              <w:jc w:val="center"/>
              <w:rPr>
                <w:rFonts w:ascii="Arial Narrow" w:hAnsi="Arial Narrow" w:cs="Arial"/>
                <w:sz w:val="18"/>
                <w:szCs w:val="18"/>
              </w:rPr>
            </w:pPr>
          </w:p>
          <w:p w14:paraId="70A8659E" w14:textId="77777777" w:rsidR="00D45FD2" w:rsidRPr="00D45FD2" w:rsidRDefault="00D45FD2" w:rsidP="00585D17">
            <w:pPr>
              <w:keepNext/>
              <w:spacing w:after="0" w:line="240" w:lineRule="auto"/>
              <w:jc w:val="center"/>
              <w:rPr>
                <w:rFonts w:ascii="Arial Narrow" w:hAnsi="Arial Narrow" w:cs="Arial"/>
                <w:sz w:val="18"/>
                <w:szCs w:val="18"/>
              </w:rPr>
            </w:pPr>
            <w:r w:rsidRPr="00D45FD2">
              <w:rPr>
                <w:rFonts w:ascii="Arial Narrow" w:hAnsi="Arial Narrow" w:cs="Arial"/>
                <w:sz w:val="18"/>
                <w:szCs w:val="18"/>
              </w:rPr>
              <w:t>11306C</w:t>
            </w:r>
          </w:p>
        </w:tc>
        <w:tc>
          <w:tcPr>
            <w:tcW w:w="708" w:type="dxa"/>
          </w:tcPr>
          <w:p w14:paraId="074F4A86" w14:textId="77777777" w:rsidR="00D45FD2" w:rsidRPr="00D45FD2" w:rsidRDefault="00D45FD2" w:rsidP="00585D17">
            <w:pPr>
              <w:keepNext/>
              <w:spacing w:after="0" w:line="240" w:lineRule="auto"/>
              <w:jc w:val="center"/>
              <w:rPr>
                <w:rFonts w:ascii="Arial Narrow" w:hAnsi="Arial Narrow" w:cs="Arial"/>
                <w:sz w:val="18"/>
                <w:szCs w:val="18"/>
              </w:rPr>
            </w:pPr>
          </w:p>
          <w:p w14:paraId="07EAAE5B" w14:textId="77777777" w:rsidR="00D45FD2" w:rsidRPr="00D45FD2" w:rsidRDefault="00D45FD2" w:rsidP="00585D17">
            <w:pPr>
              <w:keepNext/>
              <w:spacing w:after="0" w:line="240" w:lineRule="auto"/>
              <w:jc w:val="center"/>
              <w:rPr>
                <w:rFonts w:ascii="Arial Narrow" w:hAnsi="Arial Narrow" w:cs="Arial"/>
                <w:sz w:val="18"/>
                <w:szCs w:val="18"/>
              </w:rPr>
            </w:pPr>
            <w:r w:rsidRPr="00D45FD2">
              <w:rPr>
                <w:rFonts w:ascii="Arial Narrow" w:hAnsi="Arial Narrow" w:cs="Arial"/>
                <w:sz w:val="18"/>
                <w:szCs w:val="18"/>
              </w:rPr>
              <w:t>1</w:t>
            </w:r>
          </w:p>
        </w:tc>
        <w:tc>
          <w:tcPr>
            <w:tcW w:w="851" w:type="dxa"/>
          </w:tcPr>
          <w:p w14:paraId="512F8AF6"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27F2D829"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30</w:t>
            </w:r>
          </w:p>
        </w:tc>
        <w:tc>
          <w:tcPr>
            <w:tcW w:w="709" w:type="dxa"/>
          </w:tcPr>
          <w:p w14:paraId="2A5B59BD" w14:textId="77777777" w:rsidR="00D45FD2" w:rsidRPr="00D45FD2" w:rsidRDefault="00D45FD2" w:rsidP="00585D17">
            <w:pPr>
              <w:keepNext/>
              <w:spacing w:after="0" w:line="240" w:lineRule="auto"/>
              <w:ind w:left="-108"/>
              <w:jc w:val="center"/>
              <w:rPr>
                <w:rFonts w:ascii="Arial Narrow" w:hAnsi="Arial Narrow" w:cs="Arial"/>
                <w:sz w:val="18"/>
                <w:szCs w:val="18"/>
              </w:rPr>
            </w:pPr>
          </w:p>
          <w:p w14:paraId="0D8E6E05" w14:textId="77777777" w:rsidR="00D45FD2" w:rsidRPr="00D45FD2" w:rsidRDefault="00D45FD2" w:rsidP="00585D17">
            <w:pPr>
              <w:keepNext/>
              <w:spacing w:after="0" w:line="240" w:lineRule="auto"/>
              <w:ind w:left="-108"/>
              <w:jc w:val="center"/>
              <w:rPr>
                <w:rFonts w:ascii="Arial Narrow" w:hAnsi="Arial Narrow" w:cs="Arial"/>
                <w:sz w:val="18"/>
                <w:szCs w:val="18"/>
              </w:rPr>
            </w:pPr>
            <w:r w:rsidRPr="00D45FD2">
              <w:rPr>
                <w:rFonts w:ascii="Arial Narrow" w:hAnsi="Arial Narrow" w:cs="Arial"/>
                <w:sz w:val="18"/>
                <w:szCs w:val="18"/>
              </w:rPr>
              <w:t>2</w:t>
            </w:r>
          </w:p>
        </w:tc>
        <w:tc>
          <w:tcPr>
            <w:tcW w:w="1842" w:type="dxa"/>
          </w:tcPr>
          <w:p w14:paraId="2C1F7ECC" w14:textId="77777777" w:rsidR="00D45FD2" w:rsidRPr="00D45FD2" w:rsidRDefault="00D45FD2" w:rsidP="00585D17">
            <w:pPr>
              <w:keepNext/>
              <w:spacing w:after="0" w:line="240" w:lineRule="auto"/>
              <w:rPr>
                <w:rFonts w:ascii="Arial Narrow" w:hAnsi="Arial Narrow" w:cs="Arial"/>
                <w:sz w:val="18"/>
                <w:szCs w:val="18"/>
              </w:rPr>
            </w:pPr>
            <w:r w:rsidRPr="00D45FD2">
              <w:rPr>
                <w:rFonts w:ascii="Arial Narrow" w:hAnsi="Arial Narrow" w:cs="Arial"/>
                <w:sz w:val="18"/>
                <w:szCs w:val="18"/>
              </w:rPr>
              <w:t>Tenofovir EMT GH</w:t>
            </w:r>
          </w:p>
          <w:p w14:paraId="4F502ECD" w14:textId="77777777" w:rsidR="00D45FD2" w:rsidRPr="00D45FD2" w:rsidRDefault="00D45FD2" w:rsidP="00585D17">
            <w:pPr>
              <w:keepNext/>
              <w:spacing w:after="0" w:line="240" w:lineRule="auto"/>
              <w:rPr>
                <w:rFonts w:ascii="Arial Narrow" w:hAnsi="Arial Narrow" w:cs="Arial"/>
                <w:sz w:val="18"/>
                <w:szCs w:val="18"/>
              </w:rPr>
            </w:pPr>
          </w:p>
          <w:p w14:paraId="52204E61" w14:textId="77777777" w:rsidR="00D45FD2" w:rsidRPr="00D45FD2" w:rsidRDefault="00D45FD2" w:rsidP="00585D17">
            <w:pPr>
              <w:keepNext/>
              <w:spacing w:after="0" w:line="240" w:lineRule="auto"/>
              <w:rPr>
                <w:rFonts w:ascii="Arial Narrow" w:hAnsi="Arial Narrow" w:cs="Arial"/>
                <w:sz w:val="18"/>
                <w:szCs w:val="18"/>
              </w:rPr>
            </w:pPr>
            <w:r w:rsidRPr="00D45FD2">
              <w:rPr>
                <w:rFonts w:ascii="Arial Narrow" w:hAnsi="Arial Narrow" w:cs="Arial"/>
                <w:sz w:val="18"/>
                <w:szCs w:val="18"/>
              </w:rPr>
              <w:t>Generic Health Pty Ltd</w:t>
            </w:r>
          </w:p>
        </w:tc>
      </w:tr>
    </w:tbl>
    <w:p w14:paraId="0E87E4D5" w14:textId="639AD272" w:rsidR="00D45FD2" w:rsidRDefault="00D45FD2" w:rsidP="00D45FD2">
      <w:pPr>
        <w:rPr>
          <w:sz w:val="24"/>
          <w:szCs w:val="24"/>
        </w:rPr>
      </w:pPr>
    </w:p>
    <w:p w14:paraId="458851FB" w14:textId="54D41D1D" w:rsidR="000A01F9" w:rsidRPr="004F77E4" w:rsidRDefault="000A01F9" w:rsidP="002E6078">
      <w:pPr>
        <w:keepNext/>
        <w:keepLines/>
        <w:spacing w:after="0" w:line="240" w:lineRule="auto"/>
        <w:rPr>
          <w:rFonts w:ascii="Arial Narrow" w:hAnsi="Arial Narrow"/>
          <w:b/>
          <w:sz w:val="20"/>
          <w:szCs w:val="20"/>
        </w:rPr>
      </w:pPr>
      <w:r w:rsidRPr="004F77E4">
        <w:rPr>
          <w:rFonts w:ascii="Arial Narrow" w:hAnsi="Arial Narrow"/>
          <w:b/>
          <w:sz w:val="20"/>
          <w:szCs w:val="20"/>
        </w:rPr>
        <w:t>Restriction Summary 7580 / ToC: 7580: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5D117B" w:rsidRPr="00D45FD2" w14:paraId="2EDBE4A5" w14:textId="77777777" w:rsidTr="00A041A9">
        <w:tc>
          <w:tcPr>
            <w:tcW w:w="5000" w:type="pct"/>
            <w:tcBorders>
              <w:top w:val="single" w:sz="4" w:space="0" w:color="auto"/>
              <w:left w:val="single" w:sz="4" w:space="0" w:color="auto"/>
              <w:bottom w:val="single" w:sz="4" w:space="0" w:color="auto"/>
              <w:right w:val="single" w:sz="4" w:space="0" w:color="auto"/>
            </w:tcBorders>
          </w:tcPr>
          <w:p w14:paraId="7914D27C" w14:textId="77777777" w:rsidR="005D117B" w:rsidRPr="00D45FD2" w:rsidRDefault="005D117B" w:rsidP="002E6078">
            <w:pPr>
              <w:keepNext/>
              <w:keepLines/>
              <w:spacing w:after="0" w:line="240" w:lineRule="auto"/>
              <w:jc w:val="both"/>
              <w:rPr>
                <w:rFonts w:ascii="Arial Narrow" w:hAnsi="Arial Narrow" w:cs="Arial"/>
                <w:sz w:val="18"/>
                <w:szCs w:val="18"/>
              </w:rPr>
            </w:pPr>
            <w:r w:rsidRPr="00D45FD2">
              <w:rPr>
                <w:rFonts w:ascii="Arial Narrow" w:hAnsi="Arial Narrow" w:cs="Arial"/>
                <w:b/>
                <w:sz w:val="18"/>
                <w:szCs w:val="18"/>
              </w:rPr>
              <w:t xml:space="preserve">Category / Program:   </w:t>
            </w:r>
            <w:r w:rsidRPr="00D45FD2">
              <w:rPr>
                <w:rFonts w:ascii="Arial Narrow" w:hAnsi="Arial Narrow" w:cs="Arial"/>
                <w:sz w:val="18"/>
                <w:szCs w:val="18"/>
              </w:rPr>
              <w:t xml:space="preserve">GENERAL – General Schedule (Code GE) </w:t>
            </w:r>
          </w:p>
        </w:tc>
      </w:tr>
      <w:tr w:rsidR="005D117B" w:rsidRPr="00D45FD2" w14:paraId="645F9057" w14:textId="77777777" w:rsidTr="00A041A9">
        <w:trPr>
          <w:trHeight w:val="194"/>
        </w:trPr>
        <w:tc>
          <w:tcPr>
            <w:tcW w:w="5000" w:type="pct"/>
            <w:tcBorders>
              <w:top w:val="single" w:sz="4" w:space="0" w:color="auto"/>
              <w:left w:val="single" w:sz="4" w:space="0" w:color="auto"/>
              <w:bottom w:val="single" w:sz="4" w:space="0" w:color="auto"/>
              <w:right w:val="single" w:sz="4" w:space="0" w:color="auto"/>
            </w:tcBorders>
          </w:tcPr>
          <w:p w14:paraId="48D9BE1F" w14:textId="13F33D7E" w:rsidR="005D117B" w:rsidRPr="00D45FD2" w:rsidRDefault="005D117B" w:rsidP="002E6078">
            <w:pPr>
              <w:keepNext/>
              <w:keepLines/>
              <w:spacing w:after="0" w:line="240" w:lineRule="auto"/>
              <w:jc w:val="both"/>
              <w:rPr>
                <w:rFonts w:ascii="Arial Narrow" w:hAnsi="Arial Narrow" w:cs="Arial"/>
                <w:b/>
                <w:sz w:val="18"/>
                <w:szCs w:val="18"/>
              </w:rPr>
            </w:pPr>
            <w:r w:rsidRPr="00D45FD2">
              <w:rPr>
                <w:rFonts w:ascii="Arial Narrow" w:hAnsi="Arial Narrow" w:cs="Arial"/>
                <w:b/>
                <w:sz w:val="18"/>
                <w:szCs w:val="18"/>
              </w:rPr>
              <w:t xml:space="preserve">Prescriber type:   </w:t>
            </w:r>
            <w:r w:rsidRPr="00D45FD2">
              <w:rPr>
                <w:rFonts w:ascii="Arial Narrow" w:hAnsi="Arial Narrow" w:cs="Arial"/>
                <w:sz w:val="18"/>
                <w:szCs w:val="18"/>
              </w:rPr>
              <w:fldChar w:fldCharType="begin">
                <w:ffData>
                  <w:name w:val=""/>
                  <w:enabled/>
                  <w:calcOnExit w:val="0"/>
                  <w:checkBox>
                    <w:sizeAuto/>
                    <w:default w:val="1"/>
                  </w:checkBox>
                </w:ffData>
              </w:fldChar>
            </w:r>
            <w:r w:rsidRPr="00D45FD2">
              <w:rPr>
                <w:rFonts w:ascii="Arial Narrow" w:hAnsi="Arial Narrow" w:cs="Arial"/>
                <w:sz w:val="18"/>
                <w:szCs w:val="18"/>
              </w:rPr>
              <w:instrText xml:space="preserve"> FORMCHECKBOX </w:instrText>
            </w:r>
            <w:r w:rsidR="00217211">
              <w:rPr>
                <w:rFonts w:ascii="Arial Narrow" w:hAnsi="Arial Narrow" w:cs="Arial"/>
                <w:sz w:val="18"/>
                <w:szCs w:val="18"/>
              </w:rPr>
            </w:r>
            <w:r w:rsidR="00217211">
              <w:rPr>
                <w:rFonts w:ascii="Arial Narrow" w:hAnsi="Arial Narrow" w:cs="Arial"/>
                <w:sz w:val="18"/>
                <w:szCs w:val="18"/>
              </w:rPr>
              <w:fldChar w:fldCharType="separate"/>
            </w:r>
            <w:r w:rsidRPr="00D45FD2">
              <w:rPr>
                <w:rFonts w:ascii="Arial Narrow" w:hAnsi="Arial Narrow" w:cs="Arial"/>
                <w:sz w:val="18"/>
                <w:szCs w:val="18"/>
              </w:rPr>
              <w:fldChar w:fldCharType="end"/>
            </w:r>
            <w:r w:rsidRPr="00D45FD2">
              <w:rPr>
                <w:rFonts w:ascii="Arial Narrow" w:hAnsi="Arial Narrow" w:cs="Arial"/>
                <w:sz w:val="18"/>
                <w:szCs w:val="18"/>
              </w:rPr>
              <w:t>Medical Practitioners</w:t>
            </w:r>
            <w:r w:rsidR="001B49BF">
              <w:rPr>
                <w:rFonts w:ascii="Arial Narrow" w:hAnsi="Arial Narrow" w:cs="Arial"/>
                <w:sz w:val="18"/>
                <w:szCs w:val="18"/>
              </w:rPr>
              <w:t xml:space="preserve">  </w:t>
            </w:r>
            <w:r w:rsidRPr="00D45FD2">
              <w:rPr>
                <w:rFonts w:ascii="Arial Narrow" w:hAnsi="Arial Narrow" w:cs="Arial"/>
                <w:sz w:val="18"/>
                <w:szCs w:val="18"/>
              </w:rPr>
              <w:t xml:space="preserve"> </w:t>
            </w:r>
            <w:r w:rsidRPr="00D45FD2">
              <w:rPr>
                <w:rFonts w:ascii="Arial Narrow" w:hAnsi="Arial Narrow" w:cs="Arial"/>
                <w:sz w:val="18"/>
                <w:szCs w:val="18"/>
              </w:rPr>
              <w:fldChar w:fldCharType="begin">
                <w:ffData>
                  <w:name w:val="Check3"/>
                  <w:enabled/>
                  <w:calcOnExit w:val="0"/>
                  <w:checkBox>
                    <w:sizeAuto/>
                    <w:default w:val="1"/>
                  </w:checkBox>
                </w:ffData>
              </w:fldChar>
            </w:r>
            <w:r w:rsidRPr="00D45FD2">
              <w:rPr>
                <w:rFonts w:ascii="Arial Narrow" w:hAnsi="Arial Narrow" w:cs="Arial"/>
                <w:sz w:val="18"/>
                <w:szCs w:val="18"/>
              </w:rPr>
              <w:instrText xml:space="preserve"> FORMCHECKBOX </w:instrText>
            </w:r>
            <w:r w:rsidR="00217211">
              <w:rPr>
                <w:rFonts w:ascii="Arial Narrow" w:hAnsi="Arial Narrow" w:cs="Arial"/>
                <w:sz w:val="18"/>
                <w:szCs w:val="18"/>
              </w:rPr>
            </w:r>
            <w:r w:rsidR="00217211">
              <w:rPr>
                <w:rFonts w:ascii="Arial Narrow" w:hAnsi="Arial Narrow" w:cs="Arial"/>
                <w:sz w:val="18"/>
                <w:szCs w:val="18"/>
              </w:rPr>
              <w:fldChar w:fldCharType="separate"/>
            </w:r>
            <w:r w:rsidRPr="00D45FD2">
              <w:rPr>
                <w:rFonts w:ascii="Arial Narrow" w:hAnsi="Arial Narrow" w:cs="Arial"/>
                <w:sz w:val="18"/>
                <w:szCs w:val="18"/>
              </w:rPr>
              <w:fldChar w:fldCharType="end"/>
            </w:r>
            <w:r w:rsidRPr="00D45FD2">
              <w:rPr>
                <w:rFonts w:ascii="Arial Narrow" w:hAnsi="Arial Narrow" w:cs="Arial"/>
                <w:sz w:val="18"/>
                <w:szCs w:val="18"/>
              </w:rPr>
              <w:t>Nurse practitioners</w:t>
            </w:r>
            <w:r w:rsidR="001B49BF">
              <w:rPr>
                <w:rFonts w:ascii="Arial Narrow" w:hAnsi="Arial Narrow" w:cs="Arial"/>
                <w:sz w:val="18"/>
                <w:szCs w:val="18"/>
              </w:rPr>
              <w:t xml:space="preserve">   </w:t>
            </w:r>
          </w:p>
        </w:tc>
      </w:tr>
      <w:tr w:rsidR="005D117B" w:rsidRPr="00D45FD2" w14:paraId="11F6BEF5" w14:textId="77777777" w:rsidTr="00A041A9">
        <w:tc>
          <w:tcPr>
            <w:tcW w:w="5000" w:type="pct"/>
            <w:tcBorders>
              <w:top w:val="single" w:sz="4" w:space="0" w:color="auto"/>
              <w:left w:val="single" w:sz="4" w:space="0" w:color="auto"/>
              <w:bottom w:val="single" w:sz="4" w:space="0" w:color="auto"/>
              <w:right w:val="single" w:sz="4" w:space="0" w:color="auto"/>
            </w:tcBorders>
          </w:tcPr>
          <w:p w14:paraId="6D207A0A" w14:textId="6D9FD857" w:rsidR="005D117B" w:rsidRPr="004F77E4" w:rsidRDefault="005D117B" w:rsidP="002E6078">
            <w:pPr>
              <w:keepNext/>
              <w:keepLines/>
              <w:spacing w:after="0" w:line="240" w:lineRule="auto"/>
              <w:jc w:val="both"/>
              <w:rPr>
                <w:rFonts w:ascii="Arial Narrow" w:hAnsi="Arial Narrow" w:cs="Arial"/>
                <w:b/>
                <w:sz w:val="18"/>
                <w:szCs w:val="18"/>
              </w:rPr>
            </w:pPr>
            <w:r>
              <w:rPr>
                <w:rFonts w:ascii="Arial Narrow" w:hAnsi="Arial Narrow" w:cs="Arial"/>
                <w:b/>
                <w:sz w:val="18"/>
                <w:szCs w:val="18"/>
              </w:rPr>
              <w:t>Restriction Type</w:t>
            </w:r>
            <w:r w:rsidRPr="00D45FD2">
              <w:rPr>
                <w:rFonts w:ascii="Arial Narrow" w:hAnsi="Arial Narrow" w:cs="Arial"/>
                <w:b/>
                <w:sz w:val="18"/>
                <w:szCs w:val="18"/>
              </w:rPr>
              <w:t>:</w:t>
            </w:r>
            <w:r>
              <w:rPr>
                <w:rFonts w:ascii="Arial Narrow" w:hAnsi="Arial Narrow" w:cs="Arial"/>
                <w:b/>
                <w:sz w:val="18"/>
                <w:szCs w:val="18"/>
              </w:rPr>
              <w:t xml:space="preserve"> </w:t>
            </w:r>
            <w:r w:rsidRPr="00615591">
              <w:rPr>
                <w:rFonts w:ascii="Arial Narrow" w:eastAsia="Calibri" w:hAnsi="Arial Narrow" w:cs="Arial"/>
                <w:strike/>
                <w:sz w:val="18"/>
                <w:szCs w:val="18"/>
              </w:rPr>
              <w:fldChar w:fldCharType="begin">
                <w:ffData>
                  <w:name w:val="Check1"/>
                  <w:enabled/>
                  <w:calcOnExit w:val="0"/>
                  <w:checkBox>
                    <w:sizeAuto/>
                    <w:default w:val="1"/>
                  </w:checkBox>
                </w:ffData>
              </w:fldChar>
            </w:r>
            <w:r w:rsidRPr="00615591">
              <w:rPr>
                <w:rFonts w:ascii="Arial Narrow" w:eastAsia="Calibri" w:hAnsi="Arial Narrow" w:cs="Arial"/>
                <w:strike/>
                <w:sz w:val="18"/>
                <w:szCs w:val="18"/>
              </w:rPr>
              <w:instrText xml:space="preserve"> FORMCHECKBOX </w:instrText>
            </w:r>
            <w:r w:rsidR="00217211">
              <w:rPr>
                <w:rFonts w:ascii="Arial Narrow" w:eastAsia="Calibri" w:hAnsi="Arial Narrow" w:cs="Arial"/>
                <w:strike/>
                <w:sz w:val="18"/>
                <w:szCs w:val="18"/>
              </w:rPr>
            </w:r>
            <w:r w:rsidR="00217211">
              <w:rPr>
                <w:rFonts w:ascii="Arial Narrow" w:eastAsia="Calibri" w:hAnsi="Arial Narrow" w:cs="Arial"/>
                <w:strike/>
                <w:sz w:val="18"/>
                <w:szCs w:val="18"/>
              </w:rPr>
              <w:fldChar w:fldCharType="separate"/>
            </w:r>
            <w:r w:rsidRPr="00615591">
              <w:rPr>
                <w:rFonts w:ascii="Arial Narrow" w:eastAsia="Calibri" w:hAnsi="Arial Narrow" w:cs="Arial"/>
                <w:strike/>
                <w:sz w:val="18"/>
                <w:szCs w:val="18"/>
              </w:rPr>
              <w:fldChar w:fldCharType="end"/>
            </w:r>
            <w:r w:rsidRPr="00615591">
              <w:rPr>
                <w:rFonts w:ascii="Arial Narrow" w:eastAsia="Calibri" w:hAnsi="Arial Narrow" w:cs="Arial"/>
                <w:strike/>
                <w:sz w:val="18"/>
                <w:szCs w:val="18"/>
              </w:rPr>
              <w:t>Authority Required – Streamlined [7580]</w:t>
            </w:r>
            <w:r>
              <w:rPr>
                <w:rFonts w:ascii="Arial Narrow" w:hAnsi="Arial Narrow" w:cs="Arial"/>
                <w:b/>
                <w:sz w:val="18"/>
                <w:szCs w:val="18"/>
              </w:rPr>
              <w:t xml:space="preserve">  </w:t>
            </w:r>
            <w:r w:rsidRPr="00D45FD2">
              <w:rPr>
                <w:rFonts w:ascii="Arial Narrow" w:eastAsia="Calibri" w:hAnsi="Arial Narrow" w:cs="Arial"/>
                <w:sz w:val="18"/>
                <w:szCs w:val="18"/>
              </w:rPr>
              <w:fldChar w:fldCharType="begin">
                <w:ffData>
                  <w:name w:val="Check1"/>
                  <w:enabled/>
                  <w:calcOnExit w:val="0"/>
                  <w:checkBox>
                    <w:sizeAuto/>
                    <w:default w:val="1"/>
                  </w:checkBox>
                </w:ffData>
              </w:fldChar>
            </w:r>
            <w:bookmarkStart w:id="1" w:name="Check1"/>
            <w:r w:rsidRPr="00D45FD2">
              <w:rPr>
                <w:rFonts w:ascii="Arial Narrow" w:eastAsia="Calibri" w:hAnsi="Arial Narrow" w:cs="Arial"/>
                <w:sz w:val="18"/>
                <w:szCs w:val="18"/>
              </w:rPr>
              <w:instrText xml:space="preserve"> FORMCHECKBOX </w:instrText>
            </w:r>
            <w:r w:rsidR="00217211">
              <w:rPr>
                <w:rFonts w:ascii="Arial Narrow" w:eastAsia="Calibri" w:hAnsi="Arial Narrow" w:cs="Arial"/>
                <w:sz w:val="18"/>
                <w:szCs w:val="18"/>
              </w:rPr>
            </w:r>
            <w:r w:rsidR="00217211">
              <w:rPr>
                <w:rFonts w:ascii="Arial Narrow" w:eastAsia="Calibri" w:hAnsi="Arial Narrow" w:cs="Arial"/>
                <w:sz w:val="18"/>
                <w:szCs w:val="18"/>
              </w:rPr>
              <w:fldChar w:fldCharType="separate"/>
            </w:r>
            <w:r w:rsidRPr="00D45FD2">
              <w:rPr>
                <w:rFonts w:ascii="Arial Narrow" w:eastAsia="Calibri" w:hAnsi="Arial Narrow" w:cs="Arial"/>
                <w:sz w:val="18"/>
                <w:szCs w:val="18"/>
              </w:rPr>
              <w:fldChar w:fldCharType="end"/>
            </w:r>
            <w:bookmarkEnd w:id="1"/>
            <w:r w:rsidRPr="00D45FD2">
              <w:rPr>
                <w:rFonts w:ascii="Arial Narrow" w:eastAsia="Calibri" w:hAnsi="Arial Narrow" w:cs="Arial"/>
                <w:i/>
                <w:sz w:val="18"/>
                <w:szCs w:val="18"/>
              </w:rPr>
              <w:t>Restricted benefit</w:t>
            </w:r>
          </w:p>
        </w:tc>
      </w:tr>
      <w:tr w:rsidR="005D117B" w:rsidRPr="00D45FD2" w14:paraId="2E77FB93" w14:textId="77777777" w:rsidTr="00A041A9">
        <w:tc>
          <w:tcPr>
            <w:tcW w:w="5000" w:type="pct"/>
            <w:vAlign w:val="center"/>
          </w:tcPr>
          <w:p w14:paraId="58E6EF52" w14:textId="77777777" w:rsidR="005D117B" w:rsidRPr="00D45FD2" w:rsidRDefault="005D117B" w:rsidP="002E6078">
            <w:pPr>
              <w:keepNext/>
              <w:keepLines/>
              <w:spacing w:after="0" w:line="240" w:lineRule="auto"/>
              <w:rPr>
                <w:rFonts w:ascii="Arial Narrow" w:eastAsia="Times New Roman" w:hAnsi="Arial Narrow"/>
                <w:color w:val="333333"/>
                <w:sz w:val="18"/>
                <w:szCs w:val="18"/>
                <w:lang w:eastAsia="en-AU"/>
              </w:rPr>
            </w:pPr>
            <w:r w:rsidRPr="00D45FD2">
              <w:rPr>
                <w:rFonts w:ascii="Arial Narrow" w:eastAsia="Times New Roman" w:hAnsi="Arial Narrow"/>
                <w:b/>
                <w:bCs/>
                <w:color w:val="333333"/>
                <w:sz w:val="18"/>
                <w:szCs w:val="18"/>
                <w:lang w:eastAsia="en-AU"/>
              </w:rPr>
              <w:t xml:space="preserve">Administrative Advice: </w:t>
            </w:r>
            <w:r w:rsidRPr="00D45FD2">
              <w:rPr>
                <w:rFonts w:ascii="Arial Narrow" w:eastAsia="Times New Roman" w:hAnsi="Arial Narrow"/>
                <w:color w:val="333333"/>
                <w:sz w:val="18"/>
                <w:szCs w:val="18"/>
                <w:lang w:eastAsia="en-AU"/>
              </w:rPr>
              <w:t>No increase in the maximum quantity or number of units may be authorised.</w:t>
            </w:r>
          </w:p>
        </w:tc>
      </w:tr>
      <w:tr w:rsidR="005D117B" w:rsidRPr="00D45FD2" w14:paraId="23928221" w14:textId="77777777" w:rsidTr="00A041A9">
        <w:tc>
          <w:tcPr>
            <w:tcW w:w="5000" w:type="pct"/>
            <w:vAlign w:val="center"/>
          </w:tcPr>
          <w:p w14:paraId="78605B11" w14:textId="77777777" w:rsidR="005D117B" w:rsidRPr="00D45FD2" w:rsidRDefault="005D117B" w:rsidP="002E6078">
            <w:pPr>
              <w:keepNext/>
              <w:keepLines/>
              <w:spacing w:after="0" w:line="240" w:lineRule="auto"/>
              <w:rPr>
                <w:rFonts w:ascii="Arial Narrow" w:eastAsia="Times New Roman" w:hAnsi="Arial Narrow"/>
                <w:color w:val="333333"/>
                <w:sz w:val="18"/>
                <w:szCs w:val="18"/>
                <w:lang w:eastAsia="en-AU"/>
              </w:rPr>
            </w:pPr>
            <w:r w:rsidRPr="00D45FD2">
              <w:rPr>
                <w:rFonts w:ascii="Arial Narrow" w:eastAsia="Times New Roman" w:hAnsi="Arial Narrow"/>
                <w:b/>
                <w:bCs/>
                <w:color w:val="333333"/>
                <w:sz w:val="18"/>
                <w:szCs w:val="18"/>
                <w:lang w:eastAsia="en-AU"/>
              </w:rPr>
              <w:t xml:space="preserve">Administrative Advice: </w:t>
            </w:r>
            <w:r w:rsidRPr="00D45FD2">
              <w:rPr>
                <w:rFonts w:ascii="Arial Narrow" w:eastAsia="Times New Roman" w:hAnsi="Arial Narrow"/>
                <w:bCs/>
                <w:color w:val="333333"/>
                <w:sz w:val="18"/>
                <w:szCs w:val="18"/>
                <w:lang w:eastAsia="en-AU"/>
              </w:rPr>
              <w:t>No increase in the maximum number of repeats may be authorised.</w:t>
            </w:r>
          </w:p>
        </w:tc>
      </w:tr>
      <w:tr w:rsidR="005D117B" w:rsidRPr="00D45FD2" w14:paraId="29064CF2" w14:textId="77777777" w:rsidTr="00A041A9">
        <w:tc>
          <w:tcPr>
            <w:tcW w:w="5000" w:type="pct"/>
            <w:vAlign w:val="center"/>
          </w:tcPr>
          <w:p w14:paraId="285A83A0" w14:textId="77777777" w:rsidR="005D117B" w:rsidRPr="00D45FD2" w:rsidRDefault="005D117B" w:rsidP="002E6078">
            <w:pPr>
              <w:keepNext/>
              <w:keepLines/>
              <w:spacing w:after="0" w:line="240" w:lineRule="auto"/>
              <w:rPr>
                <w:rFonts w:ascii="Arial Narrow" w:eastAsia="Times New Roman" w:hAnsi="Arial Narrow"/>
                <w:color w:val="333333"/>
                <w:sz w:val="18"/>
                <w:szCs w:val="18"/>
                <w:lang w:eastAsia="en-AU"/>
              </w:rPr>
            </w:pPr>
            <w:r w:rsidRPr="00D45FD2">
              <w:rPr>
                <w:rFonts w:ascii="Arial Narrow" w:eastAsia="Times New Roman" w:hAnsi="Arial Narrow"/>
                <w:b/>
                <w:bCs/>
                <w:color w:val="333333"/>
                <w:sz w:val="18"/>
                <w:szCs w:val="18"/>
                <w:lang w:eastAsia="en-AU"/>
              </w:rPr>
              <w:t>Administrative Advice:</w:t>
            </w:r>
          </w:p>
          <w:p w14:paraId="33784BF2" w14:textId="77777777" w:rsidR="005D117B" w:rsidRPr="00D45FD2" w:rsidRDefault="005D117B" w:rsidP="002E6078">
            <w:pPr>
              <w:keepNext/>
              <w:keepLines/>
              <w:spacing w:after="0" w:line="240" w:lineRule="auto"/>
              <w:rPr>
                <w:rFonts w:ascii="Arial Narrow" w:eastAsia="Times New Roman" w:hAnsi="Arial Narrow"/>
                <w:bCs/>
                <w:color w:val="333333"/>
                <w:sz w:val="18"/>
                <w:szCs w:val="18"/>
                <w:lang w:eastAsia="en-AU"/>
              </w:rPr>
            </w:pPr>
            <w:r w:rsidRPr="00D45FD2">
              <w:rPr>
                <w:rFonts w:ascii="Arial Narrow" w:eastAsia="Times New Roman" w:hAnsi="Arial Narrow"/>
                <w:bCs/>
                <w:color w:val="333333"/>
                <w:sz w:val="18"/>
                <w:szCs w:val="18"/>
                <w:lang w:eastAsia="en-AU"/>
              </w:rPr>
              <w:t>Pharmaceutical benefits that have the forms tenofovir disoproxil phosphate 291 mg with emtricitabine 200 mg tablet, tenofovir disoproxil maleate 300 mg with emtricitabine 200 mg tablet, and tenofovir disoproxil fumarate 300 mg with emtricitabine 200 mg tablet are equivalent for the purposes of substitution.</w:t>
            </w:r>
          </w:p>
        </w:tc>
      </w:tr>
      <w:tr w:rsidR="005D117B" w:rsidRPr="00D45FD2" w14:paraId="62F0B8BC" w14:textId="77777777" w:rsidTr="00A041A9">
        <w:tc>
          <w:tcPr>
            <w:tcW w:w="5000" w:type="pct"/>
            <w:vAlign w:val="center"/>
          </w:tcPr>
          <w:p w14:paraId="5343967A" w14:textId="77777777" w:rsidR="005D117B" w:rsidRPr="00D45FD2" w:rsidRDefault="005D117B" w:rsidP="002E6078">
            <w:pPr>
              <w:keepNext/>
              <w:keepLines/>
              <w:spacing w:after="0" w:line="240" w:lineRule="auto"/>
              <w:rPr>
                <w:rFonts w:ascii="Arial Narrow" w:eastAsia="Times New Roman" w:hAnsi="Arial Narrow"/>
                <w:b/>
                <w:bCs/>
                <w:color w:val="333333"/>
                <w:sz w:val="18"/>
                <w:szCs w:val="18"/>
                <w:lang w:eastAsia="en-AU"/>
              </w:rPr>
            </w:pPr>
            <w:r w:rsidRPr="00D45FD2">
              <w:rPr>
                <w:rFonts w:ascii="Arial Narrow" w:eastAsia="Times New Roman" w:hAnsi="Arial Narrow"/>
                <w:b/>
                <w:bCs/>
                <w:color w:val="333333"/>
                <w:sz w:val="18"/>
                <w:szCs w:val="18"/>
                <w:lang w:eastAsia="en-AU"/>
              </w:rPr>
              <w:t>Indication:</w:t>
            </w:r>
            <w:r w:rsidRPr="00D45FD2">
              <w:rPr>
                <w:rFonts w:ascii="Arial Narrow" w:eastAsia="Times New Roman" w:hAnsi="Arial Narrow"/>
                <w:color w:val="333333"/>
                <w:sz w:val="18"/>
                <w:szCs w:val="18"/>
                <w:lang w:eastAsia="en-AU"/>
              </w:rPr>
              <w:t xml:space="preserve"> </w:t>
            </w:r>
            <w:r w:rsidRPr="00D45FD2">
              <w:rPr>
                <w:rFonts w:ascii="Arial Narrow" w:eastAsia="Times New Roman" w:hAnsi="Arial Narrow"/>
                <w:bCs/>
                <w:color w:val="333333"/>
                <w:sz w:val="18"/>
                <w:szCs w:val="18"/>
                <w:lang w:eastAsia="en-AU"/>
              </w:rPr>
              <w:t>Pre-exposure prophylaxis (PrEP) against human immunodeficiency virus (HIV) infection</w:t>
            </w:r>
          </w:p>
        </w:tc>
      </w:tr>
      <w:tr w:rsidR="005D117B" w:rsidRPr="00D45FD2" w14:paraId="699226E8" w14:textId="77777777" w:rsidTr="00A041A9">
        <w:tc>
          <w:tcPr>
            <w:tcW w:w="5000" w:type="pct"/>
            <w:vAlign w:val="center"/>
          </w:tcPr>
          <w:p w14:paraId="40CF3E34" w14:textId="77777777" w:rsidR="005D117B" w:rsidRPr="007C0552" w:rsidRDefault="005D117B" w:rsidP="002E6078">
            <w:pPr>
              <w:keepNext/>
              <w:keepLines/>
              <w:spacing w:after="0" w:line="240" w:lineRule="auto"/>
              <w:rPr>
                <w:rFonts w:ascii="Arial Narrow" w:eastAsia="Times New Roman" w:hAnsi="Arial Narrow"/>
                <w:b/>
                <w:bCs/>
                <w:strike/>
                <w:color w:val="333333"/>
                <w:sz w:val="18"/>
                <w:szCs w:val="18"/>
                <w:lang w:eastAsia="en-AU"/>
              </w:rPr>
            </w:pPr>
            <w:r w:rsidRPr="007C0552">
              <w:rPr>
                <w:rFonts w:ascii="Arial Narrow" w:eastAsia="Times New Roman" w:hAnsi="Arial Narrow"/>
                <w:b/>
                <w:bCs/>
                <w:strike/>
                <w:color w:val="333333"/>
                <w:sz w:val="18"/>
                <w:szCs w:val="18"/>
                <w:lang w:eastAsia="en-AU"/>
              </w:rPr>
              <w:t>Clinical criteria:</w:t>
            </w:r>
          </w:p>
        </w:tc>
      </w:tr>
      <w:tr w:rsidR="005D117B" w:rsidRPr="00D45FD2" w14:paraId="0AAF868D" w14:textId="77777777" w:rsidTr="00A041A9">
        <w:tc>
          <w:tcPr>
            <w:tcW w:w="5000" w:type="pct"/>
            <w:vAlign w:val="center"/>
          </w:tcPr>
          <w:p w14:paraId="6B572EE9" w14:textId="77777777" w:rsidR="005D117B" w:rsidRPr="008F1F69" w:rsidRDefault="005D117B" w:rsidP="002E6078">
            <w:pPr>
              <w:keepNext/>
              <w:keepLines/>
              <w:spacing w:after="0" w:line="240" w:lineRule="auto"/>
              <w:rPr>
                <w:rFonts w:ascii="Arial Narrow" w:eastAsia="Times New Roman" w:hAnsi="Arial Narrow"/>
                <w:b/>
                <w:bCs/>
                <w:strike/>
                <w:color w:val="333333"/>
                <w:sz w:val="18"/>
                <w:szCs w:val="18"/>
                <w:lang w:eastAsia="en-AU"/>
              </w:rPr>
            </w:pPr>
            <w:r w:rsidRPr="008F1F69">
              <w:rPr>
                <w:rFonts w:ascii="Arial Narrow" w:eastAsia="Times New Roman" w:hAnsi="Arial Narrow"/>
                <w:bCs/>
                <w:strike/>
                <w:color w:val="333333"/>
                <w:sz w:val="18"/>
                <w:szCs w:val="18"/>
                <w:lang w:eastAsia="en-AU"/>
              </w:rPr>
              <w:t>The treatment must be for patients at medium to high risk of HIV infection, as defined by the Australasian Society for HIV, Viral Hepatitis and Sexual Health Medicine (ASHM) Guidelines</w:t>
            </w:r>
          </w:p>
        </w:tc>
      </w:tr>
      <w:tr w:rsidR="005D117B" w:rsidRPr="00D45FD2" w14:paraId="7A7DF0AA" w14:textId="77777777" w:rsidTr="00A041A9">
        <w:tc>
          <w:tcPr>
            <w:tcW w:w="5000" w:type="pct"/>
            <w:vAlign w:val="center"/>
          </w:tcPr>
          <w:p w14:paraId="6FD5DCA1" w14:textId="77777777" w:rsidR="005D117B" w:rsidRPr="00D45FD2" w:rsidRDefault="005D117B" w:rsidP="002E6078">
            <w:pPr>
              <w:keepNext/>
              <w:keepLines/>
              <w:spacing w:after="0" w:line="240" w:lineRule="auto"/>
              <w:rPr>
                <w:rFonts w:ascii="Arial Narrow" w:eastAsia="Times New Roman" w:hAnsi="Arial Narrow"/>
                <w:b/>
                <w:bCs/>
                <w:color w:val="333333"/>
                <w:sz w:val="18"/>
                <w:szCs w:val="18"/>
                <w:lang w:eastAsia="en-AU"/>
              </w:rPr>
            </w:pPr>
            <w:r w:rsidRPr="00D45FD2">
              <w:rPr>
                <w:rFonts w:ascii="Arial Narrow" w:eastAsia="Times New Roman" w:hAnsi="Arial Narrow"/>
                <w:b/>
                <w:bCs/>
                <w:color w:val="333333"/>
                <w:sz w:val="18"/>
                <w:szCs w:val="18"/>
                <w:lang w:eastAsia="en-AU"/>
              </w:rPr>
              <w:t>AND</w:t>
            </w:r>
          </w:p>
        </w:tc>
      </w:tr>
      <w:tr w:rsidR="005D117B" w:rsidRPr="00D45FD2" w14:paraId="133CE0FD" w14:textId="77777777" w:rsidTr="00A041A9">
        <w:tc>
          <w:tcPr>
            <w:tcW w:w="5000" w:type="pct"/>
            <w:vAlign w:val="center"/>
          </w:tcPr>
          <w:p w14:paraId="645E5DAF" w14:textId="77777777" w:rsidR="005D117B" w:rsidRPr="00D45FD2" w:rsidRDefault="005D117B" w:rsidP="002E6078">
            <w:pPr>
              <w:keepNext/>
              <w:keepLines/>
              <w:spacing w:after="0" w:line="240" w:lineRule="auto"/>
              <w:rPr>
                <w:rFonts w:ascii="Arial Narrow" w:eastAsia="Times New Roman" w:hAnsi="Arial Narrow"/>
                <w:b/>
                <w:bCs/>
                <w:color w:val="333333"/>
                <w:sz w:val="18"/>
                <w:szCs w:val="18"/>
                <w:lang w:eastAsia="en-AU"/>
              </w:rPr>
            </w:pPr>
            <w:r w:rsidRPr="00D45FD2">
              <w:rPr>
                <w:rFonts w:ascii="Arial Narrow" w:eastAsia="Times New Roman" w:hAnsi="Arial Narrow"/>
                <w:b/>
                <w:bCs/>
                <w:color w:val="333333"/>
                <w:sz w:val="18"/>
                <w:szCs w:val="18"/>
                <w:lang w:eastAsia="en-AU"/>
              </w:rPr>
              <w:t>Clinical criteria:</w:t>
            </w:r>
          </w:p>
        </w:tc>
      </w:tr>
      <w:tr w:rsidR="005D117B" w:rsidRPr="00D45FD2" w14:paraId="2F1D760A" w14:textId="77777777" w:rsidTr="00A041A9">
        <w:tc>
          <w:tcPr>
            <w:tcW w:w="5000" w:type="pct"/>
            <w:vAlign w:val="center"/>
          </w:tcPr>
          <w:p w14:paraId="11C6AD27" w14:textId="13C01679" w:rsidR="005D117B" w:rsidRPr="007C0552" w:rsidRDefault="005D117B" w:rsidP="002E6078">
            <w:pPr>
              <w:keepNext/>
              <w:keepLines/>
              <w:spacing w:after="0" w:line="240" w:lineRule="auto"/>
              <w:rPr>
                <w:rFonts w:ascii="Arial Narrow" w:eastAsia="Times New Roman" w:hAnsi="Arial Narrow"/>
                <w:bCs/>
                <w:i/>
                <w:color w:val="333333"/>
                <w:sz w:val="18"/>
                <w:szCs w:val="18"/>
                <w:lang w:eastAsia="en-AU"/>
              </w:rPr>
            </w:pPr>
            <w:r w:rsidRPr="00CC57D9">
              <w:rPr>
                <w:rFonts w:ascii="Arial Narrow" w:eastAsia="Times New Roman" w:hAnsi="Arial Narrow"/>
                <w:bCs/>
                <w:color w:val="333333"/>
                <w:sz w:val="18"/>
                <w:szCs w:val="18"/>
                <w:lang w:eastAsia="en-AU"/>
              </w:rPr>
              <w:t>Patient must have</w:t>
            </w:r>
            <w:r>
              <w:rPr>
                <w:rFonts w:ascii="Arial Narrow" w:eastAsia="Times New Roman" w:hAnsi="Arial Narrow"/>
                <w:bCs/>
                <w:strike/>
                <w:color w:val="333333"/>
                <w:sz w:val="18"/>
                <w:szCs w:val="18"/>
                <w:lang w:eastAsia="en-AU"/>
              </w:rPr>
              <w:t xml:space="preserve"> </w:t>
            </w:r>
            <w:r w:rsidRPr="007C0552">
              <w:rPr>
                <w:rFonts w:ascii="Arial Narrow" w:eastAsia="Times New Roman" w:hAnsi="Arial Narrow"/>
                <w:bCs/>
                <w:i/>
                <w:color w:val="333333"/>
                <w:sz w:val="18"/>
                <w:szCs w:val="18"/>
                <w:lang w:eastAsia="en-AU"/>
              </w:rPr>
              <w:t>at least one of the following</w:t>
            </w:r>
            <w:r>
              <w:rPr>
                <w:rFonts w:ascii="Arial Narrow" w:eastAsia="Times New Roman" w:hAnsi="Arial Narrow"/>
                <w:bCs/>
                <w:i/>
                <w:color w:val="333333"/>
                <w:sz w:val="18"/>
                <w:szCs w:val="18"/>
                <w:lang w:eastAsia="en-AU"/>
              </w:rPr>
              <w:t xml:space="preserve"> prior to having the latest PBS-subsidised prescription issued</w:t>
            </w:r>
            <w:r w:rsidRPr="00CC57D9">
              <w:rPr>
                <w:rFonts w:ascii="Arial Narrow" w:eastAsia="Times New Roman" w:hAnsi="Arial Narrow"/>
                <w:bCs/>
                <w:i/>
                <w:color w:val="333333"/>
                <w:sz w:val="18"/>
                <w:szCs w:val="18"/>
                <w:lang w:eastAsia="en-AU"/>
              </w:rPr>
              <w:t>:</w:t>
            </w:r>
            <w:r>
              <w:rPr>
                <w:rFonts w:ascii="Arial Narrow" w:eastAsia="Times New Roman" w:hAnsi="Arial Narrow"/>
                <w:bCs/>
                <w:i/>
                <w:color w:val="333333"/>
                <w:sz w:val="18"/>
                <w:szCs w:val="18"/>
                <w:lang w:eastAsia="en-AU"/>
              </w:rPr>
              <w:t xml:space="preserve"> (i)</w:t>
            </w:r>
            <w:r w:rsidRPr="00CC57D9">
              <w:rPr>
                <w:rFonts w:ascii="Arial Narrow" w:eastAsia="Times New Roman" w:hAnsi="Arial Narrow"/>
                <w:bCs/>
                <w:color w:val="333333"/>
                <w:sz w:val="18"/>
                <w:szCs w:val="18"/>
                <w:lang w:eastAsia="en-AU"/>
              </w:rPr>
              <w:t xml:space="preserve"> a negative HIV test result</w:t>
            </w:r>
            <w:r>
              <w:rPr>
                <w:rFonts w:ascii="Arial Narrow" w:eastAsia="Times New Roman" w:hAnsi="Arial Narrow"/>
                <w:bCs/>
                <w:i/>
                <w:color w:val="333333"/>
                <w:sz w:val="18"/>
                <w:szCs w:val="18"/>
                <w:lang w:eastAsia="en-AU"/>
              </w:rPr>
              <w:t xml:space="preserve"> no older than 4 weeks</w:t>
            </w:r>
            <w:r>
              <w:rPr>
                <w:rFonts w:ascii="Arial Narrow" w:eastAsia="Times New Roman" w:hAnsi="Arial Narrow"/>
                <w:bCs/>
                <w:color w:val="333333"/>
                <w:sz w:val="18"/>
                <w:szCs w:val="18"/>
                <w:lang w:eastAsia="en-AU"/>
              </w:rPr>
              <w:t>,</w:t>
            </w:r>
            <w:r w:rsidRPr="00CC57D9">
              <w:rPr>
                <w:rFonts w:ascii="Arial Narrow" w:eastAsia="Times New Roman" w:hAnsi="Arial Narrow"/>
                <w:bCs/>
                <w:color w:val="333333"/>
                <w:sz w:val="18"/>
                <w:szCs w:val="18"/>
                <w:lang w:eastAsia="en-AU"/>
              </w:rPr>
              <w:t xml:space="preserve"> </w:t>
            </w:r>
            <w:r w:rsidRPr="007C0552">
              <w:rPr>
                <w:rFonts w:ascii="Arial Narrow" w:eastAsia="Times New Roman" w:hAnsi="Arial Narrow"/>
                <w:bCs/>
                <w:strike/>
                <w:color w:val="333333"/>
                <w:sz w:val="18"/>
                <w:szCs w:val="18"/>
                <w:lang w:eastAsia="en-AU"/>
              </w:rPr>
              <w:t>prior to treatment with PBS-subsidised therapy with this drug</w:t>
            </w:r>
            <w:r>
              <w:rPr>
                <w:rFonts w:ascii="Arial Narrow" w:eastAsia="Times New Roman" w:hAnsi="Arial Narrow"/>
                <w:bCs/>
                <w:strike/>
                <w:color w:val="333333"/>
                <w:sz w:val="18"/>
                <w:szCs w:val="18"/>
                <w:lang w:eastAsia="en-AU"/>
              </w:rPr>
              <w:t xml:space="preserve"> </w:t>
            </w:r>
            <w:r>
              <w:rPr>
                <w:rFonts w:ascii="Arial Narrow" w:eastAsia="Times New Roman" w:hAnsi="Arial Narrow"/>
                <w:bCs/>
                <w:i/>
                <w:color w:val="333333"/>
                <w:sz w:val="18"/>
                <w:szCs w:val="18"/>
                <w:lang w:eastAsia="en-AU"/>
              </w:rPr>
              <w:t xml:space="preserve">(ii) evidence that a HIV test has been conducted, but the result is still forthcoming,  </w:t>
            </w:r>
          </w:p>
          <w:p w14:paraId="2B35196F" w14:textId="41800B9A" w:rsidR="005D117B" w:rsidRPr="00D45FD2" w:rsidRDefault="005D117B" w:rsidP="002E6078">
            <w:pPr>
              <w:keepNext/>
              <w:keepLines/>
              <w:spacing w:after="0" w:line="240" w:lineRule="auto"/>
              <w:rPr>
                <w:rFonts w:ascii="Arial Narrow" w:eastAsia="Times New Roman" w:hAnsi="Arial Narrow"/>
                <w:bCs/>
                <w:i/>
                <w:color w:val="333333"/>
                <w:sz w:val="18"/>
                <w:szCs w:val="18"/>
                <w:lang w:eastAsia="en-AU"/>
              </w:rPr>
            </w:pPr>
            <w:r>
              <w:rPr>
                <w:rFonts w:ascii="Arial Narrow" w:eastAsia="Times New Roman" w:hAnsi="Arial Narrow"/>
                <w:bCs/>
                <w:i/>
                <w:color w:val="333333"/>
                <w:sz w:val="18"/>
                <w:szCs w:val="18"/>
                <w:lang w:eastAsia="en-AU"/>
              </w:rPr>
              <w:t>.</w:t>
            </w:r>
          </w:p>
        </w:tc>
      </w:tr>
      <w:tr w:rsidR="005D117B" w:rsidRPr="00D45FD2" w14:paraId="4EDE7805" w14:textId="77777777" w:rsidTr="00A041A9">
        <w:tc>
          <w:tcPr>
            <w:tcW w:w="5000" w:type="pct"/>
            <w:vAlign w:val="center"/>
          </w:tcPr>
          <w:p w14:paraId="58FBCC6E" w14:textId="77777777" w:rsidR="005D117B" w:rsidRPr="00D45FD2" w:rsidDel="005F25ED" w:rsidRDefault="005D117B" w:rsidP="002E6078">
            <w:pPr>
              <w:keepNext/>
              <w:keepLines/>
              <w:spacing w:after="0" w:line="240" w:lineRule="auto"/>
              <w:rPr>
                <w:rFonts w:ascii="Arial Narrow" w:eastAsia="Times New Roman" w:hAnsi="Arial Narrow"/>
                <w:b/>
                <w:bCs/>
                <w:strike/>
                <w:color w:val="333333"/>
                <w:sz w:val="18"/>
                <w:szCs w:val="18"/>
                <w:lang w:eastAsia="en-AU"/>
              </w:rPr>
            </w:pPr>
            <w:r w:rsidRPr="00D45FD2">
              <w:rPr>
                <w:rFonts w:ascii="Arial Narrow" w:eastAsia="Times New Roman" w:hAnsi="Arial Narrow"/>
                <w:b/>
                <w:bCs/>
                <w:strike/>
                <w:color w:val="333333"/>
                <w:sz w:val="18"/>
                <w:szCs w:val="18"/>
                <w:lang w:eastAsia="en-AU"/>
              </w:rPr>
              <w:t>Population criteria:</w:t>
            </w:r>
          </w:p>
        </w:tc>
      </w:tr>
      <w:tr w:rsidR="005D117B" w:rsidRPr="00D45FD2" w14:paraId="23229D70" w14:textId="77777777" w:rsidTr="00A041A9">
        <w:tc>
          <w:tcPr>
            <w:tcW w:w="5000" w:type="pct"/>
            <w:vAlign w:val="center"/>
          </w:tcPr>
          <w:p w14:paraId="264794C2" w14:textId="77777777" w:rsidR="005D117B" w:rsidRPr="00D45FD2" w:rsidDel="005F25ED" w:rsidRDefault="005D117B" w:rsidP="002E6078">
            <w:pPr>
              <w:keepNext/>
              <w:keepLines/>
              <w:spacing w:after="0" w:line="240" w:lineRule="auto"/>
              <w:rPr>
                <w:rFonts w:ascii="Arial Narrow" w:eastAsia="Times New Roman" w:hAnsi="Arial Narrow"/>
                <w:b/>
                <w:bCs/>
                <w:strike/>
                <w:color w:val="333333"/>
                <w:sz w:val="18"/>
                <w:szCs w:val="18"/>
                <w:lang w:eastAsia="en-AU"/>
              </w:rPr>
            </w:pPr>
            <w:r w:rsidRPr="00D45FD2">
              <w:rPr>
                <w:rFonts w:ascii="Arial Narrow" w:eastAsia="Times New Roman" w:hAnsi="Arial Narrow"/>
                <w:strike/>
                <w:color w:val="333333"/>
                <w:sz w:val="18"/>
                <w:szCs w:val="18"/>
                <w:lang w:eastAsia="en-AU"/>
              </w:rPr>
              <w:t>Patient must be 18 years or older.</w:t>
            </w:r>
          </w:p>
        </w:tc>
      </w:tr>
    </w:tbl>
    <w:p w14:paraId="01FE85B1" w14:textId="77777777" w:rsidR="00D45FD2" w:rsidRPr="00D45FD2" w:rsidRDefault="00D45FD2" w:rsidP="002E6078">
      <w:pPr>
        <w:keepNext/>
        <w:keepLines/>
        <w:snapToGrid w:val="0"/>
        <w:spacing w:after="120" w:line="240" w:lineRule="auto"/>
        <w:jc w:val="both"/>
        <w:rPr>
          <w:rFonts w:cstheme="minorHAnsi"/>
        </w:rPr>
      </w:pPr>
    </w:p>
    <w:p w14:paraId="7F3E0215" w14:textId="1A8B6BBD" w:rsidR="00D45FD2" w:rsidRPr="00D45FD2" w:rsidRDefault="00D45FD2" w:rsidP="00D45FD2">
      <w:pPr>
        <w:rPr>
          <w:b/>
          <w:bCs/>
        </w:rPr>
      </w:pPr>
    </w:p>
    <w:p w14:paraId="7D723A7B" w14:textId="64D4D766" w:rsidR="002D04EC" w:rsidRPr="0008105C" w:rsidRDefault="002D04EC" w:rsidP="00C96F12">
      <w:pPr>
        <w:pStyle w:val="NoSpacing"/>
        <w:rPr>
          <w:rFonts w:ascii="Arial Narrow" w:hAnsi="Arial Narrow"/>
          <w:sz w:val="20"/>
          <w:szCs w:val="20"/>
        </w:rPr>
      </w:pPr>
    </w:p>
    <w:p w14:paraId="258430FD" w14:textId="77777777" w:rsidR="008833DA" w:rsidRPr="00B6556C" w:rsidRDefault="008833DA" w:rsidP="008833DA">
      <w:pPr>
        <w:keepNext/>
        <w:keepLines/>
        <w:numPr>
          <w:ilvl w:val="0"/>
          <w:numId w:val="22"/>
        </w:numPr>
        <w:spacing w:before="240" w:after="120" w:line="240" w:lineRule="auto"/>
        <w:ind w:left="709" w:hanging="709"/>
        <w:jc w:val="both"/>
        <w:outlineLvl w:val="0"/>
        <w:rPr>
          <w:rFonts w:eastAsiaTheme="majorEastAsia" w:cstheme="majorBidi"/>
          <w:b/>
          <w:sz w:val="32"/>
          <w:szCs w:val="28"/>
        </w:rPr>
      </w:pPr>
      <w:r w:rsidRPr="00B6556C">
        <w:rPr>
          <w:rFonts w:eastAsiaTheme="majorEastAsia" w:cstheme="majorBidi"/>
          <w:b/>
          <w:sz w:val="32"/>
          <w:szCs w:val="28"/>
        </w:rPr>
        <w:lastRenderedPageBreak/>
        <w:t>Context for Decision</w:t>
      </w:r>
    </w:p>
    <w:p w14:paraId="5B5821B1" w14:textId="77777777" w:rsidR="008833DA" w:rsidRPr="008833DA" w:rsidRDefault="008833DA" w:rsidP="008833DA">
      <w:pPr>
        <w:jc w:val="both"/>
        <w:rPr>
          <w:rFonts w:cs="Arial"/>
          <w:bCs/>
          <w:sz w:val="24"/>
          <w:szCs w:val="24"/>
          <w:lang w:val="en-GB"/>
        </w:rPr>
      </w:pPr>
      <w:r w:rsidRPr="008833DA">
        <w:rPr>
          <w:rFonts w:cs="Arial"/>
          <w:bCs/>
          <w:sz w:val="24"/>
          <w:szCs w:val="24"/>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C07488F" w14:textId="77777777" w:rsidR="001F3A1A" w:rsidRPr="00BB0A26" w:rsidRDefault="001F3A1A" w:rsidP="006B5A03">
      <w:pPr>
        <w:pStyle w:val="ListParagraph"/>
        <w:ind w:left="360"/>
      </w:pPr>
    </w:p>
    <w:sectPr w:rsidR="001F3A1A" w:rsidRPr="00BB0A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BEC1" w14:textId="77777777" w:rsidR="00D52CA6" w:rsidRDefault="00D52CA6" w:rsidP="005628BA">
      <w:pPr>
        <w:spacing w:after="0" w:line="240" w:lineRule="auto"/>
      </w:pPr>
      <w:r>
        <w:separator/>
      </w:r>
    </w:p>
  </w:endnote>
  <w:endnote w:type="continuationSeparator" w:id="0">
    <w:p w14:paraId="6F360A7E" w14:textId="77777777" w:rsidR="00D52CA6" w:rsidRDefault="00D52CA6" w:rsidP="0056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7BD0" w14:textId="77777777" w:rsidR="007D4E4E" w:rsidRDefault="007D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1BF6E" w14:textId="48B10E2F" w:rsidR="00D52CA6" w:rsidRPr="008833DA" w:rsidRDefault="00D52CA6" w:rsidP="008833DA">
    <w:pPr>
      <w:pStyle w:val="Footer"/>
      <w:jc w:val="center"/>
      <w:rPr>
        <w:b/>
        <w:caps/>
        <w:noProof/>
        <w:sz w:val="24"/>
      </w:rPr>
    </w:pPr>
    <w:r w:rsidRPr="00BD53E5">
      <w:rPr>
        <w:b/>
        <w:caps/>
        <w:sz w:val="24"/>
      </w:rPr>
      <w:fldChar w:fldCharType="begin"/>
    </w:r>
    <w:r w:rsidRPr="00BD53E5">
      <w:rPr>
        <w:b/>
        <w:caps/>
        <w:sz w:val="24"/>
      </w:rPr>
      <w:instrText xml:space="preserve"> PAGE   \* MERGEFORMAT </w:instrText>
    </w:r>
    <w:r w:rsidRPr="00BD53E5">
      <w:rPr>
        <w:b/>
        <w:caps/>
        <w:sz w:val="24"/>
      </w:rPr>
      <w:fldChar w:fldCharType="separate"/>
    </w:r>
    <w:r w:rsidR="00217211">
      <w:rPr>
        <w:b/>
        <w:caps/>
        <w:noProof/>
        <w:sz w:val="24"/>
      </w:rPr>
      <w:t>1</w:t>
    </w:r>
    <w:r w:rsidRPr="00BD53E5">
      <w:rPr>
        <w:b/>
        <w:caps/>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84CC" w14:textId="77777777" w:rsidR="007D4E4E" w:rsidRDefault="007D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C9DC2" w14:textId="77777777" w:rsidR="00D52CA6" w:rsidRDefault="00D52CA6" w:rsidP="005628BA">
      <w:pPr>
        <w:spacing w:after="0" w:line="240" w:lineRule="auto"/>
      </w:pPr>
      <w:r>
        <w:separator/>
      </w:r>
    </w:p>
  </w:footnote>
  <w:footnote w:type="continuationSeparator" w:id="0">
    <w:p w14:paraId="6EFE6A24" w14:textId="77777777" w:rsidR="00D52CA6" w:rsidRDefault="00D52CA6" w:rsidP="005628BA">
      <w:pPr>
        <w:spacing w:after="0" w:line="240" w:lineRule="auto"/>
      </w:pPr>
      <w:r>
        <w:continuationSeparator/>
      </w:r>
    </w:p>
  </w:footnote>
  <w:footnote w:id="1">
    <w:p w14:paraId="7E3E091A" w14:textId="5CCE70D0" w:rsidR="00D52CA6" w:rsidRPr="00BB0A26" w:rsidRDefault="00D52CA6" w:rsidP="00B52055">
      <w:pPr>
        <w:rPr>
          <w:sz w:val="20"/>
          <w:szCs w:val="20"/>
        </w:rPr>
      </w:pPr>
      <w:r>
        <w:rPr>
          <w:rStyle w:val="FootnoteReference"/>
        </w:rPr>
        <w:footnoteRef/>
      </w:r>
      <w:r>
        <w:t xml:space="preserve"> </w:t>
      </w:r>
      <w:r w:rsidRPr="00BB0A26">
        <w:rPr>
          <w:sz w:val="20"/>
          <w:szCs w:val="20"/>
        </w:rPr>
        <w:t xml:space="preserve">Australasian Society for HIV, Viral Hepatitis and Sexual Health Medicine HIV pre-exposure prophylaxis: clinical guidelines. September 2019. </w:t>
      </w:r>
    </w:p>
  </w:footnote>
  <w:footnote w:id="2">
    <w:p w14:paraId="71DD8C9F" w14:textId="77777777" w:rsidR="00D52CA6" w:rsidRPr="00B52055" w:rsidRDefault="00D52CA6" w:rsidP="00B52055">
      <w:pPr>
        <w:pStyle w:val="FootnoteText"/>
      </w:pPr>
      <w:r>
        <w:rPr>
          <w:rStyle w:val="FootnoteReference"/>
        </w:rPr>
        <w:footnoteRef/>
      </w:r>
      <w:r>
        <w:t xml:space="preserve"> </w:t>
      </w:r>
      <w:r w:rsidRPr="00B52055">
        <w:t>Kirby Institute. HIV, viral hepatitis and sexually transmissible infections in Australia: annual surveillance report 2018. Sydney: Kirby Institute, UNSW Sydney; 2018. Available at: https://kirby.unsw.edu.au/report/hiv-viral-hepatitis-and-sexually-transmissible-infections-australia-annual-surveillance (last accessed 8 June 2020).</w:t>
      </w:r>
    </w:p>
    <w:p w14:paraId="3FBD5FFC" w14:textId="3D5FB376" w:rsidR="00D52CA6" w:rsidRDefault="00D52CA6">
      <w:pPr>
        <w:pStyle w:val="FootnoteText"/>
      </w:pPr>
    </w:p>
  </w:footnote>
  <w:footnote w:id="3">
    <w:p w14:paraId="6306B22C" w14:textId="6FAF5E56" w:rsidR="00D52CA6" w:rsidRPr="00B52055" w:rsidRDefault="00D52CA6" w:rsidP="00B52055">
      <w:pPr>
        <w:pStyle w:val="FootnoteText"/>
      </w:pPr>
      <w:r>
        <w:rPr>
          <w:rStyle w:val="FootnoteReference"/>
        </w:rPr>
        <w:footnoteRef/>
      </w:r>
      <w:r>
        <w:t xml:space="preserve"> </w:t>
      </w:r>
      <w:r w:rsidRPr="00B52055">
        <w:t xml:space="preserve">Monitoring HIV pre-exposure prophylaxis uptake in Australia, Issue 1 June 2019. Available at: </w:t>
      </w:r>
      <w:hyperlink r:id="rId1" w:tooltip="https://kirby.unsw.edu.au/sites/default/files/kirby/report/Monitoring-HIV%20pre-exposure-prophylaxis-in-Australia-newsletter_Issue-2.pdf" w:history="1">
        <w:r w:rsidRPr="00B52055">
          <w:rPr>
            <w:rStyle w:val="Hyperlink"/>
          </w:rPr>
          <w:t>https://kirby.unsw.edu.au/sites/default/files/kirby/report/Monitoring-HIV%20pre-exposure-prophylaxis-in-Australia-newsletter_Issue-2.pdf</w:t>
        </w:r>
      </w:hyperlink>
      <w:r w:rsidR="00041DDE">
        <w:t xml:space="preserve"> </w:t>
      </w:r>
      <w:r w:rsidRPr="00B52055">
        <w:t>(last accessed 8 June 2020).</w:t>
      </w:r>
    </w:p>
    <w:p w14:paraId="01802E19" w14:textId="02514B3F" w:rsidR="00D52CA6" w:rsidRDefault="00D52CA6">
      <w:pPr>
        <w:pStyle w:val="FootnoteText"/>
      </w:pPr>
    </w:p>
  </w:footnote>
  <w:footnote w:id="4">
    <w:p w14:paraId="7B522FFA" w14:textId="77777777" w:rsidR="00D52CA6" w:rsidRPr="00B52055" w:rsidRDefault="00D52CA6" w:rsidP="00B52055">
      <w:pPr>
        <w:pStyle w:val="FootnoteText"/>
      </w:pPr>
      <w:r>
        <w:rPr>
          <w:rStyle w:val="FootnoteReference"/>
        </w:rPr>
        <w:footnoteRef/>
      </w:r>
      <w:r>
        <w:t xml:space="preserve"> </w:t>
      </w:r>
      <w:r w:rsidRPr="00B52055">
        <w:t>Grulich AE, Guy R, Amin J, et al; Expanded PrEP Implementation in Communities New South Wales (EPIC-NSW) research group. Population-level effectiveness of rapid, targeted, high-coverage roll-out of HIV pre-exposure prophylaxis in men who have sex with men: the EPIC-NSW prospective cohort study. Lancet HIV 2018;5:e629-37.</w:t>
      </w:r>
    </w:p>
    <w:p w14:paraId="66AED30B" w14:textId="388E80CA" w:rsidR="00D52CA6" w:rsidRDefault="00D52CA6">
      <w:pPr>
        <w:pStyle w:val="FootnoteText"/>
      </w:pPr>
    </w:p>
  </w:footnote>
  <w:footnote w:id="5">
    <w:p w14:paraId="65FB6972" w14:textId="70E46DFB" w:rsidR="008D0DFE" w:rsidRDefault="008D0DFE">
      <w:pPr>
        <w:pStyle w:val="FootnoteText"/>
      </w:pPr>
      <w:r>
        <w:rPr>
          <w:rStyle w:val="FootnoteReference"/>
        </w:rPr>
        <w:footnoteRef/>
      </w:r>
      <w:r>
        <w:t xml:space="preserve"> Extracted 20 August 2020 from publicly available data on the Medicare Statistics website at </w:t>
      </w:r>
      <w:hyperlink r:id="rId2" w:tooltip="http://medicarestatistics.humanservices.gov.au/statistics/pbs_item.jsp" w:history="1">
        <w:r w:rsidRPr="00722744">
          <w:rPr>
            <w:rStyle w:val="Hyperlink"/>
          </w:rPr>
          <w:t>http://medicarestatistics.humanservices.gov.au/statistics/pbs_item.jsp</w:t>
        </w:r>
      </w:hyperlink>
    </w:p>
  </w:footnote>
  <w:footnote w:id="6">
    <w:p w14:paraId="33EFD8F1" w14:textId="468AAB45" w:rsidR="00D52CA6" w:rsidRPr="00B52055" w:rsidRDefault="00D52CA6" w:rsidP="00B52055">
      <w:pPr>
        <w:pStyle w:val="FootnoteText"/>
      </w:pPr>
      <w:r>
        <w:rPr>
          <w:rStyle w:val="FootnoteReference"/>
        </w:rPr>
        <w:footnoteRef/>
      </w:r>
      <w:r>
        <w:t xml:space="preserve"> </w:t>
      </w:r>
      <w:r w:rsidRPr="00B52055">
        <w:rPr>
          <w:lang w:val="nl-NL"/>
        </w:rPr>
        <w:t xml:space="preserve">Poynten IM, Jin F, Prestage GP, Kaldor JM, Kippax S, Grulich AE. </w:t>
      </w:r>
      <w:r w:rsidRPr="00B52055">
        <w:t>Defining high HIV incidence subgroups of Australian homosexual men: implications for conducting HIV prevention trials in low HIV prevalence settings. HIV Med 2010;11:635-41</w:t>
      </w:r>
      <w:r>
        <w:t xml:space="preserve">. </w:t>
      </w:r>
      <w:r w:rsidRPr="00B52055">
        <w:t xml:space="preserve">Available at: </w:t>
      </w:r>
      <w:hyperlink r:id="rId3" w:tooltip="https://onlinelibrary.wiley.com/doi/full/10.1111/j.1468-1293.2010.00833.x" w:history="1">
        <w:r w:rsidRPr="00B52055">
          <w:rPr>
            <w:rStyle w:val="Hyperlink"/>
          </w:rPr>
          <w:t>https://onlinelibrary.wiley.com/doi/full/10.1111/j.1468-1293.2010.00833.x</w:t>
        </w:r>
      </w:hyperlink>
      <w:r w:rsidRPr="00B52055">
        <w:t xml:space="preserve"> (last accessed 26 August 2020) </w:t>
      </w:r>
    </w:p>
    <w:p w14:paraId="76305D94" w14:textId="13D073D7" w:rsidR="00D52CA6" w:rsidRDefault="00D52CA6">
      <w:pPr>
        <w:pStyle w:val="FootnoteText"/>
      </w:pPr>
    </w:p>
  </w:footnote>
  <w:footnote w:id="7">
    <w:p w14:paraId="6A6FB294" w14:textId="77777777" w:rsidR="00145CD6" w:rsidRDefault="00145CD6" w:rsidP="00145CD6">
      <w:pPr>
        <w:pStyle w:val="FootnoteText"/>
      </w:pPr>
      <w:r>
        <w:rPr>
          <w:rStyle w:val="FootnoteReference"/>
        </w:rPr>
        <w:footnoteRef/>
      </w:r>
      <w:r>
        <w:t xml:space="preserve"> Refers to a</w:t>
      </w:r>
      <w:r w:rsidRPr="00492E84">
        <w:t xml:space="preserve"> person whose sense of personal identity and gender corresponds with their birth sex.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4659" w14:textId="77777777" w:rsidR="007D4E4E" w:rsidRDefault="007D4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1142" w14:textId="5E0A0F85" w:rsidR="00D52CA6" w:rsidRPr="00BD53E5" w:rsidRDefault="008833DA" w:rsidP="008833DA">
    <w:pPr>
      <w:pStyle w:val="Header"/>
      <w:ind w:left="360"/>
      <w:jc w:val="center"/>
      <w:rPr>
        <w:i/>
        <w:color w:val="808080"/>
        <w:sz w:val="24"/>
      </w:rPr>
    </w:pPr>
    <w:r>
      <w:rPr>
        <w:i/>
        <w:color w:val="808080"/>
        <w:sz w:val="24"/>
      </w:rPr>
      <w:t xml:space="preserve">Public Summary Document </w:t>
    </w:r>
    <w:r w:rsidR="00D52CA6" w:rsidRPr="00BD53E5">
      <w:rPr>
        <w:i/>
        <w:color w:val="808080"/>
        <w:sz w:val="24"/>
      </w:rPr>
      <w:t>– September 2020 PBAC Meeting</w:t>
    </w:r>
  </w:p>
  <w:p w14:paraId="2F090CA1" w14:textId="048C9A80" w:rsidR="00D52CA6" w:rsidRPr="001E02A0" w:rsidRDefault="00D52CA6" w:rsidP="001E0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3B86" w14:textId="77777777" w:rsidR="007D4E4E" w:rsidRDefault="007D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8131C2"/>
    <w:multiLevelType w:val="hybridMultilevel"/>
    <w:tmpl w:val="4F12D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42AA0"/>
    <w:multiLevelType w:val="hybridMultilevel"/>
    <w:tmpl w:val="499C3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F24BAC"/>
    <w:multiLevelType w:val="hybridMultilevel"/>
    <w:tmpl w:val="38E87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304613"/>
    <w:multiLevelType w:val="hybridMultilevel"/>
    <w:tmpl w:val="21B8FB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1F41A8"/>
    <w:multiLevelType w:val="hybridMultilevel"/>
    <w:tmpl w:val="2918C8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4AE2CAE"/>
    <w:multiLevelType w:val="hybridMultilevel"/>
    <w:tmpl w:val="9C1A16D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A70ED2"/>
    <w:multiLevelType w:val="hybridMultilevel"/>
    <w:tmpl w:val="6846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14CCF"/>
    <w:multiLevelType w:val="hybridMultilevel"/>
    <w:tmpl w:val="E0C21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BC29BE"/>
    <w:multiLevelType w:val="hybridMultilevel"/>
    <w:tmpl w:val="37529114"/>
    <w:lvl w:ilvl="0" w:tplc="B1CEAC6C">
      <w:start w:val="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E87670"/>
    <w:multiLevelType w:val="hybridMultilevel"/>
    <w:tmpl w:val="CF548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B21284F"/>
    <w:multiLevelType w:val="hybridMultilevel"/>
    <w:tmpl w:val="29C6E4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B21894"/>
    <w:multiLevelType w:val="hybridMultilevel"/>
    <w:tmpl w:val="BE5EC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1BF275E0"/>
    <w:lvl w:ilvl="0">
      <w:start w:val="1"/>
      <w:numFmt w:val="decimal"/>
      <w:pStyle w:val="PBACHeading1"/>
      <w:lvlText w:val="%1"/>
      <w:lvlJc w:val="left"/>
      <w:pPr>
        <w:ind w:left="720" w:hanging="720"/>
      </w:pPr>
      <w:rPr>
        <w:rFonts w:asciiTheme="minorHAnsi" w:hAnsiTheme="minorHAnsi" w:cstheme="minorHAnsi" w:hint="default"/>
        <w:b/>
        <w:i w:val="0"/>
        <w:sz w:val="32"/>
        <w:szCs w:val="28"/>
      </w:r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9A625F0"/>
    <w:multiLevelType w:val="hybridMultilevel"/>
    <w:tmpl w:val="2F3437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7"/>
  </w:num>
  <w:num w:numId="8">
    <w:abstractNumId w:val="16"/>
  </w:num>
  <w:num w:numId="9">
    <w:abstractNumId w:val="11"/>
  </w:num>
  <w:num w:numId="10">
    <w:abstractNumId w:val="12"/>
  </w:num>
  <w:num w:numId="11">
    <w:abstractNumId w:val="18"/>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19"/>
  </w:num>
  <w:num w:numId="23">
    <w:abstractNumId w:val="15"/>
  </w:num>
  <w:num w:numId="24">
    <w:abstractNumId w:val="2"/>
  </w:num>
  <w:num w:numId="25">
    <w:abstractNumId w:val="0"/>
  </w:num>
  <w:num w:numId="26">
    <w:abstractNumId w:val="7"/>
  </w:num>
  <w:num w:numId="27">
    <w:abstractNumId w:val="8"/>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46"/>
    <w:rsid w:val="00004B06"/>
    <w:rsid w:val="000077D6"/>
    <w:rsid w:val="00041DDE"/>
    <w:rsid w:val="00042210"/>
    <w:rsid w:val="0004592D"/>
    <w:rsid w:val="000672B7"/>
    <w:rsid w:val="000713A0"/>
    <w:rsid w:val="000717D7"/>
    <w:rsid w:val="0008105C"/>
    <w:rsid w:val="0008463A"/>
    <w:rsid w:val="00090648"/>
    <w:rsid w:val="00092825"/>
    <w:rsid w:val="00094797"/>
    <w:rsid w:val="000A01F9"/>
    <w:rsid w:val="000C3036"/>
    <w:rsid w:val="000D62B7"/>
    <w:rsid w:val="000D779C"/>
    <w:rsid w:val="000E10DB"/>
    <w:rsid w:val="000E7752"/>
    <w:rsid w:val="000F4C3C"/>
    <w:rsid w:val="000F6025"/>
    <w:rsid w:val="00104FC2"/>
    <w:rsid w:val="00113E56"/>
    <w:rsid w:val="0012270F"/>
    <w:rsid w:val="00137B8E"/>
    <w:rsid w:val="00145CD6"/>
    <w:rsid w:val="0015265E"/>
    <w:rsid w:val="001529AA"/>
    <w:rsid w:val="0015325C"/>
    <w:rsid w:val="00154403"/>
    <w:rsid w:val="0015768C"/>
    <w:rsid w:val="00165940"/>
    <w:rsid w:val="001705D5"/>
    <w:rsid w:val="001716CC"/>
    <w:rsid w:val="00182899"/>
    <w:rsid w:val="00196219"/>
    <w:rsid w:val="00197594"/>
    <w:rsid w:val="001A548A"/>
    <w:rsid w:val="001B49BF"/>
    <w:rsid w:val="001C7DD5"/>
    <w:rsid w:val="001E02A0"/>
    <w:rsid w:val="001E066D"/>
    <w:rsid w:val="001E13DE"/>
    <w:rsid w:val="001F2297"/>
    <w:rsid w:val="001F3A1A"/>
    <w:rsid w:val="00200553"/>
    <w:rsid w:val="00217211"/>
    <w:rsid w:val="00217D30"/>
    <w:rsid w:val="00221886"/>
    <w:rsid w:val="0022248E"/>
    <w:rsid w:val="00226A27"/>
    <w:rsid w:val="00237E0B"/>
    <w:rsid w:val="00243FA4"/>
    <w:rsid w:val="00244653"/>
    <w:rsid w:val="00271430"/>
    <w:rsid w:val="0027572F"/>
    <w:rsid w:val="00285925"/>
    <w:rsid w:val="002902A0"/>
    <w:rsid w:val="002B02A3"/>
    <w:rsid w:val="002B3B3A"/>
    <w:rsid w:val="002B4718"/>
    <w:rsid w:val="002B47DC"/>
    <w:rsid w:val="002B767C"/>
    <w:rsid w:val="002C28CB"/>
    <w:rsid w:val="002C2B75"/>
    <w:rsid w:val="002C759D"/>
    <w:rsid w:val="002D04A0"/>
    <w:rsid w:val="002D04EC"/>
    <w:rsid w:val="002D7DF9"/>
    <w:rsid w:val="002E5652"/>
    <w:rsid w:val="002E6078"/>
    <w:rsid w:val="002F4246"/>
    <w:rsid w:val="002F4348"/>
    <w:rsid w:val="0032213D"/>
    <w:rsid w:val="0034365E"/>
    <w:rsid w:val="00346315"/>
    <w:rsid w:val="00347D15"/>
    <w:rsid w:val="00357E6A"/>
    <w:rsid w:val="00357E97"/>
    <w:rsid w:val="00375E1B"/>
    <w:rsid w:val="0038057A"/>
    <w:rsid w:val="0038181D"/>
    <w:rsid w:val="00382CD7"/>
    <w:rsid w:val="0038521F"/>
    <w:rsid w:val="00385A7A"/>
    <w:rsid w:val="00385EF5"/>
    <w:rsid w:val="00391016"/>
    <w:rsid w:val="0039188B"/>
    <w:rsid w:val="003B3510"/>
    <w:rsid w:val="003D279D"/>
    <w:rsid w:val="003D4C74"/>
    <w:rsid w:val="003E4F27"/>
    <w:rsid w:val="003F15B5"/>
    <w:rsid w:val="003F3C49"/>
    <w:rsid w:val="004058A4"/>
    <w:rsid w:val="00421537"/>
    <w:rsid w:val="00435060"/>
    <w:rsid w:val="00437E83"/>
    <w:rsid w:val="00441946"/>
    <w:rsid w:val="00455755"/>
    <w:rsid w:val="00457A0D"/>
    <w:rsid w:val="0046416A"/>
    <w:rsid w:val="00477FAC"/>
    <w:rsid w:val="00492E84"/>
    <w:rsid w:val="00493518"/>
    <w:rsid w:val="00493D64"/>
    <w:rsid w:val="004A4064"/>
    <w:rsid w:val="004F443C"/>
    <w:rsid w:val="004F77E4"/>
    <w:rsid w:val="0050504E"/>
    <w:rsid w:val="00506441"/>
    <w:rsid w:val="00510C38"/>
    <w:rsid w:val="00512A7A"/>
    <w:rsid w:val="005234A0"/>
    <w:rsid w:val="00531FE2"/>
    <w:rsid w:val="00551244"/>
    <w:rsid w:val="005547A1"/>
    <w:rsid w:val="00554CE0"/>
    <w:rsid w:val="005628BA"/>
    <w:rsid w:val="0057014E"/>
    <w:rsid w:val="00573375"/>
    <w:rsid w:val="0057439B"/>
    <w:rsid w:val="00576FAE"/>
    <w:rsid w:val="00580E29"/>
    <w:rsid w:val="00580FA5"/>
    <w:rsid w:val="00583BC0"/>
    <w:rsid w:val="0059500C"/>
    <w:rsid w:val="00597528"/>
    <w:rsid w:val="005A12E4"/>
    <w:rsid w:val="005A721A"/>
    <w:rsid w:val="005A7297"/>
    <w:rsid w:val="005D117B"/>
    <w:rsid w:val="005E101D"/>
    <w:rsid w:val="005E6F77"/>
    <w:rsid w:val="005F25ED"/>
    <w:rsid w:val="005F3F3E"/>
    <w:rsid w:val="00605D39"/>
    <w:rsid w:val="006126A9"/>
    <w:rsid w:val="00615591"/>
    <w:rsid w:val="006166A1"/>
    <w:rsid w:val="00621A3C"/>
    <w:rsid w:val="00633F26"/>
    <w:rsid w:val="00651244"/>
    <w:rsid w:val="0065542E"/>
    <w:rsid w:val="00665C6E"/>
    <w:rsid w:val="006871DE"/>
    <w:rsid w:val="0069166A"/>
    <w:rsid w:val="00693690"/>
    <w:rsid w:val="006A52BA"/>
    <w:rsid w:val="006A59F0"/>
    <w:rsid w:val="006B5A03"/>
    <w:rsid w:val="006D3D43"/>
    <w:rsid w:val="006F4811"/>
    <w:rsid w:val="00702883"/>
    <w:rsid w:val="00720DF8"/>
    <w:rsid w:val="00725626"/>
    <w:rsid w:val="00726F10"/>
    <w:rsid w:val="00757622"/>
    <w:rsid w:val="0076045C"/>
    <w:rsid w:val="00760601"/>
    <w:rsid w:val="007778E1"/>
    <w:rsid w:val="007832F6"/>
    <w:rsid w:val="0079367B"/>
    <w:rsid w:val="00793A2F"/>
    <w:rsid w:val="00797B84"/>
    <w:rsid w:val="007C0552"/>
    <w:rsid w:val="007C5571"/>
    <w:rsid w:val="007D049F"/>
    <w:rsid w:val="007D0555"/>
    <w:rsid w:val="007D4E4E"/>
    <w:rsid w:val="007D552B"/>
    <w:rsid w:val="007E76A7"/>
    <w:rsid w:val="008000B8"/>
    <w:rsid w:val="008158FB"/>
    <w:rsid w:val="00824A65"/>
    <w:rsid w:val="00835FA8"/>
    <w:rsid w:val="00843B49"/>
    <w:rsid w:val="00843FBA"/>
    <w:rsid w:val="00847039"/>
    <w:rsid w:val="0085005A"/>
    <w:rsid w:val="00853BF1"/>
    <w:rsid w:val="00873AF3"/>
    <w:rsid w:val="00876AD1"/>
    <w:rsid w:val="00882651"/>
    <w:rsid w:val="008833DA"/>
    <w:rsid w:val="00890152"/>
    <w:rsid w:val="008A1A02"/>
    <w:rsid w:val="008B512A"/>
    <w:rsid w:val="008B5516"/>
    <w:rsid w:val="008C3F80"/>
    <w:rsid w:val="008D0DFE"/>
    <w:rsid w:val="008D1286"/>
    <w:rsid w:val="008D6B87"/>
    <w:rsid w:val="008E7567"/>
    <w:rsid w:val="008E7BA4"/>
    <w:rsid w:val="008F1F69"/>
    <w:rsid w:val="008F2572"/>
    <w:rsid w:val="009112D6"/>
    <w:rsid w:val="00927947"/>
    <w:rsid w:val="009368C1"/>
    <w:rsid w:val="00940C78"/>
    <w:rsid w:val="00944639"/>
    <w:rsid w:val="00950083"/>
    <w:rsid w:val="00953D88"/>
    <w:rsid w:val="00971EBF"/>
    <w:rsid w:val="009727C4"/>
    <w:rsid w:val="00981128"/>
    <w:rsid w:val="00982AEC"/>
    <w:rsid w:val="009B3501"/>
    <w:rsid w:val="009C0C20"/>
    <w:rsid w:val="009C12AB"/>
    <w:rsid w:val="009C48B7"/>
    <w:rsid w:val="009F1CA3"/>
    <w:rsid w:val="00A041A9"/>
    <w:rsid w:val="00A0480F"/>
    <w:rsid w:val="00A068BF"/>
    <w:rsid w:val="00A07C37"/>
    <w:rsid w:val="00A15AB6"/>
    <w:rsid w:val="00A40B24"/>
    <w:rsid w:val="00A463F7"/>
    <w:rsid w:val="00A50437"/>
    <w:rsid w:val="00A717F7"/>
    <w:rsid w:val="00A75181"/>
    <w:rsid w:val="00A8287D"/>
    <w:rsid w:val="00A83C97"/>
    <w:rsid w:val="00A9319C"/>
    <w:rsid w:val="00AA23CE"/>
    <w:rsid w:val="00AA35DB"/>
    <w:rsid w:val="00AA4F74"/>
    <w:rsid w:val="00AC0497"/>
    <w:rsid w:val="00AC0D75"/>
    <w:rsid w:val="00AC515B"/>
    <w:rsid w:val="00AD76F0"/>
    <w:rsid w:val="00AF0A0C"/>
    <w:rsid w:val="00B10026"/>
    <w:rsid w:val="00B16216"/>
    <w:rsid w:val="00B17540"/>
    <w:rsid w:val="00B36E2A"/>
    <w:rsid w:val="00B407A5"/>
    <w:rsid w:val="00B460CA"/>
    <w:rsid w:val="00B46439"/>
    <w:rsid w:val="00B52055"/>
    <w:rsid w:val="00B640DF"/>
    <w:rsid w:val="00B706B7"/>
    <w:rsid w:val="00B71C11"/>
    <w:rsid w:val="00B80349"/>
    <w:rsid w:val="00B97D04"/>
    <w:rsid w:val="00BA0337"/>
    <w:rsid w:val="00BA4E55"/>
    <w:rsid w:val="00BA64FE"/>
    <w:rsid w:val="00BB0A26"/>
    <w:rsid w:val="00BB797E"/>
    <w:rsid w:val="00BC03D5"/>
    <w:rsid w:val="00BC3C02"/>
    <w:rsid w:val="00BC7C65"/>
    <w:rsid w:val="00BD53E5"/>
    <w:rsid w:val="00BD66AA"/>
    <w:rsid w:val="00BE525E"/>
    <w:rsid w:val="00C0636A"/>
    <w:rsid w:val="00C07DEF"/>
    <w:rsid w:val="00C1084C"/>
    <w:rsid w:val="00C40E93"/>
    <w:rsid w:val="00C460D4"/>
    <w:rsid w:val="00C56ED2"/>
    <w:rsid w:val="00C57ABD"/>
    <w:rsid w:val="00C60A5B"/>
    <w:rsid w:val="00C628BA"/>
    <w:rsid w:val="00C65F5C"/>
    <w:rsid w:val="00C70C92"/>
    <w:rsid w:val="00C71581"/>
    <w:rsid w:val="00C85757"/>
    <w:rsid w:val="00C90935"/>
    <w:rsid w:val="00C91985"/>
    <w:rsid w:val="00C9486B"/>
    <w:rsid w:val="00C96F12"/>
    <w:rsid w:val="00C97074"/>
    <w:rsid w:val="00CC1556"/>
    <w:rsid w:val="00CC57D9"/>
    <w:rsid w:val="00CC72A7"/>
    <w:rsid w:val="00CD0F64"/>
    <w:rsid w:val="00CD1C3D"/>
    <w:rsid w:val="00D06367"/>
    <w:rsid w:val="00D17F63"/>
    <w:rsid w:val="00D205C1"/>
    <w:rsid w:val="00D20757"/>
    <w:rsid w:val="00D213D4"/>
    <w:rsid w:val="00D21600"/>
    <w:rsid w:val="00D32DD5"/>
    <w:rsid w:val="00D41C72"/>
    <w:rsid w:val="00D45FD2"/>
    <w:rsid w:val="00D52CA6"/>
    <w:rsid w:val="00D54CB7"/>
    <w:rsid w:val="00D54D7B"/>
    <w:rsid w:val="00D729F9"/>
    <w:rsid w:val="00D74745"/>
    <w:rsid w:val="00D76553"/>
    <w:rsid w:val="00D84665"/>
    <w:rsid w:val="00D86263"/>
    <w:rsid w:val="00D93896"/>
    <w:rsid w:val="00DA13EE"/>
    <w:rsid w:val="00DA5FD0"/>
    <w:rsid w:val="00DB79CF"/>
    <w:rsid w:val="00DC03A9"/>
    <w:rsid w:val="00DC067F"/>
    <w:rsid w:val="00DC5D74"/>
    <w:rsid w:val="00DC6CDF"/>
    <w:rsid w:val="00DD3F9A"/>
    <w:rsid w:val="00DD53EB"/>
    <w:rsid w:val="00DF09BF"/>
    <w:rsid w:val="00DF7CB7"/>
    <w:rsid w:val="00E04BD6"/>
    <w:rsid w:val="00E1206B"/>
    <w:rsid w:val="00E203E3"/>
    <w:rsid w:val="00E279E5"/>
    <w:rsid w:val="00E27B1B"/>
    <w:rsid w:val="00E81A88"/>
    <w:rsid w:val="00E873E5"/>
    <w:rsid w:val="00E87AA0"/>
    <w:rsid w:val="00E90756"/>
    <w:rsid w:val="00E90CFC"/>
    <w:rsid w:val="00EA1F3F"/>
    <w:rsid w:val="00EA7B8C"/>
    <w:rsid w:val="00EB32A0"/>
    <w:rsid w:val="00EC07E9"/>
    <w:rsid w:val="00EC173D"/>
    <w:rsid w:val="00ED2304"/>
    <w:rsid w:val="00ED7250"/>
    <w:rsid w:val="00EF313B"/>
    <w:rsid w:val="00EF448B"/>
    <w:rsid w:val="00F3192F"/>
    <w:rsid w:val="00F44480"/>
    <w:rsid w:val="00F55242"/>
    <w:rsid w:val="00F722E8"/>
    <w:rsid w:val="00F724F0"/>
    <w:rsid w:val="00F737BD"/>
    <w:rsid w:val="00F87724"/>
    <w:rsid w:val="00FA02D4"/>
    <w:rsid w:val="00FB2316"/>
    <w:rsid w:val="00FB5AE2"/>
    <w:rsid w:val="00FB7750"/>
    <w:rsid w:val="00FD125F"/>
    <w:rsid w:val="00FD1DFD"/>
    <w:rsid w:val="00FD58D1"/>
    <w:rsid w:val="00FD78D7"/>
    <w:rsid w:val="00FE640E"/>
    <w:rsid w:val="00FF13EE"/>
    <w:rsid w:val="1019570A"/>
    <w:rsid w:val="152B20F9"/>
    <w:rsid w:val="1582B701"/>
    <w:rsid w:val="2A88DBC1"/>
    <w:rsid w:val="2B363FA4"/>
    <w:rsid w:val="3CF42205"/>
    <w:rsid w:val="3D77419D"/>
    <w:rsid w:val="3F2C0A58"/>
    <w:rsid w:val="42EDCD00"/>
    <w:rsid w:val="47E6C3A0"/>
    <w:rsid w:val="50556D21"/>
    <w:rsid w:val="65962844"/>
    <w:rsid w:val="69750D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6FA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1"/>
    <w:qFormat/>
    <w:rsid w:val="00665C6E"/>
    <w:pPr>
      <w:widowControl w:val="0"/>
      <w:snapToGrid w:val="0"/>
      <w:spacing w:after="0" w:line="240" w:lineRule="auto"/>
      <w:ind w:left="0"/>
      <w:jc w:val="both"/>
      <w:outlineLvl w:val="0"/>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Bullet point,List Paragraph1,List Paragraph11,Recommendation,Numbered para,ES Paragraph,PBAC ES Paragraph,PBAC normal points,Bullet List"/>
    <w:basedOn w:val="Normal"/>
    <w:link w:val="ListParagraphChar"/>
    <w:uiPriority w:val="34"/>
    <w:qFormat/>
    <w:rsid w:val="002C2B75"/>
    <w:pPr>
      <w:ind w:left="720"/>
      <w:contextualSpacing/>
    </w:pPr>
    <w:rPr>
      <w:sz w:val="24"/>
    </w:rPr>
  </w:style>
  <w:style w:type="character" w:styleId="Hyperlink">
    <w:name w:val="Hyperlink"/>
    <w:basedOn w:val="DefaultParagraphFont"/>
    <w:uiPriority w:val="99"/>
    <w:unhideWhenUsed/>
    <w:rsid w:val="00C628BA"/>
    <w:rPr>
      <w:color w:val="0563C1" w:themeColor="hyperlink"/>
      <w:u w:val="single"/>
    </w:rPr>
  </w:style>
  <w:style w:type="character" w:customStyle="1" w:styleId="UnresolvedMention1">
    <w:name w:val="Unresolved Mention1"/>
    <w:basedOn w:val="DefaultParagraphFont"/>
    <w:uiPriority w:val="99"/>
    <w:semiHidden/>
    <w:unhideWhenUsed/>
    <w:rsid w:val="00C628BA"/>
    <w:rPr>
      <w:color w:val="605E5C"/>
      <w:shd w:val="clear" w:color="auto" w:fill="E1DFDD"/>
    </w:rPr>
  </w:style>
  <w:style w:type="character" w:styleId="CommentReference">
    <w:name w:val="annotation reference"/>
    <w:basedOn w:val="DefaultParagraphFont"/>
    <w:uiPriority w:val="99"/>
    <w:semiHidden/>
    <w:unhideWhenUsed/>
    <w:rsid w:val="000077D6"/>
    <w:rPr>
      <w:sz w:val="16"/>
      <w:szCs w:val="16"/>
    </w:rPr>
  </w:style>
  <w:style w:type="paragraph" w:styleId="CommentText">
    <w:name w:val="annotation text"/>
    <w:basedOn w:val="Normal"/>
    <w:link w:val="CommentTextChar"/>
    <w:uiPriority w:val="99"/>
    <w:semiHidden/>
    <w:unhideWhenUsed/>
    <w:rsid w:val="000077D6"/>
    <w:pPr>
      <w:spacing w:line="240" w:lineRule="auto"/>
    </w:pPr>
    <w:rPr>
      <w:sz w:val="20"/>
      <w:szCs w:val="20"/>
    </w:rPr>
  </w:style>
  <w:style w:type="character" w:customStyle="1" w:styleId="CommentTextChar">
    <w:name w:val="Comment Text Char"/>
    <w:basedOn w:val="DefaultParagraphFont"/>
    <w:link w:val="CommentText"/>
    <w:uiPriority w:val="99"/>
    <w:semiHidden/>
    <w:rsid w:val="000077D6"/>
    <w:rPr>
      <w:sz w:val="20"/>
      <w:szCs w:val="20"/>
    </w:rPr>
  </w:style>
  <w:style w:type="paragraph" w:styleId="CommentSubject">
    <w:name w:val="annotation subject"/>
    <w:basedOn w:val="CommentText"/>
    <w:next w:val="CommentText"/>
    <w:link w:val="CommentSubjectChar"/>
    <w:uiPriority w:val="99"/>
    <w:semiHidden/>
    <w:unhideWhenUsed/>
    <w:rsid w:val="000077D6"/>
    <w:rPr>
      <w:b/>
      <w:bCs/>
    </w:rPr>
  </w:style>
  <w:style w:type="character" w:customStyle="1" w:styleId="CommentSubjectChar">
    <w:name w:val="Comment Subject Char"/>
    <w:basedOn w:val="CommentTextChar"/>
    <w:link w:val="CommentSubject"/>
    <w:uiPriority w:val="99"/>
    <w:semiHidden/>
    <w:rsid w:val="000077D6"/>
    <w:rPr>
      <w:b/>
      <w:bCs/>
      <w:sz w:val="20"/>
      <w:szCs w:val="20"/>
    </w:rPr>
  </w:style>
  <w:style w:type="paragraph" w:styleId="BalloonText">
    <w:name w:val="Balloon Text"/>
    <w:basedOn w:val="Normal"/>
    <w:link w:val="BalloonTextChar"/>
    <w:uiPriority w:val="99"/>
    <w:semiHidden/>
    <w:unhideWhenUsed/>
    <w:rsid w:val="00007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D6"/>
    <w:rPr>
      <w:rFonts w:ascii="Segoe UI" w:hAnsi="Segoe UI" w:cs="Segoe UI"/>
      <w:sz w:val="18"/>
      <w:szCs w:val="18"/>
    </w:rPr>
  </w:style>
  <w:style w:type="character" w:customStyle="1" w:styleId="Heading1Char">
    <w:name w:val="Heading 1 Char"/>
    <w:basedOn w:val="DefaultParagraphFont"/>
    <w:link w:val="Heading1"/>
    <w:uiPriority w:val="1"/>
    <w:rsid w:val="00665C6E"/>
    <w:rPr>
      <w:rFonts w:ascii="Arial" w:eastAsia="Times New Roman" w:hAnsi="Arial" w:cs="Arial"/>
      <w:b/>
    </w:rPr>
  </w:style>
  <w:style w:type="character" w:customStyle="1" w:styleId="ListParagraphChar">
    <w:name w:val="List Paragraph Char"/>
    <w:aliases w:val="BulletPoints Char,Footnote Char,Bullet point Char,List Paragraph1 Char,List Paragraph11 Char,Recommendation Char,Numbered para Char,ES Paragraph Char,PBAC ES Paragraph Char,PBAC normal points Char,Bullet List Char"/>
    <w:basedOn w:val="DefaultParagraphFont"/>
    <w:link w:val="ListParagraph"/>
    <w:uiPriority w:val="34"/>
    <w:qFormat/>
    <w:locked/>
    <w:rsid w:val="002C2B75"/>
    <w:rPr>
      <w:sz w:val="24"/>
    </w:rPr>
  </w:style>
  <w:style w:type="paragraph" w:customStyle="1" w:styleId="PBACHeading1">
    <w:name w:val="PBAC Heading 1"/>
    <w:qFormat/>
    <w:rsid w:val="00665C6E"/>
    <w:pPr>
      <w:numPr>
        <w:numId w:val="4"/>
      </w:numPr>
      <w:snapToGrid w:val="0"/>
      <w:spacing w:after="0" w:line="240" w:lineRule="auto"/>
      <w:outlineLvl w:val="0"/>
    </w:pPr>
    <w:rPr>
      <w:rFonts w:ascii="Arial" w:eastAsia="Times New Roman" w:hAnsi="Arial" w:cs="Arial"/>
      <w:b/>
    </w:rPr>
  </w:style>
  <w:style w:type="character" w:customStyle="1" w:styleId="1MainTitleChar">
    <w:name w:val="1. Main Title Char"/>
    <w:basedOn w:val="DefaultParagraphFont"/>
    <w:link w:val="1MainTitle"/>
    <w:locked/>
    <w:rsid w:val="00665C6E"/>
    <w:rPr>
      <w:rFonts w:eastAsiaTheme="majorEastAsia" w:cstheme="majorBidi"/>
      <w:b/>
      <w:spacing w:val="5"/>
      <w:kern w:val="28"/>
      <w:sz w:val="36"/>
      <w:szCs w:val="36"/>
    </w:rPr>
  </w:style>
  <w:style w:type="paragraph" w:customStyle="1" w:styleId="1MainTitle">
    <w:name w:val="1. Main Title"/>
    <w:basedOn w:val="Title"/>
    <w:link w:val="1MainTitleChar"/>
    <w:qFormat/>
    <w:rsid w:val="00665C6E"/>
    <w:pPr>
      <w:spacing w:before="120" w:after="160"/>
      <w:ind w:left="720" w:hanging="720"/>
      <w:jc w:val="both"/>
      <w:outlineLvl w:val="0"/>
    </w:pPr>
    <w:rPr>
      <w:rFonts w:asciiTheme="minorHAnsi" w:hAnsiTheme="minorHAnsi"/>
      <w:b/>
      <w:spacing w:val="5"/>
      <w:sz w:val="36"/>
      <w:szCs w:val="36"/>
    </w:rPr>
  </w:style>
  <w:style w:type="paragraph" w:styleId="Title">
    <w:name w:val="Title"/>
    <w:basedOn w:val="Normal"/>
    <w:next w:val="Normal"/>
    <w:link w:val="TitleChar"/>
    <w:uiPriority w:val="10"/>
    <w:qFormat/>
    <w:rsid w:val="00665C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C6E"/>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43FBA"/>
    <w:rPr>
      <w:i/>
      <w:iCs/>
    </w:rPr>
  </w:style>
  <w:style w:type="character" w:customStyle="1" w:styleId="cit">
    <w:name w:val="cit"/>
    <w:basedOn w:val="DefaultParagraphFont"/>
    <w:rsid w:val="001F3A1A"/>
  </w:style>
  <w:style w:type="character" w:customStyle="1" w:styleId="fm-vol-iss-date">
    <w:name w:val="fm-vol-iss-date"/>
    <w:basedOn w:val="DefaultParagraphFont"/>
    <w:rsid w:val="001F3A1A"/>
  </w:style>
  <w:style w:type="character" w:customStyle="1" w:styleId="fm-citation-ids-label">
    <w:name w:val="fm-citation-ids-label"/>
    <w:basedOn w:val="DefaultParagraphFont"/>
    <w:rsid w:val="001F3A1A"/>
  </w:style>
  <w:style w:type="paragraph" w:styleId="Header">
    <w:name w:val="header"/>
    <w:aliases w:val="Page Header,Header title,he=header,cntr/bld"/>
    <w:basedOn w:val="Normal"/>
    <w:link w:val="HeaderChar"/>
    <w:uiPriority w:val="99"/>
    <w:unhideWhenUsed/>
    <w:rsid w:val="005628BA"/>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5628BA"/>
  </w:style>
  <w:style w:type="paragraph" w:styleId="Footer">
    <w:name w:val="footer"/>
    <w:basedOn w:val="Normal"/>
    <w:link w:val="FooterChar"/>
    <w:uiPriority w:val="99"/>
    <w:unhideWhenUsed/>
    <w:rsid w:val="00562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8BA"/>
  </w:style>
  <w:style w:type="character" w:styleId="FollowedHyperlink">
    <w:name w:val="FollowedHyperlink"/>
    <w:basedOn w:val="DefaultParagraphFont"/>
    <w:uiPriority w:val="99"/>
    <w:semiHidden/>
    <w:unhideWhenUsed/>
    <w:rsid w:val="007E76A7"/>
    <w:rPr>
      <w:color w:val="954F72" w:themeColor="followedHyperlink"/>
      <w:u w:val="single"/>
    </w:rPr>
  </w:style>
  <w:style w:type="character" w:customStyle="1" w:styleId="UnresolvedMention">
    <w:name w:val="Unresolved Mention"/>
    <w:basedOn w:val="DefaultParagraphFont"/>
    <w:uiPriority w:val="99"/>
    <w:semiHidden/>
    <w:unhideWhenUsed/>
    <w:rsid w:val="007E76A7"/>
    <w:rPr>
      <w:color w:val="605E5C"/>
      <w:shd w:val="clear" w:color="auto" w:fill="E1DFDD"/>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EC07E9"/>
    <w:pPr>
      <w:keepNext/>
      <w:spacing w:before="120" w:after="40" w:line="240" w:lineRule="auto"/>
    </w:pPr>
    <w:rPr>
      <w:rFonts w:ascii="Arial Narrow" w:hAnsi="Arial Narrow"/>
      <w:b/>
      <w:iCs/>
      <w:sz w:val="20"/>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EC07E9"/>
    <w:rPr>
      <w:rFonts w:ascii="Arial Narrow" w:hAnsi="Arial Narrow"/>
      <w:b/>
      <w:iCs/>
      <w:sz w:val="20"/>
      <w:szCs w:val="18"/>
    </w:rPr>
  </w:style>
  <w:style w:type="table" w:styleId="TableGrid">
    <w:name w:val="Table Grid"/>
    <w:basedOn w:val="TableNormal"/>
    <w:uiPriority w:val="39"/>
    <w:rsid w:val="0077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DB79CF"/>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FootnoteText">
    <w:name w:val="footnote text"/>
    <w:basedOn w:val="Normal"/>
    <w:link w:val="FootnoteTextChar"/>
    <w:uiPriority w:val="99"/>
    <w:semiHidden/>
    <w:unhideWhenUsed/>
    <w:rsid w:val="00385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A7A"/>
    <w:rPr>
      <w:sz w:val="20"/>
      <w:szCs w:val="20"/>
    </w:rPr>
  </w:style>
  <w:style w:type="character" w:styleId="FootnoteReference">
    <w:name w:val="footnote reference"/>
    <w:basedOn w:val="DefaultParagraphFont"/>
    <w:uiPriority w:val="99"/>
    <w:semiHidden/>
    <w:unhideWhenUsed/>
    <w:rsid w:val="00385A7A"/>
    <w:rPr>
      <w:vertAlign w:val="superscript"/>
    </w:rPr>
  </w:style>
  <w:style w:type="paragraph" w:customStyle="1" w:styleId="MinorOVRHeader">
    <w:name w:val="Minor OVR Header"/>
    <w:basedOn w:val="Header"/>
    <w:link w:val="MinorOVRHeaderChar"/>
    <w:rsid w:val="001E02A0"/>
    <w:pPr>
      <w:keepNext/>
      <w:jc w:val="right"/>
    </w:pPr>
    <w:rPr>
      <w:rFonts w:eastAsia="Times New Roman" w:cs="Arial"/>
      <w:sz w:val="24"/>
      <w:szCs w:val="24"/>
      <w:lang w:eastAsia="en-AU"/>
    </w:rPr>
  </w:style>
  <w:style w:type="character" w:customStyle="1" w:styleId="MinorOVRHeaderChar">
    <w:name w:val="Minor OVR Header Char"/>
    <w:basedOn w:val="DefaultParagraphFont"/>
    <w:link w:val="MinorOVRHeader"/>
    <w:rsid w:val="001E02A0"/>
    <w:rPr>
      <w:rFonts w:eastAsia="Times New Roman" w:cs="Arial"/>
      <w:sz w:val="24"/>
      <w:szCs w:val="24"/>
      <w:lang w:eastAsia="en-AU"/>
    </w:rPr>
  </w:style>
  <w:style w:type="paragraph" w:customStyle="1" w:styleId="PBACFooter">
    <w:name w:val="PBAC Footer"/>
    <w:basedOn w:val="Footer"/>
    <w:link w:val="PBACFooterChar"/>
    <w:qFormat/>
    <w:rsid w:val="001E02A0"/>
    <w:pPr>
      <w:tabs>
        <w:tab w:val="clear" w:pos="4513"/>
        <w:tab w:val="clear" w:pos="9026"/>
        <w:tab w:val="center" w:pos="4153"/>
        <w:tab w:val="right" w:pos="8306"/>
      </w:tabs>
      <w:jc w:val="center"/>
    </w:pPr>
    <w:rPr>
      <w:rFonts w:ascii="Arial" w:eastAsia="Times New Roman" w:hAnsi="Arial" w:cs="Arial"/>
      <w:b/>
      <w:sz w:val="20"/>
      <w:szCs w:val="20"/>
      <w:lang w:eastAsia="en-AU"/>
    </w:rPr>
  </w:style>
  <w:style w:type="character" w:customStyle="1" w:styleId="PBACFooterChar">
    <w:name w:val="PBAC Footer Char"/>
    <w:basedOn w:val="FooterChar"/>
    <w:link w:val="PBACFooter"/>
    <w:rsid w:val="001E02A0"/>
    <w:rPr>
      <w:rFonts w:ascii="Arial" w:eastAsia="Times New Roman" w:hAnsi="Arial" w:cs="Arial"/>
      <w:b/>
      <w:sz w:val="20"/>
      <w:szCs w:val="20"/>
      <w:lang w:eastAsia="en-AU"/>
    </w:rPr>
  </w:style>
  <w:style w:type="paragraph" w:styleId="NoSpacing">
    <w:name w:val="No Spacing"/>
    <w:uiPriority w:val="1"/>
    <w:qFormat/>
    <w:rsid w:val="00D45FD2"/>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D54D7B"/>
    <w:pPr>
      <w:spacing w:after="0" w:line="240" w:lineRule="auto"/>
    </w:pPr>
  </w:style>
  <w:style w:type="paragraph" w:styleId="ListNumber">
    <w:name w:val="List Number"/>
    <w:basedOn w:val="Normal"/>
    <w:uiPriority w:val="99"/>
    <w:unhideWhenUsed/>
    <w:rsid w:val="008833DA"/>
    <w:pPr>
      <w:spacing w:after="0" w:line="240" w:lineRule="auto"/>
      <w:ind w:left="720" w:hanging="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4731">
      <w:bodyDiv w:val="1"/>
      <w:marLeft w:val="0"/>
      <w:marRight w:val="0"/>
      <w:marTop w:val="0"/>
      <w:marBottom w:val="0"/>
      <w:divBdr>
        <w:top w:val="none" w:sz="0" w:space="0" w:color="auto"/>
        <w:left w:val="none" w:sz="0" w:space="0" w:color="auto"/>
        <w:bottom w:val="none" w:sz="0" w:space="0" w:color="auto"/>
        <w:right w:val="none" w:sz="0" w:space="0" w:color="auto"/>
      </w:divBdr>
    </w:div>
    <w:div w:id="1607886197">
      <w:bodyDiv w:val="1"/>
      <w:marLeft w:val="0"/>
      <w:marRight w:val="0"/>
      <w:marTop w:val="0"/>
      <w:marBottom w:val="0"/>
      <w:divBdr>
        <w:top w:val="none" w:sz="0" w:space="0" w:color="auto"/>
        <w:left w:val="none" w:sz="0" w:space="0" w:color="auto"/>
        <w:bottom w:val="none" w:sz="0" w:space="0" w:color="auto"/>
        <w:right w:val="none" w:sz="0" w:space="0" w:color="auto"/>
      </w:divBdr>
    </w:div>
    <w:div w:id="1690646446">
      <w:bodyDiv w:val="1"/>
      <w:marLeft w:val="0"/>
      <w:marRight w:val="0"/>
      <w:marTop w:val="0"/>
      <w:marBottom w:val="0"/>
      <w:divBdr>
        <w:top w:val="none" w:sz="0" w:space="0" w:color="auto"/>
        <w:left w:val="none" w:sz="0" w:space="0" w:color="auto"/>
        <w:bottom w:val="none" w:sz="0" w:space="0" w:color="auto"/>
        <w:right w:val="none" w:sz="0" w:space="0" w:color="auto"/>
      </w:divBdr>
    </w:div>
    <w:div w:id="1832671204">
      <w:bodyDiv w:val="1"/>
      <w:marLeft w:val="0"/>
      <w:marRight w:val="0"/>
      <w:marTop w:val="0"/>
      <w:marBottom w:val="0"/>
      <w:divBdr>
        <w:top w:val="none" w:sz="0" w:space="0" w:color="auto"/>
        <w:left w:val="none" w:sz="0" w:space="0" w:color="auto"/>
        <w:bottom w:val="none" w:sz="0" w:space="0" w:color="auto"/>
        <w:right w:val="none" w:sz="0" w:space="0" w:color="auto"/>
      </w:divBdr>
      <w:divsChild>
        <w:div w:id="1592160201">
          <w:marLeft w:val="0"/>
          <w:marRight w:val="0"/>
          <w:marTop w:val="0"/>
          <w:marBottom w:val="166"/>
          <w:divBdr>
            <w:top w:val="none" w:sz="0" w:space="0" w:color="auto"/>
            <w:left w:val="none" w:sz="0" w:space="0" w:color="auto"/>
            <w:bottom w:val="none" w:sz="0" w:space="0" w:color="auto"/>
            <w:right w:val="none" w:sz="0" w:space="0" w:color="auto"/>
          </w:divBdr>
          <w:divsChild>
            <w:div w:id="1225336739">
              <w:marLeft w:val="0"/>
              <w:marRight w:val="0"/>
              <w:marTop w:val="0"/>
              <w:marBottom w:val="0"/>
              <w:divBdr>
                <w:top w:val="none" w:sz="0" w:space="0" w:color="auto"/>
                <w:left w:val="none" w:sz="0" w:space="0" w:color="auto"/>
                <w:bottom w:val="none" w:sz="0" w:space="0" w:color="auto"/>
                <w:right w:val="none" w:sz="0" w:space="0" w:color="auto"/>
              </w:divBdr>
              <w:divsChild>
                <w:div w:id="815494407">
                  <w:marLeft w:val="0"/>
                  <w:marRight w:val="0"/>
                  <w:marTop w:val="0"/>
                  <w:marBottom w:val="0"/>
                  <w:divBdr>
                    <w:top w:val="none" w:sz="0" w:space="0" w:color="auto"/>
                    <w:left w:val="none" w:sz="0" w:space="0" w:color="auto"/>
                    <w:bottom w:val="none" w:sz="0" w:space="0" w:color="auto"/>
                    <w:right w:val="none" w:sz="0" w:space="0" w:color="auto"/>
                  </w:divBdr>
                  <w:divsChild>
                    <w:div w:id="1460341406">
                      <w:marLeft w:val="0"/>
                      <w:marRight w:val="0"/>
                      <w:marTop w:val="0"/>
                      <w:marBottom w:val="0"/>
                      <w:divBdr>
                        <w:top w:val="none" w:sz="0" w:space="0" w:color="auto"/>
                        <w:left w:val="none" w:sz="0" w:space="0" w:color="auto"/>
                        <w:bottom w:val="none" w:sz="0" w:space="0" w:color="auto"/>
                        <w:right w:val="none" w:sz="0" w:space="0" w:color="auto"/>
                      </w:divBdr>
                    </w:div>
                    <w:div w:id="17935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1945">
              <w:marLeft w:val="0"/>
              <w:marRight w:val="0"/>
              <w:marTop w:val="0"/>
              <w:marBottom w:val="0"/>
              <w:divBdr>
                <w:top w:val="none" w:sz="0" w:space="0" w:color="auto"/>
                <w:left w:val="none" w:sz="0" w:space="0" w:color="auto"/>
                <w:bottom w:val="none" w:sz="0" w:space="0" w:color="auto"/>
                <w:right w:val="none" w:sz="0" w:space="0" w:color="auto"/>
              </w:divBdr>
              <w:divsChild>
                <w:div w:id="627248288">
                  <w:marLeft w:val="0"/>
                  <w:marRight w:val="0"/>
                  <w:marTop w:val="0"/>
                  <w:marBottom w:val="0"/>
                  <w:divBdr>
                    <w:top w:val="none" w:sz="0" w:space="0" w:color="auto"/>
                    <w:left w:val="none" w:sz="0" w:space="0" w:color="auto"/>
                    <w:bottom w:val="none" w:sz="0" w:space="0" w:color="auto"/>
                    <w:right w:val="none" w:sz="0" w:space="0" w:color="auto"/>
                  </w:divBdr>
                </w:div>
                <w:div w:id="17585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4669">
          <w:marLeft w:val="0"/>
          <w:marRight w:val="0"/>
          <w:marTop w:val="166"/>
          <w:marBottom w:val="166"/>
          <w:divBdr>
            <w:top w:val="none" w:sz="0" w:space="0" w:color="auto"/>
            <w:left w:val="none" w:sz="0" w:space="0" w:color="auto"/>
            <w:bottom w:val="none" w:sz="0" w:space="0" w:color="auto"/>
            <w:right w:val="none" w:sz="0" w:space="0" w:color="auto"/>
          </w:divBdr>
          <w:divsChild>
            <w:div w:id="730349616">
              <w:marLeft w:val="0"/>
              <w:marRight w:val="0"/>
              <w:marTop w:val="0"/>
              <w:marBottom w:val="0"/>
              <w:divBdr>
                <w:top w:val="none" w:sz="0" w:space="0" w:color="auto"/>
                <w:left w:val="none" w:sz="0" w:space="0" w:color="auto"/>
                <w:bottom w:val="none" w:sz="0" w:space="0" w:color="auto"/>
                <w:right w:val="none" w:sz="0" w:space="0" w:color="auto"/>
              </w:divBdr>
            </w:div>
          </w:divsChild>
        </w:div>
        <w:div w:id="797185449">
          <w:marLeft w:val="0"/>
          <w:marRight w:val="0"/>
          <w:marTop w:val="166"/>
          <w:marBottom w:val="166"/>
          <w:divBdr>
            <w:top w:val="none" w:sz="0" w:space="0" w:color="auto"/>
            <w:left w:val="none" w:sz="0" w:space="0" w:color="auto"/>
            <w:bottom w:val="none" w:sz="0" w:space="0" w:color="auto"/>
            <w:right w:val="none" w:sz="0" w:space="0" w:color="auto"/>
          </w:divBdr>
          <w:divsChild>
            <w:div w:id="1381326135">
              <w:marLeft w:val="0"/>
              <w:marRight w:val="0"/>
              <w:marTop w:val="0"/>
              <w:marBottom w:val="0"/>
              <w:divBdr>
                <w:top w:val="none" w:sz="0" w:space="0" w:color="auto"/>
                <w:left w:val="none" w:sz="0" w:space="0" w:color="auto"/>
                <w:bottom w:val="none" w:sz="0" w:space="0" w:color="auto"/>
                <w:right w:val="none" w:sz="0" w:space="0" w:color="auto"/>
              </w:divBdr>
            </w:div>
          </w:divsChild>
        </w:div>
        <w:div w:id="743796436">
          <w:marLeft w:val="0"/>
          <w:marRight w:val="0"/>
          <w:marTop w:val="332"/>
          <w:marBottom w:val="332"/>
          <w:divBdr>
            <w:top w:val="single" w:sz="6" w:space="5" w:color="EAC3AF"/>
            <w:left w:val="single" w:sz="6" w:space="8" w:color="EAC3AF"/>
            <w:bottom w:val="single" w:sz="6" w:space="5" w:color="EAC3AF"/>
            <w:right w:val="single" w:sz="6" w:space="8" w:color="EAC3AF"/>
          </w:divBdr>
          <w:divsChild>
            <w:div w:id="2062440852">
              <w:marLeft w:val="0"/>
              <w:marRight w:val="0"/>
              <w:marTop w:val="0"/>
              <w:marBottom w:val="0"/>
              <w:divBdr>
                <w:top w:val="none" w:sz="0" w:space="0" w:color="auto"/>
                <w:left w:val="none" w:sz="0" w:space="0" w:color="auto"/>
                <w:bottom w:val="none" w:sz="0" w:space="0" w:color="auto"/>
                <w:right w:val="none" w:sz="0" w:space="0" w:color="auto"/>
              </w:divBdr>
              <w:divsChild>
                <w:div w:id="2126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nlinelibrary.wiley.com/doi/full/10.1111/j.1468-1293.2010.00833.x" TargetMode="External"/><Relationship Id="rId2" Type="http://schemas.openxmlformats.org/officeDocument/2006/relationships/hyperlink" Target="http://medicarestatistics.humanservices.gov.au/statistics/pbs_item.jsp" TargetMode="External"/><Relationship Id="rId1" Type="http://schemas.openxmlformats.org/officeDocument/2006/relationships/hyperlink" Target="https://kirby.unsw.edu.au/sites/default/files/kirby/report/Monitoring-HIV%20pre-exposure-prophylaxis-in-Australia-newsletter_Issue-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26\AYREJO\Documents\D1255%20tenofovir%20emtricitabine%20PrE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26\AYREJO\Documents\D1255%20tenofovir%20emtricitabine%20PrE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PrEP monthly Prescriptions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PrEP Monthly Prescriptions (combined total)</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'item code month v scripts'!$T$3:$T$29</c:f>
              <c:numCache>
                <c:formatCode>mmm\-yy</c:formatCode>
                <c:ptCount val="27"/>
                <c:pt idx="0">
                  <c:v>43191</c:v>
                </c:pt>
                <c:pt idx="1">
                  <c:v>43221</c:v>
                </c:pt>
                <c:pt idx="2">
                  <c:v>43252</c:v>
                </c:pt>
                <c:pt idx="3">
                  <c:v>43282</c:v>
                </c:pt>
                <c:pt idx="4">
                  <c:v>43313</c:v>
                </c:pt>
                <c:pt idx="5">
                  <c:v>43344</c:v>
                </c:pt>
                <c:pt idx="6">
                  <c:v>43374</c:v>
                </c:pt>
                <c:pt idx="7">
                  <c:v>43405</c:v>
                </c:pt>
                <c:pt idx="8">
                  <c:v>43435</c:v>
                </c:pt>
                <c:pt idx="9">
                  <c:v>43466</c:v>
                </c:pt>
                <c:pt idx="10">
                  <c:v>43497</c:v>
                </c:pt>
                <c:pt idx="11">
                  <c:v>43525</c:v>
                </c:pt>
                <c:pt idx="12">
                  <c:v>43556</c:v>
                </c:pt>
                <c:pt idx="13">
                  <c:v>43586</c:v>
                </c:pt>
                <c:pt idx="14">
                  <c:v>43617</c:v>
                </c:pt>
                <c:pt idx="15">
                  <c:v>43647</c:v>
                </c:pt>
                <c:pt idx="16">
                  <c:v>43678</c:v>
                </c:pt>
                <c:pt idx="17">
                  <c:v>43709</c:v>
                </c:pt>
                <c:pt idx="18">
                  <c:v>43739</c:v>
                </c:pt>
                <c:pt idx="19">
                  <c:v>43770</c:v>
                </c:pt>
                <c:pt idx="20">
                  <c:v>43800</c:v>
                </c:pt>
                <c:pt idx="21">
                  <c:v>43831</c:v>
                </c:pt>
                <c:pt idx="22">
                  <c:v>43862</c:v>
                </c:pt>
                <c:pt idx="23">
                  <c:v>43891</c:v>
                </c:pt>
                <c:pt idx="24">
                  <c:v>43922</c:v>
                </c:pt>
                <c:pt idx="25">
                  <c:v>43952</c:v>
                </c:pt>
                <c:pt idx="26">
                  <c:v>43983</c:v>
                </c:pt>
              </c:numCache>
            </c:numRef>
          </c:cat>
          <c:val>
            <c:numRef>
              <c:f>'item code month v scripts'!$S$3:$S$29</c:f>
              <c:numCache>
                <c:formatCode>General</c:formatCode>
                <c:ptCount val="27"/>
                <c:pt idx="0">
                  <c:v>4217</c:v>
                </c:pt>
                <c:pt idx="1">
                  <c:v>5888</c:v>
                </c:pt>
                <c:pt idx="2">
                  <c:v>6299</c:v>
                </c:pt>
                <c:pt idx="3">
                  <c:v>8253</c:v>
                </c:pt>
                <c:pt idx="4">
                  <c:v>9891</c:v>
                </c:pt>
                <c:pt idx="5">
                  <c:v>9663</c:v>
                </c:pt>
                <c:pt idx="6">
                  <c:v>11978</c:v>
                </c:pt>
                <c:pt idx="7">
                  <c:v>12547</c:v>
                </c:pt>
                <c:pt idx="8">
                  <c:v>13472</c:v>
                </c:pt>
                <c:pt idx="9">
                  <c:v>14179</c:v>
                </c:pt>
                <c:pt idx="10">
                  <c:v>14041</c:v>
                </c:pt>
                <c:pt idx="11">
                  <c:v>15584</c:v>
                </c:pt>
                <c:pt idx="12">
                  <c:v>14712</c:v>
                </c:pt>
                <c:pt idx="13">
                  <c:v>17220</c:v>
                </c:pt>
                <c:pt idx="14">
                  <c:v>16236</c:v>
                </c:pt>
                <c:pt idx="15">
                  <c:v>17418</c:v>
                </c:pt>
                <c:pt idx="16">
                  <c:v>17492</c:v>
                </c:pt>
                <c:pt idx="17">
                  <c:v>16349</c:v>
                </c:pt>
                <c:pt idx="18">
                  <c:v>18458</c:v>
                </c:pt>
                <c:pt idx="19">
                  <c:v>17723</c:v>
                </c:pt>
                <c:pt idx="20">
                  <c:v>18781</c:v>
                </c:pt>
                <c:pt idx="21">
                  <c:v>18804</c:v>
                </c:pt>
                <c:pt idx="22">
                  <c:v>18259</c:v>
                </c:pt>
                <c:pt idx="23">
                  <c:v>21149</c:v>
                </c:pt>
                <c:pt idx="24">
                  <c:v>10732</c:v>
                </c:pt>
                <c:pt idx="25">
                  <c:v>13657</c:v>
                </c:pt>
                <c:pt idx="26">
                  <c:v>15499</c:v>
                </c:pt>
              </c:numCache>
            </c:numRef>
          </c:val>
          <c:smooth val="0"/>
          <c:extLst>
            <c:ext xmlns:c16="http://schemas.microsoft.com/office/drawing/2014/chart" uri="{C3380CC4-5D6E-409C-BE32-E72D297353CC}">
              <c16:uniqueId val="{00000000-F815-497E-BBE2-99B43541386B}"/>
            </c:ext>
          </c:extLst>
        </c:ser>
        <c:dLbls>
          <c:showLegendKey val="0"/>
          <c:showVal val="0"/>
          <c:showCatName val="0"/>
          <c:showSerName val="0"/>
          <c:showPercent val="0"/>
          <c:showBubbleSize val="0"/>
        </c:dLbls>
        <c:marker val="1"/>
        <c:smooth val="0"/>
        <c:axId val="442397552"/>
        <c:axId val="442390992"/>
      </c:lineChart>
      <c:dateAx>
        <c:axId val="44239755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90992"/>
        <c:crosses val="autoZero"/>
        <c:auto val="1"/>
        <c:lblOffset val="100"/>
        <c:baseTimeUnit val="months"/>
      </c:dateAx>
      <c:valAx>
        <c:axId val="44239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9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PrEP monthly number of patients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Monthly number of patients</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'month v scripts v patient'!$Q$2:$Q$28</c:f>
              <c:numCache>
                <c:formatCode>mmm\-yy</c:formatCode>
                <c:ptCount val="27"/>
                <c:pt idx="0">
                  <c:v>43191</c:v>
                </c:pt>
                <c:pt idx="1">
                  <c:v>43221</c:v>
                </c:pt>
                <c:pt idx="2">
                  <c:v>43252</c:v>
                </c:pt>
                <c:pt idx="3">
                  <c:v>43282</c:v>
                </c:pt>
                <c:pt idx="4">
                  <c:v>43313</c:v>
                </c:pt>
                <c:pt idx="5">
                  <c:v>43344</c:v>
                </c:pt>
                <c:pt idx="6">
                  <c:v>43374</c:v>
                </c:pt>
                <c:pt idx="7">
                  <c:v>43405</c:v>
                </c:pt>
                <c:pt idx="8">
                  <c:v>43435</c:v>
                </c:pt>
                <c:pt idx="9">
                  <c:v>43466</c:v>
                </c:pt>
                <c:pt idx="10">
                  <c:v>43497</c:v>
                </c:pt>
                <c:pt idx="11">
                  <c:v>43525</c:v>
                </c:pt>
                <c:pt idx="12">
                  <c:v>43556</c:v>
                </c:pt>
                <c:pt idx="13">
                  <c:v>43586</c:v>
                </c:pt>
                <c:pt idx="14">
                  <c:v>43617</c:v>
                </c:pt>
                <c:pt idx="15">
                  <c:v>43647</c:v>
                </c:pt>
                <c:pt idx="16">
                  <c:v>43678</c:v>
                </c:pt>
                <c:pt idx="17">
                  <c:v>43709</c:v>
                </c:pt>
                <c:pt idx="18">
                  <c:v>43739</c:v>
                </c:pt>
                <c:pt idx="19">
                  <c:v>43770</c:v>
                </c:pt>
                <c:pt idx="20">
                  <c:v>43800</c:v>
                </c:pt>
                <c:pt idx="21">
                  <c:v>43831</c:v>
                </c:pt>
                <c:pt idx="22">
                  <c:v>43862</c:v>
                </c:pt>
                <c:pt idx="23">
                  <c:v>43891</c:v>
                </c:pt>
                <c:pt idx="24">
                  <c:v>43922</c:v>
                </c:pt>
                <c:pt idx="25">
                  <c:v>43952</c:v>
                </c:pt>
                <c:pt idx="26">
                  <c:v>43983</c:v>
                </c:pt>
              </c:numCache>
            </c:numRef>
          </c:cat>
          <c:val>
            <c:numRef>
              <c:f>'month v scripts v patient'!$C$2:$C$28</c:f>
              <c:numCache>
                <c:formatCode>General</c:formatCode>
                <c:ptCount val="27"/>
                <c:pt idx="0">
                  <c:v>1920</c:v>
                </c:pt>
                <c:pt idx="1">
                  <c:v>2966</c:v>
                </c:pt>
                <c:pt idx="2">
                  <c:v>3436</c:v>
                </c:pt>
                <c:pt idx="3">
                  <c:v>4550</c:v>
                </c:pt>
                <c:pt idx="4">
                  <c:v>5523</c:v>
                </c:pt>
                <c:pt idx="5">
                  <c:v>5797</c:v>
                </c:pt>
                <c:pt idx="6">
                  <c:v>7071</c:v>
                </c:pt>
                <c:pt idx="7">
                  <c:v>7544</c:v>
                </c:pt>
                <c:pt idx="8">
                  <c:v>8150</c:v>
                </c:pt>
                <c:pt idx="9">
                  <c:v>8674</c:v>
                </c:pt>
                <c:pt idx="10">
                  <c:v>8744</c:v>
                </c:pt>
                <c:pt idx="11">
                  <c:v>9569</c:v>
                </c:pt>
                <c:pt idx="12">
                  <c:v>9343</c:v>
                </c:pt>
                <c:pt idx="13">
                  <c:v>10494</c:v>
                </c:pt>
                <c:pt idx="14">
                  <c:v>10130</c:v>
                </c:pt>
                <c:pt idx="15">
                  <c:v>10833</c:v>
                </c:pt>
                <c:pt idx="16">
                  <c:v>10819</c:v>
                </c:pt>
                <c:pt idx="17">
                  <c:v>10461</c:v>
                </c:pt>
                <c:pt idx="18">
                  <c:v>11467</c:v>
                </c:pt>
                <c:pt idx="19">
                  <c:v>11139</c:v>
                </c:pt>
                <c:pt idx="20">
                  <c:v>11758</c:v>
                </c:pt>
                <c:pt idx="21">
                  <c:v>11994</c:v>
                </c:pt>
                <c:pt idx="22">
                  <c:v>11834</c:v>
                </c:pt>
                <c:pt idx="23">
                  <c:v>12669</c:v>
                </c:pt>
                <c:pt idx="24">
                  <c:v>7372</c:v>
                </c:pt>
                <c:pt idx="25">
                  <c:v>9277</c:v>
                </c:pt>
                <c:pt idx="26">
                  <c:v>10389</c:v>
                </c:pt>
              </c:numCache>
            </c:numRef>
          </c:val>
          <c:smooth val="0"/>
          <c:extLst>
            <c:ext xmlns:c16="http://schemas.microsoft.com/office/drawing/2014/chart" uri="{C3380CC4-5D6E-409C-BE32-E72D297353CC}">
              <c16:uniqueId val="{00000000-EB51-4BE7-9C9C-13743B0D29A6}"/>
            </c:ext>
          </c:extLst>
        </c:ser>
        <c:dLbls>
          <c:showLegendKey val="0"/>
          <c:showVal val="0"/>
          <c:showCatName val="0"/>
          <c:showSerName val="0"/>
          <c:showPercent val="0"/>
          <c:showBubbleSize val="0"/>
        </c:dLbls>
        <c:marker val="1"/>
        <c:smooth val="0"/>
        <c:axId val="433967696"/>
        <c:axId val="433968680"/>
      </c:lineChart>
      <c:dateAx>
        <c:axId val="43396769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68680"/>
        <c:crosses val="autoZero"/>
        <c:auto val="1"/>
        <c:lblOffset val="100"/>
        <c:baseTimeUnit val="months"/>
      </c:dateAx>
      <c:valAx>
        <c:axId val="433968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6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E739-374A-4EEA-AEA9-68AEBDB9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Links>
    <vt:vector size="6" baseType="variant">
      <vt:variant>
        <vt:i4>6750292</vt:i4>
      </vt:variant>
      <vt:variant>
        <vt:i4>0</vt:i4>
      </vt:variant>
      <vt:variant>
        <vt:i4>0</vt:i4>
      </vt:variant>
      <vt:variant>
        <vt:i4>5</vt:i4>
      </vt:variant>
      <vt:variant>
        <vt:lpwstr>https://kirby.unsw.edu.au/sites/default/files/kirby/report/Monitoring-HIV pre-exposure-prophylaxis-in-Australia-newsletter_Issue-2.pdf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2020-10-19T00:40:00Z</dcterms:created>
  <dcterms:modified xsi:type="dcterms:W3CDTF">2020-12-21T01:44:00Z</dcterms:modified>
</cp:coreProperties>
</file>