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70" w:rsidRPr="00ED60CC" w:rsidRDefault="003D5570" w:rsidP="00B26A2F">
      <w:pPr>
        <w:pStyle w:val="1-MainHeading"/>
        <w:ind w:left="1440" w:hanging="1350"/>
      </w:pPr>
      <w:r w:rsidRPr="00ED60CC">
        <w:t>5.</w:t>
      </w:r>
      <w:r w:rsidR="00AD3663" w:rsidRPr="00ED60CC">
        <w:t>18</w:t>
      </w:r>
      <w:r w:rsidRPr="00ED60CC">
        <w:tab/>
        <w:t>ADALIMUMAB</w:t>
      </w:r>
      <w:r w:rsidR="003C0410" w:rsidRPr="00ED60CC">
        <w:br/>
      </w:r>
      <w:r w:rsidRPr="00ED60CC">
        <w:t>Injection 40 mg in 0.8 mL pre-filled syringe</w:t>
      </w:r>
      <w:r w:rsidR="003C0410" w:rsidRPr="00ED60CC">
        <w:br/>
      </w:r>
      <w:r w:rsidRPr="00ED60CC">
        <w:t>Injection 40 mg in 0.8 mL pre-filled pen</w:t>
      </w:r>
      <w:r w:rsidR="003C0410" w:rsidRPr="00ED60CC">
        <w:br/>
        <w:t>Injection 40 mg in 0.8 mL vial</w:t>
      </w:r>
      <w:r w:rsidR="003C0410" w:rsidRPr="00ED60CC">
        <w:br/>
      </w:r>
      <w:r w:rsidR="00AD3663" w:rsidRPr="00ED60CC">
        <w:t>Idacio</w:t>
      </w:r>
      <w:r w:rsidRPr="00ED60CC">
        <w:rPr>
          <w:vertAlign w:val="superscript"/>
        </w:rPr>
        <w:t>®</w:t>
      </w:r>
      <w:r w:rsidRPr="00ED60CC">
        <w:t xml:space="preserve">, </w:t>
      </w:r>
      <w:r w:rsidR="00493459" w:rsidRPr="00ED60CC">
        <w:t>Frensenius Kabi Australia</w:t>
      </w:r>
      <w:r w:rsidR="00261DB2" w:rsidRPr="00ED60CC">
        <w:t xml:space="preserve"> Pty Ltd</w:t>
      </w:r>
    </w:p>
    <w:p w:rsidR="00091933" w:rsidRPr="00ED60CC" w:rsidRDefault="00091933" w:rsidP="003C0410">
      <w:pPr>
        <w:pStyle w:val="2-SectionHeading"/>
      </w:pPr>
      <w:r w:rsidRPr="00ED60CC">
        <w:t>Purpose of Application</w:t>
      </w:r>
    </w:p>
    <w:p w:rsidR="00343EB5" w:rsidRPr="00ED60CC" w:rsidRDefault="00091933" w:rsidP="003C0410">
      <w:pPr>
        <w:pStyle w:val="3-BodyText"/>
      </w:pPr>
      <w:r w:rsidRPr="00ED60CC">
        <w:t xml:space="preserve">The minor submission sought </w:t>
      </w:r>
      <w:r w:rsidR="009F2AE4" w:rsidRPr="00ED60CC">
        <w:t>an Authority Required</w:t>
      </w:r>
      <w:r w:rsidRPr="00ED60CC">
        <w:t xml:space="preserve"> listing for a new biosimilar brand of adalimumab (</w:t>
      </w:r>
      <w:r w:rsidR="00AD3663" w:rsidRPr="00ED60CC">
        <w:t>Idacio</w:t>
      </w:r>
      <w:r w:rsidRPr="00ED60CC">
        <w:rPr>
          <w:vertAlign w:val="superscript"/>
        </w:rPr>
        <w:t>®</w:t>
      </w:r>
      <w:r w:rsidRPr="00ED60CC">
        <w:t>)</w:t>
      </w:r>
      <w:r w:rsidR="00450080" w:rsidRPr="00ED60CC">
        <w:t xml:space="preserve"> in the form of 40 mg</w:t>
      </w:r>
      <w:r w:rsidR="00BE538F" w:rsidRPr="00ED60CC">
        <w:t xml:space="preserve"> in </w:t>
      </w:r>
      <w:r w:rsidR="00450080" w:rsidRPr="00ED60CC">
        <w:t xml:space="preserve">0.8 mL pre-filled </w:t>
      </w:r>
      <w:r w:rsidR="000913C5" w:rsidRPr="00ED60CC">
        <w:t xml:space="preserve">syringe </w:t>
      </w:r>
      <w:r w:rsidR="00C9581A" w:rsidRPr="00ED60CC">
        <w:t>(</w:t>
      </w:r>
      <w:r w:rsidR="000913C5" w:rsidRPr="00ED60CC">
        <w:t>PFS</w:t>
      </w:r>
      <w:r w:rsidR="00C9581A" w:rsidRPr="00ED60CC">
        <w:t>)</w:t>
      </w:r>
      <w:r w:rsidR="00A94926" w:rsidRPr="00ED60CC">
        <w:t>,</w:t>
      </w:r>
      <w:r w:rsidR="00C9581A" w:rsidRPr="00ED60CC">
        <w:t xml:space="preserve"> pre-filled</w:t>
      </w:r>
      <w:r w:rsidR="00A94926" w:rsidRPr="00ED60CC">
        <w:t xml:space="preserve"> </w:t>
      </w:r>
      <w:r w:rsidR="000913C5" w:rsidRPr="00ED60CC">
        <w:t xml:space="preserve">pen </w:t>
      </w:r>
      <w:r w:rsidR="00C9581A" w:rsidRPr="00ED60CC">
        <w:t>(</w:t>
      </w:r>
      <w:r w:rsidR="000913C5" w:rsidRPr="00ED60CC">
        <w:t>PFP</w:t>
      </w:r>
      <w:r w:rsidR="00C9581A" w:rsidRPr="00ED60CC">
        <w:t>)</w:t>
      </w:r>
      <w:r w:rsidR="00A94926" w:rsidRPr="00ED60CC">
        <w:t xml:space="preserve"> and vial</w:t>
      </w:r>
      <w:r w:rsidR="00343EB5" w:rsidRPr="00ED60CC">
        <w:t>.</w:t>
      </w:r>
    </w:p>
    <w:p w:rsidR="004F2BD2" w:rsidRPr="00ED60CC" w:rsidRDefault="004F2BD2" w:rsidP="003C0410">
      <w:pPr>
        <w:pStyle w:val="2-SectionHeading"/>
      </w:pPr>
      <w:r w:rsidRPr="00ED60CC">
        <w:t xml:space="preserve">Background </w:t>
      </w:r>
    </w:p>
    <w:p w:rsidR="004F2BD2" w:rsidRPr="00ED60CC" w:rsidRDefault="004F2BD2" w:rsidP="00180D0B">
      <w:pPr>
        <w:pStyle w:val="4-SubsectionHeading"/>
        <w:rPr>
          <w:rFonts w:eastAsiaTheme="minorHAnsi"/>
        </w:rPr>
      </w:pPr>
      <w:r w:rsidRPr="00ED60CC">
        <w:rPr>
          <w:rFonts w:eastAsiaTheme="minorHAnsi"/>
        </w:rPr>
        <w:t>Registration status</w:t>
      </w:r>
    </w:p>
    <w:p w:rsidR="004F2BD2" w:rsidRPr="00ED60CC" w:rsidRDefault="00AD3663" w:rsidP="003C0410">
      <w:pPr>
        <w:pStyle w:val="3-BodyText"/>
        <w:rPr>
          <w:b/>
        </w:rPr>
      </w:pPr>
      <w:r w:rsidRPr="00ED60CC">
        <w:t>Idacio</w:t>
      </w:r>
      <w:r w:rsidR="004F2BD2" w:rsidRPr="00ED60CC">
        <w:t xml:space="preserve"> was TGA approved on </w:t>
      </w:r>
      <w:r w:rsidR="00A94926" w:rsidRPr="00ED60CC">
        <w:t>17</w:t>
      </w:r>
      <w:r w:rsidR="004F2BD2" w:rsidRPr="00ED60CC">
        <w:t xml:space="preserve"> </w:t>
      </w:r>
      <w:r w:rsidR="00A94926" w:rsidRPr="00ED60CC">
        <w:t>June</w:t>
      </w:r>
      <w:r w:rsidR="004F2BD2" w:rsidRPr="00ED60CC">
        <w:t xml:space="preserve"> 20</w:t>
      </w:r>
      <w:r w:rsidR="00A94926" w:rsidRPr="00ED60CC">
        <w:t>20</w:t>
      </w:r>
      <w:r w:rsidR="004F2BD2" w:rsidRPr="00ED60CC">
        <w:t>, and was determined to be a biosimilar to the reference brand Humira</w:t>
      </w:r>
      <w:r w:rsidR="00406526" w:rsidRPr="00ED60CC">
        <w:rPr>
          <w:vertAlign w:val="superscript"/>
        </w:rPr>
        <w:t>®</w:t>
      </w:r>
      <w:r w:rsidR="004F2BD2" w:rsidRPr="00ED60CC">
        <w:t>.</w:t>
      </w:r>
    </w:p>
    <w:p w:rsidR="004F2BD2" w:rsidRPr="00ED60CC" w:rsidRDefault="006B3A27" w:rsidP="003C0410">
      <w:pPr>
        <w:pStyle w:val="4-SubsectionHeading"/>
      </w:pPr>
      <w:r w:rsidRPr="00ED60CC">
        <w:t xml:space="preserve">Previous </w:t>
      </w:r>
      <w:r w:rsidR="004F2BD2" w:rsidRPr="00ED60CC">
        <w:t>PBAC consideration</w:t>
      </w:r>
    </w:p>
    <w:p w:rsidR="00C87B88" w:rsidRPr="00ED60CC" w:rsidRDefault="0036510C" w:rsidP="00C87B88">
      <w:pPr>
        <w:pStyle w:val="3-BodyText"/>
        <w:rPr>
          <w:b/>
        </w:rPr>
      </w:pPr>
      <w:r w:rsidRPr="00ED60CC">
        <w:t xml:space="preserve">Idacio has not previously been considered by the PBAC. </w:t>
      </w:r>
    </w:p>
    <w:p w:rsidR="004F2BD2" w:rsidRPr="00ED60CC" w:rsidRDefault="001B71F2" w:rsidP="003C0410">
      <w:pPr>
        <w:pStyle w:val="3-BodyText"/>
        <w:rPr>
          <w:b/>
        </w:rPr>
      </w:pPr>
      <w:r w:rsidRPr="00ED60CC">
        <w:lastRenderedPageBreak/>
        <w:t>T</w:t>
      </w:r>
      <w:r w:rsidR="004F2BD2" w:rsidRPr="00ED60CC">
        <w:t xml:space="preserve">he PBAC </w:t>
      </w:r>
      <w:r w:rsidRPr="00ED60CC">
        <w:t xml:space="preserve">has </w:t>
      </w:r>
      <w:r w:rsidR="004F2BD2" w:rsidRPr="00ED60CC">
        <w:t>recommended other biosimilar brands of adalimumab,</w:t>
      </w:r>
      <w:r w:rsidRPr="00ED60CC">
        <w:t xml:space="preserve"> including</w:t>
      </w:r>
      <w:r w:rsidR="004F2BD2" w:rsidRPr="00ED60CC">
        <w:t xml:space="preserve"> </w:t>
      </w:r>
      <w:r w:rsidR="008679AD" w:rsidRPr="00ED60CC">
        <w:t>Amgevita</w:t>
      </w:r>
      <w:r w:rsidR="008679AD" w:rsidRPr="00ED60CC">
        <w:rPr>
          <w:vertAlign w:val="superscript"/>
        </w:rPr>
        <w:t xml:space="preserve">® </w:t>
      </w:r>
      <w:r w:rsidR="008679AD" w:rsidRPr="00ED60CC">
        <w:t xml:space="preserve">(PFS and PFP), </w:t>
      </w:r>
      <w:r w:rsidR="004F2BD2" w:rsidRPr="00ED60CC">
        <w:t>Hadlima</w:t>
      </w:r>
      <w:r w:rsidR="00AD3663" w:rsidRPr="00ED60CC">
        <w:rPr>
          <w:vertAlign w:val="superscript"/>
        </w:rPr>
        <w:t>®</w:t>
      </w:r>
      <w:r w:rsidR="004F2BD2" w:rsidRPr="00ED60CC">
        <w:t xml:space="preserve"> </w:t>
      </w:r>
      <w:r w:rsidR="008679AD" w:rsidRPr="00ED60CC">
        <w:t>(PFS and cartridges)</w:t>
      </w:r>
      <w:r w:rsidR="002A30C9" w:rsidRPr="00ED60CC">
        <w:t xml:space="preserve"> </w:t>
      </w:r>
      <w:r w:rsidR="0036510C" w:rsidRPr="00ED60CC">
        <w:t xml:space="preserve">in July 2018 </w:t>
      </w:r>
      <w:r w:rsidRPr="00ED60CC">
        <w:t xml:space="preserve">and </w:t>
      </w:r>
      <w:r w:rsidR="00AD3663" w:rsidRPr="00ED60CC">
        <w:t>Hyrimoz</w:t>
      </w:r>
      <w:r w:rsidR="00AD3663" w:rsidRPr="00ED60CC">
        <w:rPr>
          <w:vertAlign w:val="superscript"/>
        </w:rPr>
        <w:t>®</w:t>
      </w:r>
      <w:r w:rsidRPr="00ED60CC">
        <w:t xml:space="preserve"> (</w:t>
      </w:r>
      <w:r w:rsidR="008679AD" w:rsidRPr="00ED60CC">
        <w:t>PFS and PFP</w:t>
      </w:r>
      <w:r w:rsidRPr="00ED60CC">
        <w:t>)</w:t>
      </w:r>
      <w:r w:rsidR="00C27A86" w:rsidRPr="00ED60CC">
        <w:t xml:space="preserve"> in March 2020</w:t>
      </w:r>
      <w:r w:rsidR="00AD3663" w:rsidRPr="00ED60CC">
        <w:t xml:space="preserve">. </w:t>
      </w:r>
      <w:r w:rsidR="004F2BD2" w:rsidRPr="00ED60CC">
        <w:t xml:space="preserve">As of </w:t>
      </w:r>
      <w:r w:rsidR="004653FA" w:rsidRPr="00ED60CC">
        <w:t xml:space="preserve">November </w:t>
      </w:r>
      <w:r w:rsidR="004F2BD2" w:rsidRPr="00ED60CC">
        <w:t xml:space="preserve">2020, </w:t>
      </w:r>
      <w:r w:rsidR="00AD3663" w:rsidRPr="00ED60CC">
        <w:t>none</w:t>
      </w:r>
      <w:r w:rsidR="004F2BD2" w:rsidRPr="00ED60CC">
        <w:t xml:space="preserve"> of these brands </w:t>
      </w:r>
      <w:r w:rsidR="00093813" w:rsidRPr="00ED60CC">
        <w:t xml:space="preserve">were </w:t>
      </w:r>
      <w:r w:rsidR="004F2BD2" w:rsidRPr="00ED60CC">
        <w:t>listed on the PBS.</w:t>
      </w:r>
    </w:p>
    <w:p w:rsidR="003648D5" w:rsidRPr="00ED60CC" w:rsidRDefault="002A30C9" w:rsidP="003648D5">
      <w:pPr>
        <w:pStyle w:val="3-BodyText"/>
        <w:rPr>
          <w:b/>
        </w:rPr>
      </w:pPr>
      <w:r w:rsidRPr="00ED60CC">
        <w:t>T</w:t>
      </w:r>
      <w:r w:rsidR="003648D5" w:rsidRPr="00ED60CC">
        <w:t xml:space="preserve">he PBAC recommended the listing of a </w:t>
      </w:r>
      <w:r w:rsidR="008679AD" w:rsidRPr="00ED60CC">
        <w:t xml:space="preserve">vial </w:t>
      </w:r>
      <w:r w:rsidR="003648D5" w:rsidRPr="00ED60CC">
        <w:t>form of Humira</w:t>
      </w:r>
      <w:r w:rsidRPr="00ED60CC">
        <w:t xml:space="preserve"> in July 2017</w:t>
      </w:r>
      <w:r w:rsidR="00654B01" w:rsidRPr="00ED60CC">
        <w:t xml:space="preserve"> </w:t>
      </w:r>
      <w:r w:rsidR="00BF55B0" w:rsidRPr="00ED60CC">
        <w:t xml:space="preserve">with </w:t>
      </w:r>
      <w:r w:rsidR="00654B01" w:rsidRPr="00ED60CC">
        <w:t xml:space="preserve">the same </w:t>
      </w:r>
      <w:r w:rsidR="00BF55B0" w:rsidRPr="00ED60CC">
        <w:t xml:space="preserve">restrictions as the listed forms of </w:t>
      </w:r>
      <w:r w:rsidR="00654B01" w:rsidRPr="00ED60CC">
        <w:t xml:space="preserve">Humira </w:t>
      </w:r>
      <w:r w:rsidR="00BF55B0" w:rsidRPr="00ED60CC">
        <w:t xml:space="preserve">cartridge and PFS </w:t>
      </w:r>
      <w:r w:rsidR="00654B01" w:rsidRPr="00ED60CC">
        <w:t>at the time</w:t>
      </w:r>
      <w:r w:rsidR="003648D5" w:rsidRPr="00ED60CC">
        <w:t>.</w:t>
      </w:r>
      <w:r w:rsidR="00AD4C19" w:rsidRPr="00ED60CC">
        <w:t xml:space="preserve"> The vial form of adalimumab has not been listed on the PBS.</w:t>
      </w:r>
    </w:p>
    <w:p w:rsidR="00330092" w:rsidRPr="00ED60CC" w:rsidRDefault="00330092" w:rsidP="00C008CA">
      <w:pPr>
        <w:pStyle w:val="ListParagraph"/>
        <w:ind w:left="0" w:firstLine="0"/>
        <w:jc w:val="both"/>
        <w:rPr>
          <w:i/>
        </w:rPr>
      </w:pPr>
      <w:r w:rsidRPr="00ED60CC">
        <w:rPr>
          <w:i/>
        </w:rPr>
        <w:t xml:space="preserve">For more detail on PBAC’s view, see section </w:t>
      </w:r>
      <w:r w:rsidR="00A67C4D" w:rsidRPr="00ED60CC">
        <w:rPr>
          <w:i/>
        </w:rPr>
        <w:t>6</w:t>
      </w:r>
      <w:r w:rsidRPr="00ED60CC">
        <w:rPr>
          <w:i/>
        </w:rPr>
        <w:t xml:space="preserve"> PBAC outcome.</w:t>
      </w:r>
    </w:p>
    <w:p w:rsidR="009F2AE4" w:rsidRPr="00ED60CC" w:rsidRDefault="009F2AE4" w:rsidP="003C0410">
      <w:pPr>
        <w:pStyle w:val="2-SectionHeading"/>
      </w:pPr>
      <w:r w:rsidRPr="00ED60CC">
        <w:t>Requested listing</w:t>
      </w:r>
    </w:p>
    <w:p w:rsidR="003E4A4E" w:rsidRPr="00ED60CC" w:rsidRDefault="009F2AE4" w:rsidP="003C0410">
      <w:pPr>
        <w:pStyle w:val="3-BodyText"/>
      </w:pPr>
      <w:r w:rsidRPr="00ED60CC">
        <w:t xml:space="preserve">The submission requested </w:t>
      </w:r>
      <w:r w:rsidR="00342DF8" w:rsidRPr="00ED60CC">
        <w:t>Section 85</w:t>
      </w:r>
      <w:r w:rsidR="00854B75" w:rsidRPr="00ED60CC">
        <w:t xml:space="preserve"> and Section 100 </w:t>
      </w:r>
      <w:r w:rsidR="0036655D" w:rsidRPr="00ED60CC">
        <w:t>(Highly Specialised Drug</w:t>
      </w:r>
      <w:r w:rsidR="00CA608D" w:rsidRPr="00ED60CC">
        <w:t xml:space="preserve"> Program</w:t>
      </w:r>
      <w:r w:rsidR="0036655D" w:rsidRPr="00ED60CC">
        <w:t xml:space="preserve">) </w:t>
      </w:r>
      <w:r w:rsidR="00854B75" w:rsidRPr="00ED60CC">
        <w:t>listings</w:t>
      </w:r>
      <w:r w:rsidR="00342DF8" w:rsidRPr="00ED60CC">
        <w:t xml:space="preserve"> of </w:t>
      </w:r>
      <w:r w:rsidR="00AD3663" w:rsidRPr="00ED60CC">
        <w:t>Idacio</w:t>
      </w:r>
      <w:r w:rsidRPr="00ED60CC">
        <w:t xml:space="preserve"> </w:t>
      </w:r>
      <w:r w:rsidR="000913C5" w:rsidRPr="00ED60CC">
        <w:t xml:space="preserve">PFS and PFP </w:t>
      </w:r>
      <w:r w:rsidR="00DB5D68" w:rsidRPr="00ED60CC">
        <w:t xml:space="preserve">for all indications </w:t>
      </w:r>
      <w:r w:rsidR="001C491D" w:rsidRPr="00ED60CC">
        <w:t xml:space="preserve">for which Humira is PBS-listed, </w:t>
      </w:r>
      <w:r w:rsidR="00DB5D68" w:rsidRPr="00ED60CC">
        <w:t xml:space="preserve">except </w:t>
      </w:r>
      <w:r w:rsidR="001C491D" w:rsidRPr="00ED60CC">
        <w:t xml:space="preserve">those for </w:t>
      </w:r>
      <w:r w:rsidR="009F7C12" w:rsidRPr="00ED60CC">
        <w:t xml:space="preserve">paediatric </w:t>
      </w:r>
      <w:r w:rsidR="0043131E" w:rsidRPr="00ED60CC">
        <w:t>patients with certain conditions</w:t>
      </w:r>
      <w:r w:rsidR="009F7C12" w:rsidRPr="00ED60CC">
        <w:t xml:space="preserve"> </w:t>
      </w:r>
      <w:r w:rsidR="003E4A4E" w:rsidRPr="00ED60CC">
        <w:t>which require dosing of less than 40 mg</w:t>
      </w:r>
      <w:r w:rsidR="00AD3663" w:rsidRPr="00ED60CC">
        <w:t xml:space="preserve"> (see paragraph 3.3</w:t>
      </w:r>
      <w:r w:rsidR="00097473" w:rsidRPr="00ED60CC">
        <w:t>)</w:t>
      </w:r>
      <w:r w:rsidR="003E4A4E" w:rsidRPr="00ED60CC">
        <w:t>.</w:t>
      </w:r>
      <w:r w:rsidR="00854B75" w:rsidRPr="00ED60CC">
        <w:t xml:space="preserve"> The requested listings are the same as those </w:t>
      </w:r>
      <w:r w:rsidR="00352D91" w:rsidRPr="00ED60CC">
        <w:t>recommended for</w:t>
      </w:r>
      <w:r w:rsidR="00854B75" w:rsidRPr="00ED60CC">
        <w:t xml:space="preserve"> Amgevita and Hyrimoz.</w:t>
      </w:r>
    </w:p>
    <w:p w:rsidR="002B548F" w:rsidRPr="00ED60CC" w:rsidRDefault="002B548F" w:rsidP="003C0410">
      <w:pPr>
        <w:pStyle w:val="3-BodyText"/>
      </w:pPr>
      <w:r w:rsidRPr="00ED60CC">
        <w:t xml:space="preserve">The proposed PBS indications for </w:t>
      </w:r>
      <w:r w:rsidR="00AD3663" w:rsidRPr="00ED60CC">
        <w:t>Idacio</w:t>
      </w:r>
      <w:r w:rsidRPr="00ED60CC">
        <w:t xml:space="preserve"> </w:t>
      </w:r>
      <w:r w:rsidR="008D6D5B" w:rsidRPr="00ED60CC">
        <w:t>are</w:t>
      </w:r>
      <w:r w:rsidR="00D75321" w:rsidRPr="00ED60CC">
        <w:t>:</w:t>
      </w:r>
    </w:p>
    <w:p w:rsidR="002B548F" w:rsidRPr="00ED60CC" w:rsidRDefault="002B548F" w:rsidP="002915BB">
      <w:pPr>
        <w:pStyle w:val="ListParagraph"/>
        <w:widowControl w:val="0"/>
        <w:numPr>
          <w:ilvl w:val="1"/>
          <w:numId w:val="2"/>
        </w:numPr>
        <w:ind w:left="1077" w:hanging="357"/>
        <w:jc w:val="both"/>
        <w:rPr>
          <w:rFonts w:cstheme="minorBidi"/>
          <w:szCs w:val="22"/>
        </w:rPr>
      </w:pPr>
      <w:r w:rsidRPr="00ED60CC">
        <w:rPr>
          <w:rFonts w:cstheme="minorBidi"/>
          <w:szCs w:val="22"/>
        </w:rPr>
        <w:t xml:space="preserve">Severe </w:t>
      </w:r>
      <w:r w:rsidR="00D75321" w:rsidRPr="00ED60CC">
        <w:rPr>
          <w:rFonts w:cstheme="minorBidi"/>
          <w:szCs w:val="22"/>
        </w:rPr>
        <w:t>Crohn disease</w:t>
      </w:r>
    </w:p>
    <w:p w:rsidR="002B548F" w:rsidRPr="00ED60CC" w:rsidRDefault="002B548F" w:rsidP="002915BB">
      <w:pPr>
        <w:pStyle w:val="ListParagraph"/>
        <w:widowControl w:val="0"/>
        <w:numPr>
          <w:ilvl w:val="1"/>
          <w:numId w:val="2"/>
        </w:numPr>
        <w:ind w:left="1077" w:hanging="357"/>
        <w:jc w:val="both"/>
        <w:rPr>
          <w:rFonts w:cstheme="minorBidi"/>
          <w:szCs w:val="22"/>
        </w:rPr>
      </w:pPr>
      <w:r w:rsidRPr="00ED60CC">
        <w:rPr>
          <w:rFonts w:cstheme="minorBidi"/>
          <w:szCs w:val="22"/>
        </w:rPr>
        <w:t>Moderate to severe u</w:t>
      </w:r>
      <w:r w:rsidR="00D75321" w:rsidRPr="00ED60CC">
        <w:rPr>
          <w:rFonts w:cstheme="minorBidi"/>
          <w:szCs w:val="22"/>
        </w:rPr>
        <w:t>lcerative colitis</w:t>
      </w:r>
    </w:p>
    <w:p w:rsidR="002B548F" w:rsidRPr="00ED60CC" w:rsidRDefault="002B548F" w:rsidP="002915BB">
      <w:pPr>
        <w:pStyle w:val="ListParagraph"/>
        <w:widowControl w:val="0"/>
        <w:numPr>
          <w:ilvl w:val="1"/>
          <w:numId w:val="2"/>
        </w:numPr>
        <w:ind w:left="1077" w:hanging="357"/>
        <w:jc w:val="both"/>
        <w:rPr>
          <w:rFonts w:cstheme="minorBidi"/>
          <w:szCs w:val="22"/>
        </w:rPr>
      </w:pPr>
      <w:r w:rsidRPr="00ED60CC">
        <w:rPr>
          <w:rFonts w:cstheme="minorBidi"/>
          <w:szCs w:val="22"/>
        </w:rPr>
        <w:lastRenderedPageBreak/>
        <w:t>Severe activ</w:t>
      </w:r>
      <w:r w:rsidR="00D75321" w:rsidRPr="00ED60CC">
        <w:rPr>
          <w:rFonts w:cstheme="minorBidi"/>
          <w:szCs w:val="22"/>
        </w:rPr>
        <w:t>e juvenile idiopathic arthritis</w:t>
      </w:r>
    </w:p>
    <w:p w:rsidR="002B548F" w:rsidRPr="00ED60CC" w:rsidRDefault="002B548F" w:rsidP="002915BB">
      <w:pPr>
        <w:pStyle w:val="ListParagraph"/>
        <w:widowControl w:val="0"/>
        <w:numPr>
          <w:ilvl w:val="1"/>
          <w:numId w:val="2"/>
        </w:numPr>
        <w:ind w:left="1077" w:hanging="357"/>
        <w:jc w:val="both"/>
        <w:rPr>
          <w:rFonts w:cstheme="minorBidi"/>
          <w:szCs w:val="22"/>
        </w:rPr>
      </w:pPr>
      <w:r w:rsidRPr="00ED60CC">
        <w:rPr>
          <w:rFonts w:cstheme="minorBidi"/>
          <w:szCs w:val="22"/>
        </w:rPr>
        <w:t xml:space="preserve">Complex refractory </w:t>
      </w:r>
      <w:r w:rsidR="00012251" w:rsidRPr="00ED60CC">
        <w:rPr>
          <w:rFonts w:cstheme="minorBidi"/>
          <w:szCs w:val="22"/>
        </w:rPr>
        <w:t>f</w:t>
      </w:r>
      <w:r w:rsidRPr="00ED60CC">
        <w:rPr>
          <w:rFonts w:cstheme="minorBidi"/>
          <w:szCs w:val="22"/>
        </w:rPr>
        <w:t>istulising Crohn disease</w:t>
      </w:r>
    </w:p>
    <w:p w:rsidR="002B548F" w:rsidRPr="00ED60CC" w:rsidRDefault="002B548F" w:rsidP="002915BB">
      <w:pPr>
        <w:pStyle w:val="ListParagraph"/>
        <w:widowControl w:val="0"/>
        <w:numPr>
          <w:ilvl w:val="1"/>
          <w:numId w:val="2"/>
        </w:numPr>
        <w:ind w:left="1077" w:hanging="357"/>
        <w:jc w:val="both"/>
        <w:rPr>
          <w:rFonts w:cstheme="minorBidi"/>
          <w:szCs w:val="22"/>
        </w:rPr>
      </w:pPr>
      <w:r w:rsidRPr="00ED60CC">
        <w:rPr>
          <w:rFonts w:cstheme="minorBidi"/>
          <w:szCs w:val="22"/>
        </w:rPr>
        <w:t>Sev</w:t>
      </w:r>
      <w:r w:rsidR="00C87B88" w:rsidRPr="00ED60CC">
        <w:rPr>
          <w:rFonts w:cstheme="minorBidi"/>
          <w:szCs w:val="22"/>
        </w:rPr>
        <w:t>ere active rheumatoid arthritis</w:t>
      </w:r>
    </w:p>
    <w:p w:rsidR="002B548F" w:rsidRPr="00ED60CC" w:rsidRDefault="00C87B88" w:rsidP="002915BB">
      <w:pPr>
        <w:pStyle w:val="ListParagraph"/>
        <w:widowControl w:val="0"/>
        <w:numPr>
          <w:ilvl w:val="1"/>
          <w:numId w:val="2"/>
        </w:numPr>
        <w:ind w:left="1077" w:hanging="357"/>
        <w:jc w:val="both"/>
        <w:rPr>
          <w:rFonts w:cstheme="minorBidi"/>
          <w:szCs w:val="22"/>
        </w:rPr>
      </w:pPr>
      <w:r w:rsidRPr="00ED60CC">
        <w:rPr>
          <w:rFonts w:cstheme="minorBidi"/>
          <w:szCs w:val="22"/>
        </w:rPr>
        <w:t>Severe psoriatic arthritis</w:t>
      </w:r>
    </w:p>
    <w:p w:rsidR="002B548F" w:rsidRPr="00ED60CC" w:rsidRDefault="002B548F" w:rsidP="002915BB">
      <w:pPr>
        <w:pStyle w:val="ListParagraph"/>
        <w:widowControl w:val="0"/>
        <w:numPr>
          <w:ilvl w:val="1"/>
          <w:numId w:val="2"/>
        </w:numPr>
        <w:ind w:left="1077" w:hanging="357"/>
        <w:jc w:val="both"/>
        <w:rPr>
          <w:rFonts w:cstheme="minorBidi"/>
          <w:szCs w:val="22"/>
        </w:rPr>
      </w:pPr>
      <w:r w:rsidRPr="00ED60CC">
        <w:rPr>
          <w:rFonts w:cstheme="minorBidi"/>
          <w:szCs w:val="22"/>
        </w:rPr>
        <w:t>Ankylosin</w:t>
      </w:r>
      <w:r w:rsidR="00C87B88" w:rsidRPr="00ED60CC">
        <w:rPr>
          <w:rFonts w:cstheme="minorBidi"/>
          <w:szCs w:val="22"/>
        </w:rPr>
        <w:t>g spondylitis</w:t>
      </w:r>
    </w:p>
    <w:p w:rsidR="002B548F" w:rsidRPr="00ED60CC" w:rsidRDefault="00C87B88" w:rsidP="002915BB">
      <w:pPr>
        <w:pStyle w:val="ListParagraph"/>
        <w:widowControl w:val="0"/>
        <w:numPr>
          <w:ilvl w:val="1"/>
          <w:numId w:val="2"/>
        </w:numPr>
        <w:ind w:left="1077" w:hanging="357"/>
        <w:jc w:val="both"/>
        <w:rPr>
          <w:rFonts w:cstheme="minorBidi"/>
          <w:szCs w:val="22"/>
        </w:rPr>
      </w:pPr>
      <w:r w:rsidRPr="00ED60CC">
        <w:rPr>
          <w:rFonts w:cstheme="minorBidi"/>
          <w:szCs w:val="22"/>
        </w:rPr>
        <w:t>Severe chronic plaque psoriasis</w:t>
      </w:r>
    </w:p>
    <w:p w:rsidR="00AA5375" w:rsidRPr="00ED60CC" w:rsidRDefault="006A4D00" w:rsidP="002915BB">
      <w:pPr>
        <w:pStyle w:val="ListParagraph"/>
        <w:widowControl w:val="0"/>
        <w:numPr>
          <w:ilvl w:val="1"/>
          <w:numId w:val="2"/>
        </w:numPr>
        <w:ind w:left="1077" w:hanging="357"/>
        <w:jc w:val="both"/>
        <w:rPr>
          <w:rFonts w:cstheme="minorBidi"/>
          <w:szCs w:val="22"/>
        </w:rPr>
      </w:pPr>
      <w:r w:rsidRPr="00ED60CC">
        <w:rPr>
          <w:rFonts w:cstheme="minorBidi"/>
          <w:szCs w:val="22"/>
        </w:rPr>
        <w:t>Moderate to severe hidradenitis suppurativa</w:t>
      </w:r>
      <w:r w:rsidR="00F430BF" w:rsidRPr="00ED60CC">
        <w:rPr>
          <w:rFonts w:cstheme="minorBidi"/>
          <w:szCs w:val="22"/>
        </w:rPr>
        <w:t>.</w:t>
      </w:r>
    </w:p>
    <w:p w:rsidR="00B828DE" w:rsidRPr="00ED60CC" w:rsidRDefault="0008622B" w:rsidP="00BE64F5">
      <w:pPr>
        <w:pStyle w:val="3-BodyText"/>
      </w:pPr>
      <w:r w:rsidRPr="00ED60CC">
        <w:t xml:space="preserve">The pre-PBAC response clarified that the submission also requested Section 85 and Section 100 (Highly Specialised Drug Program) listings of Idacio vial </w:t>
      </w:r>
      <w:r w:rsidR="00B828DE" w:rsidRPr="00ED60CC">
        <w:t xml:space="preserve">for the following </w:t>
      </w:r>
      <w:r w:rsidR="00BE64F5" w:rsidRPr="00ED60CC">
        <w:t>Humira indications for p</w:t>
      </w:r>
      <w:r w:rsidR="00BE64F5" w:rsidRPr="00ED60CC">
        <w:rPr>
          <w:rFonts w:cstheme="minorHAnsi"/>
          <w:szCs w:val="24"/>
        </w:rPr>
        <w:t xml:space="preserve">aediatric patients </w:t>
      </w:r>
      <w:r w:rsidR="00BE64F5" w:rsidRPr="00ED60CC">
        <w:t>with certain conditions which require dosing of less than 40 mg</w:t>
      </w:r>
      <w:r w:rsidR="00B828DE" w:rsidRPr="00ED60CC">
        <w:t>:</w:t>
      </w:r>
    </w:p>
    <w:p w:rsidR="00B828DE" w:rsidRPr="00ED60CC" w:rsidRDefault="00B828DE" w:rsidP="002915BB">
      <w:pPr>
        <w:pStyle w:val="ListParagraph"/>
        <w:widowControl w:val="0"/>
        <w:numPr>
          <w:ilvl w:val="1"/>
          <w:numId w:val="2"/>
        </w:numPr>
        <w:ind w:left="1077" w:hanging="357"/>
        <w:jc w:val="both"/>
        <w:rPr>
          <w:rFonts w:cstheme="minorBidi"/>
          <w:szCs w:val="22"/>
        </w:rPr>
      </w:pPr>
      <w:r w:rsidRPr="00ED60CC">
        <w:rPr>
          <w:rFonts w:cstheme="minorBidi"/>
          <w:szCs w:val="22"/>
        </w:rPr>
        <w:t>Paediatric patients with severe Crohn disease: treatment for patients weighing less than 40 kg (Humira PB</w:t>
      </w:r>
      <w:r w:rsidR="003C0410" w:rsidRPr="00ED60CC">
        <w:rPr>
          <w:rFonts w:cstheme="minorBidi"/>
          <w:szCs w:val="22"/>
        </w:rPr>
        <w:t>S codes 10389T, 10396E, 10422M)</w:t>
      </w:r>
    </w:p>
    <w:p w:rsidR="00B828DE" w:rsidRPr="00ED60CC" w:rsidRDefault="00B828DE" w:rsidP="002915BB">
      <w:pPr>
        <w:pStyle w:val="ListParagraph"/>
        <w:widowControl w:val="0"/>
        <w:numPr>
          <w:ilvl w:val="1"/>
          <w:numId w:val="2"/>
        </w:numPr>
        <w:ind w:left="1077" w:hanging="357"/>
        <w:jc w:val="both"/>
        <w:rPr>
          <w:rFonts w:cstheme="minorBidi"/>
          <w:szCs w:val="22"/>
        </w:rPr>
      </w:pPr>
      <w:r w:rsidRPr="00ED60CC">
        <w:rPr>
          <w:rFonts w:cstheme="minorBidi"/>
          <w:szCs w:val="22"/>
        </w:rPr>
        <w:t>Patients with moderate to severe ulcerative colitis: treatment for patients weighing less than 40 kg (H</w:t>
      </w:r>
      <w:r w:rsidR="003C0410" w:rsidRPr="00ED60CC">
        <w:rPr>
          <w:rFonts w:cstheme="minorBidi"/>
          <w:szCs w:val="22"/>
        </w:rPr>
        <w:t>umira PBS codes 11121H, 11127P)</w:t>
      </w:r>
    </w:p>
    <w:p w:rsidR="00181971" w:rsidRPr="00ED60CC" w:rsidRDefault="00B828DE" w:rsidP="002915BB">
      <w:pPr>
        <w:pStyle w:val="ListParagraph"/>
        <w:widowControl w:val="0"/>
        <w:numPr>
          <w:ilvl w:val="1"/>
          <w:numId w:val="2"/>
        </w:numPr>
        <w:ind w:left="1077" w:hanging="357"/>
        <w:jc w:val="both"/>
        <w:rPr>
          <w:rFonts w:cstheme="minorBidi"/>
          <w:szCs w:val="22"/>
        </w:rPr>
      </w:pPr>
      <w:r w:rsidRPr="00ED60CC">
        <w:rPr>
          <w:rFonts w:cstheme="minorBidi"/>
          <w:szCs w:val="22"/>
        </w:rPr>
        <w:t>Patients with severe juvenile idiopathic arthritis: treatment for patients weighing less than 30 kg (Humira PBS codes 96</w:t>
      </w:r>
      <w:r w:rsidR="003C0410" w:rsidRPr="00ED60CC">
        <w:rPr>
          <w:rFonts w:cstheme="minorBidi"/>
          <w:szCs w:val="22"/>
        </w:rPr>
        <w:t>61L, 9678J)</w:t>
      </w:r>
      <w:r w:rsidR="00F430BF" w:rsidRPr="00ED60CC">
        <w:rPr>
          <w:rFonts w:cstheme="minorBidi"/>
          <w:szCs w:val="22"/>
        </w:rPr>
        <w:t>.</w:t>
      </w:r>
    </w:p>
    <w:p w:rsidR="007226D8" w:rsidRPr="00ED60CC" w:rsidRDefault="008843E5" w:rsidP="0020267D">
      <w:pPr>
        <w:pStyle w:val="3-BodyText"/>
      </w:pPr>
      <w:r w:rsidRPr="00ED60CC">
        <w:lastRenderedPageBreak/>
        <w:t xml:space="preserve">The pre-PBAC response noted that the vial form </w:t>
      </w:r>
      <w:r w:rsidR="005026C3" w:rsidRPr="00ED60CC">
        <w:t xml:space="preserve">would provide </w:t>
      </w:r>
      <w:r w:rsidRPr="00ED60CC">
        <w:t xml:space="preserve">greater flexibility and choice for patients and clinicians, particularly for paediatric patients weighing less than 40 kg who require a low dose maintenance schedule of </w:t>
      </w:r>
      <w:r w:rsidR="005026C3" w:rsidRPr="00ED60CC">
        <w:t>10</w:t>
      </w:r>
      <w:r w:rsidR="007B0D44" w:rsidRPr="00ED60CC">
        <w:t xml:space="preserve"> </w:t>
      </w:r>
      <w:r w:rsidR="005026C3" w:rsidRPr="00ED60CC">
        <w:t xml:space="preserve">mg a fortnight of adalimumab. </w:t>
      </w:r>
      <w:r w:rsidR="009D5156" w:rsidRPr="00ED60CC">
        <w:t xml:space="preserve">The </w:t>
      </w:r>
      <w:r w:rsidR="00E96BBC" w:rsidRPr="00ED60CC">
        <w:t xml:space="preserve">approved Product Information (PI) for Idacio </w:t>
      </w:r>
      <w:r w:rsidR="009D5156" w:rsidRPr="00ED60CC">
        <w:t xml:space="preserve">states </w:t>
      </w:r>
      <w:r w:rsidR="00E96BBC" w:rsidRPr="00ED60CC">
        <w:t>that paediatric patients requiring a dose less than 40</w:t>
      </w:r>
      <w:r w:rsidR="003346C0" w:rsidRPr="00ED60CC">
        <w:t xml:space="preserve"> </w:t>
      </w:r>
      <w:r w:rsidR="00E96BBC" w:rsidRPr="00ED60CC">
        <w:t xml:space="preserve">mg should use the vial presentation of Idacio </w:t>
      </w:r>
      <w:r w:rsidR="009D5156" w:rsidRPr="00ED60CC">
        <w:t>and that healthcare providers should consider the risk of medication errors and the appropriateness of using the vial presentation for any dose less than 40</w:t>
      </w:r>
      <w:r w:rsidR="001F1023" w:rsidRPr="00ED60CC">
        <w:t> </w:t>
      </w:r>
      <w:r w:rsidR="009D5156" w:rsidRPr="00ED60CC">
        <w:t xml:space="preserve">mg </w:t>
      </w:r>
      <w:r w:rsidR="00E96BBC" w:rsidRPr="00ED60CC">
        <w:t>(PI, p3)</w:t>
      </w:r>
      <w:r w:rsidR="00ED60CC">
        <w:t xml:space="preserve">. </w:t>
      </w:r>
      <w:r w:rsidR="007226D8" w:rsidRPr="00ED60CC">
        <w:t xml:space="preserve">Humira is </w:t>
      </w:r>
      <w:r w:rsidR="00527559" w:rsidRPr="00ED60CC">
        <w:t xml:space="preserve">currently </w:t>
      </w:r>
      <w:r w:rsidR="009D5156" w:rsidRPr="00ED60CC">
        <w:t xml:space="preserve">available on the PBS as </w:t>
      </w:r>
      <w:r w:rsidR="00F35FEC" w:rsidRPr="00ED60CC">
        <w:t xml:space="preserve">PFS </w:t>
      </w:r>
      <w:r w:rsidR="007226D8" w:rsidRPr="00ED60CC">
        <w:t xml:space="preserve">and </w:t>
      </w:r>
      <w:r w:rsidR="00F35FEC" w:rsidRPr="00ED60CC">
        <w:t>PFP</w:t>
      </w:r>
      <w:r w:rsidR="009D5156" w:rsidRPr="00ED60CC">
        <w:t>, where there is a 20</w:t>
      </w:r>
      <w:r w:rsidR="001F1023" w:rsidRPr="00ED60CC">
        <w:t> </w:t>
      </w:r>
      <w:r w:rsidR="009D5156" w:rsidRPr="00ED60CC">
        <w:t>mg/0.4</w:t>
      </w:r>
      <w:r w:rsidR="001F1023" w:rsidRPr="00ED60CC">
        <w:t> </w:t>
      </w:r>
      <w:r w:rsidR="009D5156" w:rsidRPr="00ED60CC">
        <w:t>mL PFS</w:t>
      </w:r>
      <w:r w:rsidR="000913C5" w:rsidRPr="00ED60CC">
        <w:t xml:space="preserve"> that</w:t>
      </w:r>
      <w:r w:rsidR="007226D8" w:rsidRPr="00ED60CC">
        <w:t xml:space="preserve"> caters for the paediatric indications. </w:t>
      </w:r>
      <w:r w:rsidR="0020267D" w:rsidRPr="00ED60CC">
        <w:t>T</w:t>
      </w:r>
      <w:r w:rsidR="009D5156" w:rsidRPr="00ED60CC">
        <w:t xml:space="preserve">he PBAC </w:t>
      </w:r>
      <w:r w:rsidR="0020267D" w:rsidRPr="00ED60CC">
        <w:t xml:space="preserve">previously </w:t>
      </w:r>
      <w:r w:rsidR="009D5156" w:rsidRPr="00ED60CC">
        <w:t xml:space="preserve">considered that the evidence of a clinical need for a vial presentation of adalimumab was not convincing </w:t>
      </w:r>
      <w:r w:rsidR="0020267D" w:rsidRPr="00ED60CC">
        <w:t xml:space="preserve">when it was recommended in July 2017 </w:t>
      </w:r>
      <w:r w:rsidR="009D5156" w:rsidRPr="00ED60CC">
        <w:t>(paragraph 5.2, Humira Public Summary Document (PSD), July 2017 PBAC Meeting).</w:t>
      </w:r>
      <w:r w:rsidR="0020267D" w:rsidRPr="00ED60CC">
        <w:t xml:space="preserve"> </w:t>
      </w:r>
    </w:p>
    <w:p w:rsidR="00F02A30" w:rsidRPr="00ED60CC" w:rsidRDefault="008C7043" w:rsidP="006168F0">
      <w:pPr>
        <w:pStyle w:val="3-BodyText"/>
      </w:pPr>
      <w:r w:rsidRPr="00ED60CC">
        <w:rPr>
          <w:rFonts w:cstheme="minorHAnsi"/>
        </w:rPr>
        <w:t xml:space="preserve">The </w:t>
      </w:r>
      <w:r w:rsidR="00FA77B5" w:rsidRPr="00ED60CC">
        <w:rPr>
          <w:rFonts w:cstheme="minorHAnsi"/>
        </w:rPr>
        <w:t>minor submission stated that the sponsor intends to supply only the pack size</w:t>
      </w:r>
      <w:r w:rsidR="000D508A" w:rsidRPr="00ED60CC">
        <w:rPr>
          <w:rFonts w:cstheme="minorHAnsi"/>
        </w:rPr>
        <w:t>s</w:t>
      </w:r>
      <w:r w:rsidR="00FA77B5" w:rsidRPr="00ED60CC">
        <w:rPr>
          <w:rFonts w:cstheme="minorHAnsi"/>
        </w:rPr>
        <w:t xml:space="preserve"> of </w:t>
      </w:r>
      <w:r w:rsidR="000D508A" w:rsidRPr="00ED60CC">
        <w:rPr>
          <w:rFonts w:cstheme="minorHAnsi"/>
        </w:rPr>
        <w:t>two</w:t>
      </w:r>
      <w:r w:rsidR="00FA77B5" w:rsidRPr="00ED60CC">
        <w:rPr>
          <w:rFonts w:cstheme="minorHAnsi"/>
        </w:rPr>
        <w:t xml:space="preserve"> </w:t>
      </w:r>
      <w:r w:rsidR="007E20F0" w:rsidRPr="00ED60CC">
        <w:rPr>
          <w:rFonts w:cstheme="minorHAnsi"/>
        </w:rPr>
        <w:t>PFP/PFS</w:t>
      </w:r>
      <w:r w:rsidR="00C64303" w:rsidRPr="00ED60CC">
        <w:rPr>
          <w:rFonts w:cstheme="minorHAnsi"/>
        </w:rPr>
        <w:t xml:space="preserve"> and </w:t>
      </w:r>
      <w:r w:rsidR="000D508A" w:rsidRPr="00ED60CC">
        <w:rPr>
          <w:rFonts w:cstheme="minorHAnsi"/>
        </w:rPr>
        <w:t>one</w:t>
      </w:r>
      <w:r w:rsidR="00C64303" w:rsidRPr="00ED60CC">
        <w:rPr>
          <w:rFonts w:cstheme="minorHAnsi"/>
        </w:rPr>
        <w:t xml:space="preserve"> vial</w:t>
      </w:r>
      <w:r w:rsidRPr="00ED60CC">
        <w:rPr>
          <w:rFonts w:cstheme="minorHAnsi"/>
        </w:rPr>
        <w:t xml:space="preserve">. </w:t>
      </w:r>
      <w:r w:rsidR="00A12729" w:rsidRPr="00ED60CC">
        <w:rPr>
          <w:rFonts w:cstheme="minorHAnsi"/>
        </w:rPr>
        <w:t>The submission proposed that w</w:t>
      </w:r>
      <w:r w:rsidR="00FA77B5" w:rsidRPr="00ED60CC">
        <w:rPr>
          <w:rFonts w:cstheme="minorHAnsi"/>
        </w:rPr>
        <w:t xml:space="preserve">here </w:t>
      </w:r>
      <w:r w:rsidR="00C53A97" w:rsidRPr="00ED60CC">
        <w:rPr>
          <w:rFonts w:cstheme="minorHAnsi"/>
        </w:rPr>
        <w:t xml:space="preserve">Humira has </w:t>
      </w:r>
      <w:r w:rsidR="00FA77B5" w:rsidRPr="00ED60CC">
        <w:rPr>
          <w:rFonts w:cstheme="minorHAnsi"/>
        </w:rPr>
        <w:t xml:space="preserve">pack sizes of 4 and 6 </w:t>
      </w:r>
      <w:r w:rsidR="00C53A97" w:rsidRPr="00ED60CC">
        <w:rPr>
          <w:rFonts w:cstheme="minorHAnsi"/>
        </w:rPr>
        <w:t>listed</w:t>
      </w:r>
      <w:r w:rsidR="00FA77B5" w:rsidRPr="00ED60CC">
        <w:rPr>
          <w:rFonts w:cstheme="minorHAnsi"/>
        </w:rPr>
        <w:t xml:space="preserve"> for certain treatment phases and conditions, </w:t>
      </w:r>
      <w:r w:rsidR="00A12729" w:rsidRPr="00ED60CC">
        <w:rPr>
          <w:rFonts w:cstheme="minorHAnsi"/>
        </w:rPr>
        <w:t xml:space="preserve">the </w:t>
      </w:r>
      <w:r w:rsidR="00C53A97" w:rsidRPr="00ED60CC">
        <w:rPr>
          <w:rFonts w:cstheme="minorHAnsi"/>
        </w:rPr>
        <w:t xml:space="preserve">listing </w:t>
      </w:r>
      <w:r w:rsidR="00A12729" w:rsidRPr="00ED60CC">
        <w:rPr>
          <w:rFonts w:cstheme="minorHAnsi"/>
        </w:rPr>
        <w:t xml:space="preserve">for </w:t>
      </w:r>
      <w:r w:rsidR="00AD3663" w:rsidRPr="00ED60CC">
        <w:rPr>
          <w:rFonts w:cstheme="minorHAnsi"/>
        </w:rPr>
        <w:t>Idacio</w:t>
      </w:r>
      <w:r w:rsidR="00FA77B5" w:rsidRPr="00ED60CC">
        <w:rPr>
          <w:rFonts w:cstheme="minorHAnsi"/>
        </w:rPr>
        <w:t xml:space="preserve"> </w:t>
      </w:r>
      <w:r w:rsidR="00A12729" w:rsidRPr="00ED60CC">
        <w:rPr>
          <w:rFonts w:cstheme="minorHAnsi"/>
        </w:rPr>
        <w:t xml:space="preserve">should have </w:t>
      </w:r>
      <w:r w:rsidR="00FA77B5" w:rsidRPr="00ED60CC">
        <w:rPr>
          <w:rFonts w:cstheme="minorHAnsi"/>
        </w:rPr>
        <w:t xml:space="preserve">maximum quantities </w:t>
      </w:r>
      <w:r w:rsidR="001C78D1" w:rsidRPr="00ED60CC">
        <w:rPr>
          <w:rFonts w:cstheme="minorHAnsi"/>
        </w:rPr>
        <w:t xml:space="preserve">to provide the same number of injections </w:t>
      </w:r>
      <w:r w:rsidR="00FA77B5" w:rsidRPr="00ED60CC">
        <w:rPr>
          <w:rFonts w:cstheme="minorHAnsi"/>
        </w:rPr>
        <w:t xml:space="preserve">(i.e. maximum quantities of 2 and 3 </w:t>
      </w:r>
      <w:r w:rsidR="00605FA0" w:rsidRPr="00ED60CC">
        <w:rPr>
          <w:rFonts w:cstheme="minorHAnsi"/>
        </w:rPr>
        <w:t xml:space="preserve">for </w:t>
      </w:r>
      <w:r w:rsidR="00654B01" w:rsidRPr="00ED60CC">
        <w:rPr>
          <w:rFonts w:cstheme="minorHAnsi"/>
        </w:rPr>
        <w:t>PFP/PFS</w:t>
      </w:r>
      <w:r w:rsidR="00605FA0" w:rsidRPr="00ED60CC">
        <w:rPr>
          <w:rFonts w:cstheme="minorHAnsi"/>
        </w:rPr>
        <w:t xml:space="preserve"> </w:t>
      </w:r>
      <w:r w:rsidR="00FA77B5" w:rsidRPr="00ED60CC">
        <w:rPr>
          <w:rFonts w:cstheme="minorHAnsi"/>
        </w:rPr>
        <w:t xml:space="preserve">in place of </w:t>
      </w:r>
      <w:r w:rsidR="00A12729" w:rsidRPr="00ED60CC">
        <w:rPr>
          <w:rFonts w:cstheme="minorHAnsi"/>
        </w:rPr>
        <w:t xml:space="preserve">the </w:t>
      </w:r>
      <w:r w:rsidR="00FA77B5" w:rsidRPr="00ED60CC">
        <w:rPr>
          <w:rFonts w:cstheme="minorHAnsi"/>
        </w:rPr>
        <w:t>4</w:t>
      </w:r>
      <w:r w:rsidR="00A12729" w:rsidRPr="00ED60CC">
        <w:rPr>
          <w:rFonts w:cstheme="minorHAnsi"/>
        </w:rPr>
        <w:t>- and</w:t>
      </w:r>
      <w:r w:rsidR="003C0410" w:rsidRPr="00ED60CC">
        <w:rPr>
          <w:rFonts w:cstheme="minorHAnsi"/>
        </w:rPr>
        <w:t xml:space="preserve"> 6</w:t>
      </w:r>
      <w:r w:rsidR="00A12729" w:rsidRPr="00ED60CC">
        <w:rPr>
          <w:rFonts w:cstheme="minorHAnsi"/>
        </w:rPr>
        <w:t>-</w:t>
      </w:r>
      <w:r w:rsidR="003C0410" w:rsidRPr="00ED60CC">
        <w:rPr>
          <w:rFonts w:cstheme="minorHAnsi"/>
        </w:rPr>
        <w:t>pack</w:t>
      </w:r>
      <w:r w:rsidR="00A12729" w:rsidRPr="00ED60CC">
        <w:rPr>
          <w:rFonts w:cstheme="minorHAnsi"/>
        </w:rPr>
        <w:t>;</w:t>
      </w:r>
      <w:r w:rsidR="00605FA0" w:rsidRPr="00ED60CC">
        <w:t xml:space="preserve"> and maximum quantit</w:t>
      </w:r>
      <w:bookmarkStart w:id="0" w:name="_GoBack"/>
      <w:bookmarkEnd w:id="0"/>
      <w:r w:rsidR="00605FA0" w:rsidRPr="00ED60CC">
        <w:t xml:space="preserve">ies of 2, 4 and 6 for vials in place of </w:t>
      </w:r>
      <w:r w:rsidR="00D60DBD" w:rsidRPr="00ED60CC">
        <w:t xml:space="preserve">the </w:t>
      </w:r>
      <w:r w:rsidR="00605FA0" w:rsidRPr="00ED60CC">
        <w:t>2</w:t>
      </w:r>
      <w:r w:rsidR="00A12729" w:rsidRPr="00ED60CC">
        <w:t>-,</w:t>
      </w:r>
      <w:r w:rsidR="00605FA0" w:rsidRPr="00ED60CC">
        <w:t xml:space="preserve"> 4- and 6-</w:t>
      </w:r>
      <w:r w:rsidR="00605FA0" w:rsidRPr="00ED60CC">
        <w:lastRenderedPageBreak/>
        <w:t>pack</w:t>
      </w:r>
      <w:r w:rsidR="003C0410" w:rsidRPr="00ED60CC">
        <w:rPr>
          <w:rFonts w:cstheme="minorHAnsi"/>
        </w:rPr>
        <w:t>).</w:t>
      </w:r>
      <w:r w:rsidR="00D410BD" w:rsidRPr="00ED60CC">
        <w:rPr>
          <w:rFonts w:cstheme="minorHAnsi"/>
        </w:rPr>
        <w:t xml:space="preserve"> This </w:t>
      </w:r>
      <w:r w:rsidR="00352CCA" w:rsidRPr="00ED60CC">
        <w:rPr>
          <w:rFonts w:cstheme="minorHAnsi"/>
        </w:rPr>
        <w:t xml:space="preserve">approach </w:t>
      </w:r>
      <w:r w:rsidR="005E0865" w:rsidRPr="00ED60CC">
        <w:rPr>
          <w:rFonts w:cstheme="minorHAnsi"/>
        </w:rPr>
        <w:t>wa</w:t>
      </w:r>
      <w:r w:rsidR="005B67C3" w:rsidRPr="00ED60CC">
        <w:rPr>
          <w:rFonts w:cstheme="minorHAnsi"/>
        </w:rPr>
        <w:t>s</w:t>
      </w:r>
      <w:r w:rsidR="00D410BD" w:rsidRPr="00ED60CC">
        <w:rPr>
          <w:rFonts w:cstheme="minorHAnsi"/>
        </w:rPr>
        <w:t xml:space="preserve"> consistent with the PBAC’s recommendation for Hyrimoz</w:t>
      </w:r>
      <w:r w:rsidR="00D76A8C" w:rsidRPr="00ED60CC">
        <w:rPr>
          <w:rFonts w:cstheme="minorHAnsi"/>
        </w:rPr>
        <w:t xml:space="preserve"> </w:t>
      </w:r>
      <w:r w:rsidR="00F932EE" w:rsidRPr="00ED60CC">
        <w:rPr>
          <w:rFonts w:cstheme="minorHAnsi"/>
        </w:rPr>
        <w:t>(</w:t>
      </w:r>
      <w:r w:rsidR="003648D5" w:rsidRPr="00ED60CC">
        <w:rPr>
          <w:rFonts w:cstheme="minorHAnsi"/>
        </w:rPr>
        <w:t>paragraph</w:t>
      </w:r>
      <w:r w:rsidR="00F932EE" w:rsidRPr="00ED60CC">
        <w:rPr>
          <w:rFonts w:cstheme="minorHAnsi"/>
        </w:rPr>
        <w:t xml:space="preserve"> 6.4, </w:t>
      </w:r>
      <w:r w:rsidR="00942D2B" w:rsidRPr="00ED60CC">
        <w:rPr>
          <w:rFonts w:cstheme="minorHAnsi"/>
        </w:rPr>
        <w:t>Hyrimoz</w:t>
      </w:r>
      <w:r w:rsidR="00DF20A7" w:rsidRPr="00ED60CC">
        <w:rPr>
          <w:rFonts w:cstheme="minorHAnsi"/>
        </w:rPr>
        <w:t xml:space="preserve"> </w:t>
      </w:r>
      <w:r w:rsidR="00942D2B" w:rsidRPr="00ED60CC">
        <w:rPr>
          <w:rFonts w:cstheme="minorHAnsi"/>
        </w:rPr>
        <w:t xml:space="preserve">PSD, </w:t>
      </w:r>
      <w:r w:rsidR="00F932EE" w:rsidRPr="00ED60CC">
        <w:rPr>
          <w:rFonts w:cstheme="minorHAnsi"/>
        </w:rPr>
        <w:t>March 2020 P</w:t>
      </w:r>
      <w:r w:rsidR="00942D2B" w:rsidRPr="00ED60CC">
        <w:rPr>
          <w:rFonts w:cstheme="minorHAnsi"/>
        </w:rPr>
        <w:t>BAC Meeting)</w:t>
      </w:r>
      <w:r w:rsidR="00F932EE" w:rsidRPr="00ED60CC">
        <w:rPr>
          <w:rFonts w:cstheme="minorHAnsi"/>
        </w:rPr>
        <w:t>.</w:t>
      </w:r>
      <w:r w:rsidR="00D76A8C" w:rsidRPr="00ED60CC">
        <w:rPr>
          <w:rFonts w:cstheme="minorHAnsi"/>
        </w:rPr>
        <w:t xml:space="preserve"> </w:t>
      </w:r>
    </w:p>
    <w:p w:rsidR="00530992" w:rsidRPr="00ED60CC" w:rsidRDefault="00530992" w:rsidP="00530992">
      <w:pPr>
        <w:pStyle w:val="3-BodyText"/>
        <w:rPr>
          <w:rFonts w:cstheme="minorHAnsi"/>
        </w:rPr>
      </w:pPr>
      <w:r w:rsidRPr="00ED60CC">
        <w:rPr>
          <w:rFonts w:cstheme="minorHAnsi"/>
          <w:szCs w:val="24"/>
        </w:rPr>
        <w:t>The sponsor requested the following biosimilar uptake drivers to apply to the listing of Idacio:</w:t>
      </w:r>
    </w:p>
    <w:p w:rsidR="00530992" w:rsidRPr="00ED60CC" w:rsidRDefault="00530992" w:rsidP="002915BB">
      <w:pPr>
        <w:pStyle w:val="ListParagraph"/>
        <w:numPr>
          <w:ilvl w:val="0"/>
          <w:numId w:val="9"/>
        </w:numPr>
        <w:ind w:left="1077" w:hanging="357"/>
        <w:rPr>
          <w:rFonts w:cstheme="minorHAnsi"/>
        </w:rPr>
      </w:pPr>
      <w:r w:rsidRPr="00ED60CC">
        <w:rPr>
          <w:rFonts w:cstheme="minorHAnsi"/>
        </w:rPr>
        <w:t xml:space="preserve">Retain the </w:t>
      </w:r>
      <w:r w:rsidR="00806C3B" w:rsidRPr="00ED60CC">
        <w:rPr>
          <w:rFonts w:cstheme="minorHAnsi"/>
        </w:rPr>
        <w:t>I</w:t>
      </w:r>
      <w:r w:rsidRPr="00ED60CC">
        <w:rPr>
          <w:rFonts w:cstheme="minorHAnsi"/>
        </w:rPr>
        <w:t>nitial 1 and 2 restrictions as Authority Required (written) benefits</w:t>
      </w:r>
    </w:p>
    <w:p w:rsidR="00530992" w:rsidRPr="00ED60CC" w:rsidRDefault="00530992" w:rsidP="002915BB">
      <w:pPr>
        <w:pStyle w:val="ListParagraph"/>
        <w:numPr>
          <w:ilvl w:val="0"/>
          <w:numId w:val="9"/>
        </w:numPr>
        <w:ind w:left="1077" w:hanging="357"/>
        <w:rPr>
          <w:rFonts w:cstheme="minorHAnsi"/>
        </w:rPr>
      </w:pPr>
      <w:r w:rsidRPr="00ED60CC">
        <w:rPr>
          <w:rFonts w:cstheme="minorHAnsi"/>
        </w:rPr>
        <w:t>Split the continuation criteria into ‘first continuing’ and ‘subsequent continuing’, to allow for the subsequent continuing restriction for the biosimilar to be Streamlined Authority while</w:t>
      </w:r>
      <w:r w:rsidR="002B4CEF" w:rsidRPr="00ED60CC">
        <w:rPr>
          <w:rFonts w:cstheme="minorHAnsi"/>
        </w:rPr>
        <w:t xml:space="preserve"> the</w:t>
      </w:r>
      <w:r w:rsidRPr="00ED60CC">
        <w:rPr>
          <w:rFonts w:cstheme="minorHAnsi"/>
        </w:rPr>
        <w:t xml:space="preserve"> subsequent continuing restriction for the reference biological medicine will remain as a written authority and</w:t>
      </w:r>
    </w:p>
    <w:p w:rsidR="00530992" w:rsidRPr="00ED60CC" w:rsidRDefault="00530992" w:rsidP="002915BB">
      <w:pPr>
        <w:pStyle w:val="ListParagraph"/>
        <w:numPr>
          <w:ilvl w:val="0"/>
          <w:numId w:val="9"/>
        </w:numPr>
        <w:ind w:left="1077" w:hanging="357"/>
        <w:jc w:val="both"/>
        <w:rPr>
          <w:rFonts w:cstheme="minorHAnsi"/>
        </w:rPr>
      </w:pPr>
      <w:r w:rsidRPr="00ED60CC">
        <w:rPr>
          <w:rFonts w:cstheme="minorHAnsi"/>
        </w:rPr>
        <w:t xml:space="preserve">The application of the ‘Biosimilar prescribing policy’ administrative note encouraging the use of biosimilar brands for treatment </w:t>
      </w:r>
      <w:r w:rsidR="005B67C3" w:rsidRPr="00ED60CC">
        <w:rPr>
          <w:rFonts w:cstheme="minorHAnsi"/>
        </w:rPr>
        <w:t>naïve</w:t>
      </w:r>
      <w:r w:rsidRPr="00ED60CC">
        <w:rPr>
          <w:rFonts w:cstheme="minorHAnsi"/>
        </w:rPr>
        <w:t xml:space="preserve"> patients.</w:t>
      </w:r>
    </w:p>
    <w:p w:rsidR="00530992" w:rsidRPr="00ED60CC" w:rsidRDefault="00530992" w:rsidP="006168F0">
      <w:pPr>
        <w:pStyle w:val="3-BodyText"/>
        <w:numPr>
          <w:ilvl w:val="0"/>
          <w:numId w:val="0"/>
        </w:numPr>
        <w:ind w:left="720"/>
        <w:rPr>
          <w:rFonts w:cstheme="minorHAnsi"/>
        </w:rPr>
      </w:pPr>
      <w:r w:rsidRPr="00ED60CC">
        <w:rPr>
          <w:rFonts w:cstheme="minorHAnsi"/>
        </w:rPr>
        <w:t xml:space="preserve">The </w:t>
      </w:r>
      <w:r w:rsidR="00F35FEC" w:rsidRPr="00ED60CC">
        <w:rPr>
          <w:rFonts w:cstheme="minorHAnsi"/>
        </w:rPr>
        <w:t xml:space="preserve">biosimilar uptake drivers </w:t>
      </w:r>
      <w:r w:rsidRPr="00ED60CC">
        <w:rPr>
          <w:rFonts w:cstheme="minorHAnsi"/>
        </w:rPr>
        <w:t>request</w:t>
      </w:r>
      <w:r w:rsidR="00F35FEC" w:rsidRPr="00ED60CC">
        <w:rPr>
          <w:rFonts w:cstheme="minorHAnsi"/>
        </w:rPr>
        <w:t>ed</w:t>
      </w:r>
      <w:r w:rsidRPr="00ED60CC">
        <w:rPr>
          <w:rFonts w:cstheme="minorHAnsi"/>
        </w:rPr>
        <w:t xml:space="preserve"> are consistent with PBAC’s recommendation</w:t>
      </w:r>
      <w:r w:rsidR="00F35FEC" w:rsidRPr="00ED60CC">
        <w:rPr>
          <w:rFonts w:cstheme="minorHAnsi"/>
        </w:rPr>
        <w:t>s for</w:t>
      </w:r>
      <w:r w:rsidRPr="00ED60CC">
        <w:rPr>
          <w:rFonts w:cstheme="minorHAnsi"/>
        </w:rPr>
        <w:t xml:space="preserve"> Amgevita, Hadlima and Hyrimoz (Amgevita and Hadlima PSDs, July 2018 PBAC Meeting; Hyrimoz PSD, March 2020 PBAC Meeting). </w:t>
      </w:r>
    </w:p>
    <w:p w:rsidR="00D47630" w:rsidRPr="00ED60CC" w:rsidRDefault="00D47630">
      <w:pPr>
        <w:pStyle w:val="3-BodyText"/>
      </w:pPr>
      <w:r w:rsidRPr="00ED60CC">
        <w:rPr>
          <w:rFonts w:cstheme="minorHAnsi"/>
          <w:szCs w:val="24"/>
        </w:rPr>
        <w:t>The</w:t>
      </w:r>
      <w:r w:rsidRPr="00ED60CC">
        <w:t xml:space="preserve"> restriction </w:t>
      </w:r>
      <w:r w:rsidR="005E0865" w:rsidRPr="00ED60CC">
        <w:t>wa</w:t>
      </w:r>
      <w:r w:rsidR="005B67C3" w:rsidRPr="00ED60CC">
        <w:t>s</w:t>
      </w:r>
      <w:r w:rsidRPr="00ED60CC">
        <w:t xml:space="preserve"> considered to be complex because of the number of items and indications</w:t>
      </w:r>
      <w:r w:rsidR="00D44EE6" w:rsidRPr="00ED60CC">
        <w:t xml:space="preserve"> required for the listing.</w:t>
      </w:r>
    </w:p>
    <w:p w:rsidR="00596682" w:rsidRPr="00ED60CC" w:rsidRDefault="00596682" w:rsidP="00C008CA">
      <w:pPr>
        <w:pStyle w:val="3-BodyText"/>
      </w:pPr>
      <w:r w:rsidRPr="00ED60CC">
        <w:lastRenderedPageBreak/>
        <w:t xml:space="preserve">The submission requested that all dose forms of Idacio be ‘a’ flagged for pharmacy level substitution to the reference brand, Humira. </w:t>
      </w:r>
    </w:p>
    <w:p w:rsidR="00BD36D4" w:rsidRPr="00ED60CC" w:rsidRDefault="00330092" w:rsidP="00C008CA">
      <w:pPr>
        <w:pStyle w:val="ListParagraph"/>
        <w:ind w:left="0" w:firstLine="0"/>
        <w:jc w:val="both"/>
        <w:rPr>
          <w:i/>
        </w:rPr>
      </w:pPr>
      <w:r w:rsidRPr="00ED60CC">
        <w:rPr>
          <w:i/>
        </w:rPr>
        <w:t xml:space="preserve">For more detail on PBAC’s view, see section </w:t>
      </w:r>
      <w:r w:rsidR="00A67C4D" w:rsidRPr="00ED60CC">
        <w:rPr>
          <w:i/>
        </w:rPr>
        <w:t>6</w:t>
      </w:r>
      <w:r w:rsidRPr="00ED60CC">
        <w:rPr>
          <w:i/>
        </w:rPr>
        <w:t xml:space="preserve"> PBAC outcome.</w:t>
      </w:r>
    </w:p>
    <w:p w:rsidR="00831D2D" w:rsidRPr="00ED60CC" w:rsidRDefault="00831D2D" w:rsidP="00180D0B">
      <w:pPr>
        <w:pStyle w:val="2-SectionHeading"/>
        <w:rPr>
          <w:color w:val="FF0000"/>
        </w:rPr>
      </w:pPr>
      <w:r w:rsidRPr="00ED60CC">
        <w:t>Comparator</w:t>
      </w:r>
    </w:p>
    <w:p w:rsidR="00330092" w:rsidRPr="00ED60CC" w:rsidRDefault="00831D2D">
      <w:pPr>
        <w:pStyle w:val="3-BodyText"/>
      </w:pPr>
      <w:r w:rsidRPr="00ED60CC">
        <w:t>The minor submission nominated the reference brand of adalimumab, Humira, as the main comparator</w:t>
      </w:r>
      <w:r w:rsidR="0040394D" w:rsidRPr="00ED60CC">
        <w:t>. This</w:t>
      </w:r>
      <w:r w:rsidRPr="00ED60CC">
        <w:t xml:space="preserve"> was appropriate.</w:t>
      </w:r>
    </w:p>
    <w:p w:rsidR="00330092" w:rsidRPr="00ED60CC" w:rsidRDefault="00330092" w:rsidP="00C008CA">
      <w:pPr>
        <w:pStyle w:val="ListParagraph"/>
        <w:ind w:left="0" w:firstLine="0"/>
        <w:jc w:val="both"/>
        <w:rPr>
          <w:i/>
        </w:rPr>
      </w:pPr>
      <w:r w:rsidRPr="00ED60CC">
        <w:rPr>
          <w:i/>
        </w:rPr>
        <w:t xml:space="preserve">For more detail on PBAC’s view, see section </w:t>
      </w:r>
      <w:r w:rsidR="00A67C4D" w:rsidRPr="00ED60CC">
        <w:rPr>
          <w:i/>
        </w:rPr>
        <w:t>6</w:t>
      </w:r>
      <w:r w:rsidRPr="00ED60CC">
        <w:rPr>
          <w:i/>
        </w:rPr>
        <w:t xml:space="preserve"> PBAC outcome.</w:t>
      </w:r>
    </w:p>
    <w:p w:rsidR="00AD1922" w:rsidRPr="00ED60CC" w:rsidRDefault="00DB0651" w:rsidP="00180D0B">
      <w:pPr>
        <w:pStyle w:val="2-SectionHeading"/>
      </w:pPr>
      <w:r w:rsidRPr="00ED60CC">
        <w:t>Consideration of the evidence</w:t>
      </w:r>
    </w:p>
    <w:p w:rsidR="00541492" w:rsidRPr="00ED60CC" w:rsidRDefault="00541492" w:rsidP="00180D0B">
      <w:pPr>
        <w:pStyle w:val="4-SubsectionHeading"/>
      </w:pPr>
      <w:r w:rsidRPr="00ED60CC">
        <w:t>Sponsor hearing</w:t>
      </w:r>
    </w:p>
    <w:p w:rsidR="00541492" w:rsidRPr="00ED60CC" w:rsidRDefault="00541492" w:rsidP="00C008CA">
      <w:pPr>
        <w:pStyle w:val="3-BodyText"/>
      </w:pPr>
      <w:r w:rsidRPr="00ED60CC">
        <w:rPr>
          <w:rFonts w:cs="Arial"/>
          <w:bCs/>
        </w:rPr>
        <w:t>There was no hearing for this item as it was a minor submission.</w:t>
      </w:r>
    </w:p>
    <w:p w:rsidR="00541492" w:rsidRPr="00ED60CC" w:rsidRDefault="00541492">
      <w:pPr>
        <w:pStyle w:val="4-SubsectionHeading"/>
      </w:pPr>
      <w:r w:rsidRPr="00ED60CC">
        <w:t>Consumer comments</w:t>
      </w:r>
    </w:p>
    <w:p w:rsidR="00541492" w:rsidRPr="00ED60CC" w:rsidRDefault="004A4D70" w:rsidP="00C008CA">
      <w:pPr>
        <w:pStyle w:val="3-BodyText"/>
      </w:pPr>
      <w:r w:rsidRPr="00ED60CC">
        <w:rPr>
          <w:rFonts w:cs="Arial"/>
          <w:bCs/>
        </w:rPr>
        <w:t>The PBAC noted and welcomed the input from Crohn’s &amp; Colitis Australia (CCA) via the Consumer Comments facility on the PBS website. The PBAC specifically noted the advice that the use of injectable biosimilars</w:t>
      </w:r>
      <w:r w:rsidR="004B269E" w:rsidRPr="00ED60CC">
        <w:rPr>
          <w:rFonts w:cs="Arial"/>
          <w:bCs/>
        </w:rPr>
        <w:t xml:space="preserve"> that do not require infusion in a medical facility</w:t>
      </w:r>
      <w:r w:rsidRPr="00ED60CC">
        <w:rPr>
          <w:rFonts w:cs="Arial"/>
          <w:bCs/>
        </w:rPr>
        <w:t xml:space="preserve"> </w:t>
      </w:r>
      <w:r w:rsidR="007C1F33" w:rsidRPr="00ED60CC">
        <w:rPr>
          <w:rFonts w:cs="Arial"/>
          <w:bCs/>
        </w:rPr>
        <w:t xml:space="preserve">would </w:t>
      </w:r>
      <w:r w:rsidRPr="00ED60CC">
        <w:rPr>
          <w:rFonts w:cs="Arial"/>
          <w:bCs/>
        </w:rPr>
        <w:t>provide flexibility for consumers</w:t>
      </w:r>
      <w:r w:rsidR="007C1F33" w:rsidRPr="00ED60CC">
        <w:rPr>
          <w:rFonts w:cs="Arial"/>
          <w:bCs/>
        </w:rPr>
        <w:t xml:space="preserve"> </w:t>
      </w:r>
      <w:r w:rsidR="004B269E" w:rsidRPr="00ED60CC">
        <w:rPr>
          <w:rFonts w:cs="Arial"/>
          <w:bCs/>
        </w:rPr>
        <w:t xml:space="preserve">including reducing </w:t>
      </w:r>
      <w:r w:rsidRPr="00ED60CC">
        <w:rPr>
          <w:rFonts w:cs="Arial"/>
          <w:bCs/>
        </w:rPr>
        <w:t xml:space="preserve">absence from work </w:t>
      </w:r>
      <w:r w:rsidR="007C1F33" w:rsidRPr="00ED60CC">
        <w:rPr>
          <w:rFonts w:cs="Arial"/>
          <w:bCs/>
        </w:rPr>
        <w:t xml:space="preserve">and travel due to </w:t>
      </w:r>
      <w:r w:rsidRPr="00ED60CC">
        <w:rPr>
          <w:rFonts w:cs="Arial"/>
          <w:bCs/>
        </w:rPr>
        <w:t>treatmen</w:t>
      </w:r>
      <w:r w:rsidR="007C1F33" w:rsidRPr="00ED60CC">
        <w:rPr>
          <w:rFonts w:cs="Arial"/>
          <w:bCs/>
        </w:rPr>
        <w:t>t</w:t>
      </w:r>
      <w:r w:rsidRPr="00ED60CC">
        <w:rPr>
          <w:rFonts w:cs="Arial"/>
          <w:bCs/>
        </w:rPr>
        <w:t xml:space="preserve">. CCA </w:t>
      </w:r>
      <w:r w:rsidR="00B64199" w:rsidRPr="00ED60CC">
        <w:rPr>
          <w:rFonts w:cs="Arial"/>
          <w:bCs/>
        </w:rPr>
        <w:t>also noted</w:t>
      </w:r>
      <w:r w:rsidR="004B269E" w:rsidRPr="00ED60CC">
        <w:rPr>
          <w:rFonts w:cs="Arial"/>
          <w:bCs/>
        </w:rPr>
        <w:t xml:space="preserve"> that</w:t>
      </w:r>
      <w:r w:rsidR="00B64199" w:rsidRPr="00ED60CC">
        <w:rPr>
          <w:rFonts w:cs="Arial"/>
          <w:bCs/>
        </w:rPr>
        <w:t xml:space="preserve"> </w:t>
      </w:r>
      <w:r w:rsidRPr="00ED60CC">
        <w:rPr>
          <w:rFonts w:cs="Arial"/>
          <w:bCs/>
        </w:rPr>
        <w:t>consumer</w:t>
      </w:r>
      <w:r w:rsidR="004B269E" w:rsidRPr="00ED60CC">
        <w:rPr>
          <w:rFonts w:cs="Arial"/>
          <w:bCs/>
        </w:rPr>
        <w:t>s would welcome</w:t>
      </w:r>
      <w:r w:rsidRPr="00ED60CC">
        <w:rPr>
          <w:rFonts w:cs="Arial"/>
          <w:bCs/>
        </w:rPr>
        <w:t xml:space="preserve"> an alternative to Humira </w:t>
      </w:r>
      <w:r w:rsidR="004B269E" w:rsidRPr="00ED60CC">
        <w:rPr>
          <w:rFonts w:cs="Arial"/>
          <w:bCs/>
        </w:rPr>
        <w:t xml:space="preserve">that does </w:t>
      </w:r>
      <w:r w:rsidRPr="00ED60CC">
        <w:rPr>
          <w:rFonts w:cs="Arial"/>
          <w:bCs/>
        </w:rPr>
        <w:t>not have</w:t>
      </w:r>
      <w:r w:rsidR="004B269E" w:rsidRPr="00ED60CC">
        <w:rPr>
          <w:rFonts w:cs="Arial"/>
          <w:bCs/>
        </w:rPr>
        <w:t xml:space="preserve"> associated injection </w:t>
      </w:r>
      <w:r w:rsidR="004B269E" w:rsidRPr="00ED60CC">
        <w:rPr>
          <w:rFonts w:cs="Arial"/>
          <w:bCs/>
        </w:rPr>
        <w:lastRenderedPageBreak/>
        <w:t xml:space="preserve">site pain, which </w:t>
      </w:r>
      <w:r w:rsidRPr="00ED60CC">
        <w:rPr>
          <w:rFonts w:cs="Arial"/>
          <w:bCs/>
        </w:rPr>
        <w:t xml:space="preserve">may </w:t>
      </w:r>
      <w:r w:rsidR="004B269E" w:rsidRPr="00ED60CC">
        <w:rPr>
          <w:rFonts w:cs="Arial"/>
          <w:bCs/>
        </w:rPr>
        <w:t xml:space="preserve">also </w:t>
      </w:r>
      <w:r w:rsidRPr="00ED60CC">
        <w:rPr>
          <w:rFonts w:cs="Arial"/>
          <w:bCs/>
        </w:rPr>
        <w:t>increase treatment adherence for children. The PBAC noted that this advice was supportive of the evidence provided in the submission.</w:t>
      </w:r>
    </w:p>
    <w:p w:rsidR="0086397E" w:rsidRPr="00ED60CC" w:rsidRDefault="0086397E" w:rsidP="00180D0B">
      <w:pPr>
        <w:pStyle w:val="4-SubsectionHeading"/>
      </w:pPr>
      <w:r w:rsidRPr="00ED60CC">
        <w:t xml:space="preserve">Clinical trials </w:t>
      </w:r>
    </w:p>
    <w:p w:rsidR="00B7148B" w:rsidRPr="00ED60CC" w:rsidRDefault="0086397E" w:rsidP="003C0410">
      <w:pPr>
        <w:pStyle w:val="3Bodytext"/>
        <w:numPr>
          <w:ilvl w:val="1"/>
          <w:numId w:val="1"/>
        </w:numPr>
      </w:pPr>
      <w:r w:rsidRPr="00ED60CC">
        <w:t xml:space="preserve">As this was a minor </w:t>
      </w:r>
      <w:r w:rsidR="00840098" w:rsidRPr="00ED60CC">
        <w:t>submission</w:t>
      </w:r>
      <w:r w:rsidRPr="00ED60CC">
        <w:t xml:space="preserve">, no evaluation of the </w:t>
      </w:r>
      <w:r w:rsidR="00840098" w:rsidRPr="00ED60CC">
        <w:t>clinical</w:t>
      </w:r>
      <w:r w:rsidRPr="00ED60CC">
        <w:t xml:space="preserve"> evidence was undertaken. </w:t>
      </w:r>
    </w:p>
    <w:p w:rsidR="0096177E" w:rsidRPr="00ED60CC" w:rsidRDefault="0096177E" w:rsidP="003C0410">
      <w:pPr>
        <w:pStyle w:val="3Bodytext"/>
        <w:numPr>
          <w:ilvl w:val="1"/>
          <w:numId w:val="1"/>
        </w:numPr>
      </w:pPr>
      <w:r w:rsidRPr="00ED60CC">
        <w:t xml:space="preserve">Details of the studies presented in the submission are provided in the table below. </w:t>
      </w:r>
    </w:p>
    <w:p w:rsidR="00CC3384" w:rsidRPr="00ED60CC" w:rsidRDefault="00B7148B" w:rsidP="004F2BD2">
      <w:pPr>
        <w:rPr>
          <w:rFonts w:ascii="Arial Narrow" w:hAnsi="Arial Narrow" w:cstheme="minorHAnsi"/>
          <w:b/>
          <w:bCs/>
          <w:sz w:val="20"/>
          <w:szCs w:val="20"/>
        </w:rPr>
      </w:pPr>
      <w:r w:rsidRPr="00ED60CC">
        <w:rPr>
          <w:rFonts w:ascii="Arial Narrow" w:hAnsi="Arial Narrow" w:cstheme="minorHAnsi"/>
          <w:b/>
          <w:bCs/>
          <w:sz w:val="20"/>
          <w:szCs w:val="20"/>
        </w:rPr>
        <w:t>Table 1. Studies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4959"/>
        <w:gridCol w:w="1777"/>
      </w:tblGrid>
      <w:tr w:rsidR="0000754C" w:rsidRPr="00ED60CC" w:rsidTr="0000754C">
        <w:trPr>
          <w:cantSplit/>
          <w:trHeight w:val="539"/>
          <w:tblHeader/>
        </w:trPr>
        <w:tc>
          <w:tcPr>
            <w:tcW w:w="1198" w:type="pct"/>
          </w:tcPr>
          <w:p w:rsidR="0000754C" w:rsidRPr="00ED60CC" w:rsidRDefault="00CC3384" w:rsidP="008A7E79">
            <w:pPr>
              <w:pStyle w:val="NoSpacing"/>
              <w:spacing w:before="40" w:after="40"/>
              <w:rPr>
                <w:rFonts w:ascii="Arial Narrow" w:hAnsi="Arial Narrow" w:cs="Arial"/>
                <w:b/>
                <w:sz w:val="20"/>
                <w:szCs w:val="20"/>
              </w:rPr>
            </w:pPr>
            <w:r w:rsidRPr="00ED60CC">
              <w:rPr>
                <w:rFonts w:ascii="Arial Narrow" w:hAnsi="Arial Narrow" w:cs="Arial"/>
                <w:b/>
                <w:sz w:val="20"/>
                <w:szCs w:val="20"/>
              </w:rPr>
              <w:t>Trial ID (Full Study No.)</w:t>
            </w:r>
          </w:p>
        </w:tc>
        <w:tc>
          <w:tcPr>
            <w:tcW w:w="2799" w:type="pct"/>
          </w:tcPr>
          <w:p w:rsidR="00CC3384" w:rsidRPr="00ED60CC" w:rsidRDefault="00CC3384" w:rsidP="008A7E79">
            <w:pPr>
              <w:keepNext/>
              <w:spacing w:before="40" w:after="40"/>
              <w:rPr>
                <w:rFonts w:ascii="Arial Narrow" w:hAnsi="Arial Narrow" w:cs="Arial"/>
                <w:b/>
                <w:sz w:val="20"/>
                <w:szCs w:val="20"/>
              </w:rPr>
            </w:pPr>
            <w:r w:rsidRPr="00ED60CC">
              <w:rPr>
                <w:rFonts w:ascii="Arial Narrow" w:hAnsi="Arial Narrow" w:cs="Arial"/>
                <w:b/>
                <w:sz w:val="20"/>
                <w:szCs w:val="20"/>
              </w:rPr>
              <w:t xml:space="preserve">Protocol title/publication title </w:t>
            </w:r>
          </w:p>
        </w:tc>
        <w:tc>
          <w:tcPr>
            <w:tcW w:w="1003" w:type="pct"/>
          </w:tcPr>
          <w:p w:rsidR="0000754C" w:rsidRPr="00ED60CC" w:rsidRDefault="0000754C" w:rsidP="008A7E79">
            <w:pPr>
              <w:keepNext/>
              <w:spacing w:before="40" w:after="40"/>
              <w:rPr>
                <w:rFonts w:ascii="Arial Narrow" w:hAnsi="Arial Narrow" w:cs="Arial"/>
                <w:b/>
                <w:sz w:val="20"/>
                <w:szCs w:val="20"/>
              </w:rPr>
            </w:pPr>
            <w:r w:rsidRPr="00ED60CC">
              <w:rPr>
                <w:rFonts w:ascii="Arial Narrow" w:hAnsi="Arial Narrow" w:cs="Arial"/>
                <w:b/>
                <w:sz w:val="20"/>
                <w:szCs w:val="20"/>
              </w:rPr>
              <w:t>Publication citation</w:t>
            </w:r>
          </w:p>
        </w:tc>
      </w:tr>
      <w:tr w:rsidR="0000754C" w:rsidRPr="00ED60CC" w:rsidTr="009F1253">
        <w:trPr>
          <w:cantSplit/>
        </w:trPr>
        <w:tc>
          <w:tcPr>
            <w:tcW w:w="5000" w:type="pct"/>
            <w:gridSpan w:val="3"/>
          </w:tcPr>
          <w:p w:rsidR="001D3BC3" w:rsidRPr="00ED60CC" w:rsidRDefault="001D3BC3" w:rsidP="008A7E79">
            <w:pPr>
              <w:pStyle w:val="NoSpacing"/>
              <w:spacing w:before="40" w:after="40"/>
              <w:rPr>
                <w:rFonts w:ascii="Arial Narrow" w:hAnsi="Arial Narrow" w:cs="Arial"/>
                <w:b/>
                <w:sz w:val="20"/>
                <w:szCs w:val="20"/>
                <w:highlight w:val="yellow"/>
              </w:rPr>
            </w:pPr>
            <w:r w:rsidRPr="00ED60CC">
              <w:rPr>
                <w:rFonts w:ascii="Arial Narrow" w:hAnsi="Arial Narrow" w:cs="Arial"/>
                <w:b/>
                <w:sz w:val="20"/>
                <w:szCs w:val="20"/>
              </w:rPr>
              <w:t>Direct randomised trial(s)</w:t>
            </w:r>
          </w:p>
        </w:tc>
      </w:tr>
      <w:tr w:rsidR="00823B3D" w:rsidRPr="00ED60CC" w:rsidTr="00823B3D">
        <w:trPr>
          <w:cantSplit/>
        </w:trPr>
        <w:tc>
          <w:tcPr>
            <w:tcW w:w="1198" w:type="pct"/>
          </w:tcPr>
          <w:p w:rsidR="00823B3D" w:rsidRPr="00ED60CC" w:rsidRDefault="00031CB7" w:rsidP="00823B3D">
            <w:pPr>
              <w:pStyle w:val="NoSpacing"/>
              <w:tabs>
                <w:tab w:val="left" w:pos="1289"/>
              </w:tabs>
              <w:rPr>
                <w:rFonts w:ascii="Arial Narrow" w:hAnsi="Arial Narrow" w:cs="Arial"/>
                <w:sz w:val="20"/>
                <w:szCs w:val="20"/>
              </w:rPr>
            </w:pPr>
            <w:r w:rsidRPr="00ED60CC">
              <w:rPr>
                <w:rFonts w:ascii="Arial Narrow" w:hAnsi="Arial Narrow" w:cs="Arial"/>
                <w:sz w:val="20"/>
                <w:szCs w:val="20"/>
              </w:rPr>
              <w:t>EMR200588-001</w:t>
            </w:r>
          </w:p>
          <w:p w:rsidR="00823B3D" w:rsidRPr="00ED60CC" w:rsidRDefault="00823B3D" w:rsidP="00031CB7">
            <w:pPr>
              <w:pStyle w:val="NoSpacing"/>
              <w:tabs>
                <w:tab w:val="left" w:pos="1289"/>
              </w:tabs>
              <w:rPr>
                <w:rFonts w:ascii="Arial Narrow" w:hAnsi="Arial Narrow" w:cs="Arial"/>
                <w:sz w:val="20"/>
                <w:szCs w:val="20"/>
              </w:rPr>
            </w:pPr>
            <w:r w:rsidRPr="00ED60CC">
              <w:rPr>
                <w:rFonts w:ascii="Arial Narrow" w:hAnsi="Arial Narrow" w:cs="Arial"/>
                <w:sz w:val="20"/>
                <w:szCs w:val="20"/>
              </w:rPr>
              <w:t>(</w:t>
            </w:r>
            <w:r w:rsidR="00031CB7" w:rsidRPr="00ED60CC">
              <w:rPr>
                <w:rFonts w:ascii="Arial Narrow" w:hAnsi="Arial Narrow" w:cs="Arial"/>
                <w:sz w:val="20"/>
                <w:szCs w:val="20"/>
              </w:rPr>
              <w:t>Phase I</w:t>
            </w:r>
            <w:r w:rsidRPr="00ED60CC">
              <w:rPr>
                <w:rFonts w:ascii="Arial Narrow" w:hAnsi="Arial Narrow" w:cs="Arial"/>
                <w:sz w:val="20"/>
                <w:szCs w:val="20"/>
              </w:rPr>
              <w:t xml:space="preserve"> PK study) </w:t>
            </w:r>
          </w:p>
        </w:tc>
        <w:tc>
          <w:tcPr>
            <w:tcW w:w="2799" w:type="pct"/>
          </w:tcPr>
          <w:p w:rsidR="00823B3D" w:rsidRPr="003304BD" w:rsidRDefault="00823B3D" w:rsidP="00823B3D">
            <w:pPr>
              <w:autoSpaceDE w:val="0"/>
              <w:autoSpaceDN w:val="0"/>
              <w:adjustRightInd w:val="0"/>
              <w:rPr>
                <w:rFonts w:ascii="Arial Narrow" w:hAnsi="Arial Narrow" w:cs="Arial"/>
                <w:sz w:val="20"/>
                <w:szCs w:val="20"/>
              </w:rPr>
            </w:pPr>
            <w:r w:rsidRPr="003304BD">
              <w:rPr>
                <w:rFonts w:ascii="Arial Narrow" w:hAnsi="Arial Narrow" w:cs="Arial"/>
                <w:sz w:val="20"/>
                <w:szCs w:val="20"/>
              </w:rPr>
              <w:t xml:space="preserve">A </w:t>
            </w:r>
            <w:r w:rsidR="00C245F6" w:rsidRPr="003304BD">
              <w:rPr>
                <w:rFonts w:ascii="Arial Narrow" w:hAnsi="Arial Narrow" w:cs="Arial"/>
                <w:sz w:val="20"/>
                <w:szCs w:val="20"/>
              </w:rPr>
              <w:t xml:space="preserve">3-arm, </w:t>
            </w:r>
            <w:r w:rsidR="00511133" w:rsidRPr="003304BD">
              <w:rPr>
                <w:rFonts w:ascii="Arial Narrow" w:hAnsi="Arial Narrow" w:cs="Arial"/>
                <w:sz w:val="20"/>
                <w:szCs w:val="20"/>
              </w:rPr>
              <w:t>randomised, double-blind, parallel-group, single-dose study in 237</w:t>
            </w:r>
            <w:r w:rsidRPr="003304BD">
              <w:rPr>
                <w:rFonts w:ascii="Arial Narrow" w:hAnsi="Arial Narrow" w:cs="Arial"/>
                <w:sz w:val="20"/>
                <w:szCs w:val="20"/>
              </w:rPr>
              <w:t xml:space="preserve"> healthy male and female subjects.</w:t>
            </w:r>
          </w:p>
          <w:p w:rsidR="00823B3D" w:rsidRPr="003304BD" w:rsidRDefault="00823B3D" w:rsidP="00823B3D">
            <w:pPr>
              <w:autoSpaceDE w:val="0"/>
              <w:autoSpaceDN w:val="0"/>
              <w:adjustRightInd w:val="0"/>
              <w:rPr>
                <w:rFonts w:ascii="Arial Narrow" w:hAnsi="Arial Narrow" w:cs="Arial"/>
                <w:sz w:val="20"/>
                <w:szCs w:val="20"/>
                <w:highlight w:val="yellow"/>
              </w:rPr>
            </w:pPr>
          </w:p>
          <w:p w:rsidR="00823B3D" w:rsidRPr="003304BD" w:rsidRDefault="00823B3D" w:rsidP="00C245F6">
            <w:pPr>
              <w:autoSpaceDE w:val="0"/>
              <w:autoSpaceDN w:val="0"/>
              <w:adjustRightInd w:val="0"/>
              <w:rPr>
                <w:rFonts w:ascii="Arial Narrow" w:hAnsi="Arial Narrow" w:cs="Arial"/>
                <w:sz w:val="20"/>
                <w:szCs w:val="20"/>
                <w:highlight w:val="yellow"/>
              </w:rPr>
            </w:pPr>
            <w:r w:rsidRPr="003304BD">
              <w:rPr>
                <w:rFonts w:ascii="Arial Narrow" w:hAnsi="Arial Narrow" w:cs="Arial"/>
                <w:sz w:val="20"/>
                <w:szCs w:val="20"/>
              </w:rPr>
              <w:t xml:space="preserve">Objective: </w:t>
            </w:r>
            <w:r w:rsidR="00511133" w:rsidRPr="003304BD">
              <w:rPr>
                <w:rFonts w:ascii="Arial Narrow" w:hAnsi="Arial Narrow" w:cs="Arial"/>
                <w:sz w:val="20"/>
                <w:szCs w:val="20"/>
              </w:rPr>
              <w:t xml:space="preserve">to </w:t>
            </w:r>
            <w:r w:rsidR="00C245F6" w:rsidRPr="003304BD">
              <w:rPr>
                <w:rFonts w:ascii="Arial Narrow" w:hAnsi="Arial Narrow" w:cs="Arial"/>
                <w:sz w:val="20"/>
                <w:szCs w:val="20"/>
              </w:rPr>
              <w:t>demonstrate pharmacokinetic</w:t>
            </w:r>
            <w:r w:rsidR="00511133" w:rsidRPr="003304BD">
              <w:rPr>
                <w:rFonts w:ascii="Arial Narrow" w:hAnsi="Arial Narrow" w:cs="Arial"/>
                <w:sz w:val="20"/>
                <w:szCs w:val="20"/>
              </w:rPr>
              <w:t xml:space="preserve"> (PK)</w:t>
            </w:r>
            <w:r w:rsidR="00C245F6" w:rsidRPr="003304BD">
              <w:rPr>
                <w:rFonts w:ascii="Arial Narrow" w:hAnsi="Arial Narrow" w:cs="Arial"/>
                <w:sz w:val="20"/>
                <w:szCs w:val="20"/>
              </w:rPr>
              <w:t xml:space="preserve"> bioequivalence</w:t>
            </w:r>
            <w:r w:rsidR="00511133" w:rsidRPr="003304BD">
              <w:rPr>
                <w:rFonts w:ascii="Arial Narrow" w:hAnsi="Arial Narrow" w:cs="Arial"/>
                <w:sz w:val="20"/>
                <w:szCs w:val="20"/>
              </w:rPr>
              <w:t xml:space="preserve">, safety, immunogenicity and tolerability of </w:t>
            </w:r>
            <w:r w:rsidR="00C245F6" w:rsidRPr="003304BD">
              <w:rPr>
                <w:rFonts w:ascii="Arial Narrow" w:hAnsi="Arial Narrow" w:cs="Arial"/>
                <w:sz w:val="20"/>
                <w:szCs w:val="20"/>
              </w:rPr>
              <w:t>Idacio,</w:t>
            </w:r>
            <w:r w:rsidRPr="003304BD">
              <w:rPr>
                <w:rFonts w:ascii="Arial Narrow" w:hAnsi="Arial Narrow" w:cs="Arial"/>
                <w:sz w:val="20"/>
                <w:szCs w:val="20"/>
              </w:rPr>
              <w:t xml:space="preserve"> Humira (EU) and Humira (US) in terms of C</w:t>
            </w:r>
            <w:r w:rsidRPr="003304BD">
              <w:rPr>
                <w:rFonts w:ascii="Arial Narrow" w:hAnsi="Arial Narrow" w:cs="Arial"/>
                <w:sz w:val="20"/>
                <w:szCs w:val="20"/>
                <w:vertAlign w:val="subscript"/>
              </w:rPr>
              <w:t>max</w:t>
            </w:r>
            <w:r w:rsidRPr="003304BD">
              <w:rPr>
                <w:rFonts w:ascii="Arial Narrow" w:hAnsi="Arial Narrow" w:cs="Arial"/>
                <w:sz w:val="20"/>
                <w:szCs w:val="20"/>
              </w:rPr>
              <w:t xml:space="preserve"> and AUC</w:t>
            </w:r>
            <w:r w:rsidRPr="003304BD">
              <w:rPr>
                <w:rFonts w:ascii="Arial Narrow" w:hAnsi="Arial Narrow" w:cs="Arial"/>
                <w:sz w:val="20"/>
                <w:szCs w:val="20"/>
                <w:vertAlign w:val="subscript"/>
              </w:rPr>
              <w:t>0-inf</w:t>
            </w:r>
            <w:r w:rsidRPr="003304BD">
              <w:rPr>
                <w:rFonts w:ascii="Arial Narrow" w:hAnsi="Arial Narrow" w:cs="Arial"/>
                <w:sz w:val="20"/>
                <w:szCs w:val="20"/>
              </w:rPr>
              <w:t xml:space="preserve"> and AUC</w:t>
            </w:r>
            <w:r w:rsidRPr="003304BD">
              <w:rPr>
                <w:rFonts w:ascii="Arial Narrow" w:hAnsi="Arial Narrow" w:cs="Arial"/>
                <w:sz w:val="20"/>
                <w:szCs w:val="20"/>
                <w:vertAlign w:val="subscript"/>
              </w:rPr>
              <w:t>0-last</w:t>
            </w:r>
            <w:r w:rsidRPr="003304BD">
              <w:rPr>
                <w:rFonts w:ascii="Arial Narrow" w:hAnsi="Arial Narrow" w:cs="Arial"/>
                <w:sz w:val="20"/>
                <w:szCs w:val="20"/>
              </w:rPr>
              <w:t xml:space="preserve"> after a single s.c. injection of 40 mg of adalimumab</w:t>
            </w:r>
          </w:p>
        </w:tc>
        <w:tc>
          <w:tcPr>
            <w:tcW w:w="1003" w:type="pct"/>
          </w:tcPr>
          <w:p w:rsidR="00823B3D" w:rsidRPr="00ED60CC" w:rsidRDefault="00286DA3" w:rsidP="00823B3D">
            <w:pPr>
              <w:keepNext/>
              <w:rPr>
                <w:rFonts w:ascii="Arial Narrow" w:hAnsi="Arial Narrow" w:cs="Arial"/>
                <w:bCs/>
                <w:sz w:val="20"/>
                <w:szCs w:val="20"/>
              </w:rPr>
            </w:pPr>
            <w:r w:rsidRPr="00ED60CC">
              <w:rPr>
                <w:rFonts w:ascii="Arial Narrow" w:hAnsi="Arial Narrow" w:cs="Arial"/>
                <w:bCs/>
                <w:sz w:val="20"/>
                <w:szCs w:val="20"/>
              </w:rPr>
              <w:t>Clinical Study Report</w:t>
            </w:r>
          </w:p>
        </w:tc>
      </w:tr>
      <w:tr w:rsidR="00823B3D" w:rsidRPr="00ED60CC" w:rsidTr="00823B3D">
        <w:trPr>
          <w:cantSplit/>
        </w:trPr>
        <w:tc>
          <w:tcPr>
            <w:tcW w:w="1198" w:type="pct"/>
          </w:tcPr>
          <w:p w:rsidR="00031CB7" w:rsidRPr="00ED60CC" w:rsidRDefault="00031CB7" w:rsidP="00031CB7">
            <w:pPr>
              <w:pStyle w:val="NoSpacing"/>
              <w:tabs>
                <w:tab w:val="left" w:pos="1289"/>
              </w:tabs>
              <w:rPr>
                <w:rFonts w:ascii="Arial Narrow" w:hAnsi="Arial Narrow" w:cs="Arial"/>
                <w:sz w:val="20"/>
                <w:szCs w:val="20"/>
              </w:rPr>
            </w:pPr>
            <w:r w:rsidRPr="00ED60CC">
              <w:rPr>
                <w:rFonts w:ascii="Arial Narrow" w:hAnsi="Arial Narrow" w:cs="Arial"/>
                <w:sz w:val="20"/>
                <w:szCs w:val="20"/>
              </w:rPr>
              <w:t>EMR200588-002</w:t>
            </w:r>
          </w:p>
          <w:p w:rsidR="00823B3D" w:rsidRPr="00ED60CC" w:rsidRDefault="00823B3D" w:rsidP="00031CB7">
            <w:pPr>
              <w:pStyle w:val="NoSpacing"/>
              <w:tabs>
                <w:tab w:val="left" w:pos="1289"/>
              </w:tabs>
              <w:rPr>
                <w:rFonts w:ascii="Arial Narrow" w:hAnsi="Arial Narrow" w:cs="Arial"/>
                <w:sz w:val="20"/>
                <w:szCs w:val="20"/>
              </w:rPr>
            </w:pPr>
            <w:r w:rsidRPr="00ED60CC">
              <w:rPr>
                <w:rFonts w:ascii="Arial Narrow" w:hAnsi="Arial Narrow" w:cs="Arial"/>
                <w:sz w:val="20"/>
                <w:szCs w:val="20"/>
              </w:rPr>
              <w:t>(</w:t>
            </w:r>
            <w:r w:rsidR="00031CB7" w:rsidRPr="00ED60CC">
              <w:rPr>
                <w:rFonts w:ascii="Arial Narrow" w:hAnsi="Arial Narrow" w:cs="Arial"/>
                <w:sz w:val="20"/>
                <w:szCs w:val="20"/>
              </w:rPr>
              <w:t>Phase III</w:t>
            </w:r>
            <w:r w:rsidRPr="00ED60CC">
              <w:rPr>
                <w:rFonts w:ascii="Arial Narrow" w:hAnsi="Arial Narrow" w:cs="Arial"/>
                <w:sz w:val="20"/>
                <w:szCs w:val="20"/>
              </w:rPr>
              <w:t xml:space="preserve"> PK study) </w:t>
            </w:r>
          </w:p>
        </w:tc>
        <w:tc>
          <w:tcPr>
            <w:tcW w:w="2799" w:type="pct"/>
          </w:tcPr>
          <w:p w:rsidR="00823B3D" w:rsidRPr="003304BD" w:rsidRDefault="00511133" w:rsidP="00823B3D">
            <w:pPr>
              <w:autoSpaceDE w:val="0"/>
              <w:autoSpaceDN w:val="0"/>
              <w:adjustRightInd w:val="0"/>
              <w:rPr>
                <w:rFonts w:ascii="Arial Narrow" w:hAnsi="Arial Narrow" w:cs="Arial"/>
                <w:sz w:val="20"/>
                <w:szCs w:val="20"/>
                <w:highlight w:val="yellow"/>
              </w:rPr>
            </w:pPr>
            <w:r w:rsidRPr="003304BD">
              <w:rPr>
                <w:rFonts w:ascii="Arial Narrow" w:hAnsi="Arial Narrow" w:cs="Arial"/>
                <w:sz w:val="20"/>
                <w:szCs w:val="20"/>
              </w:rPr>
              <w:t>A 2-arm, randomised, multi-</w:t>
            </w:r>
            <w:r w:rsidR="00A11E67" w:rsidRPr="003304BD">
              <w:rPr>
                <w:rFonts w:ascii="Arial Narrow" w:hAnsi="Arial Narrow" w:cs="Arial"/>
                <w:sz w:val="20"/>
                <w:szCs w:val="20"/>
              </w:rPr>
              <w:t>centre</w:t>
            </w:r>
            <w:r w:rsidRPr="003304BD">
              <w:rPr>
                <w:rFonts w:ascii="Arial Narrow" w:hAnsi="Arial Narrow" w:cs="Arial"/>
                <w:sz w:val="20"/>
                <w:szCs w:val="20"/>
              </w:rPr>
              <w:t xml:space="preserve">, double-blind, parallel-group confirmatory trial </w:t>
            </w:r>
            <w:r w:rsidR="00823B3D" w:rsidRPr="003304BD">
              <w:rPr>
                <w:rFonts w:ascii="Arial Narrow" w:hAnsi="Arial Narrow" w:cs="Arial"/>
                <w:sz w:val="20"/>
                <w:szCs w:val="20"/>
              </w:rPr>
              <w:t xml:space="preserve">in </w:t>
            </w:r>
            <w:r w:rsidRPr="003304BD">
              <w:rPr>
                <w:rFonts w:ascii="Arial Narrow" w:hAnsi="Arial Narrow" w:cs="Arial"/>
                <w:sz w:val="20"/>
                <w:szCs w:val="20"/>
              </w:rPr>
              <w:t>443 subjects with moderate to severe plaque psoriasis.</w:t>
            </w:r>
            <w:r w:rsidR="00823B3D" w:rsidRPr="003304BD">
              <w:rPr>
                <w:rFonts w:ascii="Arial Narrow" w:hAnsi="Arial Narrow" w:cs="Arial"/>
                <w:sz w:val="20"/>
                <w:szCs w:val="20"/>
              </w:rPr>
              <w:t xml:space="preserve"> </w:t>
            </w:r>
          </w:p>
          <w:p w:rsidR="00823B3D" w:rsidRPr="003304BD" w:rsidRDefault="00823B3D" w:rsidP="00823B3D">
            <w:pPr>
              <w:autoSpaceDE w:val="0"/>
              <w:autoSpaceDN w:val="0"/>
              <w:adjustRightInd w:val="0"/>
              <w:rPr>
                <w:rFonts w:ascii="Arial Narrow" w:hAnsi="Arial Narrow" w:cs="Arial"/>
                <w:sz w:val="20"/>
                <w:szCs w:val="20"/>
              </w:rPr>
            </w:pPr>
          </w:p>
          <w:p w:rsidR="00823B3D" w:rsidRPr="003304BD" w:rsidRDefault="00823B3D" w:rsidP="00E44ECD">
            <w:pPr>
              <w:autoSpaceDE w:val="0"/>
              <w:autoSpaceDN w:val="0"/>
              <w:adjustRightInd w:val="0"/>
              <w:rPr>
                <w:rFonts w:ascii="Arial Narrow" w:hAnsi="Arial Narrow" w:cs="Arial"/>
                <w:sz w:val="20"/>
                <w:szCs w:val="20"/>
                <w:highlight w:val="yellow"/>
              </w:rPr>
            </w:pPr>
            <w:r w:rsidRPr="003304BD">
              <w:rPr>
                <w:rFonts w:ascii="Arial Narrow" w:hAnsi="Arial Narrow" w:cs="Arial"/>
                <w:sz w:val="20"/>
                <w:szCs w:val="20"/>
              </w:rPr>
              <w:t xml:space="preserve">Objective: </w:t>
            </w:r>
            <w:r w:rsidR="00511133" w:rsidRPr="003304BD">
              <w:rPr>
                <w:rFonts w:ascii="Arial Narrow" w:hAnsi="Arial Narrow" w:cs="Arial"/>
                <w:sz w:val="20"/>
                <w:szCs w:val="20"/>
              </w:rPr>
              <w:t xml:space="preserve">to evaluate the efficacy, safety and immunogenicity of </w:t>
            </w:r>
            <w:r w:rsidR="00C245F6" w:rsidRPr="003304BD">
              <w:rPr>
                <w:rFonts w:ascii="Arial Narrow" w:hAnsi="Arial Narrow" w:cs="Arial"/>
                <w:sz w:val="20"/>
                <w:szCs w:val="20"/>
              </w:rPr>
              <w:t>Idacio</w:t>
            </w:r>
            <w:r w:rsidR="00511133" w:rsidRPr="003304BD">
              <w:rPr>
                <w:rFonts w:ascii="Arial Narrow" w:hAnsi="Arial Narrow" w:cs="Arial"/>
                <w:sz w:val="20"/>
                <w:szCs w:val="20"/>
              </w:rPr>
              <w:t xml:space="preserve"> with HUMIRA</w:t>
            </w:r>
            <w:r w:rsidR="00C245F6" w:rsidRPr="003304BD">
              <w:rPr>
                <w:rFonts w:ascii="Arial Narrow" w:hAnsi="Arial Narrow" w:cs="Arial"/>
                <w:sz w:val="20"/>
                <w:szCs w:val="20"/>
              </w:rPr>
              <w:t xml:space="preserve"> (EU) in terms of </w:t>
            </w:r>
            <w:r w:rsidR="00A55E75" w:rsidRPr="003304BD">
              <w:rPr>
                <w:rFonts w:ascii="Arial Narrow" w:hAnsi="Arial Narrow" w:cs="Arial"/>
                <w:sz w:val="20"/>
                <w:szCs w:val="20"/>
              </w:rPr>
              <w:t>Psoriasis Area and Severity Index (</w:t>
            </w:r>
            <w:r w:rsidR="00C245F6" w:rsidRPr="003304BD">
              <w:rPr>
                <w:rFonts w:ascii="Arial Narrow" w:hAnsi="Arial Narrow" w:cs="Arial"/>
                <w:sz w:val="20"/>
                <w:szCs w:val="20"/>
              </w:rPr>
              <w:t>PASI</w:t>
            </w:r>
            <w:r w:rsidR="00A55E75" w:rsidRPr="003304BD">
              <w:rPr>
                <w:rFonts w:ascii="Arial Narrow" w:hAnsi="Arial Narrow" w:cs="Arial"/>
                <w:sz w:val="20"/>
                <w:szCs w:val="20"/>
              </w:rPr>
              <w:t>)</w:t>
            </w:r>
            <w:r w:rsidR="00C245F6" w:rsidRPr="003304BD">
              <w:rPr>
                <w:rFonts w:ascii="Arial Narrow" w:hAnsi="Arial Narrow" w:cs="Arial"/>
                <w:sz w:val="20"/>
                <w:szCs w:val="20"/>
              </w:rPr>
              <w:t xml:space="preserve"> score, </w:t>
            </w:r>
            <w:r w:rsidR="00A55E75" w:rsidRPr="003304BD">
              <w:rPr>
                <w:rFonts w:ascii="Arial Narrow" w:hAnsi="Arial Narrow" w:cs="Arial"/>
                <w:sz w:val="20"/>
                <w:szCs w:val="20"/>
              </w:rPr>
              <w:t>anti-drug-antibod</w:t>
            </w:r>
            <w:r w:rsidR="000F12E5" w:rsidRPr="003304BD">
              <w:rPr>
                <w:rFonts w:ascii="Arial Narrow" w:hAnsi="Arial Narrow" w:cs="Arial"/>
                <w:sz w:val="20"/>
                <w:szCs w:val="20"/>
              </w:rPr>
              <w:t>y</w:t>
            </w:r>
            <w:r w:rsidR="00A55E75" w:rsidRPr="003304BD">
              <w:rPr>
                <w:rFonts w:ascii="Arial Narrow" w:hAnsi="Arial Narrow" w:cs="Arial"/>
                <w:sz w:val="20"/>
                <w:szCs w:val="20"/>
              </w:rPr>
              <w:t xml:space="preserve"> (</w:t>
            </w:r>
            <w:r w:rsidR="00C245F6" w:rsidRPr="003304BD">
              <w:rPr>
                <w:rFonts w:ascii="Arial Narrow" w:hAnsi="Arial Narrow" w:cs="Arial"/>
                <w:sz w:val="20"/>
                <w:szCs w:val="20"/>
              </w:rPr>
              <w:t>ADA</w:t>
            </w:r>
            <w:r w:rsidR="00A55E75" w:rsidRPr="003304BD">
              <w:rPr>
                <w:rFonts w:ascii="Arial Narrow" w:hAnsi="Arial Narrow" w:cs="Arial"/>
                <w:sz w:val="20"/>
                <w:szCs w:val="20"/>
              </w:rPr>
              <w:t>)</w:t>
            </w:r>
            <w:r w:rsidR="00C245F6" w:rsidRPr="003304BD">
              <w:rPr>
                <w:rFonts w:ascii="Arial Narrow" w:hAnsi="Arial Narrow" w:cs="Arial"/>
                <w:sz w:val="20"/>
                <w:szCs w:val="20"/>
              </w:rPr>
              <w:t xml:space="preserve"> and</w:t>
            </w:r>
            <w:r w:rsidR="00A55E75" w:rsidRPr="003304BD">
              <w:rPr>
                <w:rFonts w:ascii="Arial Narrow" w:hAnsi="Arial Narrow" w:cs="Arial"/>
                <w:sz w:val="20"/>
                <w:szCs w:val="20"/>
              </w:rPr>
              <w:t xml:space="preserve"> neutralising antibody</w:t>
            </w:r>
            <w:r w:rsidR="00C245F6" w:rsidRPr="003304BD">
              <w:rPr>
                <w:rFonts w:ascii="Arial Narrow" w:hAnsi="Arial Narrow" w:cs="Arial"/>
                <w:sz w:val="20"/>
                <w:szCs w:val="20"/>
              </w:rPr>
              <w:t xml:space="preserve"> </w:t>
            </w:r>
            <w:r w:rsidR="00A55E75" w:rsidRPr="003304BD">
              <w:rPr>
                <w:rFonts w:ascii="Arial Narrow" w:hAnsi="Arial Narrow" w:cs="Arial"/>
                <w:sz w:val="20"/>
                <w:szCs w:val="20"/>
              </w:rPr>
              <w:t>(</w:t>
            </w:r>
            <w:r w:rsidR="00C245F6" w:rsidRPr="003304BD">
              <w:rPr>
                <w:rFonts w:ascii="Arial Narrow" w:hAnsi="Arial Narrow" w:cs="Arial"/>
                <w:sz w:val="20"/>
                <w:szCs w:val="20"/>
              </w:rPr>
              <w:t>N</w:t>
            </w:r>
            <w:r w:rsidR="00A55E75" w:rsidRPr="003304BD">
              <w:rPr>
                <w:rFonts w:ascii="Arial Narrow" w:hAnsi="Arial Narrow" w:cs="Arial"/>
                <w:sz w:val="20"/>
                <w:szCs w:val="20"/>
              </w:rPr>
              <w:t>a</w:t>
            </w:r>
            <w:r w:rsidR="00C245F6" w:rsidRPr="003304BD">
              <w:rPr>
                <w:rFonts w:ascii="Arial Narrow" w:hAnsi="Arial Narrow" w:cs="Arial"/>
                <w:sz w:val="20"/>
                <w:szCs w:val="20"/>
              </w:rPr>
              <w:t>b</w:t>
            </w:r>
            <w:r w:rsidR="00A55E75" w:rsidRPr="003304BD">
              <w:rPr>
                <w:rFonts w:ascii="Arial Narrow" w:hAnsi="Arial Narrow" w:cs="Arial"/>
                <w:sz w:val="20"/>
                <w:szCs w:val="20"/>
              </w:rPr>
              <w:t>)</w:t>
            </w:r>
            <w:r w:rsidR="000F12E5" w:rsidRPr="003304BD">
              <w:rPr>
                <w:rFonts w:ascii="Arial Narrow" w:hAnsi="Arial Narrow" w:cs="Arial"/>
                <w:sz w:val="20"/>
                <w:szCs w:val="20"/>
              </w:rPr>
              <w:t xml:space="preserve"> after fortnightly s.c. injections of 40 mg of adalimumab </w:t>
            </w:r>
            <w:r w:rsidR="00D642F8" w:rsidRPr="003304BD">
              <w:rPr>
                <w:rFonts w:ascii="Arial Narrow" w:hAnsi="Arial Narrow" w:cs="Arial"/>
                <w:sz w:val="20"/>
                <w:szCs w:val="20"/>
              </w:rPr>
              <w:t>over 52 weeks</w:t>
            </w:r>
            <w:r w:rsidR="00E44ECD" w:rsidRPr="003304BD">
              <w:rPr>
                <w:rFonts w:ascii="Arial Narrow" w:hAnsi="Arial Narrow" w:cs="Arial"/>
                <w:sz w:val="20"/>
                <w:szCs w:val="20"/>
              </w:rPr>
              <w:t>, starting at Week 1 with an 80 mg initial baseline dose</w:t>
            </w:r>
            <w:r w:rsidR="00D642F8" w:rsidRPr="003304BD">
              <w:rPr>
                <w:rFonts w:ascii="Arial Narrow" w:hAnsi="Arial Narrow" w:cs="Arial"/>
                <w:sz w:val="20"/>
                <w:szCs w:val="20"/>
              </w:rPr>
              <w:t>.</w:t>
            </w:r>
          </w:p>
        </w:tc>
        <w:tc>
          <w:tcPr>
            <w:tcW w:w="1003" w:type="pct"/>
          </w:tcPr>
          <w:p w:rsidR="00823B3D" w:rsidRPr="00ED60CC" w:rsidRDefault="00823B3D" w:rsidP="00823B3D">
            <w:pPr>
              <w:keepNext/>
              <w:rPr>
                <w:rFonts w:ascii="Arial Narrow" w:hAnsi="Arial Narrow" w:cs="Arial"/>
                <w:bCs/>
                <w:sz w:val="20"/>
                <w:szCs w:val="20"/>
              </w:rPr>
            </w:pPr>
            <w:r w:rsidRPr="00ED60CC">
              <w:rPr>
                <w:rFonts w:ascii="Arial Narrow" w:hAnsi="Arial Narrow" w:cs="Arial"/>
                <w:bCs/>
                <w:sz w:val="20"/>
                <w:szCs w:val="20"/>
              </w:rPr>
              <w:t>Clinical Study</w:t>
            </w:r>
            <w:r w:rsidR="00286DA3" w:rsidRPr="00ED60CC">
              <w:rPr>
                <w:rFonts w:ascii="Arial Narrow" w:hAnsi="Arial Narrow" w:cs="Arial"/>
                <w:bCs/>
                <w:sz w:val="20"/>
                <w:szCs w:val="20"/>
              </w:rPr>
              <w:t xml:space="preserve"> Report</w:t>
            </w:r>
          </w:p>
        </w:tc>
      </w:tr>
    </w:tbl>
    <w:p w:rsidR="00426B8B" w:rsidRPr="00ED60CC" w:rsidRDefault="00C15716" w:rsidP="008B3612">
      <w:pPr>
        <w:pStyle w:val="3-BodyText"/>
        <w:spacing w:before="120"/>
      </w:pPr>
      <w:r w:rsidRPr="00ED60CC">
        <w:rPr>
          <w:rFonts w:ascii="Arial Narrow" w:hAnsi="Arial Narrow"/>
          <w:sz w:val="18"/>
          <w:szCs w:val="18"/>
        </w:rPr>
        <w:t xml:space="preserve">Source: Table 6 of minor submission </w:t>
      </w:r>
      <w:r w:rsidR="008F407D" w:rsidRPr="00ED60CC">
        <w:t xml:space="preserve">The clinical trials presented in the submission formed part of the TGA submission to </w:t>
      </w:r>
      <w:r w:rsidR="009C2FB9" w:rsidRPr="00ED60CC">
        <w:t>register Idacio as a biosimilar of Humira</w:t>
      </w:r>
      <w:r w:rsidR="008F407D" w:rsidRPr="00ED60CC">
        <w:rPr>
          <w:rFonts w:cstheme="minorHAnsi"/>
        </w:rPr>
        <w:t>.</w:t>
      </w:r>
      <w:r w:rsidR="008F407D" w:rsidRPr="00ED60CC">
        <w:t xml:space="preserve"> </w:t>
      </w:r>
      <w:r w:rsidR="00946B8B" w:rsidRPr="00ED60CC">
        <w:t xml:space="preserve">The TGA Delegate noted </w:t>
      </w:r>
      <w:r w:rsidR="00946B8B" w:rsidRPr="00ED60CC">
        <w:rPr>
          <w:snapToGrid/>
          <w:lang w:eastAsia="en-AU"/>
        </w:rPr>
        <w:t>t</w:t>
      </w:r>
      <w:r w:rsidR="008F13AF" w:rsidRPr="00ED60CC">
        <w:rPr>
          <w:snapToGrid/>
          <w:lang w:eastAsia="en-AU"/>
        </w:rPr>
        <w:t>he efficacy and safety of the biosimilar Idacio was compared to Humira and</w:t>
      </w:r>
      <w:r w:rsidR="002334E1" w:rsidRPr="00ED60CC">
        <w:rPr>
          <w:snapToGrid/>
          <w:lang w:eastAsia="en-AU"/>
        </w:rPr>
        <w:t xml:space="preserve"> that</w:t>
      </w:r>
      <w:r w:rsidR="008F13AF" w:rsidRPr="00ED60CC">
        <w:rPr>
          <w:snapToGrid/>
          <w:lang w:eastAsia="en-AU"/>
        </w:rPr>
        <w:t xml:space="preserve"> no significant differences </w:t>
      </w:r>
      <w:r w:rsidR="008F13AF" w:rsidRPr="00ED60CC">
        <w:rPr>
          <w:snapToGrid/>
          <w:lang w:eastAsia="en-AU"/>
        </w:rPr>
        <w:lastRenderedPageBreak/>
        <w:t xml:space="preserve">were found in the main clinical study, Study EMR200588-002 (TGA </w:t>
      </w:r>
      <w:r w:rsidR="008127B5" w:rsidRPr="00ED60CC">
        <w:t>Australian Public Assessment Report</w:t>
      </w:r>
      <w:r w:rsidR="008F13AF" w:rsidRPr="00ED60CC">
        <w:rPr>
          <w:snapToGrid/>
          <w:lang w:eastAsia="en-AU"/>
        </w:rPr>
        <w:t>, p18).</w:t>
      </w:r>
      <w:r w:rsidR="009B6D7F" w:rsidRPr="00ED60CC">
        <w:rPr>
          <w:lang w:eastAsia="en-AU"/>
        </w:rPr>
        <w:t xml:space="preserve"> </w:t>
      </w:r>
    </w:p>
    <w:p w:rsidR="00C7030B" w:rsidRPr="00ED60CC" w:rsidRDefault="00C7030B" w:rsidP="00180D0B">
      <w:pPr>
        <w:pStyle w:val="4-SubsectionHeading"/>
      </w:pPr>
      <w:r w:rsidRPr="00ED60CC">
        <w:t xml:space="preserve">Clinical claim </w:t>
      </w:r>
    </w:p>
    <w:p w:rsidR="009A0A9B" w:rsidRPr="00ED60CC" w:rsidRDefault="00FD6B07" w:rsidP="003C0410">
      <w:pPr>
        <w:pStyle w:val="3Bodytext"/>
        <w:numPr>
          <w:ilvl w:val="1"/>
          <w:numId w:val="1"/>
        </w:numPr>
      </w:pPr>
      <w:r w:rsidRPr="00ED60CC">
        <w:t xml:space="preserve">The </w:t>
      </w:r>
      <w:r w:rsidR="00610FFA" w:rsidRPr="00ED60CC">
        <w:t>minor submission claim</w:t>
      </w:r>
      <w:r w:rsidR="00BD36D4" w:rsidRPr="00ED60CC">
        <w:t>ed</w:t>
      </w:r>
      <w:r w:rsidR="00610FFA" w:rsidRPr="00ED60CC">
        <w:t xml:space="preserve"> that </w:t>
      </w:r>
      <w:r w:rsidR="00DB782C" w:rsidRPr="00ED60CC">
        <w:t>Idacio</w:t>
      </w:r>
      <w:r w:rsidR="00610FFA" w:rsidRPr="00ED60CC">
        <w:t xml:space="preserve"> </w:t>
      </w:r>
      <w:r w:rsidR="00BD36D4" w:rsidRPr="00ED60CC">
        <w:t>wa</w:t>
      </w:r>
      <w:r w:rsidR="00610FFA" w:rsidRPr="00ED60CC">
        <w:t xml:space="preserve">s </w:t>
      </w:r>
      <w:r w:rsidR="004E414B" w:rsidRPr="00ED60CC">
        <w:t xml:space="preserve">biosimilar to </w:t>
      </w:r>
      <w:r w:rsidR="00610FFA" w:rsidRPr="00ED60CC">
        <w:t>Humira.</w:t>
      </w:r>
    </w:p>
    <w:p w:rsidR="009A0A9B" w:rsidRPr="00ED60CC" w:rsidRDefault="009A0A9B" w:rsidP="009A0A9B">
      <w:pPr>
        <w:pStyle w:val="3-BodyText"/>
        <w:rPr>
          <w:snapToGrid/>
          <w:lang w:eastAsia="en-AU"/>
        </w:rPr>
      </w:pPr>
      <w:r w:rsidRPr="00ED60CC">
        <w:rPr>
          <w:snapToGrid/>
          <w:lang w:eastAsia="en-AU"/>
        </w:rPr>
        <w:t>The PBAC considered that the claim of non-inferior comparative effectiveness and safety was reasonably supported by the data.</w:t>
      </w:r>
    </w:p>
    <w:p w:rsidR="00676ABB" w:rsidRPr="00ED60CC" w:rsidRDefault="00676ABB" w:rsidP="00180D0B">
      <w:pPr>
        <w:pStyle w:val="4-SubsectionHeading"/>
      </w:pPr>
      <w:r w:rsidRPr="00ED60CC">
        <w:t>Estimated PBS usage &amp; financial implications</w:t>
      </w:r>
    </w:p>
    <w:p w:rsidR="002D6BC4" w:rsidRPr="00ED60CC" w:rsidRDefault="009836D3" w:rsidP="000478FB">
      <w:pPr>
        <w:pStyle w:val="3-BodyText"/>
        <w:rPr>
          <w:snapToGrid/>
          <w:lang w:eastAsia="en-AU"/>
        </w:rPr>
      </w:pPr>
      <w:r w:rsidRPr="00ED60CC">
        <w:t>Th</w:t>
      </w:r>
      <w:r w:rsidR="00676ABB" w:rsidRPr="00ED60CC">
        <w:t>e minor</w:t>
      </w:r>
      <w:r w:rsidRPr="00ED60CC">
        <w:t xml:space="preserve"> submission request</w:t>
      </w:r>
      <w:r w:rsidR="00DA6261" w:rsidRPr="00ED60CC">
        <w:t>ed</w:t>
      </w:r>
      <w:r w:rsidRPr="00ED60CC">
        <w:t xml:space="preserve"> listing</w:t>
      </w:r>
      <w:r w:rsidR="00BD36D4" w:rsidRPr="00ED60CC">
        <w:t xml:space="preserve"> of</w:t>
      </w:r>
      <w:r w:rsidRPr="00ED60CC">
        <w:t xml:space="preserve"> </w:t>
      </w:r>
      <w:r w:rsidR="00DB782C" w:rsidRPr="00ED60CC">
        <w:t>Idacio</w:t>
      </w:r>
      <w:r w:rsidRPr="00ED60CC">
        <w:t xml:space="preserve"> on a cost-minimis</w:t>
      </w:r>
      <w:r w:rsidR="004533D2" w:rsidRPr="00ED60CC">
        <w:t>ation</w:t>
      </w:r>
      <w:r w:rsidRPr="00ED60CC">
        <w:t xml:space="preserve"> basis </w:t>
      </w:r>
      <w:r w:rsidR="00DA6261" w:rsidRPr="00ED60CC">
        <w:t>to</w:t>
      </w:r>
      <w:r w:rsidRPr="00ED60CC">
        <w:t xml:space="preserve"> Hum</w:t>
      </w:r>
      <w:r w:rsidR="00DF0700" w:rsidRPr="00ED60CC">
        <w:t>i</w:t>
      </w:r>
      <w:r w:rsidR="006A0537" w:rsidRPr="00ED60CC">
        <w:t>ra.</w:t>
      </w:r>
      <w:r w:rsidR="00622F46" w:rsidRPr="00ED60CC">
        <w:t xml:space="preserve"> </w:t>
      </w:r>
    </w:p>
    <w:p w:rsidR="000478FB" w:rsidRPr="00ED60CC" w:rsidRDefault="000478FB" w:rsidP="000478FB">
      <w:pPr>
        <w:pStyle w:val="3-BodyText"/>
        <w:rPr>
          <w:snapToGrid/>
          <w:lang w:eastAsia="en-AU"/>
        </w:rPr>
      </w:pPr>
      <w:r w:rsidRPr="00ED60CC">
        <w:t>The submission proposed a</w:t>
      </w:r>
      <w:r w:rsidRPr="00ED60CC">
        <w:rPr>
          <w:snapToGrid/>
          <w:lang w:eastAsia="en-AU"/>
        </w:rPr>
        <w:t xml:space="preserve"> 1:1 unit equivalence for Idacio to Humira and all other biosimilar brands and formulations of adalimumab.</w:t>
      </w:r>
    </w:p>
    <w:p w:rsidR="009836D3" w:rsidRPr="00ED60CC" w:rsidRDefault="00877CDE" w:rsidP="00A46FD8">
      <w:pPr>
        <w:pStyle w:val="3-BodyText"/>
      </w:pPr>
      <w:r w:rsidRPr="00ED60CC">
        <w:t xml:space="preserve">The </w:t>
      </w:r>
      <w:r w:rsidR="00A35E74" w:rsidRPr="00ED60CC">
        <w:t>minor submission estimate</w:t>
      </w:r>
      <w:r w:rsidR="00DA6261" w:rsidRPr="00ED60CC">
        <w:t>d</w:t>
      </w:r>
      <w:r w:rsidR="00A35E74" w:rsidRPr="00ED60CC">
        <w:t xml:space="preserve"> that the PBS</w:t>
      </w:r>
      <w:r w:rsidR="00343EB5" w:rsidRPr="00ED60CC">
        <w:t xml:space="preserve"> listing</w:t>
      </w:r>
      <w:r w:rsidR="00E96BBC" w:rsidRPr="00ED60CC">
        <w:t xml:space="preserve"> of</w:t>
      </w:r>
      <w:r w:rsidR="00343EB5" w:rsidRPr="00ED60CC">
        <w:t xml:space="preserve"> </w:t>
      </w:r>
      <w:r w:rsidR="00DB782C" w:rsidRPr="00ED60CC">
        <w:t>Idacio</w:t>
      </w:r>
      <w:r w:rsidR="00343EB5" w:rsidRPr="00ED60CC">
        <w:t xml:space="preserve"> </w:t>
      </w:r>
      <w:r w:rsidR="00A46FD8" w:rsidRPr="00ED60CC">
        <w:t xml:space="preserve">is </w:t>
      </w:r>
      <w:r w:rsidR="00A46FD8" w:rsidRPr="00ED60CC">
        <w:rPr>
          <w:snapToGrid/>
          <w:lang w:eastAsia="en-AU"/>
        </w:rPr>
        <w:t xml:space="preserve">expected to have no change in </w:t>
      </w:r>
      <w:r w:rsidR="00A67C4D" w:rsidRPr="00ED60CC">
        <w:rPr>
          <w:snapToGrid/>
          <w:lang w:eastAsia="en-AU"/>
        </w:rPr>
        <w:t xml:space="preserve">the </w:t>
      </w:r>
      <w:r w:rsidR="00A46FD8" w:rsidRPr="00ED60CC">
        <w:rPr>
          <w:snapToGrid/>
          <w:lang w:eastAsia="en-AU"/>
        </w:rPr>
        <w:t>overall net cost to t</w:t>
      </w:r>
      <w:r w:rsidR="00E96BBC" w:rsidRPr="00ED60CC">
        <w:rPr>
          <w:snapToGrid/>
          <w:lang w:eastAsia="en-AU"/>
        </w:rPr>
        <w:t>he government given that Idacio</w:t>
      </w:r>
      <w:r w:rsidR="00A46FD8" w:rsidRPr="00ED60CC">
        <w:rPr>
          <w:snapToGrid/>
          <w:lang w:eastAsia="en-AU"/>
        </w:rPr>
        <w:t xml:space="preserve"> will replace existing adalimumab therapies at the equivalent cost. </w:t>
      </w:r>
    </w:p>
    <w:p w:rsidR="004533D2" w:rsidRPr="00ED60CC" w:rsidRDefault="004533D2" w:rsidP="003C0410">
      <w:pPr>
        <w:pStyle w:val="3Bodytext"/>
        <w:numPr>
          <w:ilvl w:val="1"/>
          <w:numId w:val="1"/>
        </w:numPr>
      </w:pPr>
      <w:r w:rsidRPr="00ED60CC">
        <w:t xml:space="preserve">In formulating the </w:t>
      </w:r>
      <w:r w:rsidR="00E96BBC" w:rsidRPr="00ED60CC">
        <w:t>financial estimates</w:t>
      </w:r>
      <w:r w:rsidRPr="00ED60CC">
        <w:t>, the sponsor made the following assumptions:</w:t>
      </w:r>
    </w:p>
    <w:p w:rsidR="004533D2" w:rsidRPr="00ED60CC" w:rsidRDefault="00C76A5A" w:rsidP="002915BB">
      <w:pPr>
        <w:pStyle w:val="ListParagraph"/>
        <w:numPr>
          <w:ilvl w:val="0"/>
          <w:numId w:val="6"/>
        </w:numPr>
        <w:ind w:left="1077" w:hanging="357"/>
        <w:jc w:val="both"/>
      </w:pPr>
      <w:r w:rsidRPr="00ED60CC">
        <w:lastRenderedPageBreak/>
        <w:t>A 6.</w:t>
      </w:r>
      <w:r w:rsidR="002A41AD" w:rsidRPr="00ED60CC">
        <w:t>55</w:t>
      </w:r>
      <w:r w:rsidRPr="00ED60CC">
        <w:t xml:space="preserve">% annual growth rate for adalimumab services, based on </w:t>
      </w:r>
      <w:r w:rsidR="00FA7FC1" w:rsidRPr="00ED60CC">
        <w:t>calculations from PBS services over the last three calendar years</w:t>
      </w:r>
      <w:r w:rsidR="002C7405" w:rsidRPr="00ED60CC">
        <w:t xml:space="preserve"> (Hy</w:t>
      </w:r>
      <w:r w:rsidR="005679E7" w:rsidRPr="00ED60CC">
        <w:t>r</w:t>
      </w:r>
      <w:r w:rsidR="002C7405" w:rsidRPr="00ED60CC">
        <w:t>i</w:t>
      </w:r>
      <w:r w:rsidR="005679E7" w:rsidRPr="00ED60CC">
        <w:t>m</w:t>
      </w:r>
      <w:r w:rsidR="002C7405" w:rsidRPr="00ED60CC">
        <w:t>oz applied a 6.6% annual growth rate</w:t>
      </w:r>
      <w:r w:rsidR="00E66BFF" w:rsidRPr="00ED60CC">
        <w:t xml:space="preserve"> (paragraph 5.16, </w:t>
      </w:r>
      <w:r w:rsidR="00E66BFF" w:rsidRPr="00ED60CC">
        <w:rPr>
          <w:rFonts w:cstheme="minorHAnsi"/>
        </w:rPr>
        <w:t>Hyrimoz PSD, March 2020 PBAC Meeting)</w:t>
      </w:r>
      <w:r w:rsidR="002C7405" w:rsidRPr="00ED60CC">
        <w:t>)</w:t>
      </w:r>
      <w:r w:rsidR="00FA7FC1" w:rsidRPr="00ED60CC" w:rsidDel="00FA7FC1">
        <w:t xml:space="preserve"> </w:t>
      </w:r>
    </w:p>
    <w:p w:rsidR="00C10E74" w:rsidRPr="00ED60CC" w:rsidRDefault="00C10E74" w:rsidP="002915BB">
      <w:pPr>
        <w:pStyle w:val="ListParagraph"/>
        <w:numPr>
          <w:ilvl w:val="0"/>
          <w:numId w:val="6"/>
        </w:numPr>
        <w:ind w:left="1077" w:hanging="357"/>
        <w:jc w:val="both"/>
      </w:pPr>
      <w:r w:rsidRPr="00ED60CC">
        <w:t>A  statutory 25% price reduction was applied</w:t>
      </w:r>
      <w:r w:rsidR="00A46FD8" w:rsidRPr="00ED60CC">
        <w:t xml:space="preserve"> </w:t>
      </w:r>
      <w:r w:rsidR="00844506" w:rsidRPr="00ED60CC">
        <w:t xml:space="preserve">to the price of Humira </w:t>
      </w:r>
      <w:r w:rsidR="00A46FD8" w:rsidRPr="00ED60CC">
        <w:t>in line with the ‘First New Brand Price Reductions’</w:t>
      </w:r>
      <w:r w:rsidRPr="00ED60CC">
        <w:t xml:space="preserve"> if </w:t>
      </w:r>
      <w:r w:rsidR="00A46FD8" w:rsidRPr="00ED60CC">
        <w:t xml:space="preserve">any of the recommended biosimilar brands of adalimumab was to be </w:t>
      </w:r>
      <w:r w:rsidRPr="00ED60CC">
        <w:t>listed on the PBS, triggering a move of the drug to F2</w:t>
      </w:r>
    </w:p>
    <w:p w:rsidR="00690D18" w:rsidRPr="00ED60CC" w:rsidRDefault="00690D18" w:rsidP="002915BB">
      <w:pPr>
        <w:pStyle w:val="ListParagraph"/>
        <w:numPr>
          <w:ilvl w:val="0"/>
          <w:numId w:val="6"/>
        </w:numPr>
        <w:ind w:left="1077" w:hanging="357"/>
        <w:jc w:val="both"/>
      </w:pPr>
      <w:r w:rsidRPr="00ED60CC">
        <w:t xml:space="preserve">The vial </w:t>
      </w:r>
      <w:r w:rsidR="00806C3B" w:rsidRPr="00ED60CC">
        <w:t xml:space="preserve">form would displace </w:t>
      </w:r>
      <w:r w:rsidRPr="00ED60CC">
        <w:t>current</w:t>
      </w:r>
      <w:r w:rsidR="00BD36D4" w:rsidRPr="00ED60CC">
        <w:t>ly listed</w:t>
      </w:r>
      <w:r w:rsidRPr="00ED60CC">
        <w:t xml:space="preserve"> </w:t>
      </w:r>
      <w:r w:rsidR="007E20F0" w:rsidRPr="00ED60CC">
        <w:t>PFP</w:t>
      </w:r>
      <w:r w:rsidRPr="00ED60CC">
        <w:t xml:space="preserve">, as the </w:t>
      </w:r>
      <w:r w:rsidR="007E20F0" w:rsidRPr="00ED60CC">
        <w:t xml:space="preserve">PFP </w:t>
      </w:r>
      <w:r w:rsidRPr="00ED60CC">
        <w:t xml:space="preserve">listings had a much higher utilisation than </w:t>
      </w:r>
      <w:r w:rsidR="007E20F0" w:rsidRPr="00ED60CC">
        <w:t>PFS</w:t>
      </w:r>
      <w:r w:rsidRPr="00ED60CC">
        <w:t xml:space="preserve">. </w:t>
      </w:r>
    </w:p>
    <w:p w:rsidR="00330092" w:rsidRPr="00ED60CC" w:rsidRDefault="00197726" w:rsidP="00330092">
      <w:pPr>
        <w:pStyle w:val="3-BodyText"/>
        <w:rPr>
          <w:b/>
        </w:rPr>
      </w:pPr>
      <w:r w:rsidRPr="00ED60CC">
        <w:t>As a minor submission, the financial estimates have not been independently evaluated.</w:t>
      </w:r>
      <w:r w:rsidR="00330092" w:rsidRPr="00ED60CC">
        <w:rPr>
          <w:b/>
        </w:rPr>
        <w:t xml:space="preserve"> </w:t>
      </w:r>
    </w:p>
    <w:p w:rsidR="00197726" w:rsidRPr="00ED60CC" w:rsidRDefault="00330092" w:rsidP="00C008CA">
      <w:pPr>
        <w:pStyle w:val="ListParagraph"/>
        <w:ind w:left="0" w:firstLine="0"/>
        <w:jc w:val="both"/>
        <w:rPr>
          <w:i/>
        </w:rPr>
      </w:pPr>
      <w:r w:rsidRPr="00ED60CC">
        <w:rPr>
          <w:i/>
        </w:rPr>
        <w:t xml:space="preserve">For more detail on PBAC’s view, see section </w:t>
      </w:r>
      <w:r w:rsidR="00A67C4D" w:rsidRPr="00ED60CC">
        <w:rPr>
          <w:i/>
        </w:rPr>
        <w:t>6</w:t>
      </w:r>
      <w:r w:rsidRPr="00ED60CC">
        <w:rPr>
          <w:i/>
        </w:rPr>
        <w:t xml:space="preserve"> PBAC outcome.</w:t>
      </w:r>
    </w:p>
    <w:p w:rsidR="00215429" w:rsidRPr="00ED60CC" w:rsidRDefault="001C1CB8" w:rsidP="00C008CA">
      <w:pPr>
        <w:pStyle w:val="2-SectionHeading"/>
      </w:pPr>
      <w:r w:rsidRPr="00ED60CC">
        <w:t>PBAC Outcome</w:t>
      </w:r>
    </w:p>
    <w:p w:rsidR="00732A84" w:rsidRPr="00ED60CC" w:rsidRDefault="0088466C" w:rsidP="00C008CA">
      <w:pPr>
        <w:pStyle w:val="3-BodyText"/>
      </w:pPr>
      <w:r w:rsidRPr="00ED60CC">
        <w:t>The PBAC recommended the Authority Required listing</w:t>
      </w:r>
      <w:r w:rsidR="00215909" w:rsidRPr="00ED60CC">
        <w:t xml:space="preserve"> of adalimumab (Idacio)</w:t>
      </w:r>
      <w:r w:rsidRPr="00ED60CC">
        <w:t xml:space="preserve"> </w:t>
      </w:r>
      <w:r w:rsidR="00215909" w:rsidRPr="00ED60CC">
        <w:t>in the form of a 40 mg</w:t>
      </w:r>
      <w:r w:rsidR="00BE538F" w:rsidRPr="00ED60CC">
        <w:t xml:space="preserve"> in </w:t>
      </w:r>
      <w:r w:rsidR="00215909" w:rsidRPr="00ED60CC">
        <w:t>0.8 mL pre-filled pen (PFP) and pre-filled syringe (PFS) as</w:t>
      </w:r>
      <w:r w:rsidRPr="00ED60CC">
        <w:t xml:space="preserve"> a biosimilar brand of </w:t>
      </w:r>
      <w:r w:rsidR="00215909" w:rsidRPr="00ED60CC">
        <w:t>Humira on the General Schedule (Section 85) and Section 100 (Highly Specialised Drug Program)</w:t>
      </w:r>
      <w:r w:rsidR="00A67C4D" w:rsidRPr="00ED60CC">
        <w:t xml:space="preserve">. The PBAC’s recommendation for listing was based on, among </w:t>
      </w:r>
      <w:r w:rsidR="00A67C4D" w:rsidRPr="00ED60CC">
        <w:lastRenderedPageBreak/>
        <w:t>other matters, its assessment that the cost-effectiv</w:t>
      </w:r>
      <w:r w:rsidR="00215909" w:rsidRPr="00ED60CC">
        <w:t>e</w:t>
      </w:r>
      <w:r w:rsidR="00A67C4D" w:rsidRPr="00ED60CC">
        <w:t>ness of Idacio PFP and PFS would be acceptable if it were cost-minimised</w:t>
      </w:r>
      <w:r w:rsidR="00431A1B" w:rsidRPr="00ED60CC">
        <w:t xml:space="preserve"> to Humira</w:t>
      </w:r>
      <w:r w:rsidR="00732A84" w:rsidRPr="00ED60CC">
        <w:t xml:space="preserve"> for the following indications:</w:t>
      </w:r>
    </w:p>
    <w:p w:rsidR="00732A84" w:rsidRPr="00ED60CC" w:rsidRDefault="00732A84" w:rsidP="002915BB">
      <w:pPr>
        <w:pStyle w:val="3-BodyText"/>
        <w:numPr>
          <w:ilvl w:val="1"/>
          <w:numId w:val="28"/>
        </w:numPr>
        <w:ind w:left="1077" w:hanging="357"/>
      </w:pPr>
      <w:r w:rsidRPr="00ED60CC">
        <w:t>Severe Crohn disease</w:t>
      </w:r>
    </w:p>
    <w:p w:rsidR="00732A84" w:rsidRPr="00ED60CC" w:rsidRDefault="00732A84" w:rsidP="002915BB">
      <w:pPr>
        <w:pStyle w:val="3-BodyText"/>
        <w:numPr>
          <w:ilvl w:val="1"/>
          <w:numId w:val="28"/>
        </w:numPr>
        <w:ind w:left="1077" w:hanging="357"/>
      </w:pPr>
      <w:r w:rsidRPr="00ED60CC">
        <w:t>Moderate to severe ulcerative colitis</w:t>
      </w:r>
    </w:p>
    <w:p w:rsidR="00732A84" w:rsidRPr="00ED60CC" w:rsidRDefault="00732A84" w:rsidP="002915BB">
      <w:pPr>
        <w:pStyle w:val="3-BodyText"/>
        <w:numPr>
          <w:ilvl w:val="1"/>
          <w:numId w:val="28"/>
        </w:numPr>
        <w:ind w:left="1077" w:hanging="357"/>
      </w:pPr>
      <w:r w:rsidRPr="00ED60CC">
        <w:t>Severe active juvenile idiopathic arthritis</w:t>
      </w:r>
    </w:p>
    <w:p w:rsidR="00732A84" w:rsidRPr="00ED60CC" w:rsidRDefault="00732A84" w:rsidP="002915BB">
      <w:pPr>
        <w:pStyle w:val="3-BodyText"/>
        <w:numPr>
          <w:ilvl w:val="1"/>
          <w:numId w:val="28"/>
        </w:numPr>
        <w:ind w:left="1077" w:hanging="357"/>
      </w:pPr>
      <w:r w:rsidRPr="00ED60CC">
        <w:t>Complex refractory fistulising Crohn disease</w:t>
      </w:r>
    </w:p>
    <w:p w:rsidR="00732A84" w:rsidRPr="00ED60CC" w:rsidRDefault="00732A84" w:rsidP="002915BB">
      <w:pPr>
        <w:pStyle w:val="3-BodyText"/>
        <w:numPr>
          <w:ilvl w:val="1"/>
          <w:numId w:val="28"/>
        </w:numPr>
        <w:ind w:left="1077" w:hanging="357"/>
      </w:pPr>
      <w:r w:rsidRPr="00ED60CC">
        <w:t>Severe active rheumatoid arthritis</w:t>
      </w:r>
    </w:p>
    <w:p w:rsidR="00732A84" w:rsidRPr="00ED60CC" w:rsidRDefault="00732A84" w:rsidP="002915BB">
      <w:pPr>
        <w:pStyle w:val="3-BodyText"/>
        <w:numPr>
          <w:ilvl w:val="1"/>
          <w:numId w:val="28"/>
        </w:numPr>
        <w:ind w:left="1077" w:hanging="357"/>
      </w:pPr>
      <w:r w:rsidRPr="00ED60CC">
        <w:t>Severe psoriatic arthritis</w:t>
      </w:r>
    </w:p>
    <w:p w:rsidR="00732A84" w:rsidRPr="00ED60CC" w:rsidRDefault="00732A84" w:rsidP="002915BB">
      <w:pPr>
        <w:pStyle w:val="3-BodyText"/>
        <w:numPr>
          <w:ilvl w:val="1"/>
          <w:numId w:val="28"/>
        </w:numPr>
        <w:ind w:left="1077" w:hanging="357"/>
      </w:pPr>
      <w:r w:rsidRPr="00ED60CC">
        <w:t>Ankylosing spondylitis</w:t>
      </w:r>
    </w:p>
    <w:p w:rsidR="00732A84" w:rsidRPr="00ED60CC" w:rsidRDefault="00732A84" w:rsidP="002915BB">
      <w:pPr>
        <w:pStyle w:val="3-BodyText"/>
        <w:numPr>
          <w:ilvl w:val="1"/>
          <w:numId w:val="28"/>
        </w:numPr>
        <w:ind w:left="1077" w:hanging="357"/>
      </w:pPr>
      <w:r w:rsidRPr="00ED60CC">
        <w:t>Severe chronic plaque psoriasis</w:t>
      </w:r>
    </w:p>
    <w:p w:rsidR="00732A84" w:rsidRPr="00ED60CC" w:rsidRDefault="00732A84" w:rsidP="002915BB">
      <w:pPr>
        <w:pStyle w:val="3-BodyText"/>
        <w:numPr>
          <w:ilvl w:val="1"/>
          <w:numId w:val="28"/>
        </w:numPr>
        <w:ind w:left="1077" w:hanging="357"/>
      </w:pPr>
      <w:r w:rsidRPr="00ED60CC">
        <w:t>Moderate to severe hidradenitis suppurativa</w:t>
      </w:r>
    </w:p>
    <w:p w:rsidR="007E38A9" w:rsidRPr="00ED60CC" w:rsidRDefault="007E38A9" w:rsidP="007E38A9">
      <w:pPr>
        <w:pStyle w:val="3-BodyText"/>
      </w:pPr>
      <w:r w:rsidRPr="00ED60CC">
        <w:t xml:space="preserve">The PBAC noted the </w:t>
      </w:r>
      <w:r w:rsidR="007541A6" w:rsidRPr="00ED60CC">
        <w:t xml:space="preserve">sponsor for Idacio had not pursued PBAC listing of </w:t>
      </w:r>
      <w:r w:rsidRPr="00ED60CC">
        <w:t xml:space="preserve">PFP and PFS dose forms </w:t>
      </w:r>
      <w:r w:rsidR="007541A6" w:rsidRPr="00ED60CC">
        <w:t xml:space="preserve">for </w:t>
      </w:r>
      <w:r w:rsidRPr="00ED60CC">
        <w:t>the following paediatric indications due to the absence of a 20</w:t>
      </w:r>
      <w:r w:rsidR="001F1023" w:rsidRPr="00ED60CC">
        <w:t> </w:t>
      </w:r>
      <w:r w:rsidRPr="00ED60CC">
        <w:t>mg/0.4</w:t>
      </w:r>
      <w:r w:rsidR="001F1023" w:rsidRPr="00ED60CC">
        <w:t> </w:t>
      </w:r>
      <w:r w:rsidRPr="00ED60CC">
        <w:t>mL injection presentation of Idacio:</w:t>
      </w:r>
    </w:p>
    <w:p w:rsidR="007E38A9" w:rsidRPr="00ED60CC" w:rsidRDefault="007E38A9" w:rsidP="002915BB">
      <w:pPr>
        <w:pStyle w:val="ListParagraph"/>
        <w:widowControl w:val="0"/>
        <w:numPr>
          <w:ilvl w:val="1"/>
          <w:numId w:val="2"/>
        </w:numPr>
        <w:ind w:left="1077" w:hanging="357"/>
        <w:jc w:val="both"/>
        <w:rPr>
          <w:rFonts w:cstheme="minorBidi"/>
          <w:szCs w:val="22"/>
        </w:rPr>
      </w:pPr>
      <w:r w:rsidRPr="00ED60CC">
        <w:rPr>
          <w:rFonts w:cstheme="minorBidi"/>
          <w:szCs w:val="22"/>
        </w:rPr>
        <w:t>Paediatric patients with severe Crohn disease: treatment for patients weighing less than 40 kg (Humira PBS codes 10389T, 10396E, 10422M)</w:t>
      </w:r>
    </w:p>
    <w:p w:rsidR="007E38A9" w:rsidRPr="00ED60CC" w:rsidRDefault="007E38A9" w:rsidP="002915BB">
      <w:pPr>
        <w:pStyle w:val="ListParagraph"/>
        <w:widowControl w:val="0"/>
        <w:numPr>
          <w:ilvl w:val="1"/>
          <w:numId w:val="2"/>
        </w:numPr>
        <w:ind w:left="1077" w:hanging="357"/>
        <w:jc w:val="both"/>
        <w:rPr>
          <w:rFonts w:cstheme="minorBidi"/>
          <w:szCs w:val="22"/>
        </w:rPr>
      </w:pPr>
      <w:r w:rsidRPr="00ED60CC">
        <w:rPr>
          <w:rFonts w:cstheme="minorBidi"/>
          <w:szCs w:val="22"/>
        </w:rPr>
        <w:lastRenderedPageBreak/>
        <w:t>Patients with moderate to severe ulcerative colitis: treatment for patients weighing less than 40 kg (Humira PBS codes 11121H, 11127P)</w:t>
      </w:r>
    </w:p>
    <w:p w:rsidR="007E38A9" w:rsidRPr="00ED60CC" w:rsidRDefault="007E38A9" w:rsidP="002915BB">
      <w:pPr>
        <w:pStyle w:val="ListParagraph"/>
        <w:widowControl w:val="0"/>
        <w:numPr>
          <w:ilvl w:val="1"/>
          <w:numId w:val="2"/>
        </w:numPr>
        <w:ind w:left="1077" w:hanging="357"/>
        <w:jc w:val="both"/>
        <w:rPr>
          <w:rFonts w:cstheme="minorBidi"/>
          <w:szCs w:val="22"/>
        </w:rPr>
      </w:pPr>
      <w:r w:rsidRPr="00ED60CC">
        <w:rPr>
          <w:rFonts w:cstheme="minorBidi"/>
          <w:szCs w:val="22"/>
        </w:rPr>
        <w:t>Patients with severe juvenile idiopathic arthritis: treatment for patients weighing less than 30 kg (Humira PBS codes 9661L, 9678J).</w:t>
      </w:r>
    </w:p>
    <w:p w:rsidR="00616280" w:rsidRPr="00ED60CC" w:rsidRDefault="00A67C4D">
      <w:pPr>
        <w:pStyle w:val="3-BodyText"/>
      </w:pPr>
      <w:r w:rsidRPr="00ED60CC">
        <w:t xml:space="preserve">The PBAC did not recommend the listing of </w:t>
      </w:r>
      <w:r w:rsidR="007C4B96" w:rsidRPr="00ED60CC">
        <w:t xml:space="preserve">Idacio in </w:t>
      </w:r>
      <w:r w:rsidRPr="00ED60CC">
        <w:t xml:space="preserve">the </w:t>
      </w:r>
      <w:r w:rsidR="007E38A9" w:rsidRPr="00ED60CC">
        <w:t>40 mg/</w:t>
      </w:r>
      <w:r w:rsidRPr="00ED60CC">
        <w:t>0.8 mL vial</w:t>
      </w:r>
      <w:r w:rsidR="007C4B96" w:rsidRPr="00ED60CC">
        <w:t xml:space="preserve"> form. The </w:t>
      </w:r>
      <w:r w:rsidR="007E38A9" w:rsidRPr="00ED60CC">
        <w:t xml:space="preserve">PBAC noted the request was for the vial to be listed for paediatric use only. </w:t>
      </w:r>
      <w:r w:rsidR="003D1B09" w:rsidRPr="00ED60CC">
        <w:t>Although a vial form was recommended in July 2017, t</w:t>
      </w:r>
      <w:r w:rsidR="007E38A9" w:rsidRPr="00ED60CC">
        <w:t xml:space="preserve">he </w:t>
      </w:r>
      <w:r w:rsidR="007C4B96" w:rsidRPr="00ED60CC">
        <w:t xml:space="preserve">PBAC considered there was </w:t>
      </w:r>
      <w:r w:rsidRPr="00ED60CC">
        <w:t xml:space="preserve">not a sufficient clinical need </w:t>
      </w:r>
      <w:r w:rsidR="003D1B09" w:rsidRPr="00ED60CC">
        <w:t xml:space="preserve">at this time </w:t>
      </w:r>
      <w:r w:rsidRPr="00ED60CC">
        <w:t>to support the listing</w:t>
      </w:r>
      <w:r w:rsidR="007E38A9" w:rsidRPr="00ED60CC">
        <w:t xml:space="preserve"> given the </w:t>
      </w:r>
      <w:r w:rsidR="00CC6BB0" w:rsidRPr="00ED60CC">
        <w:t>20</w:t>
      </w:r>
      <w:r w:rsidR="001F1023" w:rsidRPr="00ED60CC">
        <w:t> </w:t>
      </w:r>
      <w:r w:rsidR="00CC6BB0" w:rsidRPr="00ED60CC">
        <w:t>mg/0.4</w:t>
      </w:r>
      <w:r w:rsidR="001F1023" w:rsidRPr="00ED60CC">
        <w:t> </w:t>
      </w:r>
      <w:r w:rsidR="00CC6BB0" w:rsidRPr="00ED60CC">
        <w:t>mL syringe was</w:t>
      </w:r>
      <w:r w:rsidR="007E38A9" w:rsidRPr="00ED60CC">
        <w:t xml:space="preserve"> currently available for paediatric listings and </w:t>
      </w:r>
      <w:r w:rsidR="00616280" w:rsidRPr="00ED60CC">
        <w:t xml:space="preserve">the need for a vial in the outpatient </w:t>
      </w:r>
      <w:r w:rsidR="000913C5" w:rsidRPr="00ED60CC">
        <w:t xml:space="preserve">paediatric </w:t>
      </w:r>
      <w:r w:rsidR="00616280" w:rsidRPr="00ED60CC">
        <w:t>population was minimal</w:t>
      </w:r>
      <w:r w:rsidR="007E38A9" w:rsidRPr="00ED60CC">
        <w:t xml:space="preserve">. Additionally, the PBAC noted that </w:t>
      </w:r>
      <w:r w:rsidR="00616280" w:rsidRPr="00ED60CC">
        <w:t xml:space="preserve">having a 40 mg/0.8 mL vial </w:t>
      </w:r>
      <w:r w:rsidR="0036520D" w:rsidRPr="00ED60CC">
        <w:t>alternative</w:t>
      </w:r>
      <w:r w:rsidR="00616280" w:rsidRPr="00ED60CC">
        <w:t xml:space="preserve"> to the </w:t>
      </w:r>
      <w:r w:rsidR="007E38A9" w:rsidRPr="00ED60CC">
        <w:t xml:space="preserve">currently listed </w:t>
      </w:r>
      <w:r w:rsidR="00616280" w:rsidRPr="00ED60CC">
        <w:t xml:space="preserve">20 mg/0.4 mL </w:t>
      </w:r>
      <w:r w:rsidR="00CC6BB0" w:rsidRPr="00ED60CC">
        <w:t xml:space="preserve">syringe </w:t>
      </w:r>
      <w:r w:rsidR="00616280" w:rsidRPr="00ED60CC">
        <w:t xml:space="preserve">may cause confusion and </w:t>
      </w:r>
      <w:r w:rsidR="007E38A9" w:rsidRPr="00ED60CC">
        <w:t>would result in wastage</w:t>
      </w:r>
      <w:r w:rsidR="007541A6" w:rsidRPr="00ED60CC">
        <w:t xml:space="preserve"> of medicine</w:t>
      </w:r>
      <w:r w:rsidR="00616280" w:rsidRPr="00ED60CC">
        <w:t>.</w:t>
      </w:r>
    </w:p>
    <w:p w:rsidR="007541A6" w:rsidRPr="00ED60CC" w:rsidRDefault="00C21364" w:rsidP="007541A6">
      <w:pPr>
        <w:pStyle w:val="3-BodyText"/>
      </w:pPr>
      <w:r w:rsidRPr="00ED60CC">
        <w:t>The PBAC advised</w:t>
      </w:r>
      <w:r w:rsidR="001E0EC3" w:rsidRPr="00ED60CC">
        <w:t xml:space="preserve"> the equi-effect</w:t>
      </w:r>
      <w:r w:rsidR="00C34B1B" w:rsidRPr="00ED60CC">
        <w:t>ive doses to be</w:t>
      </w:r>
      <w:r w:rsidR="001E0EC3" w:rsidRPr="00ED60CC">
        <w:t xml:space="preserve"> </w:t>
      </w:r>
      <w:r w:rsidRPr="00ED60CC">
        <w:t xml:space="preserve">a </w:t>
      </w:r>
      <w:r w:rsidRPr="00ED60CC">
        <w:rPr>
          <w:snapToGrid/>
          <w:lang w:eastAsia="en-AU"/>
        </w:rPr>
        <w:t>1:1 unit equivalence for Idacio to Humira and all other biosimilar brands and formulations of adalimumab.</w:t>
      </w:r>
      <w:r w:rsidR="007541A6" w:rsidRPr="00ED60CC">
        <w:t xml:space="preserve"> </w:t>
      </w:r>
    </w:p>
    <w:p w:rsidR="00616280" w:rsidRPr="00ED60CC" w:rsidRDefault="005174BE" w:rsidP="00160C32">
      <w:pPr>
        <w:pStyle w:val="3-BodyText"/>
        <w:rPr>
          <w:b/>
        </w:rPr>
      </w:pPr>
      <w:r w:rsidRPr="00ED60CC">
        <w:rPr>
          <w:snapToGrid/>
          <w:lang w:eastAsia="en-AU"/>
        </w:rPr>
        <w:t>The PBAC considered that the claim of non-inferior comparative effectiveness and safety for Idacio compared to Humira was reasonably sup</w:t>
      </w:r>
      <w:r w:rsidRPr="00ED60CC">
        <w:rPr>
          <w:snapToGrid/>
          <w:lang w:eastAsia="en-AU"/>
        </w:rPr>
        <w:lastRenderedPageBreak/>
        <w:t xml:space="preserve">ported by the data. The </w:t>
      </w:r>
      <w:r w:rsidR="00160C32" w:rsidRPr="00ED60CC">
        <w:t>TGA Delegate noted that there were no significant differences found in the main clinical study, Study EMR200588-002</w:t>
      </w:r>
      <w:r w:rsidR="004B482C" w:rsidRPr="00ED60CC">
        <w:t>,</w:t>
      </w:r>
      <w:r w:rsidR="00160C32" w:rsidRPr="00ED60CC">
        <w:t xml:space="preserve"> when Idacio was compared to Humira.</w:t>
      </w:r>
    </w:p>
    <w:p w:rsidR="00616280" w:rsidRPr="00ED60CC" w:rsidRDefault="00616280" w:rsidP="005E0865">
      <w:pPr>
        <w:pStyle w:val="3-BodyText"/>
        <w:rPr>
          <w:b/>
        </w:rPr>
      </w:pPr>
      <w:r w:rsidRPr="00ED60CC">
        <w:rPr>
          <w:rFonts w:cstheme="minorHAnsi"/>
        </w:rPr>
        <w:t xml:space="preserve">The PBAC noted that the sponsor intended to supply only the pack size of </w:t>
      </w:r>
      <w:r w:rsidR="00C34B1B" w:rsidRPr="00ED60CC">
        <w:rPr>
          <w:rFonts w:cstheme="minorHAnsi"/>
        </w:rPr>
        <w:t xml:space="preserve">2 for </w:t>
      </w:r>
      <w:r w:rsidRPr="00ED60CC">
        <w:rPr>
          <w:rFonts w:cstheme="minorHAnsi"/>
        </w:rPr>
        <w:t>PFP</w:t>
      </w:r>
      <w:r w:rsidR="00C34B1B" w:rsidRPr="00ED60CC">
        <w:rPr>
          <w:rFonts w:cstheme="minorHAnsi"/>
        </w:rPr>
        <w:t xml:space="preserve"> and </w:t>
      </w:r>
      <w:r w:rsidRPr="00ED60CC">
        <w:rPr>
          <w:rFonts w:cstheme="minorHAnsi"/>
        </w:rPr>
        <w:t xml:space="preserve">PFS. Where Humira has pack sizes of 4 and 6 listed for certain treatment phases and conditions, the PBAC considered </w:t>
      </w:r>
      <w:r w:rsidR="00C34B1B" w:rsidRPr="00ED60CC">
        <w:rPr>
          <w:rFonts w:cstheme="minorHAnsi"/>
        </w:rPr>
        <w:t xml:space="preserve">it would be </w:t>
      </w:r>
      <w:r w:rsidRPr="00ED60CC">
        <w:rPr>
          <w:rFonts w:cstheme="minorHAnsi"/>
        </w:rPr>
        <w:t xml:space="preserve">appropriate to list Idacio with equivalent maximum </w:t>
      </w:r>
      <w:r w:rsidR="0036520D" w:rsidRPr="00ED60CC">
        <w:rPr>
          <w:rFonts w:cstheme="minorHAnsi"/>
        </w:rPr>
        <w:t>quantity</w:t>
      </w:r>
      <w:r w:rsidRPr="00ED60CC">
        <w:rPr>
          <w:rFonts w:cstheme="minorHAnsi"/>
        </w:rPr>
        <w:t xml:space="preserve"> units to provide the same number of injections (i.e. maximum quantities of 2 and 3 for PFP/PFS in place of the 4- and 6-pack respectively). The PBAC noted that this approach was consistent with the PBAC’s recommendation for Hyrimoz</w:t>
      </w:r>
      <w:r w:rsidR="00037859" w:rsidRPr="00ED60CC">
        <w:rPr>
          <w:rFonts w:cstheme="minorHAnsi"/>
        </w:rPr>
        <w:t xml:space="preserve">. The PBAC also noted </w:t>
      </w:r>
      <w:r w:rsidRPr="00ED60CC">
        <w:rPr>
          <w:rFonts w:cstheme="minorHAnsi"/>
        </w:rPr>
        <w:t xml:space="preserve">that </w:t>
      </w:r>
      <w:r w:rsidR="00037859" w:rsidRPr="00ED60CC">
        <w:rPr>
          <w:rFonts w:cstheme="minorHAnsi"/>
        </w:rPr>
        <w:t xml:space="preserve">new PBS item codes may need to be created for Idacio for </w:t>
      </w:r>
      <w:r w:rsidRPr="00ED60CC">
        <w:rPr>
          <w:rFonts w:cstheme="minorHAnsi"/>
        </w:rPr>
        <w:t>the different maximum quantities.</w:t>
      </w:r>
    </w:p>
    <w:p w:rsidR="00B124D1" w:rsidRPr="00ED60CC" w:rsidRDefault="00B124D1" w:rsidP="00B124D1">
      <w:pPr>
        <w:pStyle w:val="3-BodyText"/>
        <w:rPr>
          <w:rFonts w:cstheme="minorHAnsi"/>
          <w:szCs w:val="24"/>
        </w:rPr>
      </w:pPr>
      <w:r w:rsidRPr="00ED60CC">
        <w:rPr>
          <w:rFonts w:cstheme="minorHAnsi"/>
          <w:szCs w:val="24"/>
        </w:rPr>
        <w:t>The PBAC considered that the following biosimilar uptake drivers should be applied to Idacio</w:t>
      </w:r>
      <w:r w:rsidR="00A67C4D" w:rsidRPr="00ED60CC">
        <w:rPr>
          <w:rFonts w:cstheme="minorHAnsi"/>
          <w:szCs w:val="24"/>
        </w:rPr>
        <w:t xml:space="preserve"> PFP and PFS</w:t>
      </w:r>
      <w:r w:rsidRPr="00ED60CC">
        <w:rPr>
          <w:rFonts w:cstheme="minorHAnsi"/>
          <w:szCs w:val="24"/>
        </w:rPr>
        <w:t>, consistent with its previous recommendations regarding the application of these drivers to other biosimilar brands of adalimumab:</w:t>
      </w:r>
    </w:p>
    <w:p w:rsidR="00B124D1" w:rsidRPr="00ED60CC" w:rsidRDefault="00B124D1" w:rsidP="002915BB">
      <w:pPr>
        <w:pStyle w:val="3-BodyText"/>
        <w:numPr>
          <w:ilvl w:val="1"/>
          <w:numId w:val="29"/>
        </w:numPr>
        <w:ind w:left="1077" w:hanging="357"/>
        <w:rPr>
          <w:rFonts w:cstheme="minorHAnsi"/>
          <w:szCs w:val="24"/>
        </w:rPr>
      </w:pPr>
      <w:r w:rsidRPr="00ED60CC">
        <w:rPr>
          <w:rFonts w:cstheme="minorHAnsi"/>
          <w:szCs w:val="24"/>
        </w:rPr>
        <w:t>Retain the Initial 1 and 2 restrictions as Authority Required (written) benefits.</w:t>
      </w:r>
    </w:p>
    <w:p w:rsidR="00B124D1" w:rsidRPr="00ED60CC" w:rsidRDefault="00B124D1" w:rsidP="002915BB">
      <w:pPr>
        <w:pStyle w:val="3-BodyText"/>
        <w:numPr>
          <w:ilvl w:val="1"/>
          <w:numId w:val="29"/>
        </w:numPr>
        <w:ind w:left="1077" w:hanging="357"/>
        <w:rPr>
          <w:rFonts w:cstheme="minorHAnsi"/>
          <w:szCs w:val="24"/>
        </w:rPr>
      </w:pPr>
      <w:r w:rsidRPr="00ED60CC">
        <w:rPr>
          <w:rFonts w:cstheme="minorHAnsi"/>
          <w:szCs w:val="24"/>
        </w:rPr>
        <w:lastRenderedPageBreak/>
        <w:t>Split the continuation criteria into ‘first continuing’ and ‘subsequent continuing’, to allow for the subsequent continuing restriction for Idacio to be Streamlined Authority</w:t>
      </w:r>
      <w:r w:rsidR="00C46E6D" w:rsidRPr="00ED60CC">
        <w:rPr>
          <w:rFonts w:cstheme="minorHAnsi"/>
          <w:szCs w:val="24"/>
        </w:rPr>
        <w:t>,</w:t>
      </w:r>
      <w:r w:rsidRPr="00ED60CC">
        <w:rPr>
          <w:rFonts w:cstheme="minorHAnsi"/>
          <w:szCs w:val="24"/>
        </w:rPr>
        <w:t xml:space="preserve"> while the subsequent continuing restriction for Humira will remain as a written authority.</w:t>
      </w:r>
    </w:p>
    <w:p w:rsidR="00B124D1" w:rsidRPr="00ED60CC" w:rsidRDefault="00C46E6D" w:rsidP="002915BB">
      <w:pPr>
        <w:pStyle w:val="3-BodyText"/>
        <w:numPr>
          <w:ilvl w:val="1"/>
          <w:numId w:val="29"/>
        </w:numPr>
        <w:ind w:left="1077" w:hanging="357"/>
        <w:rPr>
          <w:rFonts w:cstheme="minorHAnsi"/>
          <w:szCs w:val="24"/>
        </w:rPr>
      </w:pPr>
      <w:r w:rsidRPr="00ED60CC">
        <w:rPr>
          <w:rFonts w:cstheme="minorHAnsi"/>
          <w:szCs w:val="24"/>
        </w:rPr>
        <w:t xml:space="preserve">The application of the ‘Biosimilar prescribing policy’ </w:t>
      </w:r>
      <w:r w:rsidR="00B124D1" w:rsidRPr="00ED60CC">
        <w:rPr>
          <w:rFonts w:cstheme="minorHAnsi"/>
          <w:szCs w:val="24"/>
        </w:rPr>
        <w:t>administrative note encouraging</w:t>
      </w:r>
      <w:r w:rsidRPr="00ED60CC">
        <w:rPr>
          <w:rFonts w:cstheme="minorHAnsi"/>
          <w:szCs w:val="24"/>
        </w:rPr>
        <w:t xml:space="preserve"> the use of</w:t>
      </w:r>
      <w:r w:rsidR="00B124D1" w:rsidRPr="00ED60CC">
        <w:rPr>
          <w:rFonts w:cstheme="minorHAnsi"/>
          <w:szCs w:val="24"/>
        </w:rPr>
        <w:t xml:space="preserve"> biosimilar </w:t>
      </w:r>
      <w:r w:rsidRPr="00ED60CC">
        <w:rPr>
          <w:rFonts w:cstheme="minorHAnsi"/>
          <w:szCs w:val="24"/>
        </w:rPr>
        <w:t xml:space="preserve">brands </w:t>
      </w:r>
      <w:r w:rsidR="00B124D1" w:rsidRPr="00ED60CC">
        <w:rPr>
          <w:rFonts w:cstheme="minorHAnsi"/>
          <w:szCs w:val="24"/>
        </w:rPr>
        <w:t>for treatment</w:t>
      </w:r>
      <w:r w:rsidRPr="00ED60CC">
        <w:rPr>
          <w:rFonts w:cstheme="minorHAnsi"/>
          <w:szCs w:val="24"/>
        </w:rPr>
        <w:t xml:space="preserve"> </w:t>
      </w:r>
      <w:r w:rsidR="00B124D1" w:rsidRPr="00ED60CC">
        <w:rPr>
          <w:rFonts w:cstheme="minorHAnsi"/>
          <w:szCs w:val="24"/>
        </w:rPr>
        <w:t>naïve patients:</w:t>
      </w:r>
    </w:p>
    <w:p w:rsidR="00B124D1" w:rsidRPr="00ED60CC" w:rsidRDefault="00B124D1" w:rsidP="002915BB">
      <w:pPr>
        <w:pStyle w:val="3-BodyText"/>
        <w:numPr>
          <w:ilvl w:val="0"/>
          <w:numId w:val="0"/>
        </w:numPr>
        <w:ind w:left="1077"/>
        <w:jc w:val="left"/>
        <w:rPr>
          <w:rFonts w:cstheme="minorHAnsi"/>
          <w:b/>
          <w:i/>
          <w:szCs w:val="24"/>
        </w:rPr>
      </w:pPr>
      <w:r w:rsidRPr="00ED60CC">
        <w:rPr>
          <w:rFonts w:cstheme="minorHAnsi"/>
          <w:b/>
          <w:i/>
          <w:szCs w:val="24"/>
        </w:rPr>
        <w:t>Note</w:t>
      </w:r>
      <w:r w:rsidRPr="00ED60CC">
        <w:rPr>
          <w:rFonts w:cstheme="minorHAnsi"/>
          <w:b/>
          <w:i/>
          <w:szCs w:val="24"/>
        </w:rPr>
        <w:br/>
        <w:t>Biosimilar prescribing policy</w:t>
      </w:r>
      <w:r w:rsidRPr="00ED60CC">
        <w:rPr>
          <w:rFonts w:cstheme="minorHAnsi"/>
          <w:b/>
          <w:i/>
          <w:szCs w:val="24"/>
        </w:rPr>
        <w:br/>
      </w:r>
      <w:r w:rsidRPr="00ED60CC">
        <w:rPr>
          <w:rFonts w:cstheme="minorHAnsi"/>
          <w:i/>
          <w:szCs w:val="24"/>
        </w:rPr>
        <w:t>Prescribing of the biosimilar brand IDACIO is encouraged for treatment naïve patients.</w:t>
      </w:r>
    </w:p>
    <w:p w:rsidR="00B124D1" w:rsidRPr="00ED60CC" w:rsidRDefault="00B124D1" w:rsidP="002915BB">
      <w:pPr>
        <w:pStyle w:val="3-BodyText"/>
        <w:numPr>
          <w:ilvl w:val="0"/>
          <w:numId w:val="0"/>
        </w:numPr>
        <w:ind w:left="1077"/>
        <w:jc w:val="left"/>
        <w:rPr>
          <w:rFonts w:cstheme="minorHAnsi"/>
          <w:b/>
          <w:i/>
          <w:szCs w:val="24"/>
        </w:rPr>
      </w:pPr>
      <w:r w:rsidRPr="00ED60CC">
        <w:rPr>
          <w:rFonts w:cstheme="minorHAnsi"/>
          <w:i/>
          <w:szCs w:val="24"/>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p w:rsidR="005E0865" w:rsidRPr="00ED60CC" w:rsidRDefault="005E0865" w:rsidP="005E0865">
      <w:pPr>
        <w:pStyle w:val="ListParagraph"/>
        <w:numPr>
          <w:ilvl w:val="1"/>
          <w:numId w:val="1"/>
        </w:numPr>
        <w:spacing w:before="120"/>
        <w:jc w:val="both"/>
        <w:rPr>
          <w:rFonts w:cstheme="minorHAnsi"/>
        </w:rPr>
      </w:pPr>
      <w:r w:rsidRPr="00ED60CC">
        <w:rPr>
          <w:rFonts w:cstheme="minorHAnsi"/>
        </w:rPr>
        <w:t xml:space="preserve">The PBAC </w:t>
      </w:r>
      <w:r w:rsidR="00B124D1" w:rsidRPr="00ED60CC">
        <w:rPr>
          <w:rFonts w:cstheme="minorHAnsi"/>
        </w:rPr>
        <w:t xml:space="preserve">reiterated its previous advice </w:t>
      </w:r>
      <w:r w:rsidRPr="00ED60CC">
        <w:rPr>
          <w:rFonts w:cstheme="minorHAnsi"/>
        </w:rPr>
        <w:t>that adalimumab should not available for nurse practitioner prescribing.</w:t>
      </w:r>
    </w:p>
    <w:p w:rsidR="00B124D1" w:rsidRPr="00ED60CC" w:rsidRDefault="005E0865" w:rsidP="005E0865">
      <w:pPr>
        <w:pStyle w:val="ListParagraph"/>
        <w:numPr>
          <w:ilvl w:val="1"/>
          <w:numId w:val="1"/>
        </w:numPr>
        <w:spacing w:before="120"/>
        <w:jc w:val="both"/>
        <w:rPr>
          <w:rFonts w:cstheme="minorHAnsi"/>
        </w:rPr>
      </w:pPr>
      <w:r w:rsidRPr="00ED60CC">
        <w:rPr>
          <w:rFonts w:cstheme="minorHAnsi"/>
        </w:rPr>
        <w:lastRenderedPageBreak/>
        <w:t>The PBAC has previously considered that adalimumab should not be exempt from the Early Supply Rule.</w:t>
      </w:r>
    </w:p>
    <w:p w:rsidR="00A32119" w:rsidRPr="00ED60CC" w:rsidRDefault="00EC4ACC" w:rsidP="00CC6BB0">
      <w:pPr>
        <w:pStyle w:val="3-BodyText"/>
        <w:rPr>
          <w:b/>
        </w:rPr>
      </w:pPr>
      <w:r w:rsidRPr="00ED60CC">
        <w:t xml:space="preserve">The PBAC advised that, under Section 101(4AACD) of the </w:t>
      </w:r>
      <w:r w:rsidRPr="00ED60CC">
        <w:rPr>
          <w:i/>
        </w:rPr>
        <w:t>National Health Act 1953</w:t>
      </w:r>
      <w:r w:rsidRPr="00ED60CC">
        <w:t xml:space="preserve">, in the Schedule of Pharmaceutical Benefits, Idacio, Amgevita, Hadlima, Hyrimoz and Humira pre-filled syringes should be treated as equivalent </w:t>
      </w:r>
      <w:r w:rsidR="003B7D77" w:rsidRPr="00ED60CC">
        <w:t xml:space="preserve">(‘a’ flagged) </w:t>
      </w:r>
      <w:r w:rsidRPr="00ED60CC">
        <w:t xml:space="preserve">to each other; and Idacio, Amgevita, Hadlima, Hyrimoz and Humira pre-filled pens should be treated as equivalent </w:t>
      </w:r>
      <w:r w:rsidR="003B7D77" w:rsidRPr="00ED60CC">
        <w:t xml:space="preserve">(‘a’ flagged) </w:t>
      </w:r>
      <w:r w:rsidRPr="00ED60CC">
        <w:t>to each other f</w:t>
      </w:r>
      <w:r w:rsidR="00C34B1B" w:rsidRPr="00ED60CC">
        <w:t>or the purpose of substitution</w:t>
      </w:r>
      <w:r w:rsidR="00891018" w:rsidRPr="00ED60CC">
        <w:t>, for respective PBS-listed indications</w:t>
      </w:r>
      <w:r w:rsidRPr="00ED60CC">
        <w:t>. The PBAC noted its previous advice that the different dose forms of adalimumab (i.e. vial, PFS and auto-injector forms) should not be considered equivalent for the purpose of substitution (i.e. ‘a’ flagged on the Schedule) due to the differences in the administration techniques between the devices (paragraph 9.1, Humira PSD, July 2017 PBAC meeting).</w:t>
      </w:r>
    </w:p>
    <w:p w:rsidR="00A32119" w:rsidRPr="00ED60CC" w:rsidRDefault="00A32119" w:rsidP="00A32119">
      <w:pPr>
        <w:pStyle w:val="Bodytextitalics"/>
        <w:numPr>
          <w:ilvl w:val="1"/>
          <w:numId w:val="1"/>
        </w:numPr>
        <w:rPr>
          <w:rFonts w:cs="Arial"/>
          <w:bCs/>
          <w:i w:val="0"/>
        </w:rPr>
      </w:pPr>
      <w:r w:rsidRPr="00ED60CC">
        <w:rPr>
          <w:i w:val="0"/>
        </w:rPr>
        <w:t xml:space="preserve"> The PBAC noted that its recommendation was on a cost-minimisation basis and advised that, because Idacio</w:t>
      </w:r>
      <w:r w:rsidRPr="00ED60CC">
        <w:rPr>
          <w:rFonts w:cs="Arial"/>
          <w:bCs/>
          <w:i w:val="0"/>
        </w:rPr>
        <w:t xml:space="preserve"> </w:t>
      </w:r>
      <w:r w:rsidRPr="00ED60CC">
        <w:rPr>
          <w:i w:val="0"/>
        </w:rPr>
        <w:t xml:space="preserve">is not expected to provide a substantial and clinically relevant improvement in efficacy, or reduction of toxicity over Humira, or not expected to address a high and urgent unmet clinical need given the presence of an alternative therapy, the criteria prescribed by the </w:t>
      </w:r>
      <w:r w:rsidRPr="00ED60CC">
        <w:t xml:space="preserve">National Health (Pharmaceuticals and </w:t>
      </w:r>
      <w:r w:rsidRPr="00ED60CC">
        <w:lastRenderedPageBreak/>
        <w:t>Vaccines – Cost Recovery) Regulations 2009</w:t>
      </w:r>
      <w:r w:rsidRPr="00ED60CC">
        <w:rPr>
          <w:i w:val="0"/>
        </w:rPr>
        <w:t xml:space="preserve"> for Pricing Pathway A were not met.</w:t>
      </w:r>
    </w:p>
    <w:p w:rsidR="005E0865" w:rsidRPr="00ED60CC" w:rsidRDefault="005E0865" w:rsidP="00C008CA">
      <w:pPr>
        <w:pStyle w:val="3-BodyText"/>
      </w:pPr>
      <w:r w:rsidRPr="00ED60CC">
        <w:t>The</w:t>
      </w:r>
      <w:r w:rsidR="00B124D1" w:rsidRPr="00ED60CC">
        <w:t xml:space="preserve"> PBAC </w:t>
      </w:r>
      <w:r w:rsidR="003A7CD1" w:rsidRPr="00ED60CC">
        <w:t xml:space="preserve">advised that this submission </w:t>
      </w:r>
      <w:r w:rsidR="00B124D1" w:rsidRPr="00ED60CC">
        <w:t>is not eligible</w:t>
      </w:r>
      <w:r w:rsidRPr="00ED60CC">
        <w:t xml:space="preserve"> for an </w:t>
      </w:r>
      <w:r w:rsidR="003A7CD1" w:rsidRPr="00ED60CC">
        <w:t>I</w:t>
      </w:r>
      <w:r w:rsidRPr="00ED60CC">
        <w:t xml:space="preserve">ndependent </w:t>
      </w:r>
      <w:r w:rsidR="003A7CD1" w:rsidRPr="00ED60CC">
        <w:t>R</w:t>
      </w:r>
      <w:r w:rsidRPr="00ED60CC">
        <w:t>eview as it</w:t>
      </w:r>
      <w:r w:rsidR="00B124D1" w:rsidRPr="00ED60CC">
        <w:t xml:space="preserve"> received a positive </w:t>
      </w:r>
      <w:r w:rsidRPr="00ED60CC">
        <w:t>recommend</w:t>
      </w:r>
      <w:r w:rsidR="00B124D1" w:rsidRPr="00ED60CC">
        <w:t>ation</w:t>
      </w:r>
      <w:r w:rsidRPr="00ED60CC">
        <w:t>.</w:t>
      </w:r>
    </w:p>
    <w:p w:rsidR="00330092" w:rsidRPr="00ED60CC" w:rsidRDefault="00330092" w:rsidP="00C008CA">
      <w:pPr>
        <w:pStyle w:val="3-BodyText"/>
        <w:numPr>
          <w:ilvl w:val="0"/>
          <w:numId w:val="0"/>
        </w:numPr>
      </w:pPr>
      <w:r w:rsidRPr="00ED60CC">
        <w:rPr>
          <w:b/>
        </w:rPr>
        <w:t>Outcome</w:t>
      </w:r>
      <w:r w:rsidR="005B67C3" w:rsidRPr="00ED60CC">
        <w:rPr>
          <w:b/>
        </w:rPr>
        <w:t xml:space="preserve">: </w:t>
      </w:r>
      <w:r w:rsidR="009159D3" w:rsidRPr="00ED60CC">
        <w:rPr>
          <w:b/>
        </w:rPr>
        <w:br/>
      </w:r>
      <w:r w:rsidR="009159D3" w:rsidRPr="00ED60CC">
        <w:t>Recommended</w:t>
      </w:r>
    </w:p>
    <w:p w:rsidR="001C1CB8" w:rsidRPr="00ED60CC" w:rsidRDefault="001C1CB8" w:rsidP="00C008CA">
      <w:pPr>
        <w:pStyle w:val="2-SectionHeading"/>
      </w:pPr>
      <w:r w:rsidRPr="00ED60CC">
        <w:t>Recommended listing</w:t>
      </w:r>
    </w:p>
    <w:p w:rsidR="00460503" w:rsidRPr="00ED60CC" w:rsidRDefault="00460503" w:rsidP="00460503">
      <w:pPr>
        <w:pStyle w:val="3-BodyText"/>
      </w:pPr>
      <w:r w:rsidRPr="00ED60CC">
        <w:t xml:space="preserve">Add new adalimumab </w:t>
      </w:r>
      <w:r w:rsidR="00760240" w:rsidRPr="00ED60CC">
        <w:t>brand</w:t>
      </w:r>
      <w:r w:rsidR="00F54D83" w:rsidRPr="00ED60CC">
        <w:t xml:space="preserve"> (Idacio)</w:t>
      </w:r>
      <w:r w:rsidR="00760240" w:rsidRPr="00ED60CC">
        <w:t xml:space="preserve"> with schedule equivalence (‘a’ flag) for the same indications as Humira, except for:</w:t>
      </w:r>
    </w:p>
    <w:p w:rsidR="00760240" w:rsidRPr="00ED60CC" w:rsidRDefault="00760240" w:rsidP="002915BB">
      <w:pPr>
        <w:pStyle w:val="3-BodyText"/>
        <w:numPr>
          <w:ilvl w:val="0"/>
          <w:numId w:val="27"/>
        </w:numPr>
        <w:ind w:left="1077" w:hanging="357"/>
      </w:pPr>
      <w:r w:rsidRPr="00ED60CC">
        <w:t>Paediatric patients with severe Crohn disease: treatment for patients weighing less than 40 kg (Humira PBS codes 10389T, 10396E, 10422M)</w:t>
      </w:r>
    </w:p>
    <w:p w:rsidR="00760240" w:rsidRPr="00ED60CC" w:rsidRDefault="00760240" w:rsidP="002915BB">
      <w:pPr>
        <w:pStyle w:val="3-BodyText"/>
        <w:numPr>
          <w:ilvl w:val="0"/>
          <w:numId w:val="27"/>
        </w:numPr>
        <w:ind w:left="1077" w:hanging="357"/>
      </w:pPr>
      <w:r w:rsidRPr="00ED60CC">
        <w:t>Patients with moderate to severe ulcerative colitis: treatment for patients weighing less than 40 kg (Humira PBS codes 11121H, 11127P)</w:t>
      </w:r>
    </w:p>
    <w:p w:rsidR="00760240" w:rsidRPr="00ED60CC" w:rsidRDefault="00760240" w:rsidP="002915BB">
      <w:pPr>
        <w:pStyle w:val="3-BodyText"/>
        <w:numPr>
          <w:ilvl w:val="0"/>
          <w:numId w:val="27"/>
        </w:numPr>
        <w:ind w:left="1077" w:hanging="357"/>
      </w:pPr>
      <w:r w:rsidRPr="00ED60CC">
        <w:t>Patients with severe juvenile idiopathic arthritis: treatment for patients weighing less than 30 kg (Humira PBS codes 9661L, 9678J).</w:t>
      </w:r>
    </w:p>
    <w:p w:rsidR="0036520D" w:rsidRPr="00ED60CC" w:rsidRDefault="0036520D" w:rsidP="00C008CA">
      <w:pPr>
        <w:pStyle w:val="3-BodyText"/>
      </w:pPr>
      <w:r w:rsidRPr="00ED60CC">
        <w:rPr>
          <w:rFonts w:cs="Arial"/>
          <w:bCs/>
        </w:rPr>
        <w:t>Amend existing/recommended listing as follows:</w:t>
      </w:r>
    </w:p>
    <w:p w:rsidR="00F54D83" w:rsidRPr="00ED60CC" w:rsidRDefault="00F54D83" w:rsidP="002915BB">
      <w:pPr>
        <w:pStyle w:val="ListParagraph"/>
        <w:numPr>
          <w:ilvl w:val="1"/>
          <w:numId w:val="30"/>
        </w:numPr>
        <w:ind w:left="1077" w:hanging="357"/>
        <w:rPr>
          <w:rFonts w:cstheme="minorHAnsi"/>
        </w:rPr>
      </w:pPr>
      <w:r w:rsidRPr="00ED60CC">
        <w:rPr>
          <w:rFonts w:cstheme="minorHAnsi"/>
        </w:rPr>
        <w:t>Retain the Initial 1 and 2 restrictions as Authority Required (written) benefits.</w:t>
      </w:r>
    </w:p>
    <w:p w:rsidR="00F54D83" w:rsidRPr="00ED60CC" w:rsidRDefault="00F54D83" w:rsidP="002915BB">
      <w:pPr>
        <w:pStyle w:val="ListParagraph"/>
        <w:numPr>
          <w:ilvl w:val="1"/>
          <w:numId w:val="30"/>
        </w:numPr>
        <w:ind w:left="1077" w:hanging="357"/>
        <w:rPr>
          <w:rFonts w:cstheme="minorHAnsi"/>
        </w:rPr>
      </w:pPr>
      <w:r w:rsidRPr="00ED60CC">
        <w:rPr>
          <w:rFonts w:cstheme="minorHAnsi"/>
        </w:rPr>
        <w:lastRenderedPageBreak/>
        <w:t>Split the continuation criteria into ‘first continuing’ and ‘subsequent continuing’, to allow for the subsequent continuing restriction for Idacio to be Streamlined Authority</w:t>
      </w:r>
      <w:r w:rsidR="00CD72BF" w:rsidRPr="00ED60CC">
        <w:rPr>
          <w:rFonts w:cstheme="minorHAnsi"/>
        </w:rPr>
        <w:t>,</w:t>
      </w:r>
      <w:r w:rsidRPr="00ED60CC">
        <w:rPr>
          <w:rFonts w:cstheme="minorHAnsi"/>
        </w:rPr>
        <w:t xml:space="preserve"> while the subsequent continuing restriction for Humira will remain as a written authority.</w:t>
      </w:r>
    </w:p>
    <w:p w:rsidR="00F14A1C" w:rsidRPr="00ED60CC" w:rsidRDefault="00760240" w:rsidP="002915BB">
      <w:pPr>
        <w:pStyle w:val="3-BodyText"/>
        <w:numPr>
          <w:ilvl w:val="1"/>
          <w:numId w:val="30"/>
        </w:numPr>
        <w:ind w:left="1077" w:hanging="357"/>
      </w:pPr>
      <w:r w:rsidRPr="00ED60CC">
        <w:t>Add an administrative note encouraging biosimilar prescribing for treatment naïve patients:</w:t>
      </w:r>
    </w:p>
    <w:p w:rsidR="00F14A1C" w:rsidRPr="00ED60CC" w:rsidRDefault="00F14A1C" w:rsidP="002915BB">
      <w:pPr>
        <w:pStyle w:val="3-BodyText"/>
        <w:numPr>
          <w:ilvl w:val="0"/>
          <w:numId w:val="0"/>
        </w:numPr>
        <w:ind w:left="1077"/>
        <w:jc w:val="left"/>
      </w:pPr>
      <w:r w:rsidRPr="00ED60CC">
        <w:rPr>
          <w:b/>
        </w:rPr>
        <w:t>Note</w:t>
      </w:r>
    </w:p>
    <w:p w:rsidR="00F14A1C" w:rsidRPr="00ED60CC" w:rsidRDefault="00F14A1C" w:rsidP="002915BB">
      <w:pPr>
        <w:pStyle w:val="3-BodyText"/>
        <w:numPr>
          <w:ilvl w:val="0"/>
          <w:numId w:val="0"/>
        </w:numPr>
        <w:ind w:left="1077"/>
        <w:jc w:val="left"/>
      </w:pPr>
      <w:r w:rsidRPr="00ED60CC">
        <w:rPr>
          <w:b/>
        </w:rPr>
        <w:t>Biosimilar prescribing policy</w:t>
      </w:r>
    </w:p>
    <w:p w:rsidR="00F14A1C" w:rsidRPr="00ED60CC" w:rsidRDefault="00F14A1C" w:rsidP="002915BB">
      <w:pPr>
        <w:pStyle w:val="3-BodyText"/>
        <w:numPr>
          <w:ilvl w:val="0"/>
          <w:numId w:val="0"/>
        </w:numPr>
        <w:ind w:left="1077"/>
        <w:jc w:val="left"/>
      </w:pPr>
      <w:r w:rsidRPr="00ED60CC">
        <w:t>Prescribing of the biosimilar brand IDACIO is encouraged for treatment naïve patients.</w:t>
      </w:r>
    </w:p>
    <w:p w:rsidR="00F14A1C" w:rsidRPr="00ED60CC" w:rsidRDefault="00F14A1C" w:rsidP="002915BB">
      <w:pPr>
        <w:pStyle w:val="3-BodyText"/>
        <w:numPr>
          <w:ilvl w:val="0"/>
          <w:numId w:val="0"/>
        </w:numPr>
        <w:ind w:left="1077"/>
        <w:jc w:val="left"/>
      </w:pPr>
      <w:r w:rsidRPr="00ED60CC">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p w:rsidR="00210FBE" w:rsidRDefault="00460503" w:rsidP="00C008CA">
      <w:pPr>
        <w:pStyle w:val="3Bodytext"/>
        <w:ind w:left="0" w:firstLine="0"/>
        <w:rPr>
          <w:rFonts w:cstheme="minorHAnsi"/>
          <w:b/>
          <w:i/>
          <w:szCs w:val="24"/>
        </w:rPr>
      </w:pPr>
      <w:r w:rsidRPr="00ED60CC">
        <w:rPr>
          <w:rFonts w:cstheme="minorHAnsi"/>
          <w:b/>
          <w:i/>
          <w:szCs w:val="24"/>
        </w:rPr>
        <w:t>This restriction may be subject to further review. Should there be any changes made to the restriction the Sponsor will be informed.</w:t>
      </w:r>
    </w:p>
    <w:p w:rsidR="00915B36" w:rsidRDefault="00915B36" w:rsidP="00366CF8">
      <w:pPr>
        <w:pStyle w:val="2-SectionHeading"/>
        <w:rPr>
          <w:bCs/>
          <w:lang w:val="en-GB"/>
        </w:rPr>
      </w:pPr>
      <w:r w:rsidRPr="00C07617">
        <w:lastRenderedPageBreak/>
        <w:t>Context for Decision</w:t>
      </w:r>
    </w:p>
    <w:p w:rsidR="00915B36" w:rsidRPr="007129F2" w:rsidRDefault="00915B36" w:rsidP="002F2F8D">
      <w:pPr>
        <w:pStyle w:val="3Bodytext"/>
        <w:ind w:left="0" w:firstLine="0"/>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15B36" w:rsidRPr="00915B36" w:rsidRDefault="00915B36" w:rsidP="00366CF8">
      <w:pPr>
        <w:pStyle w:val="2-SectionHeading"/>
      </w:pPr>
      <w:r>
        <w:t>Sponsor’s Comment</w:t>
      </w:r>
    </w:p>
    <w:p w:rsidR="00915B36" w:rsidRPr="001179AC" w:rsidRDefault="00915B36" w:rsidP="001E0153">
      <w:pPr>
        <w:spacing w:after="120"/>
        <w:rPr>
          <w:rFonts w:asciiTheme="minorHAnsi" w:hAnsiTheme="minorHAnsi" w:cs="Arial"/>
          <w:bCs/>
        </w:rPr>
      </w:pPr>
      <w:r w:rsidRPr="00C07617">
        <w:rPr>
          <w:rFonts w:asciiTheme="minorHAnsi" w:hAnsiTheme="minorHAnsi" w:cs="Arial"/>
          <w:bCs/>
        </w:rPr>
        <w:t>The sponsor had no comment.</w:t>
      </w:r>
    </w:p>
    <w:p w:rsidR="00915B36" w:rsidRPr="003304BD" w:rsidRDefault="00915B36" w:rsidP="00C008CA">
      <w:pPr>
        <w:pStyle w:val="3Bodytext"/>
        <w:ind w:left="0" w:firstLine="0"/>
        <w:rPr>
          <w:rFonts w:cstheme="minorHAnsi"/>
          <w:b/>
          <w:i/>
        </w:rPr>
      </w:pPr>
    </w:p>
    <w:sectPr w:rsidR="00915B36" w:rsidRPr="003304BD" w:rsidSect="00D762FF">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5F" w:rsidRDefault="00C2145F" w:rsidP="0068234E">
      <w:r>
        <w:separator/>
      </w:r>
    </w:p>
  </w:endnote>
  <w:endnote w:type="continuationSeparator" w:id="0">
    <w:p w:rsidR="00C2145F" w:rsidRDefault="00C2145F" w:rsidP="0068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B0" w:rsidRDefault="00CC6BB0" w:rsidP="007F2386">
    <w:pPr>
      <w:pStyle w:val="PBACFooter"/>
      <w:rPr>
        <w:rFonts w:asciiTheme="minorHAnsi" w:hAnsiTheme="minorHAnsi" w:cstheme="minorHAnsi"/>
        <w:sz w:val="24"/>
      </w:rPr>
    </w:pPr>
  </w:p>
  <w:p w:rsidR="00CC6BB0" w:rsidRDefault="00CC6BB0" w:rsidP="007F2386">
    <w:pPr>
      <w:pStyle w:val="PBACFooter"/>
      <w:rPr>
        <w:rFonts w:asciiTheme="minorHAnsi" w:hAnsiTheme="minorHAnsi" w:cstheme="minorHAnsi"/>
        <w:sz w:val="24"/>
      </w:rPr>
    </w:pPr>
    <w:r>
      <w:rPr>
        <w:rFonts w:asciiTheme="minorHAnsi" w:hAnsiTheme="minorHAnsi" w:cstheme="minorHAnsi"/>
        <w:sz w:val="24"/>
      </w:rPr>
      <w:fldChar w:fldCharType="begin"/>
    </w:r>
    <w:r>
      <w:rPr>
        <w:rFonts w:asciiTheme="minorHAnsi" w:hAnsiTheme="minorHAnsi" w:cstheme="minorHAnsi"/>
        <w:sz w:val="24"/>
      </w:rPr>
      <w:instrText xml:space="preserve"> PAGE   \* MERGEFORMAT </w:instrText>
    </w:r>
    <w:r>
      <w:rPr>
        <w:rFonts w:asciiTheme="minorHAnsi" w:hAnsiTheme="minorHAnsi" w:cstheme="minorHAnsi"/>
        <w:sz w:val="24"/>
      </w:rPr>
      <w:fldChar w:fldCharType="separate"/>
    </w:r>
    <w:r w:rsidR="00B26A2F">
      <w:rPr>
        <w:rFonts w:asciiTheme="minorHAnsi" w:hAnsiTheme="minorHAnsi" w:cstheme="minorHAnsi"/>
        <w:noProof/>
        <w:sz w:val="24"/>
      </w:rPr>
      <w:t>8</w:t>
    </w:r>
    <w:r>
      <w:rPr>
        <w:rFonts w:asciiTheme="minorHAnsi" w:hAnsiTheme="minorHAnsi" w:cstheme="minorHAns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5F" w:rsidRDefault="00C2145F" w:rsidP="0068234E">
      <w:r>
        <w:separator/>
      </w:r>
    </w:p>
  </w:footnote>
  <w:footnote w:type="continuationSeparator" w:id="0">
    <w:p w:rsidR="00C2145F" w:rsidRDefault="00C2145F" w:rsidP="0068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B0" w:rsidRDefault="00915B36" w:rsidP="00C008CA">
    <w:pPr>
      <w:pStyle w:val="PageHeader"/>
      <w:rPr>
        <w:i/>
      </w:rPr>
    </w:pPr>
    <w:r>
      <w:rPr>
        <w:i/>
      </w:rPr>
      <w:t>Public Summary Document</w:t>
    </w:r>
    <w:r w:rsidR="00CC6BB0">
      <w:rPr>
        <w:i/>
      </w:rPr>
      <w:t xml:space="preserve"> – November 2020 PBAC Meeting</w:t>
    </w:r>
  </w:p>
  <w:p w:rsidR="00CC6BB0" w:rsidRPr="00C008CA" w:rsidRDefault="00CC6BB0" w:rsidP="00C008CA">
    <w:pPr>
      <w:pStyle w:val="PageHeader"/>
      <w:rPr>
        <w:i/>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18CD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107A5905"/>
    <w:multiLevelType w:val="hybridMultilevel"/>
    <w:tmpl w:val="B6F0A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32B9E"/>
    <w:multiLevelType w:val="multilevel"/>
    <w:tmpl w:val="690424B6"/>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F033A4"/>
    <w:multiLevelType w:val="hybridMultilevel"/>
    <w:tmpl w:val="950A25FA"/>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15:restartNumberingAfterBreak="0">
    <w:nsid w:val="2C172552"/>
    <w:multiLevelType w:val="hybridMultilevel"/>
    <w:tmpl w:val="D2AA81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677903"/>
    <w:multiLevelType w:val="hybridMultilevel"/>
    <w:tmpl w:val="7658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0B55FE"/>
    <w:multiLevelType w:val="hybridMultilevel"/>
    <w:tmpl w:val="85BE3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7E37BE"/>
    <w:multiLevelType w:val="multilevel"/>
    <w:tmpl w:val="690424B6"/>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D374A1"/>
    <w:multiLevelType w:val="hybridMultilevel"/>
    <w:tmpl w:val="A99A2A74"/>
    <w:lvl w:ilvl="0" w:tplc="90047548">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A0D71"/>
    <w:multiLevelType w:val="hybridMultilevel"/>
    <w:tmpl w:val="BD342422"/>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E710A4"/>
    <w:multiLevelType w:val="hybridMultilevel"/>
    <w:tmpl w:val="1FE268FE"/>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70F9D"/>
    <w:multiLevelType w:val="multilevel"/>
    <w:tmpl w:val="6074D296"/>
    <w:lvl w:ilvl="0">
      <w:start w:val="1"/>
      <w:numFmt w:val="bullet"/>
      <w:lvlText w:val=""/>
      <w:lvlJc w:val="left"/>
      <w:pPr>
        <w:ind w:left="720" w:hanging="720"/>
      </w:pPr>
      <w:rPr>
        <w:rFonts w:ascii="Symbol" w:hAnsi="Symbol"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CA6D4C"/>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BA6726"/>
    <w:multiLevelType w:val="hybridMultilevel"/>
    <w:tmpl w:val="1CF08D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15247DB"/>
    <w:multiLevelType w:val="hybridMultilevel"/>
    <w:tmpl w:val="805AA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E0E60A1"/>
    <w:multiLevelType w:val="hybridMultilevel"/>
    <w:tmpl w:val="6308B7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5908FF"/>
    <w:multiLevelType w:val="hybridMultilevel"/>
    <w:tmpl w:val="38FEF88C"/>
    <w:lvl w:ilvl="0" w:tplc="945AC1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137262EE"/>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223ABF"/>
    <w:multiLevelType w:val="hybridMultilevel"/>
    <w:tmpl w:val="DE8E95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CF10036"/>
    <w:multiLevelType w:val="hybridMultilevel"/>
    <w:tmpl w:val="895CF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2"/>
  </w:num>
  <w:num w:numId="4">
    <w:abstractNumId w:val="17"/>
  </w:num>
  <w:num w:numId="5">
    <w:abstractNumId w:val="11"/>
  </w:num>
  <w:num w:numId="6">
    <w:abstractNumId w:val="14"/>
  </w:num>
  <w:num w:numId="7">
    <w:abstractNumId w:val="0"/>
  </w:num>
  <w:num w:numId="8">
    <w:abstractNumId w:val="20"/>
  </w:num>
  <w:num w:numId="9">
    <w:abstractNumId w:val="15"/>
  </w:num>
  <w:num w:numId="10">
    <w:abstractNumId w:val="19"/>
  </w:num>
  <w:num w:numId="11">
    <w:abstractNumId w:val="13"/>
  </w:num>
  <w:num w:numId="12">
    <w:abstractNumId w:val="10"/>
  </w:num>
  <w:num w:numId="13">
    <w:abstractNumId w:val="5"/>
  </w:num>
  <w:num w:numId="14">
    <w:abstractNumId w:val="2"/>
  </w:num>
  <w:num w:numId="15">
    <w:abstractNumId w:val="9"/>
  </w:num>
  <w:num w:numId="16">
    <w:abstractNumId w:val="20"/>
  </w:num>
  <w:num w:numId="17">
    <w:abstractNumId w:val="20"/>
  </w:num>
  <w:num w:numId="18">
    <w:abstractNumId w:val="7"/>
  </w:num>
  <w:num w:numId="19">
    <w:abstractNumId w:val="23"/>
  </w:num>
  <w:num w:numId="20">
    <w:abstractNumId w:val="20"/>
  </w:num>
  <w:num w:numId="21">
    <w:abstractNumId w:val="20"/>
  </w:num>
  <w:num w:numId="22">
    <w:abstractNumId w:val="20"/>
  </w:num>
  <w:num w:numId="23">
    <w:abstractNumId w:val="6"/>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1"/>
  </w:num>
  <w:num w:numId="28">
    <w:abstractNumId w:val="18"/>
  </w:num>
  <w:num w:numId="29">
    <w:abstractNumId w:val="8"/>
  </w:num>
  <w:num w:numId="30">
    <w:abstractNumId w:val="3"/>
  </w:num>
  <w:num w:numId="31">
    <w:abstractNumId w:val="12"/>
  </w:num>
  <w:num w:numId="32">
    <w:abstractNumId w:val="20"/>
  </w:num>
  <w:num w:numId="33">
    <w:abstractNumId w:val="20"/>
  </w:num>
  <w:num w:numId="3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C9"/>
    <w:rsid w:val="0000054F"/>
    <w:rsid w:val="00002FFA"/>
    <w:rsid w:val="0000754C"/>
    <w:rsid w:val="00007B13"/>
    <w:rsid w:val="00010C08"/>
    <w:rsid w:val="000113F0"/>
    <w:rsid w:val="000117AC"/>
    <w:rsid w:val="00012251"/>
    <w:rsid w:val="00013151"/>
    <w:rsid w:val="000132CD"/>
    <w:rsid w:val="0001687E"/>
    <w:rsid w:val="00022A86"/>
    <w:rsid w:val="000275B8"/>
    <w:rsid w:val="00031CB7"/>
    <w:rsid w:val="00032197"/>
    <w:rsid w:val="00033E81"/>
    <w:rsid w:val="00037859"/>
    <w:rsid w:val="000455EA"/>
    <w:rsid w:val="000478FB"/>
    <w:rsid w:val="00061DCA"/>
    <w:rsid w:val="000624E1"/>
    <w:rsid w:val="00074D2D"/>
    <w:rsid w:val="00080C76"/>
    <w:rsid w:val="000832D5"/>
    <w:rsid w:val="0008622B"/>
    <w:rsid w:val="000913C5"/>
    <w:rsid w:val="00091933"/>
    <w:rsid w:val="00091C09"/>
    <w:rsid w:val="00092B78"/>
    <w:rsid w:val="00093813"/>
    <w:rsid w:val="00097473"/>
    <w:rsid w:val="000A05A5"/>
    <w:rsid w:val="000A50FF"/>
    <w:rsid w:val="000A6347"/>
    <w:rsid w:val="000B6EC3"/>
    <w:rsid w:val="000D03F6"/>
    <w:rsid w:val="000D41D2"/>
    <w:rsid w:val="000D4953"/>
    <w:rsid w:val="000D508A"/>
    <w:rsid w:val="000D6026"/>
    <w:rsid w:val="000F12E5"/>
    <w:rsid w:val="001048A1"/>
    <w:rsid w:val="0012079A"/>
    <w:rsid w:val="00120D9C"/>
    <w:rsid w:val="00125026"/>
    <w:rsid w:val="00126E21"/>
    <w:rsid w:val="001277DA"/>
    <w:rsid w:val="001316CC"/>
    <w:rsid w:val="00133D09"/>
    <w:rsid w:val="00160192"/>
    <w:rsid w:val="00160C32"/>
    <w:rsid w:val="00164F25"/>
    <w:rsid w:val="00174171"/>
    <w:rsid w:val="00180D0B"/>
    <w:rsid w:val="00181971"/>
    <w:rsid w:val="00185284"/>
    <w:rsid w:val="00185E3A"/>
    <w:rsid w:val="001875C5"/>
    <w:rsid w:val="0019315F"/>
    <w:rsid w:val="001954CD"/>
    <w:rsid w:val="00197726"/>
    <w:rsid w:val="001A1E12"/>
    <w:rsid w:val="001A4026"/>
    <w:rsid w:val="001B23C7"/>
    <w:rsid w:val="001B71F2"/>
    <w:rsid w:val="001B74F4"/>
    <w:rsid w:val="001C1CB8"/>
    <w:rsid w:val="001C491D"/>
    <w:rsid w:val="001C55A1"/>
    <w:rsid w:val="001C78B7"/>
    <w:rsid w:val="001C78D1"/>
    <w:rsid w:val="001D10B3"/>
    <w:rsid w:val="001D3BC3"/>
    <w:rsid w:val="001D4EC6"/>
    <w:rsid w:val="001E0153"/>
    <w:rsid w:val="001E0E31"/>
    <w:rsid w:val="001E0EC3"/>
    <w:rsid w:val="001F1023"/>
    <w:rsid w:val="001F12F2"/>
    <w:rsid w:val="001F364C"/>
    <w:rsid w:val="0020267D"/>
    <w:rsid w:val="00207571"/>
    <w:rsid w:val="00210FBE"/>
    <w:rsid w:val="002110B0"/>
    <w:rsid w:val="00215429"/>
    <w:rsid w:val="00215909"/>
    <w:rsid w:val="00221339"/>
    <w:rsid w:val="002269D6"/>
    <w:rsid w:val="002269E2"/>
    <w:rsid w:val="00226EBD"/>
    <w:rsid w:val="002334E1"/>
    <w:rsid w:val="00235E00"/>
    <w:rsid w:val="0024035B"/>
    <w:rsid w:val="00245272"/>
    <w:rsid w:val="00251A92"/>
    <w:rsid w:val="0025745C"/>
    <w:rsid w:val="00261DB2"/>
    <w:rsid w:val="002677E0"/>
    <w:rsid w:val="00272F02"/>
    <w:rsid w:val="00273DA1"/>
    <w:rsid w:val="00274396"/>
    <w:rsid w:val="00280050"/>
    <w:rsid w:val="00283E6E"/>
    <w:rsid w:val="00285470"/>
    <w:rsid w:val="00285FEB"/>
    <w:rsid w:val="00286DA3"/>
    <w:rsid w:val="00290E6B"/>
    <w:rsid w:val="002915BB"/>
    <w:rsid w:val="002917F6"/>
    <w:rsid w:val="002A11B9"/>
    <w:rsid w:val="002A30C9"/>
    <w:rsid w:val="002A41AD"/>
    <w:rsid w:val="002A5C2B"/>
    <w:rsid w:val="002A7937"/>
    <w:rsid w:val="002B3B95"/>
    <w:rsid w:val="002B4CEF"/>
    <w:rsid w:val="002B548F"/>
    <w:rsid w:val="002C7134"/>
    <w:rsid w:val="002C7405"/>
    <w:rsid w:val="002D3FAC"/>
    <w:rsid w:val="002D6BC4"/>
    <w:rsid w:val="002E5FF4"/>
    <w:rsid w:val="002F2F8D"/>
    <w:rsid w:val="00300BF1"/>
    <w:rsid w:val="00312621"/>
    <w:rsid w:val="003223C9"/>
    <w:rsid w:val="00327E48"/>
    <w:rsid w:val="00330092"/>
    <w:rsid w:val="003304BD"/>
    <w:rsid w:val="003346C0"/>
    <w:rsid w:val="0033546B"/>
    <w:rsid w:val="003418D7"/>
    <w:rsid w:val="00342DF8"/>
    <w:rsid w:val="00343EB5"/>
    <w:rsid w:val="00352CCA"/>
    <w:rsid w:val="00352D91"/>
    <w:rsid w:val="003616D3"/>
    <w:rsid w:val="003648D5"/>
    <w:rsid w:val="0036510C"/>
    <w:rsid w:val="0036520D"/>
    <w:rsid w:val="0036655D"/>
    <w:rsid w:val="00366CF8"/>
    <w:rsid w:val="00366FAF"/>
    <w:rsid w:val="0037609F"/>
    <w:rsid w:val="00376A88"/>
    <w:rsid w:val="0037718A"/>
    <w:rsid w:val="00377E5F"/>
    <w:rsid w:val="003859AC"/>
    <w:rsid w:val="0039254E"/>
    <w:rsid w:val="00397FC0"/>
    <w:rsid w:val="003A0E23"/>
    <w:rsid w:val="003A348B"/>
    <w:rsid w:val="003A60C9"/>
    <w:rsid w:val="003A7CD1"/>
    <w:rsid w:val="003B0064"/>
    <w:rsid w:val="003B7128"/>
    <w:rsid w:val="003B7D77"/>
    <w:rsid w:val="003C0410"/>
    <w:rsid w:val="003C3548"/>
    <w:rsid w:val="003D1B09"/>
    <w:rsid w:val="003D5570"/>
    <w:rsid w:val="003D66EB"/>
    <w:rsid w:val="003E0DC7"/>
    <w:rsid w:val="003E4702"/>
    <w:rsid w:val="003E4A4E"/>
    <w:rsid w:val="003E6667"/>
    <w:rsid w:val="003E67D6"/>
    <w:rsid w:val="003F194A"/>
    <w:rsid w:val="003F1D58"/>
    <w:rsid w:val="003F39FA"/>
    <w:rsid w:val="003F3C32"/>
    <w:rsid w:val="003F6B25"/>
    <w:rsid w:val="0040394D"/>
    <w:rsid w:val="0040582F"/>
    <w:rsid w:val="00406526"/>
    <w:rsid w:val="0041272E"/>
    <w:rsid w:val="00412F84"/>
    <w:rsid w:val="004201D0"/>
    <w:rsid w:val="00420F71"/>
    <w:rsid w:val="004225A2"/>
    <w:rsid w:val="004245D8"/>
    <w:rsid w:val="00426B8B"/>
    <w:rsid w:val="004270F0"/>
    <w:rsid w:val="00427CB5"/>
    <w:rsid w:val="0043131E"/>
    <w:rsid w:val="00431A1B"/>
    <w:rsid w:val="004328E4"/>
    <w:rsid w:val="00435A09"/>
    <w:rsid w:val="00437170"/>
    <w:rsid w:val="00437FAB"/>
    <w:rsid w:val="00443EBD"/>
    <w:rsid w:val="00445674"/>
    <w:rsid w:val="00450080"/>
    <w:rsid w:val="00452951"/>
    <w:rsid w:val="004533D2"/>
    <w:rsid w:val="00456FBA"/>
    <w:rsid w:val="00460503"/>
    <w:rsid w:val="00460E11"/>
    <w:rsid w:val="004653FA"/>
    <w:rsid w:val="004659B1"/>
    <w:rsid w:val="00473E3E"/>
    <w:rsid w:val="00480D3C"/>
    <w:rsid w:val="004827F3"/>
    <w:rsid w:val="004872C3"/>
    <w:rsid w:val="00492C26"/>
    <w:rsid w:val="00493459"/>
    <w:rsid w:val="004A10C4"/>
    <w:rsid w:val="004A1DC9"/>
    <w:rsid w:val="004A2534"/>
    <w:rsid w:val="004A31A1"/>
    <w:rsid w:val="004A417F"/>
    <w:rsid w:val="004A4D70"/>
    <w:rsid w:val="004A6C13"/>
    <w:rsid w:val="004B269E"/>
    <w:rsid w:val="004B3DCE"/>
    <w:rsid w:val="004B482C"/>
    <w:rsid w:val="004B5257"/>
    <w:rsid w:val="004C2DB8"/>
    <w:rsid w:val="004C349D"/>
    <w:rsid w:val="004D1AD7"/>
    <w:rsid w:val="004D304B"/>
    <w:rsid w:val="004E1012"/>
    <w:rsid w:val="004E154C"/>
    <w:rsid w:val="004E282C"/>
    <w:rsid w:val="004E414B"/>
    <w:rsid w:val="004E6096"/>
    <w:rsid w:val="004F0BD9"/>
    <w:rsid w:val="004F2B1F"/>
    <w:rsid w:val="004F2BD2"/>
    <w:rsid w:val="004F5267"/>
    <w:rsid w:val="004F55F5"/>
    <w:rsid w:val="004F5839"/>
    <w:rsid w:val="00500C51"/>
    <w:rsid w:val="00500E06"/>
    <w:rsid w:val="00502622"/>
    <w:rsid w:val="005026C3"/>
    <w:rsid w:val="00510EAA"/>
    <w:rsid w:val="00511133"/>
    <w:rsid w:val="005154B8"/>
    <w:rsid w:val="005174BE"/>
    <w:rsid w:val="00527559"/>
    <w:rsid w:val="00530992"/>
    <w:rsid w:val="00533F7B"/>
    <w:rsid w:val="00541492"/>
    <w:rsid w:val="00542F60"/>
    <w:rsid w:val="00547DA1"/>
    <w:rsid w:val="00551507"/>
    <w:rsid w:val="00554BCD"/>
    <w:rsid w:val="005677FB"/>
    <w:rsid w:val="005679E7"/>
    <w:rsid w:val="00570829"/>
    <w:rsid w:val="00574291"/>
    <w:rsid w:val="005754AB"/>
    <w:rsid w:val="00576F6F"/>
    <w:rsid w:val="0058161C"/>
    <w:rsid w:val="00586DD4"/>
    <w:rsid w:val="00596682"/>
    <w:rsid w:val="005A5503"/>
    <w:rsid w:val="005A5BC6"/>
    <w:rsid w:val="005B49C9"/>
    <w:rsid w:val="005B67C3"/>
    <w:rsid w:val="005C173D"/>
    <w:rsid w:val="005C306F"/>
    <w:rsid w:val="005C5C0F"/>
    <w:rsid w:val="005C6A6F"/>
    <w:rsid w:val="005C7D17"/>
    <w:rsid w:val="005E0865"/>
    <w:rsid w:val="005E26CA"/>
    <w:rsid w:val="005E2C89"/>
    <w:rsid w:val="005F3259"/>
    <w:rsid w:val="005F79B1"/>
    <w:rsid w:val="00601395"/>
    <w:rsid w:val="006022BF"/>
    <w:rsid w:val="00602AEE"/>
    <w:rsid w:val="00604480"/>
    <w:rsid w:val="00605FA0"/>
    <w:rsid w:val="00607421"/>
    <w:rsid w:val="00610FFA"/>
    <w:rsid w:val="00616280"/>
    <w:rsid w:val="006168F0"/>
    <w:rsid w:val="00617F3B"/>
    <w:rsid w:val="00622164"/>
    <w:rsid w:val="00622F46"/>
    <w:rsid w:val="0062487B"/>
    <w:rsid w:val="00625F47"/>
    <w:rsid w:val="00630C10"/>
    <w:rsid w:val="00635B9B"/>
    <w:rsid w:val="006360EF"/>
    <w:rsid w:val="00640362"/>
    <w:rsid w:val="00644F41"/>
    <w:rsid w:val="00650CD5"/>
    <w:rsid w:val="00652580"/>
    <w:rsid w:val="006547A6"/>
    <w:rsid w:val="00654B01"/>
    <w:rsid w:val="00655857"/>
    <w:rsid w:val="00663043"/>
    <w:rsid w:val="006631A8"/>
    <w:rsid w:val="006644E5"/>
    <w:rsid w:val="0066728E"/>
    <w:rsid w:val="006673D1"/>
    <w:rsid w:val="00673FBA"/>
    <w:rsid w:val="006742F0"/>
    <w:rsid w:val="00676ABB"/>
    <w:rsid w:val="00677088"/>
    <w:rsid w:val="006818E8"/>
    <w:rsid w:val="00681EED"/>
    <w:rsid w:val="0068234E"/>
    <w:rsid w:val="00690D18"/>
    <w:rsid w:val="006932D7"/>
    <w:rsid w:val="00694440"/>
    <w:rsid w:val="00694E8B"/>
    <w:rsid w:val="006A0537"/>
    <w:rsid w:val="006A4D00"/>
    <w:rsid w:val="006B3A27"/>
    <w:rsid w:val="006B7518"/>
    <w:rsid w:val="006B7B3D"/>
    <w:rsid w:val="006C6D3D"/>
    <w:rsid w:val="006D0BB6"/>
    <w:rsid w:val="006E2A09"/>
    <w:rsid w:val="006E3A70"/>
    <w:rsid w:val="006F314A"/>
    <w:rsid w:val="006F3323"/>
    <w:rsid w:val="006F5B49"/>
    <w:rsid w:val="006F6B50"/>
    <w:rsid w:val="0071005C"/>
    <w:rsid w:val="007116F8"/>
    <w:rsid w:val="00714440"/>
    <w:rsid w:val="00716DC5"/>
    <w:rsid w:val="007226D8"/>
    <w:rsid w:val="00723BFB"/>
    <w:rsid w:val="00723C8C"/>
    <w:rsid w:val="00730E0D"/>
    <w:rsid w:val="007313A9"/>
    <w:rsid w:val="00732A84"/>
    <w:rsid w:val="00737C89"/>
    <w:rsid w:val="00741230"/>
    <w:rsid w:val="00742F6B"/>
    <w:rsid w:val="0075167E"/>
    <w:rsid w:val="007541A6"/>
    <w:rsid w:val="00756A0C"/>
    <w:rsid w:val="00760240"/>
    <w:rsid w:val="00760753"/>
    <w:rsid w:val="00760A2D"/>
    <w:rsid w:val="00760B2B"/>
    <w:rsid w:val="00761B62"/>
    <w:rsid w:val="0077466B"/>
    <w:rsid w:val="00774DAE"/>
    <w:rsid w:val="007769AC"/>
    <w:rsid w:val="00785C6E"/>
    <w:rsid w:val="007868FD"/>
    <w:rsid w:val="007947D2"/>
    <w:rsid w:val="007A10C2"/>
    <w:rsid w:val="007B0D44"/>
    <w:rsid w:val="007B6A0B"/>
    <w:rsid w:val="007B6BEE"/>
    <w:rsid w:val="007B75D3"/>
    <w:rsid w:val="007C1F33"/>
    <w:rsid w:val="007C4B96"/>
    <w:rsid w:val="007C706B"/>
    <w:rsid w:val="007D762C"/>
    <w:rsid w:val="007E20F0"/>
    <w:rsid w:val="007E38A9"/>
    <w:rsid w:val="007E65C8"/>
    <w:rsid w:val="007F1D39"/>
    <w:rsid w:val="007F2386"/>
    <w:rsid w:val="00804F1B"/>
    <w:rsid w:val="00806C3B"/>
    <w:rsid w:val="008077B3"/>
    <w:rsid w:val="008127B5"/>
    <w:rsid w:val="00812E73"/>
    <w:rsid w:val="00814EDA"/>
    <w:rsid w:val="00823B3D"/>
    <w:rsid w:val="0082499F"/>
    <w:rsid w:val="00831D2D"/>
    <w:rsid w:val="00835735"/>
    <w:rsid w:val="00836359"/>
    <w:rsid w:val="00837A64"/>
    <w:rsid w:val="00840098"/>
    <w:rsid w:val="0084280E"/>
    <w:rsid w:val="00843C22"/>
    <w:rsid w:val="00844506"/>
    <w:rsid w:val="00846DF9"/>
    <w:rsid w:val="00851A25"/>
    <w:rsid w:val="00854B75"/>
    <w:rsid w:val="0086116C"/>
    <w:rsid w:val="0086397E"/>
    <w:rsid w:val="008679AD"/>
    <w:rsid w:val="00870C99"/>
    <w:rsid w:val="00872F3C"/>
    <w:rsid w:val="00877CDE"/>
    <w:rsid w:val="008843E5"/>
    <w:rsid w:val="0088466C"/>
    <w:rsid w:val="008846B2"/>
    <w:rsid w:val="00891018"/>
    <w:rsid w:val="00894889"/>
    <w:rsid w:val="00894DC5"/>
    <w:rsid w:val="00894EB0"/>
    <w:rsid w:val="008A302E"/>
    <w:rsid w:val="008A3227"/>
    <w:rsid w:val="008A4CA6"/>
    <w:rsid w:val="008A6DEC"/>
    <w:rsid w:val="008A7E79"/>
    <w:rsid w:val="008B2235"/>
    <w:rsid w:val="008B3612"/>
    <w:rsid w:val="008B43AF"/>
    <w:rsid w:val="008B5958"/>
    <w:rsid w:val="008C0F8D"/>
    <w:rsid w:val="008C7043"/>
    <w:rsid w:val="008C796F"/>
    <w:rsid w:val="008D0B75"/>
    <w:rsid w:val="008D1352"/>
    <w:rsid w:val="008D36D0"/>
    <w:rsid w:val="008D5F42"/>
    <w:rsid w:val="008D6942"/>
    <w:rsid w:val="008D6CA9"/>
    <w:rsid w:val="008D6D5B"/>
    <w:rsid w:val="008E0042"/>
    <w:rsid w:val="008F13AF"/>
    <w:rsid w:val="008F2B47"/>
    <w:rsid w:val="008F407D"/>
    <w:rsid w:val="008F7C95"/>
    <w:rsid w:val="00903934"/>
    <w:rsid w:val="0090458A"/>
    <w:rsid w:val="00905AAD"/>
    <w:rsid w:val="00910920"/>
    <w:rsid w:val="009116DE"/>
    <w:rsid w:val="00913AB1"/>
    <w:rsid w:val="009159D3"/>
    <w:rsid w:val="00915B36"/>
    <w:rsid w:val="0092212A"/>
    <w:rsid w:val="00923207"/>
    <w:rsid w:val="009313FD"/>
    <w:rsid w:val="00932EE0"/>
    <w:rsid w:val="009338DB"/>
    <w:rsid w:val="00942D2B"/>
    <w:rsid w:val="0094550E"/>
    <w:rsid w:val="00946B8B"/>
    <w:rsid w:val="00950067"/>
    <w:rsid w:val="00955378"/>
    <w:rsid w:val="00955DF7"/>
    <w:rsid w:val="00957369"/>
    <w:rsid w:val="0096177E"/>
    <w:rsid w:val="009836D3"/>
    <w:rsid w:val="009A0A9B"/>
    <w:rsid w:val="009A3DAB"/>
    <w:rsid w:val="009B0805"/>
    <w:rsid w:val="009B6D7F"/>
    <w:rsid w:val="009C2FB9"/>
    <w:rsid w:val="009C6385"/>
    <w:rsid w:val="009C6889"/>
    <w:rsid w:val="009D5156"/>
    <w:rsid w:val="009D6E78"/>
    <w:rsid w:val="009F1253"/>
    <w:rsid w:val="009F2AE4"/>
    <w:rsid w:val="009F79AD"/>
    <w:rsid w:val="009F7C12"/>
    <w:rsid w:val="00A058BC"/>
    <w:rsid w:val="00A11E67"/>
    <w:rsid w:val="00A12729"/>
    <w:rsid w:val="00A12CCC"/>
    <w:rsid w:val="00A138D3"/>
    <w:rsid w:val="00A22FBD"/>
    <w:rsid w:val="00A32119"/>
    <w:rsid w:val="00A354D0"/>
    <w:rsid w:val="00A35E74"/>
    <w:rsid w:val="00A35F35"/>
    <w:rsid w:val="00A37FE4"/>
    <w:rsid w:val="00A44920"/>
    <w:rsid w:val="00A46FD8"/>
    <w:rsid w:val="00A50ED2"/>
    <w:rsid w:val="00A53536"/>
    <w:rsid w:val="00A54A85"/>
    <w:rsid w:val="00A55871"/>
    <w:rsid w:val="00A55E22"/>
    <w:rsid w:val="00A55E75"/>
    <w:rsid w:val="00A56D37"/>
    <w:rsid w:val="00A61E9B"/>
    <w:rsid w:val="00A67C4D"/>
    <w:rsid w:val="00A74579"/>
    <w:rsid w:val="00A7460A"/>
    <w:rsid w:val="00A75CEC"/>
    <w:rsid w:val="00A84A49"/>
    <w:rsid w:val="00A868C1"/>
    <w:rsid w:val="00A870B9"/>
    <w:rsid w:val="00A915B0"/>
    <w:rsid w:val="00A94926"/>
    <w:rsid w:val="00A953CE"/>
    <w:rsid w:val="00A95F10"/>
    <w:rsid w:val="00AA0B68"/>
    <w:rsid w:val="00AA5375"/>
    <w:rsid w:val="00AA720F"/>
    <w:rsid w:val="00AB2664"/>
    <w:rsid w:val="00AB67E5"/>
    <w:rsid w:val="00AC0BFA"/>
    <w:rsid w:val="00AC1FF3"/>
    <w:rsid w:val="00AC6057"/>
    <w:rsid w:val="00AD02E8"/>
    <w:rsid w:val="00AD1453"/>
    <w:rsid w:val="00AD1922"/>
    <w:rsid w:val="00AD3663"/>
    <w:rsid w:val="00AD4C19"/>
    <w:rsid w:val="00AD6B34"/>
    <w:rsid w:val="00AE3672"/>
    <w:rsid w:val="00AE5A24"/>
    <w:rsid w:val="00AF0767"/>
    <w:rsid w:val="00AF1458"/>
    <w:rsid w:val="00AF2910"/>
    <w:rsid w:val="00AF2BC9"/>
    <w:rsid w:val="00AF4025"/>
    <w:rsid w:val="00B124D1"/>
    <w:rsid w:val="00B20517"/>
    <w:rsid w:val="00B235D0"/>
    <w:rsid w:val="00B24F40"/>
    <w:rsid w:val="00B26A2F"/>
    <w:rsid w:val="00B3122C"/>
    <w:rsid w:val="00B36D3C"/>
    <w:rsid w:val="00B4219E"/>
    <w:rsid w:val="00B44A92"/>
    <w:rsid w:val="00B44E91"/>
    <w:rsid w:val="00B45EB1"/>
    <w:rsid w:val="00B52069"/>
    <w:rsid w:val="00B64199"/>
    <w:rsid w:val="00B64BEB"/>
    <w:rsid w:val="00B7148B"/>
    <w:rsid w:val="00B76926"/>
    <w:rsid w:val="00B828DE"/>
    <w:rsid w:val="00B977EC"/>
    <w:rsid w:val="00BA1407"/>
    <w:rsid w:val="00BB0FEE"/>
    <w:rsid w:val="00BB150B"/>
    <w:rsid w:val="00BC7882"/>
    <w:rsid w:val="00BD36D4"/>
    <w:rsid w:val="00BD4F09"/>
    <w:rsid w:val="00BD657C"/>
    <w:rsid w:val="00BE538F"/>
    <w:rsid w:val="00BE64F5"/>
    <w:rsid w:val="00BE77CC"/>
    <w:rsid w:val="00BF1663"/>
    <w:rsid w:val="00BF55B0"/>
    <w:rsid w:val="00C008CA"/>
    <w:rsid w:val="00C01F0E"/>
    <w:rsid w:val="00C02751"/>
    <w:rsid w:val="00C03F02"/>
    <w:rsid w:val="00C078A0"/>
    <w:rsid w:val="00C10E74"/>
    <w:rsid w:val="00C155E7"/>
    <w:rsid w:val="00C15716"/>
    <w:rsid w:val="00C204DB"/>
    <w:rsid w:val="00C21364"/>
    <w:rsid w:val="00C2145F"/>
    <w:rsid w:val="00C245F6"/>
    <w:rsid w:val="00C27A86"/>
    <w:rsid w:val="00C33B5B"/>
    <w:rsid w:val="00C34B1B"/>
    <w:rsid w:val="00C3505C"/>
    <w:rsid w:val="00C36082"/>
    <w:rsid w:val="00C36A2F"/>
    <w:rsid w:val="00C46E6D"/>
    <w:rsid w:val="00C52B07"/>
    <w:rsid w:val="00C53A97"/>
    <w:rsid w:val="00C54467"/>
    <w:rsid w:val="00C61B3F"/>
    <w:rsid w:val="00C61BD8"/>
    <w:rsid w:val="00C64303"/>
    <w:rsid w:val="00C64D71"/>
    <w:rsid w:val="00C7030B"/>
    <w:rsid w:val="00C74F88"/>
    <w:rsid w:val="00C76A5A"/>
    <w:rsid w:val="00C77326"/>
    <w:rsid w:val="00C77571"/>
    <w:rsid w:val="00C80EAE"/>
    <w:rsid w:val="00C820FD"/>
    <w:rsid w:val="00C87B88"/>
    <w:rsid w:val="00C9131A"/>
    <w:rsid w:val="00C91EEE"/>
    <w:rsid w:val="00C9581A"/>
    <w:rsid w:val="00C961FB"/>
    <w:rsid w:val="00C97B2F"/>
    <w:rsid w:val="00CA3B49"/>
    <w:rsid w:val="00CA608D"/>
    <w:rsid w:val="00CA7A6B"/>
    <w:rsid w:val="00CB2AB8"/>
    <w:rsid w:val="00CB36CC"/>
    <w:rsid w:val="00CC1DD8"/>
    <w:rsid w:val="00CC3384"/>
    <w:rsid w:val="00CC6980"/>
    <w:rsid w:val="00CC6BB0"/>
    <w:rsid w:val="00CC6ED4"/>
    <w:rsid w:val="00CD2E98"/>
    <w:rsid w:val="00CD72BF"/>
    <w:rsid w:val="00CE4334"/>
    <w:rsid w:val="00CE79CE"/>
    <w:rsid w:val="00CF0761"/>
    <w:rsid w:val="00CF0DDB"/>
    <w:rsid w:val="00CF176B"/>
    <w:rsid w:val="00D05BFE"/>
    <w:rsid w:val="00D13EFB"/>
    <w:rsid w:val="00D27581"/>
    <w:rsid w:val="00D2797A"/>
    <w:rsid w:val="00D30E38"/>
    <w:rsid w:val="00D37FB1"/>
    <w:rsid w:val="00D410BD"/>
    <w:rsid w:val="00D44EE6"/>
    <w:rsid w:val="00D46C6E"/>
    <w:rsid w:val="00D47630"/>
    <w:rsid w:val="00D5334C"/>
    <w:rsid w:val="00D5624D"/>
    <w:rsid w:val="00D57D00"/>
    <w:rsid w:val="00D60DBD"/>
    <w:rsid w:val="00D62F43"/>
    <w:rsid w:val="00D642F8"/>
    <w:rsid w:val="00D75321"/>
    <w:rsid w:val="00D762FF"/>
    <w:rsid w:val="00D76A8C"/>
    <w:rsid w:val="00D76FC6"/>
    <w:rsid w:val="00D928AD"/>
    <w:rsid w:val="00D93208"/>
    <w:rsid w:val="00D940A3"/>
    <w:rsid w:val="00DA2884"/>
    <w:rsid w:val="00DA2A03"/>
    <w:rsid w:val="00DA39B3"/>
    <w:rsid w:val="00DA6261"/>
    <w:rsid w:val="00DB0651"/>
    <w:rsid w:val="00DB5D68"/>
    <w:rsid w:val="00DB782C"/>
    <w:rsid w:val="00DC3E1D"/>
    <w:rsid w:val="00DC6D7E"/>
    <w:rsid w:val="00DD1F0A"/>
    <w:rsid w:val="00DD290F"/>
    <w:rsid w:val="00DD29F7"/>
    <w:rsid w:val="00DD6F36"/>
    <w:rsid w:val="00DE4245"/>
    <w:rsid w:val="00DE5E78"/>
    <w:rsid w:val="00DF0700"/>
    <w:rsid w:val="00DF20A7"/>
    <w:rsid w:val="00E02B5A"/>
    <w:rsid w:val="00E068C6"/>
    <w:rsid w:val="00E17B6D"/>
    <w:rsid w:val="00E23F5C"/>
    <w:rsid w:val="00E3065F"/>
    <w:rsid w:val="00E331CB"/>
    <w:rsid w:val="00E367A6"/>
    <w:rsid w:val="00E41058"/>
    <w:rsid w:val="00E44ECD"/>
    <w:rsid w:val="00E4779B"/>
    <w:rsid w:val="00E47F63"/>
    <w:rsid w:val="00E547EF"/>
    <w:rsid w:val="00E66BFF"/>
    <w:rsid w:val="00E7142A"/>
    <w:rsid w:val="00E716E4"/>
    <w:rsid w:val="00E8339B"/>
    <w:rsid w:val="00E86EBA"/>
    <w:rsid w:val="00E93606"/>
    <w:rsid w:val="00E95C7D"/>
    <w:rsid w:val="00E9695D"/>
    <w:rsid w:val="00E96BBC"/>
    <w:rsid w:val="00EA0D17"/>
    <w:rsid w:val="00EA1855"/>
    <w:rsid w:val="00EA5684"/>
    <w:rsid w:val="00EA7DFD"/>
    <w:rsid w:val="00EB5045"/>
    <w:rsid w:val="00EB55AF"/>
    <w:rsid w:val="00EB58A5"/>
    <w:rsid w:val="00EB7294"/>
    <w:rsid w:val="00EC2BE3"/>
    <w:rsid w:val="00EC4ACC"/>
    <w:rsid w:val="00ED1A20"/>
    <w:rsid w:val="00ED4C9F"/>
    <w:rsid w:val="00ED4F48"/>
    <w:rsid w:val="00ED60CC"/>
    <w:rsid w:val="00EE3D6F"/>
    <w:rsid w:val="00EE7A6D"/>
    <w:rsid w:val="00EF5809"/>
    <w:rsid w:val="00EF75E9"/>
    <w:rsid w:val="00F02A30"/>
    <w:rsid w:val="00F14972"/>
    <w:rsid w:val="00F14A1C"/>
    <w:rsid w:val="00F14D6C"/>
    <w:rsid w:val="00F21DF6"/>
    <w:rsid w:val="00F226FB"/>
    <w:rsid w:val="00F25215"/>
    <w:rsid w:val="00F276FB"/>
    <w:rsid w:val="00F35FEC"/>
    <w:rsid w:val="00F36093"/>
    <w:rsid w:val="00F36AA3"/>
    <w:rsid w:val="00F4264E"/>
    <w:rsid w:val="00F430BF"/>
    <w:rsid w:val="00F4785D"/>
    <w:rsid w:val="00F47BF1"/>
    <w:rsid w:val="00F54D83"/>
    <w:rsid w:val="00F70F25"/>
    <w:rsid w:val="00F72FFD"/>
    <w:rsid w:val="00F74C8D"/>
    <w:rsid w:val="00F76021"/>
    <w:rsid w:val="00F77DB3"/>
    <w:rsid w:val="00F8215A"/>
    <w:rsid w:val="00F8386E"/>
    <w:rsid w:val="00F8608A"/>
    <w:rsid w:val="00F86337"/>
    <w:rsid w:val="00F903F1"/>
    <w:rsid w:val="00F92DBD"/>
    <w:rsid w:val="00F932EE"/>
    <w:rsid w:val="00F9523E"/>
    <w:rsid w:val="00FA77B5"/>
    <w:rsid w:val="00FA7FC1"/>
    <w:rsid w:val="00FB3B9C"/>
    <w:rsid w:val="00FD4396"/>
    <w:rsid w:val="00FD5AE0"/>
    <w:rsid w:val="00FD6B07"/>
    <w:rsid w:val="00FF1BA8"/>
    <w:rsid w:val="00FF1EE5"/>
    <w:rsid w:val="00FF7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33A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10"/>
    <w:pPr>
      <w:jc w:val="both"/>
    </w:pPr>
    <w:rPr>
      <w:rFonts w:ascii="Calibri" w:hAnsi="Calibri"/>
      <w:sz w:val="24"/>
      <w:szCs w:val="24"/>
    </w:rPr>
  </w:style>
  <w:style w:type="paragraph" w:styleId="Heading1">
    <w:name w:val="heading 1"/>
    <w:basedOn w:val="ListParagraph"/>
    <w:next w:val="Normal"/>
    <w:link w:val="Heading1Char"/>
    <w:uiPriority w:val="1"/>
    <w:rsid w:val="00DB0651"/>
    <w:pPr>
      <w:widowControl w:val="0"/>
      <w:spacing w:after="0"/>
      <w:ind w:left="0"/>
      <w:jc w:val="both"/>
      <w:outlineLvl w:val="0"/>
    </w:pPr>
    <w:rPr>
      <w:rFonts w:ascii="Arial" w:hAnsi="Arial"/>
      <w:b/>
      <w:snapToGrid/>
      <w:sz w:val="22"/>
      <w:szCs w:val="22"/>
    </w:rPr>
  </w:style>
  <w:style w:type="paragraph" w:styleId="Heading2">
    <w:name w:val="heading 2"/>
    <w:basedOn w:val="Normal"/>
    <w:next w:val="Normal"/>
    <w:link w:val="Heading2Char"/>
    <w:uiPriority w:val="9"/>
    <w:semiHidden/>
    <w:unhideWhenUsed/>
    <w:rsid w:val="00863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3C04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Bullet point,List Paragraph1,List Paragraph11,Recommendation,L,Bullet Point,Bulletr List Paragraph,Content descriptions,FooterText,List Bullet 1,List Paragraph2,List Paragraph21,Listeafsnit1,リスト段落"/>
    <w:next w:val="ListBullet"/>
    <w:link w:val="ListParagraphChar"/>
    <w:uiPriority w:val="34"/>
    <w:qFormat/>
    <w:rsid w:val="003C0410"/>
    <w:pPr>
      <w:spacing w:after="120"/>
      <w:ind w:left="1134" w:hanging="357"/>
    </w:pPr>
    <w:rPr>
      <w:rFonts w:asciiTheme="minorHAnsi" w:hAnsiTheme="minorHAnsi" w:cs="Arial"/>
      <w:snapToGrid w:val="0"/>
      <w:sz w:val="24"/>
      <w:szCs w:val="24"/>
    </w:rPr>
  </w:style>
  <w:style w:type="paragraph" w:customStyle="1" w:styleId="Default">
    <w:name w:val="Default"/>
    <w:rsid w:val="00DD6F36"/>
    <w:pPr>
      <w:autoSpaceDE w:val="0"/>
      <w:autoSpaceDN w:val="0"/>
      <w:adjustRightInd w:val="0"/>
    </w:pPr>
    <w:rPr>
      <w:color w:val="000000"/>
    </w:rPr>
  </w:style>
  <w:style w:type="table" w:styleId="TableGrid">
    <w:name w:val="Table Grid"/>
    <w:aliases w:val="ASD Table,RTI AMCP Table"/>
    <w:basedOn w:val="TableNormal"/>
    <w:uiPriority w:val="39"/>
    <w:rsid w:val="009C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3D5570"/>
    <w:pPr>
      <w:spacing w:after="300"/>
      <w:contextualSpacing/>
      <w:outlineLvl w:val="0"/>
    </w:pPr>
    <w:rPr>
      <w:rFonts w:ascii="Arial Bold" w:eastAsiaTheme="majorEastAsia" w:hAnsi="Arial Bold" w:cstheme="majorBidi"/>
      <w:b/>
      <w:spacing w:val="5"/>
      <w:kern w:val="28"/>
      <w:sz w:val="28"/>
      <w:szCs w:val="52"/>
      <w:lang w:eastAsia="en-AU"/>
    </w:rPr>
  </w:style>
  <w:style w:type="character" w:customStyle="1" w:styleId="TitleChar">
    <w:name w:val="Title Char"/>
    <w:basedOn w:val="DefaultParagraphFont"/>
    <w:link w:val="Title"/>
    <w:rsid w:val="003D5570"/>
    <w:rPr>
      <w:rFonts w:ascii="Arial Bold" w:eastAsiaTheme="majorEastAsia" w:hAnsi="Arial Bold" w:cstheme="majorBidi"/>
      <w:b/>
      <w:spacing w:val="5"/>
      <w:kern w:val="28"/>
      <w:sz w:val="28"/>
      <w:szCs w:val="52"/>
      <w:lang w:eastAsia="en-AU"/>
    </w:rPr>
  </w:style>
  <w:style w:type="character" w:customStyle="1" w:styleId="ListParagraphChar">
    <w:name w:val="List Paragraph Char"/>
    <w:aliases w:val="Body Text Bullet Points Char,BulletPoints Char,Bullet point Char,List Paragraph1 Char,List Paragraph11 Char,Recommendation Char,L Char,Bullet Point Char,Bulletr List Paragraph Char,Content descriptions Char,FooterText Char,リスト段落 Char"/>
    <w:basedOn w:val="DefaultParagraphFont"/>
    <w:link w:val="ListParagraph"/>
    <w:uiPriority w:val="34"/>
    <w:qFormat/>
    <w:rsid w:val="003C0410"/>
    <w:rPr>
      <w:rFonts w:asciiTheme="minorHAnsi" w:hAnsiTheme="minorHAnsi" w:cs="Arial"/>
      <w:snapToGrid w:val="0"/>
      <w:sz w:val="24"/>
      <w:szCs w:val="24"/>
    </w:rPr>
  </w:style>
  <w:style w:type="paragraph" w:customStyle="1" w:styleId="PBACHeading1">
    <w:name w:val="PBAC Heading 1"/>
    <w:rsid w:val="00091933"/>
    <w:pPr>
      <w:outlineLvl w:val="0"/>
    </w:pPr>
    <w:rPr>
      <w:rFonts w:ascii="Arial" w:hAnsi="Arial" w:cs="Arial"/>
      <w:b/>
      <w:snapToGrid w:val="0"/>
      <w:sz w:val="22"/>
      <w:szCs w:val="22"/>
    </w:rPr>
  </w:style>
  <w:style w:type="paragraph" w:customStyle="1" w:styleId="2Sections">
    <w:name w:val="2. Sections"/>
    <w:qFormat/>
    <w:rsid w:val="001B74F4"/>
    <w:pPr>
      <w:spacing w:before="240" w:after="120"/>
      <w:ind w:left="720" w:hanging="720"/>
      <w:outlineLvl w:val="0"/>
    </w:pPr>
    <w:rPr>
      <w:rFonts w:asciiTheme="minorHAnsi" w:hAnsiTheme="minorHAnsi" w:cs="Arial"/>
      <w:b/>
      <w:snapToGrid w:val="0"/>
      <w:sz w:val="32"/>
      <w:szCs w:val="32"/>
    </w:rPr>
  </w:style>
  <w:style w:type="paragraph" w:customStyle="1" w:styleId="3Bodytext">
    <w:name w:val="3. Body text"/>
    <w:basedOn w:val="Bodytextitalics"/>
    <w:link w:val="3BodytextChar"/>
    <w:qFormat/>
    <w:rsid w:val="001B74F4"/>
    <w:rPr>
      <w:i w:val="0"/>
    </w:rPr>
  </w:style>
  <w:style w:type="character" w:customStyle="1" w:styleId="3BodytextChar">
    <w:name w:val="3. Body text Char"/>
    <w:basedOn w:val="DefaultParagraphFont"/>
    <w:link w:val="3Bodytext"/>
    <w:rsid w:val="001B74F4"/>
    <w:rPr>
      <w:rFonts w:asciiTheme="minorHAnsi" w:hAnsiTheme="minorHAnsi" w:cstheme="minorBidi"/>
      <w:szCs w:val="22"/>
      <w:lang w:eastAsia="en-AU"/>
    </w:rPr>
  </w:style>
  <w:style w:type="paragraph" w:customStyle="1" w:styleId="Bodytextitalics">
    <w:name w:val="Body text italics"/>
    <w:basedOn w:val="BodyText"/>
    <w:qFormat/>
    <w:rsid w:val="001B74F4"/>
    <w:pPr>
      <w:ind w:left="720" w:hanging="720"/>
    </w:pPr>
    <w:rPr>
      <w:rFonts w:asciiTheme="minorHAnsi" w:hAnsiTheme="minorHAnsi" w:cstheme="minorBidi"/>
      <w:i/>
      <w:szCs w:val="22"/>
      <w:lang w:eastAsia="en-AU"/>
    </w:rPr>
  </w:style>
  <w:style w:type="paragraph" w:styleId="BodyText">
    <w:name w:val="Body Text"/>
    <w:basedOn w:val="Normal"/>
    <w:link w:val="BodyTextChar"/>
    <w:uiPriority w:val="99"/>
    <w:semiHidden/>
    <w:unhideWhenUsed/>
    <w:rsid w:val="001B74F4"/>
    <w:pPr>
      <w:spacing w:after="120"/>
    </w:pPr>
  </w:style>
  <w:style w:type="character" w:customStyle="1" w:styleId="BodyTextChar">
    <w:name w:val="Body Text Char"/>
    <w:basedOn w:val="DefaultParagraphFont"/>
    <w:link w:val="BodyText"/>
    <w:uiPriority w:val="99"/>
    <w:semiHidden/>
    <w:rsid w:val="001B74F4"/>
  </w:style>
  <w:style w:type="paragraph" w:styleId="Header">
    <w:name w:val="header"/>
    <w:basedOn w:val="Normal"/>
    <w:link w:val="HeaderChar"/>
    <w:uiPriority w:val="99"/>
    <w:unhideWhenUsed/>
    <w:rsid w:val="0068234E"/>
    <w:pPr>
      <w:tabs>
        <w:tab w:val="center" w:pos="4513"/>
        <w:tab w:val="right" w:pos="9026"/>
      </w:tabs>
    </w:pPr>
  </w:style>
  <w:style w:type="character" w:customStyle="1" w:styleId="HeaderChar">
    <w:name w:val="Header Char"/>
    <w:basedOn w:val="DefaultParagraphFont"/>
    <w:link w:val="Header"/>
    <w:uiPriority w:val="99"/>
    <w:rsid w:val="0068234E"/>
  </w:style>
  <w:style w:type="paragraph" w:styleId="Footer">
    <w:name w:val="footer"/>
    <w:basedOn w:val="Normal"/>
    <w:link w:val="FooterChar"/>
    <w:uiPriority w:val="99"/>
    <w:unhideWhenUsed/>
    <w:rsid w:val="0068234E"/>
    <w:pPr>
      <w:tabs>
        <w:tab w:val="center" w:pos="4513"/>
        <w:tab w:val="right" w:pos="9026"/>
      </w:tabs>
    </w:pPr>
  </w:style>
  <w:style w:type="character" w:customStyle="1" w:styleId="FooterChar">
    <w:name w:val="Footer Char"/>
    <w:basedOn w:val="DefaultParagraphFont"/>
    <w:link w:val="Footer"/>
    <w:uiPriority w:val="99"/>
    <w:rsid w:val="0068234E"/>
  </w:style>
  <w:style w:type="paragraph" w:customStyle="1" w:styleId="Tabletext">
    <w:name w:val="Table text"/>
    <w:basedOn w:val="Normal"/>
    <w:link w:val="TabletextChar"/>
    <w:uiPriority w:val="2"/>
    <w:rsid w:val="00DB0651"/>
    <w:pPr>
      <w:spacing w:after="120"/>
    </w:pPr>
    <w:rPr>
      <w:rFonts w:ascii="Arial" w:hAnsi="Arial"/>
      <w:sz w:val="20"/>
      <w:szCs w:val="20"/>
    </w:rPr>
  </w:style>
  <w:style w:type="character" w:styleId="Emphasis">
    <w:name w:val="Emphasis"/>
    <w:basedOn w:val="DefaultParagraphFont"/>
    <w:rsid w:val="00DB0651"/>
    <w:rPr>
      <w:i/>
      <w:iCs/>
    </w:rPr>
  </w:style>
  <w:style w:type="paragraph" w:styleId="FootnoteText">
    <w:name w:val="footnote text"/>
    <w:basedOn w:val="Normal"/>
    <w:link w:val="FootnoteTextChar"/>
    <w:rsid w:val="00DB0651"/>
    <w:rPr>
      <w:sz w:val="20"/>
      <w:szCs w:val="20"/>
      <w:lang w:eastAsia="en-AU"/>
    </w:rPr>
  </w:style>
  <w:style w:type="character" w:customStyle="1" w:styleId="FootnoteTextChar">
    <w:name w:val="Footnote Text Char"/>
    <w:basedOn w:val="DefaultParagraphFont"/>
    <w:link w:val="FootnoteText"/>
    <w:rsid w:val="00DB0651"/>
    <w:rPr>
      <w:rFonts w:eastAsia="Times New Roman"/>
      <w:sz w:val="20"/>
      <w:szCs w:val="20"/>
      <w:lang w:eastAsia="en-AU"/>
    </w:rPr>
  </w:style>
  <w:style w:type="character" w:styleId="FootnoteReference">
    <w:name w:val="footnote reference"/>
    <w:basedOn w:val="DefaultParagraphFont"/>
    <w:rsid w:val="00DB0651"/>
    <w:rPr>
      <w:vertAlign w:val="superscript"/>
    </w:rPr>
  </w:style>
  <w:style w:type="paragraph" w:styleId="NormalWeb">
    <w:name w:val="Normal (Web)"/>
    <w:basedOn w:val="Normal"/>
    <w:uiPriority w:val="99"/>
    <w:rsid w:val="00DB0651"/>
    <w:pPr>
      <w:spacing w:before="100" w:after="100"/>
    </w:pPr>
    <w:rPr>
      <w:szCs w:val="20"/>
      <w:lang w:val="en-GB"/>
    </w:rPr>
  </w:style>
  <w:style w:type="paragraph" w:customStyle="1" w:styleId="PBACheading10">
    <w:name w:val="PBAC heading 1"/>
    <w:rsid w:val="00DB0651"/>
    <w:pPr>
      <w:ind w:left="720" w:hanging="720"/>
      <w:outlineLvl w:val="0"/>
    </w:pPr>
    <w:rPr>
      <w:rFonts w:ascii="Arial" w:hAnsi="Arial" w:cs="Arial"/>
      <w:b/>
      <w:snapToGrid w:val="0"/>
      <w:sz w:val="22"/>
      <w:szCs w:val="22"/>
    </w:rPr>
  </w:style>
  <w:style w:type="character" w:customStyle="1" w:styleId="Heading1Char">
    <w:name w:val="Heading 1 Char"/>
    <w:basedOn w:val="DefaultParagraphFont"/>
    <w:link w:val="Heading1"/>
    <w:uiPriority w:val="1"/>
    <w:rsid w:val="00DB0651"/>
    <w:rPr>
      <w:rFonts w:ascii="Arial" w:hAnsi="Arial" w:cs="Arial"/>
      <w:b/>
      <w:sz w:val="22"/>
      <w:szCs w:val="22"/>
    </w:rPr>
  </w:style>
  <w:style w:type="character" w:customStyle="1" w:styleId="Heading2Char">
    <w:name w:val="Heading 2 Char"/>
    <w:basedOn w:val="DefaultParagraphFont"/>
    <w:link w:val="Heading2"/>
    <w:uiPriority w:val="9"/>
    <w:semiHidden/>
    <w:rsid w:val="0086397E"/>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uiPriority w:val="1"/>
    <w:rsid w:val="0000754C"/>
    <w:rPr>
      <w:rFonts w:ascii="Arial" w:hAnsi="Arial"/>
      <w:sz w:val="22"/>
      <w:szCs w:val="22"/>
      <w:lang w:eastAsia="en-AU"/>
    </w:rPr>
  </w:style>
  <w:style w:type="character" w:customStyle="1" w:styleId="NoSpacingChar">
    <w:name w:val="No Spacing Char"/>
    <w:basedOn w:val="DefaultParagraphFont"/>
    <w:link w:val="NoSpacing"/>
    <w:uiPriority w:val="1"/>
    <w:rsid w:val="0000754C"/>
    <w:rPr>
      <w:rFonts w:ascii="Arial" w:eastAsia="Times New Roman" w:hAnsi="Arial"/>
      <w:sz w:val="22"/>
      <w:szCs w:val="22"/>
      <w:lang w:eastAsia="en-AU"/>
    </w:rPr>
  </w:style>
  <w:style w:type="paragraph" w:customStyle="1" w:styleId="TableText0">
    <w:name w:val="Table Text"/>
    <w:link w:val="TableTextChar0"/>
    <w:qFormat/>
    <w:rsid w:val="003C0410"/>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3C0410"/>
    <w:rPr>
      <w:rFonts w:ascii="Arial Narrow" w:eastAsiaTheme="majorEastAsia" w:hAnsi="Arial Narrow" w:cstheme="majorBidi"/>
      <w:bCs/>
      <w:szCs w:val="24"/>
    </w:rPr>
  </w:style>
  <w:style w:type="character" w:styleId="CommentReference">
    <w:name w:val="annotation reference"/>
    <w:aliases w:val="Table Title"/>
    <w:basedOn w:val="DefaultParagraphFont"/>
    <w:uiPriority w:val="99"/>
    <w:rsid w:val="00A35E74"/>
    <w:rPr>
      <w:sz w:val="16"/>
      <w:szCs w:val="16"/>
    </w:rPr>
  </w:style>
  <w:style w:type="character" w:customStyle="1" w:styleId="TabletextChar">
    <w:name w:val="Table text Char"/>
    <w:link w:val="Tabletext"/>
    <w:uiPriority w:val="2"/>
    <w:rsid w:val="00A35E74"/>
    <w:rPr>
      <w:rFonts w:ascii="Arial" w:eastAsia="Times New Roman" w:hAnsi="Arial"/>
      <w:sz w:val="20"/>
      <w:szCs w:val="20"/>
    </w:rPr>
  </w:style>
  <w:style w:type="paragraph" w:styleId="CommentText">
    <w:name w:val="annotation text"/>
    <w:basedOn w:val="Normal"/>
    <w:link w:val="CommentTextChar"/>
    <w:uiPriority w:val="99"/>
    <w:unhideWhenUsed/>
    <w:rsid w:val="00DA39B3"/>
    <w:rPr>
      <w:sz w:val="20"/>
      <w:szCs w:val="20"/>
    </w:rPr>
  </w:style>
  <w:style w:type="character" w:customStyle="1" w:styleId="CommentTextChar">
    <w:name w:val="Comment Text Char"/>
    <w:basedOn w:val="DefaultParagraphFont"/>
    <w:link w:val="CommentText"/>
    <w:uiPriority w:val="99"/>
    <w:rsid w:val="00DA39B3"/>
    <w:rPr>
      <w:sz w:val="20"/>
      <w:szCs w:val="20"/>
    </w:rPr>
  </w:style>
  <w:style w:type="paragraph" w:styleId="CommentSubject">
    <w:name w:val="annotation subject"/>
    <w:basedOn w:val="CommentText"/>
    <w:next w:val="CommentText"/>
    <w:link w:val="CommentSubjectChar"/>
    <w:uiPriority w:val="99"/>
    <w:semiHidden/>
    <w:unhideWhenUsed/>
    <w:rsid w:val="00DA39B3"/>
    <w:rPr>
      <w:b/>
      <w:bCs/>
    </w:rPr>
  </w:style>
  <w:style w:type="character" w:customStyle="1" w:styleId="CommentSubjectChar">
    <w:name w:val="Comment Subject Char"/>
    <w:basedOn w:val="CommentTextChar"/>
    <w:link w:val="CommentSubject"/>
    <w:uiPriority w:val="99"/>
    <w:semiHidden/>
    <w:rsid w:val="00DA39B3"/>
    <w:rPr>
      <w:b/>
      <w:bCs/>
      <w:sz w:val="20"/>
      <w:szCs w:val="20"/>
    </w:rPr>
  </w:style>
  <w:style w:type="paragraph" w:styleId="BalloonText">
    <w:name w:val="Balloon Text"/>
    <w:basedOn w:val="Normal"/>
    <w:link w:val="BalloonTextChar"/>
    <w:uiPriority w:val="99"/>
    <w:semiHidden/>
    <w:unhideWhenUsed/>
    <w:rsid w:val="00DA3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B3"/>
    <w:rPr>
      <w:rFonts w:ascii="Segoe UI" w:hAnsi="Segoe UI" w:cs="Segoe UI"/>
      <w:sz w:val="18"/>
      <w:szCs w:val="18"/>
    </w:rPr>
  </w:style>
  <w:style w:type="paragraph" w:styleId="Revision">
    <w:name w:val="Revision"/>
    <w:hidden/>
    <w:uiPriority w:val="99"/>
    <w:semiHidden/>
    <w:rsid w:val="00607421"/>
  </w:style>
  <w:style w:type="character" w:styleId="Hyperlink">
    <w:name w:val="Hyperlink"/>
    <w:basedOn w:val="DefaultParagraphFont"/>
    <w:uiPriority w:val="99"/>
    <w:unhideWhenUsed/>
    <w:rsid w:val="00AF1458"/>
    <w:rPr>
      <w:color w:val="0563C1" w:themeColor="hyperlink"/>
      <w:u w:val="single"/>
    </w:rPr>
  </w:style>
  <w:style w:type="paragraph" w:customStyle="1" w:styleId="MinorOVRHeader">
    <w:name w:val="Minor OVR Header"/>
    <w:basedOn w:val="Header"/>
    <w:link w:val="MinorOVRHeaderChar"/>
    <w:rsid w:val="007F2386"/>
    <w:pPr>
      <w:tabs>
        <w:tab w:val="clear" w:pos="4513"/>
        <w:tab w:val="clear" w:pos="9026"/>
        <w:tab w:val="center" w:pos="4153"/>
        <w:tab w:val="right" w:pos="8306"/>
      </w:tabs>
      <w:jc w:val="right"/>
    </w:pPr>
    <w:rPr>
      <w:rFonts w:asciiTheme="minorHAnsi" w:hAnsiTheme="minorHAnsi" w:cs="Arial"/>
      <w:lang w:eastAsia="en-AU"/>
    </w:rPr>
  </w:style>
  <w:style w:type="character" w:customStyle="1" w:styleId="MinorOVRHeaderChar">
    <w:name w:val="Minor OVR Header Char"/>
    <w:basedOn w:val="DefaultParagraphFont"/>
    <w:link w:val="MinorOVRHeader"/>
    <w:rsid w:val="007F2386"/>
    <w:rPr>
      <w:rFonts w:asciiTheme="minorHAnsi" w:eastAsia="Times New Roman" w:hAnsiTheme="minorHAnsi" w:cs="Arial"/>
      <w:lang w:eastAsia="en-AU"/>
    </w:rPr>
  </w:style>
  <w:style w:type="paragraph" w:customStyle="1" w:styleId="PBACFooter">
    <w:name w:val="PBAC Footer"/>
    <w:basedOn w:val="Footer"/>
    <w:link w:val="PBACFooterChar"/>
    <w:rsid w:val="007F2386"/>
    <w:pPr>
      <w:tabs>
        <w:tab w:val="clear" w:pos="4513"/>
        <w:tab w:val="clear" w:pos="9026"/>
        <w:tab w:val="center" w:pos="4153"/>
        <w:tab w:val="right" w:pos="8306"/>
      </w:tabs>
      <w:jc w:val="center"/>
    </w:pPr>
    <w:rPr>
      <w:rFonts w:ascii="Arial" w:hAnsi="Arial" w:cs="Arial"/>
      <w:b/>
      <w:sz w:val="20"/>
      <w:szCs w:val="20"/>
      <w:lang w:eastAsia="en-AU"/>
    </w:rPr>
  </w:style>
  <w:style w:type="character" w:customStyle="1" w:styleId="PBACFooterChar">
    <w:name w:val="PBAC Footer Char"/>
    <w:basedOn w:val="FooterChar"/>
    <w:link w:val="PBACFooter"/>
    <w:rsid w:val="007F2386"/>
    <w:rPr>
      <w:rFonts w:ascii="Arial" w:eastAsia="Times New Roman" w:hAnsi="Arial" w:cs="Arial"/>
      <w:b/>
      <w:sz w:val="20"/>
      <w:szCs w:val="20"/>
      <w:lang w:eastAsia="en-AU"/>
    </w:rPr>
  </w:style>
  <w:style w:type="paragraph" w:customStyle="1" w:styleId="GeneralHeading">
    <w:name w:val="General Heading"/>
    <w:qFormat/>
    <w:rsid w:val="003C0410"/>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3C0410"/>
    <w:pPr>
      <w:keepNext/>
    </w:pPr>
    <w:rPr>
      <w:rFonts w:ascii="Arial Narrow" w:eastAsiaTheme="majorEastAsia" w:hAnsi="Arial Narrow"/>
      <w:b/>
      <w:szCs w:val="24"/>
      <w:lang w:val="en-US"/>
    </w:rPr>
  </w:style>
  <w:style w:type="paragraph" w:customStyle="1" w:styleId="2-SectionHeading">
    <w:name w:val="2-Section Heading"/>
    <w:qFormat/>
    <w:rsid w:val="003C0410"/>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3C0410"/>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3C0410"/>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3C0410"/>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3C0410"/>
    <w:rPr>
      <w:rFonts w:ascii="Arial Narrow" w:eastAsiaTheme="majorEastAsia" w:hAnsi="Arial Narrow" w:cstheme="majorBidi"/>
      <w:b/>
      <w:bCs/>
      <w:szCs w:val="24"/>
    </w:rPr>
  </w:style>
  <w:style w:type="paragraph" w:customStyle="1" w:styleId="3-BodyText">
    <w:name w:val="3-Body Text"/>
    <w:basedOn w:val="ListParagraph"/>
    <w:link w:val="3-BodyTextChar"/>
    <w:qFormat/>
    <w:rsid w:val="003C0410"/>
    <w:pPr>
      <w:numPr>
        <w:ilvl w:val="1"/>
        <w:numId w:val="1"/>
      </w:numPr>
      <w:jc w:val="both"/>
    </w:pPr>
    <w:rPr>
      <w:rFonts w:cstheme="minorBidi"/>
      <w:szCs w:val="22"/>
    </w:rPr>
  </w:style>
  <w:style w:type="character" w:customStyle="1" w:styleId="3-BodyTextChar">
    <w:name w:val="3-Body Text Char"/>
    <w:basedOn w:val="ListParagraphChar"/>
    <w:link w:val="3-BodyText"/>
    <w:rsid w:val="003C0410"/>
    <w:rPr>
      <w:rFonts w:asciiTheme="minorHAnsi" w:hAnsiTheme="minorHAnsi" w:cstheme="minorBidi"/>
      <w:snapToGrid w:val="0"/>
      <w:sz w:val="24"/>
      <w:szCs w:val="22"/>
    </w:rPr>
  </w:style>
  <w:style w:type="paragraph" w:customStyle="1" w:styleId="PageFooter">
    <w:name w:val="Page Footer"/>
    <w:basedOn w:val="Normal"/>
    <w:link w:val="PageFooterChar"/>
    <w:qFormat/>
    <w:rsid w:val="003C0410"/>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3C0410"/>
    <w:rPr>
      <w:rFonts w:ascii="Calibri" w:hAnsi="Calibri" w:cs="Arial"/>
      <w:b/>
      <w:sz w:val="24"/>
      <w:szCs w:val="24"/>
    </w:rPr>
  </w:style>
  <w:style w:type="paragraph" w:customStyle="1" w:styleId="TableFigureFooter">
    <w:name w:val="Table/Figure Footer"/>
    <w:basedOn w:val="Normal"/>
    <w:link w:val="TableFigureFooterChar"/>
    <w:qFormat/>
    <w:rsid w:val="003C0410"/>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3C0410"/>
    <w:rPr>
      <w:rFonts w:ascii="Arial Narrow" w:hAnsi="Arial Narrow" w:cs="Arial"/>
      <w:snapToGrid w:val="0"/>
      <w:sz w:val="18"/>
      <w:szCs w:val="22"/>
    </w:rPr>
  </w:style>
  <w:style w:type="paragraph" w:customStyle="1" w:styleId="PageHeader">
    <w:name w:val="Page Header"/>
    <w:basedOn w:val="Normal"/>
    <w:link w:val="PageHeaderChar"/>
    <w:qFormat/>
    <w:rsid w:val="003C0410"/>
    <w:pPr>
      <w:keepNext/>
      <w:tabs>
        <w:tab w:val="center" w:pos="4513"/>
        <w:tab w:val="right" w:pos="9026"/>
      </w:tabs>
      <w:jc w:val="center"/>
    </w:pPr>
  </w:style>
  <w:style w:type="character" w:customStyle="1" w:styleId="PageHeaderChar">
    <w:name w:val="Page Header Char"/>
    <w:basedOn w:val="DefaultParagraphFont"/>
    <w:link w:val="PageHeader"/>
    <w:rsid w:val="003C0410"/>
    <w:rPr>
      <w:rFonts w:ascii="Calibri" w:hAnsi="Calibri"/>
      <w:sz w:val="24"/>
      <w:szCs w:val="24"/>
    </w:rPr>
  </w:style>
  <w:style w:type="paragraph" w:customStyle="1" w:styleId="4-SubsectionHeading">
    <w:name w:val="4-Subsection Heading"/>
    <w:basedOn w:val="Heading2"/>
    <w:next w:val="3-BodyText"/>
    <w:link w:val="4-SubsectionHeadingChar"/>
    <w:qFormat/>
    <w:rsid w:val="003C0410"/>
    <w:pPr>
      <w:keepLines w:val="0"/>
      <w:spacing w:before="120" w:after="120"/>
    </w:pPr>
    <w:rPr>
      <w:rFonts w:asciiTheme="minorHAnsi" w:hAnsiTheme="minorHAnsi"/>
      <w:b/>
      <w:i/>
      <w:color w:val="auto"/>
      <w:spacing w:val="5"/>
      <w:kern w:val="28"/>
      <w:sz w:val="28"/>
      <w:szCs w:val="36"/>
    </w:rPr>
  </w:style>
  <w:style w:type="character" w:customStyle="1" w:styleId="4-SubsectionHeadingChar">
    <w:name w:val="4-Subsection Heading Char"/>
    <w:basedOn w:val="Heading2Char"/>
    <w:link w:val="4-SubsectionHeading"/>
    <w:rsid w:val="003C0410"/>
    <w:rPr>
      <w:rFonts w:asciiTheme="minorHAnsi" w:eastAsiaTheme="majorEastAsia" w:hAnsiTheme="minorHAnsi" w:cstheme="majorBidi"/>
      <w:b/>
      <w:i/>
      <w:color w:val="2E74B5" w:themeColor="accent1" w:themeShade="BF"/>
      <w:spacing w:val="5"/>
      <w:kern w:val="28"/>
      <w:sz w:val="28"/>
      <w:szCs w:val="36"/>
    </w:rPr>
  </w:style>
  <w:style w:type="paragraph" w:customStyle="1" w:styleId="5-SubsectionSubheading">
    <w:name w:val="5-Subsection Subheading"/>
    <w:basedOn w:val="Heading3"/>
    <w:next w:val="3-BodyText"/>
    <w:link w:val="5-SubsectionSubheadingChar"/>
    <w:qFormat/>
    <w:rsid w:val="003C0410"/>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3C0410"/>
    <w:rPr>
      <w:rFonts w:asciiTheme="minorHAnsi" w:eastAsiaTheme="majorEastAsia" w:hAnsiTheme="minorHAnsi" w:cstheme="majorBidi"/>
      <w:b/>
      <w:color w:val="000000" w:themeColor="text1"/>
      <w:sz w:val="24"/>
      <w:szCs w:val="24"/>
    </w:rPr>
  </w:style>
  <w:style w:type="character" w:customStyle="1" w:styleId="Heading3Char">
    <w:name w:val="Heading 3 Char"/>
    <w:basedOn w:val="DefaultParagraphFont"/>
    <w:link w:val="Heading3"/>
    <w:uiPriority w:val="9"/>
    <w:semiHidden/>
    <w:rsid w:val="003C0410"/>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3C0410"/>
    <w:pPr>
      <w:numPr>
        <w:numId w:val="7"/>
      </w:numPr>
      <w:contextualSpacing/>
    </w:pPr>
  </w:style>
  <w:style w:type="character" w:styleId="FollowedHyperlink">
    <w:name w:val="FollowedHyperlink"/>
    <w:basedOn w:val="DefaultParagraphFont"/>
    <w:uiPriority w:val="99"/>
    <w:semiHidden/>
    <w:unhideWhenUsed/>
    <w:rsid w:val="00F43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308">
      <w:bodyDiv w:val="1"/>
      <w:marLeft w:val="0"/>
      <w:marRight w:val="0"/>
      <w:marTop w:val="0"/>
      <w:marBottom w:val="0"/>
      <w:divBdr>
        <w:top w:val="none" w:sz="0" w:space="0" w:color="auto"/>
        <w:left w:val="none" w:sz="0" w:space="0" w:color="auto"/>
        <w:bottom w:val="none" w:sz="0" w:space="0" w:color="auto"/>
        <w:right w:val="none" w:sz="0" w:space="0" w:color="auto"/>
      </w:divBdr>
    </w:div>
    <w:div w:id="677735227">
      <w:bodyDiv w:val="1"/>
      <w:marLeft w:val="0"/>
      <w:marRight w:val="0"/>
      <w:marTop w:val="0"/>
      <w:marBottom w:val="0"/>
      <w:divBdr>
        <w:top w:val="none" w:sz="0" w:space="0" w:color="auto"/>
        <w:left w:val="none" w:sz="0" w:space="0" w:color="auto"/>
        <w:bottom w:val="none" w:sz="0" w:space="0" w:color="auto"/>
        <w:right w:val="none" w:sz="0" w:space="0" w:color="auto"/>
      </w:divBdr>
    </w:div>
    <w:div w:id="829717307">
      <w:bodyDiv w:val="1"/>
      <w:marLeft w:val="0"/>
      <w:marRight w:val="0"/>
      <w:marTop w:val="0"/>
      <w:marBottom w:val="0"/>
      <w:divBdr>
        <w:top w:val="none" w:sz="0" w:space="0" w:color="auto"/>
        <w:left w:val="none" w:sz="0" w:space="0" w:color="auto"/>
        <w:bottom w:val="none" w:sz="0" w:space="0" w:color="auto"/>
        <w:right w:val="none" w:sz="0" w:space="0" w:color="auto"/>
      </w:divBdr>
    </w:div>
    <w:div w:id="1334528291">
      <w:bodyDiv w:val="1"/>
      <w:marLeft w:val="0"/>
      <w:marRight w:val="0"/>
      <w:marTop w:val="0"/>
      <w:marBottom w:val="0"/>
      <w:divBdr>
        <w:top w:val="none" w:sz="0" w:space="0" w:color="auto"/>
        <w:left w:val="none" w:sz="0" w:space="0" w:color="auto"/>
        <w:bottom w:val="none" w:sz="0" w:space="0" w:color="auto"/>
        <w:right w:val="none" w:sz="0" w:space="0" w:color="auto"/>
      </w:divBdr>
    </w:div>
    <w:div w:id="1540826077">
      <w:bodyDiv w:val="1"/>
      <w:marLeft w:val="0"/>
      <w:marRight w:val="0"/>
      <w:marTop w:val="0"/>
      <w:marBottom w:val="0"/>
      <w:divBdr>
        <w:top w:val="none" w:sz="0" w:space="0" w:color="auto"/>
        <w:left w:val="none" w:sz="0" w:space="0" w:color="auto"/>
        <w:bottom w:val="none" w:sz="0" w:space="0" w:color="auto"/>
        <w:right w:val="none" w:sz="0" w:space="0" w:color="auto"/>
      </w:divBdr>
    </w:div>
    <w:div w:id="17167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7CB0-2590-4394-A9F0-B8BF2DF1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2021-02-25T04:24:00Z</dcterms:created>
  <dcterms:modified xsi:type="dcterms:W3CDTF">2021-02-25T04:41:00Z</dcterms:modified>
</cp:coreProperties>
</file>