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40" w:rsidRPr="00551BE1" w:rsidRDefault="00DC6612" w:rsidP="00551BE1">
      <w:pPr>
        <w:pStyle w:val="1MainTitle"/>
        <w:jc w:val="left"/>
        <w:rPr>
          <w:rFonts w:eastAsia="Calibri"/>
          <w:lang w:eastAsia="en-US"/>
        </w:rPr>
      </w:pPr>
      <w:r w:rsidRPr="000B7209">
        <w:rPr>
          <w:rFonts w:eastAsia="Calibri"/>
          <w:lang w:eastAsia="en-US"/>
        </w:rPr>
        <w:t>6</w:t>
      </w:r>
      <w:r w:rsidR="00BF27A0" w:rsidRPr="000B7209">
        <w:rPr>
          <w:rFonts w:eastAsia="Calibri"/>
          <w:lang w:eastAsia="en-US"/>
        </w:rPr>
        <w:t>.</w:t>
      </w:r>
      <w:r w:rsidRPr="000B7209">
        <w:rPr>
          <w:rFonts w:eastAsia="Calibri"/>
          <w:lang w:eastAsia="en-US"/>
        </w:rPr>
        <w:t>14</w:t>
      </w:r>
      <w:r w:rsidRPr="000B7209">
        <w:rPr>
          <w:rFonts w:eastAsia="Calibri"/>
          <w:lang w:eastAsia="en-US"/>
        </w:rPr>
        <w:tab/>
        <w:t>APOMORPHINE</w:t>
      </w:r>
      <w:r w:rsidR="00BF27A0" w:rsidRPr="000B7209">
        <w:rPr>
          <w:rFonts w:eastAsia="Calibri"/>
          <w:lang w:eastAsia="en-US"/>
        </w:rPr>
        <w:t>,</w:t>
      </w:r>
      <w:r w:rsidR="00F82E5C" w:rsidRPr="000B7209">
        <w:rPr>
          <w:rFonts w:eastAsia="Calibri"/>
          <w:lang w:eastAsia="en-US"/>
        </w:rPr>
        <w:t xml:space="preserve"> </w:t>
      </w:r>
      <w:r w:rsidR="005E0D82" w:rsidRPr="000B7209">
        <w:rPr>
          <w:rFonts w:eastAsia="Calibri"/>
          <w:lang w:eastAsia="en-US"/>
        </w:rPr>
        <w:br/>
      </w:r>
      <w:r w:rsidRPr="000B7209">
        <w:rPr>
          <w:rFonts w:eastAsia="Calibri"/>
          <w:lang w:eastAsia="en-US"/>
        </w:rPr>
        <w:t>Solution for subcutaneous infusion containing apomorphine hydroc</w:t>
      </w:r>
      <w:r w:rsidR="00265A9C" w:rsidRPr="000B7209">
        <w:rPr>
          <w:rFonts w:eastAsia="Calibri"/>
          <w:lang w:eastAsia="en-US"/>
        </w:rPr>
        <w:t xml:space="preserve">hloride hemihydrate 50 mg in </w:t>
      </w:r>
      <w:r w:rsidR="00265A9C" w:rsidRPr="000B7209">
        <w:t>10 </w:t>
      </w:r>
      <w:r w:rsidRPr="000B7209">
        <w:t>mL</w:t>
      </w:r>
      <w:r w:rsidRPr="000B7209">
        <w:rPr>
          <w:rFonts w:eastAsia="Calibri"/>
          <w:lang w:eastAsia="en-US"/>
        </w:rPr>
        <w:t xml:space="preserve"> pre-filled syringe</w:t>
      </w:r>
      <w:r w:rsidR="00BF27A0" w:rsidRPr="000B7209">
        <w:rPr>
          <w:rFonts w:eastAsia="Calibri"/>
          <w:lang w:eastAsia="en-US"/>
        </w:rPr>
        <w:t>,</w:t>
      </w:r>
      <w:r w:rsidR="005E0D82" w:rsidRPr="000B7209">
        <w:rPr>
          <w:rFonts w:eastAsia="Calibri"/>
          <w:lang w:eastAsia="en-US"/>
        </w:rPr>
        <w:br/>
      </w:r>
      <w:r w:rsidRPr="000B7209">
        <w:rPr>
          <w:rFonts w:eastAsia="Calibri"/>
          <w:lang w:eastAsia="en-US"/>
        </w:rPr>
        <w:t>MOVAPO® PFS</w:t>
      </w:r>
      <w:r w:rsidR="00BF27A0" w:rsidRPr="000B7209">
        <w:rPr>
          <w:rFonts w:eastAsia="Calibri"/>
          <w:lang w:eastAsia="en-US"/>
        </w:rPr>
        <w:t>,</w:t>
      </w:r>
      <w:r w:rsidR="005E0D82" w:rsidRPr="000B7209">
        <w:rPr>
          <w:rFonts w:eastAsia="Calibri"/>
          <w:lang w:eastAsia="en-US"/>
        </w:rPr>
        <w:br/>
      </w:r>
      <w:r w:rsidRPr="000B7209">
        <w:rPr>
          <w:rFonts w:eastAsia="Calibri"/>
          <w:lang w:eastAsia="en-US"/>
        </w:rPr>
        <w:t>STADA PHARMACEUTICALS AUSTRALIA PTY LIMITED</w:t>
      </w:r>
      <w:r w:rsidR="00BF27A0" w:rsidRPr="000B7209">
        <w:rPr>
          <w:rFonts w:eastAsia="Calibri"/>
          <w:lang w:eastAsia="en-US"/>
        </w:rPr>
        <w:t xml:space="preserve"> </w:t>
      </w:r>
    </w:p>
    <w:p w:rsidR="008A50F1" w:rsidRPr="000B7209" w:rsidRDefault="00CE10C4" w:rsidP="008F0213">
      <w:pPr>
        <w:pStyle w:val="2-SectionHeading"/>
      </w:pPr>
      <w:r w:rsidRPr="000B7209">
        <w:t xml:space="preserve">Purpose of </w:t>
      </w:r>
      <w:r w:rsidR="0004240E" w:rsidRPr="000B7209">
        <w:t>Application</w:t>
      </w:r>
      <w:r w:rsidR="00034905" w:rsidRPr="000B7209">
        <w:t xml:space="preserve"> </w:t>
      </w:r>
    </w:p>
    <w:p w:rsidR="00712DA3" w:rsidRPr="000B7209" w:rsidRDefault="00712DA3" w:rsidP="00551BE1">
      <w:pPr>
        <w:pStyle w:val="3Bodytext"/>
      </w:pPr>
      <w:r w:rsidRPr="000B7209">
        <w:t>Th</w:t>
      </w:r>
      <w:r w:rsidR="0024175D" w:rsidRPr="000B7209">
        <w:t>e</w:t>
      </w:r>
      <w:r w:rsidRPr="000B7209">
        <w:t xml:space="preserve"> minor </w:t>
      </w:r>
      <w:r w:rsidRPr="00551BE1">
        <w:t>submission</w:t>
      </w:r>
      <w:r w:rsidRPr="000B7209">
        <w:t xml:space="preserve"> requested an extension to the current listing </w:t>
      </w:r>
      <w:r w:rsidR="0046286B" w:rsidRPr="000B7209">
        <w:t>of apomorphine</w:t>
      </w:r>
      <w:r w:rsidRPr="000B7209">
        <w:t xml:space="preserve"> 50 mg in 10 mL </w:t>
      </w:r>
      <w:r w:rsidR="00C515A4" w:rsidRPr="000B7209">
        <w:t xml:space="preserve">solution for subcutaneous infusion </w:t>
      </w:r>
      <w:r w:rsidR="00DC4A8D" w:rsidRPr="000B7209">
        <w:t xml:space="preserve">pre-filled syringe </w:t>
      </w:r>
      <w:r w:rsidR="00C515A4" w:rsidRPr="000B7209">
        <w:t>(Movapo® PFS)</w:t>
      </w:r>
      <w:r w:rsidRPr="000B7209">
        <w:t xml:space="preserve"> for the treatment of Parkinson’s disease</w:t>
      </w:r>
      <w:r w:rsidR="00DC4A8D" w:rsidRPr="000B7209">
        <w:t xml:space="preserve"> (PD)</w:t>
      </w:r>
      <w:r w:rsidRPr="000B7209">
        <w:t xml:space="preserve"> to include General Schedule</w:t>
      </w:r>
      <w:r w:rsidR="00265A9C" w:rsidRPr="000B7209">
        <w:t>,</w:t>
      </w:r>
      <w:r w:rsidRPr="00864FEE">
        <w:t xml:space="preserve"> Authority Required (STREAMLINED) listings for </w:t>
      </w:r>
      <w:r w:rsidR="00A105F6" w:rsidRPr="000B7209">
        <w:t xml:space="preserve">maintenance </w:t>
      </w:r>
      <w:r w:rsidRPr="000B7209">
        <w:t>treatment following initiation in a hospital setting under the current Section 100 Highly Specialised Drugs (</w:t>
      </w:r>
      <w:r w:rsidR="00A437F4" w:rsidRPr="000B7209">
        <w:t xml:space="preserve">S100 </w:t>
      </w:r>
      <w:r w:rsidRPr="000B7209">
        <w:t>HSD) Program listings.</w:t>
      </w:r>
    </w:p>
    <w:p w:rsidR="00A01432" w:rsidRPr="000B7209" w:rsidRDefault="00A01432" w:rsidP="006F0A71">
      <w:pPr>
        <w:pStyle w:val="2-SectionHeading"/>
      </w:pPr>
      <w:r w:rsidRPr="000B7209">
        <w:t xml:space="preserve">Background </w:t>
      </w:r>
    </w:p>
    <w:p w:rsidR="00A01432" w:rsidRPr="000B7209" w:rsidRDefault="00A01432" w:rsidP="00B16273">
      <w:pPr>
        <w:pStyle w:val="4-SubsectionHeading"/>
      </w:pPr>
      <w:r w:rsidRPr="000B7209">
        <w:t>Registration status</w:t>
      </w:r>
    </w:p>
    <w:p w:rsidR="00245497" w:rsidRPr="00AF39BF" w:rsidRDefault="00DC4A8D" w:rsidP="00551BE1">
      <w:pPr>
        <w:pStyle w:val="3Bodytext"/>
        <w:rPr>
          <w:b/>
        </w:rPr>
      </w:pPr>
      <w:r w:rsidRPr="000B7209">
        <w:t xml:space="preserve">Movapo </w:t>
      </w:r>
      <w:r w:rsidR="008E7296" w:rsidRPr="000B7209">
        <w:t>PFS was</w:t>
      </w:r>
      <w:r w:rsidR="00A01432" w:rsidRPr="000B7209">
        <w:t xml:space="preserve"> TGA registered on </w:t>
      </w:r>
      <w:r w:rsidR="00CB22DA" w:rsidRPr="000B7209">
        <w:t>29 July 2008 under its original trade name (</w:t>
      </w:r>
      <w:r w:rsidR="00A105F6" w:rsidRPr="000B7209">
        <w:t>Apomine</w:t>
      </w:r>
      <w:r w:rsidR="00CB22DA" w:rsidRPr="000B7209">
        <w:t xml:space="preserve">® PFS) </w:t>
      </w:r>
      <w:r w:rsidR="008B132C" w:rsidRPr="000B7209">
        <w:t>with the following indication:</w:t>
      </w:r>
      <w:r w:rsidR="00CB22DA" w:rsidRPr="000B7209">
        <w:t xml:space="preserve"> </w:t>
      </w:r>
      <w:r w:rsidR="000C7C07" w:rsidRPr="000B7209">
        <w:t>‘</w:t>
      </w:r>
      <w:r w:rsidR="00245497" w:rsidRPr="00AF39BF">
        <w:t xml:space="preserve">to reduce the number and severity of ‘off’ phases in patients with </w:t>
      </w:r>
      <w:r w:rsidR="00C515A4" w:rsidRPr="00AF39BF">
        <w:t>PD</w:t>
      </w:r>
      <w:r w:rsidR="00245497" w:rsidRPr="00AF39BF">
        <w:t xml:space="preserve"> severely disabled by motor fluctuations refractory to conventional therapy.  Initiation of therapy with apomorphine</w:t>
      </w:r>
      <w:r w:rsidR="00245497" w:rsidRPr="00AF39BF">
        <w:rPr>
          <w:b/>
        </w:rPr>
        <w:t xml:space="preserve"> </w:t>
      </w:r>
      <w:r w:rsidR="00245497" w:rsidRPr="00AF39BF">
        <w:t>should be undertaken in a specialist unit in a hospital setting. Conventional therapy should be continued during ‘on’ phases</w:t>
      </w:r>
      <w:r w:rsidR="001370D6" w:rsidRPr="00AF39BF">
        <w:t>’</w:t>
      </w:r>
      <w:r w:rsidR="00245497" w:rsidRPr="00AF39BF">
        <w:t>.</w:t>
      </w:r>
    </w:p>
    <w:p w:rsidR="00A01432" w:rsidRPr="000B7209" w:rsidRDefault="00A01432" w:rsidP="00B16273">
      <w:pPr>
        <w:pStyle w:val="4-SubsectionHeading"/>
      </w:pPr>
      <w:r w:rsidRPr="000B7209">
        <w:t xml:space="preserve">Previous PBAC consideration </w:t>
      </w:r>
    </w:p>
    <w:p w:rsidR="005A3E91" w:rsidRPr="000B7209" w:rsidRDefault="005A3E91" w:rsidP="00551BE1">
      <w:pPr>
        <w:pStyle w:val="3Bodytext"/>
      </w:pPr>
      <w:r w:rsidRPr="00864FEE">
        <w:t xml:space="preserve">In July 2016, the PBAC recommended the S100 HSD Authority Required listing of </w:t>
      </w:r>
      <w:r w:rsidR="00C645CF" w:rsidRPr="000B7209">
        <w:t>M</w:t>
      </w:r>
      <w:r w:rsidR="00631623" w:rsidRPr="000B7209">
        <w:t>ovapo</w:t>
      </w:r>
      <w:r w:rsidR="00C645CF" w:rsidRPr="000B7209">
        <w:t xml:space="preserve"> PFS</w:t>
      </w:r>
      <w:r w:rsidRPr="000B7209">
        <w:t xml:space="preserve"> for the treatment of PD</w:t>
      </w:r>
      <w:r w:rsidR="00A437F4" w:rsidRPr="000B7209">
        <w:t xml:space="preserve"> </w:t>
      </w:r>
      <w:r w:rsidR="00E13581" w:rsidRPr="000B7209">
        <w:t>(p</w:t>
      </w:r>
      <w:r w:rsidR="00FF249C" w:rsidRPr="000B7209">
        <w:t xml:space="preserve">aragraph </w:t>
      </w:r>
      <w:r w:rsidR="0046286B" w:rsidRPr="000B7209">
        <w:t>5.1,</w:t>
      </w:r>
      <w:r w:rsidR="00FF249C" w:rsidRPr="000B7209">
        <w:t xml:space="preserve"> Apomorphine </w:t>
      </w:r>
      <w:r w:rsidR="002674BA" w:rsidRPr="000B7209">
        <w:t>Public Summary Document (PSD)</w:t>
      </w:r>
      <w:r w:rsidR="0046286B" w:rsidRPr="000B7209">
        <w:t>, July</w:t>
      </w:r>
      <w:r w:rsidR="00FF249C" w:rsidRPr="000B7209">
        <w:t xml:space="preserve"> 2016 PBAC Meeting).</w:t>
      </w:r>
    </w:p>
    <w:p w:rsidR="0084779D" w:rsidRPr="000B7209" w:rsidRDefault="002E2559" w:rsidP="00551BE1">
      <w:pPr>
        <w:pStyle w:val="3Bodytext"/>
      </w:pPr>
      <w:r w:rsidRPr="000B7209">
        <w:t xml:space="preserve">In March 2020, </w:t>
      </w:r>
      <w:r w:rsidR="002674BA" w:rsidRPr="000B7209">
        <w:t>t</w:t>
      </w:r>
      <w:r w:rsidR="008B76D8" w:rsidRPr="000B7209">
        <w:t>he PBAC recommended extending the listing of apomorphine 100</w:t>
      </w:r>
      <w:r w:rsidR="00265A9C" w:rsidRPr="000B7209">
        <w:t> </w:t>
      </w:r>
      <w:r w:rsidR="008B76D8" w:rsidRPr="000B7209">
        <w:t>mg in 20 mL injection</w:t>
      </w:r>
      <w:r w:rsidR="00E13581" w:rsidRPr="000B7209">
        <w:t xml:space="preserve"> (Apomine</w:t>
      </w:r>
      <w:r w:rsidR="00E142B7" w:rsidRPr="000B7209">
        <w:t>®</w:t>
      </w:r>
      <w:r w:rsidR="00E13581" w:rsidRPr="000B7209">
        <w:t xml:space="preserve"> </w:t>
      </w:r>
      <w:r w:rsidR="004230B2" w:rsidRPr="000B7209">
        <w:t>Solution for Infusion</w:t>
      </w:r>
      <w:r w:rsidR="00E13581" w:rsidRPr="000B7209">
        <w:t>)</w:t>
      </w:r>
      <w:r w:rsidR="004230B2" w:rsidRPr="000B7209">
        <w:t>,</w:t>
      </w:r>
      <w:r w:rsidR="008B76D8" w:rsidRPr="000B7209">
        <w:t xml:space="preserve"> 30 mg in 3 mL injection</w:t>
      </w:r>
      <w:r w:rsidR="00E13581" w:rsidRPr="000B7209">
        <w:t xml:space="preserve"> (</w:t>
      </w:r>
      <w:r w:rsidR="004230B2" w:rsidRPr="000B7209">
        <w:t>Apomine</w:t>
      </w:r>
      <w:r w:rsidR="00631623" w:rsidRPr="000B7209">
        <w:t>®</w:t>
      </w:r>
      <w:r w:rsidR="004230B2" w:rsidRPr="000B7209">
        <w:t xml:space="preserve"> Intermittent</w:t>
      </w:r>
      <w:r w:rsidR="00E13581" w:rsidRPr="000B7209">
        <w:t>)</w:t>
      </w:r>
      <w:r w:rsidR="004230B2" w:rsidRPr="000B7209">
        <w:t xml:space="preserve"> and 30 mg in 3 mL injection (Movapo® Pen)</w:t>
      </w:r>
      <w:r w:rsidR="008B76D8" w:rsidRPr="000B7209">
        <w:t xml:space="preserve"> to include a General Schedule</w:t>
      </w:r>
      <w:r w:rsidR="002674BA" w:rsidRPr="000B7209">
        <w:t>,</w:t>
      </w:r>
      <w:r w:rsidR="008B76D8" w:rsidRPr="000B7209">
        <w:t xml:space="preserve"> Authority Required (STREAMLINED) listing for patients requiring maintenance treatment </w:t>
      </w:r>
      <w:r w:rsidR="002674BA" w:rsidRPr="000B7209">
        <w:t>for</w:t>
      </w:r>
      <w:r w:rsidR="008B76D8" w:rsidRPr="000B7209">
        <w:t xml:space="preserve"> </w:t>
      </w:r>
      <w:r w:rsidR="0084779D" w:rsidRPr="000B7209">
        <w:t xml:space="preserve">PD </w:t>
      </w:r>
      <w:r w:rsidR="008B76D8" w:rsidRPr="000B7209">
        <w:t xml:space="preserve">at a price which would be cost-neutral to </w:t>
      </w:r>
      <w:r w:rsidR="00265A9C" w:rsidRPr="000B7209">
        <w:t xml:space="preserve">the </w:t>
      </w:r>
      <w:r w:rsidR="008B76D8" w:rsidRPr="000B7209">
        <w:t>Section 100 HSD listings</w:t>
      </w:r>
      <w:r w:rsidR="00E13581" w:rsidRPr="000B7209">
        <w:t xml:space="preserve"> (p</w:t>
      </w:r>
      <w:r w:rsidR="00C04DCC" w:rsidRPr="000B7209">
        <w:t>aragraph 5.1</w:t>
      </w:r>
      <w:r w:rsidR="002674BA" w:rsidRPr="000B7209">
        <w:t>,</w:t>
      </w:r>
      <w:r w:rsidR="00C04DCC" w:rsidRPr="000B7209">
        <w:t xml:space="preserve"> Apomorphine </w:t>
      </w:r>
      <w:r w:rsidR="00E13581" w:rsidRPr="000B7209">
        <w:t>P</w:t>
      </w:r>
      <w:r w:rsidR="00631623" w:rsidRPr="000B7209">
        <w:t>SD</w:t>
      </w:r>
      <w:r w:rsidR="002674BA" w:rsidRPr="000B7209">
        <w:t>,</w:t>
      </w:r>
      <w:r w:rsidRPr="000B7209">
        <w:t xml:space="preserve"> March 2020 PBAC Meeting).</w:t>
      </w:r>
      <w:r w:rsidR="006677AD" w:rsidRPr="000B7209">
        <w:t xml:space="preserve"> In making this recommendation,</w:t>
      </w:r>
      <w:r w:rsidR="00F77C62" w:rsidRPr="000B7209">
        <w:t xml:space="preserve"> </w:t>
      </w:r>
      <w:r w:rsidR="006677AD" w:rsidRPr="000B7209">
        <w:t>t</w:t>
      </w:r>
      <w:r w:rsidR="00F77C62" w:rsidRPr="000B7209">
        <w:t>he PBAC considered it was clinically appropriate for maintenance treatment with apomorphine to be prescribed outside of a hospital setting, provided treatment commence</w:t>
      </w:r>
      <w:r w:rsidR="002674BA" w:rsidRPr="000B7209">
        <w:t>d</w:t>
      </w:r>
      <w:r w:rsidR="00F77C62" w:rsidRPr="000B7209">
        <w:t xml:space="preserve"> in hospital</w:t>
      </w:r>
      <w:r w:rsidR="0084779D" w:rsidRPr="000B7209">
        <w:t xml:space="preserve"> (paragraph 5.2</w:t>
      </w:r>
      <w:r w:rsidR="00265A9C" w:rsidRPr="000B7209">
        <w:t>,</w:t>
      </w:r>
      <w:r w:rsidR="0084779D" w:rsidRPr="000B7209">
        <w:t xml:space="preserve"> Apomorphine P</w:t>
      </w:r>
      <w:r w:rsidR="008B132C" w:rsidRPr="000B7209">
        <w:t>SD</w:t>
      </w:r>
      <w:r w:rsidR="00265A9C" w:rsidRPr="000B7209">
        <w:t>,</w:t>
      </w:r>
      <w:r w:rsidR="0084779D" w:rsidRPr="000B7209">
        <w:t xml:space="preserve"> March 2020 PBAC Meeting).</w:t>
      </w:r>
    </w:p>
    <w:p w:rsidR="00BD0934" w:rsidRPr="00551BE1" w:rsidRDefault="00BD0934" w:rsidP="00551BE1">
      <w:pPr>
        <w:ind w:firstLine="720"/>
        <w:rPr>
          <w:i/>
        </w:rPr>
      </w:pPr>
      <w:r w:rsidRPr="000B7209">
        <w:rPr>
          <w:i/>
        </w:rPr>
        <w:lastRenderedPageBreak/>
        <w:t>For more detail on PBAC’s view, see section 5 PBAC outcome.</w:t>
      </w:r>
    </w:p>
    <w:p w:rsidR="00B17EE5" w:rsidRPr="000B7209" w:rsidRDefault="00B17EE5" w:rsidP="00917D69">
      <w:pPr>
        <w:pStyle w:val="2-SectionHeading"/>
      </w:pPr>
      <w:r w:rsidRPr="000B7209">
        <w:t>Requested listing</w:t>
      </w:r>
    </w:p>
    <w:p w:rsidR="00BD586E" w:rsidRPr="00551BE1" w:rsidRDefault="009526F5" w:rsidP="00551BE1">
      <w:pPr>
        <w:pStyle w:val="3Bodytext"/>
      </w:pPr>
      <w:r w:rsidRPr="000B7209">
        <w:t>The submission requested</w:t>
      </w:r>
      <w:r w:rsidR="001E1835" w:rsidRPr="000B7209">
        <w:t xml:space="preserve"> an additional General Schedule listing to facilitate maintenance of therapy initiated in a hospital setting</w:t>
      </w:r>
      <w:r w:rsidR="001C6595" w:rsidRPr="000B7209">
        <w:t>. Suggestions and additions proposed by the Secretariat to the requested listing are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1278"/>
        <w:gridCol w:w="826"/>
        <w:gridCol w:w="822"/>
        <w:gridCol w:w="671"/>
        <w:gridCol w:w="1544"/>
        <w:gridCol w:w="1082"/>
      </w:tblGrid>
      <w:tr w:rsidR="00F1195F" w:rsidRPr="00551BE1" w:rsidTr="00551BE1">
        <w:trPr>
          <w:cantSplit/>
          <w:trHeight w:val="458"/>
        </w:trPr>
        <w:tc>
          <w:tcPr>
            <w:tcW w:w="1549" w:type="pct"/>
          </w:tcPr>
          <w:p w:rsidR="00F1195F" w:rsidRPr="00551BE1" w:rsidRDefault="00F1195F" w:rsidP="00147097">
            <w:pPr>
              <w:keepNext/>
              <w:ind w:left="-108"/>
              <w:rPr>
                <w:rFonts w:ascii="Arial Narrow" w:hAnsi="Arial Narrow" w:cs="Arial"/>
                <w:b/>
                <w:sz w:val="18"/>
                <w:szCs w:val="18"/>
              </w:rPr>
            </w:pPr>
            <w:r w:rsidRPr="00551BE1">
              <w:rPr>
                <w:rFonts w:ascii="Arial Narrow" w:hAnsi="Arial Narrow" w:cs="Arial"/>
                <w:b/>
                <w:sz w:val="18"/>
                <w:szCs w:val="18"/>
              </w:rPr>
              <w:t>MEDICINAL PRODUCT</w:t>
            </w:r>
          </w:p>
          <w:p w:rsidR="00F1195F" w:rsidRPr="00551BE1" w:rsidRDefault="00F1195F" w:rsidP="00147097">
            <w:pPr>
              <w:keepNext/>
              <w:ind w:left="-108"/>
              <w:rPr>
                <w:rFonts w:ascii="Arial Narrow" w:hAnsi="Arial Narrow" w:cs="Arial"/>
                <w:b/>
                <w:sz w:val="18"/>
                <w:szCs w:val="18"/>
              </w:rPr>
            </w:pPr>
            <w:r w:rsidRPr="00551BE1">
              <w:rPr>
                <w:rFonts w:ascii="Arial Narrow" w:hAnsi="Arial Narrow" w:cs="Arial"/>
                <w:b/>
                <w:sz w:val="18"/>
                <w:szCs w:val="18"/>
              </w:rPr>
              <w:t>medicinal product pack</w:t>
            </w:r>
          </w:p>
        </w:tc>
        <w:tc>
          <w:tcPr>
            <w:tcW w:w="709" w:type="pct"/>
          </w:tcPr>
          <w:p w:rsidR="00F1195F" w:rsidRPr="00551BE1" w:rsidRDefault="00F1195F" w:rsidP="00147097">
            <w:pPr>
              <w:keepNext/>
              <w:ind w:left="-108"/>
              <w:jc w:val="center"/>
              <w:rPr>
                <w:rFonts w:ascii="Arial Narrow" w:hAnsi="Arial Narrow" w:cs="Arial"/>
                <w:b/>
                <w:sz w:val="18"/>
                <w:szCs w:val="18"/>
              </w:rPr>
            </w:pPr>
            <w:r w:rsidRPr="00551BE1">
              <w:rPr>
                <w:rFonts w:ascii="Arial Narrow" w:hAnsi="Arial Narrow" w:cs="Arial"/>
                <w:b/>
                <w:sz w:val="18"/>
                <w:szCs w:val="18"/>
              </w:rPr>
              <w:t>PBS item code</w:t>
            </w:r>
          </w:p>
        </w:tc>
        <w:tc>
          <w:tcPr>
            <w:tcW w:w="458" w:type="pct"/>
          </w:tcPr>
          <w:p w:rsidR="00F1195F" w:rsidRPr="00551BE1" w:rsidRDefault="00F1195F" w:rsidP="00147097">
            <w:pPr>
              <w:keepNext/>
              <w:ind w:left="-108"/>
              <w:jc w:val="center"/>
              <w:rPr>
                <w:rFonts w:ascii="Arial Narrow" w:hAnsi="Arial Narrow" w:cs="Arial"/>
                <w:b/>
                <w:sz w:val="18"/>
                <w:szCs w:val="18"/>
              </w:rPr>
            </w:pPr>
            <w:r w:rsidRPr="00551BE1">
              <w:rPr>
                <w:rFonts w:ascii="Arial Narrow" w:hAnsi="Arial Narrow" w:cs="Arial"/>
                <w:b/>
                <w:sz w:val="18"/>
                <w:szCs w:val="18"/>
              </w:rPr>
              <w:t>Max. Qty packs</w:t>
            </w:r>
          </w:p>
        </w:tc>
        <w:tc>
          <w:tcPr>
            <w:tcW w:w="456" w:type="pct"/>
          </w:tcPr>
          <w:p w:rsidR="00F1195F" w:rsidRPr="00551BE1" w:rsidRDefault="00F1195F" w:rsidP="00147097">
            <w:pPr>
              <w:keepNext/>
              <w:ind w:left="-108"/>
              <w:jc w:val="center"/>
              <w:rPr>
                <w:rFonts w:ascii="Arial Narrow" w:hAnsi="Arial Narrow" w:cs="Arial"/>
                <w:b/>
                <w:sz w:val="18"/>
                <w:szCs w:val="18"/>
              </w:rPr>
            </w:pPr>
            <w:r w:rsidRPr="00551BE1">
              <w:rPr>
                <w:rFonts w:ascii="Arial Narrow" w:hAnsi="Arial Narrow" w:cs="Arial"/>
                <w:b/>
                <w:sz w:val="18"/>
                <w:szCs w:val="18"/>
              </w:rPr>
              <w:t>Max. Qty units</w:t>
            </w:r>
          </w:p>
        </w:tc>
        <w:tc>
          <w:tcPr>
            <w:tcW w:w="372" w:type="pct"/>
          </w:tcPr>
          <w:p w:rsidR="00F1195F" w:rsidRPr="00551BE1" w:rsidRDefault="00F1195F" w:rsidP="00147097">
            <w:pPr>
              <w:keepNext/>
              <w:ind w:left="-108"/>
              <w:jc w:val="center"/>
              <w:rPr>
                <w:rFonts w:ascii="Arial Narrow" w:hAnsi="Arial Narrow" w:cs="Arial"/>
                <w:b/>
                <w:sz w:val="18"/>
                <w:szCs w:val="18"/>
              </w:rPr>
            </w:pPr>
            <w:r w:rsidRPr="00551BE1">
              <w:rPr>
                <w:rFonts w:ascii="Arial Narrow" w:hAnsi="Arial Narrow" w:cs="Arial"/>
                <w:b/>
                <w:sz w:val="18"/>
                <w:szCs w:val="18"/>
              </w:rPr>
              <w:t>№.of</w:t>
            </w:r>
          </w:p>
          <w:p w:rsidR="00F1195F" w:rsidRPr="00551BE1" w:rsidRDefault="00F1195F" w:rsidP="00147097">
            <w:pPr>
              <w:keepNext/>
              <w:ind w:left="-108"/>
              <w:jc w:val="center"/>
              <w:rPr>
                <w:rFonts w:ascii="Arial Narrow" w:hAnsi="Arial Narrow" w:cs="Arial"/>
                <w:b/>
                <w:sz w:val="18"/>
                <w:szCs w:val="18"/>
              </w:rPr>
            </w:pPr>
            <w:r w:rsidRPr="00551BE1">
              <w:rPr>
                <w:rFonts w:ascii="Arial Narrow" w:hAnsi="Arial Narrow" w:cs="Arial"/>
                <w:b/>
                <w:sz w:val="18"/>
                <w:szCs w:val="18"/>
              </w:rPr>
              <w:t>Rpts</w:t>
            </w:r>
          </w:p>
        </w:tc>
        <w:tc>
          <w:tcPr>
            <w:tcW w:w="856" w:type="pct"/>
          </w:tcPr>
          <w:p w:rsidR="00F1195F" w:rsidRPr="00551BE1" w:rsidRDefault="00F1195F" w:rsidP="00147097">
            <w:pPr>
              <w:keepNext/>
              <w:jc w:val="left"/>
              <w:rPr>
                <w:rFonts w:ascii="Arial Narrow" w:hAnsi="Arial Narrow" w:cs="Arial"/>
                <w:b/>
                <w:sz w:val="18"/>
                <w:szCs w:val="18"/>
              </w:rPr>
            </w:pPr>
            <w:r w:rsidRPr="00551BE1">
              <w:rPr>
                <w:rFonts w:ascii="Arial Narrow" w:hAnsi="Arial Narrow" w:cs="Arial"/>
                <w:b/>
                <w:sz w:val="18"/>
                <w:szCs w:val="18"/>
              </w:rPr>
              <w:t>Dispensed Price Max.Qty</w:t>
            </w:r>
          </w:p>
        </w:tc>
        <w:tc>
          <w:tcPr>
            <w:tcW w:w="600" w:type="pct"/>
          </w:tcPr>
          <w:p w:rsidR="00F1195F" w:rsidRPr="00551BE1" w:rsidRDefault="00F1195F" w:rsidP="00147097">
            <w:pPr>
              <w:keepNext/>
              <w:jc w:val="left"/>
              <w:rPr>
                <w:rFonts w:ascii="Arial Narrow" w:hAnsi="Arial Narrow" w:cs="Arial"/>
                <w:b/>
                <w:sz w:val="18"/>
                <w:szCs w:val="18"/>
              </w:rPr>
            </w:pPr>
            <w:r w:rsidRPr="00551BE1">
              <w:rPr>
                <w:rFonts w:ascii="Arial Narrow" w:hAnsi="Arial Narrow" w:cs="Arial"/>
                <w:b/>
                <w:sz w:val="18"/>
                <w:szCs w:val="18"/>
              </w:rPr>
              <w:t>Available brands</w:t>
            </w:r>
          </w:p>
        </w:tc>
      </w:tr>
      <w:tr w:rsidR="00F1195F" w:rsidRPr="00551BE1" w:rsidTr="00551BE1">
        <w:trPr>
          <w:cantSplit/>
          <w:trHeight w:val="740"/>
        </w:trPr>
        <w:tc>
          <w:tcPr>
            <w:tcW w:w="1549" w:type="pct"/>
            <w:vAlign w:val="center"/>
          </w:tcPr>
          <w:p w:rsidR="00F1195F" w:rsidRPr="00551BE1" w:rsidRDefault="00F1195F" w:rsidP="005E297F">
            <w:pPr>
              <w:keepNext/>
              <w:ind w:left="-108"/>
              <w:jc w:val="left"/>
              <w:rPr>
                <w:rFonts w:ascii="Arial Narrow" w:hAnsi="Arial Narrow" w:cs="Arial"/>
                <w:smallCaps/>
                <w:sz w:val="18"/>
                <w:szCs w:val="18"/>
              </w:rPr>
            </w:pPr>
            <w:r w:rsidRPr="00551BE1">
              <w:rPr>
                <w:rFonts w:ascii="Arial Narrow" w:hAnsi="Arial Narrow" w:cs="Arial"/>
                <w:sz w:val="18"/>
                <w:szCs w:val="18"/>
              </w:rPr>
              <w:t>APOMORPHINE</w:t>
            </w:r>
            <w:r w:rsidRPr="00551BE1">
              <w:rPr>
                <w:rFonts w:ascii="Arial Narrow" w:hAnsi="Arial Narrow" w:cs="Arial"/>
                <w:sz w:val="18"/>
                <w:szCs w:val="18"/>
              </w:rPr>
              <w:br/>
            </w:r>
            <w:r w:rsidR="005E297F" w:rsidRPr="00551BE1">
              <w:rPr>
                <w:rFonts w:ascii="Arial Narrow" w:hAnsi="Arial Narrow" w:cs="Arial"/>
                <w:sz w:val="18"/>
                <w:szCs w:val="18"/>
              </w:rPr>
              <w:t xml:space="preserve">apomorphine hydrochloride hemihydrate </w:t>
            </w:r>
            <w:r w:rsidRPr="00551BE1">
              <w:rPr>
                <w:rFonts w:ascii="Arial Narrow" w:hAnsi="Arial Narrow" w:cs="Arial"/>
                <w:sz w:val="18"/>
                <w:szCs w:val="18"/>
              </w:rPr>
              <w:t>50 mg</w:t>
            </w:r>
            <w:r w:rsidR="005E297F" w:rsidRPr="00551BE1">
              <w:rPr>
                <w:rFonts w:ascii="Arial Narrow" w:hAnsi="Arial Narrow" w:cs="Arial"/>
                <w:sz w:val="18"/>
                <w:szCs w:val="18"/>
              </w:rPr>
              <w:t>/</w:t>
            </w:r>
            <w:r w:rsidRPr="00551BE1">
              <w:rPr>
                <w:rFonts w:ascii="Arial Narrow" w:hAnsi="Arial Narrow" w:cs="Arial"/>
                <w:sz w:val="18"/>
                <w:szCs w:val="18"/>
              </w:rPr>
              <w:t>10 mL</w:t>
            </w:r>
            <w:r w:rsidR="005E297F" w:rsidRPr="00551BE1">
              <w:rPr>
                <w:rFonts w:ascii="Arial Narrow" w:hAnsi="Arial Narrow" w:cs="Arial"/>
                <w:sz w:val="18"/>
                <w:szCs w:val="18"/>
              </w:rPr>
              <w:t xml:space="preserve"> injection, 5 x 10 mL syringes</w:t>
            </w:r>
            <w:r w:rsidRPr="00551BE1">
              <w:rPr>
                <w:rFonts w:ascii="Arial Narrow" w:hAnsi="Arial Narrow" w:cs="Arial"/>
                <w:sz w:val="18"/>
                <w:szCs w:val="18"/>
              </w:rPr>
              <w:t xml:space="preserve"> </w:t>
            </w:r>
          </w:p>
        </w:tc>
        <w:tc>
          <w:tcPr>
            <w:tcW w:w="709" w:type="pct"/>
            <w:vAlign w:val="center"/>
          </w:tcPr>
          <w:p w:rsidR="005E297F" w:rsidRPr="00551BE1" w:rsidRDefault="005E297F" w:rsidP="00147097">
            <w:pPr>
              <w:keepNext/>
              <w:ind w:left="-108"/>
              <w:jc w:val="center"/>
              <w:rPr>
                <w:rFonts w:ascii="Arial Narrow" w:hAnsi="Arial Narrow" w:cs="Arial"/>
                <w:sz w:val="18"/>
                <w:szCs w:val="18"/>
              </w:rPr>
            </w:pPr>
          </w:p>
          <w:p w:rsidR="005E297F" w:rsidRPr="00551BE1" w:rsidRDefault="005E297F" w:rsidP="00147097">
            <w:pPr>
              <w:keepNext/>
              <w:ind w:left="-108"/>
              <w:jc w:val="center"/>
              <w:rPr>
                <w:rFonts w:ascii="Arial Narrow" w:hAnsi="Arial Narrow" w:cs="Arial"/>
                <w:sz w:val="18"/>
                <w:szCs w:val="18"/>
              </w:rPr>
            </w:pPr>
          </w:p>
          <w:p w:rsidR="00F1195F" w:rsidRPr="00551BE1" w:rsidRDefault="00F1195F" w:rsidP="00147097">
            <w:pPr>
              <w:keepNext/>
              <w:ind w:left="-108"/>
              <w:jc w:val="center"/>
              <w:rPr>
                <w:rFonts w:ascii="Arial Narrow" w:hAnsi="Arial Narrow" w:cs="Arial"/>
                <w:sz w:val="18"/>
                <w:szCs w:val="18"/>
              </w:rPr>
            </w:pPr>
            <w:r w:rsidRPr="00551BE1">
              <w:rPr>
                <w:rFonts w:ascii="Arial Narrow" w:hAnsi="Arial Narrow" w:cs="Arial"/>
                <w:sz w:val="18"/>
                <w:szCs w:val="18"/>
              </w:rPr>
              <w:t>NEW</w:t>
            </w:r>
            <w:r w:rsidR="005E297F" w:rsidRPr="00551BE1">
              <w:rPr>
                <w:rFonts w:ascii="Arial Narrow" w:hAnsi="Arial Narrow" w:cs="Arial"/>
                <w:sz w:val="18"/>
                <w:szCs w:val="18"/>
              </w:rPr>
              <w:t xml:space="preserve"> (General Schedule)</w:t>
            </w:r>
          </w:p>
          <w:p w:rsidR="005E297F" w:rsidRPr="00551BE1" w:rsidRDefault="005E297F" w:rsidP="00147097">
            <w:pPr>
              <w:keepNext/>
              <w:ind w:left="-108"/>
              <w:jc w:val="center"/>
              <w:rPr>
                <w:rFonts w:ascii="Arial Narrow" w:hAnsi="Arial Narrow" w:cs="Arial"/>
                <w:sz w:val="18"/>
                <w:szCs w:val="18"/>
              </w:rPr>
            </w:pPr>
            <w:r w:rsidRPr="00551BE1">
              <w:rPr>
                <w:rFonts w:ascii="Arial Narrow" w:hAnsi="Arial Narrow" w:cs="Arial"/>
                <w:sz w:val="18"/>
                <w:szCs w:val="18"/>
              </w:rPr>
              <w:t>10950H (Pub)</w:t>
            </w:r>
          </w:p>
          <w:p w:rsidR="005E297F" w:rsidRPr="00551BE1" w:rsidRDefault="005E297F" w:rsidP="00147097">
            <w:pPr>
              <w:keepNext/>
              <w:ind w:left="-108"/>
              <w:jc w:val="center"/>
              <w:rPr>
                <w:rFonts w:ascii="Arial Narrow" w:hAnsi="Arial Narrow" w:cs="Arial"/>
                <w:sz w:val="18"/>
                <w:szCs w:val="18"/>
              </w:rPr>
            </w:pPr>
            <w:r w:rsidRPr="00551BE1">
              <w:rPr>
                <w:rFonts w:ascii="Arial Narrow" w:hAnsi="Arial Narrow" w:cs="Arial"/>
                <w:sz w:val="18"/>
                <w:szCs w:val="18"/>
              </w:rPr>
              <w:t>10971K (Priv)</w:t>
            </w:r>
          </w:p>
          <w:p w:rsidR="005E297F" w:rsidRPr="00551BE1" w:rsidRDefault="005E297F" w:rsidP="00147097">
            <w:pPr>
              <w:keepNext/>
              <w:ind w:left="-108"/>
              <w:jc w:val="center"/>
              <w:rPr>
                <w:rFonts w:ascii="Arial Narrow" w:hAnsi="Arial Narrow" w:cs="Arial"/>
                <w:sz w:val="18"/>
                <w:szCs w:val="18"/>
              </w:rPr>
            </w:pPr>
          </w:p>
        </w:tc>
        <w:tc>
          <w:tcPr>
            <w:tcW w:w="458" w:type="pct"/>
            <w:vAlign w:val="center"/>
          </w:tcPr>
          <w:p w:rsidR="00F1195F" w:rsidRPr="00551BE1" w:rsidRDefault="00F1195F" w:rsidP="00147097">
            <w:pPr>
              <w:keepNext/>
              <w:jc w:val="center"/>
              <w:rPr>
                <w:rFonts w:ascii="Arial Narrow" w:hAnsi="Arial Narrow" w:cs="Arial"/>
                <w:sz w:val="18"/>
                <w:szCs w:val="18"/>
              </w:rPr>
            </w:pPr>
            <w:r w:rsidRPr="00551BE1">
              <w:rPr>
                <w:rFonts w:ascii="Arial Narrow" w:hAnsi="Arial Narrow" w:cs="Arial"/>
                <w:sz w:val="18"/>
                <w:szCs w:val="18"/>
              </w:rPr>
              <w:t>36</w:t>
            </w:r>
          </w:p>
        </w:tc>
        <w:tc>
          <w:tcPr>
            <w:tcW w:w="456" w:type="pct"/>
            <w:vAlign w:val="center"/>
          </w:tcPr>
          <w:p w:rsidR="00F1195F" w:rsidRPr="00551BE1" w:rsidRDefault="00F1195F" w:rsidP="00147097">
            <w:pPr>
              <w:keepNext/>
              <w:ind w:left="-108"/>
              <w:jc w:val="center"/>
              <w:rPr>
                <w:rFonts w:ascii="Arial Narrow" w:hAnsi="Arial Narrow" w:cs="Arial"/>
                <w:sz w:val="18"/>
                <w:szCs w:val="18"/>
              </w:rPr>
            </w:pPr>
            <w:r w:rsidRPr="00551BE1">
              <w:rPr>
                <w:rFonts w:ascii="Arial Narrow" w:hAnsi="Arial Narrow" w:cs="Arial"/>
                <w:sz w:val="18"/>
                <w:szCs w:val="18"/>
              </w:rPr>
              <w:t>180</w:t>
            </w:r>
          </w:p>
        </w:tc>
        <w:tc>
          <w:tcPr>
            <w:tcW w:w="372" w:type="pct"/>
            <w:vAlign w:val="center"/>
          </w:tcPr>
          <w:p w:rsidR="00F1195F" w:rsidRPr="00551BE1" w:rsidRDefault="00F1195F" w:rsidP="00147097">
            <w:pPr>
              <w:keepNext/>
              <w:ind w:left="-108"/>
              <w:jc w:val="center"/>
              <w:rPr>
                <w:rFonts w:ascii="Arial Narrow" w:hAnsi="Arial Narrow" w:cs="Arial"/>
                <w:sz w:val="18"/>
                <w:szCs w:val="18"/>
              </w:rPr>
            </w:pPr>
            <w:r w:rsidRPr="00551BE1">
              <w:rPr>
                <w:rFonts w:ascii="Arial Narrow" w:hAnsi="Arial Narrow" w:cs="Arial"/>
                <w:sz w:val="18"/>
                <w:szCs w:val="18"/>
              </w:rPr>
              <w:t>5</w:t>
            </w:r>
          </w:p>
        </w:tc>
        <w:tc>
          <w:tcPr>
            <w:tcW w:w="856" w:type="pct"/>
          </w:tcPr>
          <w:p w:rsidR="00F1195F" w:rsidRPr="00551BE1" w:rsidRDefault="00F1195F" w:rsidP="00147097">
            <w:pPr>
              <w:keepNext/>
              <w:jc w:val="left"/>
              <w:rPr>
                <w:rFonts w:ascii="Arial Narrow" w:hAnsi="Arial Narrow" w:cs="Arial"/>
                <w:sz w:val="18"/>
                <w:szCs w:val="18"/>
              </w:rPr>
            </w:pPr>
          </w:p>
          <w:p w:rsidR="005E297F" w:rsidRPr="00551BE1" w:rsidRDefault="005E297F" w:rsidP="00147097">
            <w:pPr>
              <w:keepNext/>
              <w:jc w:val="left"/>
              <w:rPr>
                <w:rFonts w:ascii="Arial Narrow" w:hAnsi="Arial Narrow" w:cs="Arial"/>
                <w:sz w:val="18"/>
                <w:szCs w:val="18"/>
              </w:rPr>
            </w:pPr>
          </w:p>
          <w:p w:rsidR="005E297F" w:rsidRPr="00551BE1" w:rsidRDefault="005E297F" w:rsidP="00147097">
            <w:pPr>
              <w:keepNext/>
              <w:jc w:val="left"/>
              <w:rPr>
                <w:rFonts w:ascii="Arial Narrow" w:hAnsi="Arial Narrow" w:cs="Arial"/>
                <w:sz w:val="18"/>
                <w:szCs w:val="18"/>
              </w:rPr>
            </w:pPr>
          </w:p>
          <w:p w:rsidR="005E297F" w:rsidRPr="00551BE1" w:rsidRDefault="005E297F" w:rsidP="00CA62DF">
            <w:pPr>
              <w:keepNext/>
              <w:jc w:val="left"/>
              <w:rPr>
                <w:rFonts w:ascii="Arial Narrow" w:hAnsi="Arial Narrow" w:cs="Arial"/>
                <w:sz w:val="18"/>
                <w:szCs w:val="18"/>
              </w:rPr>
            </w:pPr>
            <w:r w:rsidRPr="00551BE1">
              <w:rPr>
                <w:rFonts w:ascii="Arial Narrow" w:hAnsi="Arial Narrow" w:cs="Arial"/>
                <w:sz w:val="18"/>
                <w:szCs w:val="18"/>
              </w:rPr>
              <w:t>$</w:t>
            </w:r>
            <w:r w:rsidR="00510652" w:rsidRPr="000A6AD6">
              <w:rPr>
                <w:rFonts w:ascii="Arial Narrow" w:hAnsi="Arial Narrow" w:cs="Arial"/>
                <w:sz w:val="18"/>
                <w:szCs w:val="18"/>
              </w:rPr>
              <w:t>8345.00</w:t>
            </w:r>
            <w:r w:rsidRPr="00551BE1">
              <w:rPr>
                <w:rFonts w:ascii="Arial Narrow" w:hAnsi="Arial Narrow" w:cs="Arial"/>
                <w:sz w:val="18"/>
                <w:szCs w:val="18"/>
              </w:rPr>
              <w:t xml:space="preserve"> (Gen Sched)</w:t>
            </w:r>
          </w:p>
          <w:p w:rsidR="005E297F" w:rsidRPr="00551BE1" w:rsidRDefault="005E297F" w:rsidP="00CA62DF">
            <w:pPr>
              <w:keepNext/>
              <w:jc w:val="left"/>
              <w:rPr>
                <w:rFonts w:ascii="Arial Narrow" w:hAnsi="Arial Narrow" w:cs="Arial"/>
                <w:sz w:val="18"/>
                <w:szCs w:val="18"/>
              </w:rPr>
            </w:pPr>
            <w:r w:rsidRPr="00551BE1">
              <w:rPr>
                <w:rFonts w:ascii="Arial Narrow" w:hAnsi="Arial Narrow" w:cs="Arial"/>
                <w:sz w:val="18"/>
                <w:szCs w:val="18"/>
              </w:rPr>
              <w:t>$8168.04 (Pub)</w:t>
            </w:r>
          </w:p>
          <w:p w:rsidR="005E297F" w:rsidRPr="00551BE1" w:rsidRDefault="005E297F" w:rsidP="00CA62DF">
            <w:pPr>
              <w:keepNext/>
              <w:jc w:val="left"/>
              <w:rPr>
                <w:rFonts w:ascii="Arial Narrow" w:hAnsi="Arial Narrow" w:cs="Arial"/>
                <w:sz w:val="18"/>
                <w:szCs w:val="18"/>
              </w:rPr>
            </w:pPr>
            <w:r w:rsidRPr="00551BE1">
              <w:rPr>
                <w:rFonts w:ascii="Arial Narrow" w:hAnsi="Arial Narrow" w:cs="Arial"/>
                <w:sz w:val="18"/>
                <w:szCs w:val="18"/>
              </w:rPr>
              <w:t>$8215.74 (Priv)</w:t>
            </w:r>
          </w:p>
        </w:tc>
        <w:tc>
          <w:tcPr>
            <w:tcW w:w="600" w:type="pct"/>
            <w:vAlign w:val="center"/>
          </w:tcPr>
          <w:p w:rsidR="00F1195F" w:rsidRPr="00551BE1" w:rsidRDefault="00F1195F" w:rsidP="00147097">
            <w:pPr>
              <w:keepNext/>
              <w:jc w:val="left"/>
              <w:rPr>
                <w:rFonts w:ascii="Arial Narrow" w:hAnsi="Arial Narrow" w:cs="Arial"/>
                <w:sz w:val="18"/>
                <w:szCs w:val="18"/>
              </w:rPr>
            </w:pPr>
            <w:r w:rsidRPr="00551BE1">
              <w:rPr>
                <w:rFonts w:ascii="Arial Narrow" w:hAnsi="Arial Narrow" w:cs="Arial"/>
                <w:sz w:val="18"/>
                <w:szCs w:val="18"/>
              </w:rPr>
              <w:t>Movapo PFS</w:t>
            </w:r>
          </w:p>
        </w:tc>
      </w:tr>
      <w:tr w:rsidR="005E297F" w:rsidRPr="00551BE1" w:rsidTr="00551BE1">
        <w:trPr>
          <w:cantSplit/>
          <w:trHeight w:val="740"/>
        </w:trPr>
        <w:tc>
          <w:tcPr>
            <w:tcW w:w="1549" w:type="pct"/>
            <w:vAlign w:val="center"/>
          </w:tcPr>
          <w:p w:rsidR="005E297F" w:rsidRPr="00551BE1" w:rsidRDefault="005E297F" w:rsidP="005E297F">
            <w:pPr>
              <w:keepNext/>
              <w:ind w:left="-108"/>
              <w:jc w:val="left"/>
              <w:rPr>
                <w:rFonts w:ascii="Arial Narrow" w:hAnsi="Arial Narrow" w:cs="Arial"/>
                <w:sz w:val="18"/>
                <w:szCs w:val="18"/>
              </w:rPr>
            </w:pPr>
            <w:r w:rsidRPr="00551BE1">
              <w:rPr>
                <w:rFonts w:ascii="Arial Narrow" w:hAnsi="Arial Narrow" w:cs="Arial"/>
                <w:sz w:val="18"/>
                <w:szCs w:val="18"/>
              </w:rPr>
              <w:t>apomorphine hydrochloride hemihydrate 50 mg/5 mL injection, 5 x 5 mL ampoules</w:t>
            </w:r>
          </w:p>
        </w:tc>
        <w:tc>
          <w:tcPr>
            <w:tcW w:w="709" w:type="pct"/>
            <w:vAlign w:val="center"/>
          </w:tcPr>
          <w:p w:rsidR="005E297F" w:rsidRPr="00551BE1" w:rsidRDefault="005E297F" w:rsidP="005E297F">
            <w:pPr>
              <w:keepNext/>
              <w:ind w:left="-108"/>
              <w:jc w:val="center"/>
              <w:rPr>
                <w:rFonts w:ascii="Arial Narrow" w:hAnsi="Arial Narrow" w:cs="Arial"/>
                <w:i/>
                <w:sz w:val="18"/>
                <w:szCs w:val="18"/>
              </w:rPr>
            </w:pPr>
            <w:r w:rsidRPr="00551BE1">
              <w:rPr>
                <w:rFonts w:ascii="Arial Narrow" w:hAnsi="Arial Narrow" w:cs="Arial"/>
                <w:i/>
                <w:sz w:val="18"/>
                <w:szCs w:val="18"/>
              </w:rPr>
              <w:t>NEW (General Schedule)</w:t>
            </w:r>
          </w:p>
          <w:p w:rsidR="005E297F" w:rsidRPr="00551BE1" w:rsidRDefault="005E297F" w:rsidP="005E297F">
            <w:pPr>
              <w:keepNext/>
              <w:ind w:left="-108"/>
              <w:jc w:val="center"/>
              <w:rPr>
                <w:rFonts w:ascii="Arial Narrow" w:hAnsi="Arial Narrow" w:cs="Arial"/>
                <w:sz w:val="18"/>
                <w:szCs w:val="18"/>
              </w:rPr>
            </w:pPr>
            <w:r w:rsidRPr="00551BE1">
              <w:rPr>
                <w:rFonts w:ascii="Arial Narrow" w:hAnsi="Arial Narrow" w:cs="Arial"/>
                <w:sz w:val="18"/>
                <w:szCs w:val="18"/>
              </w:rPr>
              <w:t>5610G (Pub)</w:t>
            </w:r>
          </w:p>
          <w:p w:rsidR="005E297F" w:rsidRPr="00551BE1" w:rsidRDefault="005E297F" w:rsidP="005E297F">
            <w:pPr>
              <w:keepNext/>
              <w:ind w:left="-108"/>
              <w:jc w:val="center"/>
              <w:rPr>
                <w:rFonts w:ascii="Arial Narrow" w:hAnsi="Arial Narrow" w:cs="Arial"/>
                <w:i/>
                <w:sz w:val="18"/>
                <w:szCs w:val="18"/>
              </w:rPr>
            </w:pPr>
            <w:r w:rsidRPr="00551BE1">
              <w:rPr>
                <w:rFonts w:ascii="Arial Narrow" w:hAnsi="Arial Narrow" w:cs="Arial"/>
                <w:sz w:val="18"/>
                <w:szCs w:val="18"/>
              </w:rPr>
              <w:t>9640J (Priv)</w:t>
            </w:r>
          </w:p>
        </w:tc>
        <w:tc>
          <w:tcPr>
            <w:tcW w:w="458" w:type="pct"/>
            <w:vAlign w:val="center"/>
          </w:tcPr>
          <w:p w:rsidR="005E297F" w:rsidRPr="00551BE1" w:rsidRDefault="005E297F" w:rsidP="005E297F">
            <w:pPr>
              <w:keepNext/>
              <w:jc w:val="center"/>
              <w:rPr>
                <w:rFonts w:ascii="Arial Narrow" w:hAnsi="Arial Narrow" w:cs="Arial"/>
                <w:i/>
                <w:sz w:val="18"/>
                <w:szCs w:val="18"/>
              </w:rPr>
            </w:pPr>
            <w:r w:rsidRPr="00551BE1">
              <w:rPr>
                <w:rFonts w:ascii="Arial Narrow" w:hAnsi="Arial Narrow" w:cs="Arial"/>
                <w:i/>
                <w:sz w:val="18"/>
                <w:szCs w:val="18"/>
              </w:rPr>
              <w:t>36</w:t>
            </w:r>
          </w:p>
        </w:tc>
        <w:tc>
          <w:tcPr>
            <w:tcW w:w="456" w:type="pct"/>
            <w:vAlign w:val="center"/>
          </w:tcPr>
          <w:p w:rsidR="005E297F" w:rsidRPr="00551BE1" w:rsidRDefault="005E297F" w:rsidP="005E297F">
            <w:pPr>
              <w:keepNext/>
              <w:ind w:left="-108"/>
              <w:jc w:val="center"/>
              <w:rPr>
                <w:rFonts w:ascii="Arial Narrow" w:hAnsi="Arial Narrow" w:cs="Arial"/>
                <w:i/>
                <w:sz w:val="18"/>
                <w:szCs w:val="18"/>
              </w:rPr>
            </w:pPr>
            <w:r w:rsidRPr="00551BE1">
              <w:rPr>
                <w:rFonts w:ascii="Arial Narrow" w:hAnsi="Arial Narrow" w:cs="Arial"/>
                <w:i/>
                <w:sz w:val="18"/>
                <w:szCs w:val="18"/>
              </w:rPr>
              <w:t>180</w:t>
            </w:r>
          </w:p>
        </w:tc>
        <w:tc>
          <w:tcPr>
            <w:tcW w:w="372" w:type="pct"/>
            <w:vAlign w:val="center"/>
          </w:tcPr>
          <w:p w:rsidR="005E297F" w:rsidRPr="00551BE1" w:rsidRDefault="005E297F" w:rsidP="005E297F">
            <w:pPr>
              <w:keepNext/>
              <w:ind w:left="-108"/>
              <w:jc w:val="center"/>
              <w:rPr>
                <w:rFonts w:ascii="Arial Narrow" w:hAnsi="Arial Narrow" w:cs="Arial"/>
                <w:i/>
                <w:sz w:val="18"/>
                <w:szCs w:val="18"/>
              </w:rPr>
            </w:pPr>
            <w:r w:rsidRPr="00551BE1">
              <w:rPr>
                <w:rFonts w:ascii="Arial Narrow" w:hAnsi="Arial Narrow" w:cs="Arial"/>
                <w:i/>
                <w:sz w:val="18"/>
                <w:szCs w:val="18"/>
              </w:rPr>
              <w:t>5</w:t>
            </w:r>
          </w:p>
        </w:tc>
        <w:tc>
          <w:tcPr>
            <w:tcW w:w="856" w:type="pct"/>
          </w:tcPr>
          <w:p w:rsidR="005E297F" w:rsidRPr="00551BE1" w:rsidRDefault="005E297F" w:rsidP="005E297F">
            <w:pPr>
              <w:keepNext/>
              <w:jc w:val="left"/>
              <w:rPr>
                <w:rFonts w:ascii="Arial Narrow" w:hAnsi="Arial Narrow" w:cs="Arial"/>
                <w:i/>
                <w:sz w:val="18"/>
                <w:szCs w:val="18"/>
              </w:rPr>
            </w:pPr>
            <w:r w:rsidRPr="00551BE1">
              <w:rPr>
                <w:rFonts w:ascii="Arial Narrow" w:hAnsi="Arial Narrow" w:cs="Arial"/>
                <w:i/>
                <w:sz w:val="18"/>
                <w:szCs w:val="18"/>
              </w:rPr>
              <w:t>$</w:t>
            </w:r>
            <w:r w:rsidR="00E15A47" w:rsidRPr="00551BE1">
              <w:rPr>
                <w:rFonts w:ascii="Arial Narrow" w:hAnsi="Arial Narrow" w:cs="Arial"/>
                <w:i/>
                <w:sz w:val="18"/>
                <w:szCs w:val="18"/>
              </w:rPr>
              <w:t>8168.04</w:t>
            </w:r>
            <w:r w:rsidRPr="00551BE1">
              <w:rPr>
                <w:rFonts w:ascii="Arial Narrow" w:hAnsi="Arial Narrow" w:cs="Arial"/>
                <w:i/>
                <w:sz w:val="18"/>
                <w:szCs w:val="18"/>
              </w:rPr>
              <w:t xml:space="preserve"> (Gen Sched)</w:t>
            </w:r>
          </w:p>
          <w:p w:rsidR="005E297F" w:rsidRPr="00551BE1" w:rsidRDefault="005E297F" w:rsidP="005E297F">
            <w:pPr>
              <w:keepNext/>
              <w:jc w:val="left"/>
              <w:rPr>
                <w:rFonts w:ascii="Arial Narrow" w:hAnsi="Arial Narrow" w:cs="Arial"/>
                <w:sz w:val="18"/>
                <w:szCs w:val="18"/>
              </w:rPr>
            </w:pPr>
            <w:r w:rsidRPr="00551BE1">
              <w:rPr>
                <w:rFonts w:ascii="Arial Narrow" w:hAnsi="Arial Narrow" w:cs="Arial"/>
                <w:sz w:val="18"/>
                <w:szCs w:val="18"/>
              </w:rPr>
              <w:t>$8168.04 (Pub)</w:t>
            </w:r>
          </w:p>
          <w:p w:rsidR="005E297F" w:rsidRPr="00551BE1" w:rsidRDefault="005E297F" w:rsidP="005E297F">
            <w:pPr>
              <w:keepNext/>
              <w:jc w:val="left"/>
              <w:rPr>
                <w:rFonts w:ascii="Arial Narrow" w:hAnsi="Arial Narrow" w:cs="Arial"/>
                <w:i/>
                <w:sz w:val="18"/>
                <w:szCs w:val="18"/>
              </w:rPr>
            </w:pPr>
            <w:r w:rsidRPr="00551BE1">
              <w:rPr>
                <w:rFonts w:ascii="Arial Narrow" w:hAnsi="Arial Narrow" w:cs="Arial"/>
                <w:sz w:val="18"/>
                <w:szCs w:val="18"/>
              </w:rPr>
              <w:t>$8215.74 (Priv)</w:t>
            </w:r>
          </w:p>
        </w:tc>
        <w:tc>
          <w:tcPr>
            <w:tcW w:w="600" w:type="pct"/>
            <w:vAlign w:val="center"/>
          </w:tcPr>
          <w:p w:rsidR="005E297F" w:rsidRPr="00551BE1" w:rsidRDefault="005E297F" w:rsidP="005E297F">
            <w:pPr>
              <w:keepNext/>
              <w:jc w:val="left"/>
              <w:rPr>
                <w:rFonts w:ascii="Arial Narrow" w:hAnsi="Arial Narrow" w:cs="Arial"/>
                <w:sz w:val="18"/>
                <w:szCs w:val="18"/>
              </w:rPr>
            </w:pPr>
            <w:r w:rsidRPr="00551BE1">
              <w:rPr>
                <w:rFonts w:ascii="Arial Narrow" w:hAnsi="Arial Narrow" w:cs="Arial"/>
                <w:sz w:val="18"/>
                <w:szCs w:val="18"/>
              </w:rPr>
              <w:t>Movapo</w:t>
            </w:r>
          </w:p>
        </w:tc>
      </w:tr>
      <w:tr w:rsidR="005E297F" w:rsidRPr="00551BE1" w:rsidTr="00551BE1">
        <w:trPr>
          <w:cantSplit/>
          <w:trHeight w:val="740"/>
        </w:trPr>
        <w:tc>
          <w:tcPr>
            <w:tcW w:w="1549" w:type="pct"/>
            <w:vAlign w:val="center"/>
          </w:tcPr>
          <w:p w:rsidR="005E297F" w:rsidRPr="00551BE1" w:rsidRDefault="005E297F" w:rsidP="005E297F">
            <w:pPr>
              <w:keepNext/>
              <w:ind w:left="-108"/>
              <w:jc w:val="left"/>
              <w:rPr>
                <w:rFonts w:ascii="Arial Narrow" w:hAnsi="Arial Narrow" w:cs="Arial"/>
                <w:sz w:val="18"/>
                <w:szCs w:val="18"/>
              </w:rPr>
            </w:pPr>
            <w:r w:rsidRPr="00551BE1">
              <w:rPr>
                <w:rFonts w:ascii="Arial Narrow" w:hAnsi="Arial Narrow" w:cs="Arial"/>
                <w:sz w:val="18"/>
                <w:szCs w:val="18"/>
              </w:rPr>
              <w:t>apomorphine hydrochloride hemihydrate 20 mg/2 mL injection, 5 x 2 mL ampoules </w:t>
            </w:r>
          </w:p>
        </w:tc>
        <w:tc>
          <w:tcPr>
            <w:tcW w:w="709" w:type="pct"/>
            <w:vAlign w:val="center"/>
          </w:tcPr>
          <w:p w:rsidR="005E297F" w:rsidRPr="00551BE1" w:rsidRDefault="005E297F" w:rsidP="005E297F">
            <w:pPr>
              <w:keepNext/>
              <w:ind w:left="-108"/>
              <w:jc w:val="center"/>
              <w:rPr>
                <w:rFonts w:ascii="Arial Narrow" w:hAnsi="Arial Narrow" w:cs="Arial"/>
                <w:i/>
                <w:sz w:val="18"/>
                <w:szCs w:val="18"/>
              </w:rPr>
            </w:pPr>
            <w:r w:rsidRPr="00551BE1">
              <w:rPr>
                <w:rFonts w:ascii="Arial Narrow" w:hAnsi="Arial Narrow" w:cs="Arial"/>
                <w:i/>
                <w:sz w:val="18"/>
                <w:szCs w:val="18"/>
              </w:rPr>
              <w:t>NEW (General Schedule)</w:t>
            </w:r>
          </w:p>
          <w:p w:rsidR="005E297F" w:rsidRPr="00551BE1" w:rsidRDefault="005E297F" w:rsidP="005E297F">
            <w:pPr>
              <w:keepNext/>
              <w:ind w:left="-108"/>
              <w:jc w:val="center"/>
              <w:rPr>
                <w:rFonts w:ascii="Arial Narrow" w:hAnsi="Arial Narrow" w:cs="Arial"/>
                <w:sz w:val="18"/>
                <w:szCs w:val="18"/>
              </w:rPr>
            </w:pPr>
            <w:r w:rsidRPr="00551BE1">
              <w:rPr>
                <w:rFonts w:ascii="Arial Narrow" w:hAnsi="Arial Narrow" w:cs="Arial"/>
                <w:sz w:val="18"/>
                <w:szCs w:val="18"/>
              </w:rPr>
              <w:t>5609F (Pub)</w:t>
            </w:r>
          </w:p>
          <w:p w:rsidR="007046DE" w:rsidRPr="00551BE1" w:rsidRDefault="007046DE" w:rsidP="005E297F">
            <w:pPr>
              <w:keepNext/>
              <w:ind w:left="-108"/>
              <w:jc w:val="center"/>
              <w:rPr>
                <w:rFonts w:ascii="Arial Narrow" w:hAnsi="Arial Narrow" w:cs="Arial"/>
                <w:sz w:val="18"/>
                <w:szCs w:val="18"/>
              </w:rPr>
            </w:pPr>
            <w:r w:rsidRPr="00551BE1">
              <w:rPr>
                <w:rFonts w:ascii="Arial Narrow" w:hAnsi="Arial Narrow" w:cs="Arial"/>
                <w:sz w:val="18"/>
                <w:szCs w:val="18"/>
              </w:rPr>
              <w:t>9607P (Priv)</w:t>
            </w:r>
          </w:p>
          <w:p w:rsidR="005E297F" w:rsidRPr="00551BE1" w:rsidRDefault="005E297F" w:rsidP="005E297F">
            <w:pPr>
              <w:keepNext/>
              <w:ind w:left="-108"/>
              <w:jc w:val="center"/>
              <w:rPr>
                <w:rFonts w:ascii="Arial Narrow" w:hAnsi="Arial Narrow" w:cs="Arial"/>
                <w:i/>
                <w:sz w:val="18"/>
                <w:szCs w:val="18"/>
              </w:rPr>
            </w:pPr>
          </w:p>
        </w:tc>
        <w:tc>
          <w:tcPr>
            <w:tcW w:w="458" w:type="pct"/>
            <w:vAlign w:val="center"/>
          </w:tcPr>
          <w:p w:rsidR="005E297F" w:rsidRPr="00551BE1" w:rsidRDefault="007046DE" w:rsidP="005E297F">
            <w:pPr>
              <w:keepNext/>
              <w:jc w:val="center"/>
              <w:rPr>
                <w:rFonts w:ascii="Arial Narrow" w:hAnsi="Arial Narrow" w:cs="Arial"/>
                <w:i/>
                <w:sz w:val="18"/>
                <w:szCs w:val="18"/>
              </w:rPr>
            </w:pPr>
            <w:r w:rsidRPr="00551BE1">
              <w:rPr>
                <w:rFonts w:ascii="Arial Narrow" w:hAnsi="Arial Narrow" w:cs="Arial"/>
                <w:i/>
                <w:sz w:val="18"/>
                <w:szCs w:val="18"/>
              </w:rPr>
              <w:t>72</w:t>
            </w:r>
          </w:p>
        </w:tc>
        <w:tc>
          <w:tcPr>
            <w:tcW w:w="456" w:type="pct"/>
            <w:vAlign w:val="center"/>
          </w:tcPr>
          <w:p w:rsidR="005E297F" w:rsidRPr="00551BE1" w:rsidRDefault="007046DE" w:rsidP="005E297F">
            <w:pPr>
              <w:keepNext/>
              <w:ind w:left="-108"/>
              <w:jc w:val="center"/>
              <w:rPr>
                <w:rFonts w:ascii="Arial Narrow" w:hAnsi="Arial Narrow" w:cs="Arial"/>
                <w:i/>
                <w:sz w:val="18"/>
                <w:szCs w:val="18"/>
              </w:rPr>
            </w:pPr>
            <w:r w:rsidRPr="00551BE1">
              <w:rPr>
                <w:rFonts w:ascii="Arial Narrow" w:hAnsi="Arial Narrow" w:cs="Arial"/>
                <w:i/>
                <w:sz w:val="18"/>
                <w:szCs w:val="18"/>
              </w:rPr>
              <w:t>360</w:t>
            </w:r>
          </w:p>
        </w:tc>
        <w:tc>
          <w:tcPr>
            <w:tcW w:w="372" w:type="pct"/>
            <w:vAlign w:val="center"/>
          </w:tcPr>
          <w:p w:rsidR="005E297F" w:rsidRPr="00551BE1" w:rsidRDefault="007046DE" w:rsidP="005E297F">
            <w:pPr>
              <w:keepNext/>
              <w:ind w:left="-108"/>
              <w:jc w:val="center"/>
              <w:rPr>
                <w:rFonts w:ascii="Arial Narrow" w:hAnsi="Arial Narrow" w:cs="Arial"/>
                <w:i/>
                <w:sz w:val="18"/>
                <w:szCs w:val="18"/>
              </w:rPr>
            </w:pPr>
            <w:r w:rsidRPr="00551BE1">
              <w:rPr>
                <w:rFonts w:ascii="Arial Narrow" w:hAnsi="Arial Narrow" w:cs="Arial"/>
                <w:i/>
                <w:sz w:val="18"/>
                <w:szCs w:val="18"/>
              </w:rPr>
              <w:t>5</w:t>
            </w:r>
          </w:p>
        </w:tc>
        <w:tc>
          <w:tcPr>
            <w:tcW w:w="856" w:type="pct"/>
          </w:tcPr>
          <w:p w:rsidR="005E297F" w:rsidRPr="00551BE1" w:rsidRDefault="007046DE" w:rsidP="005E297F">
            <w:pPr>
              <w:keepNext/>
              <w:jc w:val="left"/>
              <w:rPr>
                <w:rFonts w:ascii="Arial Narrow" w:hAnsi="Arial Narrow" w:cs="Arial"/>
                <w:i/>
                <w:sz w:val="18"/>
                <w:szCs w:val="18"/>
              </w:rPr>
            </w:pPr>
            <w:r w:rsidRPr="00551BE1">
              <w:rPr>
                <w:rFonts w:ascii="Arial Narrow" w:hAnsi="Arial Narrow" w:cs="Arial"/>
                <w:i/>
                <w:sz w:val="18"/>
                <w:szCs w:val="18"/>
              </w:rPr>
              <w:t>$</w:t>
            </w:r>
            <w:r w:rsidR="00E15A47" w:rsidRPr="00551BE1">
              <w:rPr>
                <w:rFonts w:ascii="Arial Narrow" w:hAnsi="Arial Narrow" w:cs="Arial"/>
                <w:i/>
                <w:sz w:val="18"/>
                <w:szCs w:val="18"/>
              </w:rPr>
              <w:t>6528.96</w:t>
            </w:r>
            <w:r w:rsidRPr="00551BE1">
              <w:rPr>
                <w:rFonts w:ascii="Arial Narrow" w:hAnsi="Arial Narrow" w:cs="Arial"/>
                <w:i/>
                <w:sz w:val="18"/>
                <w:szCs w:val="18"/>
              </w:rPr>
              <w:t xml:space="preserve"> (Gen Sched)</w:t>
            </w:r>
          </w:p>
          <w:p w:rsidR="007046DE" w:rsidRPr="00551BE1" w:rsidRDefault="007046DE" w:rsidP="005E297F">
            <w:pPr>
              <w:keepNext/>
              <w:jc w:val="left"/>
              <w:rPr>
                <w:rFonts w:ascii="Arial Narrow" w:hAnsi="Arial Narrow" w:cs="Arial"/>
                <w:sz w:val="18"/>
                <w:szCs w:val="18"/>
              </w:rPr>
            </w:pPr>
            <w:r w:rsidRPr="00551BE1">
              <w:rPr>
                <w:rFonts w:ascii="Arial Narrow" w:hAnsi="Arial Narrow" w:cs="Arial"/>
                <w:sz w:val="18"/>
                <w:szCs w:val="18"/>
              </w:rPr>
              <w:t>$6528.96 (Pub)</w:t>
            </w:r>
          </w:p>
          <w:p w:rsidR="007046DE" w:rsidRPr="00551BE1" w:rsidRDefault="007046DE" w:rsidP="005E297F">
            <w:pPr>
              <w:keepNext/>
              <w:jc w:val="left"/>
              <w:rPr>
                <w:rFonts w:ascii="Arial Narrow" w:hAnsi="Arial Narrow" w:cs="Arial"/>
                <w:i/>
                <w:sz w:val="18"/>
                <w:szCs w:val="18"/>
              </w:rPr>
            </w:pPr>
            <w:r w:rsidRPr="00551BE1">
              <w:rPr>
                <w:rFonts w:ascii="Arial Narrow" w:hAnsi="Arial Narrow" w:cs="Arial"/>
                <w:sz w:val="18"/>
                <w:szCs w:val="18"/>
              </w:rPr>
              <w:t>$6577.02 (Priv)</w:t>
            </w:r>
          </w:p>
        </w:tc>
        <w:tc>
          <w:tcPr>
            <w:tcW w:w="600" w:type="pct"/>
            <w:vAlign w:val="center"/>
          </w:tcPr>
          <w:p w:rsidR="005E297F" w:rsidRPr="00551BE1" w:rsidRDefault="007046DE" w:rsidP="005E297F">
            <w:pPr>
              <w:keepNext/>
              <w:jc w:val="left"/>
              <w:rPr>
                <w:rFonts w:ascii="Arial Narrow" w:hAnsi="Arial Narrow" w:cs="Arial"/>
                <w:sz w:val="18"/>
                <w:szCs w:val="18"/>
              </w:rPr>
            </w:pPr>
            <w:r w:rsidRPr="00551BE1">
              <w:rPr>
                <w:rFonts w:ascii="Arial Narrow" w:hAnsi="Arial Narrow" w:cs="Arial"/>
                <w:sz w:val="18"/>
                <w:szCs w:val="18"/>
              </w:rPr>
              <w:t>Movapo</w:t>
            </w:r>
          </w:p>
        </w:tc>
      </w:tr>
    </w:tbl>
    <w:p w:rsidR="00551BE1" w:rsidRDefault="00551BE1" w:rsidP="007711AD">
      <w:pPr>
        <w:rPr>
          <w:rFonts w:ascii="Arial Narrow" w:hAnsi="Arial Narrow"/>
          <w:b/>
          <w:sz w:val="18"/>
          <w:szCs w:val="18"/>
        </w:rPr>
      </w:pPr>
    </w:p>
    <w:p w:rsidR="007711AD" w:rsidRPr="000B7209" w:rsidRDefault="007711AD" w:rsidP="00551BE1">
      <w:pPr>
        <w:keepNext/>
        <w:keepLines/>
        <w:widowControl w:val="0"/>
        <w:rPr>
          <w:rFonts w:ascii="Arial Narrow" w:hAnsi="Arial Narrow"/>
          <w:b/>
          <w:sz w:val="18"/>
          <w:szCs w:val="18"/>
        </w:rPr>
      </w:pPr>
      <w:r w:rsidRPr="000B7209">
        <w:rPr>
          <w:rFonts w:ascii="Arial Narrow" w:hAnsi="Arial Narrow"/>
          <w:b/>
          <w:sz w:val="18"/>
          <w:szCs w:val="18"/>
        </w:rPr>
        <w:t xml:space="preserve">Restriction Summary </w:t>
      </w:r>
      <w:r w:rsidR="00C7007D" w:rsidRPr="000B7209">
        <w:rPr>
          <w:rFonts w:ascii="Arial Narrow" w:hAnsi="Arial Narrow"/>
          <w:b/>
          <w:sz w:val="18"/>
          <w:szCs w:val="18"/>
        </w:rPr>
        <w:t>10720</w:t>
      </w:r>
      <w:r w:rsidRPr="000B7209">
        <w:rPr>
          <w:rFonts w:ascii="Arial Narrow" w:hAnsi="Arial Narrow"/>
          <w:b/>
          <w:sz w:val="18"/>
          <w:szCs w:val="18"/>
        </w:rPr>
        <w:t xml:space="preserve">/ Treatment of Concept: </w:t>
      </w:r>
      <w:r w:rsidR="00C7007D" w:rsidRPr="000B7209">
        <w:rPr>
          <w:rFonts w:ascii="Arial Narrow" w:hAnsi="Arial Narrow"/>
          <w:b/>
          <w:sz w:val="18"/>
          <w:szCs w:val="18"/>
        </w:rPr>
        <w:t>10844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19"/>
      </w:tblGrid>
      <w:tr w:rsidR="00F1195F" w:rsidRPr="000B7209" w:rsidTr="00551BE1">
        <w:tc>
          <w:tcPr>
            <w:tcW w:w="553" w:type="pct"/>
            <w:vMerge w:val="restart"/>
            <w:tcBorders>
              <w:top w:val="single" w:sz="4" w:space="0" w:color="auto"/>
              <w:left w:val="single" w:sz="4" w:space="0" w:color="auto"/>
              <w:right w:val="single" w:sz="4" w:space="0" w:color="auto"/>
            </w:tcBorders>
          </w:tcPr>
          <w:p w:rsidR="00F1195F" w:rsidRPr="000B7209" w:rsidRDefault="00F1195F" w:rsidP="00551BE1">
            <w:pPr>
              <w:keepNext/>
              <w:keepLines/>
              <w:widowControl w:val="0"/>
              <w:jc w:val="cente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F1195F" w:rsidRPr="000B7209" w:rsidRDefault="00F1195F" w:rsidP="00551BE1">
            <w:pPr>
              <w:keepNext/>
              <w:keepLines/>
              <w:widowControl w:val="0"/>
              <w:rPr>
                <w:rFonts w:ascii="Arial Narrow" w:hAnsi="Arial Narrow" w:cs="Arial"/>
                <w:sz w:val="18"/>
                <w:szCs w:val="18"/>
              </w:rPr>
            </w:pPr>
            <w:r w:rsidRPr="000B7209">
              <w:rPr>
                <w:rFonts w:ascii="Arial Narrow" w:hAnsi="Arial Narrow" w:cs="Arial"/>
                <w:b/>
                <w:sz w:val="18"/>
                <w:szCs w:val="18"/>
              </w:rPr>
              <w:t xml:space="preserve">Category / Program:   </w:t>
            </w:r>
            <w:r w:rsidRPr="000B7209">
              <w:rPr>
                <w:rFonts w:ascii="Arial Narrow" w:hAnsi="Arial Narrow" w:cs="Arial"/>
                <w:sz w:val="18"/>
                <w:szCs w:val="18"/>
              </w:rPr>
              <w:t xml:space="preserve">GENERAL – General Schedule (Code GE) </w:t>
            </w:r>
          </w:p>
        </w:tc>
      </w:tr>
      <w:tr w:rsidR="00F1195F" w:rsidRPr="000B7209" w:rsidTr="00551BE1">
        <w:trPr>
          <w:trHeight w:val="240"/>
        </w:trPr>
        <w:tc>
          <w:tcPr>
            <w:tcW w:w="553" w:type="pct"/>
            <w:vMerge/>
            <w:tcBorders>
              <w:left w:val="single" w:sz="4" w:space="0" w:color="auto"/>
              <w:right w:val="single" w:sz="4" w:space="0" w:color="auto"/>
            </w:tcBorders>
          </w:tcPr>
          <w:p w:rsidR="00F1195F" w:rsidRPr="000B7209" w:rsidRDefault="00F1195F" w:rsidP="00551BE1">
            <w:pPr>
              <w:keepNext/>
              <w:keepLines/>
              <w:widowControl w:val="0"/>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F1195F" w:rsidRPr="000B7209" w:rsidRDefault="00F1195F" w:rsidP="00551BE1">
            <w:pPr>
              <w:keepNext/>
              <w:keepLines/>
              <w:widowControl w:val="0"/>
              <w:rPr>
                <w:rFonts w:ascii="Arial Narrow" w:hAnsi="Arial Narrow" w:cs="Arial"/>
                <w:b/>
                <w:sz w:val="18"/>
                <w:szCs w:val="18"/>
              </w:rPr>
            </w:pPr>
            <w:r w:rsidRPr="000B7209">
              <w:rPr>
                <w:rFonts w:ascii="Arial Narrow" w:hAnsi="Arial Narrow" w:cs="Arial"/>
                <w:b/>
                <w:sz w:val="18"/>
                <w:szCs w:val="18"/>
              </w:rPr>
              <w:t xml:space="preserve">Prescriber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Medical Practitioners    </w:t>
            </w:r>
            <w:r w:rsidR="00C7007D" w:rsidRPr="00AF39BF">
              <w:rPr>
                <w:rFonts w:ascii="Arial Narrow" w:hAnsi="Arial Narrow" w:cs="Arial"/>
                <w:i/>
                <w:sz w:val="18"/>
                <w:szCs w:val="18"/>
              </w:rPr>
              <w:fldChar w:fldCharType="begin">
                <w:ffData>
                  <w:name w:val=""/>
                  <w:enabled/>
                  <w:calcOnExit w:val="0"/>
                  <w:checkBox>
                    <w:sizeAuto/>
                    <w:default w:val="1"/>
                  </w:checkBox>
                </w:ffData>
              </w:fldChar>
            </w:r>
            <w:r w:rsidR="00C7007D" w:rsidRPr="000B7209">
              <w:rPr>
                <w:rFonts w:ascii="Arial Narrow" w:hAnsi="Arial Narrow" w:cs="Arial"/>
                <w:i/>
                <w:sz w:val="18"/>
                <w:szCs w:val="18"/>
              </w:rPr>
              <w:instrText xml:space="preserve"> FORMCHECKBOX </w:instrText>
            </w:r>
            <w:r w:rsidR="00FE0340">
              <w:rPr>
                <w:rFonts w:ascii="Arial Narrow" w:hAnsi="Arial Narrow" w:cs="Arial"/>
                <w:i/>
                <w:sz w:val="18"/>
                <w:szCs w:val="18"/>
              </w:rPr>
            </w:r>
            <w:r w:rsidR="00FE0340">
              <w:rPr>
                <w:rFonts w:ascii="Arial Narrow" w:hAnsi="Arial Narrow" w:cs="Arial"/>
                <w:i/>
                <w:sz w:val="18"/>
                <w:szCs w:val="18"/>
              </w:rPr>
              <w:fldChar w:fldCharType="separate"/>
            </w:r>
            <w:r w:rsidR="00C7007D" w:rsidRPr="00AF39BF">
              <w:rPr>
                <w:rFonts w:ascii="Arial Narrow" w:hAnsi="Arial Narrow" w:cs="Arial"/>
                <w:i/>
                <w:sz w:val="18"/>
                <w:szCs w:val="18"/>
              </w:rPr>
              <w:fldChar w:fldCharType="end"/>
            </w:r>
            <w:r w:rsidR="00C7007D" w:rsidRPr="000B7209">
              <w:rPr>
                <w:rFonts w:ascii="Arial Narrow" w:hAnsi="Arial Narrow" w:cs="Arial"/>
                <w:i/>
                <w:sz w:val="18"/>
                <w:szCs w:val="18"/>
              </w:rPr>
              <w:t xml:space="preserve"> Nurse Practitioners - SCM</w:t>
            </w:r>
            <w:r w:rsidR="00C7007D" w:rsidRPr="000B7209">
              <w:rPr>
                <w:rFonts w:ascii="Arial Narrow" w:hAnsi="Arial Narrow" w:cs="Arial"/>
                <w:sz w:val="18"/>
                <w:szCs w:val="18"/>
              </w:rPr>
              <w:t xml:space="preserve">    </w:t>
            </w:r>
          </w:p>
        </w:tc>
      </w:tr>
      <w:tr w:rsidR="00F1195F" w:rsidRPr="000B7209" w:rsidTr="00551BE1">
        <w:tc>
          <w:tcPr>
            <w:tcW w:w="553" w:type="pct"/>
            <w:vMerge/>
            <w:tcBorders>
              <w:left w:val="single" w:sz="4" w:space="0" w:color="auto"/>
              <w:bottom w:val="single" w:sz="4" w:space="0" w:color="auto"/>
              <w:right w:val="single" w:sz="4" w:space="0" w:color="auto"/>
            </w:tcBorders>
          </w:tcPr>
          <w:p w:rsidR="00F1195F" w:rsidRPr="000B7209" w:rsidRDefault="00F1195F" w:rsidP="00551BE1">
            <w:pPr>
              <w:keepNext/>
              <w:keepLines/>
              <w:widowControl w:val="0"/>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F1195F" w:rsidRPr="000B7209" w:rsidRDefault="00F1195F" w:rsidP="00551BE1">
            <w:pPr>
              <w:keepNext/>
              <w:keepLines/>
              <w:widowControl w:val="0"/>
              <w:rPr>
                <w:rFonts w:ascii="Arial Narrow" w:hAnsi="Arial Narrow" w:cs="Arial"/>
                <w:b/>
                <w:sz w:val="18"/>
                <w:szCs w:val="18"/>
              </w:rPr>
            </w:pPr>
            <w:r w:rsidRPr="000B7209">
              <w:rPr>
                <w:rFonts w:ascii="Arial Narrow" w:hAnsi="Arial Narrow" w:cs="Arial"/>
                <w:b/>
                <w:sz w:val="18"/>
                <w:szCs w:val="18"/>
              </w:rPr>
              <w:t xml:space="preserve">Restriction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 Authority Required </w:t>
            </w:r>
            <w:r w:rsidR="00C7007D" w:rsidRPr="000B7209">
              <w:rPr>
                <w:rFonts w:ascii="Arial Narrow" w:hAnsi="Arial Narrow" w:cs="Arial"/>
                <w:sz w:val="18"/>
                <w:szCs w:val="18"/>
              </w:rPr>
              <w:t>–</w:t>
            </w:r>
            <w:r w:rsidRPr="00864FEE">
              <w:rPr>
                <w:rFonts w:ascii="Arial Narrow" w:hAnsi="Arial Narrow" w:cs="Arial"/>
                <w:sz w:val="18"/>
                <w:szCs w:val="18"/>
              </w:rPr>
              <w:t xml:space="preserve"> Streamlined</w:t>
            </w:r>
            <w:r w:rsidR="00C7007D" w:rsidRPr="00864FEE">
              <w:rPr>
                <w:rFonts w:ascii="Arial Narrow" w:hAnsi="Arial Narrow" w:cs="Arial"/>
                <w:sz w:val="18"/>
                <w:szCs w:val="18"/>
              </w:rPr>
              <w:t xml:space="preserve"> (10844)</w:t>
            </w:r>
          </w:p>
        </w:tc>
      </w:tr>
      <w:tr w:rsidR="007711AD" w:rsidRPr="000B7209" w:rsidTr="006077D2">
        <w:tc>
          <w:tcPr>
            <w:tcW w:w="553" w:type="pct"/>
            <w:vAlign w:val="center"/>
          </w:tcPr>
          <w:p w:rsidR="007711AD" w:rsidRPr="000B7209" w:rsidRDefault="007711AD" w:rsidP="00551BE1">
            <w:pPr>
              <w:keepNext/>
              <w:keepLines/>
              <w:widowControl w:val="0"/>
              <w:jc w:val="center"/>
              <w:rPr>
                <w:rFonts w:ascii="Arial Narrow" w:hAnsi="Arial Narrow"/>
                <w:color w:val="333333"/>
                <w:sz w:val="18"/>
                <w:szCs w:val="18"/>
              </w:rPr>
            </w:pPr>
          </w:p>
        </w:tc>
        <w:tc>
          <w:tcPr>
            <w:tcW w:w="4447" w:type="pct"/>
            <w:vAlign w:val="center"/>
            <w:hideMark/>
          </w:tcPr>
          <w:p w:rsidR="007711AD" w:rsidRPr="000B7209" w:rsidRDefault="007711AD" w:rsidP="00551BE1">
            <w:pPr>
              <w:keepNext/>
              <w:keepLines/>
              <w:widowControl w:val="0"/>
              <w:rPr>
                <w:rFonts w:ascii="Arial Narrow" w:hAnsi="Arial Narrow"/>
                <w:color w:val="333333"/>
                <w:sz w:val="18"/>
                <w:szCs w:val="18"/>
              </w:rPr>
            </w:pPr>
            <w:r w:rsidRPr="000B7209">
              <w:rPr>
                <w:rFonts w:ascii="Arial Narrow" w:hAnsi="Arial Narrow"/>
                <w:b/>
                <w:bCs/>
                <w:color w:val="333333"/>
                <w:sz w:val="18"/>
                <w:szCs w:val="18"/>
              </w:rPr>
              <w:t>Indication:</w:t>
            </w:r>
            <w:r w:rsidRPr="000B7209">
              <w:rPr>
                <w:rFonts w:ascii="Arial Narrow" w:hAnsi="Arial Narrow"/>
                <w:color w:val="333333"/>
                <w:sz w:val="18"/>
                <w:szCs w:val="18"/>
              </w:rPr>
              <w:t xml:space="preserve"> Parkinson Disease</w:t>
            </w:r>
          </w:p>
        </w:tc>
      </w:tr>
      <w:tr w:rsidR="007711AD" w:rsidRPr="000B7209" w:rsidTr="006077D2">
        <w:tc>
          <w:tcPr>
            <w:tcW w:w="553" w:type="pct"/>
            <w:vAlign w:val="center"/>
          </w:tcPr>
          <w:p w:rsidR="007711AD" w:rsidRPr="000B7209" w:rsidRDefault="007711AD" w:rsidP="00551BE1">
            <w:pPr>
              <w:keepNext/>
              <w:keepLines/>
              <w:widowControl w:val="0"/>
              <w:jc w:val="center"/>
              <w:rPr>
                <w:rFonts w:ascii="Arial Narrow" w:hAnsi="Arial Narrow"/>
                <w:color w:val="333333"/>
                <w:sz w:val="18"/>
                <w:szCs w:val="18"/>
              </w:rPr>
            </w:pPr>
          </w:p>
        </w:tc>
        <w:tc>
          <w:tcPr>
            <w:tcW w:w="4447" w:type="pct"/>
            <w:vAlign w:val="center"/>
            <w:hideMark/>
          </w:tcPr>
          <w:p w:rsidR="007711AD" w:rsidRPr="000B7209" w:rsidRDefault="007711AD" w:rsidP="00551BE1">
            <w:pPr>
              <w:keepNext/>
              <w:keepLines/>
              <w:widowControl w:val="0"/>
              <w:rPr>
                <w:rFonts w:ascii="Arial Narrow" w:hAnsi="Arial Narrow"/>
                <w:i/>
                <w:color w:val="333333"/>
                <w:sz w:val="18"/>
                <w:szCs w:val="18"/>
              </w:rPr>
            </w:pPr>
            <w:r w:rsidRPr="000B7209">
              <w:rPr>
                <w:rFonts w:ascii="Arial Narrow" w:hAnsi="Arial Narrow"/>
                <w:b/>
                <w:bCs/>
                <w:color w:val="333333"/>
                <w:sz w:val="18"/>
                <w:szCs w:val="18"/>
              </w:rPr>
              <w:t>Treatment Phase:</w:t>
            </w:r>
            <w:r w:rsidRPr="000B7209">
              <w:rPr>
                <w:rFonts w:ascii="Arial Narrow" w:hAnsi="Arial Narrow"/>
                <w:color w:val="333333"/>
                <w:sz w:val="18"/>
                <w:szCs w:val="18"/>
              </w:rPr>
              <w:t xml:space="preserve"> </w:t>
            </w:r>
            <w:r w:rsidRPr="000B7209">
              <w:rPr>
                <w:rFonts w:ascii="Arial Narrow" w:hAnsi="Arial Narrow"/>
                <w:strike/>
                <w:color w:val="333333"/>
                <w:sz w:val="18"/>
                <w:szCs w:val="18"/>
              </w:rPr>
              <w:t>Continuing</w:t>
            </w:r>
            <w:r w:rsidR="00126472" w:rsidRPr="000B7209">
              <w:rPr>
                <w:rFonts w:ascii="Arial Narrow" w:hAnsi="Arial Narrow"/>
                <w:i/>
                <w:color w:val="333333"/>
                <w:sz w:val="18"/>
                <w:szCs w:val="18"/>
              </w:rPr>
              <w:t xml:space="preserve"> </w:t>
            </w:r>
            <w:r w:rsidR="007046DE" w:rsidRPr="000B7209">
              <w:rPr>
                <w:rFonts w:ascii="Arial Narrow" w:hAnsi="Arial Narrow"/>
                <w:i/>
                <w:color w:val="333333"/>
                <w:sz w:val="18"/>
                <w:szCs w:val="18"/>
              </w:rPr>
              <w:t xml:space="preserve">Maintenance </w:t>
            </w:r>
            <w:r w:rsidR="006C6C90" w:rsidRPr="000B7209">
              <w:rPr>
                <w:rFonts w:ascii="Arial Narrow" w:hAnsi="Arial Narrow"/>
                <w:i/>
                <w:color w:val="333333"/>
                <w:sz w:val="18"/>
                <w:szCs w:val="18"/>
              </w:rPr>
              <w:t>therapy</w:t>
            </w:r>
          </w:p>
        </w:tc>
      </w:tr>
      <w:tr w:rsidR="007711AD" w:rsidRPr="000B7209" w:rsidTr="00551BE1">
        <w:tc>
          <w:tcPr>
            <w:tcW w:w="553" w:type="pct"/>
            <w:vAlign w:val="center"/>
          </w:tcPr>
          <w:p w:rsidR="007711AD" w:rsidRPr="000B7209" w:rsidRDefault="007711AD" w:rsidP="00551BE1">
            <w:pPr>
              <w:keepNext/>
              <w:keepLines/>
              <w:widowControl w:val="0"/>
              <w:jc w:val="center"/>
              <w:rPr>
                <w:rFonts w:ascii="Arial Narrow" w:hAnsi="Arial Narrow"/>
                <w:color w:val="333333"/>
                <w:sz w:val="18"/>
                <w:szCs w:val="18"/>
              </w:rPr>
            </w:pPr>
          </w:p>
        </w:tc>
        <w:tc>
          <w:tcPr>
            <w:tcW w:w="4447" w:type="pct"/>
            <w:vAlign w:val="center"/>
          </w:tcPr>
          <w:p w:rsidR="007711AD" w:rsidRPr="000B7209" w:rsidRDefault="00C7007D" w:rsidP="00551BE1">
            <w:pPr>
              <w:keepNext/>
              <w:keepLines/>
              <w:widowControl w:val="0"/>
              <w:rPr>
                <w:rFonts w:ascii="Arial Narrow" w:hAnsi="Arial Narrow"/>
                <w:b/>
                <w:bCs/>
                <w:color w:val="333333"/>
                <w:sz w:val="18"/>
                <w:szCs w:val="18"/>
              </w:rPr>
            </w:pPr>
            <w:r w:rsidRPr="000B7209">
              <w:rPr>
                <w:rFonts w:ascii="Arial Narrow" w:hAnsi="Arial Narrow"/>
                <w:b/>
                <w:bCs/>
                <w:color w:val="333333"/>
                <w:sz w:val="18"/>
                <w:szCs w:val="18"/>
              </w:rPr>
              <w:t xml:space="preserve">Clinical </w:t>
            </w:r>
            <w:r w:rsidR="007711AD" w:rsidRPr="000B7209">
              <w:rPr>
                <w:rFonts w:ascii="Arial Narrow" w:hAnsi="Arial Narrow"/>
                <w:b/>
                <w:bCs/>
                <w:color w:val="333333"/>
                <w:sz w:val="18"/>
                <w:szCs w:val="18"/>
              </w:rPr>
              <w:t>criteria:</w:t>
            </w:r>
          </w:p>
        </w:tc>
      </w:tr>
      <w:tr w:rsidR="007711AD" w:rsidRPr="000B7209" w:rsidTr="00551BE1">
        <w:tc>
          <w:tcPr>
            <w:tcW w:w="553" w:type="pct"/>
            <w:vAlign w:val="center"/>
          </w:tcPr>
          <w:p w:rsidR="00C7007D" w:rsidRPr="000B7209" w:rsidRDefault="00C7007D" w:rsidP="00551BE1">
            <w:pPr>
              <w:keepNext/>
              <w:keepLines/>
              <w:widowControl w:val="0"/>
              <w:jc w:val="center"/>
              <w:rPr>
                <w:rFonts w:ascii="Arial Narrow" w:hAnsi="Arial Narrow"/>
                <w:color w:val="333333"/>
                <w:sz w:val="18"/>
                <w:szCs w:val="18"/>
              </w:rPr>
            </w:pPr>
          </w:p>
        </w:tc>
        <w:tc>
          <w:tcPr>
            <w:tcW w:w="4447" w:type="pct"/>
            <w:vAlign w:val="center"/>
          </w:tcPr>
          <w:p w:rsidR="007711AD" w:rsidRPr="000B7209" w:rsidRDefault="007711AD" w:rsidP="00551BE1">
            <w:pPr>
              <w:keepNext/>
              <w:keepLines/>
              <w:widowControl w:val="0"/>
              <w:rPr>
                <w:rFonts w:ascii="Arial Narrow" w:hAnsi="Arial Narrow"/>
                <w:bCs/>
                <w:strike/>
                <w:color w:val="333333"/>
                <w:sz w:val="18"/>
                <w:szCs w:val="18"/>
              </w:rPr>
            </w:pPr>
            <w:r w:rsidRPr="000B7209">
              <w:rPr>
                <w:rFonts w:ascii="Arial Narrow" w:hAnsi="Arial Narrow"/>
                <w:bCs/>
                <w:strike/>
                <w:color w:val="333333"/>
                <w:sz w:val="18"/>
                <w:szCs w:val="18"/>
              </w:rPr>
              <w:t>The treatment must be</w:t>
            </w:r>
            <w:r w:rsidR="00E83A77" w:rsidRPr="000B7209">
              <w:rPr>
                <w:rFonts w:ascii="Arial Narrow" w:hAnsi="Arial Narrow"/>
                <w:bCs/>
                <w:strike/>
                <w:color w:val="333333"/>
                <w:sz w:val="18"/>
                <w:szCs w:val="18"/>
              </w:rPr>
              <w:t xml:space="preserve"> </w:t>
            </w:r>
            <w:r w:rsidRPr="000B7209">
              <w:rPr>
                <w:rFonts w:ascii="Arial Narrow" w:hAnsi="Arial Narrow"/>
                <w:bCs/>
                <w:strike/>
                <w:color w:val="333333"/>
                <w:sz w:val="18"/>
                <w:szCs w:val="18"/>
              </w:rPr>
              <w:t>commenced hospital-based movement disorder clinic</w:t>
            </w:r>
          </w:p>
          <w:p w:rsidR="00C7007D" w:rsidRPr="000B7209" w:rsidRDefault="00C7007D" w:rsidP="00551BE1">
            <w:pPr>
              <w:keepNext/>
              <w:keepLines/>
              <w:widowControl w:val="0"/>
              <w:rPr>
                <w:rFonts w:ascii="Arial Narrow" w:hAnsi="Arial Narrow"/>
                <w:bCs/>
                <w:i/>
                <w:color w:val="333333"/>
                <w:sz w:val="18"/>
                <w:szCs w:val="18"/>
              </w:rPr>
            </w:pPr>
            <w:r w:rsidRPr="000B7209">
              <w:rPr>
                <w:rFonts w:ascii="Arial Narrow" w:hAnsi="Arial Narrow"/>
                <w:bCs/>
                <w:i/>
                <w:color w:val="333333"/>
                <w:sz w:val="18"/>
                <w:szCs w:val="18"/>
              </w:rPr>
              <w:t>Patient must have been commenced on treatment in a specialist unit in a hospital setting</w:t>
            </w:r>
          </w:p>
        </w:tc>
      </w:tr>
      <w:tr w:rsidR="00424D46" w:rsidRPr="000B7209" w:rsidTr="00551BE1">
        <w:tc>
          <w:tcPr>
            <w:tcW w:w="553" w:type="pct"/>
            <w:vAlign w:val="center"/>
          </w:tcPr>
          <w:p w:rsidR="00424D46" w:rsidRPr="000B7209" w:rsidDel="00C7007D" w:rsidRDefault="00424D46" w:rsidP="00551BE1">
            <w:pPr>
              <w:keepNext/>
              <w:keepLines/>
              <w:widowControl w:val="0"/>
              <w:jc w:val="center"/>
              <w:rPr>
                <w:rFonts w:ascii="Arial Narrow" w:hAnsi="Arial Narrow"/>
                <w:color w:val="333333"/>
                <w:sz w:val="18"/>
                <w:szCs w:val="18"/>
              </w:rPr>
            </w:pPr>
          </w:p>
        </w:tc>
        <w:tc>
          <w:tcPr>
            <w:tcW w:w="4447" w:type="pct"/>
            <w:vAlign w:val="center"/>
          </w:tcPr>
          <w:p w:rsidR="00424D46" w:rsidRPr="000B7209" w:rsidRDefault="00424D46" w:rsidP="00551BE1">
            <w:pPr>
              <w:keepNext/>
              <w:keepLines/>
              <w:widowControl w:val="0"/>
              <w:rPr>
                <w:rFonts w:ascii="Arial Narrow" w:hAnsi="Arial Narrow"/>
                <w:b/>
                <w:bCs/>
                <w:color w:val="333333"/>
                <w:sz w:val="18"/>
                <w:szCs w:val="18"/>
              </w:rPr>
            </w:pPr>
            <w:r w:rsidRPr="000B7209">
              <w:rPr>
                <w:rFonts w:ascii="Arial Narrow" w:hAnsi="Arial Narrow"/>
                <w:b/>
                <w:bCs/>
                <w:color w:val="333333"/>
                <w:sz w:val="18"/>
                <w:szCs w:val="18"/>
              </w:rPr>
              <w:t>AND</w:t>
            </w:r>
          </w:p>
        </w:tc>
      </w:tr>
      <w:tr w:rsidR="007711AD" w:rsidRPr="000B7209" w:rsidTr="006077D2">
        <w:tc>
          <w:tcPr>
            <w:tcW w:w="553" w:type="pct"/>
            <w:vAlign w:val="center"/>
          </w:tcPr>
          <w:p w:rsidR="007711AD" w:rsidRPr="000B7209" w:rsidRDefault="007711AD" w:rsidP="00551BE1">
            <w:pPr>
              <w:keepNext/>
              <w:keepLines/>
              <w:widowControl w:val="0"/>
              <w:jc w:val="center"/>
              <w:rPr>
                <w:rFonts w:ascii="Arial Narrow" w:hAnsi="Arial Narrow"/>
                <w:color w:val="333333"/>
                <w:sz w:val="18"/>
                <w:szCs w:val="18"/>
              </w:rPr>
            </w:pPr>
          </w:p>
        </w:tc>
        <w:tc>
          <w:tcPr>
            <w:tcW w:w="4447" w:type="pct"/>
            <w:vAlign w:val="center"/>
            <w:hideMark/>
          </w:tcPr>
          <w:p w:rsidR="007711AD" w:rsidRPr="000B7209" w:rsidRDefault="00F35624" w:rsidP="00551BE1">
            <w:pPr>
              <w:keepNext/>
              <w:keepLines/>
              <w:widowControl w:val="0"/>
              <w:rPr>
                <w:rFonts w:ascii="Arial Narrow" w:hAnsi="Arial Narrow"/>
                <w:b/>
                <w:bCs/>
                <w:color w:val="333333"/>
                <w:sz w:val="18"/>
                <w:szCs w:val="18"/>
              </w:rPr>
            </w:pPr>
            <w:r w:rsidRPr="000B7209">
              <w:rPr>
                <w:rFonts w:ascii="Arial Narrow" w:hAnsi="Arial Narrow"/>
                <w:b/>
                <w:bCs/>
                <w:color w:val="333333"/>
                <w:sz w:val="18"/>
                <w:szCs w:val="18"/>
              </w:rPr>
              <w:t>Clinical criteria:</w:t>
            </w:r>
          </w:p>
        </w:tc>
      </w:tr>
      <w:tr w:rsidR="00F35624" w:rsidRPr="000B7209" w:rsidTr="00551BE1">
        <w:tc>
          <w:tcPr>
            <w:tcW w:w="553" w:type="pct"/>
            <w:vAlign w:val="center"/>
          </w:tcPr>
          <w:p w:rsidR="00F35624" w:rsidRPr="000B7209" w:rsidRDefault="00F35624" w:rsidP="00551BE1">
            <w:pPr>
              <w:keepNext/>
              <w:keepLines/>
              <w:widowControl w:val="0"/>
              <w:jc w:val="center"/>
              <w:rPr>
                <w:rFonts w:ascii="Arial Narrow" w:hAnsi="Arial Narrow"/>
                <w:color w:val="333333"/>
                <w:sz w:val="18"/>
                <w:szCs w:val="18"/>
              </w:rPr>
            </w:pPr>
          </w:p>
        </w:tc>
        <w:tc>
          <w:tcPr>
            <w:tcW w:w="4447" w:type="pct"/>
            <w:vAlign w:val="center"/>
          </w:tcPr>
          <w:p w:rsidR="00F35624" w:rsidRPr="000B7209" w:rsidRDefault="00F35624" w:rsidP="00551BE1">
            <w:pPr>
              <w:keepNext/>
              <w:keepLines/>
              <w:widowControl w:val="0"/>
              <w:rPr>
                <w:rFonts w:ascii="Arial Narrow" w:hAnsi="Arial Narrow"/>
                <w:b/>
                <w:bCs/>
                <w:color w:val="333333"/>
                <w:sz w:val="18"/>
                <w:szCs w:val="18"/>
              </w:rPr>
            </w:pPr>
            <w:r w:rsidRPr="000B7209">
              <w:rPr>
                <w:rFonts w:ascii="Arial Narrow" w:hAnsi="Arial Narrow"/>
                <w:bCs/>
                <w:color w:val="333333"/>
                <w:sz w:val="18"/>
                <w:szCs w:val="18"/>
              </w:rPr>
              <w:t>Patient must have experienced severely disabling motor fluctuations which have not responded to other therapy</w:t>
            </w:r>
          </w:p>
        </w:tc>
      </w:tr>
      <w:tr w:rsidR="00C7007D" w:rsidRPr="000B7209" w:rsidTr="00551BE1">
        <w:tc>
          <w:tcPr>
            <w:tcW w:w="553" w:type="pct"/>
            <w:vAlign w:val="center"/>
          </w:tcPr>
          <w:p w:rsidR="00C7007D" w:rsidRPr="000B7209" w:rsidRDefault="00C7007D" w:rsidP="00551BE1">
            <w:pPr>
              <w:keepNext/>
              <w:keepLines/>
              <w:widowControl w:val="0"/>
              <w:jc w:val="center"/>
              <w:rPr>
                <w:rFonts w:ascii="Arial Narrow" w:hAnsi="Arial Narrow"/>
                <w:color w:val="333333"/>
                <w:sz w:val="18"/>
                <w:szCs w:val="18"/>
              </w:rPr>
            </w:pPr>
          </w:p>
        </w:tc>
        <w:tc>
          <w:tcPr>
            <w:tcW w:w="4447" w:type="pct"/>
            <w:vAlign w:val="center"/>
          </w:tcPr>
          <w:p w:rsidR="00C7007D" w:rsidRPr="000B7209" w:rsidRDefault="00C7007D" w:rsidP="00551BE1">
            <w:pPr>
              <w:keepNext/>
              <w:keepLines/>
              <w:widowControl w:val="0"/>
              <w:rPr>
                <w:rFonts w:ascii="Arial Narrow" w:hAnsi="Arial Narrow"/>
                <w:b/>
                <w:bCs/>
                <w:i/>
                <w:color w:val="333333"/>
                <w:sz w:val="18"/>
                <w:szCs w:val="18"/>
              </w:rPr>
            </w:pPr>
            <w:r w:rsidRPr="000B7209">
              <w:rPr>
                <w:rFonts w:ascii="Arial Narrow" w:hAnsi="Arial Narrow"/>
                <w:b/>
                <w:bCs/>
                <w:i/>
                <w:color w:val="333333"/>
                <w:sz w:val="18"/>
                <w:szCs w:val="18"/>
              </w:rPr>
              <w:t>Administrative Advice:</w:t>
            </w:r>
          </w:p>
          <w:p w:rsidR="00C7007D" w:rsidRPr="000B7209" w:rsidRDefault="00C7007D" w:rsidP="00551BE1">
            <w:pPr>
              <w:keepNext/>
              <w:keepLines/>
              <w:widowControl w:val="0"/>
              <w:rPr>
                <w:rFonts w:ascii="Arial Narrow" w:hAnsi="Arial Narrow"/>
                <w:b/>
                <w:bCs/>
                <w:i/>
                <w:color w:val="333333"/>
                <w:sz w:val="18"/>
                <w:szCs w:val="18"/>
              </w:rPr>
            </w:pPr>
            <w:r w:rsidRPr="000B7209">
              <w:rPr>
                <w:rFonts w:ascii="Arial Narrow" w:hAnsi="Arial Narrow"/>
                <w:b/>
                <w:bCs/>
                <w:i/>
                <w:color w:val="333333"/>
                <w:sz w:val="18"/>
                <w:szCs w:val="18"/>
              </w:rPr>
              <w:t>Shared Care Model:</w:t>
            </w:r>
          </w:p>
          <w:p w:rsidR="00C7007D" w:rsidRPr="000B7209" w:rsidRDefault="00C7007D" w:rsidP="00551BE1">
            <w:pPr>
              <w:keepNext/>
              <w:keepLines/>
              <w:widowControl w:val="0"/>
              <w:rPr>
                <w:rFonts w:ascii="Arial Narrow" w:hAnsi="Arial Narrow"/>
                <w:bCs/>
                <w:color w:val="333333"/>
                <w:sz w:val="18"/>
                <w:szCs w:val="18"/>
              </w:rPr>
            </w:pPr>
            <w:r w:rsidRPr="000B7209">
              <w:rPr>
                <w:rFonts w:ascii="Arial Narrow" w:hAnsi="Arial Narrow"/>
                <w:bCs/>
                <w:i/>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rsidR="007711AD" w:rsidRPr="000B7209" w:rsidRDefault="007711AD" w:rsidP="00551BE1">
      <w:pPr>
        <w:keepNext/>
        <w:keepLines/>
        <w:widowControl w:val="0"/>
        <w:rPr>
          <w:rFonts w:ascii="Arial Narrow" w:hAnsi="Arial Narrow"/>
          <w:b/>
          <w:sz w:val="18"/>
          <w:szCs w:val="18"/>
        </w:rPr>
      </w:pPr>
    </w:p>
    <w:p w:rsidR="00BD586E" w:rsidRPr="000B7209" w:rsidRDefault="003D2D27" w:rsidP="00551BE1">
      <w:pPr>
        <w:pStyle w:val="3Bodytext"/>
      </w:pPr>
      <w:r w:rsidRPr="000B7209">
        <w:t xml:space="preserve">The PBAC noted that, if it were to </w:t>
      </w:r>
      <w:r w:rsidR="00E027D3" w:rsidRPr="000B7209">
        <w:t>recommend the requested change, f</w:t>
      </w:r>
      <w:r w:rsidR="00BD586E" w:rsidRPr="000B7209">
        <w:t xml:space="preserve">low-on changes to the existing S100 listings </w:t>
      </w:r>
      <w:r w:rsidR="00E027D3" w:rsidRPr="000B7209">
        <w:t xml:space="preserve">would apply </w:t>
      </w:r>
      <w:r w:rsidR="00BD586E" w:rsidRPr="000B7209">
        <w:t xml:space="preserve">to </w:t>
      </w:r>
      <w:r w:rsidRPr="000B7209">
        <w:t>state that</w:t>
      </w:r>
      <w:r w:rsidR="00BD586E" w:rsidRPr="000B7209">
        <w:t xml:space="preserve"> treatment must be initiated in a hospital</w:t>
      </w:r>
      <w:r w:rsidR="00E027D3" w:rsidRPr="000B7209">
        <w:t xml:space="preserve"> setting.</w:t>
      </w:r>
    </w:p>
    <w:p w:rsidR="00BD0934" w:rsidRPr="00864FEE" w:rsidRDefault="00BD0934" w:rsidP="00EE2B71">
      <w:pPr>
        <w:ind w:firstLine="709"/>
        <w:rPr>
          <w:i/>
        </w:rPr>
      </w:pPr>
      <w:r w:rsidRPr="00864FEE">
        <w:rPr>
          <w:i/>
        </w:rPr>
        <w:t>For more detail on PBAC’s view, see section 5 PBAC outcome.</w:t>
      </w:r>
    </w:p>
    <w:p w:rsidR="00442505" w:rsidRDefault="00442505">
      <w:pPr>
        <w:jc w:val="left"/>
        <w:rPr>
          <w:rFonts w:asciiTheme="minorHAnsi" w:hAnsiTheme="minorHAnsi" w:cs="Arial"/>
          <w:b/>
          <w:snapToGrid w:val="0"/>
          <w:sz w:val="32"/>
          <w:szCs w:val="32"/>
        </w:rPr>
      </w:pPr>
      <w:r>
        <w:rPr>
          <w:sz w:val="32"/>
          <w:szCs w:val="32"/>
        </w:rPr>
        <w:br w:type="page"/>
      </w:r>
    </w:p>
    <w:p w:rsidR="000B558D" w:rsidRPr="000B7209" w:rsidRDefault="008D7A41" w:rsidP="00021D6D">
      <w:pPr>
        <w:pStyle w:val="Heading1"/>
        <w:keepLines/>
        <w:numPr>
          <w:ilvl w:val="0"/>
          <w:numId w:val="3"/>
        </w:numPr>
        <w:spacing w:before="240"/>
        <w:ind w:left="709" w:hanging="709"/>
        <w:rPr>
          <w:sz w:val="32"/>
          <w:szCs w:val="32"/>
        </w:rPr>
      </w:pPr>
      <w:r w:rsidRPr="000B7209">
        <w:rPr>
          <w:sz w:val="32"/>
          <w:szCs w:val="32"/>
        </w:rPr>
        <w:lastRenderedPageBreak/>
        <w:t>C</w:t>
      </w:r>
      <w:r w:rsidR="00D84934" w:rsidRPr="000B7209">
        <w:rPr>
          <w:sz w:val="32"/>
          <w:szCs w:val="32"/>
        </w:rPr>
        <w:t>onsideration of the evidence</w:t>
      </w:r>
    </w:p>
    <w:p w:rsidR="007A4757" w:rsidRPr="000B7209" w:rsidRDefault="007A4757" w:rsidP="007A4757">
      <w:pPr>
        <w:pStyle w:val="4-SubsectionHeading"/>
      </w:pPr>
      <w:r w:rsidRPr="000B7209">
        <w:t>Sponsor hearing</w:t>
      </w:r>
    </w:p>
    <w:p w:rsidR="007A4757" w:rsidRPr="000B7209" w:rsidRDefault="007A4757" w:rsidP="00551BE1">
      <w:pPr>
        <w:pStyle w:val="3Bodytext"/>
        <w:rPr>
          <w:snapToGrid w:val="0"/>
        </w:rPr>
      </w:pPr>
      <w:r w:rsidRPr="000B7209">
        <w:rPr>
          <w:snapToGrid w:val="0"/>
        </w:rPr>
        <w:t>There was no hearing for this item as it was a minor submission.</w:t>
      </w:r>
    </w:p>
    <w:p w:rsidR="007A4757" w:rsidRPr="000B7209" w:rsidRDefault="007A4757" w:rsidP="007A4757">
      <w:pPr>
        <w:pStyle w:val="4-SubsectionHeading"/>
      </w:pPr>
      <w:r w:rsidRPr="000B7209">
        <w:t>Consumer comments</w:t>
      </w:r>
    </w:p>
    <w:p w:rsidR="007A4757" w:rsidRPr="000B7209" w:rsidRDefault="007A4757" w:rsidP="00551BE1">
      <w:pPr>
        <w:pStyle w:val="3Bodytext"/>
        <w:rPr>
          <w:snapToGrid w:val="0"/>
        </w:rPr>
      </w:pPr>
      <w:r w:rsidRPr="000B7209">
        <w:rPr>
          <w:snapToGrid w:val="0"/>
        </w:rPr>
        <w:t>The PBAC noted that no consumer comments were received for this item.</w:t>
      </w:r>
    </w:p>
    <w:p w:rsidR="00560373" w:rsidRPr="000B7209" w:rsidRDefault="00560373" w:rsidP="00560373">
      <w:pPr>
        <w:pStyle w:val="4-SubsectionHeading"/>
        <w:keepNext w:val="0"/>
      </w:pPr>
      <w:r w:rsidRPr="000B7209">
        <w:rPr>
          <w:lang w:eastAsia="en-US"/>
        </w:rPr>
        <w:t>Clinical evidence</w:t>
      </w:r>
    </w:p>
    <w:p w:rsidR="00A07EE2" w:rsidRPr="000B7209" w:rsidRDefault="00A07EE2" w:rsidP="00551BE1">
      <w:pPr>
        <w:pStyle w:val="3Bodytext"/>
      </w:pPr>
      <w:r w:rsidRPr="000B7209">
        <w:t xml:space="preserve">The minor resubmission presented </w:t>
      </w:r>
      <w:r w:rsidR="00F8603E" w:rsidRPr="000B7209">
        <w:t>one</w:t>
      </w:r>
      <w:r w:rsidRPr="000B7209">
        <w:t xml:space="preserve"> published stud</w:t>
      </w:r>
      <w:r w:rsidR="00F8603E" w:rsidRPr="000B7209">
        <w:t>y</w:t>
      </w:r>
      <w:r w:rsidRPr="000B7209">
        <w:t xml:space="preserve">, which assessed the efficacy and safety of </w:t>
      </w:r>
      <w:r w:rsidRPr="00AF39BF">
        <w:t xml:space="preserve">apomorphine subcutaneous infusion in </w:t>
      </w:r>
      <w:r w:rsidR="00D57E56" w:rsidRPr="00AF39BF">
        <w:t>PD</w:t>
      </w:r>
      <w:r w:rsidRPr="00AF39BF">
        <w:t xml:space="preserve"> patients with motor complications not well controlled on medical treatment</w:t>
      </w:r>
      <w:r w:rsidR="00F8603E" w:rsidRPr="00AF39BF">
        <w:t>.</w:t>
      </w:r>
      <w:r w:rsidRPr="000B7209">
        <w:t xml:space="preserve">  </w:t>
      </w:r>
    </w:p>
    <w:p w:rsidR="00560373" w:rsidRPr="000B7209" w:rsidRDefault="00560373" w:rsidP="00551BE1">
      <w:pPr>
        <w:pStyle w:val="3Bodytext"/>
      </w:pPr>
      <w:r w:rsidRPr="00864FEE">
        <w:t>De</w:t>
      </w:r>
      <w:r w:rsidR="008B56A8" w:rsidRPr="00864FEE">
        <w:t>tails of the study</w:t>
      </w:r>
      <w:r w:rsidRPr="00864FEE">
        <w:t xml:space="preserve"> presented in the submission </w:t>
      </w:r>
      <w:r w:rsidR="000F7008" w:rsidRPr="000B7209">
        <w:t>are</w:t>
      </w:r>
      <w:r w:rsidR="008B56A8" w:rsidRPr="000B7209">
        <w:t xml:space="preserve"> </w:t>
      </w:r>
      <w:r w:rsidRPr="000B7209">
        <w:t>provided in the table below.</w:t>
      </w:r>
    </w:p>
    <w:p w:rsidR="00560373" w:rsidRPr="000B7209" w:rsidRDefault="00560373" w:rsidP="00551BE1">
      <w:pPr>
        <w:pStyle w:val="TableFigureHeading"/>
        <w:rPr>
          <w:rFonts w:asciiTheme="minorHAnsi" w:eastAsiaTheme="minorHAnsi" w:hAnsiTheme="minorHAnsi" w:cstheme="minorBidi"/>
          <w:szCs w:val="22"/>
        </w:rPr>
      </w:pPr>
      <w:r w:rsidRPr="000B7209">
        <w:t xml:space="preserve">Table </w:t>
      </w:r>
      <w:r w:rsidR="004212C0" w:rsidRPr="000B7209">
        <w:t>1</w:t>
      </w:r>
      <w:r w:rsidRPr="000B7209">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5702"/>
        <w:gridCol w:w="1935"/>
      </w:tblGrid>
      <w:tr w:rsidR="00CB2CE3" w:rsidRPr="000B7209" w:rsidTr="00551BE1">
        <w:trPr>
          <w:cantSplit/>
          <w:trHeight w:val="177"/>
          <w:tblHeader/>
        </w:trPr>
        <w:tc>
          <w:tcPr>
            <w:tcW w:w="765" w:type="pct"/>
          </w:tcPr>
          <w:p w:rsidR="00560373" w:rsidRPr="000B7209" w:rsidRDefault="00CB2CE3" w:rsidP="007F35F6">
            <w:pPr>
              <w:pStyle w:val="NoSpacing"/>
              <w:spacing w:before="40" w:after="40"/>
              <w:jc w:val="left"/>
              <w:rPr>
                <w:rFonts w:ascii="Arial Narrow" w:hAnsi="Arial Narrow"/>
                <w:b/>
                <w:sz w:val="20"/>
              </w:rPr>
            </w:pPr>
            <w:r w:rsidRPr="000B7209">
              <w:rPr>
                <w:rFonts w:ascii="Arial Narrow" w:hAnsi="Arial Narrow"/>
                <w:b/>
                <w:sz w:val="20"/>
              </w:rPr>
              <w:t>Trial ID/First Author</w:t>
            </w:r>
          </w:p>
        </w:tc>
        <w:tc>
          <w:tcPr>
            <w:tcW w:w="3162" w:type="pct"/>
          </w:tcPr>
          <w:p w:rsidR="00560373" w:rsidRPr="000B7209" w:rsidRDefault="00560373" w:rsidP="007F35F6">
            <w:pPr>
              <w:keepNext/>
              <w:spacing w:before="40" w:after="40"/>
              <w:rPr>
                <w:rFonts w:ascii="Arial Narrow" w:hAnsi="Arial Narrow"/>
                <w:b/>
                <w:sz w:val="20"/>
              </w:rPr>
            </w:pPr>
            <w:r w:rsidRPr="000B7209">
              <w:rPr>
                <w:rFonts w:ascii="Arial Narrow" w:hAnsi="Arial Narrow"/>
                <w:b/>
                <w:sz w:val="20"/>
              </w:rPr>
              <w:t>Protocol title/ Publication title</w:t>
            </w:r>
          </w:p>
        </w:tc>
        <w:tc>
          <w:tcPr>
            <w:tcW w:w="1074" w:type="pct"/>
          </w:tcPr>
          <w:p w:rsidR="00560373" w:rsidRPr="000B7209" w:rsidRDefault="00560373" w:rsidP="007F35F6">
            <w:pPr>
              <w:keepNext/>
              <w:spacing w:before="40" w:after="40"/>
              <w:rPr>
                <w:rFonts w:ascii="Arial Narrow" w:hAnsi="Arial Narrow"/>
                <w:b/>
                <w:sz w:val="20"/>
              </w:rPr>
            </w:pPr>
            <w:r w:rsidRPr="000B7209">
              <w:rPr>
                <w:rFonts w:ascii="Arial Narrow" w:hAnsi="Arial Narrow"/>
                <w:b/>
                <w:sz w:val="20"/>
              </w:rPr>
              <w:t>Publication citation</w:t>
            </w:r>
          </w:p>
        </w:tc>
      </w:tr>
      <w:tr w:rsidR="00CB2CE3" w:rsidRPr="000B7209" w:rsidTr="00551BE1">
        <w:trPr>
          <w:cantSplit/>
          <w:trHeight w:val="539"/>
          <w:tblHeader/>
        </w:trPr>
        <w:tc>
          <w:tcPr>
            <w:tcW w:w="765" w:type="pct"/>
          </w:tcPr>
          <w:p w:rsidR="00CB2CE3" w:rsidRPr="00AF39BF" w:rsidRDefault="00CB2CE3" w:rsidP="00CB2CE3">
            <w:pPr>
              <w:pStyle w:val="TableText0"/>
              <w:rPr>
                <w:szCs w:val="20"/>
              </w:rPr>
            </w:pPr>
            <w:r w:rsidRPr="00AF39BF">
              <w:rPr>
                <w:szCs w:val="20"/>
              </w:rPr>
              <w:t xml:space="preserve">CT-37527-13-0124 (TOLEDO) </w:t>
            </w:r>
          </w:p>
          <w:p w:rsidR="00560373" w:rsidRPr="000B7209" w:rsidRDefault="004C6FEB" w:rsidP="00CB2CE3">
            <w:pPr>
              <w:pStyle w:val="TableText0"/>
            </w:pPr>
            <w:r w:rsidRPr="00AF39BF">
              <w:rPr>
                <w:szCs w:val="20"/>
              </w:rPr>
              <w:t>Dr. Donna Lockhart</w:t>
            </w:r>
          </w:p>
        </w:tc>
        <w:tc>
          <w:tcPr>
            <w:tcW w:w="3162" w:type="pct"/>
          </w:tcPr>
          <w:p w:rsidR="00560373" w:rsidRPr="00AF39BF" w:rsidRDefault="00560373" w:rsidP="00560373">
            <w:pPr>
              <w:pStyle w:val="TableText0"/>
              <w:rPr>
                <w:szCs w:val="20"/>
              </w:rPr>
            </w:pPr>
            <w:r w:rsidRPr="00AF39BF">
              <w:rPr>
                <w:szCs w:val="20"/>
              </w:rPr>
              <w:t>Multicentre, parallel-group, double blind, placebo-controlled phase III study to evaluate the efficacy and safety of apomorphine subcutaneous infusion in Parkinson’s disease patients with motor complications not well controlled on medical treatment</w:t>
            </w:r>
          </w:p>
          <w:p w:rsidR="00560373" w:rsidRPr="000B7209" w:rsidRDefault="00560373" w:rsidP="007F35F6">
            <w:pPr>
              <w:pStyle w:val="TableText0"/>
              <w:rPr>
                <w:szCs w:val="20"/>
              </w:rPr>
            </w:pPr>
          </w:p>
        </w:tc>
        <w:tc>
          <w:tcPr>
            <w:tcW w:w="1074" w:type="pct"/>
          </w:tcPr>
          <w:p w:rsidR="00560373" w:rsidRPr="00AF39BF" w:rsidRDefault="00560373" w:rsidP="00560373">
            <w:pPr>
              <w:pStyle w:val="TableText0"/>
            </w:pPr>
            <w:r w:rsidRPr="00AF39BF">
              <w:t xml:space="preserve">Clinical Study Report Version 2 </w:t>
            </w:r>
            <w:r w:rsidRPr="000B7209">
              <w:t xml:space="preserve">published: </w:t>
            </w:r>
            <w:r w:rsidRPr="00AF39BF">
              <w:t>05 Aug 2019</w:t>
            </w:r>
          </w:p>
          <w:p w:rsidR="00560373" w:rsidRPr="000B7209" w:rsidRDefault="00560373" w:rsidP="007F35F6">
            <w:pPr>
              <w:pStyle w:val="TableText0"/>
              <w:rPr>
                <w:szCs w:val="20"/>
              </w:rPr>
            </w:pPr>
            <w:r w:rsidRPr="000B7209">
              <w:rPr>
                <w:szCs w:val="20"/>
              </w:rPr>
              <w:t>.</w:t>
            </w:r>
          </w:p>
        </w:tc>
      </w:tr>
    </w:tbl>
    <w:p w:rsidR="00F730C1" w:rsidRPr="000B7209" w:rsidRDefault="00F730C1" w:rsidP="00551BE1">
      <w:pPr>
        <w:pStyle w:val="TableFigureFooter"/>
      </w:pPr>
      <w:r w:rsidRPr="000B7209">
        <w:t>Source:</w:t>
      </w:r>
      <w:r w:rsidR="004C6FEB" w:rsidRPr="000B7209">
        <w:t xml:space="preserve"> </w:t>
      </w:r>
      <w:r w:rsidRPr="000B7209">
        <w:t>Britannia Pharmaceuticals Ltd of the submission</w:t>
      </w:r>
    </w:p>
    <w:p w:rsidR="00085FA1" w:rsidRPr="00864FEE" w:rsidRDefault="00682005" w:rsidP="00551BE1">
      <w:pPr>
        <w:pStyle w:val="3Bodytext"/>
      </w:pPr>
      <w:r w:rsidRPr="000B7209">
        <w:t xml:space="preserve">The </w:t>
      </w:r>
      <w:r w:rsidR="007D6498" w:rsidRPr="000B7209">
        <w:t>minor submission</w:t>
      </w:r>
      <w:r w:rsidRPr="000B7209">
        <w:t xml:space="preserve"> </w:t>
      </w:r>
      <w:r w:rsidR="00F8603E" w:rsidRPr="000B7209">
        <w:t xml:space="preserve">also </w:t>
      </w:r>
      <w:r w:rsidRPr="000B7209">
        <w:t>reported</w:t>
      </w:r>
      <w:r w:rsidR="000F7008" w:rsidRPr="000B7209">
        <w:t xml:space="preserve"> the</w:t>
      </w:r>
      <w:r w:rsidR="00CB2CE3" w:rsidRPr="000B7209">
        <w:t xml:space="preserve"> clinical overview </w:t>
      </w:r>
      <w:r w:rsidR="008A799A" w:rsidRPr="000B7209">
        <w:t xml:space="preserve">(efficacy and safety) from </w:t>
      </w:r>
      <w:r w:rsidR="009074F6" w:rsidRPr="000B7209">
        <w:t xml:space="preserve">28 </w:t>
      </w:r>
      <w:r w:rsidR="00F77C62" w:rsidRPr="000B7209">
        <w:t>l</w:t>
      </w:r>
      <w:r w:rsidR="009074F6" w:rsidRPr="000B7209">
        <w:rPr>
          <w:bCs/>
        </w:rPr>
        <w:t xml:space="preserve">iterature </w:t>
      </w:r>
      <w:r w:rsidR="00F77C62" w:rsidRPr="000B7209">
        <w:rPr>
          <w:bCs/>
        </w:rPr>
        <w:t>references and</w:t>
      </w:r>
      <w:r w:rsidR="008A799A" w:rsidRPr="000B7209">
        <w:rPr>
          <w:bCs/>
        </w:rPr>
        <w:t xml:space="preserve"> one</w:t>
      </w:r>
      <w:r w:rsidR="000F7008" w:rsidRPr="000B7209">
        <w:rPr>
          <w:bCs/>
        </w:rPr>
        <w:t xml:space="preserve"> of</w:t>
      </w:r>
      <w:r w:rsidR="008A799A" w:rsidRPr="000B7209">
        <w:rPr>
          <w:bCs/>
        </w:rPr>
        <w:t xml:space="preserve"> these (NNC APO-101</w:t>
      </w:r>
      <w:r w:rsidR="008A799A" w:rsidRPr="000B7209">
        <w:rPr>
          <w:bCs/>
          <w:vertAlign w:val="superscript"/>
        </w:rPr>
        <w:footnoteReference w:id="1"/>
      </w:r>
      <w:r w:rsidR="008A799A" w:rsidRPr="000B7209">
        <w:rPr>
          <w:bCs/>
        </w:rPr>
        <w:t>) was a sponsored study</w:t>
      </w:r>
      <w:r w:rsidR="009074F6" w:rsidRPr="00864FEE">
        <w:rPr>
          <w:bCs/>
        </w:rPr>
        <w:t xml:space="preserve">. </w:t>
      </w:r>
    </w:p>
    <w:p w:rsidR="000A423A" w:rsidRPr="000B7209" w:rsidRDefault="001C6595" w:rsidP="00551BE1">
      <w:pPr>
        <w:pStyle w:val="3Bodytext"/>
      </w:pPr>
      <w:r w:rsidRPr="000B7209">
        <w:t xml:space="preserve">The PBAC </w:t>
      </w:r>
      <w:r w:rsidR="000A7C49" w:rsidRPr="000B7209">
        <w:t>considered that</w:t>
      </w:r>
      <w:r w:rsidRPr="000B7209">
        <w:t xml:space="preserve"> </w:t>
      </w:r>
      <w:r w:rsidR="008F2F4D" w:rsidRPr="000B7209">
        <w:t>the clinical efficacy and safety of apomorphine ha</w:t>
      </w:r>
      <w:r w:rsidR="000A7C49" w:rsidRPr="000B7209">
        <w:t>d</w:t>
      </w:r>
      <w:r w:rsidR="008F2F4D" w:rsidRPr="000B7209">
        <w:t xml:space="preserve"> been considered previously and were not the focus</w:t>
      </w:r>
      <w:r w:rsidR="00682005" w:rsidRPr="000B7209">
        <w:t xml:space="preserve"> </w:t>
      </w:r>
      <w:r w:rsidR="008F2F4D" w:rsidRPr="000B7209">
        <w:t>of the current minor submission.</w:t>
      </w:r>
    </w:p>
    <w:p w:rsidR="00545CDA" w:rsidRPr="000B7209" w:rsidRDefault="00265A9C" w:rsidP="00551BE1">
      <w:pPr>
        <w:pStyle w:val="3Bodytext"/>
      </w:pPr>
      <w:r w:rsidRPr="000B7209">
        <w:t>As</w:t>
      </w:r>
      <w:r w:rsidR="00243C88" w:rsidRPr="000B7209">
        <w:t xml:space="preserve"> a</w:t>
      </w:r>
      <w:r w:rsidR="00545CDA" w:rsidRPr="000B7209">
        <w:t xml:space="preserve"> minor submission, no evaluation of the referenced studies was undertaken.</w:t>
      </w:r>
    </w:p>
    <w:p w:rsidR="00C22A1E" w:rsidRPr="000B7209" w:rsidRDefault="00C22A1E" w:rsidP="00C22A1E">
      <w:pPr>
        <w:pStyle w:val="4-SubsectionHeading"/>
        <w:rPr>
          <w:lang w:eastAsia="en-US"/>
        </w:rPr>
      </w:pPr>
      <w:r w:rsidRPr="000B7209">
        <w:rPr>
          <w:lang w:eastAsia="en-US"/>
        </w:rPr>
        <w:t>Drug cost/patient/year</w:t>
      </w:r>
      <w:r w:rsidR="009B645C" w:rsidRPr="000B7209">
        <w:rPr>
          <w:lang w:eastAsia="en-US"/>
        </w:rPr>
        <w:t>:</w:t>
      </w:r>
      <w:r w:rsidR="009B645C" w:rsidRPr="000B7209">
        <w:rPr>
          <w:rFonts w:ascii="Calibri" w:eastAsia="Times New Roman" w:hAnsi="Calibri" w:cs="Times New Roman"/>
          <w:b w:val="0"/>
          <w:i w:val="0"/>
          <w:spacing w:val="0"/>
          <w:kern w:val="0"/>
          <w:sz w:val="24"/>
          <w:szCs w:val="24"/>
        </w:rPr>
        <w:t xml:space="preserve"> </w:t>
      </w:r>
      <w:r w:rsidRPr="000B7209">
        <w:rPr>
          <w:lang w:eastAsia="en-US"/>
        </w:rPr>
        <w:t>$</w:t>
      </w:r>
      <w:r w:rsidR="009B645C" w:rsidRPr="000A6AD6">
        <w:rPr>
          <w:lang w:eastAsia="en-US"/>
        </w:rPr>
        <w:t>100,140</w:t>
      </w:r>
    </w:p>
    <w:p w:rsidR="00C22A1E" w:rsidRPr="000B7209" w:rsidRDefault="00C22A1E" w:rsidP="00551BE1">
      <w:pPr>
        <w:pStyle w:val="3Bodytext"/>
      </w:pPr>
      <w:r w:rsidRPr="000B7209">
        <w:t xml:space="preserve">The estimated cost/patient per year </w:t>
      </w:r>
      <w:r w:rsidR="005E5971" w:rsidRPr="000B7209">
        <w:t>was</w:t>
      </w:r>
      <w:r w:rsidRPr="000B7209">
        <w:t xml:space="preserve"> $</w:t>
      </w:r>
      <w:r w:rsidRPr="000A6AD6">
        <w:t>100,140</w:t>
      </w:r>
      <w:r w:rsidRPr="000B7209">
        <w:t xml:space="preserve"> based on 12 prescriptions per year for the maximum quantity requested at a DPMQ of $</w:t>
      </w:r>
      <w:r w:rsidRPr="000A6AD6">
        <w:t>8,345</w:t>
      </w:r>
      <w:r w:rsidRPr="000B7209">
        <w:t xml:space="preserve">. </w:t>
      </w:r>
    </w:p>
    <w:p w:rsidR="005A3173" w:rsidRPr="000B7209" w:rsidRDefault="005A3173" w:rsidP="00917D69">
      <w:pPr>
        <w:pStyle w:val="4-SubsectionHeading"/>
        <w:rPr>
          <w:lang w:eastAsia="en-US"/>
        </w:rPr>
      </w:pPr>
      <w:r w:rsidRPr="000B7209">
        <w:rPr>
          <w:lang w:eastAsia="en-US"/>
        </w:rPr>
        <w:t>Economic analysis</w:t>
      </w:r>
      <w:r w:rsidR="009803E4" w:rsidRPr="000B7209">
        <w:rPr>
          <w:lang w:eastAsia="en-US"/>
        </w:rPr>
        <w:t xml:space="preserve"> </w:t>
      </w:r>
    </w:p>
    <w:p w:rsidR="00F8603E" w:rsidRPr="000B7209" w:rsidRDefault="00A07EE2" w:rsidP="00551BE1">
      <w:pPr>
        <w:pStyle w:val="3Bodytext"/>
      </w:pPr>
      <w:r w:rsidRPr="000B7209">
        <w:t xml:space="preserve">The minor resubmission presented </w:t>
      </w:r>
      <w:r w:rsidR="00867652" w:rsidRPr="000B7209">
        <w:t>a</w:t>
      </w:r>
      <w:r w:rsidRPr="000B7209">
        <w:t xml:space="preserve"> published </w:t>
      </w:r>
      <w:r w:rsidR="00867652" w:rsidRPr="000B7209">
        <w:t>economic analysis</w:t>
      </w:r>
      <w:r w:rsidRPr="000B7209">
        <w:t>, which assessed the</w:t>
      </w:r>
      <w:r w:rsidR="00F8603E" w:rsidRPr="000B7209">
        <w:t xml:space="preserve"> prevalence, cost and burden of </w:t>
      </w:r>
      <w:r w:rsidR="00867652" w:rsidRPr="000B7209">
        <w:t>PD</w:t>
      </w:r>
      <w:r w:rsidR="00F8603E" w:rsidRPr="000B7209">
        <w:t xml:space="preserve"> in Australia in order to raise awareness of the impacts of the condition and contribute to improving policy in this area.</w:t>
      </w:r>
    </w:p>
    <w:p w:rsidR="00F8603E" w:rsidRPr="000B7209" w:rsidRDefault="00F8603E" w:rsidP="00551BE1">
      <w:pPr>
        <w:pStyle w:val="3Bodytext"/>
      </w:pPr>
      <w:r w:rsidRPr="000B7209">
        <w:t xml:space="preserve">Details of the </w:t>
      </w:r>
      <w:r w:rsidR="00430DEA" w:rsidRPr="000B7209">
        <w:t xml:space="preserve">analysis </w:t>
      </w:r>
      <w:r w:rsidRPr="000B7209">
        <w:t>presented in the submission are provided in the table below.</w:t>
      </w:r>
    </w:p>
    <w:p w:rsidR="00F8603E" w:rsidRPr="000B7209" w:rsidRDefault="00F8603E" w:rsidP="00551BE1">
      <w:pPr>
        <w:pStyle w:val="Tabletitles"/>
        <w:rPr>
          <w:rFonts w:asciiTheme="minorHAnsi" w:eastAsiaTheme="minorHAnsi" w:hAnsiTheme="minorHAnsi" w:cstheme="minorBidi"/>
        </w:rPr>
      </w:pPr>
      <w:r w:rsidRPr="000B7209">
        <w:lastRenderedPageBreak/>
        <w:t xml:space="preserve">Table 2: </w:t>
      </w:r>
      <w:r w:rsidR="00D57E56" w:rsidRPr="000B7209">
        <w:t>Economic analysis</w:t>
      </w:r>
      <w:r w:rsidRPr="000B7209">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4252"/>
        <w:gridCol w:w="2252"/>
      </w:tblGrid>
      <w:tr w:rsidR="00F8603E" w:rsidRPr="000B7209" w:rsidTr="00551BE1">
        <w:trPr>
          <w:cantSplit/>
          <w:trHeight w:val="177"/>
          <w:tblHeader/>
        </w:trPr>
        <w:tc>
          <w:tcPr>
            <w:tcW w:w="1393" w:type="pct"/>
          </w:tcPr>
          <w:p w:rsidR="00F8603E" w:rsidRPr="000B7209" w:rsidRDefault="00F8603E" w:rsidP="007F35F6">
            <w:pPr>
              <w:pStyle w:val="NoSpacing"/>
              <w:spacing w:before="40" w:after="40"/>
              <w:jc w:val="left"/>
              <w:rPr>
                <w:rFonts w:ascii="Arial Narrow" w:hAnsi="Arial Narrow"/>
                <w:b/>
                <w:sz w:val="20"/>
              </w:rPr>
            </w:pPr>
            <w:r w:rsidRPr="000B7209">
              <w:rPr>
                <w:rFonts w:ascii="Arial Narrow" w:hAnsi="Arial Narrow"/>
                <w:b/>
                <w:sz w:val="20"/>
              </w:rPr>
              <w:t>Author/s</w:t>
            </w:r>
          </w:p>
        </w:tc>
        <w:tc>
          <w:tcPr>
            <w:tcW w:w="2358" w:type="pct"/>
          </w:tcPr>
          <w:p w:rsidR="00F8603E" w:rsidRPr="000B7209" w:rsidRDefault="00F8603E" w:rsidP="007F35F6">
            <w:pPr>
              <w:keepNext/>
              <w:spacing w:before="40" w:after="40"/>
              <w:rPr>
                <w:rFonts w:ascii="Arial Narrow" w:hAnsi="Arial Narrow"/>
                <w:b/>
                <w:sz w:val="20"/>
              </w:rPr>
            </w:pPr>
            <w:r w:rsidRPr="000B7209">
              <w:rPr>
                <w:rFonts w:ascii="Arial Narrow" w:hAnsi="Arial Narrow"/>
                <w:b/>
                <w:sz w:val="20"/>
              </w:rPr>
              <w:t>Protocol title/ Publication title</w:t>
            </w:r>
          </w:p>
        </w:tc>
        <w:tc>
          <w:tcPr>
            <w:tcW w:w="1249" w:type="pct"/>
          </w:tcPr>
          <w:p w:rsidR="00F8603E" w:rsidRPr="000B7209" w:rsidRDefault="00F8603E" w:rsidP="007F35F6">
            <w:pPr>
              <w:keepNext/>
              <w:spacing w:before="40" w:after="40"/>
              <w:rPr>
                <w:rFonts w:ascii="Arial Narrow" w:hAnsi="Arial Narrow"/>
                <w:b/>
                <w:sz w:val="20"/>
              </w:rPr>
            </w:pPr>
            <w:r w:rsidRPr="000B7209">
              <w:rPr>
                <w:rFonts w:ascii="Arial Narrow" w:hAnsi="Arial Narrow"/>
                <w:b/>
                <w:sz w:val="20"/>
              </w:rPr>
              <w:t>Publication citation</w:t>
            </w:r>
          </w:p>
        </w:tc>
      </w:tr>
      <w:tr w:rsidR="00F8603E" w:rsidRPr="000B7209" w:rsidTr="00551BE1">
        <w:trPr>
          <w:cantSplit/>
          <w:trHeight w:val="539"/>
          <w:tblHeader/>
        </w:trPr>
        <w:tc>
          <w:tcPr>
            <w:tcW w:w="1393" w:type="pct"/>
          </w:tcPr>
          <w:p w:rsidR="00F8603E" w:rsidRPr="00AF39BF" w:rsidRDefault="00F8603E" w:rsidP="007F35F6">
            <w:pPr>
              <w:pStyle w:val="TableText0"/>
            </w:pPr>
            <w:r w:rsidRPr="000B7209">
              <w:t>Deloitte Access Economics. (2015).</w:t>
            </w:r>
          </w:p>
        </w:tc>
        <w:tc>
          <w:tcPr>
            <w:tcW w:w="2358" w:type="pct"/>
          </w:tcPr>
          <w:p w:rsidR="00F8603E" w:rsidRPr="00AF39BF" w:rsidRDefault="00F8603E" w:rsidP="007F35F6">
            <w:pPr>
              <w:pStyle w:val="TableText0"/>
              <w:rPr>
                <w:szCs w:val="20"/>
              </w:rPr>
            </w:pPr>
            <w:r w:rsidRPr="000B7209">
              <w:rPr>
                <w:szCs w:val="20"/>
              </w:rPr>
              <w:t xml:space="preserve">Living with Parkinson’s Disease: An Updated Economic Analysis </w:t>
            </w:r>
          </w:p>
        </w:tc>
        <w:tc>
          <w:tcPr>
            <w:tcW w:w="1249" w:type="pct"/>
          </w:tcPr>
          <w:p w:rsidR="00F8603E" w:rsidRPr="00AF39BF" w:rsidRDefault="00F8603E" w:rsidP="007F35F6">
            <w:pPr>
              <w:pStyle w:val="TableText0"/>
            </w:pPr>
            <w:r w:rsidRPr="000B7209">
              <w:rPr>
                <w:i/>
                <w:iCs/>
              </w:rPr>
              <w:t>Deloitte</w:t>
            </w:r>
            <w:r w:rsidRPr="000B7209">
              <w:t>, (August</w:t>
            </w:r>
            <w:r w:rsidRPr="00864FEE">
              <w:t xml:space="preserve"> 2015), 1–146.</w:t>
            </w:r>
          </w:p>
        </w:tc>
      </w:tr>
    </w:tbl>
    <w:p w:rsidR="00F8603E" w:rsidRPr="000B7209" w:rsidRDefault="00F8603E" w:rsidP="00551BE1">
      <w:pPr>
        <w:pStyle w:val="TableFigureFooter"/>
      </w:pPr>
      <w:r w:rsidRPr="000B7209">
        <w:t>Source: Deloitte Parkinson disease of the submission</w:t>
      </w:r>
    </w:p>
    <w:p w:rsidR="00F8603E" w:rsidRPr="000B7209" w:rsidRDefault="00265A9C" w:rsidP="00551BE1">
      <w:pPr>
        <w:pStyle w:val="3Bodytext"/>
      </w:pPr>
      <w:r w:rsidRPr="000B7209">
        <w:t>As</w:t>
      </w:r>
      <w:r w:rsidR="009C0208" w:rsidRPr="000B7209">
        <w:t xml:space="preserve"> a</w:t>
      </w:r>
      <w:r w:rsidR="00F8603E" w:rsidRPr="000B7209">
        <w:t xml:space="preserve"> minor submission, no evaluation of the referenced study was undertaken.</w:t>
      </w:r>
    </w:p>
    <w:p w:rsidR="005A3173" w:rsidRPr="000B7209" w:rsidRDefault="005A3173" w:rsidP="00917D69">
      <w:pPr>
        <w:pStyle w:val="4-SubsectionHeading"/>
        <w:rPr>
          <w:lang w:eastAsia="en-US"/>
        </w:rPr>
      </w:pPr>
      <w:r w:rsidRPr="000B7209">
        <w:rPr>
          <w:lang w:eastAsia="en-US"/>
        </w:rPr>
        <w:t>Estimated PBS usage &amp; financial implications</w:t>
      </w:r>
    </w:p>
    <w:p w:rsidR="009D7FC8" w:rsidRPr="000B7209" w:rsidRDefault="00D57E56" w:rsidP="00551BE1">
      <w:pPr>
        <w:pStyle w:val="3Bodytext"/>
        <w:rPr>
          <w:bCs/>
        </w:rPr>
      </w:pPr>
      <w:r w:rsidRPr="000B7209">
        <w:t xml:space="preserve">The minor submission proposed no change to the current approved ex-manufacturer price (AEMP) for this product. </w:t>
      </w:r>
    </w:p>
    <w:p w:rsidR="00E86364" w:rsidRPr="000B7209" w:rsidRDefault="009D7FC8" w:rsidP="00551BE1">
      <w:pPr>
        <w:pStyle w:val="3Bodytext"/>
      </w:pPr>
      <w:r w:rsidRPr="000B7209">
        <w:t xml:space="preserve">The PBAC </w:t>
      </w:r>
      <w:r w:rsidR="000D4AE4" w:rsidRPr="000B7209">
        <w:t>previously advised</w:t>
      </w:r>
      <w:r w:rsidRPr="000B7209">
        <w:t xml:space="preserve"> that, where a recommendation is made to move a drug from Section 100 to General Schedule, the cost of the increased pharmacy remuneration should be borne by the manufacturer. The PBAC also considered that the sponsor should reduce the ex-manufacturer price of the drug to ensure that the impact to government would remain cost neutral for a dual Section 100 and General Schedule listing of apomorphine (paragraph 5.6, Apomorphine PSD, March 2020 PBAC Meeting).</w:t>
      </w:r>
    </w:p>
    <w:p w:rsidR="00867652" w:rsidRPr="000B7209" w:rsidRDefault="00867652" w:rsidP="00551BE1">
      <w:pPr>
        <w:pStyle w:val="3Bodytext"/>
      </w:pPr>
      <w:r w:rsidRPr="00864FEE">
        <w:t>The minor submission used a market share approach to estimate the financial impact of the proposed General Schedule listing of Movapo PFS for maintenance therapy of PD.</w:t>
      </w:r>
      <w:r w:rsidR="006F6317" w:rsidRPr="000B7209">
        <w:t xml:space="preserve"> The PBAC considered this was appropriate.</w:t>
      </w:r>
    </w:p>
    <w:p w:rsidR="00867652" w:rsidRPr="000B7209" w:rsidRDefault="0061698C" w:rsidP="00551BE1">
      <w:pPr>
        <w:pStyle w:val="3Bodytext"/>
      </w:pPr>
      <w:r w:rsidRPr="000B7209">
        <w:t xml:space="preserve">The </w:t>
      </w:r>
      <w:r w:rsidR="00867652" w:rsidRPr="000B7209">
        <w:t xml:space="preserve">submission reported the additional listing of Movapo PFS on the General schedule is expected to </w:t>
      </w:r>
      <w:r w:rsidR="004212C0" w:rsidRPr="000B7209">
        <w:t>reduce</w:t>
      </w:r>
      <w:r w:rsidR="00867652" w:rsidRPr="000B7209">
        <w:t xml:space="preserve"> the units dispensed </w:t>
      </w:r>
      <w:r w:rsidR="00430DEA" w:rsidRPr="000B7209">
        <w:t>of</w:t>
      </w:r>
      <w:r w:rsidR="00867652" w:rsidRPr="000B7209">
        <w:t xml:space="preserve"> the S100 HSD drugs listings of Movapo® PFS (PBS item code 10950H and 10971K)</w:t>
      </w:r>
      <w:r w:rsidR="00430DEA" w:rsidRPr="000B7209">
        <w:t xml:space="preserve"> (see Table 3 and Table 4)</w:t>
      </w:r>
      <w:r w:rsidR="00867652" w:rsidRPr="000B7209">
        <w:t>.</w:t>
      </w:r>
    </w:p>
    <w:p w:rsidR="00867652" w:rsidRPr="000B7209" w:rsidRDefault="0061698C" w:rsidP="00551BE1">
      <w:pPr>
        <w:pStyle w:val="3Bodytext"/>
      </w:pPr>
      <w:r w:rsidRPr="000B7209">
        <w:t xml:space="preserve">The </w:t>
      </w:r>
      <w:r w:rsidR="00867652" w:rsidRPr="000B7209">
        <w:t xml:space="preserve">submission claimed that </w:t>
      </w:r>
      <w:r w:rsidR="00A105F6" w:rsidRPr="000B7209">
        <w:t xml:space="preserve">the </w:t>
      </w:r>
      <w:r w:rsidR="00867652" w:rsidRPr="000B7209">
        <w:t xml:space="preserve">additional listing for Movapo® PFS </w:t>
      </w:r>
      <w:r w:rsidR="00A105F6" w:rsidRPr="000B7209">
        <w:t>was</w:t>
      </w:r>
      <w:r w:rsidR="00867652" w:rsidRPr="000B7209">
        <w:t xml:space="preserve"> not expected to result in an increase in utilisation and the size of the</w:t>
      </w:r>
      <w:r w:rsidR="00430DEA" w:rsidRPr="000B7209">
        <w:t xml:space="preserve"> </w:t>
      </w:r>
      <w:r w:rsidR="00867652" w:rsidRPr="000B7209">
        <w:t xml:space="preserve">market will remain the same. </w:t>
      </w:r>
    </w:p>
    <w:p w:rsidR="000630FD" w:rsidRPr="000B7209" w:rsidRDefault="002E4FCF" w:rsidP="00551BE1">
      <w:pPr>
        <w:pStyle w:val="3Bodytext"/>
      </w:pPr>
      <w:r w:rsidRPr="000B7209">
        <w:t xml:space="preserve">The minor submission presented two estimates of the proportion of prescriptions that would transition from the existing S100 HSD listing to a new General Schedule listing. One estimate was based on the proportion of prescriptions for sirolimus that transitioned under the </w:t>
      </w:r>
      <w:r w:rsidR="00867652" w:rsidRPr="000B7209">
        <w:t>G</w:t>
      </w:r>
      <w:r w:rsidRPr="000B7209">
        <w:t xml:space="preserve">eneral </w:t>
      </w:r>
      <w:r w:rsidR="00867652" w:rsidRPr="000B7209">
        <w:t>S</w:t>
      </w:r>
      <w:r w:rsidRPr="000B7209">
        <w:t xml:space="preserve">chedule listing (75.53%) after originally being listed solely under S100 </w:t>
      </w:r>
      <w:r w:rsidR="00E10D68" w:rsidRPr="000B7209">
        <w:t xml:space="preserve">HSD. </w:t>
      </w:r>
      <w:r w:rsidRPr="000B7209">
        <w:t>The second estimate was based on the distribution of prescriptions of Duodopa® (</w:t>
      </w:r>
      <w:r w:rsidR="00867652" w:rsidRPr="000B7209">
        <w:t>l</w:t>
      </w:r>
      <w:r w:rsidRPr="000B7209">
        <w:t xml:space="preserve">evodopa + </w:t>
      </w:r>
      <w:r w:rsidR="00867652" w:rsidRPr="000B7209">
        <w:t>c</w:t>
      </w:r>
      <w:r w:rsidRPr="000B7209">
        <w:t xml:space="preserve">arbidopa) intestinal gel dispensed under the </w:t>
      </w:r>
      <w:r w:rsidR="00867652" w:rsidRPr="000B7209">
        <w:t>G</w:t>
      </w:r>
      <w:r w:rsidRPr="000B7209">
        <w:t xml:space="preserve">eneral </w:t>
      </w:r>
      <w:r w:rsidR="00867652" w:rsidRPr="000B7209">
        <w:t>S</w:t>
      </w:r>
      <w:r w:rsidRPr="000B7209">
        <w:t xml:space="preserve">chedule (95.79%), noting that this product has always had a dual listing </w:t>
      </w:r>
      <w:r w:rsidR="00A105F6" w:rsidRPr="000B7209">
        <w:t xml:space="preserve">in </w:t>
      </w:r>
      <w:r w:rsidRPr="000B7209">
        <w:t>both Section 100 and the General Schedule.</w:t>
      </w:r>
      <w:r w:rsidR="000630FD" w:rsidRPr="000B7209">
        <w:t xml:space="preserve"> </w:t>
      </w:r>
      <w:r w:rsidR="00B010B8" w:rsidRPr="000B7209">
        <w:t xml:space="preserve">The PBAC previously accepted these approaches </w:t>
      </w:r>
      <w:r w:rsidR="00BA14B7" w:rsidRPr="000B7209">
        <w:t xml:space="preserve">when it recommended </w:t>
      </w:r>
      <w:r w:rsidR="00B010B8" w:rsidRPr="000B7209">
        <w:t>General Schedule listing</w:t>
      </w:r>
      <w:r w:rsidR="00BA14B7" w:rsidRPr="000B7209">
        <w:t>s</w:t>
      </w:r>
      <w:r w:rsidR="00B010B8" w:rsidRPr="000B7209">
        <w:t xml:space="preserve"> of </w:t>
      </w:r>
      <w:r w:rsidR="00BA14B7" w:rsidRPr="000B7209">
        <w:t>Apomine Intermittent and Apomine Solution</w:t>
      </w:r>
      <w:r w:rsidR="00B010B8" w:rsidRPr="000B7209">
        <w:t xml:space="preserve"> for maintenance therapy of PD</w:t>
      </w:r>
      <w:r w:rsidR="00BA14B7" w:rsidRPr="000B7209">
        <w:t xml:space="preserve"> </w:t>
      </w:r>
      <w:r w:rsidR="000630FD" w:rsidRPr="000B7209">
        <w:t>(paragraph 4.3</w:t>
      </w:r>
      <w:r w:rsidR="00200DBE" w:rsidRPr="000B7209">
        <w:t>,</w:t>
      </w:r>
      <w:r w:rsidR="000630FD" w:rsidRPr="000B7209">
        <w:t xml:space="preserve"> Apomorphine P</w:t>
      </w:r>
      <w:r w:rsidR="008B132C" w:rsidRPr="000B7209">
        <w:t>SD</w:t>
      </w:r>
      <w:r w:rsidR="00200DBE" w:rsidRPr="000B7209">
        <w:t>,</w:t>
      </w:r>
      <w:r w:rsidR="000630FD" w:rsidRPr="000B7209">
        <w:t xml:space="preserve"> March 2020 PBAC Meeting).</w:t>
      </w:r>
    </w:p>
    <w:p w:rsidR="000A6AD6" w:rsidRPr="00551BE1" w:rsidRDefault="000A6AD6" w:rsidP="000A6AD6">
      <w:pPr>
        <w:pStyle w:val="3Bodytext"/>
        <w:numPr>
          <w:ilvl w:val="0"/>
          <w:numId w:val="0"/>
        </w:numPr>
        <w:rPr>
          <w:u w:val="single"/>
        </w:rPr>
      </w:pPr>
      <w:r w:rsidRPr="00551BE1">
        <w:rPr>
          <w:u w:val="single"/>
        </w:rPr>
        <w:t>Estimates based 75.53% uptake</w:t>
      </w:r>
    </w:p>
    <w:p w:rsidR="000A6AD6" w:rsidRPr="000B7209" w:rsidRDefault="000A6AD6" w:rsidP="000A6AD6">
      <w:pPr>
        <w:pStyle w:val="3Bodytext"/>
      </w:pPr>
      <w:r w:rsidRPr="000B7209">
        <w:t xml:space="preserve">The minor submission estimated a net cost to the PBS of $124,967 in Year 6 of listing, and $660,253 over the first six years of listing. This is summarised in Table 3. </w:t>
      </w:r>
    </w:p>
    <w:p w:rsidR="00442505" w:rsidRDefault="00442505">
      <w:pPr>
        <w:jc w:val="left"/>
        <w:rPr>
          <w:rFonts w:ascii="Arial Narrow" w:hAnsi="Arial Narrow"/>
          <w:b/>
          <w:sz w:val="20"/>
          <w:szCs w:val="22"/>
        </w:rPr>
      </w:pPr>
      <w:r>
        <w:br w:type="page"/>
      </w:r>
    </w:p>
    <w:p w:rsidR="000A6AD6" w:rsidRPr="000B7209" w:rsidRDefault="000A6AD6" w:rsidP="000A6AD6">
      <w:pPr>
        <w:pStyle w:val="Tabletitles"/>
      </w:pPr>
      <w:r w:rsidRPr="000B7209">
        <w:lastRenderedPageBreak/>
        <w:t>Table 3: Estimated financial implications based on a 75.53% uptake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0A6AD6" w:rsidRPr="00551BE1" w:rsidTr="00C55EAE">
        <w:trPr>
          <w:tblHeader/>
        </w:trPr>
        <w:tc>
          <w:tcPr>
            <w:tcW w:w="1115" w:type="pct"/>
            <w:shd w:val="clear" w:color="auto" w:fill="auto"/>
            <w:vAlign w:val="center"/>
          </w:tcPr>
          <w:p w:rsidR="000A6AD6" w:rsidRPr="00551BE1" w:rsidRDefault="000A6AD6" w:rsidP="00C55EAE">
            <w:pPr>
              <w:pStyle w:val="TableFigureFooter"/>
              <w:rPr>
                <w:b/>
                <w:sz w:val="20"/>
                <w:szCs w:val="20"/>
              </w:rPr>
            </w:pPr>
          </w:p>
        </w:tc>
        <w:tc>
          <w:tcPr>
            <w:tcW w:w="647" w:type="pct"/>
            <w:shd w:val="clear" w:color="auto" w:fill="auto"/>
            <w:vAlign w:val="center"/>
          </w:tcPr>
          <w:p w:rsidR="000A6AD6" w:rsidRPr="00551BE1" w:rsidRDefault="000A6AD6" w:rsidP="00C55EAE">
            <w:pPr>
              <w:pStyle w:val="TableFigureFooter"/>
              <w:rPr>
                <w:b/>
                <w:sz w:val="20"/>
                <w:szCs w:val="20"/>
              </w:rPr>
            </w:pPr>
            <w:r w:rsidRPr="00551BE1">
              <w:rPr>
                <w:b/>
                <w:sz w:val="20"/>
                <w:szCs w:val="20"/>
              </w:rPr>
              <w:t>Year 1</w:t>
            </w:r>
          </w:p>
        </w:tc>
        <w:tc>
          <w:tcPr>
            <w:tcW w:w="647" w:type="pct"/>
            <w:shd w:val="clear" w:color="auto" w:fill="auto"/>
            <w:vAlign w:val="center"/>
          </w:tcPr>
          <w:p w:rsidR="000A6AD6" w:rsidRPr="00551BE1" w:rsidRDefault="000A6AD6" w:rsidP="00C55EAE">
            <w:pPr>
              <w:pStyle w:val="TableFigureFooter"/>
              <w:rPr>
                <w:b/>
                <w:sz w:val="20"/>
                <w:szCs w:val="20"/>
              </w:rPr>
            </w:pPr>
            <w:r w:rsidRPr="00551BE1">
              <w:rPr>
                <w:b/>
                <w:sz w:val="20"/>
                <w:szCs w:val="20"/>
              </w:rPr>
              <w:t>Year 2</w:t>
            </w:r>
          </w:p>
        </w:tc>
        <w:tc>
          <w:tcPr>
            <w:tcW w:w="647" w:type="pct"/>
            <w:shd w:val="clear" w:color="auto" w:fill="auto"/>
            <w:vAlign w:val="center"/>
          </w:tcPr>
          <w:p w:rsidR="000A6AD6" w:rsidRPr="00551BE1" w:rsidRDefault="000A6AD6" w:rsidP="00C55EAE">
            <w:pPr>
              <w:pStyle w:val="TableFigureFooter"/>
              <w:rPr>
                <w:b/>
                <w:sz w:val="20"/>
                <w:szCs w:val="20"/>
              </w:rPr>
            </w:pPr>
            <w:r w:rsidRPr="00551BE1">
              <w:rPr>
                <w:b/>
                <w:sz w:val="20"/>
                <w:szCs w:val="20"/>
              </w:rPr>
              <w:t>Year 3</w:t>
            </w:r>
          </w:p>
        </w:tc>
        <w:tc>
          <w:tcPr>
            <w:tcW w:w="647" w:type="pct"/>
            <w:shd w:val="clear" w:color="auto" w:fill="auto"/>
            <w:vAlign w:val="center"/>
          </w:tcPr>
          <w:p w:rsidR="000A6AD6" w:rsidRPr="00551BE1" w:rsidRDefault="000A6AD6" w:rsidP="00C55EAE">
            <w:pPr>
              <w:pStyle w:val="TableFigureFooter"/>
              <w:rPr>
                <w:b/>
                <w:sz w:val="20"/>
                <w:szCs w:val="20"/>
              </w:rPr>
            </w:pPr>
            <w:r w:rsidRPr="00551BE1">
              <w:rPr>
                <w:b/>
                <w:sz w:val="20"/>
                <w:szCs w:val="20"/>
              </w:rPr>
              <w:t>Year 4</w:t>
            </w:r>
          </w:p>
        </w:tc>
        <w:tc>
          <w:tcPr>
            <w:tcW w:w="647" w:type="pct"/>
            <w:shd w:val="clear" w:color="auto" w:fill="auto"/>
            <w:vAlign w:val="center"/>
          </w:tcPr>
          <w:p w:rsidR="000A6AD6" w:rsidRPr="00551BE1" w:rsidRDefault="000A6AD6" w:rsidP="00C55EAE">
            <w:pPr>
              <w:pStyle w:val="TableFigureFooter"/>
              <w:rPr>
                <w:b/>
                <w:sz w:val="20"/>
                <w:szCs w:val="20"/>
              </w:rPr>
            </w:pPr>
            <w:r w:rsidRPr="00551BE1">
              <w:rPr>
                <w:b/>
                <w:sz w:val="20"/>
                <w:szCs w:val="20"/>
              </w:rPr>
              <w:t>Year 5</w:t>
            </w:r>
          </w:p>
        </w:tc>
        <w:tc>
          <w:tcPr>
            <w:tcW w:w="649" w:type="pct"/>
          </w:tcPr>
          <w:p w:rsidR="000A6AD6" w:rsidRPr="00551BE1" w:rsidRDefault="000A6AD6" w:rsidP="00C55EAE">
            <w:pPr>
              <w:pStyle w:val="TableFigureFooter"/>
              <w:rPr>
                <w:b/>
                <w:sz w:val="20"/>
                <w:szCs w:val="20"/>
              </w:rPr>
            </w:pPr>
            <w:r w:rsidRPr="00551BE1">
              <w:rPr>
                <w:b/>
                <w:sz w:val="20"/>
                <w:szCs w:val="20"/>
              </w:rPr>
              <w:t>Year 6</w:t>
            </w:r>
          </w:p>
        </w:tc>
      </w:tr>
      <w:tr w:rsidR="000A6AD6" w:rsidRPr="00551BE1" w:rsidTr="00C55EAE">
        <w:tc>
          <w:tcPr>
            <w:tcW w:w="5000" w:type="pct"/>
            <w:gridSpan w:val="7"/>
            <w:shd w:val="clear" w:color="auto" w:fill="auto"/>
            <w:vAlign w:val="center"/>
          </w:tcPr>
          <w:p w:rsidR="000A6AD6" w:rsidRPr="00551BE1" w:rsidRDefault="000A6AD6" w:rsidP="00C55EAE">
            <w:pPr>
              <w:pStyle w:val="TableFigureFooter"/>
              <w:rPr>
                <w:b/>
                <w:sz w:val="20"/>
                <w:szCs w:val="20"/>
              </w:rPr>
            </w:pPr>
            <w:r w:rsidRPr="00551BE1">
              <w:rPr>
                <w:b/>
                <w:sz w:val="20"/>
                <w:szCs w:val="20"/>
              </w:rPr>
              <w:t>Estimated financial implications of MOVAPO PFS</w:t>
            </w:r>
          </w:p>
        </w:tc>
      </w:tr>
      <w:tr w:rsidR="000A6AD6" w:rsidRPr="00551BE1" w:rsidTr="00C55EAE">
        <w:tc>
          <w:tcPr>
            <w:tcW w:w="1115" w:type="pct"/>
            <w:shd w:val="clear" w:color="auto" w:fill="auto"/>
            <w:vAlign w:val="center"/>
          </w:tcPr>
          <w:p w:rsidR="000A6AD6" w:rsidRPr="00551BE1" w:rsidRDefault="000A6AD6" w:rsidP="00C55EAE">
            <w:pPr>
              <w:pStyle w:val="TableFigureFooter"/>
              <w:rPr>
                <w:sz w:val="20"/>
                <w:szCs w:val="20"/>
              </w:rPr>
            </w:pPr>
            <w:r w:rsidRPr="00551BE1">
              <w:rPr>
                <w:sz w:val="20"/>
                <w:szCs w:val="20"/>
              </w:rPr>
              <w:t>Estimated number of scripts</w:t>
            </w:r>
          </w:p>
        </w:tc>
        <w:tc>
          <w:tcPr>
            <w:tcW w:w="647" w:type="pct"/>
          </w:tcPr>
          <w:p w:rsidR="000A6AD6" w:rsidRPr="00551BE1" w:rsidRDefault="000A6AD6" w:rsidP="00C55EAE">
            <w:pPr>
              <w:pStyle w:val="TableFigureFooter"/>
              <w:rPr>
                <w:sz w:val="20"/>
                <w:szCs w:val="20"/>
              </w:rPr>
            </w:pPr>
            <w:r w:rsidRPr="00551BE1">
              <w:rPr>
                <w:sz w:val="20"/>
                <w:szCs w:val="20"/>
              </w:rPr>
              <w:t xml:space="preserve">638 </w:t>
            </w:r>
          </w:p>
        </w:tc>
        <w:tc>
          <w:tcPr>
            <w:tcW w:w="647" w:type="pct"/>
          </w:tcPr>
          <w:p w:rsidR="000A6AD6" w:rsidRPr="00551BE1" w:rsidRDefault="000A6AD6" w:rsidP="00C55EAE">
            <w:pPr>
              <w:pStyle w:val="TableFigureFooter"/>
              <w:rPr>
                <w:sz w:val="20"/>
                <w:szCs w:val="20"/>
              </w:rPr>
            </w:pPr>
            <w:r w:rsidRPr="00551BE1">
              <w:rPr>
                <w:sz w:val="20"/>
                <w:szCs w:val="20"/>
              </w:rPr>
              <w:t xml:space="preserve">678 </w:t>
            </w:r>
          </w:p>
        </w:tc>
        <w:tc>
          <w:tcPr>
            <w:tcW w:w="647" w:type="pct"/>
          </w:tcPr>
          <w:p w:rsidR="000A6AD6" w:rsidRPr="00551BE1" w:rsidRDefault="000A6AD6" w:rsidP="00C55EAE">
            <w:pPr>
              <w:pStyle w:val="TableFigureFooter"/>
              <w:rPr>
                <w:sz w:val="20"/>
                <w:szCs w:val="20"/>
              </w:rPr>
            </w:pPr>
            <w:r w:rsidRPr="00551BE1">
              <w:rPr>
                <w:sz w:val="20"/>
                <w:szCs w:val="20"/>
              </w:rPr>
              <w:t xml:space="preserve">718 </w:t>
            </w:r>
          </w:p>
        </w:tc>
        <w:tc>
          <w:tcPr>
            <w:tcW w:w="647" w:type="pct"/>
          </w:tcPr>
          <w:p w:rsidR="000A6AD6" w:rsidRPr="00551BE1" w:rsidRDefault="000A6AD6" w:rsidP="00C55EAE">
            <w:pPr>
              <w:pStyle w:val="TableFigureFooter"/>
              <w:rPr>
                <w:sz w:val="20"/>
                <w:szCs w:val="20"/>
              </w:rPr>
            </w:pPr>
            <w:r w:rsidRPr="00551BE1">
              <w:rPr>
                <w:sz w:val="20"/>
                <w:szCs w:val="20"/>
              </w:rPr>
              <w:t xml:space="preserve">758 </w:t>
            </w:r>
          </w:p>
        </w:tc>
        <w:tc>
          <w:tcPr>
            <w:tcW w:w="647" w:type="pct"/>
          </w:tcPr>
          <w:p w:rsidR="000A6AD6" w:rsidRPr="00551BE1" w:rsidRDefault="000A6AD6" w:rsidP="00C55EAE">
            <w:pPr>
              <w:pStyle w:val="TableFigureFooter"/>
              <w:rPr>
                <w:sz w:val="20"/>
                <w:szCs w:val="20"/>
              </w:rPr>
            </w:pPr>
            <w:r w:rsidRPr="00551BE1">
              <w:rPr>
                <w:sz w:val="20"/>
                <w:szCs w:val="20"/>
              </w:rPr>
              <w:t xml:space="preserve">798 </w:t>
            </w:r>
          </w:p>
        </w:tc>
        <w:tc>
          <w:tcPr>
            <w:tcW w:w="649" w:type="pct"/>
          </w:tcPr>
          <w:p w:rsidR="000A6AD6" w:rsidRPr="00551BE1" w:rsidRDefault="000A6AD6" w:rsidP="00C55EAE">
            <w:pPr>
              <w:pStyle w:val="TableFigureFooter"/>
              <w:rPr>
                <w:sz w:val="20"/>
                <w:szCs w:val="20"/>
              </w:rPr>
            </w:pPr>
            <w:r w:rsidRPr="00551BE1">
              <w:rPr>
                <w:sz w:val="20"/>
                <w:szCs w:val="20"/>
              </w:rPr>
              <w:t xml:space="preserve">838 </w:t>
            </w:r>
          </w:p>
        </w:tc>
      </w:tr>
      <w:tr w:rsidR="000A6AD6" w:rsidRPr="00551BE1" w:rsidTr="00C55EAE">
        <w:tc>
          <w:tcPr>
            <w:tcW w:w="1115" w:type="pct"/>
            <w:tcBorders>
              <w:top w:val="single" w:sz="4" w:space="0" w:color="auto"/>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Cost to 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$5,262,665</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$5,588,285</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$5,922,249</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$6,247,869</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$6,581,833</w:t>
            </w:r>
          </w:p>
        </w:tc>
        <w:tc>
          <w:tcPr>
            <w:tcW w:w="649"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$6,907,452</w:t>
            </w:r>
          </w:p>
        </w:tc>
      </w:tr>
      <w:tr w:rsidR="000A6AD6" w:rsidRPr="00551BE1" w:rsidTr="00C55EAE">
        <w:tc>
          <w:tcPr>
            <w:tcW w:w="1115" w:type="pct"/>
            <w:tcBorders>
              <w:top w:val="nil"/>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-$8,099</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-$8,600</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-$9,114</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-$9,615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-$10,129</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-$10,630</w:t>
            </w:r>
          </w:p>
        </w:tc>
      </w:tr>
      <w:tr w:rsidR="000A6AD6" w:rsidRPr="00551BE1" w:rsidTr="00C55EAE">
        <w:tc>
          <w:tcPr>
            <w:tcW w:w="1115" w:type="pct"/>
            <w:tcBorders>
              <w:top w:val="nil"/>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Net cost to 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$5,254,567</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$5,579,685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$5,913,135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$6,238,254</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$6,571,704</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$6,896,822</w:t>
            </w:r>
          </w:p>
        </w:tc>
      </w:tr>
      <w:tr w:rsidR="000A6AD6" w:rsidRPr="00551BE1" w:rsidTr="00C55EAE">
        <w:tc>
          <w:tcPr>
            <w:tcW w:w="1115" w:type="pct"/>
            <w:tcBorders>
              <w:top w:val="single" w:sz="4" w:space="0" w:color="auto"/>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Cost to RPBS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$58,415</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$66,760</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$66,760</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$75,105</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$75,105</w:t>
            </w:r>
          </w:p>
        </w:tc>
        <w:tc>
          <w:tcPr>
            <w:tcW w:w="649"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$83,450</w:t>
            </w:r>
          </w:p>
        </w:tc>
      </w:tr>
      <w:tr w:rsidR="000A6AD6" w:rsidRPr="00551BE1" w:rsidTr="00C55EAE">
        <w:tc>
          <w:tcPr>
            <w:tcW w:w="1115" w:type="pct"/>
            <w:tcBorders>
              <w:top w:val="nil"/>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-$46</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-$53</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-$53</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w:t>
            </w:r>
          </w:p>
        </w:tc>
      </w:tr>
      <w:tr w:rsidR="000A6AD6" w:rsidRPr="00551BE1" w:rsidTr="00C55EAE">
        <w:tc>
          <w:tcPr>
            <w:tcW w:w="1115" w:type="pct"/>
            <w:tcBorders>
              <w:top w:val="nil"/>
              <w:left w:val="single" w:sz="4" w:space="0" w:color="auto"/>
              <w:bottom w:val="single" w:sz="4" w:space="0" w:color="auto"/>
              <w:right w:val="nil"/>
            </w:tcBorders>
            <w:shd w:val="clear" w:color="000000" w:fill="FFFFFF"/>
            <w:vAlign w:val="center"/>
          </w:tcPr>
          <w:p w:rsidR="000A6AD6" w:rsidRPr="00551BE1" w:rsidRDefault="000A6AD6" w:rsidP="00C55EAE">
            <w:pPr>
              <w:pStyle w:val="TableFigureFooter"/>
              <w:rPr>
                <w:sz w:val="20"/>
                <w:szCs w:val="20"/>
              </w:rPr>
            </w:pPr>
            <w:r w:rsidRPr="00551BE1">
              <w:rPr>
                <w:sz w:val="20"/>
                <w:szCs w:val="20"/>
              </w:rPr>
              <w:t>Net cost to RPBS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$58,369</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$66,707</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$66,707</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$75,046</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$75,046</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$83,384</w:t>
            </w:r>
          </w:p>
        </w:tc>
      </w:tr>
      <w:tr w:rsidR="000A6AD6" w:rsidRPr="00551BE1" w:rsidTr="00C55EAE">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Net cost PBS / RPBS</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$5,312,936</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$5,646,392</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$5,979,843</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$6,313,299</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$6,646,750</w:t>
            </w:r>
          </w:p>
        </w:tc>
        <w:tc>
          <w:tcPr>
            <w:tcW w:w="649"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$6,980,206</w:t>
            </w:r>
          </w:p>
        </w:tc>
      </w:tr>
      <w:tr w:rsidR="000A6AD6" w:rsidRPr="00551BE1" w:rsidTr="00C55EAE">
        <w:tc>
          <w:tcPr>
            <w:tcW w:w="5000" w:type="pct"/>
            <w:gridSpan w:val="7"/>
            <w:tcBorders>
              <w:right w:val="single" w:sz="4" w:space="0" w:color="auto"/>
            </w:tcBorders>
            <w:shd w:val="clear" w:color="auto" w:fill="auto"/>
            <w:vAlign w:val="center"/>
          </w:tcPr>
          <w:p w:rsidR="000A6AD6" w:rsidRPr="00551BE1" w:rsidRDefault="000A6AD6" w:rsidP="00C55EAE">
            <w:pPr>
              <w:pStyle w:val="TableFigureFooter"/>
              <w:rPr>
                <w:b/>
                <w:sz w:val="20"/>
                <w:szCs w:val="20"/>
              </w:rPr>
            </w:pPr>
            <w:r w:rsidRPr="00551BE1">
              <w:rPr>
                <w:b/>
                <w:sz w:val="20"/>
                <w:szCs w:val="20"/>
              </w:rPr>
              <w:t>Estimated financial implications of financial impact from any affected medicine (at the published price) – Combined impact of apomorphine solution PBS items 10950H and 10971K</w:t>
            </w:r>
          </w:p>
        </w:tc>
      </w:tr>
      <w:tr w:rsidR="000A6AD6" w:rsidRPr="00551BE1" w:rsidTr="00C55EAE">
        <w:tc>
          <w:tcPr>
            <w:tcW w:w="1115" w:type="pct"/>
            <w:tcBorders>
              <w:top w:val="single" w:sz="4" w:space="0" w:color="auto"/>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Cost to 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-$5,168,596</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-$5,488,375</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-$5,816,369</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-$6,136,196</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-$6,464,190</w:t>
            </w:r>
          </w:p>
        </w:tc>
        <w:tc>
          <w:tcPr>
            <w:tcW w:w="649"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-$6,783,969</w:t>
            </w:r>
          </w:p>
        </w:tc>
      </w:tr>
      <w:tr w:rsidR="000A6AD6" w:rsidRPr="00551BE1" w:rsidTr="00C55EAE">
        <w:tc>
          <w:tcPr>
            <w:tcW w:w="1115" w:type="pct"/>
            <w:tcBorders>
              <w:top w:val="nil"/>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$8,099</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$8,600</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$9,114</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$9,615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$10,129</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$10,630</w:t>
            </w:r>
          </w:p>
        </w:tc>
      </w:tr>
      <w:tr w:rsidR="000A6AD6" w:rsidRPr="00551BE1" w:rsidTr="00C55EAE">
        <w:tc>
          <w:tcPr>
            <w:tcW w:w="1115" w:type="pct"/>
            <w:tcBorders>
              <w:top w:val="nil"/>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Net cost to 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-$5,160,497</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-$5,479,775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-$5,807,255</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-$6,126,581</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-$6,454,061</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-$6,773,339</w:t>
            </w:r>
          </w:p>
        </w:tc>
      </w:tr>
      <w:tr w:rsidR="000A6AD6" w:rsidRPr="00551BE1" w:rsidTr="00C55EAE">
        <w:tc>
          <w:tcPr>
            <w:tcW w:w="1115" w:type="pct"/>
            <w:tcBorders>
              <w:top w:val="single" w:sz="4" w:space="0" w:color="auto"/>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Cost to RPBS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-$57,367</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-$65,583</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-$65,583</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-$73,751</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-$73,751</w:t>
            </w:r>
          </w:p>
        </w:tc>
        <w:tc>
          <w:tcPr>
            <w:tcW w:w="649" w:type="pct"/>
            <w:tcBorders>
              <w:top w:val="single" w:sz="4" w:space="0" w:color="auto"/>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-$81,967</w:t>
            </w:r>
          </w:p>
        </w:tc>
      </w:tr>
      <w:tr w:rsidR="000A6AD6" w:rsidRPr="00551BE1" w:rsidTr="00C55EAE">
        <w:tc>
          <w:tcPr>
            <w:tcW w:w="1115" w:type="pct"/>
            <w:tcBorders>
              <w:top w:val="nil"/>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$46</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$53</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$53</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$59</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$66</w:t>
            </w:r>
          </w:p>
        </w:tc>
      </w:tr>
      <w:tr w:rsidR="000A6AD6" w:rsidRPr="00551BE1" w:rsidTr="00C55EAE">
        <w:tc>
          <w:tcPr>
            <w:tcW w:w="1115" w:type="pct"/>
            <w:tcBorders>
              <w:top w:val="nil"/>
              <w:left w:val="single" w:sz="4" w:space="0" w:color="auto"/>
              <w:bottom w:val="single" w:sz="4" w:space="0" w:color="auto"/>
              <w:right w:val="nil"/>
            </w:tcBorders>
            <w:shd w:val="clear" w:color="auto" w:fill="auto"/>
            <w:vAlign w:val="center"/>
          </w:tcPr>
          <w:p w:rsidR="000A6AD6" w:rsidRPr="00551BE1" w:rsidRDefault="000A6AD6" w:rsidP="00C55EAE">
            <w:pPr>
              <w:pStyle w:val="TableFigureFooter"/>
              <w:rPr>
                <w:sz w:val="20"/>
                <w:szCs w:val="20"/>
              </w:rPr>
            </w:pPr>
            <w:r w:rsidRPr="00551BE1">
              <w:rPr>
                <w:sz w:val="20"/>
                <w:szCs w:val="20"/>
              </w:rPr>
              <w:t>Net cost to RPBS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-$57,321</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-$65,530</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-$65,530</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-$73,691</w:t>
            </w:r>
          </w:p>
        </w:tc>
        <w:tc>
          <w:tcPr>
            <w:tcW w:w="647"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-$73,691</w:t>
            </w:r>
          </w:p>
        </w:tc>
        <w:tc>
          <w:tcPr>
            <w:tcW w:w="649" w:type="pct"/>
            <w:tcBorders>
              <w:top w:val="nil"/>
              <w:left w:val="nil"/>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-$81,901</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Total cost to PBS/RPBS </w:t>
            </w:r>
          </w:p>
        </w:tc>
        <w:tc>
          <w:tcPr>
            <w:tcW w:w="647" w:type="pct"/>
          </w:tcPr>
          <w:p w:rsidR="000A6AD6" w:rsidRPr="00551BE1" w:rsidRDefault="000A6AD6" w:rsidP="00C55EAE">
            <w:pPr>
              <w:pStyle w:val="TableFigureFooter"/>
              <w:rPr>
                <w:sz w:val="20"/>
                <w:szCs w:val="20"/>
              </w:rPr>
            </w:pPr>
            <w:r w:rsidRPr="00551BE1">
              <w:rPr>
                <w:sz w:val="20"/>
                <w:szCs w:val="20"/>
              </w:rPr>
              <w:t xml:space="preserve">-$5,217,818 </w:t>
            </w:r>
          </w:p>
        </w:tc>
        <w:tc>
          <w:tcPr>
            <w:tcW w:w="647" w:type="pct"/>
          </w:tcPr>
          <w:p w:rsidR="000A6AD6" w:rsidRPr="00551BE1" w:rsidRDefault="000A6AD6" w:rsidP="00C55EAE">
            <w:pPr>
              <w:pStyle w:val="TableFigureFooter"/>
              <w:rPr>
                <w:sz w:val="20"/>
                <w:szCs w:val="20"/>
              </w:rPr>
            </w:pPr>
            <w:r w:rsidRPr="00551BE1">
              <w:rPr>
                <w:sz w:val="20"/>
                <w:szCs w:val="20"/>
              </w:rPr>
              <w:t xml:space="preserve">-$5,545,305 </w:t>
            </w:r>
          </w:p>
        </w:tc>
        <w:tc>
          <w:tcPr>
            <w:tcW w:w="647" w:type="pct"/>
          </w:tcPr>
          <w:p w:rsidR="000A6AD6" w:rsidRPr="00551BE1" w:rsidRDefault="000A6AD6" w:rsidP="00C55EAE">
            <w:pPr>
              <w:pStyle w:val="TableFigureFooter"/>
              <w:rPr>
                <w:sz w:val="20"/>
                <w:szCs w:val="20"/>
              </w:rPr>
            </w:pPr>
            <w:r w:rsidRPr="00551BE1">
              <w:rPr>
                <w:sz w:val="20"/>
                <w:szCs w:val="20"/>
              </w:rPr>
              <w:t xml:space="preserve">-$5,872,785 </w:t>
            </w:r>
          </w:p>
        </w:tc>
        <w:tc>
          <w:tcPr>
            <w:tcW w:w="647" w:type="pct"/>
          </w:tcPr>
          <w:p w:rsidR="000A6AD6" w:rsidRPr="00551BE1" w:rsidRDefault="000A6AD6" w:rsidP="00C55EAE">
            <w:pPr>
              <w:pStyle w:val="TableFigureFooter"/>
              <w:rPr>
                <w:sz w:val="20"/>
                <w:szCs w:val="20"/>
              </w:rPr>
            </w:pPr>
            <w:r w:rsidRPr="00551BE1">
              <w:rPr>
                <w:sz w:val="20"/>
                <w:szCs w:val="20"/>
              </w:rPr>
              <w:t xml:space="preserve">-$6,200,272 </w:t>
            </w:r>
          </w:p>
        </w:tc>
        <w:tc>
          <w:tcPr>
            <w:tcW w:w="647" w:type="pct"/>
          </w:tcPr>
          <w:p w:rsidR="000A6AD6" w:rsidRPr="00551BE1" w:rsidRDefault="000A6AD6" w:rsidP="00C55EAE">
            <w:pPr>
              <w:pStyle w:val="TableFigureFooter"/>
              <w:rPr>
                <w:sz w:val="20"/>
                <w:szCs w:val="20"/>
              </w:rPr>
            </w:pPr>
            <w:r w:rsidRPr="00551BE1">
              <w:rPr>
                <w:sz w:val="20"/>
                <w:szCs w:val="20"/>
              </w:rPr>
              <w:t xml:space="preserve">-$6,527,753 </w:t>
            </w:r>
          </w:p>
        </w:tc>
        <w:tc>
          <w:tcPr>
            <w:tcW w:w="649" w:type="pct"/>
          </w:tcPr>
          <w:p w:rsidR="000A6AD6" w:rsidRPr="00551BE1" w:rsidRDefault="000A6AD6" w:rsidP="00C55EAE">
            <w:pPr>
              <w:pStyle w:val="TableFigureFooter"/>
              <w:rPr>
                <w:sz w:val="20"/>
                <w:szCs w:val="20"/>
              </w:rPr>
            </w:pPr>
            <w:r w:rsidRPr="00551BE1">
              <w:rPr>
                <w:sz w:val="20"/>
                <w:szCs w:val="20"/>
              </w:rPr>
              <w:t xml:space="preserve">-$6,855,240 </w:t>
            </w:r>
          </w:p>
        </w:tc>
      </w:tr>
      <w:tr w:rsidR="000A6AD6" w:rsidRPr="00551BE1"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b/>
                <w:sz w:val="20"/>
                <w:szCs w:val="20"/>
              </w:rPr>
            </w:pPr>
            <w:r w:rsidRPr="00551BE1">
              <w:rPr>
                <w:b/>
                <w:sz w:val="20"/>
                <w:szCs w:val="20"/>
              </w:rPr>
              <w:t>Net total PBS impact of the listing of MOVAPO PFS</w:t>
            </w:r>
          </w:p>
        </w:tc>
      </w:tr>
      <w:tr w:rsidR="000A6AD6" w:rsidRPr="00551BE1" w:rsidTr="00C55EAE">
        <w:tc>
          <w:tcPr>
            <w:tcW w:w="5000" w:type="pct"/>
            <w:gridSpan w:val="7"/>
          </w:tcPr>
          <w:p w:rsidR="000A6AD6" w:rsidRPr="00551BE1" w:rsidRDefault="000A6AD6" w:rsidP="00C55EAE">
            <w:pPr>
              <w:pStyle w:val="TableFigureFooter"/>
              <w:rPr>
                <w:b/>
                <w:sz w:val="20"/>
                <w:szCs w:val="20"/>
              </w:rPr>
            </w:pPr>
            <w:r w:rsidRPr="00551BE1">
              <w:rPr>
                <w:b/>
                <w:sz w:val="20"/>
                <w:szCs w:val="20"/>
              </w:rPr>
              <w:t>PBS</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New listing </w:t>
            </w:r>
          </w:p>
        </w:tc>
        <w:tc>
          <w:tcPr>
            <w:tcW w:w="647" w:type="pct"/>
          </w:tcPr>
          <w:p w:rsidR="000A6AD6" w:rsidRPr="00551BE1" w:rsidRDefault="000A6AD6" w:rsidP="00C55EAE">
            <w:pPr>
              <w:pStyle w:val="TableFigureFooter"/>
              <w:rPr>
                <w:sz w:val="20"/>
                <w:szCs w:val="20"/>
              </w:rPr>
            </w:pPr>
            <w:r w:rsidRPr="00551BE1">
              <w:rPr>
                <w:sz w:val="20"/>
                <w:szCs w:val="20"/>
              </w:rPr>
              <w:t xml:space="preserve">$5,254,567 </w:t>
            </w:r>
          </w:p>
        </w:tc>
        <w:tc>
          <w:tcPr>
            <w:tcW w:w="647" w:type="pct"/>
          </w:tcPr>
          <w:p w:rsidR="000A6AD6" w:rsidRPr="00551BE1" w:rsidRDefault="000A6AD6" w:rsidP="00C55EAE">
            <w:pPr>
              <w:pStyle w:val="TableFigureFooter"/>
              <w:rPr>
                <w:sz w:val="20"/>
                <w:szCs w:val="20"/>
              </w:rPr>
            </w:pPr>
            <w:r w:rsidRPr="00551BE1">
              <w:rPr>
                <w:sz w:val="20"/>
                <w:szCs w:val="20"/>
              </w:rPr>
              <w:t xml:space="preserve">$5,579,685 </w:t>
            </w:r>
          </w:p>
        </w:tc>
        <w:tc>
          <w:tcPr>
            <w:tcW w:w="647" w:type="pct"/>
          </w:tcPr>
          <w:p w:rsidR="000A6AD6" w:rsidRPr="00551BE1" w:rsidRDefault="000A6AD6" w:rsidP="00C55EAE">
            <w:pPr>
              <w:pStyle w:val="TableFigureFooter"/>
              <w:rPr>
                <w:sz w:val="20"/>
                <w:szCs w:val="20"/>
              </w:rPr>
            </w:pPr>
            <w:r w:rsidRPr="00551BE1">
              <w:rPr>
                <w:sz w:val="20"/>
                <w:szCs w:val="20"/>
              </w:rPr>
              <w:t xml:space="preserve">$5,913,135 </w:t>
            </w:r>
          </w:p>
        </w:tc>
        <w:tc>
          <w:tcPr>
            <w:tcW w:w="647" w:type="pct"/>
          </w:tcPr>
          <w:p w:rsidR="000A6AD6" w:rsidRPr="00551BE1" w:rsidRDefault="000A6AD6" w:rsidP="00C55EAE">
            <w:pPr>
              <w:pStyle w:val="TableFigureFooter"/>
              <w:rPr>
                <w:sz w:val="20"/>
                <w:szCs w:val="20"/>
              </w:rPr>
            </w:pPr>
            <w:r w:rsidRPr="00551BE1">
              <w:rPr>
                <w:sz w:val="20"/>
                <w:szCs w:val="20"/>
              </w:rPr>
              <w:t xml:space="preserve">$6,238,254 </w:t>
            </w:r>
          </w:p>
        </w:tc>
        <w:tc>
          <w:tcPr>
            <w:tcW w:w="647" w:type="pct"/>
          </w:tcPr>
          <w:p w:rsidR="000A6AD6" w:rsidRPr="00551BE1" w:rsidRDefault="000A6AD6" w:rsidP="00C55EAE">
            <w:pPr>
              <w:pStyle w:val="TableFigureFooter"/>
              <w:rPr>
                <w:sz w:val="20"/>
                <w:szCs w:val="20"/>
              </w:rPr>
            </w:pPr>
            <w:r w:rsidRPr="00551BE1">
              <w:rPr>
                <w:sz w:val="20"/>
                <w:szCs w:val="20"/>
              </w:rPr>
              <w:t xml:space="preserve">$6,571,704 </w:t>
            </w:r>
          </w:p>
        </w:tc>
        <w:tc>
          <w:tcPr>
            <w:tcW w:w="649" w:type="pct"/>
          </w:tcPr>
          <w:p w:rsidR="000A6AD6" w:rsidRPr="00551BE1" w:rsidRDefault="000A6AD6" w:rsidP="00C55EAE">
            <w:pPr>
              <w:pStyle w:val="TableFigureFooter"/>
              <w:rPr>
                <w:sz w:val="20"/>
                <w:szCs w:val="20"/>
              </w:rPr>
            </w:pPr>
            <w:r w:rsidRPr="00551BE1">
              <w:rPr>
                <w:sz w:val="20"/>
                <w:szCs w:val="20"/>
              </w:rPr>
              <w:t xml:space="preserve">$6,896,822 </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Changed listing </w:t>
            </w:r>
          </w:p>
        </w:tc>
        <w:tc>
          <w:tcPr>
            <w:tcW w:w="647" w:type="pct"/>
          </w:tcPr>
          <w:p w:rsidR="000A6AD6" w:rsidRPr="00551BE1" w:rsidRDefault="000A6AD6" w:rsidP="00C55EAE">
            <w:pPr>
              <w:pStyle w:val="TableFigureFooter"/>
              <w:rPr>
                <w:sz w:val="20"/>
                <w:szCs w:val="20"/>
              </w:rPr>
            </w:pPr>
            <w:r w:rsidRPr="00551BE1">
              <w:rPr>
                <w:sz w:val="20"/>
                <w:szCs w:val="20"/>
              </w:rPr>
              <w:t xml:space="preserve">-$5,160,497 </w:t>
            </w:r>
          </w:p>
        </w:tc>
        <w:tc>
          <w:tcPr>
            <w:tcW w:w="647" w:type="pct"/>
          </w:tcPr>
          <w:p w:rsidR="000A6AD6" w:rsidRPr="00551BE1" w:rsidRDefault="000A6AD6" w:rsidP="00C55EAE">
            <w:pPr>
              <w:pStyle w:val="TableFigureFooter"/>
              <w:rPr>
                <w:sz w:val="20"/>
                <w:szCs w:val="20"/>
              </w:rPr>
            </w:pPr>
            <w:r w:rsidRPr="00551BE1">
              <w:rPr>
                <w:sz w:val="20"/>
                <w:szCs w:val="20"/>
              </w:rPr>
              <w:t xml:space="preserve">-$5,479,775 </w:t>
            </w:r>
          </w:p>
        </w:tc>
        <w:tc>
          <w:tcPr>
            <w:tcW w:w="647" w:type="pct"/>
          </w:tcPr>
          <w:p w:rsidR="000A6AD6" w:rsidRPr="00551BE1" w:rsidRDefault="000A6AD6" w:rsidP="00C55EAE">
            <w:pPr>
              <w:pStyle w:val="TableFigureFooter"/>
              <w:rPr>
                <w:sz w:val="20"/>
                <w:szCs w:val="20"/>
              </w:rPr>
            </w:pPr>
            <w:r w:rsidRPr="00551BE1">
              <w:rPr>
                <w:sz w:val="20"/>
                <w:szCs w:val="20"/>
              </w:rPr>
              <w:t xml:space="preserve">-$5,807,255 </w:t>
            </w:r>
          </w:p>
        </w:tc>
        <w:tc>
          <w:tcPr>
            <w:tcW w:w="647" w:type="pct"/>
          </w:tcPr>
          <w:p w:rsidR="000A6AD6" w:rsidRPr="00551BE1" w:rsidRDefault="000A6AD6" w:rsidP="00C55EAE">
            <w:pPr>
              <w:pStyle w:val="TableFigureFooter"/>
              <w:rPr>
                <w:sz w:val="20"/>
                <w:szCs w:val="20"/>
              </w:rPr>
            </w:pPr>
            <w:r w:rsidRPr="00551BE1">
              <w:rPr>
                <w:sz w:val="20"/>
                <w:szCs w:val="20"/>
              </w:rPr>
              <w:t xml:space="preserve">-$6,126,581 </w:t>
            </w:r>
          </w:p>
        </w:tc>
        <w:tc>
          <w:tcPr>
            <w:tcW w:w="647" w:type="pct"/>
          </w:tcPr>
          <w:p w:rsidR="000A6AD6" w:rsidRPr="00551BE1" w:rsidRDefault="000A6AD6" w:rsidP="00C55EAE">
            <w:pPr>
              <w:pStyle w:val="TableFigureFooter"/>
              <w:rPr>
                <w:sz w:val="20"/>
                <w:szCs w:val="20"/>
              </w:rPr>
            </w:pPr>
            <w:r w:rsidRPr="00551BE1">
              <w:rPr>
                <w:sz w:val="20"/>
                <w:szCs w:val="20"/>
              </w:rPr>
              <w:t xml:space="preserve">-$6,454,061 </w:t>
            </w:r>
          </w:p>
        </w:tc>
        <w:tc>
          <w:tcPr>
            <w:tcW w:w="649" w:type="pct"/>
          </w:tcPr>
          <w:p w:rsidR="000A6AD6" w:rsidRPr="00551BE1" w:rsidRDefault="000A6AD6" w:rsidP="00C55EAE">
            <w:pPr>
              <w:pStyle w:val="TableFigureFooter"/>
              <w:rPr>
                <w:sz w:val="20"/>
                <w:szCs w:val="20"/>
              </w:rPr>
            </w:pPr>
            <w:r w:rsidRPr="00551BE1">
              <w:rPr>
                <w:sz w:val="20"/>
                <w:szCs w:val="20"/>
              </w:rPr>
              <w:t xml:space="preserve">-$6,773,339 </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Net cost to PBS </w:t>
            </w:r>
          </w:p>
        </w:tc>
        <w:tc>
          <w:tcPr>
            <w:tcW w:w="647" w:type="pct"/>
          </w:tcPr>
          <w:p w:rsidR="000A6AD6" w:rsidRPr="00551BE1" w:rsidRDefault="000A6AD6" w:rsidP="00C55EAE">
            <w:pPr>
              <w:pStyle w:val="TableFigureFooter"/>
              <w:rPr>
                <w:sz w:val="20"/>
                <w:szCs w:val="20"/>
              </w:rPr>
            </w:pPr>
            <w:r w:rsidRPr="00551BE1">
              <w:rPr>
                <w:bCs/>
                <w:sz w:val="20"/>
                <w:szCs w:val="20"/>
              </w:rPr>
              <w:t xml:space="preserve">$94,070 </w:t>
            </w:r>
          </w:p>
        </w:tc>
        <w:tc>
          <w:tcPr>
            <w:tcW w:w="647" w:type="pct"/>
          </w:tcPr>
          <w:p w:rsidR="000A6AD6" w:rsidRPr="00551BE1" w:rsidRDefault="000A6AD6" w:rsidP="00C55EAE">
            <w:pPr>
              <w:pStyle w:val="TableFigureFooter"/>
              <w:rPr>
                <w:sz w:val="20"/>
                <w:szCs w:val="20"/>
              </w:rPr>
            </w:pPr>
            <w:r w:rsidRPr="00551BE1">
              <w:rPr>
                <w:bCs/>
                <w:sz w:val="20"/>
                <w:szCs w:val="20"/>
              </w:rPr>
              <w:t xml:space="preserve">$99,910 </w:t>
            </w:r>
          </w:p>
        </w:tc>
        <w:tc>
          <w:tcPr>
            <w:tcW w:w="647" w:type="pct"/>
          </w:tcPr>
          <w:p w:rsidR="000A6AD6" w:rsidRPr="00551BE1" w:rsidRDefault="000A6AD6" w:rsidP="00C55EAE">
            <w:pPr>
              <w:pStyle w:val="TableFigureFooter"/>
              <w:rPr>
                <w:sz w:val="20"/>
                <w:szCs w:val="20"/>
              </w:rPr>
            </w:pPr>
            <w:r w:rsidRPr="00551BE1">
              <w:rPr>
                <w:bCs/>
                <w:sz w:val="20"/>
                <w:szCs w:val="20"/>
              </w:rPr>
              <w:t xml:space="preserve">$105,880 </w:t>
            </w:r>
          </w:p>
        </w:tc>
        <w:tc>
          <w:tcPr>
            <w:tcW w:w="647" w:type="pct"/>
          </w:tcPr>
          <w:p w:rsidR="000A6AD6" w:rsidRPr="00551BE1" w:rsidRDefault="000A6AD6" w:rsidP="00C55EAE">
            <w:pPr>
              <w:pStyle w:val="TableFigureFooter"/>
              <w:rPr>
                <w:sz w:val="20"/>
                <w:szCs w:val="20"/>
              </w:rPr>
            </w:pPr>
            <w:r w:rsidRPr="00551BE1">
              <w:rPr>
                <w:bCs/>
                <w:sz w:val="20"/>
                <w:szCs w:val="20"/>
              </w:rPr>
              <w:t xml:space="preserve">$111,673 </w:t>
            </w:r>
          </w:p>
        </w:tc>
        <w:tc>
          <w:tcPr>
            <w:tcW w:w="647" w:type="pct"/>
          </w:tcPr>
          <w:p w:rsidR="000A6AD6" w:rsidRPr="00551BE1" w:rsidRDefault="000A6AD6" w:rsidP="00C55EAE">
            <w:pPr>
              <w:pStyle w:val="TableFigureFooter"/>
              <w:rPr>
                <w:sz w:val="20"/>
                <w:szCs w:val="20"/>
              </w:rPr>
            </w:pPr>
            <w:r w:rsidRPr="00551BE1">
              <w:rPr>
                <w:bCs/>
                <w:sz w:val="20"/>
                <w:szCs w:val="20"/>
              </w:rPr>
              <w:t xml:space="preserve">$117,643 </w:t>
            </w:r>
          </w:p>
        </w:tc>
        <w:tc>
          <w:tcPr>
            <w:tcW w:w="649" w:type="pct"/>
          </w:tcPr>
          <w:p w:rsidR="000A6AD6" w:rsidRPr="00551BE1" w:rsidRDefault="000A6AD6" w:rsidP="00C55EAE">
            <w:pPr>
              <w:pStyle w:val="TableFigureFooter"/>
              <w:rPr>
                <w:sz w:val="20"/>
                <w:szCs w:val="20"/>
              </w:rPr>
            </w:pPr>
            <w:r w:rsidRPr="00551BE1">
              <w:rPr>
                <w:bCs/>
                <w:sz w:val="20"/>
                <w:szCs w:val="20"/>
              </w:rPr>
              <w:t xml:space="preserve">$123,483 </w:t>
            </w:r>
          </w:p>
        </w:tc>
      </w:tr>
      <w:tr w:rsidR="000A6AD6" w:rsidRPr="00551BE1" w:rsidTr="00C55EAE">
        <w:tc>
          <w:tcPr>
            <w:tcW w:w="5000" w:type="pct"/>
            <w:gridSpan w:val="7"/>
          </w:tcPr>
          <w:p w:rsidR="000A6AD6" w:rsidRPr="00551BE1" w:rsidRDefault="000A6AD6" w:rsidP="00C55EAE">
            <w:pPr>
              <w:pStyle w:val="TableFigureFooter"/>
              <w:rPr>
                <w:b/>
                <w:bCs/>
                <w:sz w:val="20"/>
                <w:szCs w:val="20"/>
              </w:rPr>
            </w:pPr>
            <w:r w:rsidRPr="00551BE1">
              <w:rPr>
                <w:b/>
                <w:sz w:val="20"/>
                <w:szCs w:val="20"/>
              </w:rPr>
              <w:t>RPBS</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New listing </w:t>
            </w:r>
          </w:p>
        </w:tc>
        <w:tc>
          <w:tcPr>
            <w:tcW w:w="647" w:type="pct"/>
          </w:tcPr>
          <w:p w:rsidR="000A6AD6" w:rsidRPr="00551BE1" w:rsidRDefault="000A6AD6" w:rsidP="00C55EAE">
            <w:pPr>
              <w:pStyle w:val="TableFigureFooter"/>
              <w:rPr>
                <w:bCs/>
                <w:sz w:val="20"/>
                <w:szCs w:val="20"/>
              </w:rPr>
            </w:pPr>
            <w:r w:rsidRPr="00551BE1">
              <w:rPr>
                <w:sz w:val="20"/>
                <w:szCs w:val="20"/>
              </w:rPr>
              <w:t xml:space="preserve">$58,369 </w:t>
            </w:r>
          </w:p>
        </w:tc>
        <w:tc>
          <w:tcPr>
            <w:tcW w:w="647" w:type="pct"/>
          </w:tcPr>
          <w:p w:rsidR="000A6AD6" w:rsidRPr="00551BE1" w:rsidRDefault="000A6AD6" w:rsidP="00C55EAE">
            <w:pPr>
              <w:pStyle w:val="TableFigureFooter"/>
              <w:rPr>
                <w:bCs/>
                <w:sz w:val="20"/>
                <w:szCs w:val="20"/>
              </w:rPr>
            </w:pPr>
            <w:r w:rsidRPr="00551BE1">
              <w:rPr>
                <w:sz w:val="20"/>
                <w:szCs w:val="20"/>
              </w:rPr>
              <w:t xml:space="preserve">$66,707 </w:t>
            </w:r>
          </w:p>
        </w:tc>
        <w:tc>
          <w:tcPr>
            <w:tcW w:w="647" w:type="pct"/>
          </w:tcPr>
          <w:p w:rsidR="000A6AD6" w:rsidRPr="00551BE1" w:rsidRDefault="000A6AD6" w:rsidP="00C55EAE">
            <w:pPr>
              <w:pStyle w:val="TableFigureFooter"/>
              <w:rPr>
                <w:bCs/>
                <w:sz w:val="20"/>
                <w:szCs w:val="20"/>
              </w:rPr>
            </w:pPr>
            <w:r w:rsidRPr="00551BE1">
              <w:rPr>
                <w:sz w:val="20"/>
                <w:szCs w:val="20"/>
              </w:rPr>
              <w:t xml:space="preserve">$66,707 </w:t>
            </w:r>
          </w:p>
        </w:tc>
        <w:tc>
          <w:tcPr>
            <w:tcW w:w="647" w:type="pct"/>
          </w:tcPr>
          <w:p w:rsidR="000A6AD6" w:rsidRPr="00551BE1" w:rsidRDefault="000A6AD6" w:rsidP="00C55EAE">
            <w:pPr>
              <w:pStyle w:val="TableFigureFooter"/>
              <w:rPr>
                <w:bCs/>
                <w:sz w:val="20"/>
                <w:szCs w:val="20"/>
              </w:rPr>
            </w:pPr>
            <w:r w:rsidRPr="00551BE1">
              <w:rPr>
                <w:sz w:val="20"/>
                <w:szCs w:val="20"/>
              </w:rPr>
              <w:t xml:space="preserve">$75,046 </w:t>
            </w:r>
          </w:p>
        </w:tc>
        <w:tc>
          <w:tcPr>
            <w:tcW w:w="647" w:type="pct"/>
          </w:tcPr>
          <w:p w:rsidR="000A6AD6" w:rsidRPr="00551BE1" w:rsidRDefault="000A6AD6" w:rsidP="00C55EAE">
            <w:pPr>
              <w:pStyle w:val="TableFigureFooter"/>
              <w:rPr>
                <w:bCs/>
                <w:sz w:val="20"/>
                <w:szCs w:val="20"/>
              </w:rPr>
            </w:pPr>
            <w:r w:rsidRPr="00551BE1">
              <w:rPr>
                <w:sz w:val="20"/>
                <w:szCs w:val="20"/>
              </w:rPr>
              <w:t xml:space="preserve">$75,046 </w:t>
            </w:r>
          </w:p>
        </w:tc>
        <w:tc>
          <w:tcPr>
            <w:tcW w:w="649" w:type="pct"/>
          </w:tcPr>
          <w:p w:rsidR="000A6AD6" w:rsidRPr="00551BE1" w:rsidRDefault="000A6AD6" w:rsidP="00C55EAE">
            <w:pPr>
              <w:pStyle w:val="TableFigureFooter"/>
              <w:rPr>
                <w:bCs/>
                <w:sz w:val="20"/>
                <w:szCs w:val="20"/>
              </w:rPr>
            </w:pPr>
            <w:r w:rsidRPr="00551BE1">
              <w:rPr>
                <w:sz w:val="20"/>
                <w:szCs w:val="20"/>
              </w:rPr>
              <w:t xml:space="preserve">$83,384 </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Changed listing </w:t>
            </w:r>
          </w:p>
        </w:tc>
        <w:tc>
          <w:tcPr>
            <w:tcW w:w="647" w:type="pct"/>
          </w:tcPr>
          <w:p w:rsidR="000A6AD6" w:rsidRPr="00551BE1" w:rsidRDefault="000A6AD6" w:rsidP="00C55EAE">
            <w:pPr>
              <w:pStyle w:val="TableFigureFooter"/>
              <w:rPr>
                <w:bCs/>
                <w:sz w:val="20"/>
                <w:szCs w:val="20"/>
              </w:rPr>
            </w:pPr>
            <w:r w:rsidRPr="00551BE1">
              <w:rPr>
                <w:sz w:val="20"/>
                <w:szCs w:val="20"/>
              </w:rPr>
              <w:t xml:space="preserve">-$57,321 </w:t>
            </w:r>
          </w:p>
        </w:tc>
        <w:tc>
          <w:tcPr>
            <w:tcW w:w="647" w:type="pct"/>
          </w:tcPr>
          <w:p w:rsidR="000A6AD6" w:rsidRPr="00551BE1" w:rsidRDefault="000A6AD6" w:rsidP="00C55EAE">
            <w:pPr>
              <w:pStyle w:val="TableFigureFooter"/>
              <w:rPr>
                <w:bCs/>
                <w:sz w:val="20"/>
                <w:szCs w:val="20"/>
              </w:rPr>
            </w:pPr>
            <w:r w:rsidRPr="00551BE1">
              <w:rPr>
                <w:sz w:val="20"/>
                <w:szCs w:val="20"/>
              </w:rPr>
              <w:t xml:space="preserve">-$65,530 </w:t>
            </w:r>
          </w:p>
        </w:tc>
        <w:tc>
          <w:tcPr>
            <w:tcW w:w="647" w:type="pct"/>
          </w:tcPr>
          <w:p w:rsidR="000A6AD6" w:rsidRPr="00551BE1" w:rsidRDefault="000A6AD6" w:rsidP="00C55EAE">
            <w:pPr>
              <w:pStyle w:val="TableFigureFooter"/>
              <w:rPr>
                <w:bCs/>
                <w:sz w:val="20"/>
                <w:szCs w:val="20"/>
              </w:rPr>
            </w:pPr>
            <w:r w:rsidRPr="00551BE1">
              <w:rPr>
                <w:sz w:val="20"/>
                <w:szCs w:val="20"/>
              </w:rPr>
              <w:t xml:space="preserve">-$65,530 </w:t>
            </w:r>
          </w:p>
        </w:tc>
        <w:tc>
          <w:tcPr>
            <w:tcW w:w="647" w:type="pct"/>
          </w:tcPr>
          <w:p w:rsidR="000A6AD6" w:rsidRPr="00551BE1" w:rsidRDefault="000A6AD6" w:rsidP="00C55EAE">
            <w:pPr>
              <w:pStyle w:val="TableFigureFooter"/>
              <w:rPr>
                <w:bCs/>
                <w:sz w:val="20"/>
                <w:szCs w:val="20"/>
              </w:rPr>
            </w:pPr>
            <w:r w:rsidRPr="00551BE1">
              <w:rPr>
                <w:sz w:val="20"/>
                <w:szCs w:val="20"/>
              </w:rPr>
              <w:t xml:space="preserve">-$73,691 </w:t>
            </w:r>
          </w:p>
        </w:tc>
        <w:tc>
          <w:tcPr>
            <w:tcW w:w="647" w:type="pct"/>
          </w:tcPr>
          <w:p w:rsidR="000A6AD6" w:rsidRPr="00551BE1" w:rsidRDefault="000A6AD6" w:rsidP="00C55EAE">
            <w:pPr>
              <w:pStyle w:val="TableFigureFooter"/>
              <w:rPr>
                <w:bCs/>
                <w:sz w:val="20"/>
                <w:szCs w:val="20"/>
              </w:rPr>
            </w:pPr>
            <w:r w:rsidRPr="00551BE1">
              <w:rPr>
                <w:sz w:val="20"/>
                <w:szCs w:val="20"/>
              </w:rPr>
              <w:t xml:space="preserve">-$73,691 </w:t>
            </w:r>
          </w:p>
        </w:tc>
        <w:tc>
          <w:tcPr>
            <w:tcW w:w="649" w:type="pct"/>
          </w:tcPr>
          <w:p w:rsidR="000A6AD6" w:rsidRPr="00551BE1" w:rsidRDefault="000A6AD6" w:rsidP="00C55EAE">
            <w:pPr>
              <w:pStyle w:val="TableFigureFooter"/>
              <w:rPr>
                <w:bCs/>
                <w:sz w:val="20"/>
                <w:szCs w:val="20"/>
              </w:rPr>
            </w:pPr>
            <w:r w:rsidRPr="00551BE1">
              <w:rPr>
                <w:sz w:val="20"/>
                <w:szCs w:val="20"/>
              </w:rPr>
              <w:t xml:space="preserve">-$81,901 </w:t>
            </w:r>
          </w:p>
        </w:tc>
      </w:tr>
      <w:tr w:rsidR="000A6AD6" w:rsidRPr="00551BE1" w:rsidTr="00C55EAE">
        <w:tc>
          <w:tcPr>
            <w:tcW w:w="1115" w:type="pct"/>
          </w:tcPr>
          <w:p w:rsidR="000A6AD6" w:rsidRPr="00551BE1" w:rsidRDefault="000A6AD6" w:rsidP="00C55EAE">
            <w:pPr>
              <w:pStyle w:val="TableFigureFooter"/>
              <w:rPr>
                <w:sz w:val="20"/>
                <w:szCs w:val="20"/>
              </w:rPr>
            </w:pPr>
            <w:r w:rsidRPr="00551BE1">
              <w:rPr>
                <w:bCs/>
                <w:sz w:val="20"/>
                <w:szCs w:val="20"/>
              </w:rPr>
              <w:t xml:space="preserve">Net cost to RPBS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$1,048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$1,177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$1,177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$1,354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$1,354 </w:t>
            </w:r>
          </w:p>
        </w:tc>
        <w:tc>
          <w:tcPr>
            <w:tcW w:w="649" w:type="pct"/>
          </w:tcPr>
          <w:p w:rsidR="000A6AD6" w:rsidRPr="00551BE1" w:rsidRDefault="000A6AD6" w:rsidP="00C55EAE">
            <w:pPr>
              <w:pStyle w:val="TableFigureFooter"/>
              <w:rPr>
                <w:bCs/>
                <w:sz w:val="20"/>
                <w:szCs w:val="20"/>
              </w:rPr>
            </w:pPr>
            <w:r w:rsidRPr="00551BE1">
              <w:rPr>
                <w:bCs/>
                <w:sz w:val="20"/>
                <w:szCs w:val="20"/>
              </w:rPr>
              <w:t xml:space="preserve">$1,483 </w:t>
            </w:r>
          </w:p>
        </w:tc>
      </w:tr>
      <w:tr w:rsidR="000A6AD6" w:rsidRPr="00551BE1" w:rsidTr="00C55EAE">
        <w:tc>
          <w:tcPr>
            <w:tcW w:w="1115" w:type="pct"/>
          </w:tcPr>
          <w:p w:rsidR="000A6AD6" w:rsidRPr="00551BE1" w:rsidRDefault="000A6AD6" w:rsidP="00C55EAE">
            <w:pPr>
              <w:pStyle w:val="TableFigureFooter"/>
              <w:rPr>
                <w:sz w:val="20"/>
                <w:szCs w:val="20"/>
              </w:rPr>
            </w:pPr>
            <w:r w:rsidRPr="00551BE1">
              <w:rPr>
                <w:bCs/>
                <w:sz w:val="20"/>
                <w:szCs w:val="20"/>
              </w:rPr>
              <w:t xml:space="preserve">Net cost PBS / RPBS </w:t>
            </w:r>
          </w:p>
        </w:tc>
        <w:tc>
          <w:tcPr>
            <w:tcW w:w="647" w:type="pct"/>
          </w:tcPr>
          <w:p w:rsidR="000A6AD6" w:rsidRPr="00551BE1" w:rsidRDefault="000A6AD6" w:rsidP="00C55EAE">
            <w:pPr>
              <w:pStyle w:val="TableFigureFooter"/>
              <w:rPr>
                <w:bCs/>
                <w:sz w:val="20"/>
                <w:szCs w:val="20"/>
              </w:rPr>
            </w:pPr>
            <w:r w:rsidRPr="00551BE1">
              <w:rPr>
                <w:bCs/>
                <w:sz w:val="20"/>
                <w:szCs w:val="20"/>
              </w:rPr>
              <w:t xml:space="preserve">$95,118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$101,087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$107,057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$113,027 </w:t>
            </w:r>
          </w:p>
        </w:tc>
        <w:tc>
          <w:tcPr>
            <w:tcW w:w="647" w:type="pct"/>
          </w:tcPr>
          <w:p w:rsidR="000A6AD6" w:rsidRPr="00551BE1" w:rsidRDefault="000A6AD6" w:rsidP="00C55EAE">
            <w:pPr>
              <w:pStyle w:val="TableFigureFooter"/>
              <w:rPr>
                <w:bCs/>
                <w:sz w:val="20"/>
                <w:szCs w:val="20"/>
              </w:rPr>
            </w:pPr>
            <w:r w:rsidRPr="00551BE1">
              <w:rPr>
                <w:bCs/>
                <w:sz w:val="20"/>
                <w:szCs w:val="20"/>
              </w:rPr>
              <w:t xml:space="preserve">$118,997 </w:t>
            </w:r>
          </w:p>
        </w:tc>
        <w:tc>
          <w:tcPr>
            <w:tcW w:w="649" w:type="pct"/>
          </w:tcPr>
          <w:p w:rsidR="000A6AD6" w:rsidRPr="00551BE1" w:rsidRDefault="000A6AD6" w:rsidP="00C55EAE">
            <w:pPr>
              <w:pStyle w:val="TableFigureFooter"/>
              <w:rPr>
                <w:bCs/>
                <w:sz w:val="20"/>
                <w:szCs w:val="20"/>
              </w:rPr>
            </w:pPr>
            <w:r w:rsidRPr="00551BE1">
              <w:rPr>
                <w:bCs/>
                <w:sz w:val="20"/>
                <w:szCs w:val="20"/>
              </w:rPr>
              <w:t xml:space="preserve">$124,967 </w:t>
            </w:r>
          </w:p>
        </w:tc>
      </w:tr>
      <w:tr w:rsidR="000A6AD6" w:rsidRPr="00551BE1"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b/>
                <w:bCs/>
                <w:sz w:val="20"/>
                <w:szCs w:val="20"/>
              </w:rPr>
              <w:t>Cost changes of MBS items based on 75.53% uptake</w:t>
            </w:r>
          </w:p>
        </w:tc>
      </w:tr>
      <w:tr w:rsidR="000A6AD6" w:rsidRPr="00551BE1" w:rsidTr="00C55EAE">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Increased cost</w:t>
            </w:r>
          </w:p>
        </w:tc>
        <w:tc>
          <w:tcPr>
            <w:tcW w:w="647" w:type="pct"/>
          </w:tcPr>
          <w:p w:rsidR="000A6AD6" w:rsidRPr="00551BE1" w:rsidRDefault="000A6AD6" w:rsidP="00C55EAE">
            <w:pPr>
              <w:pStyle w:val="TableFigureFooter"/>
              <w:rPr>
                <w:sz w:val="20"/>
                <w:szCs w:val="20"/>
              </w:rPr>
            </w:pPr>
            <w:r w:rsidRPr="00551BE1">
              <w:rPr>
                <w:sz w:val="20"/>
                <w:szCs w:val="20"/>
              </w:rPr>
              <w:t xml:space="preserve">$19,486 </w:t>
            </w:r>
          </w:p>
        </w:tc>
        <w:tc>
          <w:tcPr>
            <w:tcW w:w="647" w:type="pct"/>
          </w:tcPr>
          <w:p w:rsidR="000A6AD6" w:rsidRPr="00551BE1" w:rsidRDefault="000A6AD6" w:rsidP="00C55EAE">
            <w:pPr>
              <w:pStyle w:val="TableFigureFooter"/>
              <w:rPr>
                <w:sz w:val="20"/>
                <w:szCs w:val="20"/>
              </w:rPr>
            </w:pPr>
            <w:r w:rsidRPr="00551BE1">
              <w:rPr>
                <w:sz w:val="20"/>
                <w:szCs w:val="20"/>
              </w:rPr>
              <w:t xml:space="preserve">$20,709 </w:t>
            </w:r>
          </w:p>
        </w:tc>
        <w:tc>
          <w:tcPr>
            <w:tcW w:w="647" w:type="pct"/>
          </w:tcPr>
          <w:p w:rsidR="000A6AD6" w:rsidRPr="00551BE1" w:rsidRDefault="000A6AD6" w:rsidP="00C55EAE">
            <w:pPr>
              <w:pStyle w:val="TableFigureFooter"/>
              <w:rPr>
                <w:sz w:val="20"/>
                <w:szCs w:val="20"/>
              </w:rPr>
            </w:pPr>
            <w:r w:rsidRPr="00551BE1">
              <w:rPr>
                <w:sz w:val="20"/>
                <w:szCs w:val="20"/>
              </w:rPr>
              <w:t xml:space="preserve">$21,932 </w:t>
            </w:r>
          </w:p>
        </w:tc>
        <w:tc>
          <w:tcPr>
            <w:tcW w:w="647" w:type="pct"/>
          </w:tcPr>
          <w:p w:rsidR="000A6AD6" w:rsidRPr="00551BE1" w:rsidRDefault="000A6AD6" w:rsidP="00C55EAE">
            <w:pPr>
              <w:pStyle w:val="TableFigureFooter"/>
              <w:rPr>
                <w:sz w:val="20"/>
                <w:szCs w:val="20"/>
              </w:rPr>
            </w:pPr>
            <w:r w:rsidRPr="00551BE1">
              <w:rPr>
                <w:sz w:val="20"/>
                <w:szCs w:val="20"/>
              </w:rPr>
              <w:t xml:space="preserve">$23,155 </w:t>
            </w:r>
          </w:p>
        </w:tc>
        <w:tc>
          <w:tcPr>
            <w:tcW w:w="647" w:type="pct"/>
          </w:tcPr>
          <w:p w:rsidR="000A6AD6" w:rsidRPr="00551BE1" w:rsidRDefault="000A6AD6" w:rsidP="00C55EAE">
            <w:pPr>
              <w:pStyle w:val="TableFigureFooter"/>
              <w:rPr>
                <w:sz w:val="20"/>
                <w:szCs w:val="20"/>
              </w:rPr>
            </w:pPr>
            <w:r w:rsidRPr="00551BE1">
              <w:rPr>
                <w:sz w:val="20"/>
                <w:szCs w:val="20"/>
              </w:rPr>
              <w:t xml:space="preserve">$24,378 </w:t>
            </w:r>
          </w:p>
        </w:tc>
        <w:tc>
          <w:tcPr>
            <w:tcW w:w="649" w:type="pct"/>
          </w:tcPr>
          <w:p w:rsidR="000A6AD6" w:rsidRPr="00551BE1" w:rsidRDefault="000A6AD6" w:rsidP="00C55EAE">
            <w:pPr>
              <w:pStyle w:val="TableFigureFooter"/>
              <w:rPr>
                <w:sz w:val="20"/>
                <w:szCs w:val="20"/>
              </w:rPr>
            </w:pPr>
            <w:r w:rsidRPr="00551BE1">
              <w:rPr>
                <w:sz w:val="20"/>
                <w:szCs w:val="20"/>
              </w:rPr>
              <w:t xml:space="preserve">$25,601 </w:t>
            </w:r>
          </w:p>
        </w:tc>
      </w:tr>
      <w:tr w:rsidR="000A6AD6" w:rsidRPr="00551BE1" w:rsidTr="00C55EAE">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Decreased cost</w:t>
            </w:r>
          </w:p>
        </w:tc>
        <w:tc>
          <w:tcPr>
            <w:tcW w:w="647" w:type="pct"/>
          </w:tcPr>
          <w:p w:rsidR="000A6AD6" w:rsidRPr="00551BE1" w:rsidRDefault="000A6AD6" w:rsidP="00C55EAE">
            <w:pPr>
              <w:pStyle w:val="TableFigureFooter"/>
              <w:rPr>
                <w:sz w:val="20"/>
                <w:szCs w:val="20"/>
              </w:rPr>
            </w:pPr>
            <w:r w:rsidRPr="00551BE1">
              <w:rPr>
                <w:sz w:val="20"/>
                <w:szCs w:val="20"/>
              </w:rPr>
              <w:t xml:space="preserve">-$45,680 </w:t>
            </w:r>
          </w:p>
        </w:tc>
        <w:tc>
          <w:tcPr>
            <w:tcW w:w="647" w:type="pct"/>
          </w:tcPr>
          <w:p w:rsidR="000A6AD6" w:rsidRPr="00551BE1" w:rsidRDefault="000A6AD6" w:rsidP="00C55EAE">
            <w:pPr>
              <w:pStyle w:val="TableFigureFooter"/>
              <w:rPr>
                <w:sz w:val="20"/>
                <w:szCs w:val="20"/>
              </w:rPr>
            </w:pPr>
            <w:r w:rsidRPr="00551BE1">
              <w:rPr>
                <w:sz w:val="20"/>
                <w:szCs w:val="20"/>
              </w:rPr>
              <w:t xml:space="preserve">-$48,547 </w:t>
            </w:r>
          </w:p>
        </w:tc>
        <w:tc>
          <w:tcPr>
            <w:tcW w:w="647" w:type="pct"/>
          </w:tcPr>
          <w:p w:rsidR="000A6AD6" w:rsidRPr="00551BE1" w:rsidRDefault="000A6AD6" w:rsidP="00C55EAE">
            <w:pPr>
              <w:pStyle w:val="TableFigureFooter"/>
              <w:rPr>
                <w:sz w:val="20"/>
                <w:szCs w:val="20"/>
              </w:rPr>
            </w:pPr>
            <w:r w:rsidRPr="00551BE1">
              <w:rPr>
                <w:sz w:val="20"/>
                <w:szCs w:val="20"/>
              </w:rPr>
              <w:t xml:space="preserve">-$51,414 </w:t>
            </w:r>
          </w:p>
        </w:tc>
        <w:tc>
          <w:tcPr>
            <w:tcW w:w="647" w:type="pct"/>
          </w:tcPr>
          <w:p w:rsidR="000A6AD6" w:rsidRPr="00551BE1" w:rsidRDefault="000A6AD6" w:rsidP="00C55EAE">
            <w:pPr>
              <w:pStyle w:val="TableFigureFooter"/>
              <w:rPr>
                <w:sz w:val="20"/>
                <w:szCs w:val="20"/>
              </w:rPr>
            </w:pPr>
            <w:r w:rsidRPr="00551BE1">
              <w:rPr>
                <w:sz w:val="20"/>
                <w:szCs w:val="20"/>
              </w:rPr>
              <w:t xml:space="preserve">-$54,281 </w:t>
            </w:r>
          </w:p>
        </w:tc>
        <w:tc>
          <w:tcPr>
            <w:tcW w:w="647" w:type="pct"/>
          </w:tcPr>
          <w:p w:rsidR="000A6AD6" w:rsidRPr="00551BE1" w:rsidRDefault="000A6AD6" w:rsidP="00C55EAE">
            <w:pPr>
              <w:pStyle w:val="TableFigureFooter"/>
              <w:rPr>
                <w:sz w:val="20"/>
                <w:szCs w:val="20"/>
              </w:rPr>
            </w:pPr>
            <w:r w:rsidRPr="00551BE1">
              <w:rPr>
                <w:sz w:val="20"/>
                <w:szCs w:val="20"/>
              </w:rPr>
              <w:t xml:space="preserve">-$57,148 </w:t>
            </w:r>
          </w:p>
        </w:tc>
        <w:tc>
          <w:tcPr>
            <w:tcW w:w="649" w:type="pct"/>
          </w:tcPr>
          <w:p w:rsidR="000A6AD6" w:rsidRPr="00551BE1" w:rsidRDefault="000A6AD6" w:rsidP="00C55EAE">
            <w:pPr>
              <w:pStyle w:val="TableFigureFooter"/>
              <w:rPr>
                <w:sz w:val="20"/>
                <w:szCs w:val="20"/>
              </w:rPr>
            </w:pPr>
            <w:r w:rsidRPr="00551BE1">
              <w:rPr>
                <w:sz w:val="20"/>
                <w:szCs w:val="20"/>
              </w:rPr>
              <w:t xml:space="preserve">-$60,015 </w:t>
            </w:r>
          </w:p>
        </w:tc>
      </w:tr>
      <w:tr w:rsidR="000A6AD6" w:rsidRPr="00551BE1" w:rsidTr="00C55EAE">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sz w:val="20"/>
                <w:szCs w:val="20"/>
              </w:rPr>
            </w:pPr>
            <w:r w:rsidRPr="00551BE1">
              <w:rPr>
                <w:sz w:val="20"/>
                <w:szCs w:val="20"/>
              </w:rPr>
              <w:t>Net cost to MBS</w:t>
            </w:r>
          </w:p>
        </w:tc>
        <w:tc>
          <w:tcPr>
            <w:tcW w:w="647" w:type="pct"/>
          </w:tcPr>
          <w:p w:rsidR="000A6AD6" w:rsidRPr="00551BE1" w:rsidRDefault="000A6AD6" w:rsidP="00C55EAE">
            <w:pPr>
              <w:pStyle w:val="TableFigureFooter"/>
              <w:rPr>
                <w:sz w:val="20"/>
                <w:szCs w:val="20"/>
              </w:rPr>
            </w:pPr>
            <w:r w:rsidRPr="00551BE1">
              <w:rPr>
                <w:sz w:val="20"/>
                <w:szCs w:val="20"/>
              </w:rPr>
              <w:t xml:space="preserve">-$26,194 </w:t>
            </w:r>
          </w:p>
        </w:tc>
        <w:tc>
          <w:tcPr>
            <w:tcW w:w="647" w:type="pct"/>
          </w:tcPr>
          <w:p w:rsidR="000A6AD6" w:rsidRPr="00551BE1" w:rsidRDefault="000A6AD6" w:rsidP="00C55EAE">
            <w:pPr>
              <w:pStyle w:val="TableFigureFooter"/>
              <w:rPr>
                <w:sz w:val="20"/>
                <w:szCs w:val="20"/>
              </w:rPr>
            </w:pPr>
            <w:r w:rsidRPr="00551BE1">
              <w:rPr>
                <w:sz w:val="20"/>
                <w:szCs w:val="20"/>
              </w:rPr>
              <w:t xml:space="preserve">-$27,838 </w:t>
            </w:r>
          </w:p>
        </w:tc>
        <w:tc>
          <w:tcPr>
            <w:tcW w:w="647" w:type="pct"/>
          </w:tcPr>
          <w:p w:rsidR="000A6AD6" w:rsidRPr="00551BE1" w:rsidRDefault="000A6AD6" w:rsidP="00C55EAE">
            <w:pPr>
              <w:pStyle w:val="TableFigureFooter"/>
              <w:rPr>
                <w:sz w:val="20"/>
                <w:szCs w:val="20"/>
              </w:rPr>
            </w:pPr>
            <w:r w:rsidRPr="00551BE1">
              <w:rPr>
                <w:sz w:val="20"/>
                <w:szCs w:val="20"/>
              </w:rPr>
              <w:t xml:space="preserve">-$29,482 </w:t>
            </w:r>
          </w:p>
        </w:tc>
        <w:tc>
          <w:tcPr>
            <w:tcW w:w="647" w:type="pct"/>
          </w:tcPr>
          <w:p w:rsidR="000A6AD6" w:rsidRPr="00551BE1" w:rsidRDefault="000A6AD6" w:rsidP="00C55EAE">
            <w:pPr>
              <w:pStyle w:val="TableFigureFooter"/>
              <w:rPr>
                <w:sz w:val="20"/>
                <w:szCs w:val="20"/>
              </w:rPr>
            </w:pPr>
            <w:r w:rsidRPr="00551BE1">
              <w:rPr>
                <w:sz w:val="20"/>
                <w:szCs w:val="20"/>
              </w:rPr>
              <w:t xml:space="preserve">-$31,126 </w:t>
            </w:r>
          </w:p>
        </w:tc>
        <w:tc>
          <w:tcPr>
            <w:tcW w:w="647" w:type="pct"/>
          </w:tcPr>
          <w:p w:rsidR="000A6AD6" w:rsidRPr="00551BE1" w:rsidRDefault="000A6AD6" w:rsidP="00C55EAE">
            <w:pPr>
              <w:pStyle w:val="TableFigureFooter"/>
              <w:rPr>
                <w:sz w:val="20"/>
                <w:szCs w:val="20"/>
              </w:rPr>
            </w:pPr>
            <w:r w:rsidRPr="00551BE1">
              <w:rPr>
                <w:sz w:val="20"/>
                <w:szCs w:val="20"/>
              </w:rPr>
              <w:t xml:space="preserve">-$32,770 </w:t>
            </w:r>
          </w:p>
        </w:tc>
        <w:tc>
          <w:tcPr>
            <w:tcW w:w="649" w:type="pct"/>
          </w:tcPr>
          <w:p w:rsidR="000A6AD6" w:rsidRPr="00551BE1" w:rsidRDefault="000A6AD6" w:rsidP="00C55EAE">
            <w:pPr>
              <w:pStyle w:val="TableFigureFooter"/>
              <w:rPr>
                <w:sz w:val="20"/>
                <w:szCs w:val="20"/>
              </w:rPr>
            </w:pPr>
            <w:r w:rsidRPr="00551BE1">
              <w:rPr>
                <w:sz w:val="20"/>
                <w:szCs w:val="20"/>
              </w:rPr>
              <w:t xml:space="preserve">-$34,414 </w:t>
            </w:r>
          </w:p>
        </w:tc>
      </w:tr>
      <w:tr w:rsidR="000A6AD6" w:rsidRPr="00551BE1"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551BE1" w:rsidRDefault="000A6AD6" w:rsidP="00C55EAE">
            <w:pPr>
              <w:pStyle w:val="TableFigureFooter"/>
              <w:rPr>
                <w:b/>
                <w:sz w:val="20"/>
                <w:szCs w:val="20"/>
              </w:rPr>
            </w:pPr>
            <w:r w:rsidRPr="00551BE1">
              <w:rPr>
                <w:b/>
                <w:sz w:val="20"/>
                <w:szCs w:val="20"/>
              </w:rPr>
              <w:t>Net cost to Health budget with an uptake of 75.53%</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lastRenderedPageBreak/>
              <w:t xml:space="preserve">Net Cost to PBS/RPBS </w:t>
            </w:r>
          </w:p>
        </w:tc>
        <w:tc>
          <w:tcPr>
            <w:tcW w:w="647" w:type="pct"/>
          </w:tcPr>
          <w:p w:rsidR="000A6AD6" w:rsidRPr="00551BE1" w:rsidRDefault="000A6AD6" w:rsidP="00C55EAE">
            <w:pPr>
              <w:pStyle w:val="TableFigureFooter"/>
              <w:rPr>
                <w:sz w:val="20"/>
                <w:szCs w:val="20"/>
              </w:rPr>
            </w:pPr>
            <w:r w:rsidRPr="00551BE1">
              <w:rPr>
                <w:sz w:val="20"/>
                <w:szCs w:val="20"/>
              </w:rPr>
              <w:t xml:space="preserve">$95,118 </w:t>
            </w:r>
          </w:p>
        </w:tc>
        <w:tc>
          <w:tcPr>
            <w:tcW w:w="647" w:type="pct"/>
          </w:tcPr>
          <w:p w:rsidR="000A6AD6" w:rsidRPr="00551BE1" w:rsidRDefault="000A6AD6" w:rsidP="00C55EAE">
            <w:pPr>
              <w:pStyle w:val="TableFigureFooter"/>
              <w:rPr>
                <w:sz w:val="20"/>
                <w:szCs w:val="20"/>
              </w:rPr>
            </w:pPr>
            <w:r w:rsidRPr="00551BE1">
              <w:rPr>
                <w:sz w:val="20"/>
                <w:szCs w:val="20"/>
              </w:rPr>
              <w:t xml:space="preserve">$101,087 </w:t>
            </w:r>
          </w:p>
        </w:tc>
        <w:tc>
          <w:tcPr>
            <w:tcW w:w="647" w:type="pct"/>
          </w:tcPr>
          <w:p w:rsidR="000A6AD6" w:rsidRPr="00551BE1" w:rsidRDefault="000A6AD6" w:rsidP="00C55EAE">
            <w:pPr>
              <w:pStyle w:val="TableFigureFooter"/>
              <w:rPr>
                <w:sz w:val="20"/>
                <w:szCs w:val="20"/>
              </w:rPr>
            </w:pPr>
            <w:r w:rsidRPr="00551BE1">
              <w:rPr>
                <w:sz w:val="20"/>
                <w:szCs w:val="20"/>
              </w:rPr>
              <w:t xml:space="preserve">$107,057 </w:t>
            </w:r>
          </w:p>
        </w:tc>
        <w:tc>
          <w:tcPr>
            <w:tcW w:w="647" w:type="pct"/>
          </w:tcPr>
          <w:p w:rsidR="000A6AD6" w:rsidRPr="00551BE1" w:rsidRDefault="000A6AD6" w:rsidP="00C55EAE">
            <w:pPr>
              <w:pStyle w:val="TableFigureFooter"/>
              <w:rPr>
                <w:sz w:val="20"/>
                <w:szCs w:val="20"/>
              </w:rPr>
            </w:pPr>
            <w:r w:rsidRPr="00551BE1">
              <w:rPr>
                <w:sz w:val="20"/>
                <w:szCs w:val="20"/>
              </w:rPr>
              <w:t xml:space="preserve">$113,027 </w:t>
            </w:r>
          </w:p>
        </w:tc>
        <w:tc>
          <w:tcPr>
            <w:tcW w:w="647" w:type="pct"/>
          </w:tcPr>
          <w:p w:rsidR="000A6AD6" w:rsidRPr="00551BE1" w:rsidRDefault="000A6AD6" w:rsidP="00C55EAE">
            <w:pPr>
              <w:pStyle w:val="TableFigureFooter"/>
              <w:rPr>
                <w:sz w:val="20"/>
                <w:szCs w:val="20"/>
              </w:rPr>
            </w:pPr>
            <w:r w:rsidRPr="00551BE1">
              <w:rPr>
                <w:sz w:val="20"/>
                <w:szCs w:val="20"/>
              </w:rPr>
              <w:t xml:space="preserve">$118,997 </w:t>
            </w:r>
          </w:p>
        </w:tc>
        <w:tc>
          <w:tcPr>
            <w:tcW w:w="649" w:type="pct"/>
          </w:tcPr>
          <w:p w:rsidR="000A6AD6" w:rsidRPr="00551BE1" w:rsidRDefault="000A6AD6" w:rsidP="00C55EAE">
            <w:pPr>
              <w:pStyle w:val="TableFigureFooter"/>
              <w:rPr>
                <w:sz w:val="20"/>
                <w:szCs w:val="20"/>
              </w:rPr>
            </w:pPr>
            <w:r w:rsidRPr="00551BE1">
              <w:rPr>
                <w:sz w:val="20"/>
                <w:szCs w:val="20"/>
              </w:rPr>
              <w:t xml:space="preserve">$124,967 </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Net Cost to MBS </w:t>
            </w:r>
          </w:p>
        </w:tc>
        <w:tc>
          <w:tcPr>
            <w:tcW w:w="647" w:type="pct"/>
          </w:tcPr>
          <w:p w:rsidR="000A6AD6" w:rsidRPr="00551BE1" w:rsidRDefault="000A6AD6" w:rsidP="00C55EAE">
            <w:pPr>
              <w:pStyle w:val="TableFigureFooter"/>
              <w:rPr>
                <w:sz w:val="20"/>
                <w:szCs w:val="20"/>
              </w:rPr>
            </w:pPr>
            <w:r w:rsidRPr="00551BE1">
              <w:rPr>
                <w:sz w:val="20"/>
                <w:szCs w:val="20"/>
              </w:rPr>
              <w:t xml:space="preserve">-$26,194 </w:t>
            </w:r>
          </w:p>
        </w:tc>
        <w:tc>
          <w:tcPr>
            <w:tcW w:w="647" w:type="pct"/>
          </w:tcPr>
          <w:p w:rsidR="000A6AD6" w:rsidRPr="00551BE1" w:rsidRDefault="000A6AD6" w:rsidP="00C55EAE">
            <w:pPr>
              <w:pStyle w:val="TableFigureFooter"/>
              <w:rPr>
                <w:sz w:val="20"/>
                <w:szCs w:val="20"/>
              </w:rPr>
            </w:pPr>
            <w:r w:rsidRPr="00551BE1">
              <w:rPr>
                <w:sz w:val="20"/>
                <w:szCs w:val="20"/>
              </w:rPr>
              <w:t xml:space="preserve">-$27,838 </w:t>
            </w:r>
          </w:p>
        </w:tc>
        <w:tc>
          <w:tcPr>
            <w:tcW w:w="647" w:type="pct"/>
          </w:tcPr>
          <w:p w:rsidR="000A6AD6" w:rsidRPr="00551BE1" w:rsidRDefault="000A6AD6" w:rsidP="00C55EAE">
            <w:pPr>
              <w:pStyle w:val="TableFigureFooter"/>
              <w:rPr>
                <w:sz w:val="20"/>
                <w:szCs w:val="20"/>
              </w:rPr>
            </w:pPr>
            <w:r w:rsidRPr="00551BE1">
              <w:rPr>
                <w:sz w:val="20"/>
                <w:szCs w:val="20"/>
              </w:rPr>
              <w:t xml:space="preserve">-$29,482 </w:t>
            </w:r>
          </w:p>
        </w:tc>
        <w:tc>
          <w:tcPr>
            <w:tcW w:w="647" w:type="pct"/>
          </w:tcPr>
          <w:p w:rsidR="000A6AD6" w:rsidRPr="00551BE1" w:rsidRDefault="000A6AD6" w:rsidP="00C55EAE">
            <w:pPr>
              <w:pStyle w:val="TableFigureFooter"/>
              <w:rPr>
                <w:sz w:val="20"/>
                <w:szCs w:val="20"/>
              </w:rPr>
            </w:pPr>
            <w:r w:rsidRPr="00551BE1">
              <w:rPr>
                <w:sz w:val="20"/>
                <w:szCs w:val="20"/>
              </w:rPr>
              <w:t xml:space="preserve">-$31,126 </w:t>
            </w:r>
          </w:p>
        </w:tc>
        <w:tc>
          <w:tcPr>
            <w:tcW w:w="647" w:type="pct"/>
          </w:tcPr>
          <w:p w:rsidR="000A6AD6" w:rsidRPr="00551BE1" w:rsidRDefault="000A6AD6" w:rsidP="00C55EAE">
            <w:pPr>
              <w:pStyle w:val="TableFigureFooter"/>
              <w:rPr>
                <w:sz w:val="20"/>
                <w:szCs w:val="20"/>
              </w:rPr>
            </w:pPr>
            <w:r w:rsidRPr="00551BE1">
              <w:rPr>
                <w:sz w:val="20"/>
                <w:szCs w:val="20"/>
              </w:rPr>
              <w:t xml:space="preserve">-$32,770 </w:t>
            </w:r>
          </w:p>
        </w:tc>
        <w:tc>
          <w:tcPr>
            <w:tcW w:w="649" w:type="pct"/>
          </w:tcPr>
          <w:p w:rsidR="000A6AD6" w:rsidRPr="00551BE1" w:rsidRDefault="000A6AD6" w:rsidP="00C55EAE">
            <w:pPr>
              <w:pStyle w:val="TableFigureFooter"/>
              <w:rPr>
                <w:sz w:val="20"/>
                <w:szCs w:val="20"/>
              </w:rPr>
            </w:pPr>
            <w:r w:rsidRPr="00551BE1">
              <w:rPr>
                <w:sz w:val="20"/>
                <w:szCs w:val="20"/>
              </w:rPr>
              <w:t xml:space="preserve">-$34,414 </w:t>
            </w:r>
          </w:p>
        </w:tc>
      </w:tr>
      <w:tr w:rsidR="000A6AD6" w:rsidRPr="00551BE1" w:rsidTr="00C55EAE">
        <w:tc>
          <w:tcPr>
            <w:tcW w:w="1115" w:type="pct"/>
          </w:tcPr>
          <w:p w:rsidR="000A6AD6" w:rsidRPr="00551BE1" w:rsidRDefault="000A6AD6" w:rsidP="00C55EAE">
            <w:pPr>
              <w:pStyle w:val="TableFigureFooter"/>
              <w:rPr>
                <w:sz w:val="20"/>
                <w:szCs w:val="20"/>
              </w:rPr>
            </w:pPr>
            <w:r w:rsidRPr="00551BE1">
              <w:rPr>
                <w:sz w:val="20"/>
                <w:szCs w:val="20"/>
              </w:rPr>
              <w:t xml:space="preserve">Net cost to Health Budget </w:t>
            </w:r>
          </w:p>
        </w:tc>
        <w:tc>
          <w:tcPr>
            <w:tcW w:w="647" w:type="pct"/>
          </w:tcPr>
          <w:p w:rsidR="000A6AD6" w:rsidRPr="00551BE1" w:rsidRDefault="000A6AD6" w:rsidP="00C55EAE">
            <w:pPr>
              <w:pStyle w:val="TableFigureFooter"/>
              <w:rPr>
                <w:sz w:val="20"/>
                <w:szCs w:val="20"/>
              </w:rPr>
            </w:pPr>
            <w:r w:rsidRPr="00551BE1">
              <w:rPr>
                <w:sz w:val="20"/>
                <w:szCs w:val="20"/>
              </w:rPr>
              <w:t xml:space="preserve">$68,924 </w:t>
            </w:r>
          </w:p>
        </w:tc>
        <w:tc>
          <w:tcPr>
            <w:tcW w:w="647" w:type="pct"/>
          </w:tcPr>
          <w:p w:rsidR="000A6AD6" w:rsidRPr="00551BE1" w:rsidRDefault="000A6AD6" w:rsidP="00C55EAE">
            <w:pPr>
              <w:pStyle w:val="TableFigureFooter"/>
              <w:rPr>
                <w:sz w:val="20"/>
                <w:szCs w:val="20"/>
              </w:rPr>
            </w:pPr>
            <w:r w:rsidRPr="00551BE1">
              <w:rPr>
                <w:sz w:val="20"/>
                <w:szCs w:val="20"/>
              </w:rPr>
              <w:t xml:space="preserve">$73,249 </w:t>
            </w:r>
          </w:p>
        </w:tc>
        <w:tc>
          <w:tcPr>
            <w:tcW w:w="647" w:type="pct"/>
          </w:tcPr>
          <w:p w:rsidR="000A6AD6" w:rsidRPr="00551BE1" w:rsidRDefault="000A6AD6" w:rsidP="00C55EAE">
            <w:pPr>
              <w:pStyle w:val="TableFigureFooter"/>
              <w:rPr>
                <w:sz w:val="20"/>
                <w:szCs w:val="20"/>
              </w:rPr>
            </w:pPr>
            <w:r w:rsidRPr="00551BE1">
              <w:rPr>
                <w:sz w:val="20"/>
                <w:szCs w:val="20"/>
              </w:rPr>
              <w:t xml:space="preserve">$77,575 </w:t>
            </w:r>
          </w:p>
        </w:tc>
        <w:tc>
          <w:tcPr>
            <w:tcW w:w="647" w:type="pct"/>
          </w:tcPr>
          <w:p w:rsidR="000A6AD6" w:rsidRPr="00551BE1" w:rsidRDefault="000A6AD6" w:rsidP="00C55EAE">
            <w:pPr>
              <w:pStyle w:val="TableFigureFooter"/>
              <w:rPr>
                <w:sz w:val="20"/>
                <w:szCs w:val="20"/>
              </w:rPr>
            </w:pPr>
            <w:r w:rsidRPr="00551BE1">
              <w:rPr>
                <w:sz w:val="20"/>
                <w:szCs w:val="20"/>
              </w:rPr>
              <w:t xml:space="preserve">$81,901 </w:t>
            </w:r>
          </w:p>
        </w:tc>
        <w:tc>
          <w:tcPr>
            <w:tcW w:w="647" w:type="pct"/>
          </w:tcPr>
          <w:p w:rsidR="000A6AD6" w:rsidRPr="00551BE1" w:rsidRDefault="000A6AD6" w:rsidP="00C55EAE">
            <w:pPr>
              <w:pStyle w:val="TableFigureFooter"/>
              <w:rPr>
                <w:sz w:val="20"/>
                <w:szCs w:val="20"/>
              </w:rPr>
            </w:pPr>
            <w:r w:rsidRPr="00551BE1">
              <w:rPr>
                <w:sz w:val="20"/>
                <w:szCs w:val="20"/>
              </w:rPr>
              <w:t xml:space="preserve">$86,227 </w:t>
            </w:r>
          </w:p>
        </w:tc>
        <w:tc>
          <w:tcPr>
            <w:tcW w:w="649" w:type="pct"/>
          </w:tcPr>
          <w:p w:rsidR="000A6AD6" w:rsidRPr="00551BE1" w:rsidRDefault="000A6AD6" w:rsidP="00C55EAE">
            <w:pPr>
              <w:pStyle w:val="TableFigureFooter"/>
              <w:rPr>
                <w:sz w:val="20"/>
                <w:szCs w:val="20"/>
              </w:rPr>
            </w:pPr>
            <w:r w:rsidRPr="00551BE1">
              <w:rPr>
                <w:sz w:val="20"/>
                <w:szCs w:val="20"/>
              </w:rPr>
              <w:t xml:space="preserve">$90,553 </w:t>
            </w:r>
          </w:p>
        </w:tc>
      </w:tr>
    </w:tbl>
    <w:p w:rsidR="000A6AD6" w:rsidRPr="000B7209" w:rsidRDefault="000A6AD6" w:rsidP="000A6AD6">
      <w:pPr>
        <w:pStyle w:val="TableFigureFooter"/>
        <w:keepNext/>
      </w:pPr>
      <w:r w:rsidRPr="000B7209">
        <w:t>Source: Table 4.4, 4.6. 4.8, 4.10, 4.12, 4.14 of the submission</w:t>
      </w:r>
    </w:p>
    <w:p w:rsidR="000A6AD6" w:rsidRPr="00551BE1" w:rsidRDefault="000A6AD6" w:rsidP="000A6AD6">
      <w:pPr>
        <w:pStyle w:val="3Bodytext"/>
        <w:numPr>
          <w:ilvl w:val="0"/>
          <w:numId w:val="0"/>
        </w:numPr>
        <w:rPr>
          <w:u w:val="single"/>
        </w:rPr>
      </w:pPr>
      <w:r w:rsidRPr="00551BE1">
        <w:rPr>
          <w:u w:val="single"/>
        </w:rPr>
        <w:t>Estimates based 95.79% uptake</w:t>
      </w:r>
    </w:p>
    <w:p w:rsidR="000A6AD6" w:rsidRPr="000B7209" w:rsidRDefault="000A6AD6" w:rsidP="000A6AD6">
      <w:pPr>
        <w:pStyle w:val="3Bodytext"/>
      </w:pPr>
      <w:r w:rsidRPr="000B7209">
        <w:t>The minor submission estimated a net cost to the PBS of $</w:t>
      </w:r>
      <w:r w:rsidRPr="000B7209">
        <w:rPr>
          <w:bCs/>
        </w:rPr>
        <w:t xml:space="preserve">156,698 and </w:t>
      </w:r>
      <w:r w:rsidRPr="000B7209">
        <w:t xml:space="preserve">$827,669 over the first six years of listing. This is summarised in Table 4. </w:t>
      </w:r>
    </w:p>
    <w:p w:rsidR="000A6AD6" w:rsidRPr="000B7209" w:rsidRDefault="000A6AD6" w:rsidP="000A6AD6">
      <w:pPr>
        <w:pStyle w:val="Tabletitles"/>
      </w:pPr>
      <w:r w:rsidRPr="000B7209">
        <w:t>Table 4: Estimated financial implications based on 95.79% uptake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0"/>
        <w:gridCol w:w="1166"/>
        <w:gridCol w:w="1167"/>
        <w:gridCol w:w="1167"/>
        <w:gridCol w:w="1167"/>
        <w:gridCol w:w="1167"/>
        <w:gridCol w:w="1172"/>
      </w:tblGrid>
      <w:tr w:rsidR="000A6AD6" w:rsidRPr="00FB3DAB" w:rsidTr="00C55EAE">
        <w:trPr>
          <w:tblHeader/>
        </w:trPr>
        <w:tc>
          <w:tcPr>
            <w:tcW w:w="1115" w:type="pct"/>
            <w:shd w:val="clear" w:color="auto" w:fill="auto"/>
            <w:vAlign w:val="center"/>
          </w:tcPr>
          <w:p w:rsidR="000A6AD6" w:rsidRPr="00FB3DAB" w:rsidRDefault="000A6AD6" w:rsidP="00C55EAE">
            <w:pPr>
              <w:pStyle w:val="TableFigureFooter"/>
              <w:rPr>
                <w:b/>
                <w:sz w:val="20"/>
                <w:szCs w:val="20"/>
              </w:rPr>
            </w:pPr>
          </w:p>
        </w:tc>
        <w:tc>
          <w:tcPr>
            <w:tcW w:w="647" w:type="pct"/>
            <w:shd w:val="clear" w:color="auto" w:fill="auto"/>
            <w:vAlign w:val="center"/>
          </w:tcPr>
          <w:p w:rsidR="000A6AD6" w:rsidRPr="00FB3DAB" w:rsidRDefault="000A6AD6" w:rsidP="00C55EAE">
            <w:pPr>
              <w:pStyle w:val="TableFigureFooter"/>
              <w:rPr>
                <w:b/>
                <w:sz w:val="20"/>
                <w:szCs w:val="20"/>
              </w:rPr>
            </w:pPr>
            <w:r w:rsidRPr="00FB3DAB">
              <w:rPr>
                <w:b/>
                <w:sz w:val="20"/>
                <w:szCs w:val="20"/>
              </w:rPr>
              <w:t>Year 1</w:t>
            </w:r>
          </w:p>
        </w:tc>
        <w:tc>
          <w:tcPr>
            <w:tcW w:w="647" w:type="pct"/>
            <w:shd w:val="clear" w:color="auto" w:fill="auto"/>
            <w:vAlign w:val="center"/>
          </w:tcPr>
          <w:p w:rsidR="000A6AD6" w:rsidRPr="00FB3DAB" w:rsidRDefault="000A6AD6" w:rsidP="00C55EAE">
            <w:pPr>
              <w:pStyle w:val="TableFigureFooter"/>
              <w:rPr>
                <w:b/>
                <w:sz w:val="20"/>
                <w:szCs w:val="20"/>
              </w:rPr>
            </w:pPr>
            <w:r w:rsidRPr="00FB3DAB">
              <w:rPr>
                <w:b/>
                <w:sz w:val="20"/>
                <w:szCs w:val="20"/>
              </w:rPr>
              <w:t>Year 2</w:t>
            </w:r>
          </w:p>
        </w:tc>
        <w:tc>
          <w:tcPr>
            <w:tcW w:w="647" w:type="pct"/>
            <w:shd w:val="clear" w:color="auto" w:fill="auto"/>
            <w:vAlign w:val="center"/>
          </w:tcPr>
          <w:p w:rsidR="000A6AD6" w:rsidRPr="00FB3DAB" w:rsidRDefault="000A6AD6" w:rsidP="00C55EAE">
            <w:pPr>
              <w:pStyle w:val="TableFigureFooter"/>
              <w:rPr>
                <w:b/>
                <w:sz w:val="20"/>
                <w:szCs w:val="20"/>
              </w:rPr>
            </w:pPr>
            <w:r w:rsidRPr="00FB3DAB">
              <w:rPr>
                <w:b/>
                <w:sz w:val="20"/>
                <w:szCs w:val="20"/>
              </w:rPr>
              <w:t>Year 3</w:t>
            </w:r>
          </w:p>
        </w:tc>
        <w:tc>
          <w:tcPr>
            <w:tcW w:w="647" w:type="pct"/>
            <w:shd w:val="clear" w:color="auto" w:fill="auto"/>
            <w:vAlign w:val="center"/>
          </w:tcPr>
          <w:p w:rsidR="000A6AD6" w:rsidRPr="00FB3DAB" w:rsidRDefault="000A6AD6" w:rsidP="00C55EAE">
            <w:pPr>
              <w:pStyle w:val="TableFigureFooter"/>
              <w:rPr>
                <w:b/>
                <w:sz w:val="20"/>
                <w:szCs w:val="20"/>
              </w:rPr>
            </w:pPr>
            <w:r w:rsidRPr="00FB3DAB">
              <w:rPr>
                <w:b/>
                <w:sz w:val="20"/>
                <w:szCs w:val="20"/>
              </w:rPr>
              <w:t>Year 4</w:t>
            </w:r>
          </w:p>
        </w:tc>
        <w:tc>
          <w:tcPr>
            <w:tcW w:w="647" w:type="pct"/>
            <w:shd w:val="clear" w:color="auto" w:fill="auto"/>
            <w:vAlign w:val="center"/>
          </w:tcPr>
          <w:p w:rsidR="000A6AD6" w:rsidRPr="00FB3DAB" w:rsidRDefault="000A6AD6" w:rsidP="00C55EAE">
            <w:pPr>
              <w:pStyle w:val="TableFigureFooter"/>
              <w:rPr>
                <w:b/>
                <w:sz w:val="20"/>
                <w:szCs w:val="20"/>
              </w:rPr>
            </w:pPr>
            <w:r w:rsidRPr="00FB3DAB">
              <w:rPr>
                <w:b/>
                <w:sz w:val="20"/>
                <w:szCs w:val="20"/>
              </w:rPr>
              <w:t>Year 5</w:t>
            </w:r>
          </w:p>
        </w:tc>
        <w:tc>
          <w:tcPr>
            <w:tcW w:w="650" w:type="pct"/>
          </w:tcPr>
          <w:p w:rsidR="000A6AD6" w:rsidRPr="00FB3DAB" w:rsidRDefault="000A6AD6" w:rsidP="00C55EAE">
            <w:pPr>
              <w:pStyle w:val="TableFigureFooter"/>
              <w:rPr>
                <w:b/>
                <w:sz w:val="20"/>
                <w:szCs w:val="20"/>
              </w:rPr>
            </w:pPr>
            <w:r w:rsidRPr="00FB3DAB">
              <w:rPr>
                <w:b/>
                <w:sz w:val="20"/>
                <w:szCs w:val="20"/>
              </w:rPr>
              <w:t>Year 6</w:t>
            </w:r>
          </w:p>
        </w:tc>
      </w:tr>
      <w:tr w:rsidR="000A6AD6" w:rsidRPr="00FB3DAB" w:rsidTr="00C55EAE">
        <w:tc>
          <w:tcPr>
            <w:tcW w:w="5000" w:type="pct"/>
            <w:gridSpan w:val="7"/>
            <w:shd w:val="clear" w:color="auto" w:fill="auto"/>
            <w:vAlign w:val="center"/>
          </w:tcPr>
          <w:p w:rsidR="000A6AD6" w:rsidRPr="00FB3DAB" w:rsidRDefault="000A6AD6" w:rsidP="00C55EAE">
            <w:pPr>
              <w:pStyle w:val="TableFigureFooter"/>
              <w:rPr>
                <w:b/>
                <w:sz w:val="20"/>
                <w:szCs w:val="20"/>
              </w:rPr>
            </w:pPr>
            <w:r w:rsidRPr="00FB3DAB">
              <w:rPr>
                <w:b/>
                <w:sz w:val="20"/>
                <w:szCs w:val="20"/>
              </w:rPr>
              <w:t>Estimated financial implications of MOVAPO PFS</w:t>
            </w:r>
          </w:p>
        </w:tc>
      </w:tr>
      <w:tr w:rsidR="000A6AD6" w:rsidRPr="00FB3DAB" w:rsidTr="00C55EAE">
        <w:tc>
          <w:tcPr>
            <w:tcW w:w="1115" w:type="pct"/>
            <w:shd w:val="clear" w:color="auto" w:fill="auto"/>
            <w:vAlign w:val="center"/>
          </w:tcPr>
          <w:p w:rsidR="000A6AD6" w:rsidRPr="00FB3DAB" w:rsidRDefault="000A6AD6" w:rsidP="00C55EAE">
            <w:pPr>
              <w:pStyle w:val="TableFigureFooter"/>
              <w:rPr>
                <w:sz w:val="20"/>
                <w:szCs w:val="20"/>
              </w:rPr>
            </w:pPr>
            <w:r w:rsidRPr="00FB3DAB">
              <w:rPr>
                <w:sz w:val="20"/>
                <w:szCs w:val="20"/>
              </w:rPr>
              <w:t>Estimated number of scripts</w:t>
            </w:r>
          </w:p>
        </w:tc>
        <w:tc>
          <w:tcPr>
            <w:tcW w:w="647" w:type="pct"/>
          </w:tcPr>
          <w:p w:rsidR="000A6AD6" w:rsidRPr="00FB3DAB" w:rsidRDefault="000A6AD6" w:rsidP="00C55EAE">
            <w:pPr>
              <w:pStyle w:val="TableFigureFooter"/>
              <w:rPr>
                <w:sz w:val="20"/>
                <w:szCs w:val="20"/>
              </w:rPr>
            </w:pPr>
            <w:r w:rsidRPr="00FB3DAB">
              <w:rPr>
                <w:sz w:val="20"/>
                <w:szCs w:val="20"/>
              </w:rPr>
              <w:t xml:space="preserve">809 </w:t>
            </w:r>
          </w:p>
        </w:tc>
        <w:tc>
          <w:tcPr>
            <w:tcW w:w="647" w:type="pct"/>
          </w:tcPr>
          <w:p w:rsidR="000A6AD6" w:rsidRPr="00FB3DAB" w:rsidRDefault="000A6AD6" w:rsidP="00C55EAE">
            <w:pPr>
              <w:pStyle w:val="TableFigureFooter"/>
              <w:rPr>
                <w:sz w:val="20"/>
                <w:szCs w:val="20"/>
              </w:rPr>
            </w:pPr>
            <w:r w:rsidRPr="00FB3DAB">
              <w:rPr>
                <w:sz w:val="20"/>
                <w:szCs w:val="20"/>
              </w:rPr>
              <w:t xml:space="preserve">859 </w:t>
            </w:r>
          </w:p>
        </w:tc>
        <w:tc>
          <w:tcPr>
            <w:tcW w:w="647" w:type="pct"/>
          </w:tcPr>
          <w:p w:rsidR="000A6AD6" w:rsidRPr="00FB3DAB" w:rsidRDefault="000A6AD6" w:rsidP="00C55EAE">
            <w:pPr>
              <w:pStyle w:val="TableFigureFooter"/>
              <w:rPr>
                <w:sz w:val="20"/>
                <w:szCs w:val="20"/>
              </w:rPr>
            </w:pPr>
            <w:r w:rsidRPr="00FB3DAB">
              <w:rPr>
                <w:sz w:val="20"/>
                <w:szCs w:val="20"/>
              </w:rPr>
              <w:t xml:space="preserve">910 </w:t>
            </w:r>
          </w:p>
        </w:tc>
        <w:tc>
          <w:tcPr>
            <w:tcW w:w="647" w:type="pct"/>
          </w:tcPr>
          <w:p w:rsidR="000A6AD6" w:rsidRPr="00FB3DAB" w:rsidRDefault="000A6AD6" w:rsidP="00C55EAE">
            <w:pPr>
              <w:pStyle w:val="TableFigureFooter"/>
              <w:rPr>
                <w:sz w:val="20"/>
                <w:szCs w:val="20"/>
              </w:rPr>
            </w:pPr>
            <w:r w:rsidRPr="00FB3DAB">
              <w:rPr>
                <w:sz w:val="20"/>
                <w:szCs w:val="20"/>
              </w:rPr>
              <w:t xml:space="preserve">961 </w:t>
            </w:r>
          </w:p>
        </w:tc>
        <w:tc>
          <w:tcPr>
            <w:tcW w:w="647" w:type="pct"/>
          </w:tcPr>
          <w:p w:rsidR="000A6AD6" w:rsidRPr="00FB3DAB" w:rsidRDefault="000A6AD6" w:rsidP="00C55EAE">
            <w:pPr>
              <w:pStyle w:val="TableFigureFooter"/>
              <w:rPr>
                <w:sz w:val="20"/>
                <w:szCs w:val="20"/>
              </w:rPr>
            </w:pPr>
            <w:r w:rsidRPr="00FB3DAB">
              <w:rPr>
                <w:sz w:val="20"/>
                <w:szCs w:val="20"/>
              </w:rPr>
              <w:t xml:space="preserve">1,012 </w:t>
            </w:r>
          </w:p>
        </w:tc>
        <w:tc>
          <w:tcPr>
            <w:tcW w:w="650" w:type="pct"/>
          </w:tcPr>
          <w:p w:rsidR="000A6AD6" w:rsidRPr="00FB3DAB" w:rsidRDefault="000A6AD6" w:rsidP="00C55EAE">
            <w:pPr>
              <w:pStyle w:val="TableFigureFooter"/>
              <w:rPr>
                <w:sz w:val="20"/>
                <w:szCs w:val="20"/>
              </w:rPr>
            </w:pPr>
            <w:r w:rsidRPr="00FB3DAB">
              <w:rPr>
                <w:sz w:val="20"/>
                <w:szCs w:val="20"/>
              </w:rPr>
              <w:t xml:space="preserve">1,062 </w:t>
            </w:r>
          </w:p>
        </w:tc>
      </w:tr>
      <w:tr w:rsidR="000A6AD6" w:rsidRPr="00FB3DAB" w:rsidTr="00C55EAE">
        <w:tc>
          <w:tcPr>
            <w:tcW w:w="1115" w:type="pct"/>
            <w:tcBorders>
              <w:top w:val="single" w:sz="4" w:space="0" w:color="auto"/>
              <w:left w:val="single" w:sz="4" w:space="0" w:color="auto"/>
              <w:bottom w:val="single" w:sz="4" w:space="0" w:color="auto"/>
              <w:right w:val="nil"/>
            </w:tcBorders>
            <w:shd w:val="clear" w:color="000000" w:fill="FFFFFF"/>
            <w:vAlign w:val="center"/>
          </w:tcPr>
          <w:p w:rsidR="000A6AD6" w:rsidRPr="00FB3DAB" w:rsidRDefault="000A6AD6" w:rsidP="00C55EAE">
            <w:pPr>
              <w:pStyle w:val="TableFigureFooter"/>
              <w:rPr>
                <w:sz w:val="20"/>
                <w:szCs w:val="20"/>
              </w:rPr>
            </w:pPr>
            <w:r w:rsidRPr="00FB3DAB">
              <w:rPr>
                <w:sz w:val="20"/>
                <w:szCs w:val="20"/>
              </w:rPr>
              <w:t>Cost to PBS</w:t>
            </w:r>
          </w:p>
        </w:tc>
        <w:tc>
          <w:tcPr>
            <w:tcW w:w="647" w:type="pct"/>
          </w:tcPr>
          <w:p w:rsidR="000A6AD6" w:rsidRPr="00FB3DAB" w:rsidRDefault="000A6AD6" w:rsidP="00C55EAE">
            <w:pPr>
              <w:pStyle w:val="TableFigureFooter"/>
              <w:rPr>
                <w:sz w:val="20"/>
                <w:szCs w:val="20"/>
              </w:rPr>
            </w:pPr>
            <w:r w:rsidRPr="00FB3DAB">
              <w:rPr>
                <w:sz w:val="20"/>
                <w:szCs w:val="20"/>
              </w:rPr>
              <w:t xml:space="preserve">$6,673,290 </w:t>
            </w:r>
          </w:p>
        </w:tc>
        <w:tc>
          <w:tcPr>
            <w:tcW w:w="647" w:type="pct"/>
          </w:tcPr>
          <w:p w:rsidR="000A6AD6" w:rsidRPr="00FB3DAB" w:rsidRDefault="000A6AD6" w:rsidP="00C55EAE">
            <w:pPr>
              <w:pStyle w:val="TableFigureFooter"/>
              <w:rPr>
                <w:sz w:val="20"/>
                <w:szCs w:val="20"/>
              </w:rPr>
            </w:pPr>
            <w:r w:rsidRPr="00FB3DAB">
              <w:rPr>
                <w:sz w:val="20"/>
                <w:szCs w:val="20"/>
              </w:rPr>
              <w:t xml:space="preserve">$7,088,492 </w:t>
            </w:r>
          </w:p>
        </w:tc>
        <w:tc>
          <w:tcPr>
            <w:tcW w:w="647" w:type="pct"/>
          </w:tcPr>
          <w:p w:rsidR="000A6AD6" w:rsidRPr="00FB3DAB" w:rsidRDefault="000A6AD6" w:rsidP="00C55EAE">
            <w:pPr>
              <w:pStyle w:val="TableFigureFooter"/>
              <w:rPr>
                <w:sz w:val="20"/>
                <w:szCs w:val="20"/>
              </w:rPr>
            </w:pPr>
            <w:r w:rsidRPr="00FB3DAB">
              <w:rPr>
                <w:sz w:val="20"/>
                <w:szCs w:val="20"/>
              </w:rPr>
              <w:t xml:space="preserve">$7,512,038 </w:t>
            </w:r>
          </w:p>
        </w:tc>
        <w:tc>
          <w:tcPr>
            <w:tcW w:w="647" w:type="pct"/>
          </w:tcPr>
          <w:p w:rsidR="000A6AD6" w:rsidRPr="00FB3DAB" w:rsidRDefault="000A6AD6" w:rsidP="00C55EAE">
            <w:pPr>
              <w:pStyle w:val="TableFigureFooter"/>
              <w:rPr>
                <w:sz w:val="20"/>
                <w:szCs w:val="20"/>
              </w:rPr>
            </w:pPr>
            <w:r w:rsidRPr="00FB3DAB">
              <w:rPr>
                <w:sz w:val="20"/>
                <w:szCs w:val="20"/>
              </w:rPr>
              <w:t xml:space="preserve">$7,918,894 </w:t>
            </w:r>
          </w:p>
        </w:tc>
        <w:tc>
          <w:tcPr>
            <w:tcW w:w="647" w:type="pct"/>
          </w:tcPr>
          <w:p w:rsidR="000A6AD6" w:rsidRPr="00FB3DAB" w:rsidRDefault="000A6AD6" w:rsidP="00C55EAE">
            <w:pPr>
              <w:pStyle w:val="TableFigureFooter"/>
              <w:rPr>
                <w:sz w:val="20"/>
                <w:szCs w:val="20"/>
              </w:rPr>
            </w:pPr>
            <w:r w:rsidRPr="00FB3DAB">
              <w:rPr>
                <w:sz w:val="20"/>
                <w:szCs w:val="20"/>
              </w:rPr>
              <w:t xml:space="preserve">$8,342,440 </w:t>
            </w:r>
          </w:p>
        </w:tc>
        <w:tc>
          <w:tcPr>
            <w:tcW w:w="650" w:type="pct"/>
          </w:tcPr>
          <w:p w:rsidR="000A6AD6" w:rsidRPr="00FB3DAB" w:rsidRDefault="000A6AD6" w:rsidP="00C55EAE">
            <w:pPr>
              <w:pStyle w:val="TableFigureFooter"/>
              <w:rPr>
                <w:sz w:val="20"/>
                <w:szCs w:val="20"/>
              </w:rPr>
            </w:pPr>
            <w:r w:rsidRPr="00FB3DAB">
              <w:rPr>
                <w:sz w:val="20"/>
                <w:szCs w:val="20"/>
              </w:rPr>
              <w:t xml:space="preserve">$8,765,986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Less co-payments </w:t>
            </w:r>
          </w:p>
        </w:tc>
        <w:tc>
          <w:tcPr>
            <w:tcW w:w="647" w:type="pct"/>
          </w:tcPr>
          <w:p w:rsidR="000A6AD6" w:rsidRPr="00FB3DAB" w:rsidRDefault="000A6AD6" w:rsidP="00C55EAE">
            <w:pPr>
              <w:pStyle w:val="TableFigureFooter"/>
              <w:rPr>
                <w:sz w:val="20"/>
                <w:szCs w:val="20"/>
              </w:rPr>
            </w:pPr>
            <w:r w:rsidRPr="00FB3DAB">
              <w:rPr>
                <w:sz w:val="20"/>
                <w:szCs w:val="20"/>
              </w:rPr>
              <w:t xml:space="preserve">-$10,270 </w:t>
            </w:r>
          </w:p>
        </w:tc>
        <w:tc>
          <w:tcPr>
            <w:tcW w:w="647" w:type="pct"/>
          </w:tcPr>
          <w:p w:rsidR="000A6AD6" w:rsidRPr="00FB3DAB" w:rsidRDefault="000A6AD6" w:rsidP="00C55EAE">
            <w:pPr>
              <w:pStyle w:val="TableFigureFooter"/>
              <w:rPr>
                <w:sz w:val="20"/>
                <w:szCs w:val="20"/>
              </w:rPr>
            </w:pPr>
            <w:r w:rsidRPr="00FB3DAB">
              <w:rPr>
                <w:sz w:val="20"/>
                <w:szCs w:val="20"/>
              </w:rPr>
              <w:t xml:space="preserve">-$10,908 </w:t>
            </w:r>
          </w:p>
        </w:tc>
        <w:tc>
          <w:tcPr>
            <w:tcW w:w="647" w:type="pct"/>
          </w:tcPr>
          <w:p w:rsidR="000A6AD6" w:rsidRPr="00FB3DAB" w:rsidRDefault="000A6AD6" w:rsidP="00C55EAE">
            <w:pPr>
              <w:pStyle w:val="TableFigureFooter"/>
              <w:rPr>
                <w:sz w:val="20"/>
                <w:szCs w:val="20"/>
              </w:rPr>
            </w:pPr>
            <w:r w:rsidRPr="00FB3DAB">
              <w:rPr>
                <w:sz w:val="20"/>
                <w:szCs w:val="20"/>
              </w:rPr>
              <w:t xml:space="preserve">-$11,560 </w:t>
            </w:r>
          </w:p>
        </w:tc>
        <w:tc>
          <w:tcPr>
            <w:tcW w:w="647" w:type="pct"/>
          </w:tcPr>
          <w:p w:rsidR="000A6AD6" w:rsidRPr="00FB3DAB" w:rsidRDefault="000A6AD6" w:rsidP="00C55EAE">
            <w:pPr>
              <w:pStyle w:val="TableFigureFooter"/>
              <w:rPr>
                <w:sz w:val="20"/>
                <w:szCs w:val="20"/>
              </w:rPr>
            </w:pPr>
            <w:r w:rsidRPr="00FB3DAB">
              <w:rPr>
                <w:sz w:val="20"/>
                <w:szCs w:val="20"/>
              </w:rPr>
              <w:t xml:space="preserve">-$12,186 </w:t>
            </w:r>
          </w:p>
        </w:tc>
        <w:tc>
          <w:tcPr>
            <w:tcW w:w="647" w:type="pct"/>
          </w:tcPr>
          <w:p w:rsidR="000A6AD6" w:rsidRPr="00FB3DAB" w:rsidRDefault="000A6AD6" w:rsidP="00C55EAE">
            <w:pPr>
              <w:pStyle w:val="TableFigureFooter"/>
              <w:rPr>
                <w:sz w:val="20"/>
                <w:szCs w:val="20"/>
              </w:rPr>
            </w:pPr>
            <w:r w:rsidRPr="00FB3DAB">
              <w:rPr>
                <w:sz w:val="20"/>
                <w:szCs w:val="20"/>
              </w:rPr>
              <w:t xml:space="preserve">-$12,838 </w:t>
            </w:r>
          </w:p>
        </w:tc>
        <w:tc>
          <w:tcPr>
            <w:tcW w:w="650" w:type="pct"/>
          </w:tcPr>
          <w:p w:rsidR="000A6AD6" w:rsidRPr="00FB3DAB" w:rsidRDefault="000A6AD6" w:rsidP="00C55EAE">
            <w:pPr>
              <w:pStyle w:val="TableFigureFooter"/>
              <w:rPr>
                <w:sz w:val="20"/>
                <w:szCs w:val="20"/>
              </w:rPr>
            </w:pPr>
            <w:r w:rsidRPr="00FB3DAB">
              <w:rPr>
                <w:sz w:val="20"/>
                <w:szCs w:val="20"/>
              </w:rPr>
              <w:t xml:space="preserve">-$13,490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PBS </w:t>
            </w:r>
          </w:p>
        </w:tc>
        <w:tc>
          <w:tcPr>
            <w:tcW w:w="647" w:type="pct"/>
          </w:tcPr>
          <w:p w:rsidR="000A6AD6" w:rsidRPr="00FB3DAB" w:rsidRDefault="000A6AD6" w:rsidP="00C55EAE">
            <w:pPr>
              <w:pStyle w:val="TableFigureFooter"/>
              <w:rPr>
                <w:sz w:val="20"/>
                <w:szCs w:val="20"/>
              </w:rPr>
            </w:pPr>
            <w:r w:rsidRPr="00FB3DAB">
              <w:rPr>
                <w:sz w:val="20"/>
                <w:szCs w:val="20"/>
              </w:rPr>
              <w:t xml:space="preserve">$6,663,021 </w:t>
            </w:r>
          </w:p>
        </w:tc>
        <w:tc>
          <w:tcPr>
            <w:tcW w:w="647" w:type="pct"/>
          </w:tcPr>
          <w:p w:rsidR="000A6AD6" w:rsidRPr="00FB3DAB" w:rsidRDefault="000A6AD6" w:rsidP="00C55EAE">
            <w:pPr>
              <w:pStyle w:val="TableFigureFooter"/>
              <w:rPr>
                <w:sz w:val="20"/>
                <w:szCs w:val="20"/>
              </w:rPr>
            </w:pPr>
            <w:r w:rsidRPr="00FB3DAB">
              <w:rPr>
                <w:sz w:val="20"/>
                <w:szCs w:val="20"/>
              </w:rPr>
              <w:t xml:space="preserve">$7,077,583 </w:t>
            </w:r>
          </w:p>
        </w:tc>
        <w:tc>
          <w:tcPr>
            <w:tcW w:w="647" w:type="pct"/>
          </w:tcPr>
          <w:p w:rsidR="000A6AD6" w:rsidRPr="00FB3DAB" w:rsidRDefault="000A6AD6" w:rsidP="00C55EAE">
            <w:pPr>
              <w:pStyle w:val="TableFigureFooter"/>
              <w:rPr>
                <w:sz w:val="20"/>
                <w:szCs w:val="20"/>
              </w:rPr>
            </w:pPr>
            <w:r w:rsidRPr="00FB3DAB">
              <w:rPr>
                <w:sz w:val="20"/>
                <w:szCs w:val="20"/>
              </w:rPr>
              <w:t xml:space="preserve">$7,500,477 </w:t>
            </w:r>
          </w:p>
        </w:tc>
        <w:tc>
          <w:tcPr>
            <w:tcW w:w="647" w:type="pct"/>
          </w:tcPr>
          <w:p w:rsidR="000A6AD6" w:rsidRPr="00FB3DAB" w:rsidRDefault="000A6AD6" w:rsidP="00C55EAE">
            <w:pPr>
              <w:pStyle w:val="TableFigureFooter"/>
              <w:rPr>
                <w:sz w:val="20"/>
                <w:szCs w:val="20"/>
              </w:rPr>
            </w:pPr>
            <w:r w:rsidRPr="00FB3DAB">
              <w:rPr>
                <w:sz w:val="20"/>
                <w:szCs w:val="20"/>
              </w:rPr>
              <w:t xml:space="preserve">$7,906,708 </w:t>
            </w:r>
          </w:p>
        </w:tc>
        <w:tc>
          <w:tcPr>
            <w:tcW w:w="647" w:type="pct"/>
          </w:tcPr>
          <w:p w:rsidR="000A6AD6" w:rsidRPr="00FB3DAB" w:rsidRDefault="000A6AD6" w:rsidP="00C55EAE">
            <w:pPr>
              <w:pStyle w:val="TableFigureFooter"/>
              <w:rPr>
                <w:sz w:val="20"/>
                <w:szCs w:val="20"/>
              </w:rPr>
            </w:pPr>
            <w:r w:rsidRPr="00FB3DAB">
              <w:rPr>
                <w:sz w:val="20"/>
                <w:szCs w:val="20"/>
              </w:rPr>
              <w:t xml:space="preserve">$8,329,602 </w:t>
            </w:r>
          </w:p>
        </w:tc>
        <w:tc>
          <w:tcPr>
            <w:tcW w:w="650" w:type="pct"/>
          </w:tcPr>
          <w:p w:rsidR="000A6AD6" w:rsidRPr="00FB3DAB" w:rsidRDefault="000A6AD6" w:rsidP="00C55EAE">
            <w:pPr>
              <w:pStyle w:val="TableFigureFooter"/>
              <w:rPr>
                <w:sz w:val="20"/>
                <w:szCs w:val="20"/>
              </w:rPr>
            </w:pPr>
            <w:r w:rsidRPr="00FB3DAB">
              <w:rPr>
                <w:sz w:val="20"/>
                <w:szCs w:val="20"/>
              </w:rPr>
              <w:t xml:space="preserve">$8,752,496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Cost to RPBS </w:t>
            </w:r>
          </w:p>
        </w:tc>
        <w:tc>
          <w:tcPr>
            <w:tcW w:w="647" w:type="pct"/>
          </w:tcPr>
          <w:p w:rsidR="000A6AD6" w:rsidRPr="00FB3DAB" w:rsidRDefault="000A6AD6" w:rsidP="00C55EAE">
            <w:pPr>
              <w:pStyle w:val="TableFigureFooter"/>
              <w:rPr>
                <w:sz w:val="20"/>
                <w:szCs w:val="20"/>
              </w:rPr>
            </w:pPr>
            <w:r w:rsidRPr="00FB3DAB">
              <w:rPr>
                <w:sz w:val="20"/>
                <w:szCs w:val="20"/>
              </w:rPr>
              <w:t xml:space="preserve">$75,105 </w:t>
            </w:r>
          </w:p>
        </w:tc>
        <w:tc>
          <w:tcPr>
            <w:tcW w:w="647" w:type="pct"/>
          </w:tcPr>
          <w:p w:rsidR="000A6AD6" w:rsidRPr="00FB3DAB" w:rsidRDefault="000A6AD6" w:rsidP="00C55EAE">
            <w:pPr>
              <w:pStyle w:val="TableFigureFooter"/>
              <w:rPr>
                <w:sz w:val="20"/>
                <w:szCs w:val="20"/>
              </w:rPr>
            </w:pPr>
            <w:r w:rsidRPr="00FB3DAB">
              <w:rPr>
                <w:sz w:val="20"/>
                <w:szCs w:val="20"/>
              </w:rPr>
              <w:t xml:space="preserve">$83,450 </w:t>
            </w:r>
          </w:p>
        </w:tc>
        <w:tc>
          <w:tcPr>
            <w:tcW w:w="647" w:type="pct"/>
          </w:tcPr>
          <w:p w:rsidR="000A6AD6" w:rsidRPr="00FB3DAB" w:rsidRDefault="000A6AD6" w:rsidP="00C55EAE">
            <w:pPr>
              <w:pStyle w:val="TableFigureFooter"/>
              <w:rPr>
                <w:sz w:val="20"/>
                <w:szCs w:val="20"/>
              </w:rPr>
            </w:pPr>
            <w:r w:rsidRPr="00FB3DAB">
              <w:rPr>
                <w:sz w:val="20"/>
                <w:szCs w:val="20"/>
              </w:rPr>
              <w:t xml:space="preserve">$83,450 </w:t>
            </w:r>
          </w:p>
        </w:tc>
        <w:tc>
          <w:tcPr>
            <w:tcW w:w="647" w:type="pct"/>
          </w:tcPr>
          <w:p w:rsidR="000A6AD6" w:rsidRPr="00FB3DAB" w:rsidRDefault="000A6AD6" w:rsidP="00C55EAE">
            <w:pPr>
              <w:pStyle w:val="TableFigureFooter"/>
              <w:rPr>
                <w:sz w:val="20"/>
                <w:szCs w:val="20"/>
              </w:rPr>
            </w:pPr>
            <w:r w:rsidRPr="00FB3DAB">
              <w:rPr>
                <w:sz w:val="20"/>
                <w:szCs w:val="20"/>
              </w:rPr>
              <w:t xml:space="preserve">$100,140 </w:t>
            </w:r>
          </w:p>
        </w:tc>
        <w:tc>
          <w:tcPr>
            <w:tcW w:w="647" w:type="pct"/>
          </w:tcPr>
          <w:p w:rsidR="000A6AD6" w:rsidRPr="00FB3DAB" w:rsidRDefault="000A6AD6" w:rsidP="00C55EAE">
            <w:pPr>
              <w:pStyle w:val="TableFigureFooter"/>
              <w:rPr>
                <w:sz w:val="20"/>
                <w:szCs w:val="20"/>
              </w:rPr>
            </w:pPr>
            <w:r w:rsidRPr="00FB3DAB">
              <w:rPr>
                <w:sz w:val="20"/>
                <w:szCs w:val="20"/>
              </w:rPr>
              <w:t xml:space="preserve">$100,140 </w:t>
            </w:r>
          </w:p>
        </w:tc>
        <w:tc>
          <w:tcPr>
            <w:tcW w:w="650" w:type="pct"/>
          </w:tcPr>
          <w:p w:rsidR="000A6AD6" w:rsidRPr="00FB3DAB" w:rsidRDefault="000A6AD6" w:rsidP="00C55EAE">
            <w:pPr>
              <w:pStyle w:val="TableFigureFooter"/>
              <w:rPr>
                <w:sz w:val="20"/>
                <w:szCs w:val="20"/>
              </w:rPr>
            </w:pPr>
            <w:r w:rsidRPr="00FB3DAB">
              <w:rPr>
                <w:sz w:val="20"/>
                <w:szCs w:val="20"/>
              </w:rPr>
              <w:t xml:space="preserve">$100,140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Less co-payments </w:t>
            </w:r>
          </w:p>
        </w:tc>
        <w:tc>
          <w:tcPr>
            <w:tcW w:w="647" w:type="pct"/>
          </w:tcPr>
          <w:p w:rsidR="000A6AD6" w:rsidRPr="00FB3DAB" w:rsidRDefault="000A6AD6" w:rsidP="00C55EAE">
            <w:pPr>
              <w:pStyle w:val="TableFigureFooter"/>
              <w:rPr>
                <w:sz w:val="20"/>
                <w:szCs w:val="20"/>
              </w:rPr>
            </w:pPr>
            <w:r w:rsidRPr="00FB3DAB">
              <w:rPr>
                <w:sz w:val="20"/>
                <w:szCs w:val="20"/>
              </w:rPr>
              <w:t xml:space="preserve">-$59 </w:t>
            </w:r>
          </w:p>
        </w:tc>
        <w:tc>
          <w:tcPr>
            <w:tcW w:w="647" w:type="pct"/>
          </w:tcPr>
          <w:p w:rsidR="000A6AD6" w:rsidRPr="00FB3DAB" w:rsidRDefault="000A6AD6" w:rsidP="00C55EAE">
            <w:pPr>
              <w:pStyle w:val="TableFigureFooter"/>
              <w:rPr>
                <w:sz w:val="20"/>
                <w:szCs w:val="20"/>
              </w:rPr>
            </w:pPr>
            <w:r w:rsidRPr="00FB3DAB">
              <w:rPr>
                <w:sz w:val="20"/>
                <w:szCs w:val="20"/>
              </w:rPr>
              <w:t xml:space="preserve">-$66 </w:t>
            </w:r>
          </w:p>
        </w:tc>
        <w:tc>
          <w:tcPr>
            <w:tcW w:w="647" w:type="pct"/>
          </w:tcPr>
          <w:p w:rsidR="000A6AD6" w:rsidRPr="00FB3DAB" w:rsidRDefault="000A6AD6" w:rsidP="00C55EAE">
            <w:pPr>
              <w:pStyle w:val="TableFigureFooter"/>
              <w:rPr>
                <w:sz w:val="20"/>
                <w:szCs w:val="20"/>
              </w:rPr>
            </w:pPr>
            <w:r w:rsidRPr="00FB3DAB">
              <w:rPr>
                <w:sz w:val="20"/>
                <w:szCs w:val="20"/>
              </w:rPr>
              <w:t xml:space="preserve">-$66 </w:t>
            </w:r>
          </w:p>
        </w:tc>
        <w:tc>
          <w:tcPr>
            <w:tcW w:w="647" w:type="pct"/>
          </w:tcPr>
          <w:p w:rsidR="000A6AD6" w:rsidRPr="00FB3DAB" w:rsidRDefault="000A6AD6" w:rsidP="00C55EAE">
            <w:pPr>
              <w:pStyle w:val="TableFigureFooter"/>
              <w:rPr>
                <w:sz w:val="20"/>
                <w:szCs w:val="20"/>
              </w:rPr>
            </w:pPr>
            <w:r w:rsidRPr="00FB3DAB">
              <w:rPr>
                <w:sz w:val="20"/>
                <w:szCs w:val="20"/>
              </w:rPr>
              <w:t xml:space="preserve">-$79 </w:t>
            </w:r>
          </w:p>
        </w:tc>
        <w:tc>
          <w:tcPr>
            <w:tcW w:w="647" w:type="pct"/>
          </w:tcPr>
          <w:p w:rsidR="000A6AD6" w:rsidRPr="00FB3DAB" w:rsidRDefault="000A6AD6" w:rsidP="00C55EAE">
            <w:pPr>
              <w:pStyle w:val="TableFigureFooter"/>
              <w:rPr>
                <w:sz w:val="20"/>
                <w:szCs w:val="20"/>
              </w:rPr>
            </w:pPr>
            <w:r w:rsidRPr="00FB3DAB">
              <w:rPr>
                <w:sz w:val="20"/>
                <w:szCs w:val="20"/>
              </w:rPr>
              <w:t xml:space="preserve">-$79 </w:t>
            </w:r>
          </w:p>
        </w:tc>
        <w:tc>
          <w:tcPr>
            <w:tcW w:w="650" w:type="pct"/>
          </w:tcPr>
          <w:p w:rsidR="000A6AD6" w:rsidRPr="00FB3DAB" w:rsidRDefault="000A6AD6" w:rsidP="00C55EAE">
            <w:pPr>
              <w:pStyle w:val="TableFigureFooter"/>
              <w:rPr>
                <w:sz w:val="20"/>
                <w:szCs w:val="20"/>
              </w:rPr>
            </w:pPr>
            <w:r w:rsidRPr="00FB3DAB">
              <w:rPr>
                <w:sz w:val="20"/>
                <w:szCs w:val="20"/>
              </w:rPr>
              <w:t xml:space="preserve">-$79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RPBS </w:t>
            </w:r>
          </w:p>
        </w:tc>
        <w:tc>
          <w:tcPr>
            <w:tcW w:w="647" w:type="pct"/>
          </w:tcPr>
          <w:p w:rsidR="000A6AD6" w:rsidRPr="00FB3DAB" w:rsidRDefault="000A6AD6" w:rsidP="00C55EAE">
            <w:pPr>
              <w:pStyle w:val="TableFigureFooter"/>
              <w:rPr>
                <w:sz w:val="20"/>
                <w:szCs w:val="20"/>
              </w:rPr>
            </w:pPr>
            <w:r w:rsidRPr="00FB3DAB">
              <w:rPr>
                <w:sz w:val="20"/>
                <w:szCs w:val="20"/>
              </w:rPr>
              <w:t xml:space="preserve">$75,046 </w:t>
            </w:r>
          </w:p>
        </w:tc>
        <w:tc>
          <w:tcPr>
            <w:tcW w:w="647" w:type="pct"/>
          </w:tcPr>
          <w:p w:rsidR="000A6AD6" w:rsidRPr="00FB3DAB" w:rsidRDefault="000A6AD6" w:rsidP="00C55EAE">
            <w:pPr>
              <w:pStyle w:val="TableFigureFooter"/>
              <w:rPr>
                <w:sz w:val="20"/>
                <w:szCs w:val="20"/>
              </w:rPr>
            </w:pPr>
            <w:r w:rsidRPr="00FB3DAB">
              <w:rPr>
                <w:sz w:val="20"/>
                <w:szCs w:val="20"/>
              </w:rPr>
              <w:t xml:space="preserve">$83,384 </w:t>
            </w:r>
          </w:p>
        </w:tc>
        <w:tc>
          <w:tcPr>
            <w:tcW w:w="647" w:type="pct"/>
          </w:tcPr>
          <w:p w:rsidR="000A6AD6" w:rsidRPr="00FB3DAB" w:rsidRDefault="000A6AD6" w:rsidP="00C55EAE">
            <w:pPr>
              <w:pStyle w:val="TableFigureFooter"/>
              <w:rPr>
                <w:sz w:val="20"/>
                <w:szCs w:val="20"/>
              </w:rPr>
            </w:pPr>
            <w:r w:rsidRPr="00FB3DAB">
              <w:rPr>
                <w:sz w:val="20"/>
                <w:szCs w:val="20"/>
              </w:rPr>
              <w:t xml:space="preserve">$83,384 </w:t>
            </w:r>
          </w:p>
        </w:tc>
        <w:tc>
          <w:tcPr>
            <w:tcW w:w="647" w:type="pct"/>
          </w:tcPr>
          <w:p w:rsidR="000A6AD6" w:rsidRPr="00FB3DAB" w:rsidRDefault="000A6AD6" w:rsidP="00C55EAE">
            <w:pPr>
              <w:pStyle w:val="TableFigureFooter"/>
              <w:rPr>
                <w:sz w:val="20"/>
                <w:szCs w:val="20"/>
              </w:rPr>
            </w:pPr>
            <w:r w:rsidRPr="00FB3DAB">
              <w:rPr>
                <w:sz w:val="20"/>
                <w:szCs w:val="20"/>
              </w:rPr>
              <w:t xml:space="preserve">$100,061 </w:t>
            </w:r>
          </w:p>
        </w:tc>
        <w:tc>
          <w:tcPr>
            <w:tcW w:w="647" w:type="pct"/>
          </w:tcPr>
          <w:p w:rsidR="000A6AD6" w:rsidRPr="00FB3DAB" w:rsidRDefault="000A6AD6" w:rsidP="00C55EAE">
            <w:pPr>
              <w:pStyle w:val="TableFigureFooter"/>
              <w:rPr>
                <w:sz w:val="20"/>
                <w:szCs w:val="20"/>
              </w:rPr>
            </w:pPr>
            <w:r w:rsidRPr="00FB3DAB">
              <w:rPr>
                <w:sz w:val="20"/>
                <w:szCs w:val="20"/>
              </w:rPr>
              <w:t xml:space="preserve">$100,061 </w:t>
            </w:r>
          </w:p>
        </w:tc>
        <w:tc>
          <w:tcPr>
            <w:tcW w:w="650" w:type="pct"/>
          </w:tcPr>
          <w:p w:rsidR="000A6AD6" w:rsidRPr="00FB3DAB" w:rsidRDefault="000A6AD6" w:rsidP="00C55EAE">
            <w:pPr>
              <w:pStyle w:val="TableFigureFooter"/>
              <w:rPr>
                <w:sz w:val="20"/>
                <w:szCs w:val="20"/>
              </w:rPr>
            </w:pPr>
            <w:r w:rsidRPr="00FB3DAB">
              <w:rPr>
                <w:sz w:val="20"/>
                <w:szCs w:val="20"/>
              </w:rPr>
              <w:t xml:space="preserve">$100,061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PBS/ RPBS </w:t>
            </w:r>
          </w:p>
        </w:tc>
        <w:tc>
          <w:tcPr>
            <w:tcW w:w="647" w:type="pct"/>
          </w:tcPr>
          <w:p w:rsidR="000A6AD6" w:rsidRPr="00FB3DAB" w:rsidRDefault="000A6AD6" w:rsidP="00C55EAE">
            <w:pPr>
              <w:pStyle w:val="TableFigureFooter"/>
              <w:rPr>
                <w:sz w:val="20"/>
                <w:szCs w:val="20"/>
              </w:rPr>
            </w:pPr>
            <w:r w:rsidRPr="00FB3DAB">
              <w:rPr>
                <w:sz w:val="20"/>
                <w:szCs w:val="20"/>
              </w:rPr>
              <w:t xml:space="preserve">$6,738,066 </w:t>
            </w:r>
          </w:p>
        </w:tc>
        <w:tc>
          <w:tcPr>
            <w:tcW w:w="647" w:type="pct"/>
          </w:tcPr>
          <w:p w:rsidR="000A6AD6" w:rsidRPr="00FB3DAB" w:rsidRDefault="000A6AD6" w:rsidP="00C55EAE">
            <w:pPr>
              <w:pStyle w:val="TableFigureFooter"/>
              <w:rPr>
                <w:sz w:val="20"/>
                <w:szCs w:val="20"/>
              </w:rPr>
            </w:pPr>
            <w:r w:rsidRPr="00FB3DAB">
              <w:rPr>
                <w:sz w:val="20"/>
                <w:szCs w:val="20"/>
              </w:rPr>
              <w:t xml:space="preserve">$7,160,967 </w:t>
            </w:r>
          </w:p>
        </w:tc>
        <w:tc>
          <w:tcPr>
            <w:tcW w:w="647" w:type="pct"/>
          </w:tcPr>
          <w:p w:rsidR="000A6AD6" w:rsidRPr="00FB3DAB" w:rsidRDefault="000A6AD6" w:rsidP="00C55EAE">
            <w:pPr>
              <w:pStyle w:val="TableFigureFooter"/>
              <w:rPr>
                <w:sz w:val="20"/>
                <w:szCs w:val="20"/>
              </w:rPr>
            </w:pPr>
            <w:r w:rsidRPr="00FB3DAB">
              <w:rPr>
                <w:sz w:val="20"/>
                <w:szCs w:val="20"/>
              </w:rPr>
              <w:t xml:space="preserve">$7,583,861 </w:t>
            </w:r>
          </w:p>
        </w:tc>
        <w:tc>
          <w:tcPr>
            <w:tcW w:w="647" w:type="pct"/>
          </w:tcPr>
          <w:p w:rsidR="000A6AD6" w:rsidRPr="00FB3DAB" w:rsidRDefault="000A6AD6" w:rsidP="00C55EAE">
            <w:pPr>
              <w:pStyle w:val="TableFigureFooter"/>
              <w:rPr>
                <w:sz w:val="20"/>
                <w:szCs w:val="20"/>
              </w:rPr>
            </w:pPr>
            <w:r w:rsidRPr="00FB3DAB">
              <w:rPr>
                <w:sz w:val="20"/>
                <w:szCs w:val="20"/>
              </w:rPr>
              <w:t xml:space="preserve">$8,006,768 </w:t>
            </w:r>
          </w:p>
        </w:tc>
        <w:tc>
          <w:tcPr>
            <w:tcW w:w="647" w:type="pct"/>
          </w:tcPr>
          <w:p w:rsidR="000A6AD6" w:rsidRPr="00FB3DAB" w:rsidRDefault="000A6AD6" w:rsidP="00C55EAE">
            <w:pPr>
              <w:pStyle w:val="TableFigureFooter"/>
              <w:rPr>
                <w:sz w:val="20"/>
                <w:szCs w:val="20"/>
              </w:rPr>
            </w:pPr>
            <w:r w:rsidRPr="00FB3DAB">
              <w:rPr>
                <w:sz w:val="20"/>
                <w:szCs w:val="20"/>
              </w:rPr>
              <w:t xml:space="preserve">$8,429,663 </w:t>
            </w:r>
          </w:p>
        </w:tc>
        <w:tc>
          <w:tcPr>
            <w:tcW w:w="650" w:type="pct"/>
          </w:tcPr>
          <w:p w:rsidR="000A6AD6" w:rsidRPr="00FB3DAB" w:rsidRDefault="000A6AD6" w:rsidP="00C55EAE">
            <w:pPr>
              <w:pStyle w:val="TableFigureFooter"/>
              <w:rPr>
                <w:sz w:val="20"/>
                <w:szCs w:val="20"/>
              </w:rPr>
            </w:pPr>
            <w:r w:rsidRPr="00FB3DAB">
              <w:rPr>
                <w:sz w:val="20"/>
                <w:szCs w:val="20"/>
              </w:rPr>
              <w:t xml:space="preserve">$8,852,557 </w:t>
            </w:r>
          </w:p>
        </w:tc>
      </w:tr>
      <w:tr w:rsidR="000A6AD6" w:rsidRPr="00FB3DAB" w:rsidTr="00C55EAE">
        <w:tc>
          <w:tcPr>
            <w:tcW w:w="5000" w:type="pct"/>
            <w:gridSpan w:val="7"/>
            <w:tcBorders>
              <w:right w:val="single" w:sz="4" w:space="0" w:color="auto"/>
            </w:tcBorders>
            <w:shd w:val="clear" w:color="auto" w:fill="auto"/>
            <w:vAlign w:val="center"/>
          </w:tcPr>
          <w:p w:rsidR="000A6AD6" w:rsidRPr="00FB3DAB" w:rsidRDefault="000A6AD6" w:rsidP="00C55EAE">
            <w:pPr>
              <w:pStyle w:val="TableFigureFooter"/>
              <w:rPr>
                <w:b/>
                <w:sz w:val="20"/>
                <w:szCs w:val="20"/>
              </w:rPr>
            </w:pPr>
            <w:r w:rsidRPr="00FB3DAB">
              <w:rPr>
                <w:b/>
                <w:sz w:val="20"/>
                <w:szCs w:val="20"/>
              </w:rPr>
              <w:t>Estimated financial implications of financial impact from any affected medicine (at the published price) – Combined impact of Apomorphine solution PBS items 10950H and 10971K</w:t>
            </w:r>
          </w:p>
        </w:tc>
      </w:tr>
      <w:tr w:rsidR="000A6AD6" w:rsidRPr="00FB3DAB" w:rsidTr="00C55EAE">
        <w:tc>
          <w:tcPr>
            <w:tcW w:w="1115" w:type="pct"/>
            <w:tcBorders>
              <w:top w:val="single" w:sz="4" w:space="0" w:color="auto"/>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Cost to 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-$6,554,013</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-$6,961,772</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-$7,377,747</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-$7,777,338</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-$8,193,314</w:t>
            </w:r>
          </w:p>
        </w:tc>
        <w:tc>
          <w:tcPr>
            <w:tcW w:w="650"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-$8,609,289</w:t>
            </w:r>
          </w:p>
        </w:tc>
      </w:tr>
      <w:tr w:rsidR="000A6AD6" w:rsidRPr="00FB3DAB" w:rsidTr="00C55EAE">
        <w:tc>
          <w:tcPr>
            <w:tcW w:w="1115" w:type="pct"/>
            <w:tcBorders>
              <w:top w:val="nil"/>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$10,270</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$10,908</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$11,560</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$12,186</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$12,838</w:t>
            </w:r>
          </w:p>
        </w:tc>
        <w:tc>
          <w:tcPr>
            <w:tcW w:w="650"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$13,490</w:t>
            </w:r>
          </w:p>
        </w:tc>
      </w:tr>
      <w:tr w:rsidR="000A6AD6" w:rsidRPr="00FB3DAB" w:rsidTr="00C55EAE">
        <w:tc>
          <w:tcPr>
            <w:tcW w:w="1115" w:type="pct"/>
            <w:tcBorders>
              <w:top w:val="nil"/>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Net cost to 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-$6,543,743</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-$6,950,864</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-$7,366,187</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-$7,765,152</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-$8,180,475</w:t>
            </w:r>
          </w:p>
        </w:tc>
        <w:tc>
          <w:tcPr>
            <w:tcW w:w="650"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-$8,595,799</w:t>
            </w:r>
          </w:p>
        </w:tc>
      </w:tr>
      <w:tr w:rsidR="000A6AD6" w:rsidRPr="00FB3DAB" w:rsidTr="00C55EAE">
        <w:tc>
          <w:tcPr>
            <w:tcW w:w="1115" w:type="pct"/>
            <w:tcBorders>
              <w:top w:val="single" w:sz="4" w:space="0" w:color="auto"/>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Cost to RPBS</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-$73,751</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-$81,967</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-$81,967</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-$98,350</w:t>
            </w:r>
          </w:p>
        </w:tc>
        <w:tc>
          <w:tcPr>
            <w:tcW w:w="647"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-$98,350</w:t>
            </w:r>
          </w:p>
        </w:tc>
        <w:tc>
          <w:tcPr>
            <w:tcW w:w="650" w:type="pct"/>
            <w:tcBorders>
              <w:top w:val="single" w:sz="4" w:space="0" w:color="auto"/>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-$98,350</w:t>
            </w:r>
          </w:p>
        </w:tc>
      </w:tr>
      <w:tr w:rsidR="000A6AD6" w:rsidRPr="00FB3DAB" w:rsidTr="00C55EAE">
        <w:tc>
          <w:tcPr>
            <w:tcW w:w="1115" w:type="pct"/>
            <w:tcBorders>
              <w:top w:val="nil"/>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Less co-payments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$59</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$66</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$66</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$79</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$79</w:t>
            </w:r>
          </w:p>
        </w:tc>
        <w:tc>
          <w:tcPr>
            <w:tcW w:w="650"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$79</w:t>
            </w:r>
          </w:p>
        </w:tc>
      </w:tr>
      <w:tr w:rsidR="000A6AD6" w:rsidRPr="00FB3DAB" w:rsidTr="00C55EAE">
        <w:tc>
          <w:tcPr>
            <w:tcW w:w="1115" w:type="pct"/>
            <w:tcBorders>
              <w:top w:val="nil"/>
              <w:left w:val="single" w:sz="4" w:space="0" w:color="auto"/>
              <w:bottom w:val="single" w:sz="4" w:space="0" w:color="auto"/>
              <w:right w:val="nil"/>
            </w:tcBorders>
            <w:shd w:val="clear" w:color="auto" w:fill="auto"/>
            <w:vAlign w:val="center"/>
          </w:tcPr>
          <w:p w:rsidR="000A6AD6" w:rsidRPr="00FB3DAB" w:rsidRDefault="000A6AD6" w:rsidP="00C55EAE">
            <w:pPr>
              <w:pStyle w:val="TableFigureFooter"/>
              <w:rPr>
                <w:sz w:val="20"/>
                <w:szCs w:val="20"/>
              </w:rPr>
            </w:pPr>
            <w:r w:rsidRPr="00FB3DAB">
              <w:rPr>
                <w:sz w:val="20"/>
                <w:szCs w:val="20"/>
              </w:rPr>
              <w:t>Net cost to RPBS</w:t>
            </w:r>
          </w:p>
        </w:tc>
        <w:tc>
          <w:tcPr>
            <w:tcW w:w="647" w:type="pct"/>
            <w:tcBorders>
              <w:top w:val="nil"/>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-$73,691</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-$81,901</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-$81,901</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-$98,271</w:t>
            </w:r>
          </w:p>
        </w:tc>
        <w:tc>
          <w:tcPr>
            <w:tcW w:w="647"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-$98,271</w:t>
            </w:r>
          </w:p>
        </w:tc>
        <w:tc>
          <w:tcPr>
            <w:tcW w:w="650" w:type="pct"/>
            <w:tcBorders>
              <w:top w:val="nil"/>
              <w:left w:val="nil"/>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-$98,271</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Total cost to PBS/RPBS </w:t>
            </w:r>
          </w:p>
        </w:tc>
        <w:tc>
          <w:tcPr>
            <w:tcW w:w="647" w:type="pct"/>
          </w:tcPr>
          <w:p w:rsidR="000A6AD6" w:rsidRPr="00FB3DAB" w:rsidRDefault="000A6AD6" w:rsidP="00C55EAE">
            <w:pPr>
              <w:pStyle w:val="TableFigureFooter"/>
              <w:rPr>
                <w:sz w:val="20"/>
                <w:szCs w:val="20"/>
              </w:rPr>
            </w:pPr>
            <w:r w:rsidRPr="00FB3DAB">
              <w:rPr>
                <w:sz w:val="20"/>
                <w:szCs w:val="20"/>
              </w:rPr>
              <w:t xml:space="preserve">-$6,617,435 </w:t>
            </w:r>
          </w:p>
        </w:tc>
        <w:tc>
          <w:tcPr>
            <w:tcW w:w="647" w:type="pct"/>
          </w:tcPr>
          <w:p w:rsidR="000A6AD6" w:rsidRPr="00FB3DAB" w:rsidRDefault="000A6AD6" w:rsidP="00C55EAE">
            <w:pPr>
              <w:pStyle w:val="TableFigureFooter"/>
              <w:rPr>
                <w:sz w:val="20"/>
                <w:szCs w:val="20"/>
              </w:rPr>
            </w:pPr>
            <w:r w:rsidRPr="00FB3DAB">
              <w:rPr>
                <w:sz w:val="20"/>
                <w:szCs w:val="20"/>
              </w:rPr>
              <w:t xml:space="preserve">-$7,032,764 </w:t>
            </w:r>
          </w:p>
        </w:tc>
        <w:tc>
          <w:tcPr>
            <w:tcW w:w="647" w:type="pct"/>
          </w:tcPr>
          <w:p w:rsidR="000A6AD6" w:rsidRPr="00FB3DAB" w:rsidRDefault="000A6AD6" w:rsidP="00C55EAE">
            <w:pPr>
              <w:pStyle w:val="TableFigureFooter"/>
              <w:rPr>
                <w:sz w:val="20"/>
                <w:szCs w:val="20"/>
              </w:rPr>
            </w:pPr>
            <w:r w:rsidRPr="00FB3DAB">
              <w:rPr>
                <w:sz w:val="20"/>
                <w:szCs w:val="20"/>
              </w:rPr>
              <w:t xml:space="preserve">-$7,448,087 </w:t>
            </w:r>
          </w:p>
        </w:tc>
        <w:tc>
          <w:tcPr>
            <w:tcW w:w="647" w:type="pct"/>
          </w:tcPr>
          <w:p w:rsidR="000A6AD6" w:rsidRPr="00FB3DAB" w:rsidRDefault="000A6AD6" w:rsidP="00C55EAE">
            <w:pPr>
              <w:pStyle w:val="TableFigureFooter"/>
              <w:rPr>
                <w:sz w:val="20"/>
                <w:szCs w:val="20"/>
              </w:rPr>
            </w:pPr>
            <w:r w:rsidRPr="00FB3DAB">
              <w:rPr>
                <w:sz w:val="20"/>
                <w:szCs w:val="20"/>
              </w:rPr>
              <w:t xml:space="preserve">-$7,863,423 </w:t>
            </w:r>
          </w:p>
        </w:tc>
        <w:tc>
          <w:tcPr>
            <w:tcW w:w="647" w:type="pct"/>
          </w:tcPr>
          <w:p w:rsidR="000A6AD6" w:rsidRPr="00FB3DAB" w:rsidRDefault="000A6AD6" w:rsidP="00C55EAE">
            <w:pPr>
              <w:pStyle w:val="TableFigureFooter"/>
              <w:rPr>
                <w:sz w:val="20"/>
                <w:szCs w:val="20"/>
              </w:rPr>
            </w:pPr>
            <w:r w:rsidRPr="00FB3DAB">
              <w:rPr>
                <w:sz w:val="20"/>
                <w:szCs w:val="20"/>
              </w:rPr>
              <w:t xml:space="preserve">-$8,278,747 </w:t>
            </w:r>
          </w:p>
        </w:tc>
        <w:tc>
          <w:tcPr>
            <w:tcW w:w="650" w:type="pct"/>
          </w:tcPr>
          <w:p w:rsidR="000A6AD6" w:rsidRPr="00FB3DAB" w:rsidRDefault="000A6AD6" w:rsidP="00C55EAE">
            <w:pPr>
              <w:pStyle w:val="TableFigureFooter"/>
              <w:rPr>
                <w:sz w:val="20"/>
                <w:szCs w:val="20"/>
              </w:rPr>
            </w:pPr>
            <w:r w:rsidRPr="00FB3DAB">
              <w:rPr>
                <w:sz w:val="20"/>
                <w:szCs w:val="20"/>
              </w:rPr>
              <w:t xml:space="preserve">-$8,694,070 </w:t>
            </w:r>
          </w:p>
        </w:tc>
      </w:tr>
      <w:tr w:rsidR="000A6AD6" w:rsidRPr="00FB3DAB"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b/>
                <w:sz w:val="20"/>
                <w:szCs w:val="20"/>
              </w:rPr>
            </w:pPr>
            <w:r w:rsidRPr="00FB3DAB">
              <w:rPr>
                <w:b/>
                <w:sz w:val="20"/>
                <w:szCs w:val="20"/>
              </w:rPr>
              <w:t>Net total PBS impact of the listing of MOVAPO PFS</w:t>
            </w:r>
          </w:p>
        </w:tc>
      </w:tr>
      <w:tr w:rsidR="000A6AD6" w:rsidRPr="00FB3DAB"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b/>
                <w:sz w:val="20"/>
                <w:szCs w:val="20"/>
              </w:rPr>
            </w:pPr>
            <w:r w:rsidRPr="00FB3DAB">
              <w:rPr>
                <w:b/>
                <w:sz w:val="20"/>
                <w:szCs w:val="20"/>
              </w:rPr>
              <w:t>PBS</w:t>
            </w:r>
          </w:p>
        </w:tc>
      </w:tr>
      <w:tr w:rsidR="000A6AD6" w:rsidRPr="00FB3DAB" w:rsidTr="00C55EAE">
        <w:tc>
          <w:tcPr>
            <w:tcW w:w="1115" w:type="pct"/>
            <w:tcBorders>
              <w:top w:val="single" w:sz="4" w:space="0" w:color="auto"/>
              <w:left w:val="single" w:sz="4" w:space="0" w:color="auto"/>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New listing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$6,663,021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$7,077,583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$7,500,477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$7,906,708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$8,329,602 </w:t>
            </w:r>
          </w:p>
        </w:tc>
        <w:tc>
          <w:tcPr>
            <w:tcW w:w="650"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$8,752,496 </w:t>
            </w:r>
          </w:p>
        </w:tc>
      </w:tr>
      <w:tr w:rsidR="000A6AD6" w:rsidRPr="00FB3DAB" w:rsidTr="00C55EAE">
        <w:tc>
          <w:tcPr>
            <w:tcW w:w="1115" w:type="pct"/>
            <w:tcBorders>
              <w:top w:val="single" w:sz="4" w:space="0" w:color="auto"/>
              <w:left w:val="single" w:sz="4" w:space="0" w:color="auto"/>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Changed listing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-$6,543,743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-$6,950,864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-$7,366,187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-$7,765,152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-$8,180,475 </w:t>
            </w:r>
          </w:p>
        </w:tc>
        <w:tc>
          <w:tcPr>
            <w:tcW w:w="650"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-$8,595,799 </w:t>
            </w:r>
          </w:p>
        </w:tc>
      </w:tr>
      <w:tr w:rsidR="000A6AD6" w:rsidRPr="00FB3DAB" w:rsidTr="00C55EAE">
        <w:tc>
          <w:tcPr>
            <w:tcW w:w="1115" w:type="pct"/>
            <w:tcBorders>
              <w:top w:val="single" w:sz="4" w:space="0" w:color="auto"/>
              <w:left w:val="single" w:sz="4" w:space="0" w:color="auto"/>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Net cost to PBS </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$119,278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$126,719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$134,291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$141,556 </w:t>
            </w:r>
          </w:p>
        </w:tc>
        <w:tc>
          <w:tcPr>
            <w:tcW w:w="647"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$149,127 </w:t>
            </w:r>
          </w:p>
        </w:tc>
        <w:tc>
          <w:tcPr>
            <w:tcW w:w="650" w:type="pct"/>
            <w:tcBorders>
              <w:top w:val="single" w:sz="4" w:space="0" w:color="auto"/>
              <w:left w:val="nil"/>
              <w:bottom w:val="single" w:sz="4" w:space="0" w:color="auto"/>
              <w:right w:val="single" w:sz="4" w:space="0" w:color="auto"/>
            </w:tcBorders>
            <w:shd w:val="clear" w:color="auto" w:fill="auto"/>
          </w:tcPr>
          <w:p w:rsidR="000A6AD6" w:rsidRPr="00FB3DAB" w:rsidRDefault="000A6AD6" w:rsidP="00C55EAE">
            <w:pPr>
              <w:pStyle w:val="TableFigureFooter"/>
              <w:rPr>
                <w:sz w:val="20"/>
                <w:szCs w:val="20"/>
              </w:rPr>
            </w:pPr>
            <w:r w:rsidRPr="00FB3DAB">
              <w:rPr>
                <w:sz w:val="20"/>
                <w:szCs w:val="20"/>
              </w:rPr>
              <w:t xml:space="preserve">$156,698 </w:t>
            </w:r>
          </w:p>
        </w:tc>
      </w:tr>
      <w:tr w:rsidR="000A6AD6" w:rsidRPr="00FB3DAB"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sz w:val="20"/>
                <w:szCs w:val="20"/>
              </w:rPr>
            </w:pPr>
            <w:r w:rsidRPr="00FB3DAB">
              <w:rPr>
                <w:sz w:val="20"/>
                <w:szCs w:val="20"/>
              </w:rPr>
              <w:t>RPBS</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New listing </w:t>
            </w:r>
          </w:p>
        </w:tc>
        <w:tc>
          <w:tcPr>
            <w:tcW w:w="647" w:type="pct"/>
          </w:tcPr>
          <w:p w:rsidR="000A6AD6" w:rsidRPr="00FB3DAB" w:rsidRDefault="000A6AD6" w:rsidP="00C55EAE">
            <w:pPr>
              <w:pStyle w:val="TableFigureFooter"/>
              <w:rPr>
                <w:sz w:val="20"/>
                <w:szCs w:val="20"/>
              </w:rPr>
            </w:pPr>
            <w:r w:rsidRPr="00FB3DAB">
              <w:rPr>
                <w:sz w:val="20"/>
                <w:szCs w:val="20"/>
              </w:rPr>
              <w:t xml:space="preserve">$75,046 </w:t>
            </w:r>
          </w:p>
        </w:tc>
        <w:tc>
          <w:tcPr>
            <w:tcW w:w="647" w:type="pct"/>
          </w:tcPr>
          <w:p w:rsidR="000A6AD6" w:rsidRPr="00FB3DAB" w:rsidRDefault="000A6AD6" w:rsidP="00C55EAE">
            <w:pPr>
              <w:pStyle w:val="TableFigureFooter"/>
              <w:rPr>
                <w:sz w:val="20"/>
                <w:szCs w:val="20"/>
              </w:rPr>
            </w:pPr>
            <w:r w:rsidRPr="00FB3DAB">
              <w:rPr>
                <w:sz w:val="20"/>
                <w:szCs w:val="20"/>
              </w:rPr>
              <w:t xml:space="preserve">$83,384 </w:t>
            </w:r>
          </w:p>
        </w:tc>
        <w:tc>
          <w:tcPr>
            <w:tcW w:w="647" w:type="pct"/>
          </w:tcPr>
          <w:p w:rsidR="000A6AD6" w:rsidRPr="00FB3DAB" w:rsidRDefault="000A6AD6" w:rsidP="00C55EAE">
            <w:pPr>
              <w:pStyle w:val="TableFigureFooter"/>
              <w:rPr>
                <w:sz w:val="20"/>
                <w:szCs w:val="20"/>
              </w:rPr>
            </w:pPr>
            <w:r w:rsidRPr="00FB3DAB">
              <w:rPr>
                <w:sz w:val="20"/>
                <w:szCs w:val="20"/>
              </w:rPr>
              <w:t xml:space="preserve">$83,384 </w:t>
            </w:r>
          </w:p>
        </w:tc>
        <w:tc>
          <w:tcPr>
            <w:tcW w:w="647" w:type="pct"/>
          </w:tcPr>
          <w:p w:rsidR="000A6AD6" w:rsidRPr="00FB3DAB" w:rsidRDefault="000A6AD6" w:rsidP="00C55EAE">
            <w:pPr>
              <w:pStyle w:val="TableFigureFooter"/>
              <w:rPr>
                <w:sz w:val="20"/>
                <w:szCs w:val="20"/>
              </w:rPr>
            </w:pPr>
            <w:r w:rsidRPr="00FB3DAB">
              <w:rPr>
                <w:sz w:val="20"/>
                <w:szCs w:val="20"/>
              </w:rPr>
              <w:t xml:space="preserve">$100,061 </w:t>
            </w:r>
          </w:p>
        </w:tc>
        <w:tc>
          <w:tcPr>
            <w:tcW w:w="647" w:type="pct"/>
          </w:tcPr>
          <w:p w:rsidR="000A6AD6" w:rsidRPr="00FB3DAB" w:rsidRDefault="000A6AD6" w:rsidP="00C55EAE">
            <w:pPr>
              <w:pStyle w:val="TableFigureFooter"/>
              <w:rPr>
                <w:sz w:val="20"/>
                <w:szCs w:val="20"/>
              </w:rPr>
            </w:pPr>
            <w:r w:rsidRPr="00FB3DAB">
              <w:rPr>
                <w:sz w:val="20"/>
                <w:szCs w:val="20"/>
              </w:rPr>
              <w:t xml:space="preserve">$100,061 </w:t>
            </w:r>
          </w:p>
        </w:tc>
        <w:tc>
          <w:tcPr>
            <w:tcW w:w="650" w:type="pct"/>
          </w:tcPr>
          <w:p w:rsidR="000A6AD6" w:rsidRPr="00FB3DAB" w:rsidRDefault="000A6AD6" w:rsidP="00C55EAE">
            <w:pPr>
              <w:pStyle w:val="TableFigureFooter"/>
              <w:rPr>
                <w:sz w:val="20"/>
                <w:szCs w:val="20"/>
              </w:rPr>
            </w:pPr>
            <w:r w:rsidRPr="00FB3DAB">
              <w:rPr>
                <w:sz w:val="20"/>
                <w:szCs w:val="20"/>
              </w:rPr>
              <w:t xml:space="preserve">$100,061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lastRenderedPageBreak/>
              <w:t xml:space="preserve">Changed listing </w:t>
            </w:r>
          </w:p>
        </w:tc>
        <w:tc>
          <w:tcPr>
            <w:tcW w:w="647" w:type="pct"/>
          </w:tcPr>
          <w:p w:rsidR="000A6AD6" w:rsidRPr="00FB3DAB" w:rsidRDefault="000A6AD6" w:rsidP="00C55EAE">
            <w:pPr>
              <w:pStyle w:val="TableFigureFooter"/>
              <w:rPr>
                <w:sz w:val="20"/>
                <w:szCs w:val="20"/>
              </w:rPr>
            </w:pPr>
            <w:r w:rsidRPr="00FB3DAB">
              <w:rPr>
                <w:sz w:val="20"/>
                <w:szCs w:val="20"/>
              </w:rPr>
              <w:t xml:space="preserve">-$73,691 </w:t>
            </w:r>
          </w:p>
        </w:tc>
        <w:tc>
          <w:tcPr>
            <w:tcW w:w="647" w:type="pct"/>
          </w:tcPr>
          <w:p w:rsidR="000A6AD6" w:rsidRPr="00FB3DAB" w:rsidRDefault="000A6AD6" w:rsidP="00C55EAE">
            <w:pPr>
              <w:pStyle w:val="TableFigureFooter"/>
              <w:rPr>
                <w:sz w:val="20"/>
                <w:szCs w:val="20"/>
              </w:rPr>
            </w:pPr>
            <w:r w:rsidRPr="00FB3DAB">
              <w:rPr>
                <w:sz w:val="20"/>
                <w:szCs w:val="20"/>
              </w:rPr>
              <w:t xml:space="preserve">-$81,901 </w:t>
            </w:r>
          </w:p>
        </w:tc>
        <w:tc>
          <w:tcPr>
            <w:tcW w:w="647" w:type="pct"/>
          </w:tcPr>
          <w:p w:rsidR="000A6AD6" w:rsidRPr="00FB3DAB" w:rsidRDefault="000A6AD6" w:rsidP="00C55EAE">
            <w:pPr>
              <w:pStyle w:val="TableFigureFooter"/>
              <w:rPr>
                <w:sz w:val="20"/>
                <w:szCs w:val="20"/>
              </w:rPr>
            </w:pPr>
            <w:r w:rsidRPr="00FB3DAB">
              <w:rPr>
                <w:sz w:val="20"/>
                <w:szCs w:val="20"/>
              </w:rPr>
              <w:t xml:space="preserve">-$81,901 </w:t>
            </w:r>
          </w:p>
        </w:tc>
        <w:tc>
          <w:tcPr>
            <w:tcW w:w="647" w:type="pct"/>
          </w:tcPr>
          <w:p w:rsidR="000A6AD6" w:rsidRPr="00FB3DAB" w:rsidRDefault="000A6AD6" w:rsidP="00C55EAE">
            <w:pPr>
              <w:pStyle w:val="TableFigureFooter"/>
              <w:rPr>
                <w:sz w:val="20"/>
                <w:szCs w:val="20"/>
              </w:rPr>
            </w:pPr>
            <w:r w:rsidRPr="00FB3DAB">
              <w:rPr>
                <w:sz w:val="20"/>
                <w:szCs w:val="20"/>
              </w:rPr>
              <w:t xml:space="preserve">-$98,271 </w:t>
            </w:r>
          </w:p>
        </w:tc>
        <w:tc>
          <w:tcPr>
            <w:tcW w:w="647" w:type="pct"/>
          </w:tcPr>
          <w:p w:rsidR="000A6AD6" w:rsidRPr="00FB3DAB" w:rsidRDefault="000A6AD6" w:rsidP="00C55EAE">
            <w:pPr>
              <w:pStyle w:val="TableFigureFooter"/>
              <w:rPr>
                <w:sz w:val="20"/>
                <w:szCs w:val="20"/>
              </w:rPr>
            </w:pPr>
            <w:r w:rsidRPr="00FB3DAB">
              <w:rPr>
                <w:sz w:val="20"/>
                <w:szCs w:val="20"/>
              </w:rPr>
              <w:t xml:space="preserve">-$98,271 </w:t>
            </w:r>
          </w:p>
        </w:tc>
        <w:tc>
          <w:tcPr>
            <w:tcW w:w="650" w:type="pct"/>
          </w:tcPr>
          <w:p w:rsidR="000A6AD6" w:rsidRPr="00FB3DAB" w:rsidRDefault="000A6AD6" w:rsidP="00C55EAE">
            <w:pPr>
              <w:pStyle w:val="TableFigureFooter"/>
              <w:rPr>
                <w:sz w:val="20"/>
                <w:szCs w:val="20"/>
              </w:rPr>
            </w:pPr>
            <w:r w:rsidRPr="00FB3DAB">
              <w:rPr>
                <w:sz w:val="20"/>
                <w:szCs w:val="20"/>
              </w:rPr>
              <w:t xml:space="preserve">-$98,271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RPBS </w:t>
            </w:r>
          </w:p>
        </w:tc>
        <w:tc>
          <w:tcPr>
            <w:tcW w:w="647" w:type="pct"/>
          </w:tcPr>
          <w:p w:rsidR="000A6AD6" w:rsidRPr="00FB3DAB" w:rsidRDefault="000A6AD6" w:rsidP="00C55EAE">
            <w:pPr>
              <w:pStyle w:val="TableFigureFooter"/>
              <w:rPr>
                <w:sz w:val="20"/>
                <w:szCs w:val="20"/>
              </w:rPr>
            </w:pPr>
            <w:r w:rsidRPr="00FB3DAB">
              <w:rPr>
                <w:sz w:val="20"/>
                <w:szCs w:val="20"/>
              </w:rPr>
              <w:t xml:space="preserve">$1,354 </w:t>
            </w:r>
          </w:p>
        </w:tc>
        <w:tc>
          <w:tcPr>
            <w:tcW w:w="647" w:type="pct"/>
          </w:tcPr>
          <w:p w:rsidR="000A6AD6" w:rsidRPr="00FB3DAB" w:rsidRDefault="000A6AD6" w:rsidP="00C55EAE">
            <w:pPr>
              <w:pStyle w:val="TableFigureFooter"/>
              <w:rPr>
                <w:sz w:val="20"/>
                <w:szCs w:val="20"/>
              </w:rPr>
            </w:pPr>
            <w:r w:rsidRPr="00FB3DAB">
              <w:rPr>
                <w:sz w:val="20"/>
                <w:szCs w:val="20"/>
              </w:rPr>
              <w:t xml:space="preserve">$1,483 </w:t>
            </w:r>
          </w:p>
        </w:tc>
        <w:tc>
          <w:tcPr>
            <w:tcW w:w="647" w:type="pct"/>
          </w:tcPr>
          <w:p w:rsidR="000A6AD6" w:rsidRPr="00FB3DAB" w:rsidRDefault="000A6AD6" w:rsidP="00C55EAE">
            <w:pPr>
              <w:pStyle w:val="TableFigureFooter"/>
              <w:rPr>
                <w:sz w:val="20"/>
                <w:szCs w:val="20"/>
              </w:rPr>
            </w:pPr>
            <w:r w:rsidRPr="00FB3DAB">
              <w:rPr>
                <w:sz w:val="20"/>
                <w:szCs w:val="20"/>
              </w:rPr>
              <w:t xml:space="preserve">$1,483 </w:t>
            </w:r>
          </w:p>
        </w:tc>
        <w:tc>
          <w:tcPr>
            <w:tcW w:w="647" w:type="pct"/>
          </w:tcPr>
          <w:p w:rsidR="000A6AD6" w:rsidRPr="00FB3DAB" w:rsidRDefault="000A6AD6" w:rsidP="00C55EAE">
            <w:pPr>
              <w:pStyle w:val="TableFigureFooter"/>
              <w:rPr>
                <w:sz w:val="20"/>
                <w:szCs w:val="20"/>
              </w:rPr>
            </w:pPr>
            <w:r w:rsidRPr="00FB3DAB">
              <w:rPr>
                <w:sz w:val="20"/>
                <w:szCs w:val="20"/>
              </w:rPr>
              <w:t xml:space="preserve">$1,790 </w:t>
            </w:r>
          </w:p>
        </w:tc>
        <w:tc>
          <w:tcPr>
            <w:tcW w:w="647" w:type="pct"/>
          </w:tcPr>
          <w:p w:rsidR="000A6AD6" w:rsidRPr="00FB3DAB" w:rsidRDefault="000A6AD6" w:rsidP="00C55EAE">
            <w:pPr>
              <w:pStyle w:val="TableFigureFooter"/>
              <w:rPr>
                <w:sz w:val="20"/>
                <w:szCs w:val="20"/>
              </w:rPr>
            </w:pPr>
            <w:r w:rsidRPr="00FB3DAB">
              <w:rPr>
                <w:sz w:val="20"/>
                <w:szCs w:val="20"/>
              </w:rPr>
              <w:t xml:space="preserve">$1,790 </w:t>
            </w:r>
          </w:p>
        </w:tc>
        <w:tc>
          <w:tcPr>
            <w:tcW w:w="650" w:type="pct"/>
          </w:tcPr>
          <w:p w:rsidR="000A6AD6" w:rsidRPr="00FB3DAB" w:rsidRDefault="000A6AD6" w:rsidP="00C55EAE">
            <w:pPr>
              <w:pStyle w:val="TableFigureFooter"/>
              <w:rPr>
                <w:sz w:val="20"/>
                <w:szCs w:val="20"/>
              </w:rPr>
            </w:pPr>
            <w:r w:rsidRPr="00FB3DAB">
              <w:rPr>
                <w:sz w:val="20"/>
                <w:szCs w:val="20"/>
              </w:rPr>
              <w:t xml:space="preserve">$1,790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PBS / RPBS </w:t>
            </w:r>
          </w:p>
        </w:tc>
        <w:tc>
          <w:tcPr>
            <w:tcW w:w="647" w:type="pct"/>
          </w:tcPr>
          <w:p w:rsidR="000A6AD6" w:rsidRPr="00FB3DAB" w:rsidRDefault="000A6AD6" w:rsidP="00C55EAE">
            <w:pPr>
              <w:pStyle w:val="TableFigureFooter"/>
              <w:rPr>
                <w:sz w:val="20"/>
                <w:szCs w:val="20"/>
              </w:rPr>
            </w:pPr>
            <w:r w:rsidRPr="00FB3DAB">
              <w:rPr>
                <w:sz w:val="20"/>
                <w:szCs w:val="20"/>
              </w:rPr>
              <w:t xml:space="preserve">$120,632 </w:t>
            </w:r>
          </w:p>
        </w:tc>
        <w:tc>
          <w:tcPr>
            <w:tcW w:w="647" w:type="pct"/>
          </w:tcPr>
          <w:p w:rsidR="000A6AD6" w:rsidRPr="00FB3DAB" w:rsidRDefault="000A6AD6" w:rsidP="00C55EAE">
            <w:pPr>
              <w:pStyle w:val="TableFigureFooter"/>
              <w:rPr>
                <w:sz w:val="20"/>
                <w:szCs w:val="20"/>
              </w:rPr>
            </w:pPr>
            <w:r w:rsidRPr="00FB3DAB">
              <w:rPr>
                <w:sz w:val="20"/>
                <w:szCs w:val="20"/>
              </w:rPr>
              <w:t xml:space="preserve">$128,203 </w:t>
            </w:r>
          </w:p>
        </w:tc>
        <w:tc>
          <w:tcPr>
            <w:tcW w:w="647" w:type="pct"/>
          </w:tcPr>
          <w:p w:rsidR="000A6AD6" w:rsidRPr="00FB3DAB" w:rsidRDefault="000A6AD6" w:rsidP="00C55EAE">
            <w:pPr>
              <w:pStyle w:val="TableFigureFooter"/>
              <w:rPr>
                <w:sz w:val="20"/>
                <w:szCs w:val="20"/>
              </w:rPr>
            </w:pPr>
            <w:r w:rsidRPr="00FB3DAB">
              <w:rPr>
                <w:sz w:val="20"/>
                <w:szCs w:val="20"/>
              </w:rPr>
              <w:t xml:space="preserve">$135,774 </w:t>
            </w:r>
          </w:p>
        </w:tc>
        <w:tc>
          <w:tcPr>
            <w:tcW w:w="647" w:type="pct"/>
          </w:tcPr>
          <w:p w:rsidR="000A6AD6" w:rsidRPr="00FB3DAB" w:rsidRDefault="000A6AD6" w:rsidP="00C55EAE">
            <w:pPr>
              <w:pStyle w:val="TableFigureFooter"/>
              <w:rPr>
                <w:sz w:val="20"/>
                <w:szCs w:val="20"/>
              </w:rPr>
            </w:pPr>
            <w:r w:rsidRPr="00FB3DAB">
              <w:rPr>
                <w:sz w:val="20"/>
                <w:szCs w:val="20"/>
              </w:rPr>
              <w:t xml:space="preserve">$143,345 </w:t>
            </w:r>
          </w:p>
        </w:tc>
        <w:tc>
          <w:tcPr>
            <w:tcW w:w="647" w:type="pct"/>
          </w:tcPr>
          <w:p w:rsidR="000A6AD6" w:rsidRPr="00FB3DAB" w:rsidRDefault="000A6AD6" w:rsidP="00C55EAE">
            <w:pPr>
              <w:pStyle w:val="TableFigureFooter"/>
              <w:rPr>
                <w:sz w:val="20"/>
                <w:szCs w:val="20"/>
              </w:rPr>
            </w:pPr>
            <w:r w:rsidRPr="00FB3DAB">
              <w:rPr>
                <w:sz w:val="20"/>
                <w:szCs w:val="20"/>
              </w:rPr>
              <w:t xml:space="preserve">$150,916 </w:t>
            </w:r>
          </w:p>
        </w:tc>
        <w:tc>
          <w:tcPr>
            <w:tcW w:w="650" w:type="pct"/>
          </w:tcPr>
          <w:p w:rsidR="000A6AD6" w:rsidRPr="00FB3DAB" w:rsidRDefault="000A6AD6" w:rsidP="00C55EAE">
            <w:pPr>
              <w:pStyle w:val="TableFigureFooter"/>
              <w:rPr>
                <w:sz w:val="20"/>
                <w:szCs w:val="20"/>
              </w:rPr>
            </w:pPr>
            <w:r w:rsidRPr="00FB3DAB">
              <w:rPr>
                <w:sz w:val="20"/>
                <w:szCs w:val="20"/>
              </w:rPr>
              <w:t xml:space="preserve">$158,487 </w:t>
            </w:r>
          </w:p>
        </w:tc>
      </w:tr>
      <w:tr w:rsidR="000A6AD6" w:rsidRPr="00FB3DAB"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b/>
                <w:sz w:val="20"/>
                <w:szCs w:val="20"/>
              </w:rPr>
            </w:pPr>
            <w:r w:rsidRPr="00FB3DAB">
              <w:rPr>
                <w:b/>
                <w:sz w:val="20"/>
                <w:szCs w:val="20"/>
              </w:rPr>
              <w:t>Cost changes of MBS items based on 95.79% uptake</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Increased cost </w:t>
            </w:r>
          </w:p>
        </w:tc>
        <w:tc>
          <w:tcPr>
            <w:tcW w:w="647" w:type="pct"/>
          </w:tcPr>
          <w:p w:rsidR="000A6AD6" w:rsidRPr="00FB3DAB" w:rsidRDefault="000A6AD6" w:rsidP="00C55EAE">
            <w:pPr>
              <w:pStyle w:val="TableFigureFooter"/>
              <w:rPr>
                <w:sz w:val="20"/>
                <w:szCs w:val="20"/>
              </w:rPr>
            </w:pPr>
            <w:r w:rsidRPr="00FB3DAB">
              <w:rPr>
                <w:sz w:val="20"/>
                <w:szCs w:val="20"/>
              </w:rPr>
              <w:t xml:space="preserve">$24,713 </w:t>
            </w:r>
          </w:p>
        </w:tc>
        <w:tc>
          <w:tcPr>
            <w:tcW w:w="647" w:type="pct"/>
          </w:tcPr>
          <w:p w:rsidR="000A6AD6" w:rsidRPr="00FB3DAB" w:rsidRDefault="000A6AD6" w:rsidP="00C55EAE">
            <w:pPr>
              <w:pStyle w:val="TableFigureFooter"/>
              <w:rPr>
                <w:sz w:val="20"/>
                <w:szCs w:val="20"/>
              </w:rPr>
            </w:pPr>
            <w:r w:rsidRPr="00FB3DAB">
              <w:rPr>
                <w:sz w:val="20"/>
                <w:szCs w:val="20"/>
              </w:rPr>
              <w:t xml:space="preserve">$26,264 </w:t>
            </w:r>
          </w:p>
        </w:tc>
        <w:tc>
          <w:tcPr>
            <w:tcW w:w="647" w:type="pct"/>
          </w:tcPr>
          <w:p w:rsidR="000A6AD6" w:rsidRPr="00FB3DAB" w:rsidRDefault="000A6AD6" w:rsidP="00C55EAE">
            <w:pPr>
              <w:pStyle w:val="TableFigureFooter"/>
              <w:rPr>
                <w:sz w:val="20"/>
                <w:szCs w:val="20"/>
              </w:rPr>
            </w:pPr>
            <w:r w:rsidRPr="00FB3DAB">
              <w:rPr>
                <w:sz w:val="20"/>
                <w:szCs w:val="20"/>
              </w:rPr>
              <w:t xml:space="preserve">$27,815 </w:t>
            </w:r>
          </w:p>
        </w:tc>
        <w:tc>
          <w:tcPr>
            <w:tcW w:w="647" w:type="pct"/>
          </w:tcPr>
          <w:p w:rsidR="000A6AD6" w:rsidRPr="00FB3DAB" w:rsidRDefault="000A6AD6" w:rsidP="00C55EAE">
            <w:pPr>
              <w:pStyle w:val="TableFigureFooter"/>
              <w:rPr>
                <w:sz w:val="20"/>
                <w:szCs w:val="20"/>
              </w:rPr>
            </w:pPr>
            <w:r w:rsidRPr="00FB3DAB">
              <w:rPr>
                <w:sz w:val="20"/>
                <w:szCs w:val="20"/>
              </w:rPr>
              <w:t xml:space="preserve">$29,366 </w:t>
            </w:r>
          </w:p>
        </w:tc>
        <w:tc>
          <w:tcPr>
            <w:tcW w:w="647" w:type="pct"/>
          </w:tcPr>
          <w:p w:rsidR="000A6AD6" w:rsidRPr="00FB3DAB" w:rsidRDefault="000A6AD6" w:rsidP="00C55EAE">
            <w:pPr>
              <w:pStyle w:val="TableFigureFooter"/>
              <w:rPr>
                <w:sz w:val="20"/>
                <w:szCs w:val="20"/>
              </w:rPr>
            </w:pPr>
            <w:r w:rsidRPr="00FB3DAB">
              <w:rPr>
                <w:sz w:val="20"/>
                <w:szCs w:val="20"/>
              </w:rPr>
              <w:t xml:space="preserve">$30,917 </w:t>
            </w:r>
          </w:p>
        </w:tc>
        <w:tc>
          <w:tcPr>
            <w:tcW w:w="650" w:type="pct"/>
          </w:tcPr>
          <w:p w:rsidR="000A6AD6" w:rsidRPr="00FB3DAB" w:rsidRDefault="000A6AD6" w:rsidP="00C55EAE">
            <w:pPr>
              <w:pStyle w:val="TableFigureFooter"/>
              <w:rPr>
                <w:sz w:val="20"/>
                <w:szCs w:val="20"/>
              </w:rPr>
            </w:pPr>
            <w:r w:rsidRPr="00FB3DAB">
              <w:rPr>
                <w:sz w:val="20"/>
                <w:szCs w:val="20"/>
              </w:rPr>
              <w:t xml:space="preserve">$32,468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Decreased cost </w:t>
            </w:r>
          </w:p>
        </w:tc>
        <w:tc>
          <w:tcPr>
            <w:tcW w:w="647" w:type="pct"/>
          </w:tcPr>
          <w:p w:rsidR="000A6AD6" w:rsidRPr="00FB3DAB" w:rsidRDefault="000A6AD6" w:rsidP="00C55EAE">
            <w:pPr>
              <w:pStyle w:val="TableFigureFooter"/>
              <w:rPr>
                <w:sz w:val="20"/>
                <w:szCs w:val="20"/>
              </w:rPr>
            </w:pPr>
            <w:r w:rsidRPr="00FB3DAB">
              <w:rPr>
                <w:sz w:val="20"/>
                <w:szCs w:val="20"/>
              </w:rPr>
              <w:t xml:space="preserve">-$57,933 </w:t>
            </w:r>
          </w:p>
        </w:tc>
        <w:tc>
          <w:tcPr>
            <w:tcW w:w="647" w:type="pct"/>
          </w:tcPr>
          <w:p w:rsidR="000A6AD6" w:rsidRPr="00FB3DAB" w:rsidRDefault="000A6AD6" w:rsidP="00C55EAE">
            <w:pPr>
              <w:pStyle w:val="TableFigureFooter"/>
              <w:rPr>
                <w:sz w:val="20"/>
                <w:szCs w:val="20"/>
              </w:rPr>
            </w:pPr>
            <w:r w:rsidRPr="00FB3DAB">
              <w:rPr>
                <w:sz w:val="20"/>
                <w:szCs w:val="20"/>
              </w:rPr>
              <w:t xml:space="preserve">-$61,570 </w:t>
            </w:r>
          </w:p>
        </w:tc>
        <w:tc>
          <w:tcPr>
            <w:tcW w:w="647" w:type="pct"/>
          </w:tcPr>
          <w:p w:rsidR="000A6AD6" w:rsidRPr="00FB3DAB" w:rsidRDefault="000A6AD6" w:rsidP="00C55EAE">
            <w:pPr>
              <w:pStyle w:val="TableFigureFooter"/>
              <w:rPr>
                <w:sz w:val="20"/>
                <w:szCs w:val="20"/>
              </w:rPr>
            </w:pPr>
            <w:r w:rsidRPr="00FB3DAB">
              <w:rPr>
                <w:sz w:val="20"/>
                <w:szCs w:val="20"/>
              </w:rPr>
              <w:t xml:space="preserve">-$65,206 </w:t>
            </w:r>
          </w:p>
        </w:tc>
        <w:tc>
          <w:tcPr>
            <w:tcW w:w="647" w:type="pct"/>
          </w:tcPr>
          <w:p w:rsidR="000A6AD6" w:rsidRPr="00FB3DAB" w:rsidRDefault="000A6AD6" w:rsidP="00C55EAE">
            <w:pPr>
              <w:pStyle w:val="TableFigureFooter"/>
              <w:rPr>
                <w:sz w:val="20"/>
                <w:szCs w:val="20"/>
              </w:rPr>
            </w:pPr>
            <w:r w:rsidRPr="00FB3DAB">
              <w:rPr>
                <w:sz w:val="20"/>
                <w:szCs w:val="20"/>
              </w:rPr>
              <w:t xml:space="preserve">-$68,842 </w:t>
            </w:r>
          </w:p>
        </w:tc>
        <w:tc>
          <w:tcPr>
            <w:tcW w:w="647" w:type="pct"/>
          </w:tcPr>
          <w:p w:rsidR="000A6AD6" w:rsidRPr="00FB3DAB" w:rsidRDefault="000A6AD6" w:rsidP="00C55EAE">
            <w:pPr>
              <w:pStyle w:val="TableFigureFooter"/>
              <w:rPr>
                <w:sz w:val="20"/>
                <w:szCs w:val="20"/>
              </w:rPr>
            </w:pPr>
            <w:r w:rsidRPr="00FB3DAB">
              <w:rPr>
                <w:sz w:val="20"/>
                <w:szCs w:val="20"/>
              </w:rPr>
              <w:t xml:space="preserve">-$72,478 </w:t>
            </w:r>
          </w:p>
        </w:tc>
        <w:tc>
          <w:tcPr>
            <w:tcW w:w="650" w:type="pct"/>
          </w:tcPr>
          <w:p w:rsidR="000A6AD6" w:rsidRPr="00FB3DAB" w:rsidRDefault="000A6AD6" w:rsidP="00C55EAE">
            <w:pPr>
              <w:pStyle w:val="TableFigureFooter"/>
              <w:rPr>
                <w:sz w:val="20"/>
                <w:szCs w:val="20"/>
              </w:rPr>
            </w:pPr>
            <w:r w:rsidRPr="00FB3DAB">
              <w:rPr>
                <w:sz w:val="20"/>
                <w:szCs w:val="20"/>
              </w:rPr>
              <w:t xml:space="preserve">-$76,114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MBS </w:t>
            </w:r>
          </w:p>
        </w:tc>
        <w:tc>
          <w:tcPr>
            <w:tcW w:w="647" w:type="pct"/>
          </w:tcPr>
          <w:p w:rsidR="000A6AD6" w:rsidRPr="00FB3DAB" w:rsidRDefault="000A6AD6" w:rsidP="00C55EAE">
            <w:pPr>
              <w:pStyle w:val="TableFigureFooter"/>
              <w:rPr>
                <w:sz w:val="20"/>
                <w:szCs w:val="20"/>
              </w:rPr>
            </w:pPr>
            <w:r w:rsidRPr="00FB3DAB">
              <w:rPr>
                <w:sz w:val="20"/>
                <w:szCs w:val="20"/>
              </w:rPr>
              <w:t xml:space="preserve">-$33,220 </w:t>
            </w:r>
          </w:p>
        </w:tc>
        <w:tc>
          <w:tcPr>
            <w:tcW w:w="647" w:type="pct"/>
          </w:tcPr>
          <w:p w:rsidR="000A6AD6" w:rsidRPr="00FB3DAB" w:rsidRDefault="000A6AD6" w:rsidP="00C55EAE">
            <w:pPr>
              <w:pStyle w:val="TableFigureFooter"/>
              <w:rPr>
                <w:sz w:val="20"/>
                <w:szCs w:val="20"/>
              </w:rPr>
            </w:pPr>
            <w:r w:rsidRPr="00FB3DAB">
              <w:rPr>
                <w:sz w:val="20"/>
                <w:szCs w:val="20"/>
              </w:rPr>
              <w:t xml:space="preserve">-$35,305 </w:t>
            </w:r>
          </w:p>
        </w:tc>
        <w:tc>
          <w:tcPr>
            <w:tcW w:w="647" w:type="pct"/>
          </w:tcPr>
          <w:p w:rsidR="000A6AD6" w:rsidRPr="00FB3DAB" w:rsidRDefault="000A6AD6" w:rsidP="00C55EAE">
            <w:pPr>
              <w:pStyle w:val="TableFigureFooter"/>
              <w:rPr>
                <w:sz w:val="20"/>
                <w:szCs w:val="20"/>
              </w:rPr>
            </w:pPr>
            <w:r w:rsidRPr="00FB3DAB">
              <w:rPr>
                <w:sz w:val="20"/>
                <w:szCs w:val="20"/>
              </w:rPr>
              <w:t xml:space="preserve">-$37,390 </w:t>
            </w:r>
          </w:p>
        </w:tc>
        <w:tc>
          <w:tcPr>
            <w:tcW w:w="647" w:type="pct"/>
          </w:tcPr>
          <w:p w:rsidR="000A6AD6" w:rsidRPr="00FB3DAB" w:rsidRDefault="000A6AD6" w:rsidP="00C55EAE">
            <w:pPr>
              <w:pStyle w:val="TableFigureFooter"/>
              <w:rPr>
                <w:sz w:val="20"/>
                <w:szCs w:val="20"/>
              </w:rPr>
            </w:pPr>
            <w:r w:rsidRPr="00FB3DAB">
              <w:rPr>
                <w:sz w:val="20"/>
                <w:szCs w:val="20"/>
              </w:rPr>
              <w:t xml:space="preserve">-$39,475 </w:t>
            </w:r>
          </w:p>
        </w:tc>
        <w:tc>
          <w:tcPr>
            <w:tcW w:w="647" w:type="pct"/>
          </w:tcPr>
          <w:p w:rsidR="000A6AD6" w:rsidRPr="00FB3DAB" w:rsidRDefault="000A6AD6" w:rsidP="00C55EAE">
            <w:pPr>
              <w:pStyle w:val="TableFigureFooter"/>
              <w:rPr>
                <w:sz w:val="20"/>
                <w:szCs w:val="20"/>
              </w:rPr>
            </w:pPr>
            <w:r w:rsidRPr="00FB3DAB">
              <w:rPr>
                <w:sz w:val="20"/>
                <w:szCs w:val="20"/>
              </w:rPr>
              <w:t xml:space="preserve">-$41,560 </w:t>
            </w:r>
          </w:p>
        </w:tc>
        <w:tc>
          <w:tcPr>
            <w:tcW w:w="650" w:type="pct"/>
          </w:tcPr>
          <w:p w:rsidR="000A6AD6" w:rsidRPr="00FB3DAB" w:rsidRDefault="000A6AD6" w:rsidP="00C55EAE">
            <w:pPr>
              <w:pStyle w:val="TableFigureFooter"/>
              <w:rPr>
                <w:sz w:val="20"/>
                <w:szCs w:val="20"/>
              </w:rPr>
            </w:pPr>
            <w:r w:rsidRPr="00FB3DAB">
              <w:rPr>
                <w:sz w:val="20"/>
                <w:szCs w:val="20"/>
              </w:rPr>
              <w:t xml:space="preserve">-$43,645 </w:t>
            </w:r>
          </w:p>
        </w:tc>
      </w:tr>
      <w:tr w:rsidR="000A6AD6" w:rsidRPr="00FB3DAB" w:rsidTr="00C55EAE">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A6AD6" w:rsidRPr="00FB3DAB" w:rsidRDefault="000A6AD6" w:rsidP="00C55EAE">
            <w:pPr>
              <w:pStyle w:val="TableFigureFooter"/>
              <w:rPr>
                <w:b/>
                <w:sz w:val="20"/>
                <w:szCs w:val="20"/>
              </w:rPr>
            </w:pPr>
            <w:r w:rsidRPr="00FB3DAB">
              <w:rPr>
                <w:b/>
                <w:sz w:val="20"/>
                <w:szCs w:val="20"/>
              </w:rPr>
              <w:t>Net cost to Health budget with an uptake of 95.79%</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PBS/RPBS </w:t>
            </w:r>
          </w:p>
        </w:tc>
        <w:tc>
          <w:tcPr>
            <w:tcW w:w="647" w:type="pct"/>
          </w:tcPr>
          <w:p w:rsidR="000A6AD6" w:rsidRPr="00FB3DAB" w:rsidRDefault="000A6AD6" w:rsidP="00C55EAE">
            <w:pPr>
              <w:pStyle w:val="TableFigureFooter"/>
              <w:rPr>
                <w:sz w:val="20"/>
                <w:szCs w:val="20"/>
              </w:rPr>
            </w:pPr>
            <w:r w:rsidRPr="00FB3DAB">
              <w:rPr>
                <w:sz w:val="20"/>
                <w:szCs w:val="20"/>
              </w:rPr>
              <w:t xml:space="preserve">$120,632 </w:t>
            </w:r>
          </w:p>
        </w:tc>
        <w:tc>
          <w:tcPr>
            <w:tcW w:w="647" w:type="pct"/>
          </w:tcPr>
          <w:p w:rsidR="000A6AD6" w:rsidRPr="00FB3DAB" w:rsidRDefault="000A6AD6" w:rsidP="00C55EAE">
            <w:pPr>
              <w:pStyle w:val="TableFigureFooter"/>
              <w:rPr>
                <w:sz w:val="20"/>
                <w:szCs w:val="20"/>
              </w:rPr>
            </w:pPr>
            <w:r w:rsidRPr="00FB3DAB">
              <w:rPr>
                <w:sz w:val="20"/>
                <w:szCs w:val="20"/>
              </w:rPr>
              <w:t xml:space="preserve">$128,203 </w:t>
            </w:r>
          </w:p>
        </w:tc>
        <w:tc>
          <w:tcPr>
            <w:tcW w:w="647" w:type="pct"/>
          </w:tcPr>
          <w:p w:rsidR="000A6AD6" w:rsidRPr="00FB3DAB" w:rsidRDefault="000A6AD6" w:rsidP="00C55EAE">
            <w:pPr>
              <w:pStyle w:val="TableFigureFooter"/>
              <w:rPr>
                <w:sz w:val="20"/>
                <w:szCs w:val="20"/>
              </w:rPr>
            </w:pPr>
            <w:r w:rsidRPr="00FB3DAB">
              <w:rPr>
                <w:sz w:val="20"/>
                <w:szCs w:val="20"/>
              </w:rPr>
              <w:t xml:space="preserve">$135,774 </w:t>
            </w:r>
          </w:p>
        </w:tc>
        <w:tc>
          <w:tcPr>
            <w:tcW w:w="647" w:type="pct"/>
          </w:tcPr>
          <w:p w:rsidR="000A6AD6" w:rsidRPr="00FB3DAB" w:rsidRDefault="000A6AD6" w:rsidP="00C55EAE">
            <w:pPr>
              <w:pStyle w:val="TableFigureFooter"/>
              <w:rPr>
                <w:sz w:val="20"/>
                <w:szCs w:val="20"/>
              </w:rPr>
            </w:pPr>
            <w:r w:rsidRPr="00FB3DAB">
              <w:rPr>
                <w:sz w:val="20"/>
                <w:szCs w:val="20"/>
              </w:rPr>
              <w:t xml:space="preserve">$143,345 </w:t>
            </w:r>
          </w:p>
        </w:tc>
        <w:tc>
          <w:tcPr>
            <w:tcW w:w="647" w:type="pct"/>
          </w:tcPr>
          <w:p w:rsidR="000A6AD6" w:rsidRPr="00FB3DAB" w:rsidRDefault="000A6AD6" w:rsidP="00C55EAE">
            <w:pPr>
              <w:pStyle w:val="TableFigureFooter"/>
              <w:rPr>
                <w:sz w:val="20"/>
                <w:szCs w:val="20"/>
              </w:rPr>
            </w:pPr>
            <w:r w:rsidRPr="00FB3DAB">
              <w:rPr>
                <w:sz w:val="20"/>
                <w:szCs w:val="20"/>
              </w:rPr>
              <w:t xml:space="preserve">$150,916 </w:t>
            </w:r>
          </w:p>
        </w:tc>
        <w:tc>
          <w:tcPr>
            <w:tcW w:w="650" w:type="pct"/>
          </w:tcPr>
          <w:p w:rsidR="000A6AD6" w:rsidRPr="00FB3DAB" w:rsidRDefault="000A6AD6" w:rsidP="00C55EAE">
            <w:pPr>
              <w:pStyle w:val="TableFigureFooter"/>
              <w:rPr>
                <w:sz w:val="20"/>
                <w:szCs w:val="20"/>
              </w:rPr>
            </w:pPr>
            <w:r w:rsidRPr="00FB3DAB">
              <w:rPr>
                <w:sz w:val="20"/>
                <w:szCs w:val="20"/>
              </w:rPr>
              <w:t xml:space="preserve">$158,487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MBS </w:t>
            </w:r>
          </w:p>
        </w:tc>
        <w:tc>
          <w:tcPr>
            <w:tcW w:w="647" w:type="pct"/>
          </w:tcPr>
          <w:p w:rsidR="000A6AD6" w:rsidRPr="00FB3DAB" w:rsidRDefault="000A6AD6" w:rsidP="00C55EAE">
            <w:pPr>
              <w:pStyle w:val="TableFigureFooter"/>
              <w:rPr>
                <w:sz w:val="20"/>
                <w:szCs w:val="20"/>
              </w:rPr>
            </w:pPr>
            <w:r w:rsidRPr="00FB3DAB">
              <w:rPr>
                <w:sz w:val="20"/>
                <w:szCs w:val="20"/>
              </w:rPr>
              <w:t xml:space="preserve">-$33,220 </w:t>
            </w:r>
          </w:p>
        </w:tc>
        <w:tc>
          <w:tcPr>
            <w:tcW w:w="647" w:type="pct"/>
          </w:tcPr>
          <w:p w:rsidR="000A6AD6" w:rsidRPr="00FB3DAB" w:rsidRDefault="000A6AD6" w:rsidP="00C55EAE">
            <w:pPr>
              <w:pStyle w:val="TableFigureFooter"/>
              <w:rPr>
                <w:sz w:val="20"/>
                <w:szCs w:val="20"/>
              </w:rPr>
            </w:pPr>
            <w:r w:rsidRPr="00FB3DAB">
              <w:rPr>
                <w:sz w:val="20"/>
                <w:szCs w:val="20"/>
              </w:rPr>
              <w:t xml:space="preserve">-$35,305 </w:t>
            </w:r>
          </w:p>
        </w:tc>
        <w:tc>
          <w:tcPr>
            <w:tcW w:w="647" w:type="pct"/>
          </w:tcPr>
          <w:p w:rsidR="000A6AD6" w:rsidRPr="00FB3DAB" w:rsidRDefault="000A6AD6" w:rsidP="00C55EAE">
            <w:pPr>
              <w:pStyle w:val="TableFigureFooter"/>
              <w:rPr>
                <w:sz w:val="20"/>
                <w:szCs w:val="20"/>
              </w:rPr>
            </w:pPr>
            <w:r w:rsidRPr="00FB3DAB">
              <w:rPr>
                <w:sz w:val="20"/>
                <w:szCs w:val="20"/>
              </w:rPr>
              <w:t xml:space="preserve">-$37,390 </w:t>
            </w:r>
          </w:p>
        </w:tc>
        <w:tc>
          <w:tcPr>
            <w:tcW w:w="647" w:type="pct"/>
          </w:tcPr>
          <w:p w:rsidR="000A6AD6" w:rsidRPr="00FB3DAB" w:rsidRDefault="000A6AD6" w:rsidP="00C55EAE">
            <w:pPr>
              <w:pStyle w:val="TableFigureFooter"/>
              <w:rPr>
                <w:sz w:val="20"/>
                <w:szCs w:val="20"/>
              </w:rPr>
            </w:pPr>
            <w:r w:rsidRPr="00FB3DAB">
              <w:rPr>
                <w:sz w:val="20"/>
                <w:szCs w:val="20"/>
              </w:rPr>
              <w:t xml:space="preserve">-$39,475 </w:t>
            </w:r>
          </w:p>
        </w:tc>
        <w:tc>
          <w:tcPr>
            <w:tcW w:w="647" w:type="pct"/>
          </w:tcPr>
          <w:p w:rsidR="000A6AD6" w:rsidRPr="00FB3DAB" w:rsidRDefault="000A6AD6" w:rsidP="00C55EAE">
            <w:pPr>
              <w:pStyle w:val="TableFigureFooter"/>
              <w:rPr>
                <w:sz w:val="20"/>
                <w:szCs w:val="20"/>
              </w:rPr>
            </w:pPr>
            <w:r w:rsidRPr="00FB3DAB">
              <w:rPr>
                <w:sz w:val="20"/>
                <w:szCs w:val="20"/>
              </w:rPr>
              <w:t xml:space="preserve">-$41,560 </w:t>
            </w:r>
          </w:p>
        </w:tc>
        <w:tc>
          <w:tcPr>
            <w:tcW w:w="650" w:type="pct"/>
          </w:tcPr>
          <w:p w:rsidR="000A6AD6" w:rsidRPr="00FB3DAB" w:rsidRDefault="000A6AD6" w:rsidP="00C55EAE">
            <w:pPr>
              <w:pStyle w:val="TableFigureFooter"/>
              <w:rPr>
                <w:sz w:val="20"/>
                <w:szCs w:val="20"/>
              </w:rPr>
            </w:pPr>
            <w:r w:rsidRPr="00FB3DAB">
              <w:rPr>
                <w:sz w:val="20"/>
                <w:szCs w:val="20"/>
              </w:rPr>
              <w:t xml:space="preserve">-$43,645 </w:t>
            </w:r>
          </w:p>
        </w:tc>
      </w:tr>
      <w:tr w:rsidR="000A6AD6" w:rsidRPr="00FB3DAB" w:rsidTr="00C55EAE">
        <w:tc>
          <w:tcPr>
            <w:tcW w:w="1115" w:type="pct"/>
          </w:tcPr>
          <w:p w:rsidR="000A6AD6" w:rsidRPr="00FB3DAB" w:rsidRDefault="000A6AD6" w:rsidP="00C55EAE">
            <w:pPr>
              <w:pStyle w:val="TableFigureFooter"/>
              <w:rPr>
                <w:sz w:val="20"/>
                <w:szCs w:val="20"/>
              </w:rPr>
            </w:pPr>
            <w:r w:rsidRPr="00FB3DAB">
              <w:rPr>
                <w:sz w:val="20"/>
                <w:szCs w:val="20"/>
              </w:rPr>
              <w:t xml:space="preserve">Net cost to Health Budget </w:t>
            </w:r>
          </w:p>
        </w:tc>
        <w:tc>
          <w:tcPr>
            <w:tcW w:w="647" w:type="pct"/>
          </w:tcPr>
          <w:p w:rsidR="000A6AD6" w:rsidRPr="00FB3DAB" w:rsidRDefault="000A6AD6" w:rsidP="00C55EAE">
            <w:pPr>
              <w:pStyle w:val="TableFigureFooter"/>
              <w:rPr>
                <w:sz w:val="20"/>
                <w:szCs w:val="20"/>
              </w:rPr>
            </w:pPr>
            <w:r w:rsidRPr="00FB3DAB">
              <w:rPr>
                <w:sz w:val="20"/>
                <w:szCs w:val="20"/>
              </w:rPr>
              <w:t xml:space="preserve">$87,412 </w:t>
            </w:r>
          </w:p>
        </w:tc>
        <w:tc>
          <w:tcPr>
            <w:tcW w:w="647" w:type="pct"/>
          </w:tcPr>
          <w:p w:rsidR="000A6AD6" w:rsidRPr="00FB3DAB" w:rsidRDefault="000A6AD6" w:rsidP="00C55EAE">
            <w:pPr>
              <w:pStyle w:val="TableFigureFooter"/>
              <w:rPr>
                <w:sz w:val="20"/>
                <w:szCs w:val="20"/>
              </w:rPr>
            </w:pPr>
            <w:r w:rsidRPr="00FB3DAB">
              <w:rPr>
                <w:sz w:val="20"/>
                <w:szCs w:val="20"/>
              </w:rPr>
              <w:t xml:space="preserve">$92,898 </w:t>
            </w:r>
          </w:p>
        </w:tc>
        <w:tc>
          <w:tcPr>
            <w:tcW w:w="647" w:type="pct"/>
          </w:tcPr>
          <w:p w:rsidR="000A6AD6" w:rsidRPr="00FB3DAB" w:rsidRDefault="000A6AD6" w:rsidP="00C55EAE">
            <w:pPr>
              <w:pStyle w:val="TableFigureFooter"/>
              <w:rPr>
                <w:sz w:val="20"/>
                <w:szCs w:val="20"/>
              </w:rPr>
            </w:pPr>
            <w:r w:rsidRPr="00FB3DAB">
              <w:rPr>
                <w:sz w:val="20"/>
                <w:szCs w:val="20"/>
              </w:rPr>
              <w:t xml:space="preserve">$98,384 </w:t>
            </w:r>
          </w:p>
        </w:tc>
        <w:tc>
          <w:tcPr>
            <w:tcW w:w="647" w:type="pct"/>
          </w:tcPr>
          <w:p w:rsidR="000A6AD6" w:rsidRPr="00FB3DAB" w:rsidRDefault="000A6AD6" w:rsidP="00C55EAE">
            <w:pPr>
              <w:pStyle w:val="TableFigureFooter"/>
              <w:rPr>
                <w:sz w:val="20"/>
                <w:szCs w:val="20"/>
              </w:rPr>
            </w:pPr>
            <w:r w:rsidRPr="00FB3DAB">
              <w:rPr>
                <w:sz w:val="20"/>
                <w:szCs w:val="20"/>
              </w:rPr>
              <w:t xml:space="preserve">$103,870 </w:t>
            </w:r>
          </w:p>
        </w:tc>
        <w:tc>
          <w:tcPr>
            <w:tcW w:w="647" w:type="pct"/>
          </w:tcPr>
          <w:p w:rsidR="000A6AD6" w:rsidRPr="00FB3DAB" w:rsidRDefault="000A6AD6" w:rsidP="00C55EAE">
            <w:pPr>
              <w:pStyle w:val="TableFigureFooter"/>
              <w:rPr>
                <w:sz w:val="20"/>
                <w:szCs w:val="20"/>
              </w:rPr>
            </w:pPr>
            <w:r w:rsidRPr="00FB3DAB">
              <w:rPr>
                <w:sz w:val="20"/>
                <w:szCs w:val="20"/>
              </w:rPr>
              <w:t xml:space="preserve">$109,356 </w:t>
            </w:r>
          </w:p>
        </w:tc>
        <w:tc>
          <w:tcPr>
            <w:tcW w:w="650" w:type="pct"/>
          </w:tcPr>
          <w:p w:rsidR="000A6AD6" w:rsidRPr="00FB3DAB" w:rsidRDefault="000A6AD6" w:rsidP="00C55EAE">
            <w:pPr>
              <w:pStyle w:val="TableFigureFooter"/>
              <w:rPr>
                <w:sz w:val="20"/>
                <w:szCs w:val="20"/>
              </w:rPr>
            </w:pPr>
            <w:r w:rsidRPr="00FB3DAB">
              <w:rPr>
                <w:sz w:val="20"/>
                <w:szCs w:val="20"/>
              </w:rPr>
              <w:t xml:space="preserve">$114,842 </w:t>
            </w:r>
          </w:p>
        </w:tc>
      </w:tr>
    </w:tbl>
    <w:p w:rsidR="000A6AD6" w:rsidRPr="00FB3DAB" w:rsidRDefault="000A6AD6" w:rsidP="000A6AD6">
      <w:pPr>
        <w:pStyle w:val="TableFigureFooter"/>
        <w:rPr>
          <w:szCs w:val="18"/>
        </w:rPr>
      </w:pPr>
      <w:r w:rsidRPr="000B7209">
        <w:rPr>
          <w:szCs w:val="18"/>
        </w:rPr>
        <w:t xml:space="preserve">Source: Table 4.5, 4.7. 4.9, 4.11, 4.13, 4.15 of the submission </w:t>
      </w:r>
    </w:p>
    <w:p w:rsidR="005B3055" w:rsidRPr="000B7209" w:rsidRDefault="008C5C2F" w:rsidP="00551BE1">
      <w:pPr>
        <w:pStyle w:val="3Bodytext"/>
      </w:pPr>
      <w:r w:rsidRPr="000B7209">
        <w:t xml:space="preserve">The </w:t>
      </w:r>
      <w:r w:rsidR="005B3055" w:rsidRPr="000B7209">
        <w:t>utilisation estimates</w:t>
      </w:r>
      <w:r w:rsidR="00B6472F" w:rsidRPr="000B7209">
        <w:t xml:space="preserve"> in the submission</w:t>
      </w:r>
      <w:r w:rsidR="005B3055" w:rsidRPr="000B7209">
        <w:t xml:space="preserve"> were based </w:t>
      </w:r>
      <w:r w:rsidR="00BA14B7" w:rsidRPr="000B7209">
        <w:t xml:space="preserve">on the </w:t>
      </w:r>
      <w:r w:rsidR="005B3055" w:rsidRPr="000B7209">
        <w:t>2019 calendar year.</w:t>
      </w:r>
    </w:p>
    <w:p w:rsidR="00BA347C" w:rsidRPr="000B7209" w:rsidRDefault="00265A9C" w:rsidP="00551BE1">
      <w:pPr>
        <w:pStyle w:val="3Bodytext"/>
      </w:pPr>
      <w:r w:rsidRPr="000B7209">
        <w:t>As</w:t>
      </w:r>
      <w:r w:rsidR="008C5C2F" w:rsidRPr="000B7209">
        <w:t xml:space="preserve"> </w:t>
      </w:r>
      <w:r w:rsidR="00BA347C" w:rsidRPr="000B7209">
        <w:t xml:space="preserve">a minor submission, the financial estimates </w:t>
      </w:r>
      <w:r w:rsidR="00A105F6" w:rsidRPr="000B7209">
        <w:t xml:space="preserve">were </w:t>
      </w:r>
      <w:r w:rsidR="00BA347C" w:rsidRPr="000B7209">
        <w:t>not independently evaluated.</w:t>
      </w:r>
    </w:p>
    <w:p w:rsidR="00BD0934" w:rsidRPr="000B7209" w:rsidRDefault="00BD0934" w:rsidP="00EE2B71">
      <w:pPr>
        <w:ind w:firstLine="709"/>
        <w:rPr>
          <w:i/>
        </w:rPr>
      </w:pPr>
      <w:r w:rsidRPr="000B7209">
        <w:rPr>
          <w:i/>
        </w:rPr>
        <w:t>For more detail on PBAC’s view, see section 5 PBAC outcome.</w:t>
      </w:r>
    </w:p>
    <w:p w:rsidR="00BD0934" w:rsidRPr="000B7209" w:rsidRDefault="00BD0934" w:rsidP="00BD0934">
      <w:pPr>
        <w:pStyle w:val="Heading1"/>
        <w:keepLines/>
        <w:numPr>
          <w:ilvl w:val="0"/>
          <w:numId w:val="3"/>
        </w:numPr>
        <w:spacing w:before="240"/>
        <w:ind w:left="709" w:hanging="709"/>
        <w:rPr>
          <w:sz w:val="32"/>
          <w:szCs w:val="32"/>
        </w:rPr>
      </w:pPr>
      <w:r w:rsidRPr="000B7209">
        <w:rPr>
          <w:sz w:val="32"/>
          <w:szCs w:val="32"/>
        </w:rPr>
        <w:t>PBAC Outcome</w:t>
      </w:r>
    </w:p>
    <w:p w:rsidR="0032098E" w:rsidRPr="000B7209" w:rsidRDefault="0032098E" w:rsidP="00551BE1">
      <w:pPr>
        <w:pStyle w:val="3Bodytext"/>
      </w:pPr>
      <w:r w:rsidRPr="000B7209">
        <w:t xml:space="preserve">The PBAC recommended </w:t>
      </w:r>
      <w:r w:rsidR="00A75878" w:rsidRPr="000B7209">
        <w:t xml:space="preserve">an extension to the current listing of apomorphine 50 mg in 10 mL solution for subcutaneous infusion pre-filled syringe (Movapo® PFS) for the treatment of PD to include General Schedule Authority Required (STREAMLINED) listings for </w:t>
      </w:r>
      <w:r w:rsidR="00032E90" w:rsidRPr="000B7209">
        <w:t xml:space="preserve">maintenance therapy only </w:t>
      </w:r>
      <w:r w:rsidR="00A75878" w:rsidRPr="000B7209">
        <w:t>following initiation in a hospital setting under the current Section 100 Highly Specialised Drugs (S100 HSD) Program listings.</w:t>
      </w:r>
    </w:p>
    <w:p w:rsidR="00265A9C" w:rsidRPr="000B7209" w:rsidRDefault="00A47D61" w:rsidP="00551BE1">
      <w:pPr>
        <w:pStyle w:val="3Bodytext"/>
      </w:pPr>
      <w:r w:rsidRPr="000B7209">
        <w:t xml:space="preserve">The PBAC noted that this recommendation was consistent with </w:t>
      </w:r>
      <w:r w:rsidRPr="000B7209">
        <w:rPr>
          <w:snapToGrid w:val="0"/>
          <w:lang w:eastAsia="en-US"/>
        </w:rPr>
        <w:t xml:space="preserve">its previous </w:t>
      </w:r>
      <w:r w:rsidR="008F5EDB" w:rsidRPr="000B7209">
        <w:rPr>
          <w:snapToGrid w:val="0"/>
          <w:lang w:eastAsia="en-US"/>
        </w:rPr>
        <w:t>advice</w:t>
      </w:r>
      <w:r w:rsidRPr="000B7209">
        <w:rPr>
          <w:snapToGrid w:val="0"/>
          <w:lang w:eastAsia="en-US"/>
        </w:rPr>
        <w:t xml:space="preserve"> that it was clinically appropriate for maintenance treatment with apomorphine to be prescribed outside of a hospital setting, provided treatment commence</w:t>
      </w:r>
      <w:r w:rsidR="00A105F6" w:rsidRPr="000B7209">
        <w:rPr>
          <w:snapToGrid w:val="0"/>
          <w:lang w:eastAsia="en-US"/>
        </w:rPr>
        <w:t>d</w:t>
      </w:r>
      <w:r w:rsidRPr="000B7209">
        <w:rPr>
          <w:snapToGrid w:val="0"/>
          <w:lang w:eastAsia="en-US"/>
        </w:rPr>
        <w:t xml:space="preserve"> in hospital (paragraph 5.2</w:t>
      </w:r>
      <w:r w:rsidR="00E9612E" w:rsidRPr="000B7209">
        <w:rPr>
          <w:snapToGrid w:val="0"/>
          <w:lang w:eastAsia="en-US"/>
        </w:rPr>
        <w:t>,</w:t>
      </w:r>
      <w:r w:rsidRPr="000B7209">
        <w:rPr>
          <w:snapToGrid w:val="0"/>
          <w:lang w:eastAsia="en-US"/>
        </w:rPr>
        <w:t xml:space="preserve"> Apomorphine PSD</w:t>
      </w:r>
      <w:r w:rsidR="00E9612E" w:rsidRPr="000B7209">
        <w:rPr>
          <w:snapToGrid w:val="0"/>
          <w:lang w:eastAsia="en-US"/>
        </w:rPr>
        <w:t>,</w:t>
      </w:r>
      <w:r w:rsidRPr="000B7209">
        <w:rPr>
          <w:snapToGrid w:val="0"/>
          <w:lang w:eastAsia="en-US"/>
        </w:rPr>
        <w:t xml:space="preserve"> March 2020 PBAC Meeting).</w:t>
      </w:r>
    </w:p>
    <w:p w:rsidR="00265A9C" w:rsidRPr="000B7209" w:rsidRDefault="00265A9C" w:rsidP="00551BE1">
      <w:pPr>
        <w:pStyle w:val="3Bodytext"/>
      </w:pPr>
      <w:r w:rsidRPr="000B7209">
        <w:t>The PBAC noted that a General Schedule listing for maintenance therapy would allow patients with PD access to apomorphine through a community pharmacy and prescribed via a General Practitioner or Nurse Practitioner.</w:t>
      </w:r>
    </w:p>
    <w:p w:rsidR="0032098E" w:rsidRPr="000B7209" w:rsidRDefault="000D4AE4" w:rsidP="00551BE1">
      <w:pPr>
        <w:pStyle w:val="3Bodytext"/>
      </w:pPr>
      <w:r w:rsidRPr="000B7209">
        <w:t>The PBAC recalled its previous advice that</w:t>
      </w:r>
      <w:r w:rsidR="003D2D27" w:rsidRPr="000B7209">
        <w:t>, for a dual Section 100 and General Schedule listing,</w:t>
      </w:r>
      <w:r w:rsidRPr="000B7209">
        <w:t xml:space="preserve"> the sponsor should reduce the </w:t>
      </w:r>
      <w:r w:rsidR="00E9612E" w:rsidRPr="000B7209">
        <w:t>AEMP</w:t>
      </w:r>
      <w:r w:rsidRPr="000B7209">
        <w:t xml:space="preserve"> of the drug to ensure that the impact to government remain</w:t>
      </w:r>
      <w:r w:rsidR="00E9612E" w:rsidRPr="000B7209">
        <w:t>ed</w:t>
      </w:r>
      <w:r w:rsidRPr="000B7209">
        <w:t xml:space="preserve"> cost neutral (paragraph 5.6, Apomorphine PSD, March 2020 PBAC Meeting). The PBAC therefore considered that the sponsor should reduce the AEMP</w:t>
      </w:r>
      <w:r w:rsidR="003D2D27" w:rsidRPr="000B7209">
        <w:t xml:space="preserve"> of apomorphine 50 mg in 10 mL solution for subcutaneous infusion pre-filled syringe (Movapo PFS) </w:t>
      </w:r>
      <w:r w:rsidRPr="000B7209">
        <w:t>accordingly.</w:t>
      </w:r>
    </w:p>
    <w:p w:rsidR="00A47D61" w:rsidRPr="000B7209" w:rsidRDefault="00CC52D2" w:rsidP="00551BE1">
      <w:pPr>
        <w:pStyle w:val="3Bodytext"/>
        <w:rPr>
          <w:snapToGrid w:val="0"/>
          <w:lang w:eastAsia="en-US"/>
        </w:rPr>
      </w:pPr>
      <w:r w:rsidRPr="000B7209">
        <w:rPr>
          <w:snapToGrid w:val="0"/>
          <w:lang w:eastAsia="en-US"/>
        </w:rPr>
        <w:lastRenderedPageBreak/>
        <w:t>The PBAC</w:t>
      </w:r>
      <w:r w:rsidR="002C5EE5" w:rsidRPr="000B7209">
        <w:rPr>
          <w:snapToGrid w:val="0"/>
          <w:lang w:eastAsia="en-US"/>
        </w:rPr>
        <w:t xml:space="preserve"> recommended</w:t>
      </w:r>
      <w:r w:rsidRPr="000B7209">
        <w:rPr>
          <w:snapToGrid w:val="0"/>
          <w:lang w:eastAsia="en-US"/>
        </w:rPr>
        <w:t xml:space="preserve"> that</w:t>
      </w:r>
      <w:r w:rsidR="00A47D61" w:rsidRPr="000B7209">
        <w:rPr>
          <w:snapToGrid w:val="0"/>
          <w:lang w:eastAsia="en-US"/>
        </w:rPr>
        <w:t>, to ensure consistency across all of the apomorphine items on the PBS,</w:t>
      </w:r>
      <w:r w:rsidRPr="000B7209">
        <w:rPr>
          <w:snapToGrid w:val="0"/>
          <w:lang w:eastAsia="en-US"/>
        </w:rPr>
        <w:t xml:space="preserve"> </w:t>
      </w:r>
      <w:r w:rsidR="008F5EDB" w:rsidRPr="000B7209">
        <w:rPr>
          <w:snapToGrid w:val="0"/>
          <w:lang w:eastAsia="en-US"/>
        </w:rPr>
        <w:t xml:space="preserve">it would be reasonable for </w:t>
      </w:r>
      <w:r w:rsidRPr="000B7209">
        <w:rPr>
          <w:snapToGrid w:val="0"/>
          <w:lang w:eastAsia="en-US"/>
        </w:rPr>
        <w:t>the current listing</w:t>
      </w:r>
      <w:r w:rsidR="00CD0262" w:rsidRPr="000B7209">
        <w:rPr>
          <w:snapToGrid w:val="0"/>
          <w:lang w:eastAsia="en-US"/>
        </w:rPr>
        <w:t>s</w:t>
      </w:r>
      <w:r w:rsidRPr="000B7209">
        <w:rPr>
          <w:snapToGrid w:val="0"/>
          <w:lang w:eastAsia="en-US"/>
        </w:rPr>
        <w:t xml:space="preserve"> of apomorphine 20</w:t>
      </w:r>
      <w:r w:rsidR="00E9612E" w:rsidRPr="000B7209">
        <w:rPr>
          <w:snapToGrid w:val="0"/>
          <w:lang w:eastAsia="en-US"/>
        </w:rPr>
        <w:t> </w:t>
      </w:r>
      <w:r w:rsidRPr="000B7209">
        <w:rPr>
          <w:snapToGrid w:val="0"/>
          <w:lang w:eastAsia="en-US"/>
        </w:rPr>
        <w:t xml:space="preserve">mg/2 mL and 50 mg/5 mL ampoules (Movapo®) </w:t>
      </w:r>
      <w:r w:rsidR="008F5EDB" w:rsidRPr="000B7209">
        <w:rPr>
          <w:snapToGrid w:val="0"/>
          <w:lang w:eastAsia="en-US"/>
        </w:rPr>
        <w:t>to</w:t>
      </w:r>
      <w:r w:rsidRPr="000B7209">
        <w:rPr>
          <w:snapToGrid w:val="0"/>
          <w:lang w:eastAsia="en-US"/>
        </w:rPr>
        <w:t xml:space="preserve"> also be extended to include General Schedule</w:t>
      </w:r>
      <w:r w:rsidR="00A105F6" w:rsidRPr="000B7209">
        <w:rPr>
          <w:snapToGrid w:val="0"/>
          <w:lang w:eastAsia="en-US"/>
        </w:rPr>
        <w:t>,</w:t>
      </w:r>
      <w:r w:rsidRPr="000B7209">
        <w:rPr>
          <w:snapToGrid w:val="0"/>
          <w:lang w:eastAsia="en-US"/>
        </w:rPr>
        <w:t xml:space="preserve"> Authority Required (STREAMLINED) </w:t>
      </w:r>
      <w:r w:rsidR="00CD0262" w:rsidRPr="000B7209">
        <w:rPr>
          <w:snapToGrid w:val="0"/>
          <w:lang w:eastAsia="en-US"/>
        </w:rPr>
        <w:t>listings for maintenance therapy</w:t>
      </w:r>
      <w:r w:rsidR="002C5EE5" w:rsidRPr="000B7209">
        <w:rPr>
          <w:snapToGrid w:val="0"/>
          <w:lang w:eastAsia="en-US"/>
        </w:rPr>
        <w:t>, and that the AEMPs for these listings should be reduced as outlined in paragraph 5.</w:t>
      </w:r>
      <w:r w:rsidR="00AF39BF">
        <w:rPr>
          <w:snapToGrid w:val="0"/>
          <w:lang w:eastAsia="en-US"/>
        </w:rPr>
        <w:t>4</w:t>
      </w:r>
      <w:r w:rsidR="00A47D61" w:rsidRPr="000B7209">
        <w:rPr>
          <w:snapToGrid w:val="0"/>
          <w:lang w:eastAsia="en-US"/>
        </w:rPr>
        <w:t>.</w:t>
      </w:r>
      <w:r w:rsidR="00CD0262" w:rsidRPr="000B7209">
        <w:rPr>
          <w:snapToGrid w:val="0"/>
          <w:lang w:eastAsia="en-US"/>
        </w:rPr>
        <w:t xml:space="preserve"> </w:t>
      </w:r>
    </w:p>
    <w:p w:rsidR="00BB40A1" w:rsidRPr="000B7209" w:rsidRDefault="00BB40A1" w:rsidP="00551BE1">
      <w:pPr>
        <w:pStyle w:val="3Bodytext"/>
      </w:pPr>
      <w:r w:rsidRPr="000B7209">
        <w:t xml:space="preserve">The PBAC noted that, as a result of this recommendation, flow-on changes to the </w:t>
      </w:r>
      <w:r w:rsidRPr="00864FEE">
        <w:t>existing S100 listings for apomorphine50 mg in 10 mL solution for subcutaneous in</w:t>
      </w:r>
      <w:r w:rsidRPr="000B7209">
        <w:t>fusion pre-filled syringe (Movapo PFS), 20 mg/2 mL ampoules (Movapo) and 50</w:t>
      </w:r>
      <w:r w:rsidR="00E9612E" w:rsidRPr="000B7209">
        <w:t> </w:t>
      </w:r>
      <w:r w:rsidRPr="000B7209">
        <w:t>mg/5 mL ampoules (Movapo) would apply to state that treatment must be initiated in a hospital setting.</w:t>
      </w:r>
    </w:p>
    <w:p w:rsidR="00CC52D2" w:rsidRPr="000B7209" w:rsidRDefault="00CC52D2" w:rsidP="00921D57">
      <w:pPr>
        <w:widowControl w:val="0"/>
        <w:numPr>
          <w:ilvl w:val="1"/>
          <w:numId w:val="1"/>
        </w:numPr>
        <w:spacing w:after="120"/>
        <w:rPr>
          <w:rFonts w:cs="Arial"/>
          <w:bCs/>
          <w:snapToGrid w:val="0"/>
          <w:lang w:eastAsia="en-US"/>
        </w:rPr>
      </w:pPr>
      <w:r w:rsidRPr="000B7209">
        <w:rPr>
          <w:snapToGrid w:val="0"/>
          <w:lang w:eastAsia="en-US"/>
        </w:rPr>
        <w:t xml:space="preserve">The </w:t>
      </w:r>
      <w:r w:rsidR="002C5EE5" w:rsidRPr="000B7209">
        <w:rPr>
          <w:snapToGrid w:val="0"/>
          <w:lang w:eastAsia="en-US"/>
        </w:rPr>
        <w:t xml:space="preserve">PBAC </w:t>
      </w:r>
      <w:r w:rsidR="004230B2" w:rsidRPr="000B7209">
        <w:rPr>
          <w:rFonts w:asciiTheme="minorHAnsi" w:hAnsiTheme="minorHAnsi" w:cs="Arial"/>
          <w:bCs/>
          <w:snapToGrid w:val="0"/>
          <w:lang w:eastAsia="en-US"/>
        </w:rPr>
        <w:t xml:space="preserve">reiterated its previous advice that the new apomorphine listings on the General Schedule are suitable for prescribing by nurse practitioners under a Shared Care model. This is consistent with the General Schedule listing of Duodopa (Paragraph 5.7, Apomorphine PSD, March 2020 PBAC Meeting). </w:t>
      </w:r>
    </w:p>
    <w:p w:rsidR="00CC52D2" w:rsidRPr="000B7209" w:rsidRDefault="00CC52D2" w:rsidP="00551BE1">
      <w:pPr>
        <w:pStyle w:val="3Bodytext"/>
        <w:rPr>
          <w:snapToGrid w:val="0"/>
          <w:lang w:eastAsia="en-US"/>
        </w:rPr>
      </w:pPr>
      <w:r w:rsidRPr="000B7209">
        <w:rPr>
          <w:snapToGrid w:val="0"/>
          <w:lang w:eastAsia="en-US"/>
        </w:rPr>
        <w:t xml:space="preserve">The PBAC recommended that the Early Supply Rule should not apply as it currently does not apply for the other forms of apomorphine. </w:t>
      </w:r>
    </w:p>
    <w:p w:rsidR="00C44A22" w:rsidRPr="00BA5F18" w:rsidRDefault="00C44A22" w:rsidP="00551BE1">
      <w:pPr>
        <w:pStyle w:val="3Bodytext"/>
      </w:pPr>
      <w:r w:rsidRPr="00BA5F18">
        <w:t xml:space="preserve">The PBAC found that the criteria prescribed by the </w:t>
      </w:r>
      <w:r w:rsidRPr="00BA5F18">
        <w:rPr>
          <w:i/>
        </w:rPr>
        <w:t>National Health (Pharmaceuticals and Vaccines – Cost Recovery) Regulations 2009</w:t>
      </w:r>
      <w:r>
        <w:t xml:space="preserve"> for Pricing Pathway A </w:t>
      </w:r>
      <w:r w:rsidRPr="00BA5F18">
        <w:t>were not met. Specifically the PBAC found that in the circumstances of its recommendation for</w:t>
      </w:r>
      <w:r>
        <w:t xml:space="preserve"> apomorphine</w:t>
      </w:r>
      <w:r w:rsidRPr="00BA5F18">
        <w:t>:</w:t>
      </w:r>
    </w:p>
    <w:p w:rsidR="00C44A22" w:rsidRDefault="00C44A22" w:rsidP="00551BE1">
      <w:pPr>
        <w:pStyle w:val="3Bodytext"/>
        <w:numPr>
          <w:ilvl w:val="0"/>
          <w:numId w:val="34"/>
        </w:numPr>
      </w:pPr>
      <w:r w:rsidRPr="00BA5F18">
        <w:t xml:space="preserve">The treatment </w:t>
      </w:r>
      <w:r>
        <w:t>is not</w:t>
      </w:r>
      <w:r w:rsidRPr="00BA5F18">
        <w:t xml:space="preserve"> expected to provide a substantial and clinically relevant improvement in efficacy, or reduction of toxicity, over </w:t>
      </w:r>
      <w:r>
        <w:t>alternative therapies</w:t>
      </w:r>
      <w:r w:rsidRPr="00BA5F18">
        <w:t xml:space="preserve">, </w:t>
      </w:r>
      <w:r>
        <w:t>because apomorphine is already PBS listed;</w:t>
      </w:r>
    </w:p>
    <w:p w:rsidR="00C44A22" w:rsidRDefault="00C44A22" w:rsidP="00551BE1">
      <w:pPr>
        <w:pStyle w:val="3Bodytext"/>
        <w:numPr>
          <w:ilvl w:val="0"/>
          <w:numId w:val="34"/>
        </w:numPr>
      </w:pPr>
      <w:r w:rsidRPr="00BA5F18">
        <w:t xml:space="preserve">The treatment </w:t>
      </w:r>
      <w:r>
        <w:t>Is not</w:t>
      </w:r>
      <w:r w:rsidRPr="00BA5F18">
        <w:t xml:space="preserve"> expected to address a high </w:t>
      </w:r>
      <w:r>
        <w:t>and urgent unmet clinical need because it is already PBS listed and other forms are available on the General Schedule</w:t>
      </w:r>
    </w:p>
    <w:p w:rsidR="00C44A22" w:rsidRPr="00C44A22" w:rsidRDefault="00C44A22" w:rsidP="00551BE1">
      <w:pPr>
        <w:pStyle w:val="3Bodytext"/>
        <w:numPr>
          <w:ilvl w:val="0"/>
          <w:numId w:val="34"/>
        </w:numPr>
      </w:pPr>
      <w:r w:rsidRPr="00BA5F18">
        <w:t>It was not necessary to make a finding in relation to whether it would be in the public interest for the subsequent pricing application to be progressed under Pricing Pathway A because one or more of the preceding tests had failed</w:t>
      </w:r>
    </w:p>
    <w:p w:rsidR="00BD0934" w:rsidRPr="00FB3DAB" w:rsidRDefault="00CC52D2" w:rsidP="00FB3DAB">
      <w:pPr>
        <w:pStyle w:val="3Bodytext"/>
        <w:rPr>
          <w:snapToGrid w:val="0"/>
          <w:lang w:eastAsia="en-US"/>
        </w:rPr>
      </w:pPr>
      <w:r w:rsidRPr="00864FEE">
        <w:rPr>
          <w:snapToGrid w:val="0"/>
          <w:lang w:eastAsia="en-US"/>
        </w:rPr>
        <w:t xml:space="preserve">The PBAC noted that this submission is not eligible for an Independent Review as it received a positive recommendation. </w:t>
      </w:r>
    </w:p>
    <w:p w:rsidR="00BD0934" w:rsidRPr="00AF39BF" w:rsidRDefault="00BD0934" w:rsidP="00BD0934">
      <w:pPr>
        <w:spacing w:before="240"/>
        <w:rPr>
          <w:rFonts w:asciiTheme="minorHAnsi" w:hAnsiTheme="minorHAnsi" w:cs="Arial"/>
          <w:b/>
          <w:bCs/>
          <w:snapToGrid w:val="0"/>
          <w:lang w:eastAsia="en-US"/>
        </w:rPr>
      </w:pPr>
      <w:r w:rsidRPr="00AF39BF">
        <w:rPr>
          <w:rFonts w:asciiTheme="minorHAnsi" w:hAnsiTheme="minorHAnsi" w:cs="Arial"/>
          <w:b/>
          <w:bCs/>
          <w:snapToGrid w:val="0"/>
          <w:lang w:eastAsia="en-US"/>
        </w:rPr>
        <w:t>Outcome:</w:t>
      </w:r>
    </w:p>
    <w:p w:rsidR="00BA2389" w:rsidRPr="00551BE1" w:rsidRDefault="00BD0934" w:rsidP="00551BE1">
      <w:pPr>
        <w:spacing w:after="120"/>
        <w:rPr>
          <w:rFonts w:asciiTheme="minorHAnsi" w:hAnsiTheme="minorHAnsi" w:cs="Arial"/>
          <w:bCs/>
          <w:snapToGrid w:val="0"/>
          <w:lang w:eastAsia="en-US"/>
        </w:rPr>
      </w:pPr>
      <w:r w:rsidRPr="00AF39BF">
        <w:rPr>
          <w:rFonts w:asciiTheme="minorHAnsi" w:hAnsiTheme="minorHAnsi" w:cs="Arial"/>
          <w:bCs/>
          <w:snapToGrid w:val="0"/>
          <w:lang w:eastAsia="en-US"/>
        </w:rPr>
        <w:t>Recommended</w:t>
      </w:r>
    </w:p>
    <w:p w:rsidR="00BD0934" w:rsidRPr="000B7209" w:rsidRDefault="00BD0934" w:rsidP="00FB3DAB">
      <w:pPr>
        <w:pStyle w:val="2-SectionHeading"/>
      </w:pPr>
      <w:r w:rsidRPr="000B7209">
        <w:t>Recommended listing</w:t>
      </w:r>
    </w:p>
    <w:p w:rsidR="001E09F5" w:rsidRPr="000B7209" w:rsidRDefault="001E09F5" w:rsidP="00551BE1">
      <w:pPr>
        <w:pStyle w:val="3Bodytext"/>
      </w:pPr>
      <w:r w:rsidRPr="000B7209">
        <w:t xml:space="preserve">Add </w:t>
      </w:r>
      <w:r w:rsidR="00032E90" w:rsidRPr="000B7209">
        <w:t xml:space="preserve">a </w:t>
      </w:r>
      <w:r w:rsidRPr="000B7209">
        <w:t>new General Schedule listing for the following</w:t>
      </w:r>
      <w:r w:rsidR="00864FEE">
        <w:t xml:space="preserve"> </w:t>
      </w:r>
      <w:r w:rsidRPr="00864FEE">
        <w:t>product</w:t>
      </w:r>
      <w:r w:rsidR="00032E90" w:rsidRPr="00864FEE">
        <w:t>s</w:t>
      </w:r>
      <w:r w:rsidRPr="000B7209">
        <w:t xml:space="preserv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3309"/>
        <w:gridCol w:w="992"/>
        <w:gridCol w:w="992"/>
        <w:gridCol w:w="851"/>
        <w:gridCol w:w="709"/>
        <w:gridCol w:w="1224"/>
      </w:tblGrid>
      <w:tr w:rsidR="00F861DA" w:rsidRPr="000B7209" w:rsidTr="00B33BF5">
        <w:trPr>
          <w:cantSplit/>
          <w:trHeight w:val="458"/>
        </w:trPr>
        <w:tc>
          <w:tcPr>
            <w:tcW w:w="2356" w:type="pct"/>
            <w:gridSpan w:val="2"/>
          </w:tcPr>
          <w:p w:rsidR="00F861DA" w:rsidRPr="000B7209" w:rsidRDefault="00F861DA" w:rsidP="00B33BF5">
            <w:pPr>
              <w:keepNext/>
              <w:rPr>
                <w:rFonts w:ascii="Arial Narrow" w:hAnsi="Arial Narrow" w:cs="Arial"/>
                <w:b/>
                <w:sz w:val="18"/>
                <w:szCs w:val="18"/>
              </w:rPr>
            </w:pPr>
            <w:r w:rsidRPr="000B7209">
              <w:rPr>
                <w:rFonts w:ascii="Arial Narrow" w:hAnsi="Arial Narrow" w:cs="Arial"/>
                <w:b/>
                <w:sz w:val="18"/>
                <w:szCs w:val="18"/>
              </w:rPr>
              <w:lastRenderedPageBreak/>
              <w:t>MEDICINAL PRODUCT</w:t>
            </w:r>
          </w:p>
          <w:p w:rsidR="00F861DA" w:rsidRPr="000B7209" w:rsidRDefault="00F861DA" w:rsidP="00B33BF5">
            <w:pPr>
              <w:keepNext/>
              <w:rPr>
                <w:rFonts w:ascii="Arial Narrow" w:hAnsi="Arial Narrow" w:cs="Arial"/>
                <w:b/>
                <w:sz w:val="18"/>
                <w:szCs w:val="18"/>
              </w:rPr>
            </w:pPr>
            <w:r w:rsidRPr="000B7209">
              <w:rPr>
                <w:rFonts w:ascii="Arial Narrow" w:hAnsi="Arial Narrow" w:cs="Arial"/>
                <w:b/>
                <w:sz w:val="18"/>
                <w:szCs w:val="18"/>
              </w:rPr>
              <w:t>medicinal product pack</w:t>
            </w:r>
          </w:p>
        </w:tc>
        <w:tc>
          <w:tcPr>
            <w:tcW w:w="550" w:type="pct"/>
          </w:tcPr>
          <w:p w:rsidR="00F861DA" w:rsidRPr="000B7209" w:rsidRDefault="00F861DA" w:rsidP="004F04FD">
            <w:pPr>
              <w:keepNext/>
              <w:ind w:left="-108"/>
              <w:jc w:val="center"/>
              <w:rPr>
                <w:rFonts w:ascii="Arial Narrow" w:hAnsi="Arial Narrow" w:cs="Arial"/>
                <w:b/>
                <w:sz w:val="18"/>
                <w:szCs w:val="18"/>
              </w:rPr>
            </w:pPr>
            <w:r w:rsidRPr="000B7209">
              <w:rPr>
                <w:rFonts w:ascii="Arial Narrow" w:hAnsi="Arial Narrow" w:cs="Arial"/>
                <w:b/>
                <w:sz w:val="18"/>
                <w:szCs w:val="18"/>
              </w:rPr>
              <w:t>PBS item code</w:t>
            </w:r>
          </w:p>
        </w:tc>
        <w:tc>
          <w:tcPr>
            <w:tcW w:w="550" w:type="pct"/>
          </w:tcPr>
          <w:p w:rsidR="00F861DA" w:rsidRPr="000B7209" w:rsidRDefault="00F861DA" w:rsidP="004F04FD">
            <w:pPr>
              <w:keepNext/>
              <w:ind w:left="-108"/>
              <w:jc w:val="center"/>
              <w:rPr>
                <w:rFonts w:ascii="Arial Narrow" w:hAnsi="Arial Narrow" w:cs="Arial"/>
                <w:b/>
                <w:sz w:val="18"/>
                <w:szCs w:val="18"/>
              </w:rPr>
            </w:pPr>
            <w:r w:rsidRPr="000B7209">
              <w:rPr>
                <w:rFonts w:ascii="Arial Narrow" w:hAnsi="Arial Narrow" w:cs="Arial"/>
                <w:b/>
                <w:sz w:val="18"/>
                <w:szCs w:val="18"/>
              </w:rPr>
              <w:t>Max. Qty packs</w:t>
            </w:r>
          </w:p>
        </w:tc>
        <w:tc>
          <w:tcPr>
            <w:tcW w:w="472" w:type="pct"/>
          </w:tcPr>
          <w:p w:rsidR="00F861DA" w:rsidRPr="000B7209" w:rsidRDefault="00F861DA" w:rsidP="004F04FD">
            <w:pPr>
              <w:keepNext/>
              <w:ind w:left="-108"/>
              <w:jc w:val="center"/>
              <w:rPr>
                <w:rFonts w:ascii="Arial Narrow" w:hAnsi="Arial Narrow" w:cs="Arial"/>
                <w:b/>
                <w:sz w:val="18"/>
                <w:szCs w:val="18"/>
              </w:rPr>
            </w:pPr>
            <w:r w:rsidRPr="000B7209">
              <w:rPr>
                <w:rFonts w:ascii="Arial Narrow" w:hAnsi="Arial Narrow" w:cs="Arial"/>
                <w:b/>
                <w:sz w:val="18"/>
                <w:szCs w:val="18"/>
              </w:rPr>
              <w:t>Max. Qty units</w:t>
            </w:r>
          </w:p>
        </w:tc>
        <w:tc>
          <w:tcPr>
            <w:tcW w:w="393" w:type="pct"/>
          </w:tcPr>
          <w:p w:rsidR="00F861DA" w:rsidRPr="000B7209" w:rsidRDefault="00F861DA" w:rsidP="004F04FD">
            <w:pPr>
              <w:keepNext/>
              <w:ind w:left="-108"/>
              <w:jc w:val="center"/>
              <w:rPr>
                <w:rFonts w:ascii="Arial Narrow" w:hAnsi="Arial Narrow" w:cs="Arial"/>
                <w:b/>
                <w:sz w:val="18"/>
                <w:szCs w:val="18"/>
              </w:rPr>
            </w:pPr>
            <w:r w:rsidRPr="000B7209">
              <w:rPr>
                <w:rFonts w:ascii="Arial Narrow" w:hAnsi="Arial Narrow" w:cs="Arial"/>
                <w:b/>
                <w:sz w:val="18"/>
                <w:szCs w:val="18"/>
              </w:rPr>
              <w:t>№.of</w:t>
            </w:r>
          </w:p>
          <w:p w:rsidR="00F861DA" w:rsidRPr="000B7209" w:rsidRDefault="00F861DA" w:rsidP="004F04FD">
            <w:pPr>
              <w:keepNext/>
              <w:ind w:left="-108"/>
              <w:jc w:val="center"/>
              <w:rPr>
                <w:rFonts w:ascii="Arial Narrow" w:hAnsi="Arial Narrow" w:cs="Arial"/>
                <w:b/>
                <w:sz w:val="18"/>
                <w:szCs w:val="18"/>
              </w:rPr>
            </w:pPr>
            <w:r w:rsidRPr="000B7209">
              <w:rPr>
                <w:rFonts w:ascii="Arial Narrow" w:hAnsi="Arial Narrow" w:cs="Arial"/>
                <w:b/>
                <w:sz w:val="18"/>
                <w:szCs w:val="18"/>
              </w:rPr>
              <w:t>Rpts</w:t>
            </w:r>
          </w:p>
        </w:tc>
        <w:tc>
          <w:tcPr>
            <w:tcW w:w="679" w:type="pct"/>
          </w:tcPr>
          <w:p w:rsidR="00F861DA" w:rsidRPr="000B7209" w:rsidRDefault="00F861DA" w:rsidP="004F04FD">
            <w:pPr>
              <w:keepNext/>
              <w:jc w:val="left"/>
              <w:rPr>
                <w:rFonts w:ascii="Arial Narrow" w:hAnsi="Arial Narrow" w:cs="Arial"/>
                <w:b/>
                <w:sz w:val="18"/>
                <w:szCs w:val="18"/>
              </w:rPr>
            </w:pPr>
            <w:r w:rsidRPr="000B7209">
              <w:rPr>
                <w:rFonts w:ascii="Arial Narrow" w:hAnsi="Arial Narrow" w:cs="Arial"/>
                <w:b/>
                <w:sz w:val="18"/>
                <w:szCs w:val="18"/>
              </w:rPr>
              <w:t>Available brands</w:t>
            </w:r>
          </w:p>
        </w:tc>
      </w:tr>
      <w:tr w:rsidR="001E1835" w:rsidRPr="000B7209" w:rsidTr="001E1835">
        <w:trPr>
          <w:cantSplit/>
          <w:trHeight w:val="336"/>
        </w:trPr>
        <w:tc>
          <w:tcPr>
            <w:tcW w:w="5000" w:type="pct"/>
            <w:gridSpan w:val="7"/>
          </w:tcPr>
          <w:p w:rsidR="001E1835" w:rsidRPr="000B7209" w:rsidRDefault="001E1835" w:rsidP="004F04FD">
            <w:pPr>
              <w:keepNext/>
              <w:jc w:val="left"/>
              <w:rPr>
                <w:rFonts w:ascii="Arial Narrow" w:hAnsi="Arial Narrow" w:cs="Arial"/>
                <w:b/>
                <w:sz w:val="18"/>
                <w:szCs w:val="18"/>
              </w:rPr>
            </w:pPr>
            <w:r w:rsidRPr="000B7209">
              <w:rPr>
                <w:rFonts w:ascii="Arial Narrow" w:hAnsi="Arial Narrow" w:cs="Arial"/>
                <w:sz w:val="20"/>
                <w:szCs w:val="20"/>
              </w:rPr>
              <w:t>APOMORPHINE</w:t>
            </w:r>
          </w:p>
        </w:tc>
      </w:tr>
      <w:tr w:rsidR="00F861DA" w:rsidRPr="000B7209" w:rsidTr="00B33BF5">
        <w:trPr>
          <w:cantSplit/>
          <w:trHeight w:val="283"/>
        </w:trPr>
        <w:tc>
          <w:tcPr>
            <w:tcW w:w="2356" w:type="pct"/>
            <w:gridSpan w:val="2"/>
            <w:vAlign w:val="center"/>
          </w:tcPr>
          <w:p w:rsidR="00F861DA" w:rsidRPr="000B7209" w:rsidRDefault="00F861DA" w:rsidP="001E1835">
            <w:pPr>
              <w:keepNext/>
              <w:jc w:val="left"/>
              <w:rPr>
                <w:rFonts w:ascii="Arial Narrow" w:hAnsi="Arial Narrow" w:cs="Arial"/>
                <w:smallCaps/>
                <w:sz w:val="20"/>
                <w:szCs w:val="20"/>
              </w:rPr>
            </w:pPr>
            <w:r w:rsidRPr="000B7209">
              <w:rPr>
                <w:rFonts w:ascii="Arial Narrow" w:hAnsi="Arial Narrow" w:cs="Arial"/>
                <w:sz w:val="20"/>
                <w:szCs w:val="20"/>
              </w:rPr>
              <w:t xml:space="preserve">apomorphine hydrochloride hemihydrate 50 mg/10 mL injection, 5 x 10 mL syringes </w:t>
            </w:r>
          </w:p>
        </w:tc>
        <w:tc>
          <w:tcPr>
            <w:tcW w:w="550" w:type="pct"/>
            <w:vAlign w:val="center"/>
          </w:tcPr>
          <w:p w:rsidR="00F861DA" w:rsidRPr="000B7209" w:rsidRDefault="00B33BF5" w:rsidP="00B33BF5">
            <w:pPr>
              <w:keepNext/>
              <w:ind w:left="-103"/>
              <w:jc w:val="center"/>
              <w:rPr>
                <w:rFonts w:ascii="Arial Narrow" w:hAnsi="Arial Narrow" w:cs="Arial"/>
                <w:sz w:val="18"/>
                <w:szCs w:val="18"/>
              </w:rPr>
            </w:pPr>
            <w:r>
              <w:rPr>
                <w:rFonts w:ascii="Arial Narrow" w:hAnsi="Arial Narrow" w:cs="Arial"/>
                <w:sz w:val="18"/>
                <w:szCs w:val="18"/>
              </w:rPr>
              <w:t>NEW</w:t>
            </w:r>
          </w:p>
          <w:p w:rsidR="00F861DA" w:rsidRPr="000B7209" w:rsidRDefault="00F861DA" w:rsidP="0040308C">
            <w:pPr>
              <w:keepNext/>
              <w:ind w:left="-108"/>
              <w:jc w:val="center"/>
              <w:rPr>
                <w:rFonts w:ascii="Arial Narrow" w:hAnsi="Arial Narrow" w:cs="Arial"/>
                <w:sz w:val="18"/>
                <w:szCs w:val="18"/>
              </w:rPr>
            </w:pPr>
          </w:p>
        </w:tc>
        <w:tc>
          <w:tcPr>
            <w:tcW w:w="550" w:type="pct"/>
            <w:vAlign w:val="center"/>
          </w:tcPr>
          <w:p w:rsidR="00F861DA" w:rsidRPr="000B7209" w:rsidRDefault="00B33BF5" w:rsidP="00B33BF5">
            <w:pPr>
              <w:keepNext/>
              <w:ind w:left="-109"/>
              <w:jc w:val="center"/>
              <w:rPr>
                <w:rFonts w:ascii="Arial Narrow" w:hAnsi="Arial Narrow" w:cs="Arial"/>
                <w:sz w:val="18"/>
                <w:szCs w:val="18"/>
              </w:rPr>
            </w:pPr>
            <w:r>
              <w:rPr>
                <w:rFonts w:ascii="Arial Narrow" w:hAnsi="Arial Narrow" w:cs="Arial"/>
                <w:sz w:val="18"/>
                <w:szCs w:val="18"/>
              </w:rPr>
              <w:t xml:space="preserve"> </w:t>
            </w:r>
            <w:r w:rsidR="00F861DA" w:rsidRPr="000B7209">
              <w:rPr>
                <w:rFonts w:ascii="Arial Narrow" w:hAnsi="Arial Narrow" w:cs="Arial"/>
                <w:sz w:val="18"/>
                <w:szCs w:val="18"/>
              </w:rPr>
              <w:t>36</w:t>
            </w:r>
          </w:p>
        </w:tc>
        <w:tc>
          <w:tcPr>
            <w:tcW w:w="472" w:type="pct"/>
            <w:vAlign w:val="center"/>
          </w:tcPr>
          <w:p w:rsidR="00F861DA" w:rsidRPr="000B7209" w:rsidRDefault="00F861DA" w:rsidP="00B33BF5">
            <w:pPr>
              <w:keepNext/>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F861DA" w:rsidRPr="000B7209" w:rsidRDefault="00F861DA" w:rsidP="00B33BF5">
            <w:pPr>
              <w:keepNext/>
              <w:jc w:val="center"/>
              <w:rPr>
                <w:rFonts w:ascii="Arial Narrow" w:hAnsi="Arial Narrow" w:cs="Arial"/>
                <w:sz w:val="18"/>
                <w:szCs w:val="18"/>
              </w:rPr>
            </w:pPr>
            <w:r w:rsidRPr="000B7209">
              <w:rPr>
                <w:rFonts w:ascii="Arial Narrow" w:hAnsi="Arial Narrow" w:cs="Arial"/>
                <w:sz w:val="18"/>
                <w:szCs w:val="18"/>
              </w:rPr>
              <w:t>5</w:t>
            </w:r>
          </w:p>
        </w:tc>
        <w:tc>
          <w:tcPr>
            <w:tcW w:w="679" w:type="pct"/>
          </w:tcPr>
          <w:p w:rsidR="00F861DA" w:rsidRPr="000B7209" w:rsidRDefault="00F861DA" w:rsidP="00B33BF5">
            <w:pPr>
              <w:keepNext/>
              <w:jc w:val="left"/>
              <w:rPr>
                <w:rFonts w:ascii="Arial Narrow" w:hAnsi="Arial Narrow" w:cs="Arial"/>
                <w:sz w:val="18"/>
                <w:szCs w:val="18"/>
              </w:rPr>
            </w:pPr>
            <w:r w:rsidRPr="000B7209">
              <w:rPr>
                <w:rFonts w:ascii="Arial Narrow" w:hAnsi="Arial Narrow" w:cs="Arial"/>
                <w:sz w:val="18"/>
                <w:szCs w:val="18"/>
              </w:rPr>
              <w:t>Movapo PFS</w:t>
            </w:r>
          </w:p>
        </w:tc>
      </w:tr>
      <w:tr w:rsidR="00F861DA" w:rsidRPr="000B7209" w:rsidTr="00B33BF5">
        <w:trPr>
          <w:cantSplit/>
          <w:trHeight w:val="361"/>
        </w:trPr>
        <w:tc>
          <w:tcPr>
            <w:tcW w:w="2356" w:type="pct"/>
            <w:gridSpan w:val="2"/>
            <w:vAlign w:val="center"/>
          </w:tcPr>
          <w:p w:rsidR="00F861DA" w:rsidRPr="000B7209" w:rsidRDefault="00F861DA" w:rsidP="001E1835">
            <w:pPr>
              <w:keepNext/>
              <w:jc w:val="left"/>
              <w:rPr>
                <w:rFonts w:ascii="Arial Narrow" w:hAnsi="Arial Narrow" w:cs="Arial"/>
                <w:sz w:val="20"/>
                <w:szCs w:val="20"/>
              </w:rPr>
            </w:pPr>
            <w:r w:rsidRPr="000B7209">
              <w:rPr>
                <w:rFonts w:ascii="Arial Narrow" w:hAnsi="Arial Narrow" w:cs="Arial"/>
                <w:sz w:val="20"/>
                <w:szCs w:val="20"/>
              </w:rPr>
              <w:t>apomorphine hydrochloride hemihydrate 50 mg/5 mL injection, 5 x 5 mL ampoules</w:t>
            </w:r>
          </w:p>
        </w:tc>
        <w:tc>
          <w:tcPr>
            <w:tcW w:w="550" w:type="pct"/>
            <w:vAlign w:val="center"/>
          </w:tcPr>
          <w:p w:rsidR="00F861DA" w:rsidRPr="000B7209" w:rsidRDefault="00F861DA" w:rsidP="001E1835">
            <w:pPr>
              <w:keepNext/>
              <w:ind w:left="-108"/>
              <w:jc w:val="center"/>
              <w:rPr>
                <w:rFonts w:ascii="Arial Narrow" w:hAnsi="Arial Narrow" w:cs="Arial"/>
                <w:sz w:val="18"/>
                <w:szCs w:val="18"/>
              </w:rPr>
            </w:pPr>
          </w:p>
          <w:p w:rsidR="00F861DA" w:rsidRPr="000B7209" w:rsidRDefault="00B33BF5" w:rsidP="001E1835">
            <w:pPr>
              <w:keepNext/>
              <w:ind w:left="-108"/>
              <w:jc w:val="center"/>
              <w:rPr>
                <w:rFonts w:ascii="Arial Narrow" w:hAnsi="Arial Narrow" w:cs="Arial"/>
                <w:sz w:val="18"/>
                <w:szCs w:val="18"/>
              </w:rPr>
            </w:pPr>
            <w:r>
              <w:rPr>
                <w:rFonts w:ascii="Arial Narrow" w:hAnsi="Arial Narrow" w:cs="Arial"/>
                <w:sz w:val="18"/>
                <w:szCs w:val="18"/>
              </w:rPr>
              <w:t>NEW</w:t>
            </w:r>
          </w:p>
          <w:p w:rsidR="00F861DA" w:rsidRPr="000B7209" w:rsidRDefault="00F861DA" w:rsidP="001E1835">
            <w:pPr>
              <w:keepNext/>
              <w:ind w:left="-108"/>
              <w:jc w:val="center"/>
              <w:rPr>
                <w:rFonts w:ascii="Arial Narrow" w:hAnsi="Arial Narrow" w:cs="Arial"/>
                <w:sz w:val="18"/>
                <w:szCs w:val="18"/>
              </w:rPr>
            </w:pPr>
          </w:p>
        </w:tc>
        <w:tc>
          <w:tcPr>
            <w:tcW w:w="550" w:type="pct"/>
            <w:vAlign w:val="center"/>
          </w:tcPr>
          <w:p w:rsidR="00F861DA" w:rsidRPr="000B7209" w:rsidRDefault="00F861DA" w:rsidP="004F04FD">
            <w:pPr>
              <w:keepNext/>
              <w:jc w:val="center"/>
              <w:rPr>
                <w:rFonts w:ascii="Arial Narrow" w:hAnsi="Arial Narrow" w:cs="Arial"/>
                <w:sz w:val="18"/>
                <w:szCs w:val="18"/>
              </w:rPr>
            </w:pPr>
            <w:r w:rsidRPr="000B7209">
              <w:rPr>
                <w:rFonts w:ascii="Arial Narrow" w:hAnsi="Arial Narrow" w:cs="Arial"/>
                <w:sz w:val="18"/>
                <w:szCs w:val="18"/>
              </w:rPr>
              <w:t>36</w:t>
            </w:r>
          </w:p>
        </w:tc>
        <w:tc>
          <w:tcPr>
            <w:tcW w:w="472" w:type="pct"/>
            <w:vAlign w:val="center"/>
          </w:tcPr>
          <w:p w:rsidR="00F861DA" w:rsidRPr="000B7209" w:rsidRDefault="00F861DA" w:rsidP="004F04FD">
            <w:pPr>
              <w:keepNext/>
              <w:ind w:left="-108"/>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F861DA" w:rsidRPr="000B7209" w:rsidRDefault="00F861DA" w:rsidP="004F04FD">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79" w:type="pct"/>
          </w:tcPr>
          <w:p w:rsidR="00F861DA" w:rsidRPr="000B7209" w:rsidRDefault="00F861DA" w:rsidP="009F1868">
            <w:pPr>
              <w:keepNext/>
              <w:jc w:val="left"/>
              <w:rPr>
                <w:rFonts w:ascii="Arial Narrow" w:hAnsi="Arial Narrow" w:cs="Arial"/>
                <w:sz w:val="18"/>
                <w:szCs w:val="18"/>
              </w:rPr>
            </w:pPr>
          </w:p>
          <w:p w:rsidR="00F861DA" w:rsidRPr="000B7209" w:rsidRDefault="00F861DA" w:rsidP="004F04FD">
            <w:pPr>
              <w:keepNext/>
              <w:jc w:val="left"/>
              <w:rPr>
                <w:rFonts w:ascii="Arial Narrow" w:hAnsi="Arial Narrow" w:cs="Arial"/>
                <w:sz w:val="18"/>
                <w:szCs w:val="18"/>
              </w:rPr>
            </w:pPr>
            <w:r w:rsidRPr="000B7209">
              <w:rPr>
                <w:rFonts w:ascii="Arial Narrow" w:hAnsi="Arial Narrow" w:cs="Arial"/>
                <w:sz w:val="18"/>
                <w:szCs w:val="18"/>
              </w:rPr>
              <w:t>Movapo</w:t>
            </w:r>
          </w:p>
        </w:tc>
      </w:tr>
      <w:tr w:rsidR="00F861DA" w:rsidRPr="000B7209" w:rsidTr="00B33BF5">
        <w:trPr>
          <w:cantSplit/>
          <w:trHeight w:val="583"/>
        </w:trPr>
        <w:tc>
          <w:tcPr>
            <w:tcW w:w="2356" w:type="pct"/>
            <w:gridSpan w:val="2"/>
            <w:vAlign w:val="center"/>
          </w:tcPr>
          <w:p w:rsidR="00F861DA" w:rsidRPr="000B7209" w:rsidRDefault="00F861DA" w:rsidP="001E1835">
            <w:pPr>
              <w:keepNext/>
              <w:jc w:val="left"/>
              <w:rPr>
                <w:rFonts w:ascii="Arial Narrow" w:hAnsi="Arial Narrow" w:cs="Arial"/>
                <w:sz w:val="20"/>
                <w:szCs w:val="20"/>
              </w:rPr>
            </w:pPr>
            <w:r w:rsidRPr="000B7209">
              <w:rPr>
                <w:rFonts w:ascii="Arial Narrow" w:hAnsi="Arial Narrow" w:cs="Arial"/>
                <w:sz w:val="20"/>
                <w:szCs w:val="20"/>
              </w:rPr>
              <w:t>apomorphine hydrochloride hemihydrate 20 mg/2 mL injection, 5 x 2 mL ampoules </w:t>
            </w:r>
          </w:p>
        </w:tc>
        <w:tc>
          <w:tcPr>
            <w:tcW w:w="550" w:type="pct"/>
            <w:vAlign w:val="center"/>
          </w:tcPr>
          <w:p w:rsidR="00F861DA" w:rsidRPr="000B7209" w:rsidRDefault="00F861DA" w:rsidP="00B33BF5">
            <w:pPr>
              <w:keepNext/>
              <w:jc w:val="center"/>
              <w:rPr>
                <w:rFonts w:ascii="Arial Narrow" w:hAnsi="Arial Narrow" w:cs="Arial"/>
                <w:sz w:val="18"/>
                <w:szCs w:val="18"/>
              </w:rPr>
            </w:pPr>
            <w:r w:rsidRPr="000B7209">
              <w:rPr>
                <w:rFonts w:ascii="Arial Narrow" w:hAnsi="Arial Narrow" w:cs="Arial"/>
                <w:sz w:val="18"/>
                <w:szCs w:val="18"/>
              </w:rPr>
              <w:t>NEW</w:t>
            </w:r>
          </w:p>
        </w:tc>
        <w:tc>
          <w:tcPr>
            <w:tcW w:w="550" w:type="pct"/>
            <w:vAlign w:val="center"/>
          </w:tcPr>
          <w:p w:rsidR="00F861DA" w:rsidRPr="000B7209" w:rsidRDefault="00F861DA" w:rsidP="004F04FD">
            <w:pPr>
              <w:keepNext/>
              <w:jc w:val="center"/>
              <w:rPr>
                <w:rFonts w:ascii="Arial Narrow" w:hAnsi="Arial Narrow" w:cs="Arial"/>
                <w:sz w:val="18"/>
                <w:szCs w:val="18"/>
              </w:rPr>
            </w:pPr>
            <w:r w:rsidRPr="000B7209">
              <w:rPr>
                <w:rFonts w:ascii="Arial Narrow" w:hAnsi="Arial Narrow" w:cs="Arial"/>
                <w:sz w:val="18"/>
                <w:szCs w:val="18"/>
              </w:rPr>
              <w:t>72</w:t>
            </w:r>
          </w:p>
        </w:tc>
        <w:tc>
          <w:tcPr>
            <w:tcW w:w="472" w:type="pct"/>
            <w:vAlign w:val="center"/>
          </w:tcPr>
          <w:p w:rsidR="00F861DA" w:rsidRPr="000B7209" w:rsidRDefault="00F861DA" w:rsidP="004F04FD">
            <w:pPr>
              <w:keepNext/>
              <w:ind w:left="-108"/>
              <w:jc w:val="center"/>
              <w:rPr>
                <w:rFonts w:ascii="Arial Narrow" w:hAnsi="Arial Narrow" w:cs="Arial"/>
                <w:sz w:val="18"/>
                <w:szCs w:val="18"/>
              </w:rPr>
            </w:pPr>
            <w:r w:rsidRPr="000B7209">
              <w:rPr>
                <w:rFonts w:ascii="Arial Narrow" w:hAnsi="Arial Narrow" w:cs="Arial"/>
                <w:sz w:val="18"/>
                <w:szCs w:val="18"/>
              </w:rPr>
              <w:t>360</w:t>
            </w:r>
          </w:p>
        </w:tc>
        <w:tc>
          <w:tcPr>
            <w:tcW w:w="393" w:type="pct"/>
            <w:vAlign w:val="center"/>
          </w:tcPr>
          <w:p w:rsidR="00F861DA" w:rsidRPr="000B7209" w:rsidRDefault="00F861DA" w:rsidP="004F04FD">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79" w:type="pct"/>
          </w:tcPr>
          <w:p w:rsidR="00F861DA" w:rsidRPr="000B7209" w:rsidRDefault="00F861DA" w:rsidP="009F1868">
            <w:pPr>
              <w:keepNext/>
              <w:jc w:val="left"/>
              <w:rPr>
                <w:rFonts w:ascii="Arial Narrow" w:hAnsi="Arial Narrow" w:cs="Arial"/>
                <w:sz w:val="18"/>
                <w:szCs w:val="18"/>
              </w:rPr>
            </w:pPr>
          </w:p>
          <w:p w:rsidR="00F861DA" w:rsidRPr="000B7209" w:rsidRDefault="00F861DA" w:rsidP="004F04FD">
            <w:pPr>
              <w:keepNext/>
              <w:jc w:val="left"/>
              <w:rPr>
                <w:rFonts w:ascii="Arial Narrow" w:hAnsi="Arial Narrow" w:cs="Arial"/>
                <w:sz w:val="18"/>
                <w:szCs w:val="18"/>
              </w:rPr>
            </w:pPr>
            <w:r w:rsidRPr="000B7209">
              <w:rPr>
                <w:rFonts w:ascii="Arial Narrow" w:hAnsi="Arial Narrow" w:cs="Arial"/>
                <w:sz w:val="18"/>
                <w:szCs w:val="18"/>
              </w:rPr>
              <w:t>Movapo</w:t>
            </w:r>
          </w:p>
        </w:tc>
      </w:tr>
      <w:tr w:rsidR="001E1835" w:rsidRPr="000B7209" w:rsidTr="001E183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1E1835" w:rsidRPr="000B7209" w:rsidRDefault="001E1835" w:rsidP="004F04FD">
            <w:pPr>
              <w:rPr>
                <w:rFonts w:ascii="Arial Narrow" w:hAnsi="Arial Narrow" w:cs="Arial"/>
                <w:b/>
                <w:sz w:val="18"/>
                <w:szCs w:val="18"/>
              </w:rPr>
            </w:pPr>
          </w:p>
        </w:tc>
      </w:tr>
      <w:tr w:rsidR="001E1835" w:rsidRPr="000B7209" w:rsidTr="001E1835">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1E1835" w:rsidRPr="000B7209" w:rsidRDefault="00E34C11" w:rsidP="004F04FD">
            <w:pPr>
              <w:rPr>
                <w:rFonts w:ascii="Arial Narrow" w:hAnsi="Arial Narrow" w:cs="Arial"/>
                <w:b/>
                <w:sz w:val="18"/>
                <w:szCs w:val="18"/>
              </w:rPr>
            </w:pPr>
            <w:r w:rsidRPr="000B7209">
              <w:rPr>
                <w:rFonts w:ascii="Arial Narrow" w:hAnsi="Arial Narrow" w:cs="Arial"/>
                <w:b/>
                <w:sz w:val="18"/>
                <w:szCs w:val="18"/>
              </w:rPr>
              <w:t xml:space="preserve">Attach </w:t>
            </w:r>
            <w:r w:rsidR="001E1835" w:rsidRPr="000B7209">
              <w:rPr>
                <w:rFonts w:ascii="Arial Narrow" w:hAnsi="Arial Narrow" w:cs="Arial"/>
                <w:b/>
                <w:sz w:val="18"/>
                <w:szCs w:val="18"/>
              </w:rPr>
              <w:t>Restriction Summary 10720</w:t>
            </w:r>
            <w:r w:rsidRPr="000B7209">
              <w:rPr>
                <w:rFonts w:ascii="Arial Narrow" w:hAnsi="Arial Narrow" w:cs="Arial"/>
                <w:b/>
                <w:sz w:val="18"/>
                <w:szCs w:val="18"/>
              </w:rPr>
              <w:t xml:space="preserve"> </w:t>
            </w:r>
            <w:r w:rsidR="001E1835" w:rsidRPr="000B7209">
              <w:rPr>
                <w:rFonts w:ascii="Arial Narrow" w:hAnsi="Arial Narrow" w:cs="Arial"/>
                <w:b/>
                <w:sz w:val="18"/>
                <w:szCs w:val="18"/>
              </w:rPr>
              <w:t>/ Treatment of Concept: 10844</w:t>
            </w:r>
            <w:r w:rsidRPr="000B7209">
              <w:rPr>
                <w:rFonts w:ascii="Arial Narrow" w:hAnsi="Arial Narrow" w:cs="Arial"/>
                <w:b/>
                <w:sz w:val="18"/>
                <w:szCs w:val="18"/>
              </w:rPr>
              <w:t xml:space="preserve"> to the </w:t>
            </w:r>
            <w:r w:rsidR="00032E90" w:rsidRPr="000B7209">
              <w:rPr>
                <w:rFonts w:ascii="Arial Narrow" w:hAnsi="Arial Narrow" w:cs="Arial"/>
                <w:b/>
                <w:sz w:val="18"/>
                <w:szCs w:val="18"/>
              </w:rPr>
              <w:t xml:space="preserve">existing </w:t>
            </w:r>
            <w:r w:rsidRPr="000B7209">
              <w:rPr>
                <w:rFonts w:ascii="Arial Narrow" w:hAnsi="Arial Narrow" w:cs="Arial"/>
                <w:b/>
                <w:sz w:val="18"/>
                <w:szCs w:val="18"/>
              </w:rPr>
              <w:t xml:space="preserve">3 </w:t>
            </w:r>
            <w:r w:rsidR="00032E90" w:rsidRPr="000B7209">
              <w:rPr>
                <w:rFonts w:ascii="Arial Narrow" w:hAnsi="Arial Narrow" w:cs="Arial"/>
                <w:b/>
                <w:sz w:val="18"/>
                <w:szCs w:val="18"/>
              </w:rPr>
              <w:t>medicinal product packs listed</w:t>
            </w:r>
            <w:r w:rsidRPr="000B7209">
              <w:rPr>
                <w:rFonts w:ascii="Arial Narrow" w:hAnsi="Arial Narrow" w:cs="Arial"/>
                <w:b/>
                <w:sz w:val="18"/>
                <w:szCs w:val="18"/>
              </w:rPr>
              <w:t xml:space="preserve"> above:</w:t>
            </w:r>
          </w:p>
        </w:tc>
      </w:tr>
      <w:tr w:rsidR="001E09F5" w:rsidRPr="000B7209" w:rsidTr="00F861DA">
        <w:tblPrEx>
          <w:tblCellMar>
            <w:top w:w="15" w:type="dxa"/>
            <w:left w:w="15" w:type="dxa"/>
            <w:bottom w:w="15" w:type="dxa"/>
            <w:right w:w="15" w:type="dxa"/>
          </w:tblCellMar>
          <w:tblLook w:val="04A0" w:firstRow="1" w:lastRow="0" w:firstColumn="1" w:lastColumn="0" w:noHBand="0" w:noVBand="1"/>
        </w:tblPrEx>
        <w:tc>
          <w:tcPr>
            <w:tcW w:w="521" w:type="pct"/>
            <w:vMerge w:val="restart"/>
            <w:tcBorders>
              <w:top w:val="single" w:sz="4" w:space="0" w:color="auto"/>
              <w:left w:val="single" w:sz="4" w:space="0" w:color="auto"/>
              <w:right w:val="single" w:sz="4" w:space="0" w:color="auto"/>
            </w:tcBorders>
          </w:tcPr>
          <w:p w:rsidR="001E09F5" w:rsidRPr="000B7209" w:rsidRDefault="001E09F5" w:rsidP="004F04FD">
            <w:pPr>
              <w:jc w:val="center"/>
              <w:rPr>
                <w:rFonts w:ascii="Arial Narrow" w:hAnsi="Arial Narrow" w:cs="Arial"/>
                <w:sz w:val="18"/>
                <w:szCs w:val="18"/>
              </w:rPr>
            </w:pPr>
          </w:p>
        </w:tc>
        <w:tc>
          <w:tcPr>
            <w:tcW w:w="4479" w:type="pct"/>
            <w:gridSpan w:val="6"/>
            <w:tcBorders>
              <w:top w:val="single" w:sz="4" w:space="0" w:color="auto"/>
              <w:left w:val="single" w:sz="4" w:space="0" w:color="auto"/>
              <w:bottom w:val="single" w:sz="4" w:space="0" w:color="auto"/>
              <w:right w:val="single" w:sz="4" w:space="0" w:color="auto"/>
            </w:tcBorders>
          </w:tcPr>
          <w:p w:rsidR="001E09F5" w:rsidRPr="000B7209" w:rsidRDefault="001E09F5" w:rsidP="004F04FD">
            <w:pPr>
              <w:rPr>
                <w:rFonts w:ascii="Arial Narrow" w:hAnsi="Arial Narrow" w:cs="Arial"/>
                <w:sz w:val="18"/>
                <w:szCs w:val="18"/>
              </w:rPr>
            </w:pPr>
            <w:r w:rsidRPr="000B7209">
              <w:rPr>
                <w:rFonts w:ascii="Arial Narrow" w:hAnsi="Arial Narrow" w:cs="Arial"/>
                <w:b/>
                <w:sz w:val="18"/>
                <w:szCs w:val="18"/>
              </w:rPr>
              <w:t xml:space="preserve">Category / Program:   </w:t>
            </w:r>
            <w:r w:rsidRPr="000B7209">
              <w:rPr>
                <w:rFonts w:ascii="Arial Narrow" w:hAnsi="Arial Narrow" w:cs="Arial"/>
                <w:sz w:val="18"/>
                <w:szCs w:val="18"/>
              </w:rPr>
              <w:t xml:space="preserve">GENERAL – General Schedule (Code GE) </w:t>
            </w:r>
          </w:p>
        </w:tc>
      </w:tr>
      <w:tr w:rsidR="001E09F5" w:rsidRPr="000B7209" w:rsidTr="00F861DA">
        <w:tblPrEx>
          <w:tblCellMar>
            <w:top w:w="15" w:type="dxa"/>
            <w:left w:w="15" w:type="dxa"/>
            <w:bottom w:w="15" w:type="dxa"/>
            <w:right w:w="15" w:type="dxa"/>
          </w:tblCellMar>
          <w:tblLook w:val="04A0" w:firstRow="1" w:lastRow="0" w:firstColumn="1" w:lastColumn="0" w:noHBand="0" w:noVBand="1"/>
        </w:tblPrEx>
        <w:trPr>
          <w:trHeight w:val="240"/>
        </w:trPr>
        <w:tc>
          <w:tcPr>
            <w:tcW w:w="521" w:type="pct"/>
            <w:vMerge/>
            <w:tcBorders>
              <w:left w:val="single" w:sz="4" w:space="0" w:color="auto"/>
              <w:right w:val="single" w:sz="4" w:space="0" w:color="auto"/>
            </w:tcBorders>
          </w:tcPr>
          <w:p w:rsidR="001E09F5" w:rsidRPr="000B7209" w:rsidRDefault="001E09F5" w:rsidP="004F04FD">
            <w:pPr>
              <w:rPr>
                <w:rFonts w:ascii="Arial Narrow" w:hAnsi="Arial Narrow" w:cs="Arial"/>
                <w:sz w:val="18"/>
                <w:szCs w:val="18"/>
              </w:rPr>
            </w:pPr>
          </w:p>
        </w:tc>
        <w:tc>
          <w:tcPr>
            <w:tcW w:w="4479" w:type="pct"/>
            <w:gridSpan w:val="6"/>
            <w:tcBorders>
              <w:top w:val="single" w:sz="4" w:space="0" w:color="auto"/>
              <w:left w:val="single" w:sz="4" w:space="0" w:color="auto"/>
              <w:bottom w:val="single" w:sz="4" w:space="0" w:color="auto"/>
              <w:right w:val="single" w:sz="4" w:space="0" w:color="auto"/>
            </w:tcBorders>
          </w:tcPr>
          <w:p w:rsidR="001E09F5" w:rsidRPr="00864FEE" w:rsidRDefault="001E09F5" w:rsidP="004F04FD">
            <w:pPr>
              <w:rPr>
                <w:rFonts w:ascii="Arial Narrow" w:hAnsi="Arial Narrow" w:cs="Arial"/>
                <w:b/>
                <w:sz w:val="18"/>
                <w:szCs w:val="18"/>
              </w:rPr>
            </w:pPr>
            <w:r w:rsidRPr="000B7209">
              <w:rPr>
                <w:rFonts w:ascii="Arial Narrow" w:hAnsi="Arial Narrow" w:cs="Arial"/>
                <w:b/>
                <w:sz w:val="18"/>
                <w:szCs w:val="18"/>
              </w:rPr>
              <w:t xml:space="preserve">Prescriber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Medical Practitioners    </w:t>
            </w:r>
            <w:r w:rsidRPr="00AF39BF">
              <w:rPr>
                <w:rFonts w:ascii="Arial Narrow" w:hAnsi="Arial Narrow" w:cs="Arial"/>
                <w:i/>
                <w:sz w:val="18"/>
                <w:szCs w:val="18"/>
              </w:rPr>
              <w:fldChar w:fldCharType="begin">
                <w:ffData>
                  <w:name w:val=""/>
                  <w:enabled/>
                  <w:calcOnExit w:val="0"/>
                  <w:checkBox>
                    <w:sizeAuto/>
                    <w:default w:val="1"/>
                  </w:checkBox>
                </w:ffData>
              </w:fldChar>
            </w:r>
            <w:r w:rsidRPr="000B7209">
              <w:rPr>
                <w:rFonts w:ascii="Arial Narrow" w:hAnsi="Arial Narrow" w:cs="Arial"/>
                <w:i/>
                <w:sz w:val="18"/>
                <w:szCs w:val="18"/>
              </w:rPr>
              <w:instrText xml:space="preserve"> FORMCHECKBOX </w:instrText>
            </w:r>
            <w:r w:rsidR="00FE0340">
              <w:rPr>
                <w:rFonts w:ascii="Arial Narrow" w:hAnsi="Arial Narrow" w:cs="Arial"/>
                <w:i/>
                <w:sz w:val="18"/>
                <w:szCs w:val="18"/>
              </w:rPr>
            </w:r>
            <w:r w:rsidR="00FE0340">
              <w:rPr>
                <w:rFonts w:ascii="Arial Narrow" w:hAnsi="Arial Narrow" w:cs="Arial"/>
                <w:i/>
                <w:sz w:val="18"/>
                <w:szCs w:val="18"/>
              </w:rPr>
              <w:fldChar w:fldCharType="separate"/>
            </w:r>
            <w:r w:rsidRPr="00AF39BF">
              <w:rPr>
                <w:rFonts w:ascii="Arial Narrow" w:hAnsi="Arial Narrow" w:cs="Arial"/>
                <w:i/>
                <w:sz w:val="18"/>
                <w:szCs w:val="18"/>
              </w:rPr>
              <w:fldChar w:fldCharType="end"/>
            </w:r>
            <w:r w:rsidRPr="000B7209">
              <w:rPr>
                <w:rFonts w:ascii="Arial Narrow" w:hAnsi="Arial Narrow" w:cs="Arial"/>
                <w:i/>
                <w:sz w:val="18"/>
                <w:szCs w:val="18"/>
              </w:rPr>
              <w:t xml:space="preserve"> </w:t>
            </w:r>
            <w:r w:rsidRPr="00864FEE">
              <w:rPr>
                <w:rFonts w:ascii="Arial Narrow" w:hAnsi="Arial Narrow" w:cs="Arial"/>
                <w:sz w:val="18"/>
                <w:szCs w:val="18"/>
              </w:rPr>
              <w:t xml:space="preserve">Nurse Practitioners - SCM    </w:t>
            </w:r>
          </w:p>
        </w:tc>
      </w:tr>
      <w:tr w:rsidR="001E09F5" w:rsidRPr="000B7209" w:rsidTr="00F861DA">
        <w:tblPrEx>
          <w:tblCellMar>
            <w:top w:w="15" w:type="dxa"/>
            <w:left w:w="15" w:type="dxa"/>
            <w:bottom w:w="15" w:type="dxa"/>
            <w:right w:w="15" w:type="dxa"/>
          </w:tblCellMar>
          <w:tblLook w:val="04A0" w:firstRow="1" w:lastRow="0" w:firstColumn="1" w:lastColumn="0" w:noHBand="0" w:noVBand="1"/>
        </w:tblPrEx>
        <w:tc>
          <w:tcPr>
            <w:tcW w:w="521" w:type="pct"/>
            <w:vMerge/>
            <w:tcBorders>
              <w:left w:val="single" w:sz="4" w:space="0" w:color="auto"/>
              <w:bottom w:val="single" w:sz="4" w:space="0" w:color="auto"/>
              <w:right w:val="single" w:sz="4" w:space="0" w:color="auto"/>
            </w:tcBorders>
          </w:tcPr>
          <w:p w:rsidR="001E09F5" w:rsidRPr="000B7209" w:rsidRDefault="001E09F5" w:rsidP="004F04FD">
            <w:pPr>
              <w:rPr>
                <w:rFonts w:ascii="Arial Narrow" w:hAnsi="Arial Narrow" w:cs="Arial"/>
                <w:sz w:val="18"/>
                <w:szCs w:val="18"/>
              </w:rPr>
            </w:pPr>
          </w:p>
        </w:tc>
        <w:tc>
          <w:tcPr>
            <w:tcW w:w="4479" w:type="pct"/>
            <w:gridSpan w:val="6"/>
            <w:tcBorders>
              <w:top w:val="single" w:sz="4" w:space="0" w:color="auto"/>
              <w:left w:val="single" w:sz="4" w:space="0" w:color="auto"/>
              <w:bottom w:val="single" w:sz="4" w:space="0" w:color="auto"/>
              <w:right w:val="single" w:sz="4" w:space="0" w:color="auto"/>
            </w:tcBorders>
          </w:tcPr>
          <w:p w:rsidR="001E09F5" w:rsidRPr="00864FEE" w:rsidRDefault="001E09F5" w:rsidP="004F04FD">
            <w:pPr>
              <w:rPr>
                <w:rFonts w:ascii="Arial Narrow" w:hAnsi="Arial Narrow" w:cs="Arial"/>
                <w:b/>
                <w:sz w:val="18"/>
                <w:szCs w:val="18"/>
              </w:rPr>
            </w:pPr>
            <w:r w:rsidRPr="000B7209">
              <w:rPr>
                <w:rFonts w:ascii="Arial Narrow" w:hAnsi="Arial Narrow" w:cs="Arial"/>
                <w:b/>
                <w:sz w:val="18"/>
                <w:szCs w:val="18"/>
              </w:rPr>
              <w:t xml:space="preserve">Restriction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 </w:t>
            </w:r>
            <w:r w:rsidRPr="00864FEE">
              <w:rPr>
                <w:rFonts w:ascii="Arial Narrow" w:hAnsi="Arial Narrow" w:cs="Arial"/>
                <w:sz w:val="18"/>
                <w:szCs w:val="18"/>
              </w:rPr>
              <w:t>Authority Required – Streamlined (10844)</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
                <w:bCs/>
                <w:color w:val="333333"/>
                <w:sz w:val="18"/>
                <w:szCs w:val="18"/>
              </w:rPr>
            </w:pPr>
            <w:r w:rsidRPr="000B7209">
              <w:rPr>
                <w:rFonts w:ascii="Arial Narrow" w:hAnsi="Arial Narrow"/>
                <w:b/>
                <w:bCs/>
                <w:color w:val="333333"/>
                <w:sz w:val="18"/>
                <w:szCs w:val="18"/>
              </w:rPr>
              <w:t>Administrative Advice:</w:t>
            </w:r>
          </w:p>
          <w:p w:rsidR="001E1835" w:rsidRPr="000B7209" w:rsidRDefault="001E1835" w:rsidP="001E1835">
            <w:pPr>
              <w:rPr>
                <w:rFonts w:ascii="Arial Narrow" w:hAnsi="Arial Narrow"/>
                <w:b/>
                <w:bCs/>
                <w:color w:val="333333"/>
                <w:sz w:val="18"/>
                <w:szCs w:val="18"/>
              </w:rPr>
            </w:pPr>
            <w:r w:rsidRPr="000B7209">
              <w:rPr>
                <w:rFonts w:ascii="Arial Narrow" w:hAnsi="Arial Narrow"/>
                <w:b/>
                <w:bCs/>
                <w:color w:val="333333"/>
                <w:sz w:val="18"/>
                <w:szCs w:val="18"/>
              </w:rPr>
              <w:t>Shared Care Model:</w:t>
            </w:r>
          </w:p>
          <w:p w:rsidR="001E1835" w:rsidRPr="000B7209" w:rsidRDefault="001E1835" w:rsidP="001E1835">
            <w:pPr>
              <w:rPr>
                <w:rFonts w:ascii="Arial Narrow" w:hAnsi="Arial Narrow"/>
                <w:b/>
                <w:bCs/>
                <w:color w:val="333333"/>
                <w:sz w:val="18"/>
                <w:szCs w:val="18"/>
              </w:rPr>
            </w:pPr>
            <w:r w:rsidRPr="000B7209">
              <w:rPr>
                <w:rFonts w:ascii="Arial Narrow" w:hAnsi="Arial Narrow"/>
                <w:bCs/>
                <w:color w:val="333333"/>
                <w:sz w:val="18"/>
                <w:szCs w:val="18"/>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r w:rsidR="001E1835" w:rsidRPr="000B7209" w:rsidTr="006077D2">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hideMark/>
          </w:tcPr>
          <w:p w:rsidR="001E1835" w:rsidRPr="000B7209" w:rsidRDefault="001E1835" w:rsidP="001E1835">
            <w:pPr>
              <w:rPr>
                <w:rFonts w:ascii="Arial Narrow" w:hAnsi="Arial Narrow"/>
                <w:color w:val="333333"/>
                <w:sz w:val="18"/>
                <w:szCs w:val="18"/>
              </w:rPr>
            </w:pPr>
            <w:r w:rsidRPr="000B7209">
              <w:rPr>
                <w:rFonts w:ascii="Arial Narrow" w:hAnsi="Arial Narrow"/>
                <w:b/>
                <w:bCs/>
                <w:color w:val="333333"/>
                <w:sz w:val="18"/>
                <w:szCs w:val="18"/>
              </w:rPr>
              <w:t>Indication:</w:t>
            </w:r>
            <w:r w:rsidRPr="000B7209">
              <w:rPr>
                <w:rFonts w:ascii="Arial Narrow" w:hAnsi="Arial Narrow"/>
                <w:color w:val="333333"/>
                <w:sz w:val="18"/>
                <w:szCs w:val="18"/>
              </w:rPr>
              <w:t xml:space="preserve"> Parkinson Disease</w:t>
            </w:r>
          </w:p>
        </w:tc>
      </w:tr>
      <w:tr w:rsidR="001E1835" w:rsidRPr="000B7209" w:rsidTr="006077D2">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hideMark/>
          </w:tcPr>
          <w:p w:rsidR="001E1835" w:rsidRPr="000B7209" w:rsidRDefault="001E1835" w:rsidP="001E1835">
            <w:pPr>
              <w:rPr>
                <w:rFonts w:ascii="Arial Narrow" w:hAnsi="Arial Narrow"/>
                <w:i/>
                <w:color w:val="333333"/>
                <w:sz w:val="18"/>
                <w:szCs w:val="18"/>
              </w:rPr>
            </w:pPr>
            <w:r w:rsidRPr="000B7209">
              <w:rPr>
                <w:rFonts w:ascii="Arial Narrow" w:hAnsi="Arial Narrow"/>
                <w:b/>
                <w:bCs/>
                <w:color w:val="333333"/>
                <w:sz w:val="18"/>
                <w:szCs w:val="18"/>
              </w:rPr>
              <w:t>Treatment Phase:</w:t>
            </w:r>
            <w:r w:rsidRPr="000B7209">
              <w:rPr>
                <w:rFonts w:ascii="Arial Narrow" w:hAnsi="Arial Narrow"/>
                <w:color w:val="333333"/>
                <w:sz w:val="18"/>
                <w:szCs w:val="18"/>
              </w:rPr>
              <w:t xml:space="preserve"> Maintenance therapy</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
                <w:bCs/>
                <w:color w:val="333333"/>
                <w:sz w:val="18"/>
                <w:szCs w:val="18"/>
              </w:rPr>
            </w:pPr>
            <w:r w:rsidRPr="000B7209">
              <w:rPr>
                <w:rFonts w:ascii="Arial Narrow" w:hAnsi="Arial Narrow"/>
                <w:b/>
                <w:bCs/>
                <w:color w:val="333333"/>
                <w:sz w:val="18"/>
                <w:szCs w:val="18"/>
              </w:rPr>
              <w:t>Clinical criteria:</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
                <w:bCs/>
                <w:color w:val="333333"/>
                <w:sz w:val="18"/>
                <w:szCs w:val="18"/>
              </w:rPr>
            </w:pPr>
            <w:r w:rsidRPr="000B7209">
              <w:rPr>
                <w:rFonts w:ascii="Arial Narrow" w:hAnsi="Arial Narrow"/>
                <w:bCs/>
                <w:color w:val="333333"/>
                <w:sz w:val="18"/>
                <w:szCs w:val="18"/>
              </w:rPr>
              <w:t>Patient must have experienced severely disabling motor fluctuations which have not responded to other therapy</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
                <w:bCs/>
                <w:color w:val="333333"/>
                <w:sz w:val="18"/>
                <w:szCs w:val="18"/>
              </w:rPr>
            </w:pPr>
            <w:r w:rsidRPr="000B7209">
              <w:rPr>
                <w:rFonts w:ascii="Arial Narrow" w:hAnsi="Arial Narrow"/>
                <w:b/>
                <w:bCs/>
                <w:color w:val="333333"/>
                <w:sz w:val="18"/>
                <w:szCs w:val="18"/>
              </w:rPr>
              <w:t>AND</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1E1835">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
                <w:bCs/>
                <w:color w:val="333333"/>
                <w:sz w:val="18"/>
                <w:szCs w:val="18"/>
              </w:rPr>
            </w:pPr>
            <w:r w:rsidRPr="000B7209">
              <w:rPr>
                <w:rFonts w:ascii="Arial Narrow" w:hAnsi="Arial Narrow"/>
                <w:b/>
                <w:bCs/>
                <w:color w:val="333333"/>
                <w:sz w:val="18"/>
                <w:szCs w:val="18"/>
              </w:rPr>
              <w:t>Clinical criteria:</w:t>
            </w:r>
          </w:p>
        </w:tc>
      </w:tr>
      <w:tr w:rsidR="001E1835" w:rsidRPr="000B7209" w:rsidTr="00F861DA">
        <w:tblPrEx>
          <w:tblCellMar>
            <w:top w:w="15" w:type="dxa"/>
            <w:left w:w="15" w:type="dxa"/>
            <w:bottom w:w="15" w:type="dxa"/>
            <w:right w:w="15" w:type="dxa"/>
          </w:tblCellMar>
          <w:tblLook w:val="04A0" w:firstRow="1" w:lastRow="0" w:firstColumn="1" w:lastColumn="0" w:noHBand="0" w:noVBand="1"/>
        </w:tblPrEx>
        <w:tc>
          <w:tcPr>
            <w:tcW w:w="521" w:type="pct"/>
            <w:vAlign w:val="center"/>
          </w:tcPr>
          <w:p w:rsidR="001E1835" w:rsidRPr="000B7209" w:rsidRDefault="001E1835" w:rsidP="00E34C11">
            <w:pPr>
              <w:jc w:val="center"/>
              <w:rPr>
                <w:rFonts w:ascii="Arial Narrow" w:hAnsi="Arial Narrow"/>
                <w:color w:val="333333"/>
                <w:sz w:val="18"/>
                <w:szCs w:val="18"/>
              </w:rPr>
            </w:pPr>
          </w:p>
        </w:tc>
        <w:tc>
          <w:tcPr>
            <w:tcW w:w="4479" w:type="pct"/>
            <w:gridSpan w:val="6"/>
            <w:vAlign w:val="center"/>
          </w:tcPr>
          <w:p w:rsidR="001E1835" w:rsidRPr="000B7209" w:rsidRDefault="001E1835" w:rsidP="001E1835">
            <w:pPr>
              <w:rPr>
                <w:rFonts w:ascii="Arial Narrow" w:hAnsi="Arial Narrow"/>
                <w:bCs/>
                <w:color w:val="333333"/>
                <w:sz w:val="18"/>
                <w:szCs w:val="18"/>
              </w:rPr>
            </w:pPr>
            <w:r w:rsidRPr="000B7209">
              <w:rPr>
                <w:rFonts w:ascii="Arial Narrow" w:hAnsi="Arial Narrow"/>
                <w:bCs/>
                <w:color w:val="333333"/>
                <w:sz w:val="18"/>
                <w:szCs w:val="18"/>
              </w:rPr>
              <w:t>Patient must have been commenced on treatment in a specialist unit in a hospital setting</w:t>
            </w:r>
          </w:p>
        </w:tc>
      </w:tr>
    </w:tbl>
    <w:p w:rsidR="0040308C" w:rsidRPr="00FB3DAB" w:rsidRDefault="0040308C" w:rsidP="00FB3DAB">
      <w:pPr>
        <w:pStyle w:val="3Bodytext"/>
        <w:spacing w:before="120"/>
      </w:pPr>
      <w:r w:rsidRPr="000B7209">
        <w:t>Flow-on changes to the existing Section 100 (HSDP) listings to stipulate that treatment must be initiated in a hospital setting</w:t>
      </w:r>
      <w:r w:rsidR="00F97BB8" w:rsidRPr="000B7209">
        <w:t>,</w:t>
      </w:r>
      <w:r w:rsidRPr="000B7209">
        <w:t xml:space="preserve"> are outlined as follows:</w:t>
      </w:r>
    </w:p>
    <w:p w:rsidR="00442505" w:rsidRDefault="00442505">
      <w:r>
        <w:br w:type="page"/>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977"/>
        <w:gridCol w:w="1134"/>
        <w:gridCol w:w="849"/>
        <w:gridCol w:w="849"/>
        <w:gridCol w:w="709"/>
        <w:gridCol w:w="1226"/>
      </w:tblGrid>
      <w:tr w:rsidR="0040308C" w:rsidRPr="000B7209" w:rsidTr="00265A9C">
        <w:trPr>
          <w:cantSplit/>
          <w:trHeight w:val="458"/>
        </w:trPr>
        <w:tc>
          <w:tcPr>
            <w:tcW w:w="2356" w:type="pct"/>
            <w:gridSpan w:val="2"/>
          </w:tcPr>
          <w:p w:rsidR="0040308C" w:rsidRPr="000B7209" w:rsidRDefault="0040308C" w:rsidP="00B33BF5">
            <w:pPr>
              <w:keepNext/>
              <w:rPr>
                <w:rFonts w:ascii="Arial Narrow" w:hAnsi="Arial Narrow" w:cs="Arial"/>
                <w:b/>
                <w:sz w:val="18"/>
                <w:szCs w:val="18"/>
              </w:rPr>
            </w:pPr>
            <w:r w:rsidRPr="000B7209">
              <w:rPr>
                <w:rFonts w:ascii="Arial Narrow" w:hAnsi="Arial Narrow" w:cs="Arial"/>
                <w:b/>
                <w:sz w:val="18"/>
                <w:szCs w:val="18"/>
              </w:rPr>
              <w:lastRenderedPageBreak/>
              <w:t>MEDICINAL PRODUCT</w:t>
            </w:r>
          </w:p>
          <w:p w:rsidR="0040308C" w:rsidRPr="000B7209" w:rsidRDefault="0040308C" w:rsidP="00B33BF5">
            <w:pPr>
              <w:keepNext/>
              <w:rPr>
                <w:rFonts w:ascii="Arial Narrow" w:hAnsi="Arial Narrow" w:cs="Arial"/>
                <w:b/>
                <w:sz w:val="18"/>
                <w:szCs w:val="18"/>
              </w:rPr>
            </w:pPr>
            <w:r w:rsidRPr="000B7209">
              <w:rPr>
                <w:rFonts w:ascii="Arial Narrow" w:hAnsi="Arial Narrow" w:cs="Arial"/>
                <w:b/>
                <w:sz w:val="18"/>
                <w:szCs w:val="18"/>
              </w:rPr>
              <w:t>medicinal product pack</w:t>
            </w:r>
          </w:p>
        </w:tc>
        <w:tc>
          <w:tcPr>
            <w:tcW w:w="629"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PBS item code</w:t>
            </w:r>
          </w:p>
        </w:tc>
        <w:tc>
          <w:tcPr>
            <w:tcW w:w="471"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Max. Qty packs</w:t>
            </w:r>
          </w:p>
        </w:tc>
        <w:tc>
          <w:tcPr>
            <w:tcW w:w="471"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Max. Qty units</w:t>
            </w:r>
          </w:p>
        </w:tc>
        <w:tc>
          <w:tcPr>
            <w:tcW w:w="393"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№.of</w:t>
            </w:r>
          </w:p>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Rpts</w:t>
            </w:r>
          </w:p>
        </w:tc>
        <w:tc>
          <w:tcPr>
            <w:tcW w:w="680" w:type="pct"/>
          </w:tcPr>
          <w:p w:rsidR="0040308C" w:rsidRPr="000B7209" w:rsidRDefault="0040308C" w:rsidP="00265A9C">
            <w:pPr>
              <w:keepNext/>
              <w:jc w:val="left"/>
              <w:rPr>
                <w:rFonts w:ascii="Arial Narrow" w:hAnsi="Arial Narrow" w:cs="Arial"/>
                <w:b/>
                <w:sz w:val="18"/>
                <w:szCs w:val="18"/>
              </w:rPr>
            </w:pPr>
            <w:r w:rsidRPr="000B7209">
              <w:rPr>
                <w:rFonts w:ascii="Arial Narrow" w:hAnsi="Arial Narrow" w:cs="Arial"/>
                <w:b/>
                <w:sz w:val="18"/>
                <w:szCs w:val="18"/>
              </w:rPr>
              <w:t>Available brands</w:t>
            </w:r>
          </w:p>
        </w:tc>
      </w:tr>
      <w:tr w:rsidR="0040308C" w:rsidRPr="000B7209" w:rsidTr="00265A9C">
        <w:trPr>
          <w:cantSplit/>
          <w:trHeight w:val="336"/>
        </w:trPr>
        <w:tc>
          <w:tcPr>
            <w:tcW w:w="5000" w:type="pct"/>
            <w:gridSpan w:val="7"/>
          </w:tcPr>
          <w:p w:rsidR="0040308C" w:rsidRPr="000B7209" w:rsidRDefault="0040308C" w:rsidP="00265A9C">
            <w:pPr>
              <w:keepNext/>
              <w:jc w:val="left"/>
              <w:rPr>
                <w:rFonts w:ascii="Arial Narrow" w:hAnsi="Arial Narrow" w:cs="Arial"/>
                <w:b/>
                <w:sz w:val="18"/>
                <w:szCs w:val="18"/>
              </w:rPr>
            </w:pPr>
            <w:r w:rsidRPr="000B7209">
              <w:rPr>
                <w:rFonts w:ascii="Arial Narrow" w:hAnsi="Arial Narrow" w:cs="Arial"/>
                <w:sz w:val="20"/>
                <w:szCs w:val="20"/>
              </w:rPr>
              <w:t>APOMORPHINE</w:t>
            </w:r>
          </w:p>
        </w:tc>
      </w:tr>
      <w:tr w:rsidR="0040308C" w:rsidRPr="000B7209" w:rsidTr="00B33BF5">
        <w:trPr>
          <w:cantSplit/>
          <w:trHeight w:val="601"/>
        </w:trPr>
        <w:tc>
          <w:tcPr>
            <w:tcW w:w="2356" w:type="pct"/>
            <w:gridSpan w:val="2"/>
            <w:vAlign w:val="center"/>
          </w:tcPr>
          <w:p w:rsidR="0040308C" w:rsidRPr="000B7209" w:rsidRDefault="0040308C" w:rsidP="00265A9C">
            <w:pPr>
              <w:keepNext/>
              <w:jc w:val="left"/>
              <w:rPr>
                <w:rFonts w:ascii="Arial Narrow" w:hAnsi="Arial Narrow" w:cs="Arial"/>
                <w:smallCaps/>
                <w:sz w:val="20"/>
                <w:szCs w:val="20"/>
              </w:rPr>
            </w:pPr>
            <w:r w:rsidRPr="000B7209">
              <w:rPr>
                <w:rFonts w:ascii="Arial Narrow" w:hAnsi="Arial Narrow" w:cs="Arial"/>
                <w:sz w:val="20"/>
                <w:szCs w:val="20"/>
              </w:rPr>
              <w:t xml:space="preserve">apomorphine hydrochloride hemihydrate 50 mg/10 mL injection, 5 x 10 mL syringes </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10950H (Pub)</w:t>
            </w:r>
          </w:p>
          <w:p w:rsidR="0040308C" w:rsidRPr="000B7209" w:rsidRDefault="0040308C" w:rsidP="00265A9C">
            <w:pPr>
              <w:keepNext/>
              <w:ind w:left="-108"/>
              <w:jc w:val="center"/>
              <w:rPr>
                <w:rFonts w:ascii="Arial Narrow" w:hAnsi="Arial Narrow" w:cs="Arial"/>
                <w:sz w:val="18"/>
                <w:szCs w:val="18"/>
              </w:rPr>
            </w:pP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36</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 PFS</w:t>
            </w:r>
          </w:p>
        </w:tc>
      </w:tr>
      <w:tr w:rsidR="0040308C" w:rsidRPr="000B7209" w:rsidTr="00B33BF5">
        <w:trPr>
          <w:cantSplit/>
          <w:trHeight w:val="553"/>
        </w:trPr>
        <w:tc>
          <w:tcPr>
            <w:tcW w:w="2356" w:type="pct"/>
            <w:gridSpan w:val="2"/>
            <w:vAlign w:val="center"/>
          </w:tcPr>
          <w:p w:rsidR="0040308C" w:rsidRPr="000B7209" w:rsidRDefault="0040308C" w:rsidP="00265A9C">
            <w:pPr>
              <w:keepNext/>
              <w:jc w:val="left"/>
              <w:rPr>
                <w:rFonts w:ascii="Arial Narrow" w:hAnsi="Arial Narrow" w:cs="Arial"/>
                <w:sz w:val="20"/>
                <w:szCs w:val="20"/>
              </w:rPr>
            </w:pPr>
            <w:r w:rsidRPr="000B7209">
              <w:rPr>
                <w:rFonts w:ascii="Arial Narrow" w:hAnsi="Arial Narrow" w:cs="Arial"/>
                <w:sz w:val="20"/>
                <w:szCs w:val="20"/>
              </w:rPr>
              <w:t>apomorphine hydrochloride hemihydrate 50 mg/5 mL injection, 5 x 5 mL ampoules</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5610G (Pub)</w:t>
            </w:r>
          </w:p>
          <w:p w:rsidR="0040308C" w:rsidRPr="000B7209" w:rsidRDefault="0040308C" w:rsidP="00265A9C">
            <w:pPr>
              <w:keepNext/>
              <w:ind w:left="-108"/>
              <w:jc w:val="center"/>
              <w:rPr>
                <w:rFonts w:ascii="Arial Narrow" w:hAnsi="Arial Narrow" w:cs="Arial"/>
                <w:sz w:val="18"/>
                <w:szCs w:val="18"/>
              </w:rPr>
            </w:pP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36</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w:t>
            </w:r>
          </w:p>
        </w:tc>
      </w:tr>
      <w:tr w:rsidR="0040308C" w:rsidRPr="000B7209" w:rsidTr="00B33BF5">
        <w:trPr>
          <w:cantSplit/>
          <w:trHeight w:val="547"/>
        </w:trPr>
        <w:tc>
          <w:tcPr>
            <w:tcW w:w="2356" w:type="pct"/>
            <w:gridSpan w:val="2"/>
            <w:vAlign w:val="center"/>
          </w:tcPr>
          <w:p w:rsidR="0040308C" w:rsidRPr="000B7209" w:rsidRDefault="0040308C" w:rsidP="00265A9C">
            <w:pPr>
              <w:keepNext/>
              <w:jc w:val="left"/>
              <w:rPr>
                <w:rFonts w:ascii="Arial Narrow" w:hAnsi="Arial Narrow" w:cs="Arial"/>
                <w:sz w:val="20"/>
                <w:szCs w:val="20"/>
              </w:rPr>
            </w:pPr>
            <w:r w:rsidRPr="000B7209">
              <w:rPr>
                <w:rFonts w:ascii="Arial Narrow" w:hAnsi="Arial Narrow" w:cs="Arial"/>
                <w:sz w:val="20"/>
                <w:szCs w:val="20"/>
              </w:rPr>
              <w:t>apomorphine hydrochloride hemihydrate 20 mg/2 mL injection, 5 x 2 mL ampoules </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5609F (Pub)</w:t>
            </w:r>
          </w:p>
          <w:p w:rsidR="0040308C" w:rsidRPr="000B7209" w:rsidRDefault="0040308C" w:rsidP="00265A9C">
            <w:pPr>
              <w:keepNext/>
              <w:ind w:left="-108"/>
              <w:jc w:val="center"/>
              <w:rPr>
                <w:rFonts w:ascii="Arial Narrow" w:hAnsi="Arial Narrow" w:cs="Arial"/>
                <w:sz w:val="18"/>
                <w:szCs w:val="18"/>
              </w:rPr>
            </w:pP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72</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360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w:t>
            </w:r>
          </w:p>
        </w:tc>
      </w:tr>
      <w:tr w:rsidR="0040308C" w:rsidRPr="000B7209" w:rsidTr="00265A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40308C" w:rsidRPr="000B7209" w:rsidRDefault="0040308C" w:rsidP="00265A9C">
            <w:pPr>
              <w:rPr>
                <w:rFonts w:ascii="Arial Narrow" w:hAnsi="Arial Narrow" w:cs="Arial"/>
                <w:b/>
                <w:sz w:val="18"/>
                <w:szCs w:val="18"/>
              </w:rPr>
            </w:pPr>
          </w:p>
        </w:tc>
      </w:tr>
      <w:tr w:rsidR="0040308C" w:rsidRPr="000B7209" w:rsidTr="00265A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40308C" w:rsidRPr="000B7209" w:rsidRDefault="0040308C" w:rsidP="00265A9C">
            <w:pPr>
              <w:rPr>
                <w:rFonts w:ascii="Arial Narrow" w:hAnsi="Arial Narrow" w:cs="Arial"/>
                <w:b/>
                <w:sz w:val="18"/>
                <w:szCs w:val="18"/>
              </w:rPr>
            </w:pPr>
            <w:r w:rsidRPr="000B7209">
              <w:rPr>
                <w:rFonts w:ascii="Arial Narrow" w:hAnsi="Arial Narrow" w:cs="Arial"/>
                <w:b/>
                <w:sz w:val="18"/>
                <w:szCs w:val="18"/>
              </w:rPr>
              <w:t>Amend Restriction Summary 4833 / Treatment of Concept: 4833</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Merge w:val="restart"/>
            <w:tcBorders>
              <w:top w:val="single" w:sz="4" w:space="0" w:color="auto"/>
              <w:left w:val="single" w:sz="4" w:space="0" w:color="auto"/>
              <w:right w:val="single" w:sz="4" w:space="0" w:color="auto"/>
            </w:tcBorders>
          </w:tcPr>
          <w:p w:rsidR="0040308C" w:rsidRPr="000B7209" w:rsidRDefault="0040308C" w:rsidP="00265A9C">
            <w:pPr>
              <w:jc w:val="center"/>
              <w:rPr>
                <w:rFonts w:ascii="Arial Narrow" w:hAnsi="Arial Narrow" w:cs="Arial"/>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rsidR="0040308C" w:rsidRPr="000B7209" w:rsidRDefault="0040308C" w:rsidP="00265A9C">
            <w:pPr>
              <w:rPr>
                <w:rFonts w:ascii="Arial Narrow" w:hAnsi="Arial Narrow" w:cs="Arial"/>
                <w:sz w:val="18"/>
                <w:szCs w:val="18"/>
              </w:rPr>
            </w:pPr>
            <w:r w:rsidRPr="000B7209">
              <w:rPr>
                <w:rFonts w:ascii="Arial Narrow" w:hAnsi="Arial Narrow" w:cs="Arial"/>
                <w:b/>
                <w:sz w:val="18"/>
                <w:szCs w:val="18"/>
              </w:rPr>
              <w:t xml:space="preserve">Category / Program:   </w:t>
            </w:r>
            <w:r w:rsidRPr="000B7209">
              <w:rPr>
                <w:rFonts w:ascii="Arial Narrow" w:hAnsi="Arial Narrow" w:cs="Arial"/>
                <w:sz w:val="18"/>
                <w:szCs w:val="18"/>
              </w:rPr>
              <w:t xml:space="preserve">S100  – Section 100 (Highly Specialised Drugs) – Public hospitals (Code HB) </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rPr>
          <w:trHeight w:val="240"/>
        </w:trPr>
        <w:tc>
          <w:tcPr>
            <w:tcW w:w="705" w:type="pct"/>
            <w:vMerge/>
            <w:tcBorders>
              <w:left w:val="single" w:sz="4" w:space="0" w:color="auto"/>
              <w:right w:val="single" w:sz="4" w:space="0" w:color="auto"/>
            </w:tcBorders>
          </w:tcPr>
          <w:p w:rsidR="0040308C" w:rsidRPr="000B7209" w:rsidRDefault="0040308C" w:rsidP="00265A9C">
            <w:pPr>
              <w:rPr>
                <w:rFonts w:ascii="Arial Narrow" w:hAnsi="Arial Narrow" w:cs="Arial"/>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rsidR="0040308C" w:rsidRPr="00864FEE" w:rsidRDefault="0040308C" w:rsidP="00265A9C">
            <w:pPr>
              <w:rPr>
                <w:rFonts w:ascii="Arial Narrow" w:hAnsi="Arial Narrow" w:cs="Arial"/>
                <w:b/>
                <w:sz w:val="18"/>
                <w:szCs w:val="18"/>
              </w:rPr>
            </w:pPr>
            <w:r w:rsidRPr="000B7209">
              <w:rPr>
                <w:rFonts w:ascii="Arial Narrow" w:hAnsi="Arial Narrow" w:cs="Arial"/>
                <w:b/>
                <w:sz w:val="18"/>
                <w:szCs w:val="18"/>
              </w:rPr>
              <w:t xml:space="preserve">Prescriber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Medical Practitioners    </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Merge/>
            <w:tcBorders>
              <w:left w:val="single" w:sz="4" w:space="0" w:color="auto"/>
              <w:bottom w:val="single" w:sz="4" w:space="0" w:color="auto"/>
              <w:right w:val="single" w:sz="4" w:space="0" w:color="auto"/>
            </w:tcBorders>
          </w:tcPr>
          <w:p w:rsidR="0040308C" w:rsidRPr="000B7209" w:rsidRDefault="0040308C" w:rsidP="00265A9C">
            <w:pPr>
              <w:rPr>
                <w:rFonts w:ascii="Arial Narrow" w:hAnsi="Arial Narrow" w:cs="Arial"/>
                <w:sz w:val="18"/>
                <w:szCs w:val="18"/>
              </w:rPr>
            </w:pPr>
          </w:p>
        </w:tc>
        <w:tc>
          <w:tcPr>
            <w:tcW w:w="4295" w:type="pct"/>
            <w:gridSpan w:val="6"/>
            <w:tcBorders>
              <w:top w:val="single" w:sz="4" w:space="0" w:color="auto"/>
              <w:left w:val="single" w:sz="4" w:space="0" w:color="auto"/>
              <w:bottom w:val="single" w:sz="4" w:space="0" w:color="auto"/>
              <w:right w:val="single" w:sz="4" w:space="0" w:color="auto"/>
            </w:tcBorders>
          </w:tcPr>
          <w:p w:rsidR="0040308C" w:rsidRPr="00864FEE" w:rsidRDefault="0040308C" w:rsidP="00265A9C">
            <w:pPr>
              <w:rPr>
                <w:rFonts w:ascii="Arial Narrow" w:hAnsi="Arial Narrow" w:cs="Arial"/>
                <w:b/>
                <w:sz w:val="18"/>
                <w:szCs w:val="18"/>
              </w:rPr>
            </w:pPr>
            <w:r w:rsidRPr="000B7209">
              <w:rPr>
                <w:rFonts w:ascii="Arial Narrow" w:hAnsi="Arial Narrow" w:cs="Arial"/>
                <w:b/>
                <w:sz w:val="18"/>
                <w:szCs w:val="18"/>
              </w:rPr>
              <w:t xml:space="preserve">Restriction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 </w:t>
            </w:r>
            <w:r w:rsidRPr="00864FEE">
              <w:rPr>
                <w:rFonts w:ascii="Arial Narrow" w:hAnsi="Arial Narrow" w:cs="Arial"/>
                <w:sz w:val="18"/>
                <w:szCs w:val="18"/>
              </w:rPr>
              <w:t>Authority Required – Streamlined (4833)</w:t>
            </w:r>
          </w:p>
        </w:tc>
      </w:tr>
      <w:tr w:rsidR="0040308C" w:rsidRPr="000B7209" w:rsidTr="006077D2">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hideMark/>
          </w:tcPr>
          <w:p w:rsidR="0040308C" w:rsidRPr="000B7209" w:rsidRDefault="0040308C" w:rsidP="00265A9C">
            <w:pPr>
              <w:rPr>
                <w:rFonts w:ascii="Arial Narrow" w:hAnsi="Arial Narrow"/>
                <w:color w:val="333333"/>
                <w:sz w:val="18"/>
                <w:szCs w:val="18"/>
              </w:rPr>
            </w:pPr>
            <w:r w:rsidRPr="000B7209">
              <w:rPr>
                <w:rFonts w:ascii="Arial Narrow" w:hAnsi="Arial Narrow"/>
                <w:b/>
                <w:bCs/>
                <w:color w:val="333333"/>
                <w:sz w:val="18"/>
                <w:szCs w:val="18"/>
              </w:rPr>
              <w:t>Indication:</w:t>
            </w:r>
            <w:r w:rsidRPr="000B7209">
              <w:rPr>
                <w:rFonts w:ascii="Arial Narrow" w:hAnsi="Arial Narrow"/>
                <w:color w:val="333333"/>
                <w:sz w:val="18"/>
                <w:szCs w:val="18"/>
              </w:rPr>
              <w:t xml:space="preserve"> Parkinson Disease</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tcPr>
          <w:p w:rsidR="0040308C" w:rsidRPr="000B7209" w:rsidRDefault="0040308C" w:rsidP="00265A9C">
            <w:pPr>
              <w:rPr>
                <w:rFonts w:ascii="Arial Narrow" w:hAnsi="Arial Narrow"/>
                <w:b/>
                <w:bCs/>
                <w:color w:val="333333"/>
                <w:sz w:val="18"/>
                <w:szCs w:val="18"/>
              </w:rPr>
            </w:pPr>
            <w:r w:rsidRPr="000B7209">
              <w:rPr>
                <w:rFonts w:ascii="Arial Narrow" w:hAnsi="Arial Narrow"/>
                <w:b/>
                <w:bCs/>
                <w:color w:val="333333"/>
                <w:sz w:val="18"/>
                <w:szCs w:val="18"/>
              </w:rPr>
              <w:t>Clinical criteria:</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tcPr>
          <w:p w:rsidR="0040308C" w:rsidRPr="000B7209" w:rsidRDefault="0040308C" w:rsidP="00265A9C">
            <w:pPr>
              <w:rPr>
                <w:rFonts w:ascii="Arial Narrow" w:hAnsi="Arial Narrow"/>
                <w:b/>
                <w:bCs/>
                <w:color w:val="333333"/>
                <w:sz w:val="18"/>
                <w:szCs w:val="18"/>
              </w:rPr>
            </w:pPr>
            <w:r w:rsidRPr="000B7209">
              <w:rPr>
                <w:rFonts w:ascii="Arial Narrow" w:hAnsi="Arial Narrow"/>
                <w:bCs/>
                <w:color w:val="333333"/>
                <w:sz w:val="18"/>
                <w:szCs w:val="18"/>
              </w:rPr>
              <w:t>Patient must have experienced severely disabling motor fluctuations which have not responded to other therapy</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tcPr>
          <w:p w:rsidR="0040308C" w:rsidRPr="000B7209" w:rsidRDefault="0040308C" w:rsidP="00265A9C">
            <w:pPr>
              <w:rPr>
                <w:rFonts w:ascii="Arial Narrow" w:hAnsi="Arial Narrow"/>
                <w:b/>
                <w:bCs/>
                <w:i/>
                <w:color w:val="333333"/>
                <w:sz w:val="18"/>
                <w:szCs w:val="18"/>
              </w:rPr>
            </w:pPr>
            <w:r w:rsidRPr="000B7209">
              <w:rPr>
                <w:rFonts w:ascii="Arial Narrow" w:hAnsi="Arial Narrow"/>
                <w:b/>
                <w:bCs/>
                <w:i/>
                <w:color w:val="333333"/>
                <w:sz w:val="18"/>
                <w:szCs w:val="18"/>
              </w:rPr>
              <w:t>AND</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tcPr>
          <w:p w:rsidR="0040308C" w:rsidRPr="000B7209" w:rsidRDefault="0040308C" w:rsidP="00265A9C">
            <w:pPr>
              <w:rPr>
                <w:rFonts w:ascii="Arial Narrow" w:hAnsi="Arial Narrow"/>
                <w:b/>
                <w:bCs/>
                <w:i/>
                <w:color w:val="333333"/>
                <w:sz w:val="18"/>
                <w:szCs w:val="18"/>
              </w:rPr>
            </w:pPr>
            <w:r w:rsidRPr="000B7209">
              <w:rPr>
                <w:rFonts w:ascii="Arial Narrow" w:hAnsi="Arial Narrow"/>
                <w:b/>
                <w:bCs/>
                <w:i/>
                <w:color w:val="333333"/>
                <w:sz w:val="18"/>
                <w:szCs w:val="18"/>
              </w:rPr>
              <w:t>Clinical criteria:</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705" w:type="pct"/>
            <w:vAlign w:val="center"/>
          </w:tcPr>
          <w:p w:rsidR="0040308C" w:rsidRPr="000B7209" w:rsidRDefault="0040308C" w:rsidP="00265A9C">
            <w:pPr>
              <w:jc w:val="center"/>
              <w:rPr>
                <w:rFonts w:ascii="Arial Narrow" w:hAnsi="Arial Narrow"/>
                <w:color w:val="333333"/>
                <w:sz w:val="18"/>
                <w:szCs w:val="18"/>
              </w:rPr>
            </w:pPr>
          </w:p>
        </w:tc>
        <w:tc>
          <w:tcPr>
            <w:tcW w:w="4295" w:type="pct"/>
            <w:gridSpan w:val="6"/>
            <w:vAlign w:val="center"/>
          </w:tcPr>
          <w:p w:rsidR="0040308C" w:rsidRPr="000B7209" w:rsidRDefault="0040308C" w:rsidP="00265A9C">
            <w:pPr>
              <w:rPr>
                <w:rFonts w:ascii="Arial Narrow" w:hAnsi="Arial Narrow"/>
                <w:bCs/>
                <w:i/>
                <w:color w:val="333333"/>
                <w:sz w:val="18"/>
                <w:szCs w:val="18"/>
              </w:rPr>
            </w:pPr>
            <w:r w:rsidRPr="000B7209">
              <w:rPr>
                <w:rFonts w:ascii="Arial Narrow" w:hAnsi="Arial Narrow"/>
                <w:bCs/>
                <w:i/>
                <w:color w:val="333333"/>
                <w:sz w:val="18"/>
                <w:szCs w:val="18"/>
              </w:rPr>
              <w:t>Patient must have been commenced on treatment in a specialist unit in a hospital setting</w:t>
            </w:r>
          </w:p>
        </w:tc>
      </w:tr>
    </w:tbl>
    <w:p w:rsidR="0040308C" w:rsidRPr="00FB3DAB" w:rsidRDefault="0040308C" w:rsidP="00FB3DAB">
      <w:pPr>
        <w:pStyle w:val="2-SectionHeading"/>
        <w:numPr>
          <w:ilvl w:val="0"/>
          <w:numId w:val="0"/>
        </w:numPr>
        <w:spacing w:before="0"/>
        <w:rPr>
          <w:sz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120"/>
        <w:gridCol w:w="1134"/>
        <w:gridCol w:w="849"/>
        <w:gridCol w:w="849"/>
        <w:gridCol w:w="709"/>
        <w:gridCol w:w="1226"/>
      </w:tblGrid>
      <w:tr w:rsidR="0040308C" w:rsidRPr="000B7209" w:rsidTr="00265A9C">
        <w:trPr>
          <w:cantSplit/>
          <w:trHeight w:val="458"/>
        </w:trPr>
        <w:tc>
          <w:tcPr>
            <w:tcW w:w="2356" w:type="pct"/>
            <w:gridSpan w:val="2"/>
          </w:tcPr>
          <w:p w:rsidR="0040308C" w:rsidRPr="000B7209" w:rsidRDefault="0040308C" w:rsidP="00B33BF5">
            <w:pPr>
              <w:keepNext/>
              <w:rPr>
                <w:rFonts w:ascii="Arial Narrow" w:hAnsi="Arial Narrow" w:cs="Arial"/>
                <w:b/>
                <w:sz w:val="18"/>
                <w:szCs w:val="18"/>
              </w:rPr>
            </w:pPr>
            <w:r w:rsidRPr="000B7209">
              <w:rPr>
                <w:rFonts w:ascii="Arial Narrow" w:hAnsi="Arial Narrow" w:cs="Arial"/>
                <w:b/>
                <w:sz w:val="18"/>
                <w:szCs w:val="18"/>
              </w:rPr>
              <w:t>MEDICINAL PRODUCT</w:t>
            </w:r>
          </w:p>
          <w:p w:rsidR="0040308C" w:rsidRPr="000B7209" w:rsidRDefault="0040308C" w:rsidP="00B33BF5">
            <w:pPr>
              <w:keepNext/>
              <w:rPr>
                <w:rFonts w:ascii="Arial Narrow" w:hAnsi="Arial Narrow" w:cs="Arial"/>
                <w:b/>
                <w:sz w:val="18"/>
                <w:szCs w:val="18"/>
              </w:rPr>
            </w:pPr>
            <w:r w:rsidRPr="000B7209">
              <w:rPr>
                <w:rFonts w:ascii="Arial Narrow" w:hAnsi="Arial Narrow" w:cs="Arial"/>
                <w:b/>
                <w:sz w:val="18"/>
                <w:szCs w:val="18"/>
              </w:rPr>
              <w:t>medicinal product pack</w:t>
            </w:r>
          </w:p>
        </w:tc>
        <w:tc>
          <w:tcPr>
            <w:tcW w:w="629"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PBS item code</w:t>
            </w:r>
          </w:p>
        </w:tc>
        <w:tc>
          <w:tcPr>
            <w:tcW w:w="471"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Max. Qty packs</w:t>
            </w:r>
          </w:p>
        </w:tc>
        <w:tc>
          <w:tcPr>
            <w:tcW w:w="471"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Max. Qty units</w:t>
            </w:r>
          </w:p>
        </w:tc>
        <w:tc>
          <w:tcPr>
            <w:tcW w:w="393" w:type="pct"/>
          </w:tcPr>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№.of</w:t>
            </w:r>
          </w:p>
          <w:p w:rsidR="0040308C" w:rsidRPr="000B7209" w:rsidRDefault="0040308C" w:rsidP="00265A9C">
            <w:pPr>
              <w:keepNext/>
              <w:ind w:left="-108"/>
              <w:jc w:val="center"/>
              <w:rPr>
                <w:rFonts w:ascii="Arial Narrow" w:hAnsi="Arial Narrow" w:cs="Arial"/>
                <w:b/>
                <w:sz w:val="18"/>
                <w:szCs w:val="18"/>
              </w:rPr>
            </w:pPr>
            <w:r w:rsidRPr="000B7209">
              <w:rPr>
                <w:rFonts w:ascii="Arial Narrow" w:hAnsi="Arial Narrow" w:cs="Arial"/>
                <w:b/>
                <w:sz w:val="18"/>
                <w:szCs w:val="18"/>
              </w:rPr>
              <w:t>Rpts</w:t>
            </w:r>
          </w:p>
        </w:tc>
        <w:tc>
          <w:tcPr>
            <w:tcW w:w="680" w:type="pct"/>
          </w:tcPr>
          <w:p w:rsidR="0040308C" w:rsidRPr="000B7209" w:rsidRDefault="0040308C" w:rsidP="00265A9C">
            <w:pPr>
              <w:keepNext/>
              <w:jc w:val="left"/>
              <w:rPr>
                <w:rFonts w:ascii="Arial Narrow" w:hAnsi="Arial Narrow" w:cs="Arial"/>
                <w:b/>
                <w:sz w:val="18"/>
                <w:szCs w:val="18"/>
              </w:rPr>
            </w:pPr>
            <w:r w:rsidRPr="000B7209">
              <w:rPr>
                <w:rFonts w:ascii="Arial Narrow" w:hAnsi="Arial Narrow" w:cs="Arial"/>
                <w:b/>
                <w:sz w:val="18"/>
                <w:szCs w:val="18"/>
              </w:rPr>
              <w:t>Available brands</w:t>
            </w:r>
          </w:p>
        </w:tc>
      </w:tr>
      <w:tr w:rsidR="0040308C" w:rsidRPr="000B7209" w:rsidTr="00265A9C">
        <w:trPr>
          <w:cantSplit/>
          <w:trHeight w:val="336"/>
        </w:trPr>
        <w:tc>
          <w:tcPr>
            <w:tcW w:w="5000" w:type="pct"/>
            <w:gridSpan w:val="7"/>
          </w:tcPr>
          <w:p w:rsidR="0040308C" w:rsidRPr="000B7209" w:rsidRDefault="0040308C" w:rsidP="00265A9C">
            <w:pPr>
              <w:keepNext/>
              <w:jc w:val="left"/>
              <w:rPr>
                <w:rFonts w:ascii="Arial Narrow" w:hAnsi="Arial Narrow" w:cs="Arial"/>
                <w:b/>
                <w:sz w:val="18"/>
                <w:szCs w:val="18"/>
              </w:rPr>
            </w:pPr>
            <w:r w:rsidRPr="000B7209">
              <w:rPr>
                <w:rFonts w:ascii="Arial Narrow" w:hAnsi="Arial Narrow" w:cs="Arial"/>
                <w:sz w:val="20"/>
                <w:szCs w:val="20"/>
              </w:rPr>
              <w:t>APOMORPHINE</w:t>
            </w:r>
          </w:p>
        </w:tc>
      </w:tr>
      <w:tr w:rsidR="0040308C" w:rsidRPr="000B7209" w:rsidTr="00B33BF5">
        <w:trPr>
          <w:cantSplit/>
          <w:trHeight w:val="641"/>
        </w:trPr>
        <w:tc>
          <w:tcPr>
            <w:tcW w:w="2356" w:type="pct"/>
            <w:gridSpan w:val="2"/>
            <w:vAlign w:val="center"/>
          </w:tcPr>
          <w:p w:rsidR="0040308C" w:rsidRPr="000B7209" w:rsidRDefault="0040308C" w:rsidP="00265A9C">
            <w:pPr>
              <w:keepNext/>
              <w:jc w:val="left"/>
              <w:rPr>
                <w:rFonts w:ascii="Arial Narrow" w:hAnsi="Arial Narrow" w:cs="Arial"/>
                <w:smallCaps/>
                <w:sz w:val="20"/>
                <w:szCs w:val="20"/>
              </w:rPr>
            </w:pPr>
            <w:r w:rsidRPr="000B7209">
              <w:rPr>
                <w:rFonts w:ascii="Arial Narrow" w:hAnsi="Arial Narrow" w:cs="Arial"/>
                <w:sz w:val="20"/>
                <w:szCs w:val="20"/>
              </w:rPr>
              <w:t xml:space="preserve">apomorphine hydrochloride hemihydrate 50 mg/10 mL injection, 5 x 10 mL syringes </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10971K (Priv)</w:t>
            </w:r>
          </w:p>
          <w:p w:rsidR="0040308C" w:rsidRPr="000B7209" w:rsidRDefault="0040308C" w:rsidP="00265A9C">
            <w:pPr>
              <w:keepNext/>
              <w:ind w:left="-108"/>
              <w:jc w:val="center"/>
              <w:rPr>
                <w:rFonts w:ascii="Arial Narrow" w:hAnsi="Arial Narrow" w:cs="Arial"/>
                <w:sz w:val="18"/>
                <w:szCs w:val="18"/>
              </w:rPr>
            </w:pP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36</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 PFS</w:t>
            </w:r>
          </w:p>
        </w:tc>
      </w:tr>
      <w:tr w:rsidR="0040308C" w:rsidRPr="000B7209" w:rsidTr="00B33BF5">
        <w:trPr>
          <w:cantSplit/>
          <w:trHeight w:val="692"/>
        </w:trPr>
        <w:tc>
          <w:tcPr>
            <w:tcW w:w="2356" w:type="pct"/>
            <w:gridSpan w:val="2"/>
            <w:vAlign w:val="center"/>
          </w:tcPr>
          <w:p w:rsidR="0040308C" w:rsidRPr="000B7209" w:rsidRDefault="0040308C" w:rsidP="00265A9C">
            <w:pPr>
              <w:keepNext/>
              <w:jc w:val="left"/>
              <w:rPr>
                <w:rFonts w:ascii="Arial Narrow" w:hAnsi="Arial Narrow" w:cs="Arial"/>
                <w:sz w:val="20"/>
                <w:szCs w:val="20"/>
              </w:rPr>
            </w:pPr>
            <w:r w:rsidRPr="000B7209">
              <w:rPr>
                <w:rFonts w:ascii="Arial Narrow" w:hAnsi="Arial Narrow" w:cs="Arial"/>
                <w:sz w:val="20"/>
                <w:szCs w:val="20"/>
              </w:rPr>
              <w:t>apomorphine hydrochloride hemihydrate 50 mg/5 mL injection, 5 x 5 mL ampoules</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9640J (Priv)</w:t>
            </w: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36</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180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w:t>
            </w:r>
          </w:p>
        </w:tc>
      </w:tr>
      <w:tr w:rsidR="0040308C" w:rsidRPr="000B7209" w:rsidTr="00B33BF5">
        <w:trPr>
          <w:cantSplit/>
          <w:trHeight w:val="560"/>
        </w:trPr>
        <w:tc>
          <w:tcPr>
            <w:tcW w:w="2356" w:type="pct"/>
            <w:gridSpan w:val="2"/>
            <w:vAlign w:val="center"/>
          </w:tcPr>
          <w:p w:rsidR="0040308C" w:rsidRPr="000B7209" w:rsidRDefault="0040308C" w:rsidP="00265A9C">
            <w:pPr>
              <w:keepNext/>
              <w:jc w:val="left"/>
              <w:rPr>
                <w:rFonts w:ascii="Arial Narrow" w:hAnsi="Arial Narrow" w:cs="Arial"/>
                <w:sz w:val="20"/>
                <w:szCs w:val="20"/>
              </w:rPr>
            </w:pPr>
            <w:r w:rsidRPr="000B7209">
              <w:rPr>
                <w:rFonts w:ascii="Arial Narrow" w:hAnsi="Arial Narrow" w:cs="Arial"/>
                <w:sz w:val="20"/>
                <w:szCs w:val="20"/>
              </w:rPr>
              <w:t>apomorphine hydrochloride hemihydrate 20 mg/2 mL injection, 5 x 2 mL ampoules </w:t>
            </w:r>
          </w:p>
        </w:tc>
        <w:tc>
          <w:tcPr>
            <w:tcW w:w="629"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9607P (Priv)</w:t>
            </w:r>
          </w:p>
          <w:p w:rsidR="0040308C" w:rsidRPr="000B7209" w:rsidRDefault="0040308C" w:rsidP="00265A9C">
            <w:pPr>
              <w:keepNext/>
              <w:ind w:left="-108"/>
              <w:jc w:val="center"/>
              <w:rPr>
                <w:rFonts w:ascii="Arial Narrow" w:hAnsi="Arial Narrow" w:cs="Arial"/>
                <w:sz w:val="18"/>
                <w:szCs w:val="18"/>
              </w:rPr>
            </w:pPr>
          </w:p>
        </w:tc>
        <w:tc>
          <w:tcPr>
            <w:tcW w:w="471" w:type="pct"/>
            <w:vAlign w:val="center"/>
          </w:tcPr>
          <w:p w:rsidR="0040308C" w:rsidRPr="000B7209" w:rsidRDefault="0040308C" w:rsidP="00265A9C">
            <w:pPr>
              <w:keepNext/>
              <w:jc w:val="center"/>
              <w:rPr>
                <w:rFonts w:ascii="Arial Narrow" w:hAnsi="Arial Narrow" w:cs="Arial"/>
                <w:sz w:val="18"/>
                <w:szCs w:val="18"/>
              </w:rPr>
            </w:pPr>
            <w:r w:rsidRPr="000B7209">
              <w:rPr>
                <w:rFonts w:ascii="Arial Narrow" w:hAnsi="Arial Narrow" w:cs="Arial"/>
                <w:sz w:val="18"/>
                <w:szCs w:val="18"/>
              </w:rPr>
              <w:t>72</w:t>
            </w:r>
          </w:p>
        </w:tc>
        <w:tc>
          <w:tcPr>
            <w:tcW w:w="471"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360</w:t>
            </w:r>
          </w:p>
        </w:tc>
        <w:tc>
          <w:tcPr>
            <w:tcW w:w="393" w:type="pct"/>
            <w:vAlign w:val="center"/>
          </w:tcPr>
          <w:p w:rsidR="0040308C" w:rsidRPr="000B7209" w:rsidRDefault="0040308C" w:rsidP="00265A9C">
            <w:pPr>
              <w:keepNext/>
              <w:ind w:left="-108"/>
              <w:jc w:val="center"/>
              <w:rPr>
                <w:rFonts w:ascii="Arial Narrow" w:hAnsi="Arial Narrow" w:cs="Arial"/>
                <w:sz w:val="18"/>
                <w:szCs w:val="18"/>
              </w:rPr>
            </w:pPr>
            <w:r w:rsidRPr="000B7209">
              <w:rPr>
                <w:rFonts w:ascii="Arial Narrow" w:hAnsi="Arial Narrow" w:cs="Arial"/>
                <w:sz w:val="18"/>
                <w:szCs w:val="18"/>
              </w:rPr>
              <w:t>5</w:t>
            </w:r>
          </w:p>
        </w:tc>
        <w:tc>
          <w:tcPr>
            <w:tcW w:w="680" w:type="pct"/>
          </w:tcPr>
          <w:p w:rsidR="0040308C" w:rsidRPr="000B7209" w:rsidRDefault="0040308C" w:rsidP="00265A9C">
            <w:pPr>
              <w:keepNext/>
              <w:jc w:val="left"/>
              <w:rPr>
                <w:rFonts w:ascii="Arial Narrow" w:hAnsi="Arial Narrow" w:cs="Arial"/>
                <w:sz w:val="18"/>
                <w:szCs w:val="18"/>
              </w:rPr>
            </w:pPr>
          </w:p>
          <w:p w:rsidR="0040308C" w:rsidRPr="000B7209" w:rsidRDefault="0040308C" w:rsidP="00265A9C">
            <w:pPr>
              <w:keepNext/>
              <w:jc w:val="left"/>
              <w:rPr>
                <w:rFonts w:ascii="Arial Narrow" w:hAnsi="Arial Narrow" w:cs="Arial"/>
                <w:sz w:val="18"/>
                <w:szCs w:val="18"/>
              </w:rPr>
            </w:pPr>
            <w:r w:rsidRPr="000B7209">
              <w:rPr>
                <w:rFonts w:ascii="Arial Narrow" w:hAnsi="Arial Narrow" w:cs="Arial"/>
                <w:sz w:val="18"/>
                <w:szCs w:val="18"/>
              </w:rPr>
              <w:t>Movapo</w:t>
            </w:r>
          </w:p>
        </w:tc>
      </w:tr>
      <w:tr w:rsidR="0040308C" w:rsidRPr="000B7209" w:rsidTr="00265A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40308C" w:rsidRPr="000B7209" w:rsidRDefault="0040308C" w:rsidP="00265A9C">
            <w:pPr>
              <w:rPr>
                <w:rFonts w:ascii="Arial Narrow" w:hAnsi="Arial Narrow" w:cs="Arial"/>
                <w:b/>
                <w:sz w:val="18"/>
                <w:szCs w:val="18"/>
              </w:rPr>
            </w:pPr>
          </w:p>
        </w:tc>
      </w:tr>
      <w:tr w:rsidR="0040308C" w:rsidRPr="000B7209" w:rsidTr="00265A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rsidR="0040308C" w:rsidRPr="000B7209" w:rsidRDefault="0040308C" w:rsidP="00265A9C">
            <w:pPr>
              <w:rPr>
                <w:rFonts w:ascii="Arial Narrow" w:hAnsi="Arial Narrow" w:cs="Arial"/>
                <w:b/>
                <w:sz w:val="18"/>
                <w:szCs w:val="18"/>
              </w:rPr>
            </w:pPr>
            <w:r w:rsidRPr="000B7209">
              <w:rPr>
                <w:rFonts w:ascii="Arial Narrow" w:hAnsi="Arial Narrow" w:cs="Arial"/>
                <w:b/>
                <w:sz w:val="18"/>
                <w:szCs w:val="18"/>
              </w:rPr>
              <w:t>Amend Restriction Summary 9561 / Treatment of Concept :9561</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Merge w:val="restart"/>
            <w:tcBorders>
              <w:top w:val="single" w:sz="4" w:space="0" w:color="auto"/>
              <w:left w:val="single" w:sz="4" w:space="0" w:color="auto"/>
              <w:right w:val="single" w:sz="4" w:space="0" w:color="auto"/>
            </w:tcBorders>
          </w:tcPr>
          <w:p w:rsidR="0040308C" w:rsidRPr="000B7209" w:rsidRDefault="0040308C" w:rsidP="00265A9C">
            <w:pPr>
              <w:jc w:val="center"/>
              <w:rPr>
                <w:rFonts w:ascii="Arial Narrow" w:hAnsi="Arial Narrow" w:cs="Arial"/>
                <w:sz w:val="18"/>
                <w:szCs w:val="18"/>
              </w:rPr>
            </w:pPr>
          </w:p>
        </w:tc>
        <w:tc>
          <w:tcPr>
            <w:tcW w:w="4374" w:type="pct"/>
            <w:gridSpan w:val="6"/>
            <w:tcBorders>
              <w:top w:val="single" w:sz="4" w:space="0" w:color="auto"/>
              <w:left w:val="single" w:sz="4" w:space="0" w:color="auto"/>
              <w:bottom w:val="single" w:sz="4" w:space="0" w:color="auto"/>
              <w:right w:val="single" w:sz="4" w:space="0" w:color="auto"/>
            </w:tcBorders>
          </w:tcPr>
          <w:p w:rsidR="0040308C" w:rsidRPr="000B7209" w:rsidRDefault="0040308C" w:rsidP="00265A9C">
            <w:pPr>
              <w:rPr>
                <w:rFonts w:ascii="Arial Narrow" w:hAnsi="Arial Narrow" w:cs="Arial"/>
                <w:sz w:val="18"/>
                <w:szCs w:val="18"/>
              </w:rPr>
            </w:pPr>
            <w:r w:rsidRPr="000B7209">
              <w:rPr>
                <w:rFonts w:ascii="Arial Narrow" w:hAnsi="Arial Narrow" w:cs="Arial"/>
                <w:b/>
                <w:sz w:val="18"/>
                <w:szCs w:val="18"/>
              </w:rPr>
              <w:t xml:space="preserve">Category / Program:   </w:t>
            </w:r>
            <w:r w:rsidRPr="000B7209">
              <w:rPr>
                <w:rFonts w:ascii="Arial Narrow" w:hAnsi="Arial Narrow" w:cs="Arial"/>
                <w:sz w:val="18"/>
                <w:szCs w:val="18"/>
              </w:rPr>
              <w:t xml:space="preserve">S100  – Section 100 (Highly Specialised Drugs) – Private hospitals (Code HS) </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rPr>
          <w:trHeight w:val="240"/>
        </w:trPr>
        <w:tc>
          <w:tcPr>
            <w:tcW w:w="626" w:type="pct"/>
            <w:vMerge/>
            <w:tcBorders>
              <w:left w:val="single" w:sz="4" w:space="0" w:color="auto"/>
              <w:right w:val="single" w:sz="4" w:space="0" w:color="auto"/>
            </w:tcBorders>
          </w:tcPr>
          <w:p w:rsidR="0040308C" w:rsidRPr="000B7209" w:rsidRDefault="0040308C" w:rsidP="00265A9C">
            <w:pPr>
              <w:rPr>
                <w:rFonts w:ascii="Arial Narrow" w:hAnsi="Arial Narrow" w:cs="Arial"/>
                <w:sz w:val="18"/>
                <w:szCs w:val="18"/>
              </w:rPr>
            </w:pPr>
          </w:p>
        </w:tc>
        <w:tc>
          <w:tcPr>
            <w:tcW w:w="4374" w:type="pct"/>
            <w:gridSpan w:val="6"/>
            <w:tcBorders>
              <w:top w:val="single" w:sz="4" w:space="0" w:color="auto"/>
              <w:left w:val="single" w:sz="4" w:space="0" w:color="auto"/>
              <w:bottom w:val="single" w:sz="4" w:space="0" w:color="auto"/>
              <w:right w:val="single" w:sz="4" w:space="0" w:color="auto"/>
            </w:tcBorders>
          </w:tcPr>
          <w:p w:rsidR="0040308C" w:rsidRPr="00864FEE" w:rsidRDefault="0040308C" w:rsidP="00265A9C">
            <w:pPr>
              <w:rPr>
                <w:rFonts w:ascii="Arial Narrow" w:hAnsi="Arial Narrow" w:cs="Arial"/>
                <w:b/>
                <w:sz w:val="18"/>
                <w:szCs w:val="18"/>
              </w:rPr>
            </w:pPr>
            <w:r w:rsidRPr="000B7209">
              <w:rPr>
                <w:rFonts w:ascii="Arial Narrow" w:hAnsi="Arial Narrow" w:cs="Arial"/>
                <w:b/>
                <w:sz w:val="18"/>
                <w:szCs w:val="18"/>
              </w:rPr>
              <w:t xml:space="preserve">Prescriber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00B33BF5">
              <w:rPr>
                <w:rFonts w:ascii="Arial Narrow" w:hAnsi="Arial Narrow" w:cs="Arial"/>
                <w:sz w:val="18"/>
                <w:szCs w:val="18"/>
              </w:rPr>
              <w:t xml:space="preserve"> </w:t>
            </w:r>
            <w:r w:rsidRPr="000B7209">
              <w:rPr>
                <w:rFonts w:ascii="Arial Narrow" w:hAnsi="Arial Narrow" w:cs="Arial"/>
                <w:sz w:val="18"/>
                <w:szCs w:val="18"/>
              </w:rPr>
              <w:t xml:space="preserve">Medical Practitioners    </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Merge/>
            <w:tcBorders>
              <w:left w:val="single" w:sz="4" w:space="0" w:color="auto"/>
              <w:bottom w:val="single" w:sz="4" w:space="0" w:color="auto"/>
              <w:right w:val="single" w:sz="4" w:space="0" w:color="auto"/>
            </w:tcBorders>
          </w:tcPr>
          <w:p w:rsidR="0040308C" w:rsidRPr="000B7209" w:rsidRDefault="0040308C" w:rsidP="00265A9C">
            <w:pPr>
              <w:rPr>
                <w:rFonts w:ascii="Arial Narrow" w:hAnsi="Arial Narrow" w:cs="Arial"/>
                <w:sz w:val="18"/>
                <w:szCs w:val="18"/>
              </w:rPr>
            </w:pPr>
          </w:p>
        </w:tc>
        <w:tc>
          <w:tcPr>
            <w:tcW w:w="4374" w:type="pct"/>
            <w:gridSpan w:val="6"/>
            <w:tcBorders>
              <w:top w:val="single" w:sz="4" w:space="0" w:color="auto"/>
              <w:left w:val="single" w:sz="4" w:space="0" w:color="auto"/>
              <w:bottom w:val="single" w:sz="4" w:space="0" w:color="auto"/>
              <w:right w:val="single" w:sz="4" w:space="0" w:color="auto"/>
            </w:tcBorders>
          </w:tcPr>
          <w:p w:rsidR="0040308C" w:rsidRPr="000B7209" w:rsidRDefault="0040308C" w:rsidP="0040308C">
            <w:pPr>
              <w:rPr>
                <w:rFonts w:ascii="Arial Narrow" w:hAnsi="Arial Narrow" w:cs="Arial"/>
                <w:b/>
                <w:sz w:val="18"/>
                <w:szCs w:val="18"/>
              </w:rPr>
            </w:pPr>
            <w:r w:rsidRPr="000B7209">
              <w:rPr>
                <w:rFonts w:ascii="Arial Narrow" w:hAnsi="Arial Narrow" w:cs="Arial"/>
                <w:b/>
                <w:sz w:val="18"/>
                <w:szCs w:val="18"/>
              </w:rPr>
              <w:t xml:space="preserve">Restriction type: </w:t>
            </w:r>
            <w:r w:rsidRPr="00AF39BF">
              <w:rPr>
                <w:rFonts w:ascii="Arial Narrow" w:hAnsi="Arial Narrow" w:cs="Arial"/>
                <w:sz w:val="18"/>
                <w:szCs w:val="18"/>
              </w:rPr>
              <w:fldChar w:fldCharType="begin">
                <w:ffData>
                  <w:name w:val=""/>
                  <w:enabled/>
                  <w:calcOnExit w:val="0"/>
                  <w:checkBox>
                    <w:sizeAuto/>
                    <w:default w:val="1"/>
                  </w:checkBox>
                </w:ffData>
              </w:fldChar>
            </w:r>
            <w:r w:rsidRPr="000B7209">
              <w:rPr>
                <w:rFonts w:ascii="Arial Narrow" w:hAnsi="Arial Narrow" w:cs="Arial"/>
                <w:sz w:val="18"/>
                <w:szCs w:val="18"/>
              </w:rPr>
              <w:instrText xml:space="preserve"> FORMCHECKBOX </w:instrText>
            </w:r>
            <w:r w:rsidR="00FE0340">
              <w:rPr>
                <w:rFonts w:ascii="Arial Narrow" w:hAnsi="Arial Narrow" w:cs="Arial"/>
                <w:sz w:val="18"/>
                <w:szCs w:val="18"/>
              </w:rPr>
            </w:r>
            <w:r w:rsidR="00FE0340">
              <w:rPr>
                <w:rFonts w:ascii="Arial Narrow" w:hAnsi="Arial Narrow" w:cs="Arial"/>
                <w:sz w:val="18"/>
                <w:szCs w:val="18"/>
              </w:rPr>
              <w:fldChar w:fldCharType="separate"/>
            </w:r>
            <w:r w:rsidRPr="00AF39BF">
              <w:rPr>
                <w:rFonts w:ascii="Arial Narrow" w:hAnsi="Arial Narrow" w:cs="Arial"/>
                <w:sz w:val="18"/>
                <w:szCs w:val="18"/>
              </w:rPr>
              <w:fldChar w:fldCharType="end"/>
            </w:r>
            <w:r w:rsidRPr="000B7209">
              <w:rPr>
                <w:rFonts w:ascii="Arial Narrow" w:hAnsi="Arial Narrow" w:cs="Arial"/>
                <w:sz w:val="18"/>
                <w:szCs w:val="18"/>
              </w:rPr>
              <w:t xml:space="preserve"> </w:t>
            </w:r>
            <w:r w:rsidRPr="00864FEE">
              <w:rPr>
                <w:rFonts w:ascii="Arial Narrow" w:hAnsi="Arial Narrow" w:cs="Arial"/>
                <w:sz w:val="18"/>
                <w:szCs w:val="18"/>
              </w:rPr>
              <w:t>Authority Required – Streamlined (9561)</w:t>
            </w:r>
          </w:p>
        </w:tc>
      </w:tr>
      <w:tr w:rsidR="0040308C" w:rsidRPr="000B7209" w:rsidTr="006077D2">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hideMark/>
          </w:tcPr>
          <w:p w:rsidR="0040308C" w:rsidRPr="000B7209" w:rsidRDefault="0040308C" w:rsidP="00265A9C">
            <w:pPr>
              <w:rPr>
                <w:rFonts w:ascii="Arial Narrow" w:hAnsi="Arial Narrow"/>
                <w:color w:val="333333"/>
                <w:sz w:val="18"/>
                <w:szCs w:val="18"/>
              </w:rPr>
            </w:pPr>
            <w:r w:rsidRPr="000B7209">
              <w:rPr>
                <w:rFonts w:ascii="Arial Narrow" w:hAnsi="Arial Narrow"/>
                <w:b/>
                <w:bCs/>
                <w:color w:val="333333"/>
                <w:sz w:val="18"/>
                <w:szCs w:val="18"/>
              </w:rPr>
              <w:t>Indication:</w:t>
            </w:r>
            <w:r w:rsidRPr="000B7209">
              <w:rPr>
                <w:rFonts w:ascii="Arial Narrow" w:hAnsi="Arial Narrow"/>
                <w:color w:val="333333"/>
                <w:sz w:val="18"/>
                <w:szCs w:val="18"/>
              </w:rPr>
              <w:t xml:space="preserve"> Parkinson Disease</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tcPr>
          <w:p w:rsidR="0040308C" w:rsidRPr="000B7209" w:rsidRDefault="0040308C" w:rsidP="00265A9C">
            <w:pPr>
              <w:rPr>
                <w:rFonts w:ascii="Arial Narrow" w:hAnsi="Arial Narrow"/>
                <w:b/>
                <w:bCs/>
                <w:color w:val="333333"/>
                <w:sz w:val="18"/>
                <w:szCs w:val="18"/>
              </w:rPr>
            </w:pPr>
            <w:r w:rsidRPr="000B7209">
              <w:rPr>
                <w:rFonts w:ascii="Arial Narrow" w:hAnsi="Arial Narrow"/>
                <w:b/>
                <w:bCs/>
                <w:color w:val="333333"/>
                <w:sz w:val="18"/>
                <w:szCs w:val="18"/>
              </w:rPr>
              <w:t>Clinical criteria:</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tcPr>
          <w:p w:rsidR="0040308C" w:rsidRPr="000B7209" w:rsidRDefault="0040308C" w:rsidP="00265A9C">
            <w:pPr>
              <w:rPr>
                <w:rFonts w:ascii="Arial Narrow" w:hAnsi="Arial Narrow"/>
                <w:b/>
                <w:bCs/>
                <w:color w:val="333333"/>
                <w:sz w:val="18"/>
                <w:szCs w:val="18"/>
              </w:rPr>
            </w:pPr>
            <w:r w:rsidRPr="000B7209">
              <w:rPr>
                <w:rFonts w:ascii="Arial Narrow" w:hAnsi="Arial Narrow"/>
                <w:bCs/>
                <w:color w:val="333333"/>
                <w:sz w:val="18"/>
                <w:szCs w:val="18"/>
              </w:rPr>
              <w:t>Patient must have experienced severely disabling motor fluctuations which have not responded to other therapy</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tcPr>
          <w:p w:rsidR="0040308C" w:rsidRPr="000B7209" w:rsidRDefault="0040308C" w:rsidP="00265A9C">
            <w:pPr>
              <w:rPr>
                <w:rFonts w:ascii="Arial Narrow" w:hAnsi="Arial Narrow"/>
                <w:b/>
                <w:bCs/>
                <w:i/>
                <w:color w:val="333333"/>
                <w:sz w:val="18"/>
                <w:szCs w:val="18"/>
              </w:rPr>
            </w:pPr>
            <w:r w:rsidRPr="000B7209">
              <w:rPr>
                <w:rFonts w:ascii="Arial Narrow" w:hAnsi="Arial Narrow"/>
                <w:b/>
                <w:bCs/>
                <w:i/>
                <w:color w:val="333333"/>
                <w:sz w:val="18"/>
                <w:szCs w:val="18"/>
              </w:rPr>
              <w:t>AND</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tcPr>
          <w:p w:rsidR="0040308C" w:rsidRPr="000B7209" w:rsidRDefault="0040308C" w:rsidP="00265A9C">
            <w:pPr>
              <w:rPr>
                <w:rFonts w:ascii="Arial Narrow" w:hAnsi="Arial Narrow"/>
                <w:b/>
                <w:bCs/>
                <w:i/>
                <w:color w:val="333333"/>
                <w:sz w:val="18"/>
                <w:szCs w:val="18"/>
              </w:rPr>
            </w:pPr>
            <w:r w:rsidRPr="000B7209">
              <w:rPr>
                <w:rFonts w:ascii="Arial Narrow" w:hAnsi="Arial Narrow"/>
                <w:b/>
                <w:bCs/>
                <w:i/>
                <w:color w:val="333333"/>
                <w:sz w:val="18"/>
                <w:szCs w:val="18"/>
              </w:rPr>
              <w:t>Clinical criteria:</w:t>
            </w:r>
          </w:p>
        </w:tc>
      </w:tr>
      <w:tr w:rsidR="0040308C" w:rsidRPr="000B7209" w:rsidTr="00B33BF5">
        <w:tblPrEx>
          <w:tblCellMar>
            <w:top w:w="15" w:type="dxa"/>
            <w:left w:w="15" w:type="dxa"/>
            <w:bottom w:w="15" w:type="dxa"/>
            <w:right w:w="15" w:type="dxa"/>
          </w:tblCellMar>
          <w:tblLook w:val="04A0" w:firstRow="1" w:lastRow="0" w:firstColumn="1" w:lastColumn="0" w:noHBand="0" w:noVBand="1"/>
        </w:tblPrEx>
        <w:tc>
          <w:tcPr>
            <w:tcW w:w="626" w:type="pct"/>
            <w:vAlign w:val="center"/>
          </w:tcPr>
          <w:p w:rsidR="0040308C" w:rsidRPr="000B7209" w:rsidRDefault="0040308C" w:rsidP="00265A9C">
            <w:pPr>
              <w:jc w:val="center"/>
              <w:rPr>
                <w:rFonts w:ascii="Arial Narrow" w:hAnsi="Arial Narrow"/>
                <w:color w:val="333333"/>
                <w:sz w:val="18"/>
                <w:szCs w:val="18"/>
              </w:rPr>
            </w:pPr>
          </w:p>
        </w:tc>
        <w:tc>
          <w:tcPr>
            <w:tcW w:w="4374" w:type="pct"/>
            <w:gridSpan w:val="6"/>
            <w:vAlign w:val="center"/>
          </w:tcPr>
          <w:p w:rsidR="0040308C" w:rsidRPr="000B7209" w:rsidRDefault="0040308C" w:rsidP="00265A9C">
            <w:pPr>
              <w:rPr>
                <w:rFonts w:ascii="Arial Narrow" w:hAnsi="Arial Narrow"/>
                <w:bCs/>
                <w:i/>
                <w:color w:val="333333"/>
                <w:sz w:val="18"/>
                <w:szCs w:val="18"/>
              </w:rPr>
            </w:pPr>
            <w:r w:rsidRPr="000B7209">
              <w:rPr>
                <w:rFonts w:ascii="Arial Narrow" w:hAnsi="Arial Narrow"/>
                <w:bCs/>
                <w:i/>
                <w:color w:val="333333"/>
                <w:sz w:val="18"/>
                <w:szCs w:val="18"/>
              </w:rPr>
              <w:t>Patient must have been commenced on treatment in a specialist unit in a hospital setting</w:t>
            </w:r>
          </w:p>
        </w:tc>
      </w:tr>
    </w:tbl>
    <w:p w:rsidR="00461B84" w:rsidRDefault="00461B84" w:rsidP="00461B84">
      <w:pPr>
        <w:widowControl w:val="0"/>
        <w:spacing w:before="120" w:after="120"/>
        <w:rPr>
          <w:rFonts w:asciiTheme="minorHAnsi" w:hAnsiTheme="minorHAnsi" w:cs="Arial"/>
          <w:b/>
          <w:bCs/>
          <w:i/>
          <w:snapToGrid w:val="0"/>
          <w:lang w:eastAsia="en-US"/>
        </w:rPr>
      </w:pPr>
      <w:r w:rsidRPr="000B7209">
        <w:rPr>
          <w:rFonts w:asciiTheme="minorHAnsi" w:hAnsiTheme="minorHAnsi" w:cs="Arial"/>
          <w:b/>
          <w:bCs/>
          <w:i/>
          <w:snapToGrid w:val="0"/>
          <w:lang w:eastAsia="en-US"/>
        </w:rPr>
        <w:t>These restrictions may be subject to further review. Should there be any changes made to the restriction the Sponsor will be informed.</w:t>
      </w:r>
    </w:p>
    <w:p w:rsidR="0027158A" w:rsidRDefault="0027158A" w:rsidP="00461B84">
      <w:pPr>
        <w:widowControl w:val="0"/>
        <w:spacing w:before="120" w:after="120"/>
        <w:rPr>
          <w:rFonts w:asciiTheme="minorHAnsi" w:hAnsiTheme="minorHAnsi" w:cs="Arial"/>
          <w:b/>
          <w:bCs/>
          <w:i/>
          <w:snapToGrid w:val="0"/>
          <w:lang w:eastAsia="en-US"/>
        </w:rPr>
      </w:pPr>
    </w:p>
    <w:p w:rsidR="000A6AD6" w:rsidRPr="0027158A" w:rsidRDefault="000A6AD6" w:rsidP="000A6AD6">
      <w:pPr>
        <w:pStyle w:val="2-SectionHeading"/>
      </w:pPr>
      <w:r w:rsidRPr="00C07617">
        <w:lastRenderedPageBreak/>
        <w:t>Context for Decision</w:t>
      </w:r>
    </w:p>
    <w:p w:rsidR="000A6AD6" w:rsidRPr="0027158A" w:rsidRDefault="000A6AD6" w:rsidP="000A6AD6">
      <w:pPr>
        <w:pStyle w:val="3Bodytext"/>
        <w:numPr>
          <w:ilvl w:val="0"/>
          <w:numId w:val="0"/>
        </w:numPr>
        <w:ind w:left="720"/>
      </w:pPr>
      <w:r w:rsidRPr="0027158A">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A6AD6" w:rsidRPr="0027158A" w:rsidRDefault="000A6AD6" w:rsidP="000A6AD6">
      <w:pPr>
        <w:pStyle w:val="2-SectionHeading"/>
      </w:pPr>
      <w:r>
        <w:t>Sponsor’s Comment</w:t>
      </w:r>
    </w:p>
    <w:p w:rsidR="000A6AD6" w:rsidRPr="0027158A" w:rsidRDefault="000A6AD6" w:rsidP="000A6AD6">
      <w:pPr>
        <w:pStyle w:val="3Bodytext"/>
        <w:numPr>
          <w:ilvl w:val="0"/>
          <w:numId w:val="0"/>
        </w:numPr>
        <w:ind w:left="720"/>
      </w:pPr>
      <w:r w:rsidRPr="0027158A">
        <w:t>The sponsor had no comment.</w:t>
      </w:r>
    </w:p>
    <w:p w:rsidR="0027158A" w:rsidRPr="000B7209" w:rsidRDefault="0027158A" w:rsidP="00461B84">
      <w:pPr>
        <w:widowControl w:val="0"/>
        <w:spacing w:before="120" w:after="120"/>
        <w:rPr>
          <w:rFonts w:asciiTheme="minorHAnsi" w:hAnsiTheme="minorHAnsi" w:cs="Arial"/>
          <w:b/>
          <w:bCs/>
          <w:i/>
          <w:snapToGrid w:val="0"/>
          <w:lang w:eastAsia="en-US"/>
        </w:rPr>
      </w:pPr>
    </w:p>
    <w:sectPr w:rsidR="0027158A" w:rsidRPr="000B720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D44" w:rsidRDefault="00531D44">
      <w:r>
        <w:separator/>
      </w:r>
    </w:p>
    <w:p w:rsidR="00531D44" w:rsidRDefault="00531D44"/>
  </w:endnote>
  <w:endnote w:type="continuationSeparator" w:id="0">
    <w:p w:rsidR="00531D44" w:rsidRDefault="00531D44">
      <w:r>
        <w:continuationSeparator/>
      </w:r>
    </w:p>
    <w:p w:rsidR="00531D44" w:rsidRDefault="0053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A5E82" w:rsidTr="005A3173">
      <w:trPr>
        <w:trHeight w:val="151"/>
      </w:trPr>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c>
        <w:tcPr>
          <w:tcW w:w="500" w:type="pct"/>
          <w:vMerge w:val="restart"/>
          <w:noWrap/>
          <w:vAlign w:val="center"/>
          <w:hideMark/>
        </w:tcPr>
        <w:p w:rsidR="009A5E82" w:rsidRPr="005A3173" w:rsidRDefault="009A5E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r>
    <w:tr w:rsidR="009A5E82" w:rsidTr="005A3173">
      <w:trPr>
        <w:trHeight w:val="150"/>
      </w:trPr>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c>
        <w:tcPr>
          <w:tcW w:w="0" w:type="auto"/>
          <w:vMerge/>
          <w:vAlign w:val="center"/>
          <w:hideMark/>
        </w:tcPr>
        <w:p w:rsidR="009A5E82" w:rsidRPr="005A3173" w:rsidRDefault="009A5E82" w:rsidP="005A3173">
          <w:pPr>
            <w:rPr>
              <w:color w:val="365F91"/>
              <w:sz w:val="22"/>
              <w:szCs w:val="22"/>
            </w:rPr>
          </w:pPr>
        </w:p>
      </w:tc>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r>
  </w:tbl>
  <w:p w:rsidR="009A5E82" w:rsidRDefault="009A5E8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E82" w:rsidRDefault="009A5E82">
    <w:pPr>
      <w:pStyle w:val="Footer"/>
    </w:pPr>
  </w:p>
  <w:p w:rsidR="009A5E82" w:rsidRDefault="009A5E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2" w:rsidRDefault="009A5E82" w:rsidP="00E27234">
    <w:pPr>
      <w:pStyle w:val="PBACFooter"/>
      <w:rPr>
        <w:rFonts w:asciiTheme="minorHAnsi" w:hAnsiTheme="minorHAnsi" w:cstheme="minorHAnsi"/>
        <w:sz w:val="24"/>
      </w:rPr>
    </w:pPr>
  </w:p>
  <w:p w:rsidR="009A5E82" w:rsidRPr="00265A9C" w:rsidRDefault="00FE0340" w:rsidP="00265A9C">
    <w:pPr>
      <w:tabs>
        <w:tab w:val="center" w:pos="4513"/>
        <w:tab w:val="right" w:pos="9026"/>
      </w:tabs>
      <w:jc w:val="center"/>
      <w:rPr>
        <w:rFonts w:cs="Arial"/>
        <w:b/>
      </w:rPr>
    </w:pPr>
    <w:sdt>
      <w:sdtPr>
        <w:rPr>
          <w:rFonts w:cs="Arial"/>
          <w:b/>
        </w:rPr>
        <w:id w:val="1420142253"/>
        <w:docPartObj>
          <w:docPartGallery w:val="Page Numbers (Bottom of Page)"/>
          <w:docPartUnique/>
        </w:docPartObj>
      </w:sdtPr>
      <w:sdtEndPr>
        <w:rPr>
          <w:noProof/>
        </w:rPr>
      </w:sdtEndPr>
      <w:sdtContent>
        <w:r w:rsidR="009A5E82" w:rsidRPr="00BD0934">
          <w:rPr>
            <w:rFonts w:cs="Arial"/>
            <w:b/>
          </w:rPr>
          <w:fldChar w:fldCharType="begin"/>
        </w:r>
        <w:r w:rsidR="009A5E82" w:rsidRPr="00BD0934">
          <w:rPr>
            <w:rFonts w:cs="Arial"/>
            <w:b/>
          </w:rPr>
          <w:instrText xml:space="preserve"> PAGE   \* MERGEFORMAT </w:instrText>
        </w:r>
        <w:r w:rsidR="009A5E82" w:rsidRPr="00BD0934">
          <w:rPr>
            <w:rFonts w:cs="Arial"/>
            <w:b/>
          </w:rPr>
          <w:fldChar w:fldCharType="separate"/>
        </w:r>
        <w:r>
          <w:rPr>
            <w:rFonts w:cs="Arial"/>
            <w:b/>
            <w:noProof/>
          </w:rPr>
          <w:t>9</w:t>
        </w:r>
        <w:r w:rsidR="009A5E82" w:rsidRPr="00BD0934">
          <w:rPr>
            <w:rFonts w:cs="Arial"/>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9A5E82" w:rsidTr="005A3173">
      <w:trPr>
        <w:trHeight w:val="151"/>
      </w:trPr>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c>
        <w:tcPr>
          <w:tcW w:w="500" w:type="pct"/>
          <w:vMerge w:val="restart"/>
          <w:noWrap/>
          <w:vAlign w:val="center"/>
          <w:hideMark/>
        </w:tcPr>
        <w:p w:rsidR="009A5E82" w:rsidRPr="005A3173" w:rsidRDefault="009A5E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r>
    <w:tr w:rsidR="009A5E82" w:rsidTr="005A3173">
      <w:trPr>
        <w:trHeight w:val="150"/>
      </w:trPr>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c>
        <w:tcPr>
          <w:tcW w:w="0" w:type="auto"/>
          <w:vMerge/>
          <w:vAlign w:val="center"/>
          <w:hideMark/>
        </w:tcPr>
        <w:p w:rsidR="009A5E82" w:rsidRPr="005A3173" w:rsidRDefault="009A5E82" w:rsidP="005A3173">
          <w:pPr>
            <w:rPr>
              <w:color w:val="365F91"/>
              <w:sz w:val="22"/>
              <w:szCs w:val="22"/>
            </w:rPr>
          </w:pPr>
        </w:p>
      </w:tc>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A5E82" w:rsidTr="005A3173">
      <w:trPr>
        <w:trHeight w:val="151"/>
      </w:trPr>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c>
        <w:tcPr>
          <w:tcW w:w="500" w:type="pct"/>
          <w:vMerge w:val="restart"/>
          <w:noWrap/>
          <w:vAlign w:val="center"/>
          <w:hideMark/>
        </w:tcPr>
        <w:p w:rsidR="009A5E82" w:rsidRPr="005A3173" w:rsidRDefault="009A5E8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A5E82" w:rsidRPr="005A3173" w:rsidRDefault="009A5E82" w:rsidP="005A3173">
          <w:pPr>
            <w:pStyle w:val="Header"/>
            <w:spacing w:line="276" w:lineRule="auto"/>
            <w:rPr>
              <w:rFonts w:eastAsia="MS Gothic"/>
              <w:b/>
              <w:bCs/>
              <w:color w:val="4F81BD"/>
            </w:rPr>
          </w:pPr>
        </w:p>
      </w:tc>
    </w:tr>
    <w:tr w:rsidR="009A5E82" w:rsidTr="005A3173">
      <w:trPr>
        <w:trHeight w:val="150"/>
      </w:trPr>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c>
        <w:tcPr>
          <w:tcW w:w="0" w:type="auto"/>
          <w:vMerge/>
          <w:vAlign w:val="center"/>
          <w:hideMark/>
        </w:tcPr>
        <w:p w:rsidR="009A5E82" w:rsidRPr="005A3173" w:rsidRDefault="009A5E82" w:rsidP="005A3173">
          <w:pPr>
            <w:rPr>
              <w:color w:val="365F91"/>
              <w:sz w:val="22"/>
              <w:szCs w:val="22"/>
            </w:rPr>
          </w:pPr>
        </w:p>
      </w:tc>
      <w:tc>
        <w:tcPr>
          <w:tcW w:w="2250" w:type="pct"/>
          <w:tcBorders>
            <w:top w:val="single" w:sz="4" w:space="0" w:color="4F81BD"/>
            <w:left w:val="nil"/>
            <w:bottom w:val="nil"/>
            <w:right w:val="nil"/>
          </w:tcBorders>
        </w:tcPr>
        <w:p w:rsidR="009A5E82" w:rsidRPr="005A3173" w:rsidRDefault="009A5E82" w:rsidP="005A3173">
          <w:pPr>
            <w:pStyle w:val="Header"/>
            <w:spacing w:line="276" w:lineRule="auto"/>
            <w:rPr>
              <w:rFonts w:eastAsia="MS Gothic"/>
              <w:b/>
              <w:bCs/>
              <w:color w:val="4F81BD"/>
            </w:rPr>
          </w:pPr>
        </w:p>
      </w:tc>
    </w:tr>
  </w:tbl>
  <w:p w:rsidR="009A5E82" w:rsidRDefault="009A5E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D44" w:rsidRDefault="00531D44">
      <w:r>
        <w:separator/>
      </w:r>
    </w:p>
    <w:p w:rsidR="00531D44" w:rsidRDefault="00531D44"/>
  </w:footnote>
  <w:footnote w:type="continuationSeparator" w:id="0">
    <w:p w:rsidR="00531D44" w:rsidRDefault="00531D44">
      <w:r>
        <w:continuationSeparator/>
      </w:r>
    </w:p>
    <w:p w:rsidR="00531D44" w:rsidRDefault="00531D44"/>
  </w:footnote>
  <w:footnote w:id="1">
    <w:p w:rsidR="009A5E82" w:rsidRDefault="009A5E82" w:rsidP="008A799A">
      <w:pPr>
        <w:pStyle w:val="FootnoteText"/>
      </w:pPr>
      <w:r>
        <w:rPr>
          <w:rStyle w:val="FootnoteReference"/>
        </w:rPr>
        <w:footnoteRef/>
      </w:r>
      <w:r>
        <w:t xml:space="preserve"> </w:t>
      </w:r>
      <w:r w:rsidRPr="00E97E8B">
        <w:t>Ostergaard L, Werdelin L, Odin P, Lindvall O, Dupont E, Christensen PB, Boisen</w:t>
      </w:r>
      <w:r>
        <w:t xml:space="preserve"> </w:t>
      </w:r>
      <w:r w:rsidRPr="00E97E8B">
        <w:t>E, Jensen NB, Ingwersen SH, Schmiegelow M.Pen injected apomorphine against off phenomena in late Parkinson’s disease: a</w:t>
      </w:r>
      <w:r>
        <w:t xml:space="preserve"> </w:t>
      </w:r>
      <w:r w:rsidRPr="00E97E8B">
        <w:t>double blind, placebo controlled study.</w:t>
      </w:r>
      <w:r>
        <w:t xml:space="preserve"> </w:t>
      </w:r>
      <w:r w:rsidRPr="00E97E8B">
        <w:rPr>
          <w:i/>
          <w:iCs/>
        </w:rPr>
        <w:t xml:space="preserve">J Neurol Neurosurg Psychiatry </w:t>
      </w:r>
      <w:r w:rsidRPr="00E97E8B">
        <w:t xml:space="preserve">1995; </w:t>
      </w:r>
      <w:r w:rsidRPr="00E97E8B">
        <w:rPr>
          <w:b/>
          <w:bCs/>
        </w:rPr>
        <w:t>58(6)</w:t>
      </w:r>
      <w:r w:rsidRPr="00E97E8B">
        <w:t>: 681-7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A5E82" w:rsidRPr="008E0D90" w:rsidTr="00A06225">
      <w:trPr>
        <w:trHeight w:val="151"/>
      </w:trPr>
      <w:tc>
        <w:tcPr>
          <w:tcW w:w="2389" w:type="pct"/>
          <w:tcBorders>
            <w:top w:val="nil"/>
            <w:left w:val="nil"/>
            <w:bottom w:val="single" w:sz="4" w:space="0" w:color="4F81BD"/>
            <w:right w:val="nil"/>
          </w:tcBorders>
        </w:tcPr>
        <w:p w:rsidR="009A5E82" w:rsidRPr="00A06225" w:rsidRDefault="009A5E82">
          <w:pPr>
            <w:pStyle w:val="Header"/>
            <w:spacing w:line="276" w:lineRule="auto"/>
            <w:rPr>
              <w:rFonts w:ascii="Cambria" w:eastAsia="MS Gothic" w:hAnsi="Cambria"/>
              <w:b/>
              <w:bCs/>
              <w:color w:val="4F81BD"/>
            </w:rPr>
          </w:pPr>
        </w:p>
      </w:tc>
      <w:tc>
        <w:tcPr>
          <w:tcW w:w="333" w:type="pct"/>
          <w:vMerge w:val="restart"/>
          <w:noWrap/>
          <w:vAlign w:val="center"/>
          <w:hideMark/>
        </w:tcPr>
        <w:p w:rsidR="009A5E82" w:rsidRPr="00A06225" w:rsidRDefault="009A5E8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A5E82" w:rsidRPr="00A06225" w:rsidRDefault="009A5E82">
          <w:pPr>
            <w:pStyle w:val="Header"/>
            <w:spacing w:line="276" w:lineRule="auto"/>
            <w:rPr>
              <w:rFonts w:ascii="Cambria" w:eastAsia="MS Gothic" w:hAnsi="Cambria"/>
              <w:b/>
              <w:bCs/>
              <w:color w:val="4F81BD"/>
            </w:rPr>
          </w:pPr>
        </w:p>
      </w:tc>
    </w:tr>
    <w:tr w:rsidR="009A5E82" w:rsidRPr="008E0D90" w:rsidTr="00A06225">
      <w:trPr>
        <w:trHeight w:val="150"/>
      </w:trPr>
      <w:tc>
        <w:tcPr>
          <w:tcW w:w="2389" w:type="pct"/>
          <w:tcBorders>
            <w:top w:val="single" w:sz="4" w:space="0" w:color="4F81BD"/>
            <w:left w:val="nil"/>
            <w:bottom w:val="nil"/>
            <w:right w:val="nil"/>
          </w:tcBorders>
        </w:tcPr>
        <w:p w:rsidR="009A5E82" w:rsidRPr="00A06225" w:rsidRDefault="009A5E82">
          <w:pPr>
            <w:pStyle w:val="Header"/>
            <w:spacing w:line="276" w:lineRule="auto"/>
            <w:rPr>
              <w:rFonts w:ascii="Cambria" w:eastAsia="MS Gothic" w:hAnsi="Cambria"/>
              <w:b/>
              <w:bCs/>
              <w:color w:val="4F81BD"/>
            </w:rPr>
          </w:pPr>
        </w:p>
      </w:tc>
      <w:tc>
        <w:tcPr>
          <w:tcW w:w="0" w:type="auto"/>
          <w:vMerge/>
          <w:vAlign w:val="center"/>
          <w:hideMark/>
        </w:tcPr>
        <w:p w:rsidR="009A5E82" w:rsidRPr="00A06225" w:rsidRDefault="009A5E82">
          <w:pPr>
            <w:rPr>
              <w:rFonts w:ascii="Cambria" w:hAnsi="Cambria"/>
              <w:color w:val="4F81BD"/>
              <w:sz w:val="22"/>
              <w:szCs w:val="22"/>
            </w:rPr>
          </w:pPr>
        </w:p>
      </w:tc>
      <w:tc>
        <w:tcPr>
          <w:tcW w:w="2278" w:type="pct"/>
          <w:tcBorders>
            <w:top w:val="single" w:sz="4" w:space="0" w:color="4F81BD"/>
            <w:left w:val="nil"/>
            <w:bottom w:val="nil"/>
            <w:right w:val="nil"/>
          </w:tcBorders>
        </w:tcPr>
        <w:p w:rsidR="009A5E82" w:rsidRPr="00A06225" w:rsidRDefault="009A5E82">
          <w:pPr>
            <w:pStyle w:val="Header"/>
            <w:spacing w:line="276" w:lineRule="auto"/>
            <w:rPr>
              <w:rFonts w:ascii="Cambria" w:eastAsia="MS Gothic" w:hAnsi="Cambria"/>
              <w:b/>
              <w:bCs/>
              <w:color w:val="4F81BD"/>
            </w:rPr>
          </w:pPr>
        </w:p>
      </w:tc>
    </w:tr>
  </w:tbl>
  <w:p w:rsidR="009A5E82" w:rsidRDefault="009A5E82">
    <w:pPr>
      <w:pStyle w:val="Header"/>
    </w:pPr>
  </w:p>
  <w:p w:rsidR="009A5E82" w:rsidRDefault="009A5E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E82" w:rsidRPr="00BD0934" w:rsidRDefault="009A5E82" w:rsidP="00BD0934">
    <w:pPr>
      <w:keepNext/>
      <w:tabs>
        <w:tab w:val="center" w:pos="4513"/>
        <w:tab w:val="right" w:pos="9026"/>
      </w:tabs>
      <w:ind w:left="360"/>
      <w:jc w:val="center"/>
      <w:rPr>
        <w:rFonts w:asciiTheme="minorHAnsi" w:hAnsiTheme="minorHAnsi" w:cs="Arial"/>
        <w:i/>
        <w:color w:val="808080"/>
      </w:rPr>
    </w:pPr>
    <w:r>
      <w:rPr>
        <w:rFonts w:asciiTheme="minorHAnsi" w:hAnsiTheme="minorHAnsi" w:cs="Arial"/>
        <w:i/>
        <w:color w:val="808080"/>
      </w:rPr>
      <w:t>Public Summary Document</w:t>
    </w:r>
    <w:r w:rsidRPr="00BD0934">
      <w:rPr>
        <w:rFonts w:asciiTheme="minorHAnsi" w:hAnsiTheme="minorHAnsi" w:cs="Arial"/>
        <w:i/>
        <w:color w:val="808080"/>
      </w:rPr>
      <w:t xml:space="preserve"> – </w:t>
    </w:r>
    <w:r>
      <w:rPr>
        <w:rFonts w:asciiTheme="minorHAnsi" w:hAnsiTheme="minorHAnsi" w:cs="Arial"/>
        <w:i/>
        <w:color w:val="808080"/>
      </w:rPr>
      <w:t xml:space="preserve">November </w:t>
    </w:r>
    <w:r w:rsidRPr="00BD0934">
      <w:rPr>
        <w:rFonts w:asciiTheme="minorHAnsi" w:hAnsiTheme="minorHAnsi" w:cs="Arial"/>
        <w:i/>
        <w:color w:val="808080"/>
      </w:rPr>
      <w:t>2020 PBAC Meeting</w:t>
    </w:r>
  </w:p>
  <w:p w:rsidR="009A5E82" w:rsidRPr="00BD0934" w:rsidRDefault="009A5E82" w:rsidP="00BD0934">
    <w:pPr>
      <w:keepNext/>
      <w:tabs>
        <w:tab w:val="center" w:pos="4513"/>
        <w:tab w:val="right" w:pos="9026"/>
      </w:tabs>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340" w:rsidRDefault="00FE0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66058"/>
    <w:multiLevelType w:val="hybridMultilevel"/>
    <w:tmpl w:val="62F6D5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E7542"/>
    <w:multiLevelType w:val="multilevel"/>
    <w:tmpl w:val="51021E3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9"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50227DC"/>
    <w:multiLevelType w:val="hybridMultilevel"/>
    <w:tmpl w:val="87BE0A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05D4876"/>
    <w:multiLevelType w:val="hybridMultilevel"/>
    <w:tmpl w:val="6F44DE3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78951EB"/>
    <w:multiLevelType w:val="hybridMultilevel"/>
    <w:tmpl w:val="C8B69B1C"/>
    <w:lvl w:ilvl="0" w:tplc="E9560488">
      <w:start w:val="1"/>
      <w:numFmt w:val="bullet"/>
      <w:lvlText w:val=""/>
      <w:lvlJc w:val="left"/>
      <w:pPr>
        <w:tabs>
          <w:tab w:val="num" w:pos="720"/>
        </w:tabs>
        <w:ind w:left="720" w:hanging="360"/>
      </w:pPr>
      <w:rPr>
        <w:rFonts w:ascii="Symbol" w:hAnsi="Symbol" w:hint="default"/>
      </w:rPr>
    </w:lvl>
    <w:lvl w:ilvl="1" w:tplc="39FE296C">
      <w:start w:val="1"/>
      <w:numFmt w:val="bullet"/>
      <w:lvlText w:val=""/>
      <w:lvlJc w:val="left"/>
      <w:pPr>
        <w:tabs>
          <w:tab w:val="num" w:pos="1440"/>
        </w:tabs>
        <w:ind w:left="1440" w:hanging="360"/>
      </w:pPr>
      <w:rPr>
        <w:rFonts w:ascii="Symbol" w:hAnsi="Symbol" w:hint="default"/>
      </w:rPr>
    </w:lvl>
    <w:lvl w:ilvl="2" w:tplc="6964ACCA" w:tentative="1">
      <w:start w:val="1"/>
      <w:numFmt w:val="bullet"/>
      <w:lvlText w:val=""/>
      <w:lvlJc w:val="left"/>
      <w:pPr>
        <w:tabs>
          <w:tab w:val="num" w:pos="2160"/>
        </w:tabs>
        <w:ind w:left="2160" w:hanging="360"/>
      </w:pPr>
      <w:rPr>
        <w:rFonts w:ascii="Symbol" w:hAnsi="Symbol" w:hint="default"/>
      </w:rPr>
    </w:lvl>
    <w:lvl w:ilvl="3" w:tplc="2FF67C32" w:tentative="1">
      <w:start w:val="1"/>
      <w:numFmt w:val="bullet"/>
      <w:lvlText w:val=""/>
      <w:lvlJc w:val="left"/>
      <w:pPr>
        <w:tabs>
          <w:tab w:val="num" w:pos="2880"/>
        </w:tabs>
        <w:ind w:left="2880" w:hanging="360"/>
      </w:pPr>
      <w:rPr>
        <w:rFonts w:ascii="Symbol" w:hAnsi="Symbol" w:hint="default"/>
      </w:rPr>
    </w:lvl>
    <w:lvl w:ilvl="4" w:tplc="13D4EC94" w:tentative="1">
      <w:start w:val="1"/>
      <w:numFmt w:val="bullet"/>
      <w:lvlText w:val=""/>
      <w:lvlJc w:val="left"/>
      <w:pPr>
        <w:tabs>
          <w:tab w:val="num" w:pos="3600"/>
        </w:tabs>
        <w:ind w:left="3600" w:hanging="360"/>
      </w:pPr>
      <w:rPr>
        <w:rFonts w:ascii="Symbol" w:hAnsi="Symbol" w:hint="default"/>
      </w:rPr>
    </w:lvl>
    <w:lvl w:ilvl="5" w:tplc="9370D196" w:tentative="1">
      <w:start w:val="1"/>
      <w:numFmt w:val="bullet"/>
      <w:lvlText w:val=""/>
      <w:lvlJc w:val="left"/>
      <w:pPr>
        <w:tabs>
          <w:tab w:val="num" w:pos="4320"/>
        </w:tabs>
        <w:ind w:left="4320" w:hanging="360"/>
      </w:pPr>
      <w:rPr>
        <w:rFonts w:ascii="Symbol" w:hAnsi="Symbol" w:hint="default"/>
      </w:rPr>
    </w:lvl>
    <w:lvl w:ilvl="6" w:tplc="1D4E9276" w:tentative="1">
      <w:start w:val="1"/>
      <w:numFmt w:val="bullet"/>
      <w:lvlText w:val=""/>
      <w:lvlJc w:val="left"/>
      <w:pPr>
        <w:tabs>
          <w:tab w:val="num" w:pos="5040"/>
        </w:tabs>
        <w:ind w:left="5040" w:hanging="360"/>
      </w:pPr>
      <w:rPr>
        <w:rFonts w:ascii="Symbol" w:hAnsi="Symbol" w:hint="default"/>
      </w:rPr>
    </w:lvl>
    <w:lvl w:ilvl="7" w:tplc="1D582370" w:tentative="1">
      <w:start w:val="1"/>
      <w:numFmt w:val="bullet"/>
      <w:lvlText w:val=""/>
      <w:lvlJc w:val="left"/>
      <w:pPr>
        <w:tabs>
          <w:tab w:val="num" w:pos="5760"/>
        </w:tabs>
        <w:ind w:left="5760" w:hanging="360"/>
      </w:pPr>
      <w:rPr>
        <w:rFonts w:ascii="Symbol" w:hAnsi="Symbol" w:hint="default"/>
      </w:rPr>
    </w:lvl>
    <w:lvl w:ilvl="8" w:tplc="CCEC0F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84D033C"/>
    <w:multiLevelType w:val="multilevel"/>
    <w:tmpl w:val="B116418C"/>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7"/>
  </w:num>
  <w:num w:numId="4">
    <w:abstractNumId w:val="15"/>
  </w:num>
  <w:num w:numId="5">
    <w:abstractNumId w:val="10"/>
  </w:num>
  <w:num w:numId="6">
    <w:abstractNumId w:val="1"/>
  </w:num>
  <w:num w:numId="7">
    <w:abstractNumId w:val="17"/>
  </w:num>
  <w:num w:numId="8">
    <w:abstractNumId w:val="18"/>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3"/>
  </w:num>
  <w:num w:numId="24">
    <w:abstractNumId w:val="14"/>
  </w:num>
  <w:num w:numId="25">
    <w:abstractNumId w:val="3"/>
  </w:num>
  <w:num w:numId="26">
    <w:abstractNumId w:val="2"/>
  </w:num>
  <w:num w:numId="27">
    <w:abstractNumId w:val="6"/>
  </w:num>
  <w:num w:numId="28">
    <w:abstractNumId w:val="7"/>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7"/>
  </w:num>
  <w:num w:numId="33">
    <w:abstractNumId w:val="9"/>
  </w:num>
  <w:num w:numId="34">
    <w:abstractNumId w:val="12"/>
  </w:num>
  <w:num w:numId="35">
    <w:abstractNumId w:val="17"/>
  </w:num>
  <w:num w:numId="36">
    <w:abstractNumId w:val="17"/>
  </w:num>
  <w:num w:numId="37">
    <w:abstractNumId w:val="17"/>
  </w:num>
  <w:num w:numId="38">
    <w:abstractNumId w:val="17"/>
  </w:num>
  <w:num w:numId="3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488A"/>
    <w:rsid w:val="00011A59"/>
    <w:rsid w:val="00016A41"/>
    <w:rsid w:val="000214D1"/>
    <w:rsid w:val="00021D6D"/>
    <w:rsid w:val="00021FC3"/>
    <w:rsid w:val="0002464A"/>
    <w:rsid w:val="0003106B"/>
    <w:rsid w:val="00032E90"/>
    <w:rsid w:val="00034905"/>
    <w:rsid w:val="00037054"/>
    <w:rsid w:val="000421A1"/>
    <w:rsid w:val="0004240E"/>
    <w:rsid w:val="00045E26"/>
    <w:rsid w:val="000514B5"/>
    <w:rsid w:val="0005417B"/>
    <w:rsid w:val="00060E64"/>
    <w:rsid w:val="000630FD"/>
    <w:rsid w:val="00066755"/>
    <w:rsid w:val="000763D5"/>
    <w:rsid w:val="00077143"/>
    <w:rsid w:val="00077990"/>
    <w:rsid w:val="00077C7E"/>
    <w:rsid w:val="00082169"/>
    <w:rsid w:val="000821FE"/>
    <w:rsid w:val="00085FA1"/>
    <w:rsid w:val="000918CB"/>
    <w:rsid w:val="00091B06"/>
    <w:rsid w:val="0009246D"/>
    <w:rsid w:val="000951C4"/>
    <w:rsid w:val="00095ADA"/>
    <w:rsid w:val="000969AD"/>
    <w:rsid w:val="0009776A"/>
    <w:rsid w:val="000A20F7"/>
    <w:rsid w:val="000A3AA2"/>
    <w:rsid w:val="000A423A"/>
    <w:rsid w:val="000A43E3"/>
    <w:rsid w:val="000A44B2"/>
    <w:rsid w:val="000A48A8"/>
    <w:rsid w:val="000A52F6"/>
    <w:rsid w:val="000A6AD6"/>
    <w:rsid w:val="000A7C49"/>
    <w:rsid w:val="000B44C3"/>
    <w:rsid w:val="000B558D"/>
    <w:rsid w:val="000B7209"/>
    <w:rsid w:val="000C0E37"/>
    <w:rsid w:val="000C3129"/>
    <w:rsid w:val="000C39C5"/>
    <w:rsid w:val="000C5A31"/>
    <w:rsid w:val="000C5F95"/>
    <w:rsid w:val="000C6996"/>
    <w:rsid w:val="000C7C07"/>
    <w:rsid w:val="000D09E9"/>
    <w:rsid w:val="000D113F"/>
    <w:rsid w:val="000D11DC"/>
    <w:rsid w:val="000D23BA"/>
    <w:rsid w:val="000D456F"/>
    <w:rsid w:val="000D4A0B"/>
    <w:rsid w:val="000D4AE4"/>
    <w:rsid w:val="000E5EA1"/>
    <w:rsid w:val="000E681E"/>
    <w:rsid w:val="000F0003"/>
    <w:rsid w:val="000F3384"/>
    <w:rsid w:val="000F4E6A"/>
    <w:rsid w:val="000F7008"/>
    <w:rsid w:val="000F7354"/>
    <w:rsid w:val="00101ABE"/>
    <w:rsid w:val="00102202"/>
    <w:rsid w:val="00104227"/>
    <w:rsid w:val="001062CA"/>
    <w:rsid w:val="001107BF"/>
    <w:rsid w:val="00113649"/>
    <w:rsid w:val="00116143"/>
    <w:rsid w:val="0012417C"/>
    <w:rsid w:val="00126472"/>
    <w:rsid w:val="0012749D"/>
    <w:rsid w:val="00134BEB"/>
    <w:rsid w:val="001370D6"/>
    <w:rsid w:val="00142395"/>
    <w:rsid w:val="00142714"/>
    <w:rsid w:val="001452ED"/>
    <w:rsid w:val="00147097"/>
    <w:rsid w:val="00147D84"/>
    <w:rsid w:val="001549C1"/>
    <w:rsid w:val="00156CB1"/>
    <w:rsid w:val="00157F7B"/>
    <w:rsid w:val="00162BDD"/>
    <w:rsid w:val="00162D4E"/>
    <w:rsid w:val="00163329"/>
    <w:rsid w:val="00164623"/>
    <w:rsid w:val="001652DE"/>
    <w:rsid w:val="00165B64"/>
    <w:rsid w:val="00180713"/>
    <w:rsid w:val="00180720"/>
    <w:rsid w:val="001830CE"/>
    <w:rsid w:val="00184343"/>
    <w:rsid w:val="0018643B"/>
    <w:rsid w:val="00196307"/>
    <w:rsid w:val="001A33EA"/>
    <w:rsid w:val="001A4C4F"/>
    <w:rsid w:val="001A72C1"/>
    <w:rsid w:val="001A76FB"/>
    <w:rsid w:val="001B017F"/>
    <w:rsid w:val="001B2BBC"/>
    <w:rsid w:val="001B3A40"/>
    <w:rsid w:val="001B3FFE"/>
    <w:rsid w:val="001B5129"/>
    <w:rsid w:val="001B6B15"/>
    <w:rsid w:val="001C0B4C"/>
    <w:rsid w:val="001C1195"/>
    <w:rsid w:val="001C2E42"/>
    <w:rsid w:val="001C4AE1"/>
    <w:rsid w:val="001C6595"/>
    <w:rsid w:val="001D1F5F"/>
    <w:rsid w:val="001D3BA5"/>
    <w:rsid w:val="001D4DE1"/>
    <w:rsid w:val="001D67B7"/>
    <w:rsid w:val="001E06D2"/>
    <w:rsid w:val="001E09F5"/>
    <w:rsid w:val="001E1835"/>
    <w:rsid w:val="001F005B"/>
    <w:rsid w:val="001F1850"/>
    <w:rsid w:val="001F3189"/>
    <w:rsid w:val="001F7E64"/>
    <w:rsid w:val="00200DBE"/>
    <w:rsid w:val="00201B1F"/>
    <w:rsid w:val="00203FAC"/>
    <w:rsid w:val="002078C0"/>
    <w:rsid w:val="00213CFB"/>
    <w:rsid w:val="0021553C"/>
    <w:rsid w:val="0021557B"/>
    <w:rsid w:val="002174FD"/>
    <w:rsid w:val="00217BE1"/>
    <w:rsid w:val="00222EDB"/>
    <w:rsid w:val="0023278F"/>
    <w:rsid w:val="00234252"/>
    <w:rsid w:val="00237AC6"/>
    <w:rsid w:val="0024175D"/>
    <w:rsid w:val="00243C88"/>
    <w:rsid w:val="00244490"/>
    <w:rsid w:val="00245497"/>
    <w:rsid w:val="00245B9C"/>
    <w:rsid w:val="0024660F"/>
    <w:rsid w:val="00253499"/>
    <w:rsid w:val="002551A4"/>
    <w:rsid w:val="00257664"/>
    <w:rsid w:val="00265151"/>
    <w:rsid w:val="00265A9C"/>
    <w:rsid w:val="00266509"/>
    <w:rsid w:val="002674BA"/>
    <w:rsid w:val="0027158A"/>
    <w:rsid w:val="00271BA1"/>
    <w:rsid w:val="002762FA"/>
    <w:rsid w:val="00277505"/>
    <w:rsid w:val="002823B6"/>
    <w:rsid w:val="00290858"/>
    <w:rsid w:val="00294274"/>
    <w:rsid w:val="0029458F"/>
    <w:rsid w:val="002A0B81"/>
    <w:rsid w:val="002A0E04"/>
    <w:rsid w:val="002A104C"/>
    <w:rsid w:val="002A1EF7"/>
    <w:rsid w:val="002A494D"/>
    <w:rsid w:val="002A4960"/>
    <w:rsid w:val="002A6499"/>
    <w:rsid w:val="002B0AE0"/>
    <w:rsid w:val="002B1AE6"/>
    <w:rsid w:val="002B1D51"/>
    <w:rsid w:val="002B2DE8"/>
    <w:rsid w:val="002B30F8"/>
    <w:rsid w:val="002B388A"/>
    <w:rsid w:val="002B5596"/>
    <w:rsid w:val="002B65D8"/>
    <w:rsid w:val="002C212F"/>
    <w:rsid w:val="002C5EE5"/>
    <w:rsid w:val="002C737A"/>
    <w:rsid w:val="002C7485"/>
    <w:rsid w:val="002D283A"/>
    <w:rsid w:val="002D4543"/>
    <w:rsid w:val="002E2559"/>
    <w:rsid w:val="002E3153"/>
    <w:rsid w:val="002E4FCF"/>
    <w:rsid w:val="002E5292"/>
    <w:rsid w:val="002E72CA"/>
    <w:rsid w:val="002F17C7"/>
    <w:rsid w:val="002F600D"/>
    <w:rsid w:val="00300AD6"/>
    <w:rsid w:val="00300B1B"/>
    <w:rsid w:val="003019D0"/>
    <w:rsid w:val="00305125"/>
    <w:rsid w:val="003064AF"/>
    <w:rsid w:val="00310B68"/>
    <w:rsid w:val="003153FC"/>
    <w:rsid w:val="0031692A"/>
    <w:rsid w:val="00317C6C"/>
    <w:rsid w:val="0032098E"/>
    <w:rsid w:val="00320CD3"/>
    <w:rsid w:val="00320DB7"/>
    <w:rsid w:val="00326E79"/>
    <w:rsid w:val="003301B1"/>
    <w:rsid w:val="00331189"/>
    <w:rsid w:val="0033263D"/>
    <w:rsid w:val="0033518A"/>
    <w:rsid w:val="003367EF"/>
    <w:rsid w:val="00341AE4"/>
    <w:rsid w:val="003476EE"/>
    <w:rsid w:val="003541DD"/>
    <w:rsid w:val="00356E5B"/>
    <w:rsid w:val="00367B69"/>
    <w:rsid w:val="003710E5"/>
    <w:rsid w:val="003736C9"/>
    <w:rsid w:val="00384988"/>
    <w:rsid w:val="003872CF"/>
    <w:rsid w:val="0039782C"/>
    <w:rsid w:val="003A5B4A"/>
    <w:rsid w:val="003A5D4C"/>
    <w:rsid w:val="003A5D95"/>
    <w:rsid w:val="003A708C"/>
    <w:rsid w:val="003B23C5"/>
    <w:rsid w:val="003B2A75"/>
    <w:rsid w:val="003B3D5F"/>
    <w:rsid w:val="003B6124"/>
    <w:rsid w:val="003C093A"/>
    <w:rsid w:val="003C1ECF"/>
    <w:rsid w:val="003C2FB5"/>
    <w:rsid w:val="003C3F89"/>
    <w:rsid w:val="003D030B"/>
    <w:rsid w:val="003D24C5"/>
    <w:rsid w:val="003D2D27"/>
    <w:rsid w:val="003D4AC4"/>
    <w:rsid w:val="003D63B7"/>
    <w:rsid w:val="003D74C5"/>
    <w:rsid w:val="003E468B"/>
    <w:rsid w:val="003E62BD"/>
    <w:rsid w:val="003F0C3A"/>
    <w:rsid w:val="003F3228"/>
    <w:rsid w:val="003F5C8C"/>
    <w:rsid w:val="003F63CE"/>
    <w:rsid w:val="003F775A"/>
    <w:rsid w:val="00400E55"/>
    <w:rsid w:val="0040128E"/>
    <w:rsid w:val="0040216B"/>
    <w:rsid w:val="0040308C"/>
    <w:rsid w:val="00406ACF"/>
    <w:rsid w:val="004212C0"/>
    <w:rsid w:val="004230B2"/>
    <w:rsid w:val="00424D46"/>
    <w:rsid w:val="004252EC"/>
    <w:rsid w:val="00430207"/>
    <w:rsid w:val="00430D39"/>
    <w:rsid w:val="00430DEA"/>
    <w:rsid w:val="00431B8D"/>
    <w:rsid w:val="00442505"/>
    <w:rsid w:val="0044548B"/>
    <w:rsid w:val="004465BD"/>
    <w:rsid w:val="004466CC"/>
    <w:rsid w:val="00446938"/>
    <w:rsid w:val="004533E0"/>
    <w:rsid w:val="00461A44"/>
    <w:rsid w:val="00461B84"/>
    <w:rsid w:val="0046286B"/>
    <w:rsid w:val="004634E2"/>
    <w:rsid w:val="00464345"/>
    <w:rsid w:val="00466ADA"/>
    <w:rsid w:val="004702BB"/>
    <w:rsid w:val="0047494B"/>
    <w:rsid w:val="00476245"/>
    <w:rsid w:val="00477A9B"/>
    <w:rsid w:val="00483035"/>
    <w:rsid w:val="00485940"/>
    <w:rsid w:val="004904B9"/>
    <w:rsid w:val="00494787"/>
    <w:rsid w:val="00496662"/>
    <w:rsid w:val="004A185B"/>
    <w:rsid w:val="004A2484"/>
    <w:rsid w:val="004A5A85"/>
    <w:rsid w:val="004A696A"/>
    <w:rsid w:val="004A71D1"/>
    <w:rsid w:val="004A7C5B"/>
    <w:rsid w:val="004B1845"/>
    <w:rsid w:val="004B2E98"/>
    <w:rsid w:val="004B5640"/>
    <w:rsid w:val="004C03D0"/>
    <w:rsid w:val="004C1BD7"/>
    <w:rsid w:val="004C31FE"/>
    <w:rsid w:val="004C524C"/>
    <w:rsid w:val="004C5FFA"/>
    <w:rsid w:val="004C691D"/>
    <w:rsid w:val="004C6C07"/>
    <w:rsid w:val="004C6FEB"/>
    <w:rsid w:val="004D1BEA"/>
    <w:rsid w:val="004D4FF6"/>
    <w:rsid w:val="004E4611"/>
    <w:rsid w:val="004E692D"/>
    <w:rsid w:val="004E7D87"/>
    <w:rsid w:val="004E7F87"/>
    <w:rsid w:val="004F04FD"/>
    <w:rsid w:val="004F2553"/>
    <w:rsid w:val="00501554"/>
    <w:rsid w:val="00502AFE"/>
    <w:rsid w:val="00503AD7"/>
    <w:rsid w:val="00504E0C"/>
    <w:rsid w:val="00510652"/>
    <w:rsid w:val="005109D4"/>
    <w:rsid w:val="00514CD7"/>
    <w:rsid w:val="00520D6A"/>
    <w:rsid w:val="00522DB6"/>
    <w:rsid w:val="0052792D"/>
    <w:rsid w:val="005319B2"/>
    <w:rsid w:val="00531D44"/>
    <w:rsid w:val="00531DD1"/>
    <w:rsid w:val="00532402"/>
    <w:rsid w:val="00532C74"/>
    <w:rsid w:val="00533A44"/>
    <w:rsid w:val="00534E2E"/>
    <w:rsid w:val="00544552"/>
    <w:rsid w:val="00545130"/>
    <w:rsid w:val="00545CDA"/>
    <w:rsid w:val="00551BE1"/>
    <w:rsid w:val="0055286A"/>
    <w:rsid w:val="00555745"/>
    <w:rsid w:val="00556BE8"/>
    <w:rsid w:val="00557D4F"/>
    <w:rsid w:val="00560373"/>
    <w:rsid w:val="0056484E"/>
    <w:rsid w:val="005751BC"/>
    <w:rsid w:val="005764CD"/>
    <w:rsid w:val="00577C4D"/>
    <w:rsid w:val="00577D8A"/>
    <w:rsid w:val="00580532"/>
    <w:rsid w:val="00581932"/>
    <w:rsid w:val="005915EC"/>
    <w:rsid w:val="005963BB"/>
    <w:rsid w:val="005A0C5E"/>
    <w:rsid w:val="005A3173"/>
    <w:rsid w:val="005A3223"/>
    <w:rsid w:val="005A3DA3"/>
    <w:rsid w:val="005A3E91"/>
    <w:rsid w:val="005A3FFB"/>
    <w:rsid w:val="005A52C4"/>
    <w:rsid w:val="005A65A7"/>
    <w:rsid w:val="005B1CAA"/>
    <w:rsid w:val="005B3055"/>
    <w:rsid w:val="005B67A0"/>
    <w:rsid w:val="005C4F73"/>
    <w:rsid w:val="005D03AB"/>
    <w:rsid w:val="005D5017"/>
    <w:rsid w:val="005D63FA"/>
    <w:rsid w:val="005D7BC4"/>
    <w:rsid w:val="005E0D82"/>
    <w:rsid w:val="005E1333"/>
    <w:rsid w:val="005E297F"/>
    <w:rsid w:val="005E3136"/>
    <w:rsid w:val="005E507D"/>
    <w:rsid w:val="005E5971"/>
    <w:rsid w:val="005F7812"/>
    <w:rsid w:val="00601A91"/>
    <w:rsid w:val="00602BA3"/>
    <w:rsid w:val="00605B63"/>
    <w:rsid w:val="00605F9A"/>
    <w:rsid w:val="00606EED"/>
    <w:rsid w:val="006077D2"/>
    <w:rsid w:val="00612E34"/>
    <w:rsid w:val="00614159"/>
    <w:rsid w:val="00615A7C"/>
    <w:rsid w:val="0061698C"/>
    <w:rsid w:val="00616C5F"/>
    <w:rsid w:val="00616DAC"/>
    <w:rsid w:val="00617C00"/>
    <w:rsid w:val="006263BF"/>
    <w:rsid w:val="0062748A"/>
    <w:rsid w:val="00630A2C"/>
    <w:rsid w:val="00631623"/>
    <w:rsid w:val="0063682E"/>
    <w:rsid w:val="0064232C"/>
    <w:rsid w:val="00642DA8"/>
    <w:rsid w:val="006436CD"/>
    <w:rsid w:val="00651169"/>
    <w:rsid w:val="00653D69"/>
    <w:rsid w:val="006552E6"/>
    <w:rsid w:val="0065540A"/>
    <w:rsid w:val="00655794"/>
    <w:rsid w:val="006565C6"/>
    <w:rsid w:val="00657C63"/>
    <w:rsid w:val="00662374"/>
    <w:rsid w:val="006670BE"/>
    <w:rsid w:val="006677AD"/>
    <w:rsid w:val="00670A76"/>
    <w:rsid w:val="006711AA"/>
    <w:rsid w:val="00672B57"/>
    <w:rsid w:val="00673F1F"/>
    <w:rsid w:val="00675622"/>
    <w:rsid w:val="0067747D"/>
    <w:rsid w:val="006818D5"/>
    <w:rsid w:val="00681CA4"/>
    <w:rsid w:val="00682005"/>
    <w:rsid w:val="00687054"/>
    <w:rsid w:val="006900B0"/>
    <w:rsid w:val="0069039D"/>
    <w:rsid w:val="006906DB"/>
    <w:rsid w:val="00691E6C"/>
    <w:rsid w:val="00693DFB"/>
    <w:rsid w:val="0069501D"/>
    <w:rsid w:val="00696129"/>
    <w:rsid w:val="00697CF2"/>
    <w:rsid w:val="006A12A5"/>
    <w:rsid w:val="006A2F9A"/>
    <w:rsid w:val="006A5E20"/>
    <w:rsid w:val="006B0D94"/>
    <w:rsid w:val="006B485D"/>
    <w:rsid w:val="006B7A6A"/>
    <w:rsid w:val="006B7E16"/>
    <w:rsid w:val="006C334C"/>
    <w:rsid w:val="006C3469"/>
    <w:rsid w:val="006C5925"/>
    <w:rsid w:val="006C6C90"/>
    <w:rsid w:val="006C708E"/>
    <w:rsid w:val="006D14E7"/>
    <w:rsid w:val="006D4444"/>
    <w:rsid w:val="006D6493"/>
    <w:rsid w:val="006D6EC7"/>
    <w:rsid w:val="006E0139"/>
    <w:rsid w:val="006E1BCD"/>
    <w:rsid w:val="006F0A71"/>
    <w:rsid w:val="006F40C2"/>
    <w:rsid w:val="006F5125"/>
    <w:rsid w:val="006F6317"/>
    <w:rsid w:val="006F733D"/>
    <w:rsid w:val="00702B6F"/>
    <w:rsid w:val="007046DE"/>
    <w:rsid w:val="00706A2F"/>
    <w:rsid w:val="0070718E"/>
    <w:rsid w:val="00710259"/>
    <w:rsid w:val="0071031F"/>
    <w:rsid w:val="00710C43"/>
    <w:rsid w:val="00712DA3"/>
    <w:rsid w:val="0071340B"/>
    <w:rsid w:val="00715BBB"/>
    <w:rsid w:val="007174BB"/>
    <w:rsid w:val="0072025D"/>
    <w:rsid w:val="0073137C"/>
    <w:rsid w:val="00731B46"/>
    <w:rsid w:val="00733B09"/>
    <w:rsid w:val="007353D3"/>
    <w:rsid w:val="0074046B"/>
    <w:rsid w:val="0074156B"/>
    <w:rsid w:val="00747092"/>
    <w:rsid w:val="00750E02"/>
    <w:rsid w:val="00752D7E"/>
    <w:rsid w:val="0075351B"/>
    <w:rsid w:val="00754F43"/>
    <w:rsid w:val="007555E8"/>
    <w:rsid w:val="0076420C"/>
    <w:rsid w:val="0077094E"/>
    <w:rsid w:val="007711AD"/>
    <w:rsid w:val="00771D07"/>
    <w:rsid w:val="00773BE3"/>
    <w:rsid w:val="007743DD"/>
    <w:rsid w:val="00774E2C"/>
    <w:rsid w:val="007753C2"/>
    <w:rsid w:val="007838B8"/>
    <w:rsid w:val="007915BA"/>
    <w:rsid w:val="007978BF"/>
    <w:rsid w:val="007A0E2E"/>
    <w:rsid w:val="007A4757"/>
    <w:rsid w:val="007B3DDC"/>
    <w:rsid w:val="007B72A6"/>
    <w:rsid w:val="007C0F57"/>
    <w:rsid w:val="007C40B6"/>
    <w:rsid w:val="007C729F"/>
    <w:rsid w:val="007D16C8"/>
    <w:rsid w:val="007D3564"/>
    <w:rsid w:val="007D503D"/>
    <w:rsid w:val="007D6498"/>
    <w:rsid w:val="007E1D28"/>
    <w:rsid w:val="007E4583"/>
    <w:rsid w:val="007F0021"/>
    <w:rsid w:val="007F2641"/>
    <w:rsid w:val="007F35F6"/>
    <w:rsid w:val="007F5F84"/>
    <w:rsid w:val="007F7C36"/>
    <w:rsid w:val="008021A2"/>
    <w:rsid w:val="00806796"/>
    <w:rsid w:val="00811CC0"/>
    <w:rsid w:val="0081319B"/>
    <w:rsid w:val="008151D6"/>
    <w:rsid w:val="00821527"/>
    <w:rsid w:val="00825673"/>
    <w:rsid w:val="008268BB"/>
    <w:rsid w:val="00826F6D"/>
    <w:rsid w:val="008306F3"/>
    <w:rsid w:val="00830E40"/>
    <w:rsid w:val="00835C62"/>
    <w:rsid w:val="0084189C"/>
    <w:rsid w:val="00841A4B"/>
    <w:rsid w:val="00846056"/>
    <w:rsid w:val="0084779D"/>
    <w:rsid w:val="00847EC0"/>
    <w:rsid w:val="00855FD6"/>
    <w:rsid w:val="00856DDD"/>
    <w:rsid w:val="00863E68"/>
    <w:rsid w:val="008647B5"/>
    <w:rsid w:val="00864FEE"/>
    <w:rsid w:val="00867652"/>
    <w:rsid w:val="00874C80"/>
    <w:rsid w:val="00875DCB"/>
    <w:rsid w:val="00882085"/>
    <w:rsid w:val="00883188"/>
    <w:rsid w:val="00885010"/>
    <w:rsid w:val="008865D5"/>
    <w:rsid w:val="00897D58"/>
    <w:rsid w:val="00897F22"/>
    <w:rsid w:val="008A0B39"/>
    <w:rsid w:val="008A1956"/>
    <w:rsid w:val="008A20D0"/>
    <w:rsid w:val="008A2414"/>
    <w:rsid w:val="008A4937"/>
    <w:rsid w:val="008A50F1"/>
    <w:rsid w:val="008A59D9"/>
    <w:rsid w:val="008A6819"/>
    <w:rsid w:val="008A799A"/>
    <w:rsid w:val="008B132C"/>
    <w:rsid w:val="008B2EC0"/>
    <w:rsid w:val="008B56A8"/>
    <w:rsid w:val="008B76D8"/>
    <w:rsid w:val="008C5C2F"/>
    <w:rsid w:val="008C6F44"/>
    <w:rsid w:val="008D1B5C"/>
    <w:rsid w:val="008D3C82"/>
    <w:rsid w:val="008D447E"/>
    <w:rsid w:val="008D7A41"/>
    <w:rsid w:val="008E2C72"/>
    <w:rsid w:val="008E3680"/>
    <w:rsid w:val="008E5870"/>
    <w:rsid w:val="008E7296"/>
    <w:rsid w:val="008F0213"/>
    <w:rsid w:val="008F1434"/>
    <w:rsid w:val="008F2F4D"/>
    <w:rsid w:val="008F54C3"/>
    <w:rsid w:val="008F5EDB"/>
    <w:rsid w:val="008F7355"/>
    <w:rsid w:val="0090163F"/>
    <w:rsid w:val="009023DC"/>
    <w:rsid w:val="009027C5"/>
    <w:rsid w:val="00903C23"/>
    <w:rsid w:val="0090484A"/>
    <w:rsid w:val="009067B7"/>
    <w:rsid w:val="009074F6"/>
    <w:rsid w:val="00917D69"/>
    <w:rsid w:val="00920862"/>
    <w:rsid w:val="00921D57"/>
    <w:rsid w:val="00926560"/>
    <w:rsid w:val="00930937"/>
    <w:rsid w:val="009324A6"/>
    <w:rsid w:val="00933E6C"/>
    <w:rsid w:val="00937958"/>
    <w:rsid w:val="00940762"/>
    <w:rsid w:val="00941602"/>
    <w:rsid w:val="00941DAE"/>
    <w:rsid w:val="00942160"/>
    <w:rsid w:val="0095146F"/>
    <w:rsid w:val="0095162D"/>
    <w:rsid w:val="009526F5"/>
    <w:rsid w:val="009576AF"/>
    <w:rsid w:val="00957944"/>
    <w:rsid w:val="009602C5"/>
    <w:rsid w:val="00962223"/>
    <w:rsid w:val="00966D0D"/>
    <w:rsid w:val="0096783C"/>
    <w:rsid w:val="009722B3"/>
    <w:rsid w:val="00973632"/>
    <w:rsid w:val="00974C21"/>
    <w:rsid w:val="00974E4A"/>
    <w:rsid w:val="00975948"/>
    <w:rsid w:val="00977BF3"/>
    <w:rsid w:val="009803E4"/>
    <w:rsid w:val="00980A4E"/>
    <w:rsid w:val="00980B0E"/>
    <w:rsid w:val="009836A3"/>
    <w:rsid w:val="009855A8"/>
    <w:rsid w:val="009913F4"/>
    <w:rsid w:val="0099465B"/>
    <w:rsid w:val="00994CEE"/>
    <w:rsid w:val="009A0CDD"/>
    <w:rsid w:val="009A3168"/>
    <w:rsid w:val="009A5E82"/>
    <w:rsid w:val="009A61CA"/>
    <w:rsid w:val="009A74F9"/>
    <w:rsid w:val="009B0C64"/>
    <w:rsid w:val="009B0F67"/>
    <w:rsid w:val="009B5372"/>
    <w:rsid w:val="009B645C"/>
    <w:rsid w:val="009C0208"/>
    <w:rsid w:val="009C703C"/>
    <w:rsid w:val="009D206E"/>
    <w:rsid w:val="009D3CAA"/>
    <w:rsid w:val="009D6532"/>
    <w:rsid w:val="009D7FC8"/>
    <w:rsid w:val="009E1EDA"/>
    <w:rsid w:val="009E2E8E"/>
    <w:rsid w:val="009E40E1"/>
    <w:rsid w:val="009E4B4C"/>
    <w:rsid w:val="009E5FC7"/>
    <w:rsid w:val="009F0EFA"/>
    <w:rsid w:val="009F1086"/>
    <w:rsid w:val="009F1868"/>
    <w:rsid w:val="009F2C08"/>
    <w:rsid w:val="009F4E46"/>
    <w:rsid w:val="009F5B65"/>
    <w:rsid w:val="009F5F2E"/>
    <w:rsid w:val="00A01432"/>
    <w:rsid w:val="00A06225"/>
    <w:rsid w:val="00A07EE2"/>
    <w:rsid w:val="00A105F6"/>
    <w:rsid w:val="00A128E6"/>
    <w:rsid w:val="00A12BCD"/>
    <w:rsid w:val="00A141E2"/>
    <w:rsid w:val="00A144D3"/>
    <w:rsid w:val="00A17B65"/>
    <w:rsid w:val="00A22AC3"/>
    <w:rsid w:val="00A23F3F"/>
    <w:rsid w:val="00A24067"/>
    <w:rsid w:val="00A2744D"/>
    <w:rsid w:val="00A27595"/>
    <w:rsid w:val="00A34E6C"/>
    <w:rsid w:val="00A36398"/>
    <w:rsid w:val="00A37C8D"/>
    <w:rsid w:val="00A4020E"/>
    <w:rsid w:val="00A40A33"/>
    <w:rsid w:val="00A40FB5"/>
    <w:rsid w:val="00A42826"/>
    <w:rsid w:val="00A429B3"/>
    <w:rsid w:val="00A436DD"/>
    <w:rsid w:val="00A437F4"/>
    <w:rsid w:val="00A47D61"/>
    <w:rsid w:val="00A510E4"/>
    <w:rsid w:val="00A5273B"/>
    <w:rsid w:val="00A53A9D"/>
    <w:rsid w:val="00A55FEE"/>
    <w:rsid w:val="00A57422"/>
    <w:rsid w:val="00A60B04"/>
    <w:rsid w:val="00A62C1A"/>
    <w:rsid w:val="00A6426D"/>
    <w:rsid w:val="00A6449D"/>
    <w:rsid w:val="00A665C1"/>
    <w:rsid w:val="00A673A4"/>
    <w:rsid w:val="00A70622"/>
    <w:rsid w:val="00A70977"/>
    <w:rsid w:val="00A70D58"/>
    <w:rsid w:val="00A731E8"/>
    <w:rsid w:val="00A744F9"/>
    <w:rsid w:val="00A75878"/>
    <w:rsid w:val="00A77613"/>
    <w:rsid w:val="00A81851"/>
    <w:rsid w:val="00A8390C"/>
    <w:rsid w:val="00A84E77"/>
    <w:rsid w:val="00A85149"/>
    <w:rsid w:val="00A86AE0"/>
    <w:rsid w:val="00A87F1D"/>
    <w:rsid w:val="00A90309"/>
    <w:rsid w:val="00A928BD"/>
    <w:rsid w:val="00A97DE9"/>
    <w:rsid w:val="00AA02F9"/>
    <w:rsid w:val="00AA12CD"/>
    <w:rsid w:val="00AA4D1C"/>
    <w:rsid w:val="00AA52FD"/>
    <w:rsid w:val="00AA5C32"/>
    <w:rsid w:val="00AB1F66"/>
    <w:rsid w:val="00AB5856"/>
    <w:rsid w:val="00AC193C"/>
    <w:rsid w:val="00AC4DE5"/>
    <w:rsid w:val="00AC5206"/>
    <w:rsid w:val="00AD4322"/>
    <w:rsid w:val="00AD7A69"/>
    <w:rsid w:val="00AD7FE8"/>
    <w:rsid w:val="00AE11A5"/>
    <w:rsid w:val="00AE13E2"/>
    <w:rsid w:val="00AE22D3"/>
    <w:rsid w:val="00AE5A49"/>
    <w:rsid w:val="00AF39BF"/>
    <w:rsid w:val="00AF62DF"/>
    <w:rsid w:val="00AF68CC"/>
    <w:rsid w:val="00AF70D7"/>
    <w:rsid w:val="00B010B8"/>
    <w:rsid w:val="00B06478"/>
    <w:rsid w:val="00B06E73"/>
    <w:rsid w:val="00B07CFB"/>
    <w:rsid w:val="00B1059E"/>
    <w:rsid w:val="00B107CB"/>
    <w:rsid w:val="00B16273"/>
    <w:rsid w:val="00B170A5"/>
    <w:rsid w:val="00B176C8"/>
    <w:rsid w:val="00B17EE5"/>
    <w:rsid w:val="00B205AA"/>
    <w:rsid w:val="00B22E84"/>
    <w:rsid w:val="00B233AD"/>
    <w:rsid w:val="00B23E25"/>
    <w:rsid w:val="00B246CC"/>
    <w:rsid w:val="00B25F75"/>
    <w:rsid w:val="00B26B3F"/>
    <w:rsid w:val="00B2778F"/>
    <w:rsid w:val="00B33635"/>
    <w:rsid w:val="00B33BF5"/>
    <w:rsid w:val="00B34537"/>
    <w:rsid w:val="00B4122D"/>
    <w:rsid w:val="00B42AF4"/>
    <w:rsid w:val="00B43E90"/>
    <w:rsid w:val="00B467DC"/>
    <w:rsid w:val="00B478F0"/>
    <w:rsid w:val="00B512A5"/>
    <w:rsid w:val="00B55600"/>
    <w:rsid w:val="00B56118"/>
    <w:rsid w:val="00B6472F"/>
    <w:rsid w:val="00B6773F"/>
    <w:rsid w:val="00B70EB3"/>
    <w:rsid w:val="00B727BE"/>
    <w:rsid w:val="00B7525E"/>
    <w:rsid w:val="00B760FB"/>
    <w:rsid w:val="00B767AB"/>
    <w:rsid w:val="00B801BA"/>
    <w:rsid w:val="00B84D5C"/>
    <w:rsid w:val="00B901C5"/>
    <w:rsid w:val="00BA1456"/>
    <w:rsid w:val="00BA14B7"/>
    <w:rsid w:val="00BA2389"/>
    <w:rsid w:val="00BA2DA8"/>
    <w:rsid w:val="00BA347C"/>
    <w:rsid w:val="00BA40E9"/>
    <w:rsid w:val="00BA7EBD"/>
    <w:rsid w:val="00BB40A1"/>
    <w:rsid w:val="00BB5C49"/>
    <w:rsid w:val="00BB69F5"/>
    <w:rsid w:val="00BB7EC3"/>
    <w:rsid w:val="00BC4B9A"/>
    <w:rsid w:val="00BC4F56"/>
    <w:rsid w:val="00BD02C3"/>
    <w:rsid w:val="00BD0934"/>
    <w:rsid w:val="00BD586E"/>
    <w:rsid w:val="00BD7483"/>
    <w:rsid w:val="00BD784C"/>
    <w:rsid w:val="00BE020A"/>
    <w:rsid w:val="00BE0CE6"/>
    <w:rsid w:val="00BE13DF"/>
    <w:rsid w:val="00BF092C"/>
    <w:rsid w:val="00BF27A0"/>
    <w:rsid w:val="00BF4CB6"/>
    <w:rsid w:val="00C00DA7"/>
    <w:rsid w:val="00C01A01"/>
    <w:rsid w:val="00C04CDE"/>
    <w:rsid w:val="00C04DCC"/>
    <w:rsid w:val="00C12768"/>
    <w:rsid w:val="00C12D70"/>
    <w:rsid w:val="00C1332A"/>
    <w:rsid w:val="00C21B09"/>
    <w:rsid w:val="00C22A1E"/>
    <w:rsid w:val="00C233D6"/>
    <w:rsid w:val="00C2673A"/>
    <w:rsid w:val="00C27B58"/>
    <w:rsid w:val="00C35996"/>
    <w:rsid w:val="00C44A22"/>
    <w:rsid w:val="00C45EB1"/>
    <w:rsid w:val="00C4747E"/>
    <w:rsid w:val="00C5151E"/>
    <w:rsid w:val="00C515A4"/>
    <w:rsid w:val="00C5342C"/>
    <w:rsid w:val="00C53B2B"/>
    <w:rsid w:val="00C60272"/>
    <w:rsid w:val="00C603D4"/>
    <w:rsid w:val="00C6256A"/>
    <w:rsid w:val="00C645CF"/>
    <w:rsid w:val="00C7007D"/>
    <w:rsid w:val="00C710E2"/>
    <w:rsid w:val="00C713E3"/>
    <w:rsid w:val="00C71C3F"/>
    <w:rsid w:val="00C73E05"/>
    <w:rsid w:val="00C7409E"/>
    <w:rsid w:val="00C74439"/>
    <w:rsid w:val="00C74D6D"/>
    <w:rsid w:val="00C75A43"/>
    <w:rsid w:val="00C76A6A"/>
    <w:rsid w:val="00C76E76"/>
    <w:rsid w:val="00C77891"/>
    <w:rsid w:val="00C91449"/>
    <w:rsid w:val="00C92D10"/>
    <w:rsid w:val="00CA48D9"/>
    <w:rsid w:val="00CA62DF"/>
    <w:rsid w:val="00CB0818"/>
    <w:rsid w:val="00CB1040"/>
    <w:rsid w:val="00CB1193"/>
    <w:rsid w:val="00CB22DA"/>
    <w:rsid w:val="00CB2CE3"/>
    <w:rsid w:val="00CB4767"/>
    <w:rsid w:val="00CB493D"/>
    <w:rsid w:val="00CB6679"/>
    <w:rsid w:val="00CC27B2"/>
    <w:rsid w:val="00CC3B97"/>
    <w:rsid w:val="00CC52D2"/>
    <w:rsid w:val="00CC6ECD"/>
    <w:rsid w:val="00CD0262"/>
    <w:rsid w:val="00CD3AA1"/>
    <w:rsid w:val="00CE10C4"/>
    <w:rsid w:val="00CE27B5"/>
    <w:rsid w:val="00CE5039"/>
    <w:rsid w:val="00CE6DAF"/>
    <w:rsid w:val="00CF341B"/>
    <w:rsid w:val="00CF410A"/>
    <w:rsid w:val="00CF77D5"/>
    <w:rsid w:val="00D02FD4"/>
    <w:rsid w:val="00D0321E"/>
    <w:rsid w:val="00D07A8A"/>
    <w:rsid w:val="00D1455A"/>
    <w:rsid w:val="00D22093"/>
    <w:rsid w:val="00D31150"/>
    <w:rsid w:val="00D3138B"/>
    <w:rsid w:val="00D3280C"/>
    <w:rsid w:val="00D3406A"/>
    <w:rsid w:val="00D40B11"/>
    <w:rsid w:val="00D441F1"/>
    <w:rsid w:val="00D452FB"/>
    <w:rsid w:val="00D4572C"/>
    <w:rsid w:val="00D469B2"/>
    <w:rsid w:val="00D54B09"/>
    <w:rsid w:val="00D567D4"/>
    <w:rsid w:val="00D57E56"/>
    <w:rsid w:val="00D64C3D"/>
    <w:rsid w:val="00D65658"/>
    <w:rsid w:val="00D72B6F"/>
    <w:rsid w:val="00D72E27"/>
    <w:rsid w:val="00D741EB"/>
    <w:rsid w:val="00D7679C"/>
    <w:rsid w:val="00D820F3"/>
    <w:rsid w:val="00D83605"/>
    <w:rsid w:val="00D84934"/>
    <w:rsid w:val="00D90E98"/>
    <w:rsid w:val="00D91271"/>
    <w:rsid w:val="00D919F5"/>
    <w:rsid w:val="00D94F03"/>
    <w:rsid w:val="00DA0A82"/>
    <w:rsid w:val="00DA0D14"/>
    <w:rsid w:val="00DA1FC9"/>
    <w:rsid w:val="00DA2CB5"/>
    <w:rsid w:val="00DA4BAC"/>
    <w:rsid w:val="00DB0151"/>
    <w:rsid w:val="00DB23EC"/>
    <w:rsid w:val="00DC2C3E"/>
    <w:rsid w:val="00DC4880"/>
    <w:rsid w:val="00DC4A8D"/>
    <w:rsid w:val="00DC6612"/>
    <w:rsid w:val="00DD2D70"/>
    <w:rsid w:val="00DD50F3"/>
    <w:rsid w:val="00DE6D27"/>
    <w:rsid w:val="00DF01F8"/>
    <w:rsid w:val="00DF217D"/>
    <w:rsid w:val="00DF26A7"/>
    <w:rsid w:val="00DF2B5C"/>
    <w:rsid w:val="00DF3277"/>
    <w:rsid w:val="00DF7919"/>
    <w:rsid w:val="00E015B4"/>
    <w:rsid w:val="00E0207E"/>
    <w:rsid w:val="00E027D3"/>
    <w:rsid w:val="00E02DB8"/>
    <w:rsid w:val="00E03912"/>
    <w:rsid w:val="00E07453"/>
    <w:rsid w:val="00E078D9"/>
    <w:rsid w:val="00E10293"/>
    <w:rsid w:val="00E10D68"/>
    <w:rsid w:val="00E13581"/>
    <w:rsid w:val="00E142B7"/>
    <w:rsid w:val="00E15627"/>
    <w:rsid w:val="00E15A47"/>
    <w:rsid w:val="00E1621A"/>
    <w:rsid w:val="00E164B3"/>
    <w:rsid w:val="00E16910"/>
    <w:rsid w:val="00E227C0"/>
    <w:rsid w:val="00E24E09"/>
    <w:rsid w:val="00E25006"/>
    <w:rsid w:val="00E27234"/>
    <w:rsid w:val="00E3495C"/>
    <w:rsid w:val="00E34C11"/>
    <w:rsid w:val="00E370DA"/>
    <w:rsid w:val="00E40AC1"/>
    <w:rsid w:val="00E42BDB"/>
    <w:rsid w:val="00E439F0"/>
    <w:rsid w:val="00E4495A"/>
    <w:rsid w:val="00E57EEB"/>
    <w:rsid w:val="00E602F1"/>
    <w:rsid w:val="00E608A1"/>
    <w:rsid w:val="00E61014"/>
    <w:rsid w:val="00E62AEB"/>
    <w:rsid w:val="00E62D94"/>
    <w:rsid w:val="00E64F37"/>
    <w:rsid w:val="00E65429"/>
    <w:rsid w:val="00E65E54"/>
    <w:rsid w:val="00E661C7"/>
    <w:rsid w:val="00E67D31"/>
    <w:rsid w:val="00E80155"/>
    <w:rsid w:val="00E8134B"/>
    <w:rsid w:val="00E81E0D"/>
    <w:rsid w:val="00E81F28"/>
    <w:rsid w:val="00E83A77"/>
    <w:rsid w:val="00E848C0"/>
    <w:rsid w:val="00E86364"/>
    <w:rsid w:val="00E91B96"/>
    <w:rsid w:val="00E93D1E"/>
    <w:rsid w:val="00E941A1"/>
    <w:rsid w:val="00E95CE3"/>
    <w:rsid w:val="00E9612E"/>
    <w:rsid w:val="00E96F1A"/>
    <w:rsid w:val="00E97E8B"/>
    <w:rsid w:val="00EA252F"/>
    <w:rsid w:val="00EA2825"/>
    <w:rsid w:val="00EA47F8"/>
    <w:rsid w:val="00EA6518"/>
    <w:rsid w:val="00EA7466"/>
    <w:rsid w:val="00EA7EDE"/>
    <w:rsid w:val="00EB0B63"/>
    <w:rsid w:val="00EB1936"/>
    <w:rsid w:val="00EB37BE"/>
    <w:rsid w:val="00EB5088"/>
    <w:rsid w:val="00EC677B"/>
    <w:rsid w:val="00ED1644"/>
    <w:rsid w:val="00ED2593"/>
    <w:rsid w:val="00ED7D55"/>
    <w:rsid w:val="00ED7D9C"/>
    <w:rsid w:val="00EE17FE"/>
    <w:rsid w:val="00EE2B71"/>
    <w:rsid w:val="00EE31A2"/>
    <w:rsid w:val="00EE4754"/>
    <w:rsid w:val="00EF0069"/>
    <w:rsid w:val="00EF3848"/>
    <w:rsid w:val="00EF44A0"/>
    <w:rsid w:val="00EF4FED"/>
    <w:rsid w:val="00EF6FB3"/>
    <w:rsid w:val="00F007C6"/>
    <w:rsid w:val="00F0172E"/>
    <w:rsid w:val="00F050BD"/>
    <w:rsid w:val="00F05657"/>
    <w:rsid w:val="00F0746C"/>
    <w:rsid w:val="00F1195F"/>
    <w:rsid w:val="00F17ED6"/>
    <w:rsid w:val="00F209E2"/>
    <w:rsid w:val="00F21F3A"/>
    <w:rsid w:val="00F25578"/>
    <w:rsid w:val="00F258E5"/>
    <w:rsid w:val="00F25B9C"/>
    <w:rsid w:val="00F26CC6"/>
    <w:rsid w:val="00F300BC"/>
    <w:rsid w:val="00F3263C"/>
    <w:rsid w:val="00F3334E"/>
    <w:rsid w:val="00F35624"/>
    <w:rsid w:val="00F36607"/>
    <w:rsid w:val="00F36CCB"/>
    <w:rsid w:val="00F374E5"/>
    <w:rsid w:val="00F37B93"/>
    <w:rsid w:val="00F37BAD"/>
    <w:rsid w:val="00F37ECA"/>
    <w:rsid w:val="00F43AF2"/>
    <w:rsid w:val="00F44133"/>
    <w:rsid w:val="00F5007E"/>
    <w:rsid w:val="00F50EC4"/>
    <w:rsid w:val="00F52232"/>
    <w:rsid w:val="00F550CF"/>
    <w:rsid w:val="00F57A6D"/>
    <w:rsid w:val="00F638CC"/>
    <w:rsid w:val="00F64C9E"/>
    <w:rsid w:val="00F64CC1"/>
    <w:rsid w:val="00F72317"/>
    <w:rsid w:val="00F730C1"/>
    <w:rsid w:val="00F744CD"/>
    <w:rsid w:val="00F77C62"/>
    <w:rsid w:val="00F80475"/>
    <w:rsid w:val="00F8247A"/>
    <w:rsid w:val="00F82E5C"/>
    <w:rsid w:val="00F8603E"/>
    <w:rsid w:val="00F861DA"/>
    <w:rsid w:val="00F9629A"/>
    <w:rsid w:val="00F97BB8"/>
    <w:rsid w:val="00F97EFC"/>
    <w:rsid w:val="00FA1A79"/>
    <w:rsid w:val="00FA1BDD"/>
    <w:rsid w:val="00FA305C"/>
    <w:rsid w:val="00FA3C67"/>
    <w:rsid w:val="00FA4DD5"/>
    <w:rsid w:val="00FA5883"/>
    <w:rsid w:val="00FA6055"/>
    <w:rsid w:val="00FB0B39"/>
    <w:rsid w:val="00FB1C18"/>
    <w:rsid w:val="00FB322F"/>
    <w:rsid w:val="00FB3DAB"/>
    <w:rsid w:val="00FB442F"/>
    <w:rsid w:val="00FC118C"/>
    <w:rsid w:val="00FC1929"/>
    <w:rsid w:val="00FC484C"/>
    <w:rsid w:val="00FC5B46"/>
    <w:rsid w:val="00FD6D8E"/>
    <w:rsid w:val="00FE0340"/>
    <w:rsid w:val="00FE0663"/>
    <w:rsid w:val="00FE0E94"/>
    <w:rsid w:val="00FE3381"/>
    <w:rsid w:val="00FE3CD9"/>
    <w:rsid w:val="00FE61EE"/>
    <w:rsid w:val="00FF00BD"/>
    <w:rsid w:val="00FF1ED4"/>
    <w:rsid w:val="00FF249C"/>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81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03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Akapit z listą11,Figure_name,Numbered Indented Text,Bullet- First level,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 Char,Figure_nam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551BE1"/>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551BE1"/>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FootnoteText">
    <w:name w:val="footnote text"/>
    <w:basedOn w:val="Normal"/>
    <w:link w:val="FootnoteTextChar"/>
    <w:semiHidden/>
    <w:unhideWhenUsed/>
    <w:rsid w:val="00E97E8B"/>
    <w:rPr>
      <w:sz w:val="20"/>
      <w:szCs w:val="20"/>
    </w:rPr>
  </w:style>
  <w:style w:type="character" w:customStyle="1" w:styleId="FootnoteTextChar">
    <w:name w:val="Footnote Text Char"/>
    <w:basedOn w:val="DefaultParagraphFont"/>
    <w:link w:val="FootnoteText"/>
    <w:semiHidden/>
    <w:rsid w:val="00E97E8B"/>
    <w:rPr>
      <w:rFonts w:ascii="Calibri" w:hAnsi="Calibri"/>
    </w:rPr>
  </w:style>
  <w:style w:type="character" w:styleId="FootnoteReference">
    <w:name w:val="footnote reference"/>
    <w:basedOn w:val="DefaultParagraphFont"/>
    <w:semiHidden/>
    <w:unhideWhenUsed/>
    <w:rsid w:val="00E97E8B"/>
    <w:rPr>
      <w:vertAlign w:val="superscript"/>
    </w:rPr>
  </w:style>
  <w:style w:type="paragraph" w:styleId="Revision">
    <w:name w:val="Revision"/>
    <w:hidden/>
    <w:uiPriority w:val="71"/>
    <w:semiHidden/>
    <w:rsid w:val="006677AD"/>
    <w:rPr>
      <w:rFonts w:ascii="Calibri" w:hAnsi="Calibri"/>
      <w:sz w:val="24"/>
      <w:szCs w:val="24"/>
    </w:rPr>
  </w:style>
  <w:style w:type="paragraph" w:customStyle="1" w:styleId="PBACheading10">
    <w:name w:val="PBAC heading 1"/>
    <w:qFormat/>
    <w:rsid w:val="00C44A22"/>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01887241">
      <w:bodyDiv w:val="1"/>
      <w:marLeft w:val="0"/>
      <w:marRight w:val="0"/>
      <w:marTop w:val="0"/>
      <w:marBottom w:val="0"/>
      <w:divBdr>
        <w:top w:val="none" w:sz="0" w:space="0" w:color="auto"/>
        <w:left w:val="none" w:sz="0" w:space="0" w:color="auto"/>
        <w:bottom w:val="none" w:sz="0" w:space="0" w:color="auto"/>
        <w:right w:val="none" w:sz="0" w:space="0" w:color="auto"/>
      </w:divBdr>
      <w:divsChild>
        <w:div w:id="1482043160">
          <w:marLeft w:val="1267"/>
          <w:marRight w:val="0"/>
          <w:marTop w:val="100"/>
          <w:marBottom w:val="120"/>
          <w:divBdr>
            <w:top w:val="none" w:sz="0" w:space="0" w:color="auto"/>
            <w:left w:val="none" w:sz="0" w:space="0" w:color="auto"/>
            <w:bottom w:val="none" w:sz="0" w:space="0" w:color="auto"/>
            <w:right w:val="none" w:sz="0" w:space="0" w:color="auto"/>
          </w:divBdr>
        </w:div>
        <w:div w:id="1078403161">
          <w:marLeft w:val="1267"/>
          <w:marRight w:val="0"/>
          <w:marTop w:val="100"/>
          <w:marBottom w:val="120"/>
          <w:divBdr>
            <w:top w:val="none" w:sz="0" w:space="0" w:color="auto"/>
            <w:left w:val="none" w:sz="0" w:space="0" w:color="auto"/>
            <w:bottom w:val="none" w:sz="0" w:space="0" w:color="auto"/>
            <w:right w:val="none" w:sz="0" w:space="0" w:color="auto"/>
          </w:divBdr>
        </w:div>
      </w:divsChild>
    </w:div>
    <w:div w:id="207168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AC6C-0A87-4232-9E1A-2B198CCF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3370</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2021-03-01T03:00:00Z</dcterms:created>
  <dcterms:modified xsi:type="dcterms:W3CDTF">2021-03-01T03:00:00Z</dcterms:modified>
</cp:coreProperties>
</file>