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C3E2E" w14:textId="77777777" w:rsidR="005766EF" w:rsidRDefault="00E530F8" w:rsidP="005766EF">
      <w:pPr>
        <w:pStyle w:val="1-MainHeading"/>
        <w:ind w:left="1440" w:hanging="1440"/>
      </w:pPr>
      <w:bookmarkStart w:id="0" w:name="_Toc49758132"/>
      <w:r w:rsidRPr="00B42397">
        <w:t>5.04</w:t>
      </w:r>
      <w:r w:rsidR="005766EF">
        <w:t xml:space="preserve"> </w:t>
      </w:r>
      <w:r w:rsidR="004326F9" w:rsidRPr="00B42397">
        <w:t>ELOTUZUMAB</w:t>
      </w:r>
      <w:r w:rsidR="005766EF">
        <w:t>,</w:t>
      </w:r>
    </w:p>
    <w:p w14:paraId="7B043B19" w14:textId="095CD287" w:rsidR="005766EF" w:rsidRDefault="005766EF" w:rsidP="005766EF">
      <w:pPr>
        <w:pStyle w:val="1-MainHeading"/>
        <w:ind w:left="1440"/>
      </w:pPr>
      <w:r>
        <w:t xml:space="preserve"> </w:t>
      </w:r>
      <w:r w:rsidR="00E530F8" w:rsidRPr="00B42397">
        <w:t xml:space="preserve">Powder for IV infusion </w:t>
      </w:r>
      <w:r w:rsidR="00C108D2" w:rsidRPr="00B42397">
        <w:t>300 mg, 400 mg</w:t>
      </w:r>
      <w:r>
        <w:t xml:space="preserve">, </w:t>
      </w:r>
    </w:p>
    <w:p w14:paraId="54903DB1" w14:textId="239648C2" w:rsidR="005766EF" w:rsidRDefault="005766EF" w:rsidP="005766EF">
      <w:pPr>
        <w:pStyle w:val="1-MainHeading"/>
        <w:ind w:left="1440"/>
      </w:pPr>
      <w:r>
        <w:t xml:space="preserve"> </w:t>
      </w:r>
      <w:proofErr w:type="spellStart"/>
      <w:r w:rsidR="00C108D2" w:rsidRPr="00B42397">
        <w:t>E</w:t>
      </w:r>
      <w:r w:rsidR="00DE2FE5" w:rsidRPr="00B42397">
        <w:t>mpliciti</w:t>
      </w:r>
      <w:proofErr w:type="spellEnd"/>
      <w:r w:rsidR="00B60939" w:rsidRPr="00B42397">
        <w:rPr>
          <w:vertAlign w:val="superscript"/>
        </w:rPr>
        <w:t>®</w:t>
      </w:r>
      <w:r>
        <w:t>,</w:t>
      </w:r>
    </w:p>
    <w:p w14:paraId="00CC08CB" w14:textId="5BBAD68E" w:rsidR="00B60939" w:rsidRPr="00B42397" w:rsidRDefault="005766EF" w:rsidP="005766EF">
      <w:pPr>
        <w:pStyle w:val="1-MainHeading"/>
        <w:ind w:left="1440"/>
      </w:pPr>
      <w:r>
        <w:t xml:space="preserve"> </w:t>
      </w:r>
      <w:r w:rsidR="002747AD">
        <w:t>Bristol-</w:t>
      </w:r>
      <w:r w:rsidR="00C108D2" w:rsidRPr="00B42397">
        <w:t>Myers Squibb</w:t>
      </w:r>
      <w:r w:rsidR="00E530F8" w:rsidRPr="00B42397">
        <w:t xml:space="preserve"> Australia Pty Ltd</w:t>
      </w:r>
      <w:bookmarkEnd w:id="0"/>
      <w:r w:rsidR="00067A61" w:rsidRPr="00B42397">
        <w:t xml:space="preserve"> </w:t>
      </w:r>
    </w:p>
    <w:p w14:paraId="2E79F923" w14:textId="77777777" w:rsidR="00B50DB8" w:rsidRPr="00B42397" w:rsidRDefault="00B50DB8" w:rsidP="004A6040">
      <w:pPr>
        <w:pStyle w:val="2-SectionHeading"/>
      </w:pPr>
      <w:bookmarkStart w:id="1" w:name="_Toc49758134"/>
      <w:r w:rsidRPr="00B42397">
        <w:t xml:space="preserve">Purpose of </w:t>
      </w:r>
      <w:r w:rsidR="00CD7193" w:rsidRPr="00B42397">
        <w:t>s</w:t>
      </w:r>
      <w:r w:rsidR="00BB3A45" w:rsidRPr="00B42397">
        <w:t>ubmission</w:t>
      </w:r>
      <w:bookmarkEnd w:id="1"/>
    </w:p>
    <w:p w14:paraId="18577FB2" w14:textId="77777777" w:rsidR="002C2775" w:rsidRPr="00B42397" w:rsidRDefault="007170DA" w:rsidP="004E18E9">
      <w:pPr>
        <w:pStyle w:val="3-BodyText"/>
      </w:pPr>
      <w:r w:rsidRPr="00B42397">
        <w:t xml:space="preserve">The submission requested </w:t>
      </w:r>
      <w:r w:rsidR="00733499" w:rsidRPr="00B42397">
        <w:t xml:space="preserve">a </w:t>
      </w:r>
      <w:r w:rsidR="008B1757" w:rsidRPr="00B42397">
        <w:t>Section 100</w:t>
      </w:r>
      <w:r w:rsidR="00E530F8" w:rsidRPr="00B42397">
        <w:t xml:space="preserve"> (Efficient Funding of Chemotherapy)</w:t>
      </w:r>
      <w:r w:rsidR="008B1757" w:rsidRPr="00B42397">
        <w:t>, Authority Required</w:t>
      </w:r>
      <w:r w:rsidR="00E530F8" w:rsidRPr="00B42397">
        <w:t xml:space="preserve"> (telephone)</w:t>
      </w:r>
      <w:r w:rsidR="008B1757" w:rsidRPr="00B42397">
        <w:t xml:space="preserve"> listing for </w:t>
      </w:r>
      <w:r w:rsidR="005530F0" w:rsidRPr="00B42397">
        <w:t>elotuzumab in combination with lenalidomide and dexamethasone</w:t>
      </w:r>
      <w:r w:rsidR="008B1757" w:rsidRPr="00B42397">
        <w:t xml:space="preserve"> </w:t>
      </w:r>
      <w:r w:rsidR="004F48C4" w:rsidRPr="00B42397">
        <w:t>(</w:t>
      </w:r>
      <w:proofErr w:type="spellStart"/>
      <w:r w:rsidR="001F5659" w:rsidRPr="00B42397">
        <w:t>ELd</w:t>
      </w:r>
      <w:proofErr w:type="spellEnd"/>
      <w:r w:rsidR="004F48C4" w:rsidRPr="00B42397">
        <w:t xml:space="preserve">) </w:t>
      </w:r>
      <w:r w:rsidR="008B1757" w:rsidRPr="00B42397">
        <w:t xml:space="preserve">for </w:t>
      </w:r>
      <w:r w:rsidR="0050174E" w:rsidRPr="00B42397">
        <w:t xml:space="preserve">the </w:t>
      </w:r>
      <w:r w:rsidR="008B1757" w:rsidRPr="00B42397">
        <w:t>treatment</w:t>
      </w:r>
      <w:r w:rsidR="004353E3" w:rsidRPr="00B42397">
        <w:t xml:space="preserve"> of</w:t>
      </w:r>
      <w:r w:rsidR="008B1757" w:rsidRPr="00B42397">
        <w:t xml:space="preserve"> </w:t>
      </w:r>
      <w:r w:rsidR="004353E3" w:rsidRPr="00B42397">
        <w:t xml:space="preserve">relapsed </w:t>
      </w:r>
      <w:r w:rsidR="0007603B" w:rsidRPr="00B42397">
        <w:t>and/</w:t>
      </w:r>
      <w:r w:rsidR="004353E3" w:rsidRPr="00B42397">
        <w:t>or refractory multiple myeloma (RRMM)</w:t>
      </w:r>
      <w:r w:rsidR="00973703" w:rsidRPr="00B42397">
        <w:t>.</w:t>
      </w:r>
    </w:p>
    <w:p w14:paraId="6FCA95AF" w14:textId="77777777" w:rsidR="00C2778B" w:rsidRPr="00B42397" w:rsidRDefault="005750C5" w:rsidP="004E18E9">
      <w:pPr>
        <w:pStyle w:val="3-BodyText"/>
      </w:pPr>
      <w:r w:rsidRPr="00B42397">
        <w:t xml:space="preserve">Listing was requested on the basis of a cost-minimisation analysis </w:t>
      </w:r>
      <w:r w:rsidR="001D2B61" w:rsidRPr="00B42397">
        <w:t xml:space="preserve">(CMA) </w:t>
      </w:r>
      <w:r w:rsidRPr="00B42397">
        <w:t xml:space="preserve">versus </w:t>
      </w:r>
      <w:r w:rsidR="002C0C01" w:rsidRPr="00B42397">
        <w:t xml:space="preserve">carfilzomib in </w:t>
      </w:r>
      <w:r w:rsidR="00301019" w:rsidRPr="00B42397">
        <w:t>combination</w:t>
      </w:r>
      <w:r w:rsidR="002C0C01" w:rsidRPr="00B42397">
        <w:t xml:space="preserve"> with dexamethasone</w:t>
      </w:r>
      <w:r w:rsidR="004F48C4" w:rsidRPr="00B42397">
        <w:t xml:space="preserve"> (Cd)</w:t>
      </w:r>
      <w:r w:rsidR="00301019" w:rsidRPr="00B42397">
        <w:t>.</w:t>
      </w:r>
      <w:r w:rsidRPr="00B42397">
        <w:t xml:space="preserve"> </w:t>
      </w:r>
      <w:r w:rsidR="00733499" w:rsidRPr="00B42397">
        <w:t xml:space="preserve">The key components of </w:t>
      </w:r>
      <w:r w:rsidR="007D7A5C" w:rsidRPr="00B42397">
        <w:t xml:space="preserve">the </w:t>
      </w:r>
      <w:r w:rsidR="00733499" w:rsidRPr="00B42397">
        <w:t>clinical issues addressed by the submission are provided in Table 1.</w:t>
      </w:r>
    </w:p>
    <w:p w14:paraId="49DD3DBE" w14:textId="77777777" w:rsidR="008B1757" w:rsidRPr="00B42397" w:rsidRDefault="008B1757" w:rsidP="004A6040">
      <w:pPr>
        <w:pStyle w:val="TableFigureHeading"/>
        <w:rPr>
          <w:rStyle w:val="CommentReference"/>
          <w:b/>
          <w:szCs w:val="24"/>
        </w:rPr>
      </w:pPr>
      <w:r w:rsidRPr="00B42397">
        <w:rPr>
          <w:rStyle w:val="CommentReference"/>
          <w:b/>
          <w:szCs w:val="24"/>
        </w:rPr>
        <w:t xml:space="preserve">Table </w:t>
      </w:r>
      <w:r w:rsidR="00421BB2" w:rsidRPr="00B42397">
        <w:rPr>
          <w:rStyle w:val="CommentReference"/>
          <w:b/>
          <w:szCs w:val="24"/>
        </w:rPr>
        <w:t>1</w:t>
      </w:r>
      <w:r w:rsidRPr="00B42397">
        <w:rPr>
          <w:rStyle w:val="CommentReference"/>
          <w:b/>
          <w:szCs w:val="24"/>
        </w:rPr>
        <w:t>:</w:t>
      </w:r>
      <w:r w:rsidR="00BC591F" w:rsidRPr="00B42397">
        <w:rPr>
          <w:rStyle w:val="CommentReference"/>
          <w:b/>
          <w:szCs w:val="24"/>
        </w:rPr>
        <w:t xml:space="preserve"> </w:t>
      </w:r>
      <w:r w:rsidRPr="00B42397">
        <w:rPr>
          <w:rStyle w:val="CommentReference"/>
          <w:b/>
          <w:szCs w:val="24"/>
        </w:rPr>
        <w:t>Key components of the clinical issue addressed by the submission</w:t>
      </w:r>
      <w:r w:rsidR="007170DA" w:rsidRPr="00B42397">
        <w:rPr>
          <w:rStyle w:val="CommentReference"/>
          <w:b/>
          <w:szCs w:val="24"/>
        </w:rPr>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4F48C4" w:rsidRPr="00B42397" w14:paraId="559047DC" w14:textId="77777777" w:rsidTr="00AD4D6B">
        <w:tc>
          <w:tcPr>
            <w:tcW w:w="1668" w:type="dxa"/>
            <w:vAlign w:val="center"/>
          </w:tcPr>
          <w:p w14:paraId="4796781E" w14:textId="77777777" w:rsidR="004F48C4" w:rsidRPr="00B42397" w:rsidRDefault="004F48C4" w:rsidP="00AD4D6B">
            <w:pPr>
              <w:pStyle w:val="In-tableHeading"/>
              <w:rPr>
                <w:lang w:val="en-AU"/>
              </w:rPr>
            </w:pPr>
            <w:r w:rsidRPr="00B42397">
              <w:rPr>
                <w:lang w:val="en-AU"/>
              </w:rPr>
              <w:t>Component</w:t>
            </w:r>
          </w:p>
        </w:tc>
        <w:tc>
          <w:tcPr>
            <w:tcW w:w="7488" w:type="dxa"/>
            <w:vAlign w:val="center"/>
          </w:tcPr>
          <w:p w14:paraId="728AE56C" w14:textId="77777777" w:rsidR="004F48C4" w:rsidRPr="00B42397" w:rsidRDefault="004F48C4" w:rsidP="00AD4D6B">
            <w:pPr>
              <w:pStyle w:val="In-tableHeading"/>
              <w:rPr>
                <w:lang w:val="en-AU"/>
              </w:rPr>
            </w:pPr>
            <w:r w:rsidRPr="00B42397">
              <w:rPr>
                <w:lang w:val="en-AU"/>
              </w:rPr>
              <w:t>Description</w:t>
            </w:r>
          </w:p>
        </w:tc>
      </w:tr>
      <w:tr w:rsidR="004F48C4" w:rsidRPr="00B42397" w14:paraId="3E26452C" w14:textId="77777777" w:rsidTr="00AD4D6B">
        <w:tc>
          <w:tcPr>
            <w:tcW w:w="1668" w:type="dxa"/>
            <w:vAlign w:val="center"/>
          </w:tcPr>
          <w:p w14:paraId="1B21A4DB" w14:textId="77777777" w:rsidR="004F48C4" w:rsidRPr="00B42397" w:rsidRDefault="004F48C4" w:rsidP="00AD4D6B">
            <w:pPr>
              <w:pStyle w:val="TableText0"/>
            </w:pPr>
            <w:r w:rsidRPr="00B42397">
              <w:t>Population</w:t>
            </w:r>
          </w:p>
        </w:tc>
        <w:tc>
          <w:tcPr>
            <w:tcW w:w="7488" w:type="dxa"/>
            <w:vAlign w:val="center"/>
          </w:tcPr>
          <w:p w14:paraId="74BE288B" w14:textId="77777777" w:rsidR="004F48C4" w:rsidRPr="00B42397" w:rsidRDefault="004F48C4" w:rsidP="00C614A2">
            <w:pPr>
              <w:pStyle w:val="TableText0"/>
            </w:pPr>
            <w:r w:rsidRPr="00B42397">
              <w:t>Patients with relapsed or refractory multiple myeloma (RRMM).</w:t>
            </w:r>
          </w:p>
        </w:tc>
      </w:tr>
      <w:tr w:rsidR="004F48C4" w:rsidRPr="00B42397" w14:paraId="380BAB64" w14:textId="77777777" w:rsidTr="00AD4D6B">
        <w:tc>
          <w:tcPr>
            <w:tcW w:w="1668" w:type="dxa"/>
            <w:vAlign w:val="center"/>
          </w:tcPr>
          <w:p w14:paraId="5D387962" w14:textId="77777777" w:rsidR="004F48C4" w:rsidRPr="00B42397" w:rsidRDefault="004F48C4" w:rsidP="00AD4D6B">
            <w:pPr>
              <w:pStyle w:val="TableText0"/>
            </w:pPr>
            <w:r w:rsidRPr="00B42397">
              <w:t>Intervention</w:t>
            </w:r>
          </w:p>
        </w:tc>
        <w:tc>
          <w:tcPr>
            <w:tcW w:w="7488" w:type="dxa"/>
            <w:tcBorders>
              <w:top w:val="single" w:sz="4" w:space="0" w:color="auto"/>
              <w:left w:val="single" w:sz="4" w:space="0" w:color="auto"/>
              <w:bottom w:val="single" w:sz="4" w:space="0" w:color="auto"/>
              <w:right w:val="single" w:sz="4" w:space="0" w:color="auto"/>
            </w:tcBorders>
          </w:tcPr>
          <w:p w14:paraId="5A957A9E" w14:textId="77777777" w:rsidR="004F48C4" w:rsidRPr="00B42397" w:rsidRDefault="004F48C4" w:rsidP="00AD4D6B">
            <w:pPr>
              <w:pStyle w:val="Tabletext"/>
              <w:rPr>
                <w:rFonts w:ascii="Trebuchet MS" w:hAnsi="Trebuchet MS" w:cs="Arial"/>
                <w:szCs w:val="21"/>
              </w:rPr>
            </w:pPr>
            <w:r w:rsidRPr="00B42397">
              <w:t>Elotuzumab in combination with lenalidomide and dexamethasone (</w:t>
            </w:r>
            <w:proofErr w:type="spellStart"/>
            <w:r w:rsidR="001F5659" w:rsidRPr="00B42397">
              <w:t>ELd</w:t>
            </w:r>
            <w:proofErr w:type="spellEnd"/>
            <w:r w:rsidRPr="00B42397">
              <w:t>)</w:t>
            </w:r>
          </w:p>
          <w:p w14:paraId="338DED52" w14:textId="77777777" w:rsidR="004F48C4" w:rsidRPr="00B42397" w:rsidRDefault="004F48C4" w:rsidP="00173108">
            <w:pPr>
              <w:pStyle w:val="Tabletext"/>
              <w:numPr>
                <w:ilvl w:val="0"/>
                <w:numId w:val="8"/>
              </w:numPr>
              <w:ind w:left="342"/>
            </w:pPr>
            <w:r w:rsidRPr="00B42397">
              <w:t xml:space="preserve">The recommended dose of elotuzumab is 10 mg/kg administered intravenously once weekly (28-day cycle) on Days 1, 8, 15 and 22 of cycles 1 and 2; and every 2 weeks thereafter on Days 1 and 15. </w:t>
            </w:r>
          </w:p>
          <w:p w14:paraId="66D6282C" w14:textId="77777777" w:rsidR="004F48C4" w:rsidRPr="00B42397" w:rsidRDefault="004F48C4" w:rsidP="00173108">
            <w:pPr>
              <w:pStyle w:val="Tabletext"/>
              <w:numPr>
                <w:ilvl w:val="0"/>
                <w:numId w:val="8"/>
              </w:numPr>
              <w:ind w:left="342"/>
            </w:pPr>
            <w:r w:rsidRPr="00B42397">
              <w:t>The recommended dose of lenalidomide is 25 mg orally once daily on Days 1-21 of repeated 28-day cycles, and at least 2 hours after elotuzumab administration when on the same day.</w:t>
            </w:r>
          </w:p>
          <w:p w14:paraId="40D00177" w14:textId="77777777" w:rsidR="004F48C4" w:rsidRPr="00B42397" w:rsidRDefault="004F48C4" w:rsidP="00173108">
            <w:pPr>
              <w:pStyle w:val="Tabletext"/>
              <w:numPr>
                <w:ilvl w:val="0"/>
                <w:numId w:val="8"/>
              </w:numPr>
              <w:ind w:left="342"/>
            </w:pPr>
            <w:r w:rsidRPr="00B42397">
              <w:t xml:space="preserve">On weeks without elotuzumab, the recommended dose of dexamethasone is 40 mg administered orally on Days 1, 8, 15 and 22 of repeated 28-day cycles; on weeks with elotuzumab, the recommended dose is 28 mg orally (3-24 hours prior to elotuzumab) and 8 mg intravenously (45-90 minutes prior to elotuzumab). </w:t>
            </w:r>
          </w:p>
          <w:p w14:paraId="06D51823" w14:textId="77777777" w:rsidR="004F48C4" w:rsidRPr="00B42397" w:rsidRDefault="004F48C4" w:rsidP="00AD4D6B">
            <w:pPr>
              <w:pStyle w:val="TableText0"/>
            </w:pPr>
            <w:r w:rsidRPr="00B42397">
              <w:t xml:space="preserve">Treatment with </w:t>
            </w:r>
            <w:proofErr w:type="spellStart"/>
            <w:r w:rsidR="001F5659" w:rsidRPr="00B42397">
              <w:t>ELd</w:t>
            </w:r>
            <w:proofErr w:type="spellEnd"/>
            <w:r w:rsidRPr="00B42397">
              <w:t xml:space="preserve"> should continue until disease progression or unacceptable toxicity.</w:t>
            </w:r>
          </w:p>
        </w:tc>
      </w:tr>
      <w:tr w:rsidR="004F48C4" w:rsidRPr="00B42397" w14:paraId="5285D9CD" w14:textId="77777777" w:rsidTr="00AD4D6B">
        <w:tc>
          <w:tcPr>
            <w:tcW w:w="1668" w:type="dxa"/>
            <w:vAlign w:val="center"/>
          </w:tcPr>
          <w:p w14:paraId="32BAE968" w14:textId="77777777" w:rsidR="004F48C4" w:rsidRPr="00B42397" w:rsidRDefault="004F48C4" w:rsidP="00AD4D6B">
            <w:pPr>
              <w:pStyle w:val="TableText0"/>
            </w:pPr>
            <w:r w:rsidRPr="00B42397">
              <w:t>Comparator</w:t>
            </w:r>
          </w:p>
        </w:tc>
        <w:tc>
          <w:tcPr>
            <w:tcW w:w="7488" w:type="dxa"/>
            <w:tcBorders>
              <w:top w:val="single" w:sz="4" w:space="0" w:color="auto"/>
              <w:left w:val="single" w:sz="4" w:space="0" w:color="auto"/>
              <w:bottom w:val="single" w:sz="4" w:space="0" w:color="auto"/>
              <w:right w:val="single" w:sz="4" w:space="0" w:color="auto"/>
            </w:tcBorders>
          </w:tcPr>
          <w:p w14:paraId="4798F899" w14:textId="77777777" w:rsidR="004F48C4" w:rsidRPr="00B42397" w:rsidRDefault="004F48C4" w:rsidP="00AD4D6B">
            <w:pPr>
              <w:pStyle w:val="TableText0"/>
            </w:pPr>
            <w:r w:rsidRPr="00B42397">
              <w:t>Carfilzomib and dexamethasone (Cd)</w:t>
            </w:r>
          </w:p>
        </w:tc>
      </w:tr>
      <w:tr w:rsidR="004F48C4" w:rsidRPr="00B42397" w14:paraId="47FF79A7" w14:textId="77777777" w:rsidTr="00AD4D6B">
        <w:tc>
          <w:tcPr>
            <w:tcW w:w="1668" w:type="dxa"/>
            <w:vAlign w:val="center"/>
          </w:tcPr>
          <w:p w14:paraId="74016D9A" w14:textId="77777777" w:rsidR="004F48C4" w:rsidRPr="00B42397" w:rsidRDefault="004F48C4" w:rsidP="00AD4D6B">
            <w:pPr>
              <w:pStyle w:val="TableText0"/>
            </w:pPr>
            <w:r w:rsidRPr="00B42397">
              <w:t>Outcomes</w:t>
            </w:r>
          </w:p>
        </w:tc>
        <w:tc>
          <w:tcPr>
            <w:tcW w:w="7488" w:type="dxa"/>
            <w:tcBorders>
              <w:top w:val="single" w:sz="4" w:space="0" w:color="auto"/>
              <w:left w:val="single" w:sz="4" w:space="0" w:color="auto"/>
              <w:bottom w:val="single" w:sz="4" w:space="0" w:color="auto"/>
              <w:right w:val="single" w:sz="4" w:space="0" w:color="auto"/>
            </w:tcBorders>
          </w:tcPr>
          <w:p w14:paraId="75D6AEDE" w14:textId="77777777" w:rsidR="004F48C4" w:rsidRPr="00B42397" w:rsidRDefault="004F48C4" w:rsidP="00AD4D6B">
            <w:pPr>
              <w:pStyle w:val="TableText0"/>
            </w:pPr>
            <w:r w:rsidRPr="00B42397">
              <w:t>Overall survival (OS), progression free survival (PFS), objective response rate (ORR), safety</w:t>
            </w:r>
          </w:p>
        </w:tc>
      </w:tr>
      <w:tr w:rsidR="004F48C4" w:rsidRPr="00B42397" w14:paraId="09545882" w14:textId="77777777" w:rsidTr="00AD4D6B">
        <w:tc>
          <w:tcPr>
            <w:tcW w:w="1668" w:type="dxa"/>
            <w:vAlign w:val="center"/>
          </w:tcPr>
          <w:p w14:paraId="2EEAD103" w14:textId="77777777" w:rsidR="004F48C4" w:rsidRPr="00B42397" w:rsidRDefault="004F48C4" w:rsidP="00AD4D6B">
            <w:pPr>
              <w:pStyle w:val="TableText0"/>
            </w:pPr>
            <w:r w:rsidRPr="00B42397">
              <w:t>Clinical claim</w:t>
            </w:r>
          </w:p>
        </w:tc>
        <w:tc>
          <w:tcPr>
            <w:tcW w:w="7488" w:type="dxa"/>
            <w:tcBorders>
              <w:top w:val="single" w:sz="4" w:space="0" w:color="auto"/>
              <w:left w:val="single" w:sz="4" w:space="0" w:color="auto"/>
              <w:bottom w:val="single" w:sz="4" w:space="0" w:color="auto"/>
              <w:right w:val="single" w:sz="4" w:space="0" w:color="auto"/>
            </w:tcBorders>
          </w:tcPr>
          <w:p w14:paraId="016135A9" w14:textId="77777777" w:rsidR="004F48C4" w:rsidRPr="00B42397" w:rsidRDefault="004F48C4" w:rsidP="00AD4D6B">
            <w:pPr>
              <w:pStyle w:val="TableText0"/>
            </w:pPr>
            <w:r w:rsidRPr="00B42397">
              <w:t xml:space="preserve">In patients with RRMM, </w:t>
            </w:r>
            <w:proofErr w:type="spellStart"/>
            <w:r w:rsidR="001F5659" w:rsidRPr="00B42397">
              <w:t>ELd</w:t>
            </w:r>
            <w:proofErr w:type="spellEnd"/>
            <w:r w:rsidRPr="00B42397">
              <w:t xml:space="preserve"> is non-inferior in terms of comparative effectiveness and has a different, yet non-inferior, safety profile compared with Cd. </w:t>
            </w:r>
          </w:p>
        </w:tc>
      </w:tr>
    </w:tbl>
    <w:p w14:paraId="03D42AFA" w14:textId="77777777" w:rsidR="004F48C4" w:rsidRPr="00B42397" w:rsidRDefault="004F48C4" w:rsidP="004F48C4">
      <w:pPr>
        <w:pStyle w:val="TableFigureFooter"/>
      </w:pPr>
      <w:r w:rsidRPr="00B42397">
        <w:t xml:space="preserve">Source: Table 1.1.1 of the submission. </w:t>
      </w:r>
    </w:p>
    <w:p w14:paraId="7D817D30" w14:textId="77777777" w:rsidR="005C25FF" w:rsidRPr="00B42397" w:rsidRDefault="005C25FF" w:rsidP="004A6040">
      <w:pPr>
        <w:pStyle w:val="2-SectionHeading"/>
      </w:pPr>
      <w:bookmarkStart w:id="2" w:name="_Toc49758135"/>
      <w:r w:rsidRPr="00B42397">
        <w:t>Background</w:t>
      </w:r>
      <w:bookmarkEnd w:id="2"/>
    </w:p>
    <w:p w14:paraId="6BACA41E" w14:textId="77777777" w:rsidR="005C25FF" w:rsidRPr="00B42397" w:rsidRDefault="005C25FF" w:rsidP="004A6040">
      <w:pPr>
        <w:pStyle w:val="4-SubsectionHeading"/>
      </w:pPr>
      <w:bookmarkStart w:id="3" w:name="_Toc22897638"/>
      <w:bookmarkStart w:id="4" w:name="_Toc49758136"/>
      <w:r w:rsidRPr="00B42397">
        <w:t>Registration status</w:t>
      </w:r>
      <w:bookmarkEnd w:id="3"/>
      <w:bookmarkEnd w:id="4"/>
    </w:p>
    <w:p w14:paraId="5920F6ED" w14:textId="77777777" w:rsidR="005C25FF" w:rsidRDefault="004F48C4" w:rsidP="004E18E9">
      <w:pPr>
        <w:pStyle w:val="3-BodyText"/>
      </w:pPr>
      <w:r w:rsidRPr="00B42397">
        <w:rPr>
          <w:color w:val="000000" w:themeColor="text1"/>
        </w:rPr>
        <w:t>Elotuzumab</w:t>
      </w:r>
      <w:r w:rsidR="00271F3B" w:rsidRPr="00B42397">
        <w:rPr>
          <w:color w:val="000000" w:themeColor="text1"/>
        </w:rPr>
        <w:t xml:space="preserve"> in combination with lenalidomide and dexamethasone</w:t>
      </w:r>
      <w:r w:rsidR="005C25FF" w:rsidRPr="00B42397">
        <w:rPr>
          <w:color w:val="000000" w:themeColor="text1"/>
        </w:rPr>
        <w:t xml:space="preserve"> </w:t>
      </w:r>
      <w:r w:rsidR="005C25FF" w:rsidRPr="00B42397">
        <w:t xml:space="preserve">was TGA </w:t>
      </w:r>
      <w:proofErr w:type="gramStart"/>
      <w:r w:rsidR="005C25FF" w:rsidRPr="00B42397">
        <w:t>registered</w:t>
      </w:r>
      <w:proofErr w:type="gramEnd"/>
      <w:r w:rsidR="005C25FF" w:rsidRPr="00B42397">
        <w:t xml:space="preserve"> on </w:t>
      </w:r>
      <w:r w:rsidRPr="00B42397">
        <w:t>22 September 2016</w:t>
      </w:r>
      <w:r w:rsidR="00271F3B" w:rsidRPr="00B42397">
        <w:t xml:space="preserve"> for the treatment of patients with multiple myeloma who have received at least one prior therapy</w:t>
      </w:r>
      <w:r w:rsidR="00FC3E2B" w:rsidRPr="00B42397">
        <w:t>.</w:t>
      </w:r>
      <w:r w:rsidR="005C25FF" w:rsidRPr="00B42397">
        <w:t xml:space="preserve"> </w:t>
      </w:r>
    </w:p>
    <w:p w14:paraId="60ADCED1" w14:textId="77777777" w:rsidR="00DC7B59" w:rsidRPr="00B42397" w:rsidRDefault="00DC7B59" w:rsidP="004E18E9">
      <w:pPr>
        <w:pStyle w:val="3-BodyText"/>
      </w:pPr>
      <w:r>
        <w:rPr>
          <w:color w:val="000000" w:themeColor="text1"/>
        </w:rPr>
        <w:t xml:space="preserve">This was the first consideration of </w:t>
      </w:r>
      <w:proofErr w:type="spellStart"/>
      <w:r>
        <w:rPr>
          <w:color w:val="000000" w:themeColor="text1"/>
        </w:rPr>
        <w:t>ELd</w:t>
      </w:r>
      <w:proofErr w:type="spellEnd"/>
      <w:r>
        <w:rPr>
          <w:color w:val="000000" w:themeColor="text1"/>
        </w:rPr>
        <w:t xml:space="preserve"> by the PBAC.</w:t>
      </w:r>
    </w:p>
    <w:p w14:paraId="06E41746" w14:textId="77777777" w:rsidR="00B47906" w:rsidRPr="00B42397" w:rsidRDefault="00B47906" w:rsidP="00B47906">
      <w:pPr>
        <w:pStyle w:val="3-BodyText"/>
        <w:numPr>
          <w:ilvl w:val="0"/>
          <w:numId w:val="0"/>
        </w:numPr>
        <w:ind w:firstLine="720"/>
        <w:rPr>
          <w:i/>
        </w:rPr>
      </w:pPr>
      <w:r w:rsidRPr="00B42397">
        <w:rPr>
          <w:i/>
          <w:color w:val="000000" w:themeColor="text1"/>
        </w:rPr>
        <w:lastRenderedPageBreak/>
        <w:t>For more detail on PBAC’s view, see section 7 PBAC outcome.</w:t>
      </w:r>
    </w:p>
    <w:p w14:paraId="775D88C1" w14:textId="77777777" w:rsidR="00B60939" w:rsidRPr="00B42397" w:rsidRDefault="00B50DB8" w:rsidP="004E18E9">
      <w:pPr>
        <w:pStyle w:val="2-SectionHeading"/>
      </w:pPr>
      <w:bookmarkStart w:id="5" w:name="_Toc49758137"/>
      <w:r w:rsidRPr="00B42397">
        <w:t>Requested listing</w:t>
      </w:r>
      <w:bookmarkEnd w:id="5"/>
    </w:p>
    <w:tbl>
      <w:tblPr>
        <w:tblW w:w="4977" w:type="pct"/>
        <w:tblInd w:w="28" w:type="dxa"/>
        <w:tblCellMar>
          <w:left w:w="28" w:type="dxa"/>
          <w:right w:w="28" w:type="dxa"/>
        </w:tblCellMar>
        <w:tblLook w:val="0000" w:firstRow="0" w:lastRow="0" w:firstColumn="0" w:lastColumn="0" w:noHBand="0" w:noVBand="0"/>
      </w:tblPr>
      <w:tblGrid>
        <w:gridCol w:w="1812"/>
        <w:gridCol w:w="1136"/>
        <w:gridCol w:w="852"/>
        <w:gridCol w:w="1276"/>
        <w:gridCol w:w="1986"/>
        <w:gridCol w:w="1923"/>
      </w:tblGrid>
      <w:tr w:rsidR="003517F9" w:rsidRPr="00B42397" w14:paraId="54CF8112" w14:textId="77777777" w:rsidTr="00C614A2">
        <w:trPr>
          <w:cantSplit/>
          <w:trHeight w:val="463"/>
        </w:trPr>
        <w:tc>
          <w:tcPr>
            <w:tcW w:w="1641" w:type="pct"/>
            <w:gridSpan w:val="2"/>
            <w:tcBorders>
              <w:top w:val="single" w:sz="4" w:space="0" w:color="auto"/>
              <w:bottom w:val="single" w:sz="4" w:space="0" w:color="auto"/>
            </w:tcBorders>
            <w:vAlign w:val="center"/>
          </w:tcPr>
          <w:p w14:paraId="5A545A62" w14:textId="77777777" w:rsidR="00617E12" w:rsidRPr="00B42397" w:rsidRDefault="00617E12" w:rsidP="00617E12">
            <w:pPr>
              <w:keepNext/>
              <w:jc w:val="left"/>
              <w:rPr>
                <w:rFonts w:ascii="Arial Narrow" w:hAnsi="Arial Narrow"/>
                <w:b/>
                <w:sz w:val="20"/>
              </w:rPr>
            </w:pPr>
            <w:r w:rsidRPr="00B42397">
              <w:rPr>
                <w:rFonts w:ascii="Arial Narrow" w:hAnsi="Arial Narrow"/>
                <w:b/>
                <w:sz w:val="20"/>
              </w:rPr>
              <w:t>Name, Restriction,</w:t>
            </w:r>
          </w:p>
          <w:p w14:paraId="711C4E9F" w14:textId="77777777" w:rsidR="00617E12" w:rsidRPr="00B42397" w:rsidRDefault="00617E12" w:rsidP="00617E12">
            <w:pPr>
              <w:keepNext/>
              <w:jc w:val="left"/>
              <w:rPr>
                <w:rFonts w:ascii="Arial Narrow" w:hAnsi="Arial Narrow"/>
                <w:b/>
                <w:sz w:val="20"/>
              </w:rPr>
            </w:pPr>
            <w:r w:rsidRPr="00B42397">
              <w:rPr>
                <w:rFonts w:ascii="Arial Narrow" w:hAnsi="Arial Narrow"/>
                <w:b/>
                <w:sz w:val="20"/>
              </w:rPr>
              <w:t>Manner of administration and form</w:t>
            </w:r>
          </w:p>
        </w:tc>
        <w:tc>
          <w:tcPr>
            <w:tcW w:w="474" w:type="pct"/>
            <w:tcBorders>
              <w:top w:val="single" w:sz="4" w:space="0" w:color="auto"/>
              <w:bottom w:val="single" w:sz="4" w:space="0" w:color="auto"/>
            </w:tcBorders>
            <w:vAlign w:val="center"/>
          </w:tcPr>
          <w:p w14:paraId="66010E9D" w14:textId="77777777" w:rsidR="00617E12" w:rsidRPr="00B42397" w:rsidRDefault="008B1757" w:rsidP="00C614A2">
            <w:pPr>
              <w:keepNext/>
              <w:jc w:val="center"/>
              <w:rPr>
                <w:rFonts w:ascii="Arial Narrow" w:hAnsi="Arial Narrow"/>
                <w:b/>
                <w:sz w:val="20"/>
              </w:rPr>
            </w:pPr>
            <w:r w:rsidRPr="00B42397">
              <w:rPr>
                <w:rFonts w:ascii="Arial Narrow" w:hAnsi="Arial Narrow"/>
                <w:b/>
                <w:sz w:val="20"/>
              </w:rPr>
              <w:t xml:space="preserve">Max </w:t>
            </w:r>
            <w:proofErr w:type="spellStart"/>
            <w:r w:rsidRPr="00B42397">
              <w:rPr>
                <w:rFonts w:ascii="Arial Narrow" w:hAnsi="Arial Narrow"/>
                <w:b/>
                <w:sz w:val="20"/>
              </w:rPr>
              <w:t>Amt</w:t>
            </w:r>
            <w:proofErr w:type="spellEnd"/>
          </w:p>
        </w:tc>
        <w:tc>
          <w:tcPr>
            <w:tcW w:w="710" w:type="pct"/>
            <w:tcBorders>
              <w:top w:val="single" w:sz="4" w:space="0" w:color="auto"/>
              <w:bottom w:val="single" w:sz="4" w:space="0" w:color="auto"/>
            </w:tcBorders>
            <w:vAlign w:val="center"/>
          </w:tcPr>
          <w:p w14:paraId="519A89C1" w14:textId="77777777" w:rsidR="00617E12" w:rsidRPr="00B42397" w:rsidRDefault="00617E12" w:rsidP="00CC3E50">
            <w:pPr>
              <w:keepNext/>
              <w:jc w:val="center"/>
              <w:rPr>
                <w:rFonts w:ascii="Arial Narrow" w:hAnsi="Arial Narrow"/>
                <w:b/>
                <w:sz w:val="20"/>
              </w:rPr>
            </w:pPr>
            <w:r w:rsidRPr="00B42397">
              <w:rPr>
                <w:rFonts w:ascii="Arial Narrow" w:hAnsi="Arial Narrow" w:cs="Times New Roman"/>
                <w:b/>
                <w:sz w:val="20"/>
              </w:rPr>
              <w:t>№</w:t>
            </w:r>
            <w:r w:rsidRPr="00B42397">
              <w:rPr>
                <w:rFonts w:ascii="Arial Narrow" w:hAnsi="Arial Narrow"/>
                <w:b/>
                <w:sz w:val="20"/>
              </w:rPr>
              <w:t>.of</w:t>
            </w:r>
            <w:r w:rsidR="00CC3E50" w:rsidRPr="00B42397">
              <w:rPr>
                <w:rFonts w:ascii="Arial Narrow" w:hAnsi="Arial Narrow"/>
                <w:b/>
                <w:sz w:val="20"/>
              </w:rPr>
              <w:t xml:space="preserve"> </w:t>
            </w:r>
            <w:r w:rsidR="00CC3E50" w:rsidRPr="00B42397">
              <w:rPr>
                <w:rFonts w:ascii="Arial Narrow" w:hAnsi="Arial Narrow"/>
                <w:b/>
                <w:sz w:val="20"/>
              </w:rPr>
              <w:br/>
            </w:r>
            <w:proofErr w:type="spellStart"/>
            <w:r w:rsidRPr="00B42397">
              <w:rPr>
                <w:rFonts w:ascii="Arial Narrow" w:hAnsi="Arial Narrow"/>
                <w:b/>
                <w:sz w:val="20"/>
              </w:rPr>
              <w:t>Rpts</w:t>
            </w:r>
            <w:proofErr w:type="spellEnd"/>
          </w:p>
        </w:tc>
        <w:tc>
          <w:tcPr>
            <w:tcW w:w="1105" w:type="pct"/>
            <w:tcBorders>
              <w:top w:val="single" w:sz="4" w:space="0" w:color="auto"/>
              <w:bottom w:val="single" w:sz="4" w:space="0" w:color="auto"/>
            </w:tcBorders>
            <w:vAlign w:val="center"/>
          </w:tcPr>
          <w:p w14:paraId="30A3A075" w14:textId="77777777" w:rsidR="00617E12" w:rsidRPr="00B42397" w:rsidRDefault="00591957" w:rsidP="00C614A2">
            <w:pPr>
              <w:keepNext/>
              <w:jc w:val="center"/>
              <w:rPr>
                <w:rFonts w:ascii="Arial Narrow" w:hAnsi="Arial Narrow"/>
                <w:b/>
                <w:sz w:val="20"/>
              </w:rPr>
            </w:pPr>
            <w:r w:rsidRPr="00B42397">
              <w:rPr>
                <w:rFonts w:ascii="Arial Narrow" w:hAnsi="Arial Narrow"/>
                <w:b/>
                <w:sz w:val="20"/>
              </w:rPr>
              <w:t xml:space="preserve">Dispensed Price </w:t>
            </w:r>
            <w:r w:rsidR="00CC3E50" w:rsidRPr="00B42397">
              <w:rPr>
                <w:rFonts w:ascii="Arial Narrow" w:hAnsi="Arial Narrow"/>
                <w:b/>
                <w:sz w:val="20"/>
              </w:rPr>
              <w:br/>
            </w:r>
            <w:r w:rsidRPr="00B42397">
              <w:rPr>
                <w:rFonts w:ascii="Arial Narrow" w:hAnsi="Arial Narrow"/>
                <w:b/>
                <w:sz w:val="20"/>
              </w:rPr>
              <w:t xml:space="preserve">Max </w:t>
            </w:r>
            <w:proofErr w:type="spellStart"/>
            <w:r w:rsidRPr="00B42397">
              <w:rPr>
                <w:rFonts w:ascii="Arial Narrow" w:hAnsi="Arial Narrow"/>
                <w:b/>
                <w:sz w:val="20"/>
              </w:rPr>
              <w:t>Amt</w:t>
            </w:r>
            <w:proofErr w:type="spellEnd"/>
          </w:p>
        </w:tc>
        <w:tc>
          <w:tcPr>
            <w:tcW w:w="1070" w:type="pct"/>
            <w:tcBorders>
              <w:top w:val="single" w:sz="4" w:space="0" w:color="auto"/>
              <w:bottom w:val="single" w:sz="4" w:space="0" w:color="auto"/>
            </w:tcBorders>
            <w:vAlign w:val="center"/>
          </w:tcPr>
          <w:p w14:paraId="104F7F33" w14:textId="77777777" w:rsidR="00617E12" w:rsidRPr="00B42397" w:rsidRDefault="00617E12" w:rsidP="00617E12">
            <w:pPr>
              <w:keepNext/>
              <w:jc w:val="center"/>
              <w:rPr>
                <w:rFonts w:ascii="Arial Narrow" w:hAnsi="Arial Narrow"/>
                <w:b/>
                <w:sz w:val="20"/>
              </w:rPr>
            </w:pPr>
            <w:r w:rsidRPr="00B42397">
              <w:rPr>
                <w:rFonts w:ascii="Arial Narrow" w:hAnsi="Arial Narrow"/>
                <w:b/>
                <w:sz w:val="20"/>
              </w:rPr>
              <w:t>Proprietary Name and Manufacturer</w:t>
            </w:r>
          </w:p>
        </w:tc>
      </w:tr>
      <w:tr w:rsidR="00C614A2" w:rsidRPr="00B42397" w14:paraId="06EBBDF9" w14:textId="77777777" w:rsidTr="00C614A2">
        <w:trPr>
          <w:cantSplit/>
          <w:trHeight w:val="567"/>
        </w:trPr>
        <w:tc>
          <w:tcPr>
            <w:tcW w:w="1641" w:type="pct"/>
            <w:gridSpan w:val="2"/>
            <w:tcBorders>
              <w:top w:val="single" w:sz="4" w:space="0" w:color="auto"/>
            </w:tcBorders>
            <w:vAlign w:val="center"/>
          </w:tcPr>
          <w:p w14:paraId="37977C90" w14:textId="77777777" w:rsidR="001F5659" w:rsidRPr="00B42397" w:rsidRDefault="00C614A2" w:rsidP="00CB3BB1">
            <w:pPr>
              <w:pStyle w:val="Tabletext"/>
              <w:rPr>
                <w:szCs w:val="20"/>
              </w:rPr>
            </w:pPr>
            <w:r w:rsidRPr="00B42397">
              <w:rPr>
                <w:szCs w:val="20"/>
              </w:rPr>
              <w:t xml:space="preserve">Elotuzumab, vial 400 mg </w:t>
            </w:r>
          </w:p>
          <w:p w14:paraId="49925ECD" w14:textId="77777777" w:rsidR="00C614A2" w:rsidRPr="00B42397" w:rsidRDefault="001F5659" w:rsidP="001F5659">
            <w:pPr>
              <w:pStyle w:val="Tabletext"/>
              <w:rPr>
                <w:szCs w:val="20"/>
              </w:rPr>
            </w:pPr>
            <w:r w:rsidRPr="00B42397">
              <w:rPr>
                <w:szCs w:val="20"/>
              </w:rPr>
              <w:t xml:space="preserve">Elotuzumab, vial </w:t>
            </w:r>
            <w:r w:rsidR="00C614A2" w:rsidRPr="00B42397">
              <w:rPr>
                <w:szCs w:val="20"/>
              </w:rPr>
              <w:t>300 mg</w:t>
            </w:r>
          </w:p>
        </w:tc>
        <w:tc>
          <w:tcPr>
            <w:tcW w:w="474" w:type="pct"/>
            <w:tcBorders>
              <w:top w:val="single" w:sz="4" w:space="0" w:color="auto"/>
            </w:tcBorders>
            <w:vAlign w:val="center"/>
          </w:tcPr>
          <w:p w14:paraId="0F4BCB0C" w14:textId="77777777" w:rsidR="00C614A2" w:rsidRPr="00B42397" w:rsidRDefault="00C614A2" w:rsidP="00C614A2">
            <w:pPr>
              <w:keepNext/>
              <w:jc w:val="center"/>
              <w:rPr>
                <w:rFonts w:ascii="Arial Narrow" w:hAnsi="Arial Narrow"/>
                <w:sz w:val="20"/>
                <w:szCs w:val="20"/>
              </w:rPr>
            </w:pPr>
            <w:r w:rsidRPr="00B42397">
              <w:rPr>
                <w:rFonts w:ascii="Arial Narrow" w:hAnsi="Arial Narrow"/>
                <w:sz w:val="20"/>
                <w:szCs w:val="20"/>
              </w:rPr>
              <w:t>1,200 mg</w:t>
            </w:r>
          </w:p>
        </w:tc>
        <w:tc>
          <w:tcPr>
            <w:tcW w:w="710" w:type="pct"/>
            <w:tcBorders>
              <w:top w:val="single" w:sz="4" w:space="0" w:color="auto"/>
            </w:tcBorders>
            <w:vAlign w:val="center"/>
          </w:tcPr>
          <w:p w14:paraId="69B94667" w14:textId="77777777" w:rsidR="00C614A2" w:rsidRPr="00B42397" w:rsidRDefault="00C614A2" w:rsidP="00C614A2">
            <w:pPr>
              <w:pStyle w:val="Tabletext"/>
              <w:jc w:val="center"/>
              <w:rPr>
                <w:szCs w:val="20"/>
              </w:rPr>
            </w:pPr>
            <w:r w:rsidRPr="00B42397">
              <w:rPr>
                <w:szCs w:val="20"/>
              </w:rPr>
              <w:t>Initial:15</w:t>
            </w:r>
          </w:p>
          <w:p w14:paraId="03CEBC5B" w14:textId="77777777" w:rsidR="00C614A2" w:rsidRPr="00B42397" w:rsidRDefault="00C614A2" w:rsidP="00C614A2">
            <w:pPr>
              <w:keepNext/>
              <w:jc w:val="center"/>
              <w:rPr>
                <w:rFonts w:ascii="Arial Narrow" w:hAnsi="Arial Narrow"/>
                <w:sz w:val="20"/>
                <w:szCs w:val="20"/>
              </w:rPr>
            </w:pPr>
            <w:r w:rsidRPr="00B42397">
              <w:rPr>
                <w:rFonts w:ascii="Arial Narrow" w:hAnsi="Arial Narrow"/>
                <w:sz w:val="20"/>
                <w:szCs w:val="20"/>
              </w:rPr>
              <w:t>Continuing: 11</w:t>
            </w:r>
          </w:p>
        </w:tc>
        <w:tc>
          <w:tcPr>
            <w:tcW w:w="1105" w:type="pct"/>
            <w:tcBorders>
              <w:top w:val="single" w:sz="4" w:space="0" w:color="auto"/>
            </w:tcBorders>
            <w:vAlign w:val="center"/>
          </w:tcPr>
          <w:p w14:paraId="2D1CA7DB" w14:textId="77777777" w:rsidR="00C614A2" w:rsidRPr="00B42397" w:rsidRDefault="00C614A2" w:rsidP="004912C2">
            <w:pPr>
              <w:pStyle w:val="Tabletext"/>
              <w:rPr>
                <w:szCs w:val="20"/>
                <w:u w:val="single"/>
              </w:rPr>
            </w:pPr>
            <w:r w:rsidRPr="00B42397">
              <w:rPr>
                <w:szCs w:val="20"/>
                <w:u w:val="single"/>
              </w:rPr>
              <w:t>Published:</w:t>
            </w:r>
          </w:p>
          <w:p w14:paraId="3F604A42" w14:textId="77777777" w:rsidR="00C614A2" w:rsidRPr="00B42397" w:rsidRDefault="00C614A2" w:rsidP="004912C2">
            <w:pPr>
              <w:pStyle w:val="Tabletext"/>
              <w:rPr>
                <w:szCs w:val="20"/>
              </w:rPr>
            </w:pPr>
            <w:r w:rsidRPr="00B42397">
              <w:rPr>
                <w:szCs w:val="20"/>
              </w:rPr>
              <w:t>Public: $5,035.09</w:t>
            </w:r>
          </w:p>
          <w:p w14:paraId="6C0DADAD" w14:textId="77777777" w:rsidR="00C614A2" w:rsidRPr="00B42397" w:rsidRDefault="00C614A2" w:rsidP="004912C2">
            <w:pPr>
              <w:pStyle w:val="Tabletext"/>
              <w:rPr>
                <w:szCs w:val="20"/>
              </w:rPr>
            </w:pPr>
            <w:r w:rsidRPr="00B42397">
              <w:rPr>
                <w:szCs w:val="20"/>
              </w:rPr>
              <w:t>Private: $5,144.15</w:t>
            </w:r>
          </w:p>
          <w:p w14:paraId="63CCAEAC" w14:textId="77777777" w:rsidR="00C614A2" w:rsidRPr="00B42397" w:rsidRDefault="00C614A2" w:rsidP="004912C2">
            <w:pPr>
              <w:pStyle w:val="Tabletext"/>
              <w:rPr>
                <w:szCs w:val="20"/>
                <w:u w:val="single"/>
              </w:rPr>
            </w:pPr>
            <w:r w:rsidRPr="00B42397">
              <w:rPr>
                <w:szCs w:val="20"/>
                <w:u w:val="single"/>
              </w:rPr>
              <w:t>Effective:</w:t>
            </w:r>
          </w:p>
          <w:p w14:paraId="3E55DAD2" w14:textId="77777777" w:rsidR="00C614A2" w:rsidRPr="00B42397" w:rsidRDefault="00C614A2" w:rsidP="004912C2">
            <w:pPr>
              <w:pStyle w:val="Tabletext"/>
              <w:rPr>
                <w:szCs w:val="20"/>
              </w:rPr>
            </w:pPr>
            <w:r w:rsidRPr="00B42397">
              <w:rPr>
                <w:szCs w:val="20"/>
              </w:rPr>
              <w:t>Public: $</w:t>
            </w:r>
            <w:r w:rsidR="00B51893">
              <w:rPr>
                <w:noProof/>
                <w:color w:val="000000"/>
                <w:szCs w:val="20"/>
                <w:highlight w:val="black"/>
              </w:rPr>
              <w:t>''''''''''''''''''''</w:t>
            </w:r>
            <w:r w:rsidR="005077C4" w:rsidRPr="00B42397">
              <w:rPr>
                <w:szCs w:val="20"/>
              </w:rPr>
              <w:t xml:space="preserve"> </w:t>
            </w:r>
            <w:r w:rsidR="005077C4" w:rsidRPr="00B42397">
              <w:rPr>
                <w:i/>
                <w:iCs/>
                <w:szCs w:val="20"/>
              </w:rPr>
              <w:t>($</w:t>
            </w:r>
            <w:r w:rsidR="00B51893">
              <w:rPr>
                <w:i/>
                <w:iCs/>
                <w:noProof/>
                <w:color w:val="000000"/>
                <w:szCs w:val="20"/>
                <w:highlight w:val="black"/>
              </w:rPr>
              <w:t>'''''''''''''''''''''</w:t>
            </w:r>
            <w:r w:rsidR="005077C4" w:rsidRPr="00B42397">
              <w:rPr>
                <w:szCs w:val="20"/>
              </w:rPr>
              <w:t>)</w:t>
            </w:r>
          </w:p>
          <w:p w14:paraId="7EB87810" w14:textId="77777777" w:rsidR="00C614A2" w:rsidRPr="00B42397" w:rsidRDefault="00C614A2" w:rsidP="008B410D">
            <w:pPr>
              <w:pStyle w:val="Tabletext"/>
              <w:rPr>
                <w:szCs w:val="20"/>
              </w:rPr>
            </w:pPr>
            <w:r w:rsidRPr="00B42397">
              <w:rPr>
                <w:szCs w:val="20"/>
              </w:rPr>
              <w:t>Private: $</w:t>
            </w:r>
            <w:r w:rsidR="00B51893">
              <w:rPr>
                <w:noProof/>
                <w:color w:val="000000"/>
                <w:szCs w:val="20"/>
                <w:highlight w:val="black"/>
              </w:rPr>
              <w:t>'''''''''''''''''''''</w:t>
            </w:r>
            <w:r w:rsidR="005077C4" w:rsidRPr="00B42397">
              <w:rPr>
                <w:szCs w:val="20"/>
              </w:rPr>
              <w:t xml:space="preserve"> </w:t>
            </w:r>
            <w:r w:rsidR="005077C4" w:rsidRPr="00B42397">
              <w:rPr>
                <w:i/>
                <w:iCs/>
                <w:szCs w:val="20"/>
              </w:rPr>
              <w:t>(</w:t>
            </w:r>
            <w:r w:rsidR="00A35D77" w:rsidRPr="00B42397">
              <w:rPr>
                <w:i/>
                <w:iCs/>
                <w:szCs w:val="20"/>
              </w:rPr>
              <w:t>$</w:t>
            </w:r>
            <w:r w:rsidR="00B51893">
              <w:rPr>
                <w:i/>
                <w:iCs/>
                <w:noProof/>
                <w:color w:val="000000"/>
                <w:szCs w:val="20"/>
                <w:highlight w:val="black"/>
              </w:rPr>
              <w:t>''''''''''''''''''''''</w:t>
            </w:r>
            <w:r w:rsidR="00A35D77" w:rsidRPr="00B42397">
              <w:rPr>
                <w:szCs w:val="20"/>
              </w:rPr>
              <w:t>)</w:t>
            </w:r>
          </w:p>
          <w:p w14:paraId="05E2EC7C" w14:textId="77777777" w:rsidR="00C614A2" w:rsidRPr="00B42397" w:rsidRDefault="00C614A2" w:rsidP="008B410D">
            <w:pPr>
              <w:pStyle w:val="Tabletext"/>
              <w:rPr>
                <w:szCs w:val="20"/>
              </w:rPr>
            </w:pPr>
          </w:p>
        </w:tc>
        <w:tc>
          <w:tcPr>
            <w:tcW w:w="1070" w:type="pct"/>
            <w:tcBorders>
              <w:top w:val="single" w:sz="4" w:space="0" w:color="auto"/>
            </w:tcBorders>
            <w:vAlign w:val="center"/>
          </w:tcPr>
          <w:p w14:paraId="6D970F76" w14:textId="77777777" w:rsidR="00C614A2" w:rsidRPr="00B42397" w:rsidRDefault="00C614A2" w:rsidP="004912C2">
            <w:pPr>
              <w:pStyle w:val="Tabletext"/>
              <w:rPr>
                <w:szCs w:val="20"/>
              </w:rPr>
            </w:pPr>
            <w:r w:rsidRPr="00B42397">
              <w:rPr>
                <w:szCs w:val="20"/>
              </w:rPr>
              <w:t>EMPLICITI®</w:t>
            </w:r>
          </w:p>
          <w:p w14:paraId="57390778" w14:textId="77777777" w:rsidR="00C614A2" w:rsidRPr="00B42397" w:rsidRDefault="00C614A2" w:rsidP="004912C2">
            <w:pPr>
              <w:keepNext/>
              <w:jc w:val="left"/>
              <w:rPr>
                <w:rFonts w:ascii="Arial Narrow" w:hAnsi="Arial Narrow"/>
                <w:sz w:val="20"/>
                <w:szCs w:val="20"/>
              </w:rPr>
            </w:pPr>
          </w:p>
          <w:p w14:paraId="41E06C1F" w14:textId="77777777" w:rsidR="00C614A2" w:rsidRPr="00B42397" w:rsidRDefault="00C614A2" w:rsidP="004912C2">
            <w:pPr>
              <w:keepNext/>
              <w:jc w:val="left"/>
              <w:rPr>
                <w:rFonts w:ascii="Arial Narrow" w:hAnsi="Arial Narrow"/>
                <w:sz w:val="20"/>
                <w:szCs w:val="20"/>
              </w:rPr>
            </w:pPr>
            <w:r w:rsidRPr="00B42397">
              <w:rPr>
                <w:rFonts w:ascii="Arial Narrow" w:hAnsi="Arial Narrow"/>
                <w:sz w:val="20"/>
                <w:szCs w:val="20"/>
              </w:rPr>
              <w:t>Bristol-Myers Squibb Australia Pty Ltd</w:t>
            </w:r>
          </w:p>
          <w:p w14:paraId="59A0BFD2" w14:textId="77777777" w:rsidR="00C614A2" w:rsidRPr="00B42397" w:rsidRDefault="00C614A2" w:rsidP="004912C2">
            <w:pPr>
              <w:keepNext/>
              <w:jc w:val="left"/>
              <w:rPr>
                <w:rFonts w:ascii="Arial Narrow" w:hAnsi="Arial Narrow"/>
                <w:sz w:val="20"/>
                <w:szCs w:val="20"/>
              </w:rPr>
            </w:pPr>
          </w:p>
        </w:tc>
      </w:tr>
      <w:tr w:rsidR="00542C2D" w:rsidRPr="00B42397" w14:paraId="79A9852B" w14:textId="77777777" w:rsidTr="00770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9" w:type="pct"/>
            <w:tcBorders>
              <w:top w:val="single" w:sz="4" w:space="0" w:color="auto"/>
              <w:left w:val="single" w:sz="4" w:space="0" w:color="auto"/>
              <w:bottom w:val="single" w:sz="4" w:space="0" w:color="auto"/>
              <w:right w:val="single" w:sz="4" w:space="0" w:color="auto"/>
            </w:tcBorders>
            <w:hideMark/>
          </w:tcPr>
          <w:p w14:paraId="1CE3B567" w14:textId="77777777" w:rsidR="00542C2D" w:rsidRPr="00B42397" w:rsidRDefault="00591957" w:rsidP="00591957">
            <w:pPr>
              <w:pStyle w:val="Tabletext"/>
              <w:rPr>
                <w:b/>
              </w:rPr>
            </w:pPr>
            <w:r w:rsidRPr="00B42397">
              <w:rPr>
                <w:b/>
              </w:rPr>
              <w:t>Category/Program:</w:t>
            </w:r>
          </w:p>
        </w:tc>
        <w:tc>
          <w:tcPr>
            <w:tcW w:w="3991" w:type="pct"/>
            <w:gridSpan w:val="5"/>
            <w:tcBorders>
              <w:top w:val="single" w:sz="4" w:space="0" w:color="auto"/>
              <w:left w:val="single" w:sz="4" w:space="0" w:color="auto"/>
              <w:bottom w:val="single" w:sz="4" w:space="0" w:color="auto"/>
              <w:right w:val="single" w:sz="4" w:space="0" w:color="auto"/>
            </w:tcBorders>
          </w:tcPr>
          <w:p w14:paraId="66B2EFE1" w14:textId="77777777" w:rsidR="00542C2D" w:rsidRPr="00B42397" w:rsidRDefault="00BD6D64" w:rsidP="00591957">
            <w:pPr>
              <w:pStyle w:val="Tabletext"/>
            </w:pPr>
            <w:r w:rsidRPr="00B42397">
              <w:t>Section 100 – Efficient Funding of Chemotherapy</w:t>
            </w:r>
          </w:p>
        </w:tc>
      </w:tr>
      <w:tr w:rsidR="00542C2D" w:rsidRPr="00B42397" w14:paraId="7DBAFAA3" w14:textId="77777777" w:rsidTr="00770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9" w:type="pct"/>
            <w:tcBorders>
              <w:top w:val="single" w:sz="4" w:space="0" w:color="auto"/>
              <w:left w:val="single" w:sz="4" w:space="0" w:color="auto"/>
              <w:bottom w:val="single" w:sz="4" w:space="0" w:color="auto"/>
              <w:right w:val="single" w:sz="4" w:space="0" w:color="auto"/>
            </w:tcBorders>
            <w:hideMark/>
          </w:tcPr>
          <w:p w14:paraId="7766BB2D" w14:textId="77777777" w:rsidR="00542C2D" w:rsidRPr="00B42397" w:rsidRDefault="00591957" w:rsidP="00591957">
            <w:pPr>
              <w:pStyle w:val="Tabletext"/>
              <w:rPr>
                <w:b/>
              </w:rPr>
            </w:pPr>
            <w:r w:rsidRPr="00B42397">
              <w:rPr>
                <w:b/>
              </w:rPr>
              <w:t>PBS indication:</w:t>
            </w:r>
          </w:p>
        </w:tc>
        <w:tc>
          <w:tcPr>
            <w:tcW w:w="3991" w:type="pct"/>
            <w:gridSpan w:val="5"/>
            <w:tcBorders>
              <w:top w:val="single" w:sz="4" w:space="0" w:color="auto"/>
              <w:left w:val="single" w:sz="4" w:space="0" w:color="auto"/>
              <w:bottom w:val="single" w:sz="4" w:space="0" w:color="auto"/>
              <w:right w:val="single" w:sz="4" w:space="0" w:color="auto"/>
            </w:tcBorders>
          </w:tcPr>
          <w:p w14:paraId="3B27B797" w14:textId="77777777" w:rsidR="00542C2D" w:rsidRPr="00B42397" w:rsidRDefault="00BD6D64" w:rsidP="00591957">
            <w:pPr>
              <w:pStyle w:val="Tabletext"/>
            </w:pPr>
            <w:r w:rsidRPr="00B42397">
              <w:t>Relapsed or refractory multiple myeloma</w:t>
            </w:r>
          </w:p>
        </w:tc>
      </w:tr>
      <w:tr w:rsidR="00542C2D" w:rsidRPr="00B42397" w14:paraId="0E29C576" w14:textId="77777777" w:rsidTr="00770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9" w:type="pct"/>
            <w:tcBorders>
              <w:top w:val="single" w:sz="4" w:space="0" w:color="auto"/>
              <w:left w:val="single" w:sz="4" w:space="0" w:color="auto"/>
              <w:bottom w:val="single" w:sz="4" w:space="0" w:color="auto"/>
              <w:right w:val="single" w:sz="4" w:space="0" w:color="auto"/>
            </w:tcBorders>
            <w:hideMark/>
          </w:tcPr>
          <w:p w14:paraId="092E36CE" w14:textId="77777777" w:rsidR="00542C2D" w:rsidRPr="00B42397" w:rsidRDefault="00591957" w:rsidP="00591957">
            <w:pPr>
              <w:pStyle w:val="Tabletext"/>
              <w:rPr>
                <w:b/>
              </w:rPr>
            </w:pPr>
            <w:r w:rsidRPr="00B42397">
              <w:rPr>
                <w:b/>
              </w:rPr>
              <w:t>Treatment phase:</w:t>
            </w:r>
          </w:p>
        </w:tc>
        <w:tc>
          <w:tcPr>
            <w:tcW w:w="3991" w:type="pct"/>
            <w:gridSpan w:val="5"/>
            <w:tcBorders>
              <w:top w:val="single" w:sz="4" w:space="0" w:color="auto"/>
              <w:left w:val="single" w:sz="4" w:space="0" w:color="auto"/>
              <w:bottom w:val="single" w:sz="4" w:space="0" w:color="auto"/>
              <w:right w:val="single" w:sz="4" w:space="0" w:color="auto"/>
            </w:tcBorders>
          </w:tcPr>
          <w:p w14:paraId="4CF92C6A" w14:textId="77777777" w:rsidR="00542C2D" w:rsidRPr="00B42397" w:rsidRDefault="00BD6D64" w:rsidP="00BD1CCB">
            <w:pPr>
              <w:pStyle w:val="Tabletext"/>
            </w:pPr>
            <w:r w:rsidRPr="00B42397">
              <w:t>Initial and Continuing</w:t>
            </w:r>
          </w:p>
        </w:tc>
      </w:tr>
      <w:tr w:rsidR="00542C2D" w:rsidRPr="00B42397" w14:paraId="138930D3" w14:textId="77777777" w:rsidTr="00770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9" w:type="pct"/>
            <w:tcBorders>
              <w:top w:val="single" w:sz="4" w:space="0" w:color="auto"/>
              <w:left w:val="single" w:sz="4" w:space="0" w:color="auto"/>
              <w:bottom w:val="single" w:sz="4" w:space="0" w:color="auto"/>
              <w:right w:val="single" w:sz="4" w:space="0" w:color="auto"/>
            </w:tcBorders>
            <w:hideMark/>
          </w:tcPr>
          <w:p w14:paraId="7389095E" w14:textId="77777777" w:rsidR="00542C2D" w:rsidRPr="00B42397" w:rsidRDefault="00542C2D" w:rsidP="00591957">
            <w:pPr>
              <w:pStyle w:val="Tabletext"/>
              <w:rPr>
                <w:b/>
              </w:rPr>
            </w:pPr>
            <w:r w:rsidRPr="00B42397">
              <w:rPr>
                <w:b/>
              </w:rPr>
              <w:t>Restriction</w:t>
            </w:r>
            <w:r w:rsidR="00591957" w:rsidRPr="00B42397">
              <w:rPr>
                <w:b/>
              </w:rPr>
              <w:t>:</w:t>
            </w:r>
          </w:p>
        </w:tc>
        <w:tc>
          <w:tcPr>
            <w:tcW w:w="3991" w:type="pct"/>
            <w:gridSpan w:val="5"/>
            <w:tcBorders>
              <w:top w:val="single" w:sz="4" w:space="0" w:color="auto"/>
              <w:left w:val="single" w:sz="4" w:space="0" w:color="auto"/>
              <w:bottom w:val="single" w:sz="4" w:space="0" w:color="auto"/>
              <w:right w:val="single" w:sz="4" w:space="0" w:color="auto"/>
            </w:tcBorders>
          </w:tcPr>
          <w:p w14:paraId="6B39629E" w14:textId="77777777" w:rsidR="00542C2D" w:rsidRPr="00B42397" w:rsidRDefault="00BD6D64" w:rsidP="00591957">
            <w:pPr>
              <w:pStyle w:val="Tabletext"/>
            </w:pPr>
            <w:r w:rsidRPr="00B42397">
              <w:t>Authority Required – Telephone, Electronic</w:t>
            </w:r>
          </w:p>
        </w:tc>
      </w:tr>
      <w:tr w:rsidR="00BD6D64" w:rsidRPr="00B42397" w14:paraId="6791C47B" w14:textId="77777777" w:rsidTr="00770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9" w:type="pct"/>
            <w:tcBorders>
              <w:top w:val="single" w:sz="4" w:space="0" w:color="auto"/>
              <w:left w:val="single" w:sz="4" w:space="0" w:color="auto"/>
              <w:bottom w:val="single" w:sz="4" w:space="0" w:color="auto"/>
              <w:right w:val="single" w:sz="4" w:space="0" w:color="auto"/>
            </w:tcBorders>
            <w:hideMark/>
          </w:tcPr>
          <w:p w14:paraId="1122D803" w14:textId="77777777" w:rsidR="00BD6D64" w:rsidRPr="00B42397" w:rsidRDefault="00BD6D64" w:rsidP="00BD6D64">
            <w:pPr>
              <w:pStyle w:val="Tabletext"/>
              <w:rPr>
                <w:b/>
              </w:rPr>
            </w:pPr>
            <w:r w:rsidRPr="00B42397">
              <w:rPr>
                <w:b/>
              </w:rPr>
              <w:t>Clinical criteria:</w:t>
            </w:r>
          </w:p>
        </w:tc>
        <w:tc>
          <w:tcPr>
            <w:tcW w:w="3991" w:type="pct"/>
            <w:gridSpan w:val="5"/>
            <w:tcBorders>
              <w:top w:val="single" w:sz="4" w:space="0" w:color="auto"/>
              <w:left w:val="single" w:sz="4" w:space="0" w:color="auto"/>
              <w:bottom w:val="single" w:sz="4" w:space="0" w:color="auto"/>
              <w:right w:val="single" w:sz="4" w:space="0" w:color="auto"/>
            </w:tcBorders>
          </w:tcPr>
          <w:p w14:paraId="00C597E7" w14:textId="77777777" w:rsidR="00BD6D64" w:rsidRPr="00B42397" w:rsidRDefault="00BD6D64" w:rsidP="00BD6D64">
            <w:pPr>
              <w:pStyle w:val="TableText0"/>
              <w:keepNext w:val="0"/>
              <w:widowControl w:val="0"/>
              <w:rPr>
                <w:rFonts w:cs="Arial"/>
              </w:rPr>
            </w:pPr>
            <w:r w:rsidRPr="00B42397">
              <w:rPr>
                <w:rFonts w:cs="Arial"/>
              </w:rPr>
              <w:t>The condition must be confirmed by a histological diagnosis,</w:t>
            </w:r>
          </w:p>
          <w:p w14:paraId="37611DDC" w14:textId="77777777" w:rsidR="00BD6D64" w:rsidRPr="00B42397" w:rsidRDefault="00BD6D64" w:rsidP="00BD6D64">
            <w:pPr>
              <w:pStyle w:val="TableText0"/>
              <w:keepNext w:val="0"/>
              <w:widowControl w:val="0"/>
              <w:rPr>
                <w:rFonts w:cs="Arial"/>
              </w:rPr>
            </w:pPr>
            <w:r w:rsidRPr="00B42397">
              <w:rPr>
                <w:rFonts w:cs="Arial"/>
              </w:rPr>
              <w:t>AND</w:t>
            </w:r>
          </w:p>
          <w:p w14:paraId="23C34975" w14:textId="77777777" w:rsidR="00BD6D64" w:rsidRPr="00B42397" w:rsidRDefault="00BD6D64" w:rsidP="00BD6D64">
            <w:pPr>
              <w:pStyle w:val="TableText0"/>
              <w:keepNext w:val="0"/>
              <w:widowControl w:val="0"/>
              <w:rPr>
                <w:rFonts w:cs="Arial"/>
              </w:rPr>
            </w:pPr>
            <w:r w:rsidRPr="00B42397">
              <w:rPr>
                <w:rFonts w:cs="Arial"/>
              </w:rPr>
              <w:t>The treatment must be in combination with lenalidomide and dexamethasone,</w:t>
            </w:r>
          </w:p>
          <w:p w14:paraId="15E5C5DA" w14:textId="77777777" w:rsidR="00BD6D64" w:rsidRPr="00B42397" w:rsidRDefault="00BD6D64" w:rsidP="00BD6D64">
            <w:pPr>
              <w:pStyle w:val="TableText0"/>
              <w:keepNext w:val="0"/>
              <w:widowControl w:val="0"/>
              <w:rPr>
                <w:rFonts w:cs="Arial"/>
              </w:rPr>
            </w:pPr>
            <w:r w:rsidRPr="00B42397">
              <w:rPr>
                <w:rFonts w:cs="Arial"/>
              </w:rPr>
              <w:t>AND</w:t>
            </w:r>
          </w:p>
          <w:p w14:paraId="2AE40673" w14:textId="77777777" w:rsidR="00BD6D64" w:rsidRPr="00B42397" w:rsidRDefault="00BD6D64" w:rsidP="00BD6D64">
            <w:pPr>
              <w:pStyle w:val="TableText0"/>
              <w:keepNext w:val="0"/>
              <w:widowControl w:val="0"/>
              <w:rPr>
                <w:rFonts w:cs="Arial"/>
              </w:rPr>
            </w:pPr>
            <w:r w:rsidRPr="00B42397">
              <w:rPr>
                <w:rFonts w:cs="Arial"/>
              </w:rPr>
              <w:t>Patient must have progressive disease after at least one prior therapy,</w:t>
            </w:r>
          </w:p>
          <w:p w14:paraId="08D843D8" w14:textId="77777777" w:rsidR="00BD6D64" w:rsidRPr="00B42397" w:rsidRDefault="00BD6D64" w:rsidP="00BD6D64">
            <w:pPr>
              <w:pStyle w:val="TableText0"/>
              <w:keepNext w:val="0"/>
              <w:widowControl w:val="0"/>
              <w:rPr>
                <w:rFonts w:cs="Arial"/>
              </w:rPr>
            </w:pPr>
            <w:r w:rsidRPr="00B42397">
              <w:rPr>
                <w:rFonts w:cs="Arial"/>
              </w:rPr>
              <w:t>AND</w:t>
            </w:r>
          </w:p>
          <w:p w14:paraId="6BAF75AE" w14:textId="77777777" w:rsidR="00BD6D64" w:rsidRPr="00B42397" w:rsidRDefault="00BD6D64" w:rsidP="00BD6D64">
            <w:pPr>
              <w:pStyle w:val="TableText0"/>
              <w:keepNext w:val="0"/>
              <w:widowControl w:val="0"/>
              <w:rPr>
                <w:rFonts w:cs="Arial"/>
              </w:rPr>
            </w:pPr>
            <w:r w:rsidRPr="00B42397">
              <w:rPr>
                <w:rFonts w:cs="Arial"/>
              </w:rPr>
              <w:t>Patient must have undergone or be ineligible for a stem cell transplant,</w:t>
            </w:r>
          </w:p>
          <w:p w14:paraId="4542879A" w14:textId="77777777" w:rsidR="00BD6D64" w:rsidRPr="00B42397" w:rsidRDefault="00BD6D64" w:rsidP="00BD6D64">
            <w:pPr>
              <w:pStyle w:val="TableText0"/>
              <w:keepNext w:val="0"/>
              <w:widowControl w:val="0"/>
              <w:rPr>
                <w:rFonts w:cs="Arial"/>
              </w:rPr>
            </w:pPr>
            <w:r w:rsidRPr="00B42397">
              <w:rPr>
                <w:rFonts w:cs="Arial"/>
              </w:rPr>
              <w:t>AND</w:t>
            </w:r>
          </w:p>
          <w:p w14:paraId="2458EE4C" w14:textId="77777777" w:rsidR="00BD6D64" w:rsidRPr="00B42397" w:rsidRDefault="00BD6D64" w:rsidP="00BD6D64">
            <w:pPr>
              <w:pStyle w:val="TableText0"/>
              <w:keepNext w:val="0"/>
              <w:widowControl w:val="0"/>
              <w:rPr>
                <w:rFonts w:cs="Arial"/>
              </w:rPr>
            </w:pPr>
            <w:r w:rsidRPr="00B42397">
              <w:rPr>
                <w:rFonts w:cs="Arial"/>
              </w:rPr>
              <w:t>Patient must not be receiving concomitant PBS-subsidised carfilzomib, bortezomib, pomalidomide or thalidomide</w:t>
            </w:r>
          </w:p>
          <w:p w14:paraId="02BA9ACD" w14:textId="77777777" w:rsidR="00BD6D64" w:rsidRPr="00B42397" w:rsidRDefault="00BD6D64" w:rsidP="00BD6D64">
            <w:pPr>
              <w:pStyle w:val="TableText0"/>
              <w:keepNext w:val="0"/>
              <w:widowControl w:val="0"/>
              <w:rPr>
                <w:rFonts w:cs="Arial"/>
              </w:rPr>
            </w:pPr>
            <w:r w:rsidRPr="00B42397">
              <w:rPr>
                <w:rFonts w:cs="Arial"/>
              </w:rPr>
              <w:t>AND</w:t>
            </w:r>
          </w:p>
          <w:p w14:paraId="4BD15EFF" w14:textId="77777777" w:rsidR="00BD6D64" w:rsidRPr="00B42397" w:rsidRDefault="00BD6D64" w:rsidP="00BD6D64">
            <w:pPr>
              <w:pStyle w:val="TableText0"/>
              <w:keepNext w:val="0"/>
              <w:widowControl w:val="0"/>
              <w:rPr>
                <w:rFonts w:cs="Arial"/>
              </w:rPr>
            </w:pPr>
            <w:r w:rsidRPr="00B42397">
              <w:rPr>
                <w:rFonts w:cs="Arial"/>
              </w:rPr>
              <w:t>Patient must not receive more than six cycles of treatment under this restriction</w:t>
            </w:r>
          </w:p>
          <w:p w14:paraId="3A364324" w14:textId="77777777" w:rsidR="00BD6D64" w:rsidRPr="00B42397" w:rsidRDefault="00BD6D64" w:rsidP="00BD6D64">
            <w:pPr>
              <w:pStyle w:val="TableText0"/>
              <w:keepNext w:val="0"/>
              <w:widowControl w:val="0"/>
              <w:rPr>
                <w:rFonts w:cs="Arial"/>
              </w:rPr>
            </w:pPr>
            <w:r w:rsidRPr="00B42397">
              <w:rPr>
                <w:rFonts w:cs="Arial"/>
              </w:rPr>
              <w:t>AND</w:t>
            </w:r>
          </w:p>
          <w:p w14:paraId="4EBA9923" w14:textId="77777777" w:rsidR="00BD6D64" w:rsidRPr="00B42397" w:rsidRDefault="00BD6D64" w:rsidP="00BD6D64">
            <w:pPr>
              <w:pStyle w:val="Tabletext"/>
            </w:pPr>
            <w:r w:rsidRPr="00B42397">
              <w:rPr>
                <w:rFonts w:cs="Arial"/>
              </w:rPr>
              <w:t>Patient must not have previously received this drug for this condition</w:t>
            </w:r>
          </w:p>
        </w:tc>
      </w:tr>
    </w:tbl>
    <w:p w14:paraId="5E2B8AAF" w14:textId="77777777" w:rsidR="00962C1D" w:rsidRPr="00B42397" w:rsidRDefault="00BD6D64" w:rsidP="00707B38">
      <w:pPr>
        <w:pStyle w:val="Tablenotes"/>
        <w:rPr>
          <w:rFonts w:ascii="Arial Narrow" w:hAnsi="Arial Narrow"/>
          <w:i/>
          <w:iCs/>
          <w:sz w:val="18"/>
          <w:szCs w:val="18"/>
        </w:rPr>
      </w:pPr>
      <w:r w:rsidRPr="00B42397">
        <w:rPr>
          <w:rFonts w:ascii="Arial Narrow" w:hAnsi="Arial Narrow"/>
          <w:sz w:val="18"/>
          <w:szCs w:val="18"/>
        </w:rPr>
        <w:t>Source: Table 1.4.2 and Table 1.4.3 of the submission.</w:t>
      </w:r>
      <w:r w:rsidR="00707B38" w:rsidRPr="00B42397">
        <w:rPr>
          <w:rFonts w:ascii="Arial Narrow" w:hAnsi="Arial Narrow"/>
          <w:i/>
          <w:iCs/>
          <w:sz w:val="18"/>
          <w:szCs w:val="18"/>
        </w:rPr>
        <w:t xml:space="preserve"> Values in italics were re-estimated based on updated mark-ups and fees (July 2020)</w:t>
      </w:r>
    </w:p>
    <w:p w14:paraId="477439E9" w14:textId="77777777" w:rsidR="00591957" w:rsidRPr="00B42397" w:rsidRDefault="00BD6D64" w:rsidP="008D1731">
      <w:pPr>
        <w:pStyle w:val="3-BodyText"/>
      </w:pPr>
      <w:r w:rsidRPr="00B42397">
        <w:t xml:space="preserve">Based on the </w:t>
      </w:r>
      <w:r w:rsidR="001D2B61" w:rsidRPr="00B42397">
        <w:t>CMA</w:t>
      </w:r>
      <w:r w:rsidR="00C614A2" w:rsidRPr="00B42397">
        <w:t>,</w:t>
      </w:r>
      <w:r w:rsidRPr="00B42397">
        <w:t xml:space="preserve"> the proposed effective </w:t>
      </w:r>
      <w:r w:rsidR="005F7650" w:rsidRPr="00B42397">
        <w:t>dispensed price per maximum amount (DPMA) of elotuzumab w</w:t>
      </w:r>
      <w:r w:rsidR="0036344F" w:rsidRPr="00B42397">
        <w:t>as</w:t>
      </w:r>
      <w:r w:rsidR="005F7650" w:rsidRPr="00B42397">
        <w:t xml:space="preserve"> $</w:t>
      </w:r>
      <w:r w:rsidR="00B51893">
        <w:rPr>
          <w:noProof/>
          <w:color w:val="000000"/>
          <w:highlight w:val="black"/>
        </w:rPr>
        <w:t>'''''''''''''''''</w:t>
      </w:r>
      <w:r w:rsidR="005F7650" w:rsidRPr="00B42397">
        <w:t xml:space="preserve"> (public) and $</w:t>
      </w:r>
      <w:r w:rsidR="00B51893">
        <w:rPr>
          <w:noProof/>
          <w:color w:val="000000"/>
          <w:highlight w:val="black"/>
        </w:rPr>
        <w:t>''''''''''''''''''</w:t>
      </w:r>
      <w:r w:rsidR="005F7650" w:rsidRPr="00B42397">
        <w:t xml:space="preserve"> (private)</w:t>
      </w:r>
      <w:r w:rsidRPr="00B42397">
        <w:t xml:space="preserve">. The estimated prices were based on </w:t>
      </w:r>
      <w:r w:rsidR="00733499" w:rsidRPr="00B42397">
        <w:t xml:space="preserve">cost-minimisation at the </w:t>
      </w:r>
      <w:r w:rsidR="001847D0" w:rsidRPr="00B42397">
        <w:t>DPMA</w:t>
      </w:r>
      <w:r w:rsidRPr="00B42397">
        <w:t xml:space="preserve"> of </w:t>
      </w:r>
      <w:r w:rsidR="00C614A2" w:rsidRPr="00B42397">
        <w:t>Cd</w:t>
      </w:r>
      <w:r w:rsidRPr="00B42397">
        <w:t xml:space="preserve">. </w:t>
      </w:r>
      <w:r w:rsidR="00733499" w:rsidRPr="00B42397">
        <w:rPr>
          <w:iCs/>
        </w:rPr>
        <w:t>CMA</w:t>
      </w:r>
      <w:r w:rsidR="00C614A2" w:rsidRPr="00B42397">
        <w:rPr>
          <w:iCs/>
        </w:rPr>
        <w:t>s</w:t>
      </w:r>
      <w:r w:rsidRPr="00B42397">
        <w:rPr>
          <w:iCs/>
        </w:rPr>
        <w:t xml:space="preserve"> should be conducted using </w:t>
      </w:r>
      <w:r w:rsidR="008E7B46" w:rsidRPr="00B42397">
        <w:rPr>
          <w:iCs/>
        </w:rPr>
        <w:t>approved ex-manufacturer prices (</w:t>
      </w:r>
      <w:r w:rsidR="00C614A2" w:rsidRPr="00B42397">
        <w:rPr>
          <w:iCs/>
        </w:rPr>
        <w:t>AEMPs</w:t>
      </w:r>
      <w:r w:rsidR="008E7B46" w:rsidRPr="00B42397">
        <w:rPr>
          <w:iCs/>
        </w:rPr>
        <w:t>)</w:t>
      </w:r>
      <w:r w:rsidR="008D1731" w:rsidRPr="00B42397">
        <w:rPr>
          <w:iCs/>
        </w:rPr>
        <w:t>.</w:t>
      </w:r>
      <w:r w:rsidR="00C614A2" w:rsidRPr="00B42397">
        <w:rPr>
          <w:iCs/>
        </w:rPr>
        <w:t xml:space="preserve"> </w:t>
      </w:r>
      <w:r w:rsidR="008D1731" w:rsidRPr="00B42397">
        <w:rPr>
          <w:iCs/>
        </w:rPr>
        <w:t>P</w:t>
      </w:r>
      <w:r w:rsidR="008D1731" w:rsidRPr="00B42397">
        <w:rPr>
          <w:iCs/>
          <w:color w:val="000000" w:themeColor="text1"/>
        </w:rPr>
        <w:t xml:space="preserve">ricing agreements are made by Government under the </w:t>
      </w:r>
      <w:r w:rsidR="008D1731" w:rsidRPr="00357CEE">
        <w:rPr>
          <w:i/>
          <w:iCs/>
          <w:color w:val="000000" w:themeColor="text1"/>
        </w:rPr>
        <w:t>National Health Act 1953</w:t>
      </w:r>
      <w:r w:rsidR="008D1731" w:rsidRPr="00B42397">
        <w:rPr>
          <w:iCs/>
          <w:color w:val="000000" w:themeColor="text1"/>
        </w:rPr>
        <w:t xml:space="preserve"> at the ex-manufacturer level and, as such, the prices would be agreed on this basis. It is not usually the case that pharmacy and wholesaler mark-ups are considered for the purpose of cost-minimisation as they do not relate to the cost of the medicine.</w:t>
      </w:r>
      <w:r w:rsidRPr="00B42397">
        <w:t xml:space="preserve"> </w:t>
      </w:r>
      <w:r w:rsidR="00733499" w:rsidRPr="00B42397">
        <w:rPr>
          <w:iCs/>
        </w:rPr>
        <w:t xml:space="preserve">When cost-minimised against the AEMP for </w:t>
      </w:r>
      <w:r w:rsidR="00C614A2" w:rsidRPr="00B42397">
        <w:rPr>
          <w:iCs/>
        </w:rPr>
        <w:t>Cd</w:t>
      </w:r>
      <w:r w:rsidR="00733499" w:rsidRPr="00B42397">
        <w:rPr>
          <w:iCs/>
        </w:rPr>
        <w:t xml:space="preserve">, the resulting </w:t>
      </w:r>
      <w:r w:rsidR="007D7A5C" w:rsidRPr="00B42397">
        <w:rPr>
          <w:iCs/>
        </w:rPr>
        <w:t xml:space="preserve">effective </w:t>
      </w:r>
      <w:r w:rsidR="001847D0" w:rsidRPr="00B42397">
        <w:rPr>
          <w:iCs/>
        </w:rPr>
        <w:t xml:space="preserve">DPMAs </w:t>
      </w:r>
      <w:r w:rsidR="00733499" w:rsidRPr="00B42397">
        <w:rPr>
          <w:iCs/>
        </w:rPr>
        <w:t>for elotuzumab were</w:t>
      </w:r>
      <w:r w:rsidR="00FD022E" w:rsidRPr="00B42397">
        <w:rPr>
          <w:iCs/>
        </w:rPr>
        <w:t xml:space="preserve"> </w:t>
      </w:r>
      <w:r w:rsidR="005F7650" w:rsidRPr="00B42397">
        <w:rPr>
          <w:iCs/>
        </w:rPr>
        <w:t>$</w:t>
      </w:r>
      <w:r w:rsidR="00B51893">
        <w:rPr>
          <w:iCs/>
          <w:noProof/>
          <w:color w:val="000000"/>
          <w:highlight w:val="black"/>
        </w:rPr>
        <w:t>''''''''''''''''''</w:t>
      </w:r>
      <w:r w:rsidR="005F7650" w:rsidRPr="00B42397">
        <w:rPr>
          <w:iCs/>
        </w:rPr>
        <w:t xml:space="preserve"> (public) and </w:t>
      </w:r>
      <w:r w:rsidR="00FD022E" w:rsidRPr="00B42397">
        <w:rPr>
          <w:iCs/>
        </w:rPr>
        <w:t>$</w:t>
      </w:r>
      <w:r w:rsidR="00B51893">
        <w:rPr>
          <w:iCs/>
          <w:noProof/>
          <w:color w:val="000000"/>
          <w:highlight w:val="black"/>
        </w:rPr>
        <w:t>'''''''''''''''</w:t>
      </w:r>
      <w:r w:rsidR="00FD022E" w:rsidRPr="00B42397">
        <w:rPr>
          <w:iCs/>
        </w:rPr>
        <w:t xml:space="preserve"> (private</w:t>
      </w:r>
      <w:r w:rsidR="005F7650" w:rsidRPr="00B42397">
        <w:rPr>
          <w:iCs/>
        </w:rPr>
        <w:t>)</w:t>
      </w:r>
      <w:r w:rsidR="00FD022E" w:rsidRPr="00B42397">
        <w:rPr>
          <w:iCs/>
        </w:rPr>
        <w:t>.</w:t>
      </w:r>
      <w:r w:rsidRPr="00B42397">
        <w:t xml:space="preserve"> </w:t>
      </w:r>
    </w:p>
    <w:p w14:paraId="50DE6D6B" w14:textId="77777777" w:rsidR="00BD6D64" w:rsidRPr="00B42397" w:rsidRDefault="009124C7" w:rsidP="00BD6D64">
      <w:pPr>
        <w:pStyle w:val="3-BodyText"/>
        <w:rPr>
          <w:iCs/>
          <w:color w:val="000000" w:themeColor="text1"/>
        </w:rPr>
      </w:pPr>
      <w:r w:rsidRPr="00B42397">
        <w:rPr>
          <w:iCs/>
          <w:color w:val="000000" w:themeColor="text1"/>
        </w:rPr>
        <w:t>T</w:t>
      </w:r>
      <w:r w:rsidR="00856145" w:rsidRPr="00B42397">
        <w:rPr>
          <w:iCs/>
          <w:color w:val="000000" w:themeColor="text1"/>
        </w:rPr>
        <w:t xml:space="preserve">he </w:t>
      </w:r>
      <w:r w:rsidR="00BD6D64" w:rsidRPr="00B42397">
        <w:rPr>
          <w:iCs/>
          <w:color w:val="000000" w:themeColor="text1"/>
        </w:rPr>
        <w:t xml:space="preserve">proposed restrictions </w:t>
      </w:r>
      <w:r w:rsidR="00733499" w:rsidRPr="00B42397">
        <w:rPr>
          <w:iCs/>
          <w:color w:val="000000" w:themeColor="text1"/>
        </w:rPr>
        <w:t xml:space="preserve">were </w:t>
      </w:r>
      <w:r w:rsidR="00BD6D64" w:rsidRPr="00B42397">
        <w:rPr>
          <w:iCs/>
          <w:color w:val="000000" w:themeColor="text1"/>
        </w:rPr>
        <w:t>consistent with the TGA indication</w:t>
      </w:r>
      <w:r w:rsidR="00856145" w:rsidRPr="00B42397">
        <w:rPr>
          <w:iCs/>
          <w:color w:val="000000" w:themeColor="text1"/>
        </w:rPr>
        <w:t xml:space="preserve"> and </w:t>
      </w:r>
      <w:r w:rsidR="00BD6D64" w:rsidRPr="00B42397">
        <w:rPr>
          <w:iCs/>
          <w:color w:val="000000" w:themeColor="text1"/>
        </w:rPr>
        <w:t xml:space="preserve">the </w:t>
      </w:r>
      <w:r w:rsidR="00856145" w:rsidRPr="00B42397">
        <w:rPr>
          <w:iCs/>
          <w:color w:val="000000" w:themeColor="text1"/>
        </w:rPr>
        <w:t xml:space="preserve">clinical </w:t>
      </w:r>
      <w:r w:rsidR="00BD6D64" w:rsidRPr="00B42397">
        <w:rPr>
          <w:iCs/>
          <w:color w:val="000000" w:themeColor="text1"/>
        </w:rPr>
        <w:t>evidence</w:t>
      </w:r>
      <w:r w:rsidR="00BD6D64" w:rsidRPr="00B42397">
        <w:rPr>
          <w:color w:val="000000" w:themeColor="text1"/>
        </w:rPr>
        <w:t xml:space="preserve">. The trial eligibility </w:t>
      </w:r>
      <w:r w:rsidR="00733499" w:rsidRPr="00B42397">
        <w:rPr>
          <w:color w:val="000000" w:themeColor="text1"/>
        </w:rPr>
        <w:t xml:space="preserve">criteria for ELOQUENT-2, the pivotal trial for </w:t>
      </w:r>
      <w:proofErr w:type="spellStart"/>
      <w:r w:rsidR="001F5659" w:rsidRPr="00B42397">
        <w:rPr>
          <w:color w:val="000000" w:themeColor="text1"/>
        </w:rPr>
        <w:t>ELd</w:t>
      </w:r>
      <w:proofErr w:type="spellEnd"/>
      <w:r w:rsidR="00733499" w:rsidRPr="00B42397">
        <w:rPr>
          <w:color w:val="000000" w:themeColor="text1"/>
        </w:rPr>
        <w:t>, included</w:t>
      </w:r>
      <w:r w:rsidR="00BD6D64" w:rsidRPr="00B42397">
        <w:rPr>
          <w:color w:val="000000" w:themeColor="text1"/>
        </w:rPr>
        <w:t xml:space="preserve"> restrictions </w:t>
      </w:r>
      <w:r w:rsidR="00733499" w:rsidRPr="00B42397">
        <w:rPr>
          <w:color w:val="000000" w:themeColor="text1"/>
        </w:rPr>
        <w:t xml:space="preserve">on patients’ prior response </w:t>
      </w:r>
      <w:r w:rsidR="00BD6D64" w:rsidRPr="00B42397">
        <w:rPr>
          <w:color w:val="000000" w:themeColor="text1"/>
        </w:rPr>
        <w:t xml:space="preserve">(including achieving at least a </w:t>
      </w:r>
      <w:r w:rsidR="00733499" w:rsidRPr="00B42397">
        <w:rPr>
          <w:color w:val="000000" w:themeColor="text1"/>
        </w:rPr>
        <w:t xml:space="preserve">partial response </w:t>
      </w:r>
      <w:r w:rsidR="00BD6D64" w:rsidRPr="00B42397">
        <w:rPr>
          <w:color w:val="000000" w:themeColor="text1"/>
        </w:rPr>
        <w:lastRenderedPageBreak/>
        <w:t>and not being refractory to prior lenalidomide)</w:t>
      </w:r>
      <w:r w:rsidR="00733499" w:rsidRPr="00B42397">
        <w:rPr>
          <w:color w:val="000000" w:themeColor="text1"/>
        </w:rPr>
        <w:t>.</w:t>
      </w:r>
      <w:r w:rsidR="00FD7EAE" w:rsidRPr="00B42397">
        <w:rPr>
          <w:color w:val="000000" w:themeColor="text1"/>
        </w:rPr>
        <w:t xml:space="preserve"> In addition, recruitment of patients with </w:t>
      </w:r>
      <w:r w:rsidR="00BD6D64" w:rsidRPr="00B42397">
        <w:rPr>
          <w:color w:val="000000" w:themeColor="text1"/>
        </w:rPr>
        <w:t xml:space="preserve">prior lenalidomide </w:t>
      </w:r>
      <w:r w:rsidR="00FD7EAE" w:rsidRPr="00B42397">
        <w:rPr>
          <w:color w:val="000000" w:themeColor="text1"/>
        </w:rPr>
        <w:t>exposure</w:t>
      </w:r>
      <w:r w:rsidR="00BD6D64" w:rsidRPr="00B42397">
        <w:rPr>
          <w:color w:val="000000" w:themeColor="text1"/>
        </w:rPr>
        <w:t xml:space="preserve"> was </w:t>
      </w:r>
      <w:r w:rsidR="00FD7EAE" w:rsidRPr="00B42397">
        <w:rPr>
          <w:color w:val="000000" w:themeColor="text1"/>
        </w:rPr>
        <w:t xml:space="preserve">restricted </w:t>
      </w:r>
      <w:r w:rsidR="00BD6D64" w:rsidRPr="00B42397">
        <w:rPr>
          <w:color w:val="000000" w:themeColor="text1"/>
        </w:rPr>
        <w:t xml:space="preserve">to no more than 10% of the study population. The submission stated that this was done for ethical reasons to limit the number of patients in the </w:t>
      </w:r>
      <w:r w:rsidR="008E7B46" w:rsidRPr="00B42397">
        <w:rPr>
          <w:color w:val="000000" w:themeColor="text1"/>
        </w:rPr>
        <w:t>lenalidomide plus dexamethasone (</w:t>
      </w:r>
      <w:proofErr w:type="spellStart"/>
      <w:proofErr w:type="gramStart"/>
      <w:r w:rsidR="001F5659" w:rsidRPr="00B42397">
        <w:rPr>
          <w:color w:val="000000" w:themeColor="text1"/>
        </w:rPr>
        <w:t>Ld</w:t>
      </w:r>
      <w:proofErr w:type="spellEnd"/>
      <w:proofErr w:type="gramEnd"/>
      <w:r w:rsidR="008E7B46" w:rsidRPr="00B42397">
        <w:rPr>
          <w:color w:val="000000" w:themeColor="text1"/>
        </w:rPr>
        <w:t>)</w:t>
      </w:r>
      <w:r w:rsidR="00BD6D64" w:rsidRPr="00B42397">
        <w:rPr>
          <w:color w:val="000000" w:themeColor="text1"/>
        </w:rPr>
        <w:t xml:space="preserve"> control group receiving a regimen from which they may not derive significant benefit. </w:t>
      </w:r>
      <w:r w:rsidR="00BD6D64" w:rsidRPr="00B42397">
        <w:rPr>
          <w:iCs/>
          <w:color w:val="000000" w:themeColor="text1"/>
        </w:rPr>
        <w:t>The proposed PBS restrictions do not include th</w:t>
      </w:r>
      <w:r w:rsidR="00733499" w:rsidRPr="00B42397">
        <w:rPr>
          <w:iCs/>
          <w:color w:val="000000" w:themeColor="text1"/>
        </w:rPr>
        <w:t>e</w:t>
      </w:r>
      <w:r w:rsidR="00BD6D64" w:rsidRPr="00B42397">
        <w:rPr>
          <w:iCs/>
          <w:color w:val="000000" w:themeColor="text1"/>
        </w:rPr>
        <w:t>s</w:t>
      </w:r>
      <w:r w:rsidR="00733499" w:rsidRPr="00B42397">
        <w:rPr>
          <w:iCs/>
          <w:color w:val="000000" w:themeColor="text1"/>
        </w:rPr>
        <w:t>e</w:t>
      </w:r>
      <w:r w:rsidR="00BD6D64" w:rsidRPr="00B42397">
        <w:rPr>
          <w:iCs/>
          <w:color w:val="000000" w:themeColor="text1"/>
        </w:rPr>
        <w:t xml:space="preserve"> criteri</w:t>
      </w:r>
      <w:r w:rsidR="00D8317E" w:rsidRPr="00B42397">
        <w:rPr>
          <w:iCs/>
          <w:color w:val="000000" w:themeColor="text1"/>
        </w:rPr>
        <w:t>a</w:t>
      </w:r>
      <w:r w:rsidR="00BD6D64" w:rsidRPr="00B42397">
        <w:rPr>
          <w:iCs/>
          <w:color w:val="000000" w:themeColor="text1"/>
        </w:rPr>
        <w:t xml:space="preserve">. </w:t>
      </w:r>
    </w:p>
    <w:p w14:paraId="0018908B" w14:textId="77777777" w:rsidR="00CC35EA" w:rsidRPr="00B42397" w:rsidRDefault="00BD6D64" w:rsidP="00BD6D64">
      <w:pPr>
        <w:pStyle w:val="3-BodyText"/>
        <w:rPr>
          <w:iCs/>
          <w:color w:val="000000" w:themeColor="text1"/>
        </w:rPr>
      </w:pPr>
      <w:r w:rsidRPr="00B42397">
        <w:rPr>
          <w:iCs/>
          <w:color w:val="000000" w:themeColor="text1"/>
        </w:rPr>
        <w:t>The submission requested an Authority Required (Telephone/Electronic) listing for the initial and continuing treatment</w:t>
      </w:r>
      <w:r w:rsidR="00B42397">
        <w:rPr>
          <w:iCs/>
          <w:color w:val="000000" w:themeColor="text1"/>
        </w:rPr>
        <w:t xml:space="preserve">. </w:t>
      </w:r>
      <w:r w:rsidR="00856145" w:rsidRPr="00B42397">
        <w:rPr>
          <w:iCs/>
          <w:color w:val="000000" w:themeColor="text1"/>
        </w:rPr>
        <w:t xml:space="preserve">The </w:t>
      </w:r>
      <w:r w:rsidR="009124C7" w:rsidRPr="00B42397">
        <w:rPr>
          <w:iCs/>
          <w:color w:val="000000" w:themeColor="text1"/>
        </w:rPr>
        <w:t xml:space="preserve">PBAC </w:t>
      </w:r>
      <w:r w:rsidR="00856145" w:rsidRPr="00B42397">
        <w:rPr>
          <w:iCs/>
          <w:color w:val="000000" w:themeColor="text1"/>
        </w:rPr>
        <w:t>considered this to be appropriate.</w:t>
      </w:r>
    </w:p>
    <w:p w14:paraId="496DE2D6" w14:textId="77777777" w:rsidR="00B47906" w:rsidRPr="00B42397" w:rsidRDefault="00B47906" w:rsidP="00B47906">
      <w:pPr>
        <w:ind w:firstLine="720"/>
        <w:rPr>
          <w:i/>
        </w:rPr>
      </w:pPr>
      <w:r w:rsidRPr="00B42397">
        <w:rPr>
          <w:i/>
        </w:rPr>
        <w:t>For more detail on PBAC’s view, see section 7 PBAC outcome.</w:t>
      </w:r>
    </w:p>
    <w:p w14:paraId="17A40A61" w14:textId="77777777" w:rsidR="00B50DB8" w:rsidRPr="00B42397" w:rsidRDefault="00203181" w:rsidP="004E18E9">
      <w:pPr>
        <w:pStyle w:val="2-SectionHeading"/>
      </w:pPr>
      <w:bookmarkStart w:id="6" w:name="_Toc49758138"/>
      <w:r w:rsidRPr="00B42397">
        <w:t xml:space="preserve">Population and </w:t>
      </w:r>
      <w:r w:rsidR="008E0D3C" w:rsidRPr="00B42397">
        <w:t>d</w:t>
      </w:r>
      <w:r w:rsidRPr="00B42397">
        <w:t>isease</w:t>
      </w:r>
      <w:bookmarkEnd w:id="6"/>
    </w:p>
    <w:p w14:paraId="0B2EFC2A" w14:textId="77777777" w:rsidR="0077615A" w:rsidRPr="00B42397" w:rsidRDefault="0077615A" w:rsidP="004E18E9">
      <w:pPr>
        <w:pStyle w:val="3-BodyText"/>
        <w:rPr>
          <w:color w:val="0066FF"/>
        </w:rPr>
      </w:pPr>
      <w:r w:rsidRPr="00B42397">
        <w:rPr>
          <w:color w:val="000000" w:themeColor="text1"/>
        </w:rPr>
        <w:t xml:space="preserve">Multiple myeloma (MM) is a B-cell malignancy characterised by the clonal proliferation of malignant plasma B cells within the bone marrow. Clinical complications of progressive MM include recurrent infections, </w:t>
      </w:r>
      <w:proofErr w:type="spellStart"/>
      <w:r w:rsidRPr="00B42397">
        <w:rPr>
          <w:color w:val="000000" w:themeColor="text1"/>
        </w:rPr>
        <w:t>cytopenias</w:t>
      </w:r>
      <w:proofErr w:type="spellEnd"/>
      <w:r w:rsidRPr="00B42397">
        <w:rPr>
          <w:color w:val="000000" w:themeColor="text1"/>
        </w:rPr>
        <w:t xml:space="preserve">, </w:t>
      </w:r>
      <w:r w:rsidRPr="00B42397">
        <w:t xml:space="preserve">renal failure, </w:t>
      </w:r>
      <w:proofErr w:type="spellStart"/>
      <w:r w:rsidRPr="00B42397">
        <w:t>hyperviscosity</w:t>
      </w:r>
      <w:proofErr w:type="spellEnd"/>
      <w:r w:rsidRPr="00B42397">
        <w:t xml:space="preserve"> syndrome, hypercalcaemia, bone pain, and pathologic fractures</w:t>
      </w:r>
      <w:r w:rsidR="00AA2454" w:rsidRPr="00B42397">
        <w:t>. MM remains incurable; with diminishing duration of response to subsequent lines of therapy with each relapse that tends to be progressively more aggressive</w:t>
      </w:r>
      <w:r w:rsidR="007D7A5C" w:rsidRPr="00B42397">
        <w:t>.</w:t>
      </w:r>
    </w:p>
    <w:p w14:paraId="248C9154" w14:textId="77777777" w:rsidR="007627BE" w:rsidRPr="00B42397" w:rsidRDefault="00EB115C" w:rsidP="005E7F0D">
      <w:pPr>
        <w:pStyle w:val="3-BodyText"/>
        <w:rPr>
          <w:color w:val="000000" w:themeColor="text1"/>
        </w:rPr>
      </w:pPr>
      <w:r w:rsidRPr="00B42397">
        <w:rPr>
          <w:color w:val="000000" w:themeColor="text1"/>
        </w:rPr>
        <w:t xml:space="preserve">The submission requested PBS listing of </w:t>
      </w:r>
      <w:proofErr w:type="spellStart"/>
      <w:r w:rsidR="001F5659" w:rsidRPr="00B42397">
        <w:rPr>
          <w:color w:val="000000" w:themeColor="text1"/>
        </w:rPr>
        <w:t>ELd</w:t>
      </w:r>
      <w:proofErr w:type="spellEnd"/>
      <w:r w:rsidRPr="00B42397">
        <w:rPr>
          <w:color w:val="000000" w:themeColor="text1"/>
        </w:rPr>
        <w:t xml:space="preserve"> for the treatment of patient</w:t>
      </w:r>
      <w:r w:rsidR="00FB436F" w:rsidRPr="00B42397">
        <w:rPr>
          <w:color w:val="000000" w:themeColor="text1"/>
        </w:rPr>
        <w:t>s</w:t>
      </w:r>
      <w:r w:rsidRPr="00B42397">
        <w:rPr>
          <w:color w:val="000000" w:themeColor="text1"/>
        </w:rPr>
        <w:t xml:space="preserve"> with RRMM.</w:t>
      </w:r>
      <w:r w:rsidR="001C5D3E" w:rsidRPr="00B42397">
        <w:rPr>
          <w:color w:val="000000" w:themeColor="text1"/>
        </w:rPr>
        <w:t xml:space="preserve"> T</w:t>
      </w:r>
      <w:r w:rsidR="00290B8E" w:rsidRPr="00B42397">
        <w:rPr>
          <w:color w:val="000000" w:themeColor="text1"/>
        </w:rPr>
        <w:t>h</w:t>
      </w:r>
      <w:r w:rsidR="001C5D3E" w:rsidRPr="00B42397">
        <w:rPr>
          <w:color w:val="000000" w:themeColor="text1"/>
        </w:rPr>
        <w:t xml:space="preserve">e clinical algorithm </w:t>
      </w:r>
      <w:r w:rsidR="003578F8" w:rsidRPr="00B42397">
        <w:rPr>
          <w:color w:val="000000" w:themeColor="text1"/>
        </w:rPr>
        <w:t xml:space="preserve">presented </w:t>
      </w:r>
      <w:r w:rsidR="00FD7EAE" w:rsidRPr="00B42397">
        <w:rPr>
          <w:color w:val="000000" w:themeColor="text1"/>
        </w:rPr>
        <w:t xml:space="preserve">in the submission proposed </w:t>
      </w:r>
      <w:r w:rsidR="003578F8" w:rsidRPr="00B42397">
        <w:rPr>
          <w:color w:val="000000" w:themeColor="text1"/>
        </w:rPr>
        <w:t xml:space="preserve">that </w:t>
      </w:r>
      <w:proofErr w:type="spellStart"/>
      <w:r w:rsidR="001F5659" w:rsidRPr="00B42397">
        <w:rPr>
          <w:color w:val="000000" w:themeColor="text1"/>
        </w:rPr>
        <w:t>ELd</w:t>
      </w:r>
      <w:proofErr w:type="spellEnd"/>
      <w:r w:rsidR="003578F8" w:rsidRPr="00B42397">
        <w:rPr>
          <w:color w:val="000000" w:themeColor="text1"/>
        </w:rPr>
        <w:t xml:space="preserve"> would substitute for Cd. </w:t>
      </w:r>
      <w:r w:rsidR="0059585B" w:rsidRPr="00B42397">
        <w:rPr>
          <w:iCs/>
          <w:color w:val="000000" w:themeColor="text1"/>
        </w:rPr>
        <w:t xml:space="preserve">The clinical algorithm (Figure 1) appeared reasonable, with the exception that it did not include the use of daratumumab, bortezomib and dexamethasone (DBd) at the same place in therapy as proposed for </w:t>
      </w:r>
      <w:proofErr w:type="spellStart"/>
      <w:r w:rsidR="001F5659" w:rsidRPr="00B42397">
        <w:rPr>
          <w:iCs/>
          <w:color w:val="000000" w:themeColor="text1"/>
        </w:rPr>
        <w:t>ELd</w:t>
      </w:r>
      <w:proofErr w:type="spellEnd"/>
      <w:r w:rsidR="0059585B" w:rsidRPr="00B42397">
        <w:rPr>
          <w:iCs/>
          <w:color w:val="000000" w:themeColor="text1"/>
        </w:rPr>
        <w:t>.</w:t>
      </w:r>
      <w:r w:rsidR="00DE2FE5" w:rsidRPr="00B42397">
        <w:rPr>
          <w:iCs/>
          <w:color w:val="000000" w:themeColor="text1"/>
        </w:rPr>
        <w:t xml:space="preserve"> Clinical g</w:t>
      </w:r>
      <w:r w:rsidR="00FB79A9" w:rsidRPr="00B42397">
        <w:rPr>
          <w:iCs/>
          <w:color w:val="000000" w:themeColor="text1"/>
        </w:rPr>
        <w:t>uidelines presented in the submission note</w:t>
      </w:r>
      <w:r w:rsidR="007D7A5C" w:rsidRPr="00B42397">
        <w:rPr>
          <w:iCs/>
          <w:color w:val="000000" w:themeColor="text1"/>
        </w:rPr>
        <w:t>d</w:t>
      </w:r>
      <w:r w:rsidR="00FB79A9" w:rsidRPr="00B42397">
        <w:rPr>
          <w:iCs/>
          <w:color w:val="000000" w:themeColor="text1"/>
        </w:rPr>
        <w:t xml:space="preserve"> that DBd would likely be the main triple therapy used in this setting (as the first therapy in RRMM). </w:t>
      </w:r>
      <w:r w:rsidR="000120C0" w:rsidRPr="00B42397">
        <w:rPr>
          <w:iCs/>
          <w:color w:val="000000" w:themeColor="text1"/>
        </w:rPr>
        <w:t xml:space="preserve">The ESC considered that </w:t>
      </w:r>
      <w:r w:rsidR="000120C0" w:rsidRPr="00B42397">
        <w:rPr>
          <w:color w:val="000000" w:themeColor="text1"/>
        </w:rPr>
        <w:t>the requested listing for DBd, which is specifically for treatment of second-line MM, has the potential to displace current treatments for use later in the treatment pathway.</w:t>
      </w:r>
      <w:r w:rsidR="00BD1EC8" w:rsidRPr="00B42397">
        <w:rPr>
          <w:color w:val="000000" w:themeColor="text1"/>
        </w:rPr>
        <w:t xml:space="preserve"> The PBAC considered that DBd, if listed on the PBS, would displace current treatments to the third- and later-line settings.</w:t>
      </w:r>
    </w:p>
    <w:p w14:paraId="3FB01497" w14:textId="77777777" w:rsidR="0027211D" w:rsidRPr="00B42397" w:rsidRDefault="0027211D" w:rsidP="0027211D">
      <w:pPr>
        <w:pStyle w:val="3-BodyText"/>
        <w:keepNext/>
        <w:numPr>
          <w:ilvl w:val="0"/>
          <w:numId w:val="0"/>
        </w:numPr>
        <w:spacing w:after="0"/>
        <w:rPr>
          <w:rFonts w:ascii="Arial Narrow" w:hAnsi="Arial Narrow"/>
          <w:color w:val="000000" w:themeColor="text1"/>
          <w:sz w:val="20"/>
          <w:szCs w:val="20"/>
        </w:rPr>
      </w:pPr>
      <w:r w:rsidRPr="00B42397">
        <w:rPr>
          <w:rFonts w:ascii="Arial Narrow" w:hAnsi="Arial Narrow"/>
          <w:b/>
          <w:color w:val="000000" w:themeColor="text1"/>
          <w:sz w:val="20"/>
          <w:szCs w:val="20"/>
        </w:rPr>
        <w:lastRenderedPageBreak/>
        <w:t>Figure 1:</w:t>
      </w:r>
      <w:r w:rsidRPr="00B42397">
        <w:rPr>
          <w:rFonts w:ascii="Arial Narrow" w:hAnsi="Arial Narrow"/>
          <w:color w:val="000000" w:themeColor="text1"/>
          <w:sz w:val="20"/>
          <w:szCs w:val="20"/>
        </w:rPr>
        <w:t xml:space="preserve"> </w:t>
      </w:r>
      <w:r w:rsidRPr="00B42397">
        <w:rPr>
          <w:rFonts w:ascii="Arial Narrow" w:hAnsi="Arial Narrow"/>
          <w:b/>
          <w:bCs/>
          <w:sz w:val="20"/>
          <w:szCs w:val="20"/>
        </w:rPr>
        <w:t xml:space="preserve">Proposed MM treatment algorithm for the listing of </w:t>
      </w:r>
      <w:proofErr w:type="spellStart"/>
      <w:r w:rsidR="001F5659" w:rsidRPr="00B42397">
        <w:rPr>
          <w:rFonts w:ascii="Arial Narrow" w:hAnsi="Arial Narrow"/>
          <w:b/>
          <w:bCs/>
          <w:sz w:val="20"/>
          <w:szCs w:val="20"/>
        </w:rPr>
        <w:t>ELd</w:t>
      </w:r>
      <w:proofErr w:type="spellEnd"/>
    </w:p>
    <w:p w14:paraId="6112ACDC" w14:textId="77777777" w:rsidR="0027211D" w:rsidRPr="00B42397" w:rsidRDefault="0027211D" w:rsidP="0027211D">
      <w:pPr>
        <w:pStyle w:val="3-BodyText"/>
        <w:numPr>
          <w:ilvl w:val="0"/>
          <w:numId w:val="0"/>
        </w:numPr>
        <w:rPr>
          <w:color w:val="000000" w:themeColor="text1"/>
        </w:rPr>
      </w:pPr>
      <w:r w:rsidRPr="00B42397">
        <w:rPr>
          <w:noProof/>
        </w:rPr>
        <w:drawing>
          <wp:inline distT="0" distB="0" distL="0" distR="0" wp14:anchorId="4A5BD8F5" wp14:editId="56959022">
            <wp:extent cx="5542972" cy="2584450"/>
            <wp:effectExtent l="0" t="0" r="635" b="6350"/>
            <wp:docPr id="5" name="Picture 5" title="Figure 1: Proposed MM treatment algorithm for the listing of 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5209" cy="2599481"/>
                    </a:xfrm>
                    <a:prstGeom prst="rect">
                      <a:avLst/>
                    </a:prstGeom>
                    <a:noFill/>
                  </pic:spPr>
                </pic:pic>
              </a:graphicData>
            </a:graphic>
          </wp:inline>
        </w:drawing>
      </w:r>
    </w:p>
    <w:p w14:paraId="247E631E" w14:textId="77777777" w:rsidR="0027211D" w:rsidRPr="00B42397" w:rsidRDefault="0027211D" w:rsidP="0027211D">
      <w:pPr>
        <w:pStyle w:val="3-BodyText"/>
        <w:numPr>
          <w:ilvl w:val="0"/>
          <w:numId w:val="0"/>
        </w:numPr>
        <w:spacing w:after="0"/>
        <w:ind w:left="720" w:hanging="720"/>
        <w:rPr>
          <w:rFonts w:ascii="Arial Narrow" w:hAnsi="Arial Narrow"/>
          <w:color w:val="000000" w:themeColor="text1"/>
          <w:sz w:val="18"/>
          <w:szCs w:val="18"/>
        </w:rPr>
      </w:pPr>
      <w:r w:rsidRPr="00B42397">
        <w:rPr>
          <w:rFonts w:ascii="Arial Narrow" w:hAnsi="Arial Narrow"/>
          <w:color w:val="000000" w:themeColor="text1"/>
          <w:sz w:val="18"/>
          <w:szCs w:val="18"/>
        </w:rPr>
        <w:t>Source: Figure 1.2.2, p22 of the submission.</w:t>
      </w:r>
    </w:p>
    <w:p w14:paraId="1FAD3EA8" w14:textId="77777777" w:rsidR="0027211D" w:rsidRPr="00B42397" w:rsidRDefault="0027211D" w:rsidP="0027211D">
      <w:pPr>
        <w:pStyle w:val="3-BodyText"/>
        <w:numPr>
          <w:ilvl w:val="0"/>
          <w:numId w:val="0"/>
        </w:numPr>
        <w:spacing w:after="0"/>
        <w:rPr>
          <w:rFonts w:ascii="Arial Narrow" w:hAnsi="Arial Narrow"/>
          <w:color w:val="000000" w:themeColor="text1"/>
          <w:sz w:val="18"/>
          <w:szCs w:val="18"/>
        </w:rPr>
      </w:pPr>
      <w:r w:rsidRPr="00B42397">
        <w:rPr>
          <w:rFonts w:ascii="Arial Narrow" w:hAnsi="Arial Narrow"/>
          <w:color w:val="000000" w:themeColor="text1"/>
          <w:sz w:val="18"/>
          <w:szCs w:val="18"/>
        </w:rPr>
        <w:t>ASCT</w:t>
      </w:r>
      <w:r w:rsidR="00CC3E50" w:rsidRPr="00B42397">
        <w:rPr>
          <w:rFonts w:ascii="Arial Narrow" w:hAnsi="Arial Narrow"/>
          <w:color w:val="000000" w:themeColor="text1"/>
          <w:sz w:val="18"/>
          <w:szCs w:val="18"/>
        </w:rPr>
        <w:t xml:space="preserve"> </w:t>
      </w:r>
      <w:r w:rsidRPr="00B42397">
        <w:rPr>
          <w:rFonts w:ascii="Arial Narrow" w:hAnsi="Arial Narrow"/>
          <w:color w:val="000000" w:themeColor="text1"/>
          <w:sz w:val="18"/>
          <w:szCs w:val="18"/>
        </w:rPr>
        <w:t>= autologous stem cell transplant; DEX</w:t>
      </w:r>
      <w:r w:rsidR="00CC3E50" w:rsidRPr="00B42397">
        <w:rPr>
          <w:rFonts w:ascii="Arial Narrow" w:hAnsi="Arial Narrow"/>
          <w:color w:val="000000" w:themeColor="text1"/>
          <w:sz w:val="18"/>
          <w:szCs w:val="18"/>
        </w:rPr>
        <w:t xml:space="preserve"> </w:t>
      </w:r>
      <w:r w:rsidRPr="00B42397">
        <w:rPr>
          <w:rFonts w:ascii="Arial Narrow" w:hAnsi="Arial Narrow"/>
          <w:color w:val="000000" w:themeColor="text1"/>
          <w:sz w:val="18"/>
          <w:szCs w:val="18"/>
        </w:rPr>
        <w:t xml:space="preserve">= dexamethasone; </w:t>
      </w:r>
      <w:proofErr w:type="spellStart"/>
      <w:r w:rsidR="001F5659" w:rsidRPr="00B42397">
        <w:rPr>
          <w:rFonts w:ascii="Arial Narrow" w:hAnsi="Arial Narrow"/>
          <w:color w:val="000000" w:themeColor="text1"/>
          <w:sz w:val="18"/>
          <w:szCs w:val="18"/>
        </w:rPr>
        <w:t>ELd</w:t>
      </w:r>
      <w:proofErr w:type="spellEnd"/>
      <w:r w:rsidR="00CC3E50" w:rsidRPr="00B42397">
        <w:rPr>
          <w:rFonts w:ascii="Arial Narrow" w:hAnsi="Arial Narrow"/>
          <w:color w:val="000000" w:themeColor="text1"/>
          <w:sz w:val="18"/>
          <w:szCs w:val="18"/>
        </w:rPr>
        <w:t xml:space="preserve"> = elotuzumab + lenalidomide + dexamethasone; </w:t>
      </w:r>
      <w:r w:rsidRPr="00B42397">
        <w:rPr>
          <w:rFonts w:ascii="Arial Narrow" w:hAnsi="Arial Narrow"/>
          <w:color w:val="000000" w:themeColor="text1"/>
          <w:sz w:val="18"/>
          <w:szCs w:val="18"/>
        </w:rPr>
        <w:t>MM</w:t>
      </w:r>
      <w:r w:rsidR="00CC3E50" w:rsidRPr="00B42397">
        <w:rPr>
          <w:rFonts w:ascii="Arial Narrow" w:hAnsi="Arial Narrow"/>
          <w:color w:val="000000" w:themeColor="text1"/>
          <w:sz w:val="18"/>
          <w:szCs w:val="18"/>
        </w:rPr>
        <w:t xml:space="preserve"> </w:t>
      </w:r>
      <w:r w:rsidRPr="00B42397">
        <w:rPr>
          <w:rFonts w:ascii="Arial Narrow" w:hAnsi="Arial Narrow"/>
          <w:color w:val="000000" w:themeColor="text1"/>
          <w:sz w:val="18"/>
          <w:szCs w:val="18"/>
        </w:rPr>
        <w:t>= multiple myeloma; RRMM</w:t>
      </w:r>
      <w:r w:rsidR="00CC3E50" w:rsidRPr="00B42397">
        <w:rPr>
          <w:rFonts w:ascii="Arial Narrow" w:hAnsi="Arial Narrow"/>
          <w:color w:val="000000" w:themeColor="text1"/>
          <w:sz w:val="18"/>
          <w:szCs w:val="18"/>
        </w:rPr>
        <w:t xml:space="preserve"> </w:t>
      </w:r>
      <w:r w:rsidRPr="00B42397">
        <w:rPr>
          <w:rFonts w:ascii="Arial Narrow" w:hAnsi="Arial Narrow"/>
          <w:color w:val="000000" w:themeColor="text1"/>
          <w:sz w:val="18"/>
          <w:szCs w:val="18"/>
        </w:rPr>
        <w:t>= relapsed/refractory multiple myeloma.</w:t>
      </w:r>
    </w:p>
    <w:p w14:paraId="544974D1" w14:textId="77777777" w:rsidR="0027211D" w:rsidRPr="00B42397" w:rsidRDefault="0027211D" w:rsidP="0027211D">
      <w:pPr>
        <w:pStyle w:val="3-BodyText"/>
        <w:numPr>
          <w:ilvl w:val="0"/>
          <w:numId w:val="0"/>
        </w:numPr>
        <w:spacing w:after="0"/>
        <w:rPr>
          <w:rFonts w:ascii="Arial Narrow" w:hAnsi="Arial Narrow"/>
          <w:color w:val="000000" w:themeColor="text1"/>
          <w:sz w:val="18"/>
          <w:szCs w:val="18"/>
        </w:rPr>
      </w:pPr>
      <w:r w:rsidRPr="00B42397">
        <w:rPr>
          <w:rFonts w:ascii="Arial Narrow" w:hAnsi="Arial Narrow"/>
          <w:color w:val="000000" w:themeColor="text1"/>
          <w:sz w:val="18"/>
          <w:szCs w:val="18"/>
        </w:rPr>
        <w:t>Note: the proposed treatment regimen (</w:t>
      </w:r>
      <w:proofErr w:type="spellStart"/>
      <w:r w:rsidR="001F5659" w:rsidRPr="00B42397">
        <w:rPr>
          <w:rFonts w:ascii="Arial Narrow" w:hAnsi="Arial Narrow"/>
          <w:color w:val="000000" w:themeColor="text1"/>
          <w:sz w:val="18"/>
          <w:szCs w:val="18"/>
        </w:rPr>
        <w:t>ELd</w:t>
      </w:r>
      <w:proofErr w:type="spellEnd"/>
      <w:r w:rsidRPr="00B42397">
        <w:rPr>
          <w:rFonts w:ascii="Arial Narrow" w:hAnsi="Arial Narrow"/>
          <w:color w:val="000000" w:themeColor="text1"/>
          <w:sz w:val="18"/>
          <w:szCs w:val="18"/>
        </w:rPr>
        <w:t>) is indicated in red and is proposed as an alternative in the second and subsequent line treatments settings.</w:t>
      </w:r>
    </w:p>
    <w:p w14:paraId="21136233" w14:textId="77777777" w:rsidR="00B47906" w:rsidRPr="00B42397" w:rsidRDefault="00B47906" w:rsidP="00B47906"/>
    <w:p w14:paraId="7FAB040F" w14:textId="77777777" w:rsidR="00B47906" w:rsidRPr="00B42397" w:rsidRDefault="00B47906" w:rsidP="00B47906">
      <w:pPr>
        <w:pStyle w:val="3-BodyText"/>
        <w:numPr>
          <w:ilvl w:val="0"/>
          <w:numId w:val="0"/>
        </w:numPr>
        <w:ind w:firstLine="720"/>
        <w:rPr>
          <w:i/>
        </w:rPr>
      </w:pPr>
      <w:r w:rsidRPr="00B42397">
        <w:rPr>
          <w:i/>
          <w:color w:val="000000" w:themeColor="text1"/>
        </w:rPr>
        <w:t>For more detail on PBAC’s view, see section 7 PBAC outcome.</w:t>
      </w:r>
    </w:p>
    <w:p w14:paraId="5EC7A2DE" w14:textId="77777777" w:rsidR="00B50DB8" w:rsidRPr="00B42397" w:rsidRDefault="00B50DB8" w:rsidP="004E18E9">
      <w:pPr>
        <w:pStyle w:val="2-SectionHeading"/>
      </w:pPr>
      <w:bookmarkStart w:id="7" w:name="_Toc49758139"/>
      <w:r w:rsidRPr="00B42397">
        <w:t>Comparator</w:t>
      </w:r>
      <w:bookmarkEnd w:id="7"/>
    </w:p>
    <w:p w14:paraId="2BBFFC63" w14:textId="77777777" w:rsidR="007463EC" w:rsidRPr="00B42397" w:rsidRDefault="0095210D" w:rsidP="00882E3C">
      <w:pPr>
        <w:pStyle w:val="3-BodyText"/>
        <w:rPr>
          <w:snapToGrid/>
        </w:rPr>
      </w:pPr>
      <w:r w:rsidRPr="00B42397">
        <w:rPr>
          <w:snapToGrid/>
          <w:color w:val="000000" w:themeColor="text1"/>
        </w:rPr>
        <w:t xml:space="preserve">The submission nominated Cd as the comparator for </w:t>
      </w:r>
      <w:proofErr w:type="spellStart"/>
      <w:r w:rsidR="001F5659" w:rsidRPr="00B42397">
        <w:rPr>
          <w:snapToGrid/>
          <w:color w:val="000000" w:themeColor="text1"/>
        </w:rPr>
        <w:t>ELd</w:t>
      </w:r>
      <w:proofErr w:type="spellEnd"/>
      <w:r w:rsidR="00025E2D" w:rsidRPr="00B42397">
        <w:rPr>
          <w:snapToGrid/>
          <w:color w:val="000000" w:themeColor="text1"/>
        </w:rPr>
        <w:t xml:space="preserve">. </w:t>
      </w:r>
      <w:r w:rsidR="007463EC" w:rsidRPr="00B42397">
        <w:rPr>
          <w:snapToGrid/>
          <w:color w:val="000000" w:themeColor="text1"/>
        </w:rPr>
        <w:t>At the time of the submission, Cd represented the most recent therapy to be PBS listed for the treatment of RRMM.</w:t>
      </w:r>
      <w:r w:rsidR="005F7650" w:rsidRPr="00B42397">
        <w:rPr>
          <w:snapToGrid/>
          <w:color w:val="000000" w:themeColor="text1"/>
        </w:rPr>
        <w:t xml:space="preserve"> </w:t>
      </w:r>
    </w:p>
    <w:p w14:paraId="7F421E5A" w14:textId="77777777" w:rsidR="0095210D" w:rsidRPr="00B42397" w:rsidRDefault="005279D8" w:rsidP="00882E3C">
      <w:pPr>
        <w:pStyle w:val="3-BodyText"/>
        <w:rPr>
          <w:snapToGrid/>
        </w:rPr>
      </w:pPr>
      <w:r w:rsidRPr="00B42397">
        <w:rPr>
          <w:snapToGrid/>
          <w:color w:val="000000" w:themeColor="text1"/>
        </w:rPr>
        <w:t>The</w:t>
      </w:r>
      <w:r w:rsidR="00846894" w:rsidRPr="00B42397">
        <w:rPr>
          <w:snapToGrid/>
          <w:color w:val="000000" w:themeColor="text1"/>
        </w:rPr>
        <w:t xml:space="preserve"> submission </w:t>
      </w:r>
      <w:r w:rsidR="00726C6A" w:rsidRPr="00B42397">
        <w:rPr>
          <w:snapToGrid/>
          <w:color w:val="000000" w:themeColor="text1"/>
        </w:rPr>
        <w:t xml:space="preserve">based </w:t>
      </w:r>
      <w:r w:rsidRPr="00B42397">
        <w:rPr>
          <w:snapToGrid/>
          <w:color w:val="000000" w:themeColor="text1"/>
        </w:rPr>
        <w:t xml:space="preserve">its decision </w:t>
      </w:r>
      <w:r w:rsidR="00726C6A" w:rsidRPr="00B42397">
        <w:rPr>
          <w:snapToGrid/>
          <w:color w:val="000000" w:themeColor="text1"/>
        </w:rPr>
        <w:t xml:space="preserve">on </w:t>
      </w:r>
      <w:r w:rsidR="00475400" w:rsidRPr="00B42397">
        <w:rPr>
          <w:snapToGrid/>
          <w:color w:val="000000" w:themeColor="text1"/>
        </w:rPr>
        <w:t xml:space="preserve">the currently established therapeutic relativities </w:t>
      </w:r>
      <w:r w:rsidR="00BC2FC6" w:rsidRPr="00B42397">
        <w:rPr>
          <w:snapToGrid/>
          <w:color w:val="000000" w:themeColor="text1"/>
        </w:rPr>
        <w:t>a</w:t>
      </w:r>
      <w:r w:rsidR="00475400" w:rsidRPr="00B42397">
        <w:rPr>
          <w:snapToGrid/>
          <w:color w:val="000000" w:themeColor="text1"/>
        </w:rPr>
        <w:t>nd the anticipated changes in utilisation of current</w:t>
      </w:r>
      <w:r w:rsidR="00FF3B42" w:rsidRPr="00B42397">
        <w:rPr>
          <w:snapToGrid/>
          <w:color w:val="000000" w:themeColor="text1"/>
        </w:rPr>
        <w:t xml:space="preserve"> agents in the RRMM setting</w:t>
      </w:r>
      <w:r w:rsidR="007D07A5" w:rsidRPr="00B42397">
        <w:rPr>
          <w:snapToGrid/>
          <w:color w:val="000000" w:themeColor="text1"/>
        </w:rPr>
        <w:t xml:space="preserve">. </w:t>
      </w:r>
      <w:r w:rsidR="007463EC" w:rsidRPr="00B42397">
        <w:rPr>
          <w:snapToGrid/>
          <w:color w:val="000000" w:themeColor="text1"/>
        </w:rPr>
        <w:t xml:space="preserve">Cd was recommended </w:t>
      </w:r>
      <w:r w:rsidR="00FA2698" w:rsidRPr="00B42397">
        <w:rPr>
          <w:snapToGrid/>
          <w:color w:val="000000" w:themeColor="text1"/>
        </w:rPr>
        <w:t xml:space="preserve">based on cost-effectiveness </w:t>
      </w:r>
      <w:r w:rsidR="007463EC" w:rsidRPr="00B42397">
        <w:rPr>
          <w:snapToGrid/>
          <w:color w:val="000000" w:themeColor="text1"/>
        </w:rPr>
        <w:t xml:space="preserve">compared </w:t>
      </w:r>
      <w:r w:rsidR="00FA2698" w:rsidRPr="00B42397">
        <w:rPr>
          <w:snapToGrid/>
          <w:color w:val="000000" w:themeColor="text1"/>
        </w:rPr>
        <w:t xml:space="preserve">to </w:t>
      </w:r>
      <w:r w:rsidR="008E7B46" w:rsidRPr="00B42397">
        <w:rPr>
          <w:snapToGrid/>
          <w:color w:val="000000" w:themeColor="text1"/>
        </w:rPr>
        <w:t>bortezomib plus dexamethasone (</w:t>
      </w:r>
      <w:r w:rsidR="00FA2698" w:rsidRPr="00B42397">
        <w:rPr>
          <w:snapToGrid/>
          <w:color w:val="000000" w:themeColor="text1"/>
        </w:rPr>
        <w:t>Bd</w:t>
      </w:r>
      <w:r w:rsidR="008E7B46" w:rsidRPr="00B42397">
        <w:rPr>
          <w:snapToGrid/>
          <w:color w:val="000000" w:themeColor="text1"/>
        </w:rPr>
        <w:t xml:space="preserve">; </w:t>
      </w:r>
      <w:r w:rsidR="00FA2698" w:rsidRPr="00B42397">
        <w:rPr>
          <w:snapToGrid/>
          <w:color w:val="000000" w:themeColor="text1"/>
        </w:rPr>
        <w:t>Carfilzomib PSD, July 2017)</w:t>
      </w:r>
      <w:r w:rsidR="00BC2FC6" w:rsidRPr="00B42397">
        <w:rPr>
          <w:snapToGrid/>
          <w:color w:val="000000" w:themeColor="text1"/>
        </w:rPr>
        <w:t xml:space="preserve">; </w:t>
      </w:r>
      <w:proofErr w:type="spellStart"/>
      <w:proofErr w:type="gramStart"/>
      <w:r w:rsidR="001F5659" w:rsidRPr="00B42397">
        <w:rPr>
          <w:snapToGrid/>
          <w:color w:val="000000" w:themeColor="text1"/>
        </w:rPr>
        <w:t>Ld</w:t>
      </w:r>
      <w:proofErr w:type="spellEnd"/>
      <w:proofErr w:type="gramEnd"/>
      <w:r w:rsidR="00BC2FC6" w:rsidRPr="00B42397">
        <w:rPr>
          <w:snapToGrid/>
          <w:color w:val="000000" w:themeColor="text1"/>
        </w:rPr>
        <w:t xml:space="preserve"> was recommended based on cost-mi</w:t>
      </w:r>
      <w:r w:rsidR="00696B4A" w:rsidRPr="00B42397">
        <w:rPr>
          <w:snapToGrid/>
          <w:color w:val="000000" w:themeColor="text1"/>
        </w:rPr>
        <w:t>ni</w:t>
      </w:r>
      <w:r w:rsidR="00BC2FC6" w:rsidRPr="00B42397">
        <w:rPr>
          <w:snapToGrid/>
          <w:color w:val="000000" w:themeColor="text1"/>
        </w:rPr>
        <w:t xml:space="preserve">misation </w:t>
      </w:r>
      <w:r w:rsidR="008A514B" w:rsidRPr="00B42397">
        <w:rPr>
          <w:snapToGrid/>
          <w:color w:val="000000" w:themeColor="text1"/>
        </w:rPr>
        <w:t>versus</w:t>
      </w:r>
      <w:r w:rsidR="00BC2FC6" w:rsidRPr="00B42397">
        <w:rPr>
          <w:snapToGrid/>
          <w:color w:val="000000" w:themeColor="text1"/>
        </w:rPr>
        <w:t xml:space="preserve"> Bd</w:t>
      </w:r>
      <w:r w:rsidR="007463EC" w:rsidRPr="00B42397">
        <w:rPr>
          <w:snapToGrid/>
          <w:color w:val="000000" w:themeColor="text1"/>
        </w:rPr>
        <w:t xml:space="preserve"> (</w:t>
      </w:r>
      <w:r w:rsidR="00FF2F7D" w:rsidRPr="00B42397">
        <w:rPr>
          <w:snapToGrid/>
          <w:color w:val="000000" w:themeColor="text1"/>
        </w:rPr>
        <w:t>Lenalidomide PSD, Nov 2008</w:t>
      </w:r>
      <w:r w:rsidR="007463EC" w:rsidRPr="00B42397">
        <w:rPr>
          <w:snapToGrid/>
          <w:color w:val="000000" w:themeColor="text1"/>
        </w:rPr>
        <w:t>);</w:t>
      </w:r>
      <w:r w:rsidR="002C6C5C" w:rsidRPr="00B42397">
        <w:rPr>
          <w:snapToGrid/>
          <w:color w:val="000000" w:themeColor="text1"/>
        </w:rPr>
        <w:t xml:space="preserve"> </w:t>
      </w:r>
      <w:r w:rsidR="00410281" w:rsidRPr="00B42397">
        <w:rPr>
          <w:snapToGrid/>
          <w:color w:val="000000" w:themeColor="text1"/>
        </w:rPr>
        <w:t xml:space="preserve">and </w:t>
      </w:r>
      <w:r w:rsidR="002C6C5C" w:rsidRPr="00B42397">
        <w:rPr>
          <w:snapToGrid/>
          <w:color w:val="000000" w:themeColor="text1"/>
        </w:rPr>
        <w:t xml:space="preserve">Bd was </w:t>
      </w:r>
      <w:r w:rsidR="008A514B" w:rsidRPr="00B42397">
        <w:rPr>
          <w:snapToGrid/>
          <w:color w:val="000000" w:themeColor="text1"/>
        </w:rPr>
        <w:t>recommended</w:t>
      </w:r>
      <w:r w:rsidR="002C6C5C" w:rsidRPr="00B42397">
        <w:rPr>
          <w:snapToGrid/>
          <w:color w:val="000000" w:themeColor="text1"/>
        </w:rPr>
        <w:t xml:space="preserve"> on a </w:t>
      </w:r>
      <w:r w:rsidR="008A514B" w:rsidRPr="00B42397">
        <w:rPr>
          <w:snapToGrid/>
          <w:color w:val="000000" w:themeColor="text1"/>
        </w:rPr>
        <w:t>cost-effectiveness</w:t>
      </w:r>
      <w:r w:rsidR="002C6C5C" w:rsidRPr="00B42397">
        <w:rPr>
          <w:snapToGrid/>
          <w:color w:val="000000" w:themeColor="text1"/>
        </w:rPr>
        <w:t xml:space="preserve"> basis compared to salvage treatment</w:t>
      </w:r>
      <w:r w:rsidR="007463EC" w:rsidRPr="00B42397">
        <w:rPr>
          <w:snapToGrid/>
          <w:color w:val="000000" w:themeColor="text1"/>
        </w:rPr>
        <w:t xml:space="preserve"> (</w:t>
      </w:r>
      <w:r w:rsidR="00FF2F7D" w:rsidRPr="00B42397">
        <w:rPr>
          <w:snapToGrid/>
          <w:color w:val="000000" w:themeColor="text1"/>
        </w:rPr>
        <w:t>Bortezomib PSD, July 2007</w:t>
      </w:r>
      <w:r w:rsidR="007463EC" w:rsidRPr="00B42397">
        <w:rPr>
          <w:snapToGrid/>
          <w:color w:val="000000" w:themeColor="text1"/>
        </w:rPr>
        <w:t>)</w:t>
      </w:r>
      <w:r w:rsidR="007D07A5" w:rsidRPr="00B42397">
        <w:rPr>
          <w:snapToGrid/>
          <w:color w:val="000000" w:themeColor="text1"/>
        </w:rPr>
        <w:t>. B</w:t>
      </w:r>
      <w:r w:rsidR="002C6C5C" w:rsidRPr="00B42397">
        <w:rPr>
          <w:snapToGrid/>
          <w:color w:val="000000" w:themeColor="text1"/>
        </w:rPr>
        <w:t xml:space="preserve">ased on PBS </w:t>
      </w:r>
      <w:r w:rsidR="007463EC" w:rsidRPr="00B42397">
        <w:rPr>
          <w:snapToGrid/>
          <w:color w:val="000000" w:themeColor="text1"/>
        </w:rPr>
        <w:t xml:space="preserve">utilisation </w:t>
      </w:r>
      <w:r w:rsidR="002C6C5C" w:rsidRPr="00B42397">
        <w:rPr>
          <w:snapToGrid/>
          <w:color w:val="000000" w:themeColor="text1"/>
        </w:rPr>
        <w:t>data</w:t>
      </w:r>
      <w:r w:rsidR="007463EC" w:rsidRPr="00B42397">
        <w:rPr>
          <w:snapToGrid/>
          <w:color w:val="000000" w:themeColor="text1"/>
        </w:rPr>
        <w:t>,</w:t>
      </w:r>
      <w:r w:rsidR="00370308" w:rsidRPr="00B42397">
        <w:rPr>
          <w:snapToGrid/>
          <w:color w:val="000000" w:themeColor="text1"/>
        </w:rPr>
        <w:t xml:space="preserve"> Cd appears to have an increasing greater share of new initiations compared to </w:t>
      </w:r>
      <w:r w:rsidR="001F5659" w:rsidRPr="00B42397">
        <w:rPr>
          <w:snapToGrid/>
          <w:color w:val="000000" w:themeColor="text1"/>
        </w:rPr>
        <w:t>Ld</w:t>
      </w:r>
      <w:r w:rsidR="007463EC" w:rsidRPr="00B42397">
        <w:rPr>
          <w:snapToGrid/>
          <w:color w:val="000000" w:themeColor="text1"/>
        </w:rPr>
        <w:t xml:space="preserve">. In addition, </w:t>
      </w:r>
      <w:r w:rsidR="008A514B" w:rsidRPr="00B42397">
        <w:rPr>
          <w:snapToGrid/>
          <w:color w:val="000000" w:themeColor="text1"/>
        </w:rPr>
        <w:t>utilisation</w:t>
      </w:r>
      <w:r w:rsidR="00370308" w:rsidRPr="00B42397">
        <w:rPr>
          <w:snapToGrid/>
          <w:color w:val="000000" w:themeColor="text1"/>
        </w:rPr>
        <w:t xml:space="preserve"> of </w:t>
      </w:r>
      <w:proofErr w:type="spellStart"/>
      <w:r w:rsidR="001F5659" w:rsidRPr="00B42397">
        <w:rPr>
          <w:snapToGrid/>
          <w:color w:val="000000" w:themeColor="text1"/>
        </w:rPr>
        <w:t>Ld</w:t>
      </w:r>
      <w:proofErr w:type="spellEnd"/>
      <w:r w:rsidR="00370308" w:rsidRPr="00B42397">
        <w:rPr>
          <w:snapToGrid/>
          <w:color w:val="000000" w:themeColor="text1"/>
        </w:rPr>
        <w:t xml:space="preserve"> in RRMM is likely to </w:t>
      </w:r>
      <w:r w:rsidR="008A514B" w:rsidRPr="00B42397">
        <w:rPr>
          <w:snapToGrid/>
          <w:color w:val="000000" w:themeColor="text1"/>
        </w:rPr>
        <w:t>be impacted</w:t>
      </w:r>
      <w:r w:rsidR="00370308" w:rsidRPr="00B42397">
        <w:rPr>
          <w:snapToGrid/>
          <w:color w:val="000000" w:themeColor="text1"/>
        </w:rPr>
        <w:t xml:space="preserve"> by the </w:t>
      </w:r>
      <w:r w:rsidR="007463EC" w:rsidRPr="00B42397">
        <w:rPr>
          <w:snapToGrid/>
          <w:color w:val="000000" w:themeColor="text1"/>
        </w:rPr>
        <w:t xml:space="preserve">April 2020 PBS </w:t>
      </w:r>
      <w:r w:rsidR="008A514B" w:rsidRPr="00B42397">
        <w:rPr>
          <w:snapToGrid/>
          <w:color w:val="000000" w:themeColor="text1"/>
        </w:rPr>
        <w:t>listing</w:t>
      </w:r>
      <w:r w:rsidR="00370308" w:rsidRPr="00B42397">
        <w:rPr>
          <w:snapToGrid/>
          <w:color w:val="000000" w:themeColor="text1"/>
        </w:rPr>
        <w:t xml:space="preserve"> of lenalidomide monotherapy</w:t>
      </w:r>
      <w:r w:rsidR="008A514B" w:rsidRPr="00B42397">
        <w:rPr>
          <w:snapToGrid/>
          <w:color w:val="000000" w:themeColor="text1"/>
        </w:rPr>
        <w:t xml:space="preserve"> as maintenance</w:t>
      </w:r>
      <w:r w:rsidR="008A514B" w:rsidRPr="00B42397">
        <w:t xml:space="preserve"> treatment post-</w:t>
      </w:r>
      <w:r w:rsidR="008E7B46" w:rsidRPr="00B42397">
        <w:t>autologous stem cell transplant (</w:t>
      </w:r>
      <w:r w:rsidR="008A514B" w:rsidRPr="00B42397">
        <w:t>ASCT</w:t>
      </w:r>
      <w:r w:rsidR="008E7B46" w:rsidRPr="00B42397">
        <w:t>)</w:t>
      </w:r>
      <w:r w:rsidR="008A514B" w:rsidRPr="00B42397">
        <w:t xml:space="preserve"> and </w:t>
      </w:r>
      <w:r w:rsidR="007463EC" w:rsidRPr="00B42397">
        <w:t xml:space="preserve">the June 2020 PBS </w:t>
      </w:r>
      <w:r w:rsidR="008A514B" w:rsidRPr="00B42397">
        <w:t xml:space="preserve">listing of </w:t>
      </w:r>
      <w:r w:rsidR="00BD1E26" w:rsidRPr="00B42397">
        <w:t xml:space="preserve">lenalidomide with bortezomib and dexamethasone </w:t>
      </w:r>
      <w:r w:rsidR="008A514B" w:rsidRPr="00B42397">
        <w:t>for all newly diagnosed multiple myeloma (NDMM) patients.</w:t>
      </w:r>
      <w:r w:rsidR="00BD1E26" w:rsidRPr="00B42397">
        <w:t xml:space="preserve"> </w:t>
      </w:r>
    </w:p>
    <w:p w14:paraId="26937256" w14:textId="77777777" w:rsidR="0059585B" w:rsidRPr="00B42397" w:rsidRDefault="00C37DE9" w:rsidP="005E7F0D">
      <w:pPr>
        <w:pStyle w:val="3-BodyText"/>
        <w:rPr>
          <w:color w:val="000000" w:themeColor="text1"/>
        </w:rPr>
      </w:pPr>
      <w:r w:rsidRPr="00B42397">
        <w:rPr>
          <w:snapToGrid/>
        </w:rPr>
        <w:t xml:space="preserve">The submission stated that if </w:t>
      </w:r>
      <w:r w:rsidR="00410281" w:rsidRPr="00B42397">
        <w:rPr>
          <w:snapToGrid/>
        </w:rPr>
        <w:t>NDMM</w:t>
      </w:r>
      <w:r w:rsidRPr="00B42397">
        <w:rPr>
          <w:snapToGrid/>
        </w:rPr>
        <w:t xml:space="preserve"> treatment include</w:t>
      </w:r>
      <w:r w:rsidR="00410281" w:rsidRPr="00B42397">
        <w:rPr>
          <w:snapToGrid/>
        </w:rPr>
        <w:t>d</w:t>
      </w:r>
      <w:r w:rsidRPr="00B42397">
        <w:rPr>
          <w:snapToGrid/>
        </w:rPr>
        <w:t xml:space="preserve"> a proteasome inhibitor (such as bortezomib), the RRMM treatment most likely to be </w:t>
      </w:r>
      <w:r w:rsidR="00410281" w:rsidRPr="00B42397">
        <w:rPr>
          <w:snapToGrid/>
        </w:rPr>
        <w:t xml:space="preserve">used was </w:t>
      </w:r>
      <w:proofErr w:type="spellStart"/>
      <w:proofErr w:type="gramStart"/>
      <w:r w:rsidR="001F5659" w:rsidRPr="00B42397">
        <w:rPr>
          <w:snapToGrid/>
        </w:rPr>
        <w:t>Ld</w:t>
      </w:r>
      <w:proofErr w:type="spellEnd"/>
      <w:proofErr w:type="gramEnd"/>
      <w:r w:rsidR="00410281" w:rsidRPr="00B42397">
        <w:rPr>
          <w:snapToGrid/>
        </w:rPr>
        <w:t>; whereas</w:t>
      </w:r>
      <w:r w:rsidRPr="00B42397">
        <w:rPr>
          <w:snapToGrid/>
        </w:rPr>
        <w:t>, if upfront treatment comprise</w:t>
      </w:r>
      <w:r w:rsidR="00410281" w:rsidRPr="00B42397">
        <w:rPr>
          <w:snapToGrid/>
        </w:rPr>
        <w:t>d</w:t>
      </w:r>
      <w:r w:rsidRPr="00B42397">
        <w:rPr>
          <w:snapToGrid/>
        </w:rPr>
        <w:t xml:space="preserve"> </w:t>
      </w:r>
      <w:r w:rsidR="00410281" w:rsidRPr="00B42397">
        <w:rPr>
          <w:snapToGrid/>
        </w:rPr>
        <w:t xml:space="preserve">of </w:t>
      </w:r>
      <w:r w:rsidRPr="00B42397">
        <w:rPr>
          <w:snapToGrid/>
        </w:rPr>
        <w:t xml:space="preserve">an </w:t>
      </w:r>
      <w:r w:rsidR="000A142C" w:rsidRPr="00B42397">
        <w:rPr>
          <w:snapToGrid/>
        </w:rPr>
        <w:t>immunomodulatory drug (</w:t>
      </w:r>
      <w:proofErr w:type="spellStart"/>
      <w:r w:rsidRPr="00B42397">
        <w:rPr>
          <w:snapToGrid/>
        </w:rPr>
        <w:t>IMiD</w:t>
      </w:r>
      <w:proofErr w:type="spellEnd"/>
      <w:r w:rsidR="00981429" w:rsidRPr="00B42397">
        <w:rPr>
          <w:snapToGrid/>
        </w:rPr>
        <w:t xml:space="preserve">, such as </w:t>
      </w:r>
      <w:r w:rsidR="00981429" w:rsidRPr="00B42397">
        <w:rPr>
          <w:snapToGrid/>
        </w:rPr>
        <w:lastRenderedPageBreak/>
        <w:t>lenalidomide</w:t>
      </w:r>
      <w:r w:rsidR="000A142C" w:rsidRPr="00B42397">
        <w:rPr>
          <w:snapToGrid/>
        </w:rPr>
        <w:t>)</w:t>
      </w:r>
      <w:r w:rsidRPr="00B42397">
        <w:rPr>
          <w:snapToGrid/>
        </w:rPr>
        <w:t xml:space="preserve">, then it may be more likely that RRMM treatment would include a proteasome inhibitor containing regimen such as carfilzomib. </w:t>
      </w:r>
      <w:r w:rsidR="000120C0" w:rsidRPr="00B42397">
        <w:rPr>
          <w:snapToGrid/>
        </w:rPr>
        <w:t>The ESC</w:t>
      </w:r>
      <w:r w:rsidR="00DF7A2F" w:rsidRPr="00B42397">
        <w:rPr>
          <w:snapToGrid/>
        </w:rPr>
        <w:t xml:space="preserve"> considered</w:t>
      </w:r>
      <w:r w:rsidR="000A2907" w:rsidRPr="00B42397">
        <w:rPr>
          <w:snapToGrid/>
        </w:rPr>
        <w:t xml:space="preserve"> that</w:t>
      </w:r>
      <w:r w:rsidR="00DF7A2F" w:rsidRPr="00B42397">
        <w:rPr>
          <w:snapToGrid/>
        </w:rPr>
        <w:t>, as long as there were no safety concerns with either lenalidomide or dexamethasone, th</w:t>
      </w:r>
      <w:r w:rsidR="000A2907" w:rsidRPr="00B42397">
        <w:rPr>
          <w:snapToGrid/>
        </w:rPr>
        <w:t>ere would be no reason that patients who</w:t>
      </w:r>
      <w:r w:rsidR="00DF7A2F" w:rsidRPr="00B42397">
        <w:rPr>
          <w:snapToGrid/>
        </w:rPr>
        <w:t xml:space="preserve"> had received lenalidomide in the NDMM setting would </w:t>
      </w:r>
      <w:r w:rsidR="000A2907" w:rsidRPr="00B42397">
        <w:rPr>
          <w:snapToGrid/>
        </w:rPr>
        <w:t xml:space="preserve">not </w:t>
      </w:r>
      <w:r w:rsidR="00DF7A2F" w:rsidRPr="00B42397">
        <w:rPr>
          <w:snapToGrid/>
        </w:rPr>
        <w:t xml:space="preserve">receive treatment that consisted of an </w:t>
      </w:r>
      <w:proofErr w:type="spellStart"/>
      <w:r w:rsidR="00DF7A2F" w:rsidRPr="00B42397">
        <w:rPr>
          <w:snapToGrid/>
        </w:rPr>
        <w:t>IMid</w:t>
      </w:r>
      <w:proofErr w:type="spellEnd"/>
      <w:r w:rsidR="00DF7A2F" w:rsidRPr="00B42397">
        <w:rPr>
          <w:snapToGrid/>
        </w:rPr>
        <w:t xml:space="preserve"> (e</w:t>
      </w:r>
      <w:r w:rsidR="00DC7B59">
        <w:rPr>
          <w:snapToGrid/>
        </w:rPr>
        <w:t>.</w:t>
      </w:r>
      <w:r w:rsidR="00DF7A2F" w:rsidRPr="00B42397">
        <w:rPr>
          <w:snapToGrid/>
        </w:rPr>
        <w:t xml:space="preserve">g. </w:t>
      </w:r>
      <w:proofErr w:type="spellStart"/>
      <w:r w:rsidR="00DF7A2F" w:rsidRPr="00B42397">
        <w:rPr>
          <w:snapToGrid/>
        </w:rPr>
        <w:t>ELd</w:t>
      </w:r>
      <w:proofErr w:type="spellEnd"/>
      <w:r w:rsidR="00DF7A2F" w:rsidRPr="00B42397">
        <w:rPr>
          <w:snapToGrid/>
        </w:rPr>
        <w:t>) in the RRMM setting</w:t>
      </w:r>
      <w:r w:rsidR="00B42397">
        <w:rPr>
          <w:snapToGrid/>
        </w:rPr>
        <w:t xml:space="preserve">. </w:t>
      </w:r>
    </w:p>
    <w:p w14:paraId="019608AA" w14:textId="77777777" w:rsidR="000A2907" w:rsidRPr="00B42397" w:rsidRDefault="000A2907" w:rsidP="000A2907">
      <w:pPr>
        <w:pStyle w:val="3-BodyText"/>
        <w:rPr>
          <w:snapToGrid/>
        </w:rPr>
      </w:pPr>
      <w:r w:rsidRPr="00B42397">
        <w:rPr>
          <w:iCs/>
          <w:color w:val="000000" w:themeColor="text1"/>
        </w:rPr>
        <w:t xml:space="preserve">The ESC considered that Cd would be mostly displaced by </w:t>
      </w:r>
      <w:proofErr w:type="spellStart"/>
      <w:r w:rsidRPr="00B42397">
        <w:rPr>
          <w:iCs/>
          <w:color w:val="000000" w:themeColor="text1"/>
        </w:rPr>
        <w:t>ELd</w:t>
      </w:r>
      <w:proofErr w:type="spellEnd"/>
      <w:r w:rsidRPr="00B42397">
        <w:rPr>
          <w:iCs/>
          <w:color w:val="000000" w:themeColor="text1"/>
        </w:rPr>
        <w:t xml:space="preserve">, whereas </w:t>
      </w:r>
      <w:proofErr w:type="spellStart"/>
      <w:proofErr w:type="gramStart"/>
      <w:r w:rsidRPr="00B42397">
        <w:rPr>
          <w:iCs/>
          <w:color w:val="000000" w:themeColor="text1"/>
        </w:rPr>
        <w:t>Ld</w:t>
      </w:r>
      <w:proofErr w:type="spellEnd"/>
      <w:proofErr w:type="gramEnd"/>
      <w:r w:rsidRPr="00B42397">
        <w:rPr>
          <w:iCs/>
          <w:color w:val="000000" w:themeColor="text1"/>
        </w:rPr>
        <w:t xml:space="preserve"> would be replaced; thus, </w:t>
      </w:r>
      <w:proofErr w:type="spellStart"/>
      <w:r w:rsidRPr="00B42397">
        <w:rPr>
          <w:iCs/>
          <w:color w:val="000000" w:themeColor="text1"/>
        </w:rPr>
        <w:t>Ld</w:t>
      </w:r>
      <w:proofErr w:type="spellEnd"/>
      <w:r w:rsidRPr="00B42397">
        <w:rPr>
          <w:iCs/>
          <w:color w:val="000000" w:themeColor="text1"/>
        </w:rPr>
        <w:t xml:space="preserve"> may be the more relevant comparator. However, the ESC noted that the implications of the recent PBS listings of lenalidomide in the first-line setting and the recent PBAC recommendation of daratumumab in the second-line setting were, as yet, unknown and created significant uncertainty around the predicted market shares of lenalidomide and carfilzomib in RRMM.</w:t>
      </w:r>
    </w:p>
    <w:p w14:paraId="73D716CE" w14:textId="77777777" w:rsidR="00BD1EC8" w:rsidRPr="00B42397" w:rsidRDefault="00BD1EC8" w:rsidP="000A2907">
      <w:pPr>
        <w:pStyle w:val="3-BodyText"/>
        <w:rPr>
          <w:snapToGrid/>
        </w:rPr>
      </w:pPr>
      <w:r w:rsidRPr="00B42397">
        <w:rPr>
          <w:iCs/>
          <w:color w:val="000000" w:themeColor="text1"/>
        </w:rPr>
        <w:t xml:space="preserve">The PBAC noted that approximately 40% of patients in each treatment line do not receive subsequent treatment i.e. of all </w:t>
      </w:r>
      <w:r w:rsidR="00B42397" w:rsidRPr="00B42397">
        <w:rPr>
          <w:iCs/>
          <w:color w:val="000000" w:themeColor="text1"/>
        </w:rPr>
        <w:t>patients</w:t>
      </w:r>
      <w:r w:rsidRPr="00B42397">
        <w:rPr>
          <w:iCs/>
          <w:color w:val="000000" w:themeColor="text1"/>
        </w:rPr>
        <w:t xml:space="preserve"> who initiate treatment, only </w:t>
      </w:r>
      <w:r w:rsidR="00DC7B59">
        <w:rPr>
          <w:iCs/>
          <w:color w:val="000000" w:themeColor="text1"/>
        </w:rPr>
        <w:t>22</w:t>
      </w:r>
      <w:r w:rsidRPr="00B42397">
        <w:rPr>
          <w:iCs/>
          <w:color w:val="000000" w:themeColor="text1"/>
        </w:rPr>
        <w:t>% will receive a fourth-line treatment and 1</w:t>
      </w:r>
      <w:r w:rsidR="00DC7B59">
        <w:rPr>
          <w:iCs/>
          <w:color w:val="000000" w:themeColor="text1"/>
        </w:rPr>
        <w:t>3</w:t>
      </w:r>
      <w:r w:rsidRPr="00B42397">
        <w:rPr>
          <w:iCs/>
          <w:color w:val="000000" w:themeColor="text1"/>
        </w:rPr>
        <w:t>% will receive a fifth-line treatment. Therefore, for some patients, treatment substitution in the third-line setting will represent a replacement, rather than a displacement of therapy.</w:t>
      </w:r>
    </w:p>
    <w:p w14:paraId="1D92CDC2" w14:textId="77777777" w:rsidR="000A2907" w:rsidRPr="00B42397" w:rsidRDefault="000A2907" w:rsidP="000A2907">
      <w:pPr>
        <w:pStyle w:val="3-BodyText"/>
        <w:rPr>
          <w:snapToGrid/>
          <w:color w:val="0066FF"/>
        </w:rPr>
      </w:pPr>
      <w:r w:rsidRPr="00B42397">
        <w:rPr>
          <w:iCs/>
          <w:color w:val="000000" w:themeColor="text1"/>
        </w:rPr>
        <w:t xml:space="preserve">The ESC considered that the impact of the PBAC recommendation of daratumumab was particularly difficult to estimate. As daratumumab, in combination with bortezomib and dexamethasone (DBd), is restricted to the second-line setting only and will likely be the preference of most patients in this setting if available, the ESC noted that </w:t>
      </w:r>
      <w:proofErr w:type="spellStart"/>
      <w:r w:rsidRPr="00B42397">
        <w:rPr>
          <w:iCs/>
          <w:color w:val="000000" w:themeColor="text1"/>
        </w:rPr>
        <w:t>ELd</w:t>
      </w:r>
      <w:proofErr w:type="spellEnd"/>
      <w:r w:rsidRPr="00B42397">
        <w:rPr>
          <w:iCs/>
          <w:color w:val="000000" w:themeColor="text1"/>
        </w:rPr>
        <w:t xml:space="preserve"> (and Cd and </w:t>
      </w:r>
      <w:proofErr w:type="spellStart"/>
      <w:r w:rsidRPr="00B42397">
        <w:rPr>
          <w:iCs/>
          <w:color w:val="000000" w:themeColor="text1"/>
        </w:rPr>
        <w:t>Ld</w:t>
      </w:r>
      <w:proofErr w:type="spellEnd"/>
      <w:r w:rsidRPr="00B42397">
        <w:rPr>
          <w:iCs/>
          <w:color w:val="000000" w:themeColor="text1"/>
        </w:rPr>
        <w:t xml:space="preserve">) would most likely be used in the third-line setting, making pomalidomide </w:t>
      </w:r>
      <w:r w:rsidR="00BD1EC8" w:rsidRPr="00B42397">
        <w:rPr>
          <w:iCs/>
          <w:color w:val="000000" w:themeColor="text1"/>
        </w:rPr>
        <w:t>plus dexamethasone (</w:t>
      </w:r>
      <w:proofErr w:type="spellStart"/>
      <w:r w:rsidR="00BD1EC8" w:rsidRPr="00B42397">
        <w:rPr>
          <w:iCs/>
          <w:color w:val="000000" w:themeColor="text1"/>
        </w:rPr>
        <w:t>Pd</w:t>
      </w:r>
      <w:proofErr w:type="spellEnd"/>
      <w:r w:rsidR="00BD1EC8" w:rsidRPr="00B42397">
        <w:rPr>
          <w:iCs/>
          <w:color w:val="000000" w:themeColor="text1"/>
        </w:rPr>
        <w:t xml:space="preserve">) </w:t>
      </w:r>
      <w:r w:rsidRPr="00B42397">
        <w:rPr>
          <w:iCs/>
          <w:color w:val="000000" w:themeColor="text1"/>
        </w:rPr>
        <w:t xml:space="preserve">another relevant comparator. The ESC </w:t>
      </w:r>
      <w:r w:rsidR="00F31103" w:rsidRPr="00B42397">
        <w:rPr>
          <w:iCs/>
          <w:color w:val="000000" w:themeColor="text1"/>
        </w:rPr>
        <w:t xml:space="preserve">also </w:t>
      </w:r>
      <w:r w:rsidRPr="00B42397">
        <w:rPr>
          <w:iCs/>
          <w:color w:val="000000" w:themeColor="text1"/>
        </w:rPr>
        <w:t>noted early evidence</w:t>
      </w:r>
      <w:r w:rsidRPr="00B42397">
        <w:rPr>
          <w:rStyle w:val="FootnoteReference"/>
          <w:iCs/>
          <w:color w:val="000000" w:themeColor="text1"/>
        </w:rPr>
        <w:footnoteReference w:id="1"/>
      </w:r>
      <w:r w:rsidRPr="00B42397">
        <w:rPr>
          <w:iCs/>
          <w:color w:val="000000" w:themeColor="text1"/>
        </w:rPr>
        <w:t xml:space="preserve"> suggesting that </w:t>
      </w:r>
      <w:proofErr w:type="spellStart"/>
      <w:r w:rsidRPr="00B42397">
        <w:rPr>
          <w:iCs/>
          <w:color w:val="000000" w:themeColor="text1"/>
        </w:rPr>
        <w:t>ELd</w:t>
      </w:r>
      <w:proofErr w:type="spellEnd"/>
      <w:r w:rsidRPr="00B42397">
        <w:rPr>
          <w:iCs/>
          <w:color w:val="000000" w:themeColor="text1"/>
        </w:rPr>
        <w:t xml:space="preserve"> may be better used before DBd; however, considered that the recommended restriction for daratumumab would ensure DBd is used in the second-line setting</w:t>
      </w:r>
      <w:r w:rsidR="00B42397">
        <w:rPr>
          <w:iCs/>
          <w:color w:val="000000" w:themeColor="text1"/>
        </w:rPr>
        <w:t xml:space="preserve">. </w:t>
      </w:r>
    </w:p>
    <w:p w14:paraId="23EC404E" w14:textId="77777777" w:rsidR="0059585B" w:rsidRPr="00B42397" w:rsidRDefault="00410281" w:rsidP="0059585B">
      <w:pPr>
        <w:pStyle w:val="3-BodyText"/>
        <w:rPr>
          <w:color w:val="000000" w:themeColor="text1"/>
        </w:rPr>
      </w:pPr>
      <w:r w:rsidRPr="00B42397">
        <w:rPr>
          <w:color w:val="000000" w:themeColor="text1"/>
        </w:rPr>
        <w:t>Like daratumumab, e</w:t>
      </w:r>
      <w:r w:rsidR="0059585B" w:rsidRPr="00B42397">
        <w:rPr>
          <w:color w:val="000000" w:themeColor="text1"/>
        </w:rPr>
        <w:t>lotuzumab is a monoclonal antibody with a drug class of L01XC23 that specifically targets the S</w:t>
      </w:r>
      <w:r w:rsidR="007D07A5" w:rsidRPr="00B42397">
        <w:rPr>
          <w:color w:val="000000" w:themeColor="text1"/>
        </w:rPr>
        <w:t>L</w:t>
      </w:r>
      <w:r w:rsidR="0059585B" w:rsidRPr="00B42397">
        <w:rPr>
          <w:color w:val="000000" w:themeColor="text1"/>
        </w:rPr>
        <w:t xml:space="preserve">AMF7 protein. </w:t>
      </w:r>
      <w:r w:rsidR="0059585B" w:rsidRPr="00B42397">
        <w:rPr>
          <w:iCs/>
        </w:rPr>
        <w:t xml:space="preserve">The submission did not provide trial evidence of the comparison of </w:t>
      </w:r>
      <w:proofErr w:type="spellStart"/>
      <w:r w:rsidR="001F5659" w:rsidRPr="00B42397">
        <w:rPr>
          <w:iCs/>
        </w:rPr>
        <w:t>ELd</w:t>
      </w:r>
      <w:proofErr w:type="spellEnd"/>
      <w:r w:rsidR="0059585B" w:rsidRPr="00B42397">
        <w:rPr>
          <w:iCs/>
        </w:rPr>
        <w:t xml:space="preserve"> with DBd other than that contained in a published network meta-analysis. </w:t>
      </w:r>
      <w:r w:rsidR="00AC64AE" w:rsidRPr="00B42397">
        <w:rPr>
          <w:iCs/>
        </w:rPr>
        <w:t xml:space="preserve">DBd was recommended at the July 2020 PBAC meeting and a PBS listing </w:t>
      </w:r>
      <w:r w:rsidR="00DE1B80" w:rsidRPr="00B42397">
        <w:rPr>
          <w:iCs/>
        </w:rPr>
        <w:t xml:space="preserve">may impact on the line of treatment at which </w:t>
      </w:r>
      <w:proofErr w:type="spellStart"/>
      <w:r w:rsidR="001F5659" w:rsidRPr="00B42397">
        <w:rPr>
          <w:iCs/>
        </w:rPr>
        <w:t>ELd</w:t>
      </w:r>
      <w:proofErr w:type="spellEnd"/>
      <w:r w:rsidR="00DE1B80" w:rsidRPr="00B42397">
        <w:rPr>
          <w:iCs/>
        </w:rPr>
        <w:t xml:space="preserve"> is used.</w:t>
      </w:r>
    </w:p>
    <w:p w14:paraId="396BA5FC" w14:textId="77777777" w:rsidR="00BD6668" w:rsidRPr="00BD6668" w:rsidRDefault="00DC7B59" w:rsidP="0059585B">
      <w:pPr>
        <w:pStyle w:val="3-BodyText"/>
        <w:rPr>
          <w:iCs/>
          <w:color w:val="000000" w:themeColor="text1"/>
        </w:rPr>
      </w:pPr>
      <w:r>
        <w:rPr>
          <w:color w:val="000000" w:themeColor="text1"/>
        </w:rPr>
        <w:t xml:space="preserve">With reference to the requirements of the </w:t>
      </w:r>
      <w:r w:rsidRPr="00E20E2D">
        <w:rPr>
          <w:i/>
          <w:color w:val="000000" w:themeColor="text1"/>
        </w:rPr>
        <w:t>National Health Act 1953</w:t>
      </w:r>
      <w:r>
        <w:rPr>
          <w:color w:val="000000" w:themeColor="text1"/>
        </w:rPr>
        <w:t xml:space="preserve">, Section 101(3B), the PBAC was satisfied that </w:t>
      </w:r>
      <w:proofErr w:type="spellStart"/>
      <w:r>
        <w:rPr>
          <w:color w:val="000000" w:themeColor="text1"/>
        </w:rPr>
        <w:t>ELd</w:t>
      </w:r>
      <w:proofErr w:type="spellEnd"/>
      <w:r>
        <w:rPr>
          <w:color w:val="000000" w:themeColor="text1"/>
        </w:rPr>
        <w:t xml:space="preserve"> provides, for some patients, a significant improvement in efficacy over </w:t>
      </w:r>
      <w:proofErr w:type="spellStart"/>
      <w:proofErr w:type="gramStart"/>
      <w:r>
        <w:rPr>
          <w:color w:val="000000" w:themeColor="text1"/>
        </w:rPr>
        <w:t>Ld</w:t>
      </w:r>
      <w:proofErr w:type="spellEnd"/>
      <w:proofErr w:type="gramEnd"/>
      <w:r>
        <w:rPr>
          <w:color w:val="000000" w:themeColor="text1"/>
        </w:rPr>
        <w:t>, and by ex</w:t>
      </w:r>
      <w:r w:rsidR="00BD6668">
        <w:rPr>
          <w:color w:val="000000" w:themeColor="text1"/>
        </w:rPr>
        <w:t>tension, over Bd.</w:t>
      </w:r>
    </w:p>
    <w:p w14:paraId="71CB907B" w14:textId="77777777" w:rsidR="00CF2A85" w:rsidRPr="00B42397" w:rsidRDefault="00CF2A85" w:rsidP="0059585B">
      <w:pPr>
        <w:pStyle w:val="3-BodyText"/>
        <w:rPr>
          <w:iCs/>
          <w:color w:val="000000" w:themeColor="text1"/>
        </w:rPr>
      </w:pPr>
      <w:r w:rsidRPr="00B42397">
        <w:rPr>
          <w:iCs/>
          <w:color w:val="000000" w:themeColor="text1"/>
        </w:rPr>
        <w:lastRenderedPageBreak/>
        <w:t>The ESC noted that ixazomib in combination with lenalidomide and dexamethasone (</w:t>
      </w:r>
      <w:proofErr w:type="spellStart"/>
      <w:r w:rsidRPr="00B42397">
        <w:rPr>
          <w:iCs/>
          <w:color w:val="000000" w:themeColor="text1"/>
        </w:rPr>
        <w:t>ILd</w:t>
      </w:r>
      <w:proofErr w:type="spellEnd"/>
      <w:r w:rsidRPr="00B42397">
        <w:rPr>
          <w:iCs/>
          <w:color w:val="000000" w:themeColor="text1"/>
        </w:rPr>
        <w:t xml:space="preserve">), which </w:t>
      </w:r>
      <w:r w:rsidR="00BD1EC8" w:rsidRPr="00B42397">
        <w:rPr>
          <w:iCs/>
          <w:color w:val="000000" w:themeColor="text1"/>
        </w:rPr>
        <w:t xml:space="preserve">was </w:t>
      </w:r>
      <w:r w:rsidRPr="00B42397">
        <w:rPr>
          <w:iCs/>
          <w:color w:val="000000" w:themeColor="text1"/>
        </w:rPr>
        <w:t>also considered at the November 2020 PBAC meeting, would be a near market comparator.</w:t>
      </w:r>
    </w:p>
    <w:p w14:paraId="2972BA04" w14:textId="77777777" w:rsidR="00B47906" w:rsidRPr="00B42397" w:rsidRDefault="00B47906" w:rsidP="00B47906">
      <w:pPr>
        <w:ind w:firstLine="720"/>
        <w:rPr>
          <w:i/>
        </w:rPr>
      </w:pPr>
      <w:r w:rsidRPr="00B42397">
        <w:rPr>
          <w:i/>
        </w:rPr>
        <w:t>For more detail on PBAC’s view, see section 7 PBAC outcome.</w:t>
      </w:r>
    </w:p>
    <w:p w14:paraId="315704B2" w14:textId="77777777" w:rsidR="00223D5A" w:rsidRPr="00B42397" w:rsidRDefault="00223D5A" w:rsidP="00223D5A">
      <w:pPr>
        <w:pStyle w:val="2-SectionHeading"/>
      </w:pPr>
      <w:bookmarkStart w:id="8" w:name="_Toc49758140"/>
      <w:bookmarkStart w:id="9" w:name="_Toc22897640"/>
      <w:r w:rsidRPr="00B42397">
        <w:t>Consideration of the evidence</w:t>
      </w:r>
      <w:bookmarkEnd w:id="8"/>
    </w:p>
    <w:p w14:paraId="725BE0F3" w14:textId="77777777" w:rsidR="00B47906" w:rsidRPr="00B42397" w:rsidRDefault="00B47906" w:rsidP="00857CE0">
      <w:pPr>
        <w:pStyle w:val="4-SubsectionHeading"/>
        <w:rPr>
          <w:snapToGrid w:val="0"/>
        </w:rPr>
      </w:pPr>
      <w:bookmarkStart w:id="10" w:name="_Toc49758141"/>
      <w:r w:rsidRPr="00B42397">
        <w:rPr>
          <w:snapToGrid w:val="0"/>
        </w:rPr>
        <w:t>Sponsor hearing</w:t>
      </w:r>
    </w:p>
    <w:p w14:paraId="49D1C4A3" w14:textId="77777777" w:rsidR="00B47906" w:rsidRPr="00B42397" w:rsidRDefault="00680BBE" w:rsidP="00B47906">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sponsor requested a hearing for this item. The clinician described the importance of additional treatment options for patients with RRMM, particularly those that incorporated monoclonal antibodies. The clinician also described the patients who would benefit most from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treatment (i.e. those in whom retreatment with a lenalidomide-containing backbone was preferable) and the lack of cumulative side effects.</w:t>
      </w:r>
    </w:p>
    <w:p w14:paraId="0F716C85" w14:textId="77777777" w:rsidR="00B47906" w:rsidRPr="00B42397" w:rsidRDefault="00B47906" w:rsidP="00857CE0">
      <w:pPr>
        <w:pStyle w:val="4-SubsectionHeading"/>
        <w:rPr>
          <w:snapToGrid w:val="0"/>
        </w:rPr>
      </w:pPr>
      <w:r w:rsidRPr="00B42397">
        <w:rPr>
          <w:snapToGrid w:val="0"/>
        </w:rPr>
        <w:t>Consumer comments</w:t>
      </w:r>
    </w:p>
    <w:p w14:paraId="0D5CF2DA" w14:textId="77777777" w:rsidR="00B47906" w:rsidRPr="00B42397" w:rsidRDefault="00B47906" w:rsidP="00B47906">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The PBAC noted and welcomed the input from individuals (4</w:t>
      </w:r>
      <w:r w:rsidR="00857CE0" w:rsidRPr="00B42397">
        <w:rPr>
          <w:rFonts w:asciiTheme="minorHAnsi" w:hAnsiTheme="minorHAnsi"/>
          <w:bCs/>
          <w:snapToGrid w:val="0"/>
        </w:rPr>
        <w:t>0</w:t>
      </w:r>
      <w:r w:rsidRPr="00B42397">
        <w:rPr>
          <w:rFonts w:asciiTheme="minorHAnsi" w:hAnsiTheme="minorHAnsi"/>
          <w:bCs/>
          <w:snapToGrid w:val="0"/>
        </w:rPr>
        <w:t>)</w:t>
      </w:r>
      <w:r w:rsidR="00857CE0" w:rsidRPr="00B42397">
        <w:rPr>
          <w:rFonts w:asciiTheme="minorHAnsi" w:hAnsiTheme="minorHAnsi"/>
          <w:bCs/>
          <w:snapToGrid w:val="0"/>
        </w:rPr>
        <w:t xml:space="preserve"> </w:t>
      </w:r>
      <w:r w:rsidRPr="00B42397">
        <w:rPr>
          <w:rFonts w:asciiTheme="minorHAnsi" w:hAnsiTheme="minorHAnsi"/>
          <w:bCs/>
          <w:snapToGrid w:val="0"/>
        </w:rPr>
        <w:t>and organisations (</w:t>
      </w:r>
      <w:r w:rsidR="00857CE0" w:rsidRPr="00B42397">
        <w:rPr>
          <w:rFonts w:asciiTheme="minorHAnsi" w:hAnsiTheme="minorHAnsi"/>
          <w:bCs/>
          <w:snapToGrid w:val="0"/>
        </w:rPr>
        <w:t>4</w:t>
      </w:r>
      <w:r w:rsidRPr="00B42397">
        <w:rPr>
          <w:rFonts w:asciiTheme="minorHAnsi" w:hAnsiTheme="minorHAnsi"/>
          <w:bCs/>
          <w:snapToGrid w:val="0"/>
        </w:rPr>
        <w:t>) via the Consumer Comments facility on the PBS website</w:t>
      </w:r>
      <w:r w:rsidR="00B42397">
        <w:rPr>
          <w:rFonts w:asciiTheme="minorHAnsi" w:hAnsiTheme="minorHAnsi"/>
          <w:bCs/>
          <w:snapToGrid w:val="0"/>
        </w:rPr>
        <w:t xml:space="preserve">. </w:t>
      </w:r>
      <w:r w:rsidRPr="00B42397">
        <w:rPr>
          <w:rFonts w:asciiTheme="minorHAnsi" w:hAnsiTheme="minorHAnsi"/>
          <w:bCs/>
          <w:snapToGrid w:val="0"/>
        </w:rPr>
        <w:t xml:space="preserve">The comments </w:t>
      </w:r>
      <w:r w:rsidR="00857CE0" w:rsidRPr="00B42397">
        <w:rPr>
          <w:rFonts w:asciiTheme="minorHAnsi" w:hAnsiTheme="minorHAnsi"/>
          <w:bCs/>
          <w:snapToGrid w:val="0"/>
        </w:rPr>
        <w:t xml:space="preserve">from individuals who had received </w:t>
      </w:r>
      <w:r w:rsidRPr="00B42397">
        <w:rPr>
          <w:rFonts w:asciiTheme="minorHAnsi" w:hAnsiTheme="minorHAnsi"/>
          <w:bCs/>
          <w:snapToGrid w:val="0"/>
        </w:rPr>
        <w:t xml:space="preserve">treatment with </w:t>
      </w:r>
      <w:r w:rsidR="00857CE0" w:rsidRPr="00B42397">
        <w:rPr>
          <w:rFonts w:asciiTheme="minorHAnsi" w:hAnsiTheme="minorHAnsi"/>
          <w:bCs/>
          <w:snapToGrid w:val="0"/>
        </w:rPr>
        <w:t>elotuzumab</w:t>
      </w:r>
      <w:r w:rsidRPr="00B42397">
        <w:rPr>
          <w:rFonts w:asciiTheme="minorHAnsi" w:hAnsiTheme="minorHAnsi"/>
          <w:bCs/>
          <w:snapToGrid w:val="0"/>
        </w:rPr>
        <w:t xml:space="preserve"> </w:t>
      </w:r>
      <w:r w:rsidR="00857CE0" w:rsidRPr="00B42397">
        <w:rPr>
          <w:rFonts w:asciiTheme="minorHAnsi" w:hAnsiTheme="minorHAnsi"/>
          <w:bCs/>
          <w:snapToGrid w:val="0"/>
        </w:rPr>
        <w:t xml:space="preserve">described </w:t>
      </w:r>
      <w:r w:rsidR="00B42397" w:rsidRPr="00B42397">
        <w:rPr>
          <w:rFonts w:asciiTheme="minorHAnsi" w:hAnsiTheme="minorHAnsi"/>
          <w:bCs/>
          <w:snapToGrid w:val="0"/>
        </w:rPr>
        <w:t>benefits</w:t>
      </w:r>
      <w:r w:rsidR="00857CE0" w:rsidRPr="00B42397">
        <w:rPr>
          <w:rFonts w:asciiTheme="minorHAnsi" w:hAnsiTheme="minorHAnsi"/>
          <w:bCs/>
          <w:snapToGrid w:val="0"/>
        </w:rPr>
        <w:t xml:space="preserve"> </w:t>
      </w:r>
      <w:r w:rsidRPr="00B42397">
        <w:rPr>
          <w:rFonts w:asciiTheme="minorHAnsi" w:hAnsiTheme="minorHAnsi"/>
          <w:bCs/>
          <w:snapToGrid w:val="0"/>
        </w:rPr>
        <w:t>including few side effects</w:t>
      </w:r>
      <w:r w:rsidR="00857CE0" w:rsidRPr="00B42397">
        <w:rPr>
          <w:rFonts w:asciiTheme="minorHAnsi" w:hAnsiTheme="minorHAnsi"/>
          <w:bCs/>
          <w:snapToGrid w:val="0"/>
        </w:rPr>
        <w:t xml:space="preserve"> and improved quality of life. A number of individuals described the benefits of access to new treatment options and the impact this has on quality of life</w:t>
      </w:r>
      <w:r w:rsidR="00B42397">
        <w:rPr>
          <w:rFonts w:asciiTheme="minorHAnsi" w:hAnsiTheme="minorHAnsi"/>
          <w:bCs/>
          <w:snapToGrid w:val="0"/>
        </w:rPr>
        <w:t xml:space="preserve">. </w:t>
      </w:r>
      <w:r w:rsidRPr="00B42397">
        <w:rPr>
          <w:rFonts w:asciiTheme="minorHAnsi" w:hAnsiTheme="minorHAnsi"/>
          <w:bCs/>
          <w:snapToGrid w:val="0"/>
        </w:rPr>
        <w:t xml:space="preserve"> </w:t>
      </w:r>
    </w:p>
    <w:p w14:paraId="41DD4214" w14:textId="77777777" w:rsidR="005B421A" w:rsidRPr="00B42397" w:rsidRDefault="00B47906" w:rsidP="005B421A">
      <w:pPr>
        <w:widowControl w:val="0"/>
        <w:numPr>
          <w:ilvl w:val="1"/>
          <w:numId w:val="1"/>
        </w:numPr>
        <w:spacing w:after="120"/>
        <w:rPr>
          <w:rFonts w:asciiTheme="minorHAnsi" w:hAnsiTheme="minorHAnsi"/>
          <w:b/>
          <w:bCs/>
          <w:snapToGrid w:val="0"/>
        </w:rPr>
      </w:pPr>
      <w:r w:rsidRPr="00B42397">
        <w:rPr>
          <w:rFonts w:asciiTheme="minorHAnsi" w:hAnsiTheme="minorHAnsi"/>
          <w:bCs/>
          <w:snapToGrid w:val="0"/>
        </w:rPr>
        <w:t xml:space="preserve">The PBAC noted the advice received from </w:t>
      </w:r>
      <w:r w:rsidR="005B421A" w:rsidRPr="00B42397">
        <w:rPr>
          <w:rFonts w:asciiTheme="minorHAnsi" w:hAnsiTheme="minorHAnsi"/>
          <w:bCs/>
          <w:snapToGrid w:val="0"/>
        </w:rPr>
        <w:t>(</w:t>
      </w:r>
      <w:proofErr w:type="spellStart"/>
      <w:r w:rsidR="005B421A" w:rsidRPr="00B42397">
        <w:rPr>
          <w:rFonts w:asciiTheme="minorHAnsi" w:hAnsiTheme="minorHAnsi"/>
          <w:bCs/>
          <w:snapToGrid w:val="0"/>
        </w:rPr>
        <w:t>i</w:t>
      </w:r>
      <w:proofErr w:type="spellEnd"/>
      <w:r w:rsidR="005B421A" w:rsidRPr="00B42397">
        <w:rPr>
          <w:rFonts w:asciiTheme="minorHAnsi" w:hAnsiTheme="minorHAnsi"/>
          <w:bCs/>
          <w:snapToGrid w:val="0"/>
        </w:rPr>
        <w:t>) Myeloma Australia, (ii)</w:t>
      </w:r>
      <w:r w:rsidR="00121691" w:rsidRPr="00B42397">
        <w:rPr>
          <w:rFonts w:asciiTheme="minorHAnsi" w:hAnsiTheme="minorHAnsi"/>
          <w:bCs/>
          <w:snapToGrid w:val="0"/>
        </w:rPr>
        <w:t xml:space="preserve"> </w:t>
      </w:r>
      <w:r w:rsidR="005B421A" w:rsidRPr="00B42397">
        <w:rPr>
          <w:rFonts w:asciiTheme="minorHAnsi" w:hAnsiTheme="minorHAnsi"/>
          <w:bCs/>
        </w:rPr>
        <w:t>Myeloma Australia’s Medical and Scientific Group (MSAG),</w:t>
      </w:r>
      <w:r w:rsidR="005B421A" w:rsidRPr="00B42397">
        <w:rPr>
          <w:rFonts w:asciiTheme="minorHAnsi" w:hAnsiTheme="minorHAnsi"/>
          <w:bCs/>
          <w:snapToGrid w:val="0"/>
        </w:rPr>
        <w:t xml:space="preserve"> (iii) The Leukaemia Foundation, and (iv) Rare Cancers Australia</w:t>
      </w:r>
      <w:r w:rsidRPr="00B42397">
        <w:rPr>
          <w:rFonts w:asciiTheme="minorHAnsi" w:hAnsiTheme="minorHAnsi"/>
          <w:bCs/>
          <w:snapToGrid w:val="0"/>
        </w:rPr>
        <w:t xml:space="preserve"> </w:t>
      </w:r>
      <w:r w:rsidR="005B421A" w:rsidRPr="00B42397">
        <w:rPr>
          <w:rFonts w:asciiTheme="minorHAnsi" w:hAnsiTheme="minorHAnsi"/>
          <w:bCs/>
          <w:snapToGrid w:val="0"/>
        </w:rPr>
        <w:t xml:space="preserve">which strongly supported the submission </w:t>
      </w:r>
      <w:r w:rsidR="00121691" w:rsidRPr="00B42397">
        <w:rPr>
          <w:rFonts w:asciiTheme="minorHAnsi" w:hAnsiTheme="minorHAnsi"/>
          <w:bCs/>
          <w:snapToGrid w:val="0"/>
        </w:rPr>
        <w:t xml:space="preserve">for elotuzumab </w:t>
      </w:r>
      <w:r w:rsidR="005B421A" w:rsidRPr="00B42397">
        <w:rPr>
          <w:rFonts w:asciiTheme="minorHAnsi" w:hAnsiTheme="minorHAnsi"/>
          <w:bCs/>
          <w:snapToGrid w:val="0"/>
        </w:rPr>
        <w:t xml:space="preserve">and the need for alternative treatments for multiple myeloma patients. </w:t>
      </w:r>
    </w:p>
    <w:p w14:paraId="603CCB89" w14:textId="77777777" w:rsidR="00B60939" w:rsidRPr="00B42397" w:rsidRDefault="00B60939" w:rsidP="002E4F02">
      <w:pPr>
        <w:pStyle w:val="4-SubsectionHeading"/>
      </w:pPr>
      <w:r w:rsidRPr="00B42397">
        <w:t>Clinical trials</w:t>
      </w:r>
      <w:bookmarkEnd w:id="9"/>
      <w:bookmarkEnd w:id="10"/>
    </w:p>
    <w:p w14:paraId="1759318C" w14:textId="77777777" w:rsidR="005F7650" w:rsidRPr="00B42397" w:rsidRDefault="00A73134" w:rsidP="007D07A5">
      <w:pPr>
        <w:pStyle w:val="3-BodyText"/>
      </w:pPr>
      <w:r w:rsidRPr="00B42397">
        <w:rPr>
          <w:snapToGrid/>
        </w:rPr>
        <w:t xml:space="preserve">The submission </w:t>
      </w:r>
      <w:r w:rsidR="00A05C24" w:rsidRPr="00B42397">
        <w:rPr>
          <w:snapToGrid/>
        </w:rPr>
        <w:t xml:space="preserve">presented an </w:t>
      </w:r>
      <w:r w:rsidR="00DE1B80" w:rsidRPr="00B42397">
        <w:rPr>
          <w:snapToGrid/>
        </w:rPr>
        <w:t>indirect treatment comparison (</w:t>
      </w:r>
      <w:r w:rsidR="00A05C24" w:rsidRPr="00B42397">
        <w:rPr>
          <w:snapToGrid/>
        </w:rPr>
        <w:t>ITC</w:t>
      </w:r>
      <w:r w:rsidR="005F7650" w:rsidRPr="00B42397">
        <w:rPr>
          <w:snapToGrid/>
        </w:rPr>
        <w:t>)</w:t>
      </w:r>
      <w:r w:rsidR="00A05C24" w:rsidRPr="00B42397">
        <w:rPr>
          <w:snapToGrid/>
        </w:rPr>
        <w:t xml:space="preserve"> </w:t>
      </w:r>
      <w:r w:rsidR="00D8317E" w:rsidRPr="00B42397">
        <w:rPr>
          <w:snapToGrid/>
        </w:rPr>
        <w:t xml:space="preserve">of </w:t>
      </w:r>
      <w:proofErr w:type="spellStart"/>
      <w:r w:rsidR="001F5659" w:rsidRPr="00B42397">
        <w:rPr>
          <w:snapToGrid/>
        </w:rPr>
        <w:t>ELd</w:t>
      </w:r>
      <w:proofErr w:type="spellEnd"/>
      <w:r w:rsidR="00D8317E" w:rsidRPr="00B42397">
        <w:rPr>
          <w:snapToGrid/>
        </w:rPr>
        <w:t xml:space="preserve"> and Cd </w:t>
      </w:r>
      <w:r w:rsidR="00A05C24" w:rsidRPr="00B42397">
        <w:rPr>
          <w:snapToGrid/>
        </w:rPr>
        <w:t xml:space="preserve">informed by </w:t>
      </w:r>
      <w:r w:rsidR="00AD4820" w:rsidRPr="00B42397">
        <w:rPr>
          <w:snapToGrid/>
        </w:rPr>
        <w:t>two</w:t>
      </w:r>
      <w:r w:rsidRPr="00B42397">
        <w:rPr>
          <w:snapToGrid/>
        </w:rPr>
        <w:t xml:space="preserve"> </w:t>
      </w:r>
      <w:r w:rsidR="00AD4820" w:rsidRPr="00B42397">
        <w:rPr>
          <w:snapToGrid/>
        </w:rPr>
        <w:t xml:space="preserve">randomised </w:t>
      </w:r>
      <w:r w:rsidRPr="00B42397">
        <w:rPr>
          <w:snapToGrid/>
        </w:rPr>
        <w:t>trial</w:t>
      </w:r>
      <w:r w:rsidR="00AD4820" w:rsidRPr="00B42397">
        <w:rPr>
          <w:snapToGrid/>
        </w:rPr>
        <w:t>s</w:t>
      </w:r>
      <w:r w:rsidR="00D8317E" w:rsidRPr="00B42397">
        <w:rPr>
          <w:snapToGrid/>
        </w:rPr>
        <w:t>: ELOQUENT-2</w:t>
      </w:r>
      <w:r w:rsidR="00CD0073" w:rsidRPr="00B42397">
        <w:rPr>
          <w:snapToGrid/>
        </w:rPr>
        <w:t>,</w:t>
      </w:r>
      <w:r w:rsidRPr="00B42397">
        <w:rPr>
          <w:snapToGrid/>
        </w:rPr>
        <w:t xml:space="preserve"> comparing </w:t>
      </w:r>
      <w:proofErr w:type="spellStart"/>
      <w:r w:rsidR="001F5659" w:rsidRPr="00B42397">
        <w:rPr>
          <w:snapToGrid/>
        </w:rPr>
        <w:t>ELd</w:t>
      </w:r>
      <w:proofErr w:type="spellEnd"/>
      <w:r w:rsidRPr="00B42397">
        <w:rPr>
          <w:snapToGrid/>
        </w:rPr>
        <w:t xml:space="preserve"> </w:t>
      </w:r>
      <w:r w:rsidR="00D8317E" w:rsidRPr="00B42397">
        <w:rPr>
          <w:snapToGrid/>
        </w:rPr>
        <w:t xml:space="preserve">with </w:t>
      </w:r>
      <w:proofErr w:type="spellStart"/>
      <w:proofErr w:type="gramStart"/>
      <w:r w:rsidR="001F5659" w:rsidRPr="00B42397">
        <w:rPr>
          <w:snapToGrid/>
        </w:rPr>
        <w:t>Ld</w:t>
      </w:r>
      <w:proofErr w:type="spellEnd"/>
      <w:proofErr w:type="gramEnd"/>
      <w:r w:rsidR="00D8317E" w:rsidRPr="00B42397">
        <w:rPr>
          <w:snapToGrid/>
        </w:rPr>
        <w:t xml:space="preserve"> </w:t>
      </w:r>
      <w:r w:rsidR="00AD4820" w:rsidRPr="00B42397">
        <w:rPr>
          <w:snapToGrid/>
        </w:rPr>
        <w:t xml:space="preserve">(N = </w:t>
      </w:r>
      <w:r w:rsidR="00932A96" w:rsidRPr="00B42397">
        <w:rPr>
          <w:snapToGrid/>
        </w:rPr>
        <w:t>646</w:t>
      </w:r>
      <w:r w:rsidR="00A05C24" w:rsidRPr="00B42397">
        <w:rPr>
          <w:snapToGrid/>
        </w:rPr>
        <w:t>)</w:t>
      </w:r>
      <w:r w:rsidR="00D8317E" w:rsidRPr="00B42397">
        <w:rPr>
          <w:snapToGrid/>
        </w:rPr>
        <w:t>; and ENDEAVOR</w:t>
      </w:r>
      <w:r w:rsidR="00CD0073" w:rsidRPr="00B42397">
        <w:rPr>
          <w:snapToGrid/>
        </w:rPr>
        <w:t>,</w:t>
      </w:r>
      <w:r w:rsidR="00D8317E" w:rsidRPr="00B42397">
        <w:rPr>
          <w:snapToGrid/>
        </w:rPr>
        <w:t xml:space="preserve"> comparing</w:t>
      </w:r>
      <w:r w:rsidR="00932A96" w:rsidRPr="00B42397">
        <w:rPr>
          <w:snapToGrid/>
        </w:rPr>
        <w:t xml:space="preserve"> </w:t>
      </w:r>
      <w:r w:rsidR="00AD4820" w:rsidRPr="00B42397">
        <w:rPr>
          <w:snapToGrid/>
        </w:rPr>
        <w:t>Cd</w:t>
      </w:r>
      <w:r w:rsidRPr="00B42397">
        <w:rPr>
          <w:snapToGrid/>
        </w:rPr>
        <w:t xml:space="preserve"> </w:t>
      </w:r>
      <w:r w:rsidR="00D8317E" w:rsidRPr="00B42397">
        <w:rPr>
          <w:snapToGrid/>
        </w:rPr>
        <w:t xml:space="preserve">with Bd </w:t>
      </w:r>
      <w:r w:rsidRPr="00B42397">
        <w:rPr>
          <w:snapToGrid/>
        </w:rPr>
        <w:t>(</w:t>
      </w:r>
      <w:r w:rsidR="00932A96" w:rsidRPr="00B42397">
        <w:rPr>
          <w:snapToGrid/>
        </w:rPr>
        <w:t>N</w:t>
      </w:r>
      <w:r w:rsidR="00DE1B80" w:rsidRPr="00B42397">
        <w:rPr>
          <w:snapToGrid/>
        </w:rPr>
        <w:t xml:space="preserve"> </w:t>
      </w:r>
      <w:r w:rsidRPr="00B42397">
        <w:rPr>
          <w:snapToGrid/>
        </w:rPr>
        <w:t>=</w:t>
      </w:r>
      <w:r w:rsidR="00DE1B80" w:rsidRPr="00B42397">
        <w:rPr>
          <w:snapToGrid/>
        </w:rPr>
        <w:t xml:space="preserve"> </w:t>
      </w:r>
      <w:r w:rsidR="00932A96" w:rsidRPr="00B42397">
        <w:rPr>
          <w:snapToGrid/>
        </w:rPr>
        <w:t>9</w:t>
      </w:r>
      <w:r w:rsidR="00F3264E" w:rsidRPr="00B42397">
        <w:rPr>
          <w:snapToGrid/>
        </w:rPr>
        <w:t>29</w:t>
      </w:r>
      <w:r w:rsidR="00A05C24" w:rsidRPr="00B42397">
        <w:rPr>
          <w:snapToGrid/>
        </w:rPr>
        <w:t>)</w:t>
      </w:r>
      <w:r w:rsidR="00D8317E" w:rsidRPr="00B42397">
        <w:rPr>
          <w:snapToGrid/>
        </w:rPr>
        <w:t>.</w:t>
      </w:r>
      <w:r w:rsidR="00F643BB" w:rsidRPr="00B42397">
        <w:t xml:space="preserve"> </w:t>
      </w:r>
      <w:r w:rsidR="00266FE6" w:rsidRPr="00B42397">
        <w:rPr>
          <w:snapToGrid/>
        </w:rPr>
        <w:t xml:space="preserve">In forming this comparison, the submission utilised </w:t>
      </w:r>
      <w:proofErr w:type="spellStart"/>
      <w:proofErr w:type="gramStart"/>
      <w:r w:rsidR="001F5659" w:rsidRPr="00B42397">
        <w:t>Ld</w:t>
      </w:r>
      <w:proofErr w:type="spellEnd"/>
      <w:proofErr w:type="gramEnd"/>
      <w:r w:rsidR="002C7615" w:rsidRPr="00B42397">
        <w:t xml:space="preserve"> and Bd as the common reference, assum</w:t>
      </w:r>
      <w:r w:rsidR="00CD0073" w:rsidRPr="00B42397">
        <w:t>ing</w:t>
      </w:r>
      <w:r w:rsidR="002C7615" w:rsidRPr="00B42397">
        <w:t xml:space="preserve"> their equivalence.</w:t>
      </w:r>
      <w:r w:rsidR="00F4188A" w:rsidRPr="00B42397">
        <w:t xml:space="preserve"> </w:t>
      </w:r>
      <w:r w:rsidR="00F4188A" w:rsidRPr="00B42397">
        <w:rPr>
          <w:iCs/>
        </w:rPr>
        <w:t>T</w:t>
      </w:r>
      <w:r w:rsidR="00F4188A" w:rsidRPr="00B42397">
        <w:rPr>
          <w:iCs/>
          <w:color w:val="000000" w:themeColor="text1"/>
        </w:rPr>
        <w:t xml:space="preserve">he submission has assumed that the efficacy of </w:t>
      </w:r>
      <w:proofErr w:type="spellStart"/>
      <w:proofErr w:type="gramStart"/>
      <w:r w:rsidR="001F5659" w:rsidRPr="00B42397">
        <w:rPr>
          <w:iCs/>
          <w:color w:val="000000" w:themeColor="text1"/>
        </w:rPr>
        <w:t>Ld</w:t>
      </w:r>
      <w:proofErr w:type="spellEnd"/>
      <w:proofErr w:type="gramEnd"/>
      <w:r w:rsidR="00F4188A" w:rsidRPr="00B42397">
        <w:rPr>
          <w:iCs/>
          <w:color w:val="000000" w:themeColor="text1"/>
        </w:rPr>
        <w:t xml:space="preserve"> and Bd </w:t>
      </w:r>
      <w:r w:rsidR="0052607E" w:rsidRPr="00B42397">
        <w:rPr>
          <w:iCs/>
          <w:color w:val="000000" w:themeColor="text1"/>
        </w:rPr>
        <w:t xml:space="preserve">was the same and did not </w:t>
      </w:r>
      <w:r w:rsidR="00F4188A" w:rsidRPr="00B42397">
        <w:rPr>
          <w:iCs/>
          <w:color w:val="000000" w:themeColor="text1"/>
        </w:rPr>
        <w:t xml:space="preserve">adjust for any potential difference in their outcomes. </w:t>
      </w:r>
      <w:r w:rsidR="00BD6668">
        <w:rPr>
          <w:iCs/>
          <w:color w:val="000000" w:themeColor="text1"/>
        </w:rPr>
        <w:t>Although t</w:t>
      </w:r>
      <w:r w:rsidR="002C7615" w:rsidRPr="00B42397">
        <w:t xml:space="preserve">he PBAC has previously considered non-inferiority </w:t>
      </w:r>
      <w:r w:rsidR="005F7650" w:rsidRPr="00B42397">
        <w:t xml:space="preserve">between </w:t>
      </w:r>
      <w:proofErr w:type="spellStart"/>
      <w:proofErr w:type="gramStart"/>
      <w:r w:rsidR="001F5659" w:rsidRPr="00B42397">
        <w:t>Ld</w:t>
      </w:r>
      <w:proofErr w:type="spellEnd"/>
      <w:proofErr w:type="gramEnd"/>
      <w:r w:rsidR="002C7615" w:rsidRPr="00B42397">
        <w:t xml:space="preserve"> and Bd with respect to efficacy fo</w:t>
      </w:r>
      <w:r w:rsidR="007702A0" w:rsidRPr="00B42397">
        <w:t>r</w:t>
      </w:r>
      <w:r w:rsidR="002C7615" w:rsidRPr="00B42397">
        <w:t xml:space="preserve"> the purposes of </w:t>
      </w:r>
      <w:proofErr w:type="spellStart"/>
      <w:r w:rsidR="001F5659" w:rsidRPr="00B42397">
        <w:t>Ld</w:t>
      </w:r>
      <w:proofErr w:type="spellEnd"/>
      <w:r w:rsidR="002C7615" w:rsidRPr="00B42397">
        <w:t xml:space="preserve"> listing in RRMM</w:t>
      </w:r>
      <w:r w:rsidR="00BD6668">
        <w:t xml:space="preserve">, the PBAC noted that OS may possibly favour </w:t>
      </w:r>
      <w:proofErr w:type="spellStart"/>
      <w:r w:rsidR="00BD6668">
        <w:t>Ld</w:t>
      </w:r>
      <w:proofErr w:type="spellEnd"/>
      <w:r w:rsidR="00BD6668">
        <w:t xml:space="preserve"> and that there was uncertainty due to the ITC and the differences in the trials used in the comparison (paragraph 12, lenalidomide PSD, November 2008)</w:t>
      </w:r>
      <w:r w:rsidR="002C7615" w:rsidRPr="00B42397">
        <w:t>.</w:t>
      </w:r>
      <w:r w:rsidR="00CD0073" w:rsidRPr="00B42397">
        <w:t xml:space="preserve"> </w:t>
      </w:r>
      <w:r w:rsidR="00BD6668">
        <w:t xml:space="preserve">In consideration of carfilzomib in November 2016, the PBAC stated that it might not be reasonable to assume non-inferior efficacy between Bd and </w:t>
      </w:r>
      <w:proofErr w:type="spellStart"/>
      <w:proofErr w:type="gramStart"/>
      <w:r w:rsidR="00BD6668">
        <w:t>Ld</w:t>
      </w:r>
      <w:proofErr w:type="spellEnd"/>
      <w:proofErr w:type="gramEnd"/>
      <w:r w:rsidR="00BD6668">
        <w:t xml:space="preserve"> (paragraph 5.3, carfilzomib PSD, November 2016).</w:t>
      </w:r>
    </w:p>
    <w:p w14:paraId="53CE751D" w14:textId="77777777" w:rsidR="00862502" w:rsidRPr="00B42397" w:rsidRDefault="00A73134" w:rsidP="007D07A5">
      <w:pPr>
        <w:pStyle w:val="3-BodyText"/>
      </w:pPr>
      <w:r w:rsidRPr="00B42397">
        <w:rPr>
          <w:snapToGrid/>
        </w:rPr>
        <w:t xml:space="preserve">Details of the trials presented in the submission are provided in </w:t>
      </w:r>
      <w:r w:rsidR="00A05C24" w:rsidRPr="00B42397">
        <w:rPr>
          <w:snapToGrid/>
        </w:rPr>
        <w:t>T</w:t>
      </w:r>
      <w:r w:rsidRPr="00B42397">
        <w:rPr>
          <w:snapToGrid/>
        </w:rPr>
        <w:t xml:space="preserve">able </w:t>
      </w:r>
      <w:r w:rsidR="00A05C24" w:rsidRPr="00B42397">
        <w:rPr>
          <w:snapToGrid/>
        </w:rPr>
        <w:t>2</w:t>
      </w:r>
      <w:r w:rsidRPr="00B42397">
        <w:rPr>
          <w:snapToGrid/>
        </w:rPr>
        <w:t>.</w:t>
      </w:r>
    </w:p>
    <w:p w14:paraId="326FCEA6" w14:textId="77777777" w:rsidR="008E0D3C" w:rsidRPr="00B42397" w:rsidRDefault="008E0D3C" w:rsidP="00C80350">
      <w:pPr>
        <w:pStyle w:val="TableFigureHeading"/>
        <w:rPr>
          <w:rStyle w:val="CommentReference"/>
          <w:b/>
          <w:szCs w:val="24"/>
        </w:rPr>
      </w:pPr>
      <w:r w:rsidRPr="00B42397">
        <w:rPr>
          <w:rStyle w:val="CommentReference"/>
          <w:b/>
          <w:szCs w:val="24"/>
        </w:rPr>
        <w:lastRenderedPageBreak/>
        <w:t xml:space="preserve">Table </w:t>
      </w:r>
      <w:r w:rsidR="00421BB2" w:rsidRPr="00B42397">
        <w:rPr>
          <w:rStyle w:val="CommentReference"/>
          <w:b/>
          <w:szCs w:val="24"/>
        </w:rPr>
        <w:t>2</w:t>
      </w:r>
      <w:r w:rsidRPr="00B42397">
        <w:rPr>
          <w:rStyle w:val="CommentReference"/>
          <w:b/>
          <w:szCs w:val="24"/>
        </w:rPr>
        <w:t>:</w:t>
      </w:r>
      <w:r w:rsidR="00BC591F" w:rsidRPr="00B42397">
        <w:rPr>
          <w:rStyle w:val="CommentReference"/>
          <w:b/>
          <w:szCs w:val="24"/>
        </w:rPr>
        <w:t xml:space="preserve"> </w:t>
      </w:r>
      <w:r w:rsidRPr="00B42397">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B5DF1" w:rsidRPr="00B42397" w14:paraId="47639A63" w14:textId="77777777" w:rsidTr="008A1393">
        <w:trPr>
          <w:tblHeader/>
        </w:trPr>
        <w:tc>
          <w:tcPr>
            <w:tcW w:w="796" w:type="pct"/>
            <w:vAlign w:val="center"/>
          </w:tcPr>
          <w:p w14:paraId="06578C7A" w14:textId="77777777" w:rsidR="00AB5DF1" w:rsidRPr="00B42397" w:rsidRDefault="00AB5DF1" w:rsidP="00C80350">
            <w:pPr>
              <w:keepNext/>
              <w:widowControl w:val="0"/>
              <w:jc w:val="left"/>
              <w:rPr>
                <w:rFonts w:ascii="Arial Narrow" w:eastAsiaTheme="majorEastAsia" w:hAnsi="Arial Narrow" w:cs="Times New Roman"/>
                <w:b/>
                <w:sz w:val="20"/>
              </w:rPr>
            </w:pPr>
            <w:r w:rsidRPr="00B42397">
              <w:rPr>
                <w:rFonts w:ascii="Arial Narrow" w:eastAsiaTheme="majorEastAsia" w:hAnsi="Arial Narrow" w:cs="Times New Roman"/>
                <w:b/>
                <w:sz w:val="20"/>
              </w:rPr>
              <w:t>Trial ID</w:t>
            </w:r>
          </w:p>
        </w:tc>
        <w:tc>
          <w:tcPr>
            <w:tcW w:w="3027" w:type="pct"/>
            <w:tcBorders>
              <w:bottom w:val="single" w:sz="4" w:space="0" w:color="auto"/>
            </w:tcBorders>
            <w:vAlign w:val="center"/>
          </w:tcPr>
          <w:p w14:paraId="67B4D373" w14:textId="77777777" w:rsidR="00AB5DF1" w:rsidRPr="00B42397" w:rsidRDefault="00AB5DF1" w:rsidP="00C80350">
            <w:pPr>
              <w:keepNext/>
              <w:widowControl w:val="0"/>
              <w:jc w:val="left"/>
              <w:rPr>
                <w:rFonts w:ascii="Arial Narrow" w:eastAsiaTheme="majorEastAsia" w:hAnsi="Arial Narrow" w:cs="Times New Roman"/>
                <w:b/>
                <w:sz w:val="20"/>
              </w:rPr>
            </w:pPr>
            <w:r w:rsidRPr="00B42397">
              <w:rPr>
                <w:rFonts w:ascii="Arial Narrow" w:eastAsiaTheme="majorEastAsia" w:hAnsi="Arial Narrow" w:cs="Times New Roman"/>
                <w:b/>
                <w:sz w:val="20"/>
              </w:rPr>
              <w:t>Protocol title/ Publication title</w:t>
            </w:r>
          </w:p>
        </w:tc>
        <w:tc>
          <w:tcPr>
            <w:tcW w:w="1177" w:type="pct"/>
            <w:tcBorders>
              <w:bottom w:val="single" w:sz="4" w:space="0" w:color="auto"/>
            </w:tcBorders>
            <w:vAlign w:val="center"/>
          </w:tcPr>
          <w:p w14:paraId="1F20C649" w14:textId="77777777" w:rsidR="00AB5DF1" w:rsidRPr="00B42397" w:rsidRDefault="00AB5DF1" w:rsidP="00C80350">
            <w:pPr>
              <w:keepNext/>
              <w:widowControl w:val="0"/>
              <w:jc w:val="left"/>
              <w:rPr>
                <w:rFonts w:ascii="Arial Narrow" w:eastAsiaTheme="majorEastAsia" w:hAnsi="Arial Narrow" w:cs="Times New Roman"/>
                <w:b/>
                <w:sz w:val="20"/>
              </w:rPr>
            </w:pPr>
            <w:r w:rsidRPr="00B42397">
              <w:rPr>
                <w:rFonts w:ascii="Arial Narrow" w:eastAsiaTheme="majorEastAsia" w:hAnsi="Arial Narrow" w:cs="Times New Roman"/>
                <w:b/>
                <w:sz w:val="20"/>
              </w:rPr>
              <w:t>Publication citation</w:t>
            </w:r>
          </w:p>
        </w:tc>
      </w:tr>
      <w:tr w:rsidR="00AB5DF1" w:rsidRPr="00B42397" w14:paraId="3AD0A79A" w14:textId="77777777" w:rsidTr="008A1393">
        <w:tc>
          <w:tcPr>
            <w:tcW w:w="796" w:type="pct"/>
            <w:tcBorders>
              <w:top w:val="nil"/>
              <w:bottom w:val="nil"/>
            </w:tcBorders>
            <w:vAlign w:val="center"/>
          </w:tcPr>
          <w:p w14:paraId="5326A6D3" w14:textId="77777777" w:rsidR="00AB5DF1" w:rsidRPr="00B42397" w:rsidRDefault="00AB5DF1" w:rsidP="00C80350">
            <w:pPr>
              <w:keepNext/>
              <w:widowControl w:val="0"/>
              <w:jc w:val="left"/>
              <w:rPr>
                <w:rFonts w:ascii="Arial Narrow" w:eastAsiaTheme="majorEastAsia" w:hAnsi="Arial Narrow" w:cstheme="majorBidi"/>
                <w:bCs/>
                <w:sz w:val="20"/>
              </w:rPr>
            </w:pPr>
            <w:r w:rsidRPr="00B42397">
              <w:rPr>
                <w:rFonts w:ascii="Arial Narrow" w:eastAsiaTheme="majorEastAsia" w:hAnsi="Arial Narrow" w:cstheme="majorBidi"/>
                <w:bCs/>
                <w:sz w:val="20"/>
              </w:rPr>
              <w:t>ELOQUENT-2</w:t>
            </w:r>
          </w:p>
        </w:tc>
        <w:tc>
          <w:tcPr>
            <w:tcW w:w="3027" w:type="pct"/>
            <w:tcBorders>
              <w:top w:val="single" w:sz="4" w:space="0" w:color="auto"/>
              <w:bottom w:val="nil"/>
            </w:tcBorders>
            <w:vAlign w:val="center"/>
          </w:tcPr>
          <w:p w14:paraId="0CDAC4D9" w14:textId="77777777" w:rsidR="00AB5DF1" w:rsidRPr="00B42397" w:rsidRDefault="00AB5DF1" w:rsidP="00C80350">
            <w:pPr>
              <w:keepNext/>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18"/>
              </w:rPr>
              <w:t>Clinical Protocol CA204004 v10.0.</w:t>
            </w:r>
          </w:p>
          <w:p w14:paraId="3FBE644A" w14:textId="77777777" w:rsidR="00AB5DF1" w:rsidRPr="00B42397" w:rsidRDefault="00AB5DF1" w:rsidP="00C80350">
            <w:pPr>
              <w:keepNext/>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18"/>
              </w:rPr>
              <w:t>Title: A Phase 3, Randomized, Open Label Trial of Lenalidomide/dexamethasone With or Without Elotuzumab in Relapsed or Refractory Multiple Myeloma.</w:t>
            </w:r>
            <w:r w:rsidR="00DE1B80" w:rsidRPr="00B42397">
              <w:rPr>
                <w:rFonts w:ascii="Arial Narrow" w:eastAsiaTheme="majorEastAsia" w:hAnsi="Arial Narrow" w:cstheme="majorBidi"/>
                <w:bCs/>
                <w:sz w:val="20"/>
                <w:szCs w:val="18"/>
              </w:rPr>
              <w:t xml:space="preserve"> </w:t>
            </w:r>
            <w:r w:rsidRPr="00B42397">
              <w:rPr>
                <w:rFonts w:ascii="Arial Narrow" w:eastAsiaTheme="majorEastAsia" w:hAnsi="Arial Narrow" w:cstheme="majorBidi"/>
                <w:bCs/>
                <w:sz w:val="20"/>
                <w:szCs w:val="18"/>
              </w:rPr>
              <w:t>Revised Protocol No.: 04;</w:t>
            </w:r>
          </w:p>
        </w:tc>
        <w:tc>
          <w:tcPr>
            <w:tcW w:w="1177" w:type="pct"/>
            <w:tcBorders>
              <w:top w:val="single" w:sz="4" w:space="0" w:color="auto"/>
              <w:bottom w:val="nil"/>
            </w:tcBorders>
            <w:vAlign w:val="center"/>
          </w:tcPr>
          <w:p w14:paraId="061A5236" w14:textId="77777777" w:rsidR="00AB5DF1" w:rsidRPr="00B42397" w:rsidRDefault="00AB5DF1" w:rsidP="00C80350">
            <w:pPr>
              <w:keepNext/>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18"/>
              </w:rPr>
              <w:t>07 May 2014</w:t>
            </w:r>
          </w:p>
        </w:tc>
      </w:tr>
      <w:tr w:rsidR="00AB5DF1" w:rsidRPr="00B42397" w14:paraId="64CA7B6E" w14:textId="77777777" w:rsidTr="008A1393">
        <w:tc>
          <w:tcPr>
            <w:tcW w:w="796" w:type="pct"/>
            <w:tcBorders>
              <w:top w:val="nil"/>
              <w:bottom w:val="nil"/>
            </w:tcBorders>
            <w:vAlign w:val="center"/>
          </w:tcPr>
          <w:p w14:paraId="71BA8B72" w14:textId="77777777" w:rsidR="00AB5DF1" w:rsidRPr="00B42397" w:rsidRDefault="00AB5DF1" w:rsidP="00C80350">
            <w:pPr>
              <w:keepNext/>
              <w:widowControl w:val="0"/>
              <w:jc w:val="left"/>
              <w:rPr>
                <w:rFonts w:ascii="Arial Narrow" w:eastAsiaTheme="majorEastAsia" w:hAnsi="Arial Narrow" w:cstheme="majorBidi"/>
                <w:bCs/>
                <w:sz w:val="20"/>
              </w:rPr>
            </w:pPr>
          </w:p>
        </w:tc>
        <w:tc>
          <w:tcPr>
            <w:tcW w:w="3027" w:type="pct"/>
            <w:tcBorders>
              <w:top w:val="nil"/>
              <w:bottom w:val="nil"/>
            </w:tcBorders>
            <w:vAlign w:val="center"/>
          </w:tcPr>
          <w:p w14:paraId="1C847FB7" w14:textId="77777777" w:rsidR="00AB5DF1" w:rsidRPr="00B42397" w:rsidRDefault="00AB5DF1" w:rsidP="00C80350">
            <w:pPr>
              <w:keepNext/>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 xml:space="preserve">Final Clinical Study Report for Study CA204004. </w:t>
            </w:r>
            <w:r w:rsidRPr="00B42397">
              <w:rPr>
                <w:rFonts w:ascii="Arial Narrow" w:eastAsiaTheme="majorEastAsia" w:hAnsi="Arial Narrow" w:cstheme="majorBidi"/>
                <w:bCs/>
                <w:sz w:val="20"/>
              </w:rPr>
              <w:br/>
              <w:t>Title: A Phase 3, Randomized, Open-Label Trial of Lenalidomide/Dexamethasone With Or Without Elotuzumab in Relapsed or Refractory Multiple Myeloma</w:t>
            </w:r>
          </w:p>
        </w:tc>
        <w:tc>
          <w:tcPr>
            <w:tcW w:w="1177" w:type="pct"/>
            <w:tcBorders>
              <w:top w:val="nil"/>
              <w:bottom w:val="nil"/>
            </w:tcBorders>
            <w:vAlign w:val="center"/>
          </w:tcPr>
          <w:p w14:paraId="22244728" w14:textId="77777777" w:rsidR="00AB5DF1" w:rsidRPr="00B42397" w:rsidRDefault="00AB5DF1" w:rsidP="00C80350">
            <w:pPr>
              <w:keepNext/>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11 May 2015</w:t>
            </w:r>
          </w:p>
        </w:tc>
      </w:tr>
      <w:tr w:rsidR="00AB5DF1" w:rsidRPr="00B42397" w14:paraId="7A811A32" w14:textId="77777777" w:rsidTr="008A1393">
        <w:tc>
          <w:tcPr>
            <w:tcW w:w="796" w:type="pct"/>
            <w:tcBorders>
              <w:top w:val="nil"/>
              <w:bottom w:val="nil"/>
            </w:tcBorders>
            <w:vAlign w:val="center"/>
          </w:tcPr>
          <w:p w14:paraId="46EE2A1D" w14:textId="77777777" w:rsidR="00AB5DF1" w:rsidRPr="00B42397" w:rsidRDefault="00AB5DF1" w:rsidP="00AB5DF1">
            <w:pPr>
              <w:widowControl w:val="0"/>
              <w:jc w:val="left"/>
              <w:rPr>
                <w:rFonts w:ascii="Arial Narrow" w:eastAsiaTheme="majorEastAsia" w:hAnsi="Arial Narrow" w:cstheme="majorBidi"/>
                <w:bCs/>
                <w:sz w:val="20"/>
              </w:rPr>
            </w:pPr>
          </w:p>
          <w:p w14:paraId="39D27DBE"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bottom w:val="nil"/>
            </w:tcBorders>
            <w:vAlign w:val="center"/>
          </w:tcPr>
          <w:p w14:paraId="5B2EA861" w14:textId="77777777" w:rsidR="00AB5DF1" w:rsidRPr="00B42397" w:rsidRDefault="00AB5DF1" w:rsidP="00AB5DF1">
            <w:pPr>
              <w:widowControl w:val="0"/>
              <w:jc w:val="left"/>
              <w:rPr>
                <w:rFonts w:ascii="Trebuchet MS" w:hAnsi="Trebuchet MS"/>
                <w:snapToGrid w:val="0"/>
                <w:sz w:val="20"/>
                <w:szCs w:val="21"/>
              </w:rPr>
            </w:pPr>
            <w:r w:rsidRPr="00B42397">
              <w:rPr>
                <w:rFonts w:ascii="Arial Narrow" w:hAnsi="Arial Narrow" w:cs="Times New Roman"/>
                <w:snapToGrid w:val="0"/>
                <w:sz w:val="20"/>
              </w:rPr>
              <w:t>Addendum 01 Clinical Study Report for Study CA204004.</w:t>
            </w:r>
          </w:p>
          <w:p w14:paraId="27FE8095"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Title: A phase 3, randomized, open-label trial of lenalidomide/dexamethasone with or without elotuzumab in relapsed or refractory multiple myeloma.</w:t>
            </w:r>
          </w:p>
        </w:tc>
        <w:tc>
          <w:tcPr>
            <w:tcW w:w="1177" w:type="pct"/>
            <w:tcBorders>
              <w:top w:val="nil"/>
              <w:bottom w:val="nil"/>
            </w:tcBorders>
            <w:vAlign w:val="center"/>
          </w:tcPr>
          <w:p w14:paraId="6997AAD2"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02 December 2015</w:t>
            </w:r>
          </w:p>
        </w:tc>
      </w:tr>
      <w:tr w:rsidR="00AB5DF1" w:rsidRPr="00B42397" w14:paraId="4699936B" w14:textId="77777777" w:rsidTr="008A1393">
        <w:tc>
          <w:tcPr>
            <w:tcW w:w="796" w:type="pct"/>
            <w:tcBorders>
              <w:top w:val="nil"/>
              <w:bottom w:val="nil"/>
            </w:tcBorders>
            <w:vAlign w:val="center"/>
          </w:tcPr>
          <w:p w14:paraId="45D6DD2F"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bottom w:val="nil"/>
            </w:tcBorders>
            <w:vAlign w:val="center"/>
          </w:tcPr>
          <w:p w14:paraId="5EF03900"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 xml:space="preserve">Addendum 02 Clinical Study Report for Study CA204004. </w:t>
            </w:r>
            <w:r w:rsidRPr="00B42397">
              <w:rPr>
                <w:rFonts w:ascii="Arial Narrow" w:eastAsiaTheme="majorEastAsia" w:hAnsi="Arial Narrow" w:cstheme="majorBidi"/>
                <w:bCs/>
                <w:sz w:val="20"/>
              </w:rPr>
              <w:br/>
              <w:t>Title: A phase 3, randomized, open-label trial of lenalidomide/dexamethasone with or without elotuzumab in relapsed or refractory multiple myeloma.</w:t>
            </w:r>
          </w:p>
        </w:tc>
        <w:tc>
          <w:tcPr>
            <w:tcW w:w="1177" w:type="pct"/>
            <w:tcBorders>
              <w:top w:val="nil"/>
              <w:bottom w:val="nil"/>
            </w:tcBorders>
            <w:vAlign w:val="center"/>
          </w:tcPr>
          <w:p w14:paraId="40C7A88A"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15 March 2019</w:t>
            </w:r>
          </w:p>
        </w:tc>
      </w:tr>
      <w:tr w:rsidR="00AB5DF1" w:rsidRPr="00B42397" w14:paraId="1126BAF6" w14:textId="77777777" w:rsidTr="008A1393">
        <w:tc>
          <w:tcPr>
            <w:tcW w:w="796" w:type="pct"/>
            <w:tcBorders>
              <w:top w:val="nil"/>
              <w:bottom w:val="nil"/>
            </w:tcBorders>
            <w:vAlign w:val="center"/>
          </w:tcPr>
          <w:p w14:paraId="0CB94F2F"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3C1F7359"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rPr>
              <w:t>Dimopoulos</w:t>
            </w:r>
            <w:proofErr w:type="spellEnd"/>
            <w:r w:rsidRPr="00B42397">
              <w:rPr>
                <w:rFonts w:ascii="Arial Narrow" w:eastAsiaTheme="majorEastAsia" w:hAnsi="Arial Narrow" w:cstheme="majorBidi"/>
                <w:bCs/>
                <w:sz w:val="20"/>
              </w:rPr>
              <w:t xml:space="preserve"> MA, </w:t>
            </w:r>
            <w:proofErr w:type="spellStart"/>
            <w:r w:rsidRPr="00B42397">
              <w:rPr>
                <w:rFonts w:ascii="Arial Narrow" w:eastAsiaTheme="majorEastAsia" w:hAnsi="Arial Narrow" w:cstheme="majorBidi"/>
                <w:bCs/>
                <w:sz w:val="20"/>
              </w:rPr>
              <w:t>Lonial</w:t>
            </w:r>
            <w:proofErr w:type="spellEnd"/>
            <w:r w:rsidRPr="00B42397">
              <w:rPr>
                <w:rFonts w:ascii="Arial Narrow" w:eastAsiaTheme="majorEastAsia" w:hAnsi="Arial Narrow" w:cstheme="majorBidi"/>
                <w:bCs/>
                <w:sz w:val="20"/>
              </w:rPr>
              <w:t xml:space="preserve"> S, Betts KA, Chen C, </w:t>
            </w:r>
            <w:proofErr w:type="spellStart"/>
            <w:r w:rsidRPr="00B42397">
              <w:rPr>
                <w:rFonts w:ascii="Arial Narrow" w:eastAsiaTheme="majorEastAsia" w:hAnsi="Arial Narrow" w:cstheme="majorBidi"/>
                <w:bCs/>
                <w:sz w:val="20"/>
              </w:rPr>
              <w:t>Zichlin</w:t>
            </w:r>
            <w:proofErr w:type="spellEnd"/>
            <w:r w:rsidRPr="00B42397">
              <w:rPr>
                <w:rFonts w:ascii="Arial Narrow" w:eastAsiaTheme="majorEastAsia" w:hAnsi="Arial Narrow" w:cstheme="majorBidi"/>
                <w:bCs/>
                <w:sz w:val="20"/>
              </w:rPr>
              <w:t xml:space="preserve"> ML, </w:t>
            </w:r>
            <w:proofErr w:type="spellStart"/>
            <w:r w:rsidRPr="00B42397">
              <w:rPr>
                <w:rFonts w:ascii="Arial Narrow" w:eastAsiaTheme="majorEastAsia" w:hAnsi="Arial Narrow" w:cstheme="majorBidi"/>
                <w:bCs/>
                <w:sz w:val="20"/>
              </w:rPr>
              <w:t>Brun</w:t>
            </w:r>
            <w:proofErr w:type="spellEnd"/>
            <w:r w:rsidRPr="00B42397">
              <w:rPr>
                <w:rFonts w:ascii="Arial Narrow" w:eastAsiaTheme="majorEastAsia" w:hAnsi="Arial Narrow" w:cstheme="majorBidi"/>
                <w:bCs/>
                <w:sz w:val="20"/>
              </w:rPr>
              <w:t xml:space="preserve"> A, et al. Elotuzumab plus lenalidomide and dexamethasone in relapsed/refractory multiple myeloma: extended 4-year follow-up and analysis of relative progression-free survival from the randomized ELOQUENT-2 trial. </w:t>
            </w:r>
          </w:p>
        </w:tc>
        <w:tc>
          <w:tcPr>
            <w:tcW w:w="1177" w:type="pct"/>
            <w:tcBorders>
              <w:top w:val="nil"/>
              <w:bottom w:val="nil"/>
            </w:tcBorders>
            <w:vAlign w:val="center"/>
          </w:tcPr>
          <w:p w14:paraId="1D98FCCB"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Cancer. 2018b</w:t>
            </w:r>
            <w:proofErr w:type="gramStart"/>
            <w:r w:rsidRPr="00B42397">
              <w:rPr>
                <w:rFonts w:ascii="Arial Narrow" w:eastAsiaTheme="majorEastAsia" w:hAnsi="Arial Narrow" w:cstheme="majorBidi"/>
                <w:bCs/>
                <w:sz w:val="20"/>
              </w:rPr>
              <w:t>;124</w:t>
            </w:r>
            <w:proofErr w:type="gramEnd"/>
            <w:r w:rsidRPr="00B42397">
              <w:rPr>
                <w:rFonts w:ascii="Arial Narrow" w:eastAsiaTheme="majorEastAsia" w:hAnsi="Arial Narrow" w:cstheme="majorBidi"/>
                <w:bCs/>
                <w:sz w:val="20"/>
              </w:rPr>
              <w:t>(20):4032</w:t>
            </w:r>
            <w:r w:rsidRPr="00B42397">
              <w:rPr>
                <w:rFonts w:ascii="Cambria Math" w:eastAsiaTheme="majorEastAsia" w:hAnsi="Cambria Math" w:cs="Cambria Math"/>
                <w:bCs/>
                <w:sz w:val="20"/>
              </w:rPr>
              <w:t>‐</w:t>
            </w:r>
            <w:r w:rsidRPr="00B42397">
              <w:rPr>
                <w:rFonts w:ascii="Arial Narrow" w:eastAsiaTheme="majorEastAsia" w:hAnsi="Arial Narrow" w:cstheme="majorBidi"/>
                <w:bCs/>
                <w:sz w:val="20"/>
              </w:rPr>
              <w:t>43.</w:t>
            </w:r>
          </w:p>
        </w:tc>
      </w:tr>
      <w:tr w:rsidR="00AB5DF1" w:rsidRPr="00B42397" w14:paraId="7B5AB2B8" w14:textId="77777777" w:rsidTr="008A1393">
        <w:tc>
          <w:tcPr>
            <w:tcW w:w="796" w:type="pct"/>
            <w:tcBorders>
              <w:top w:val="nil"/>
              <w:bottom w:val="nil"/>
            </w:tcBorders>
            <w:vAlign w:val="center"/>
          </w:tcPr>
          <w:p w14:paraId="15DF2039"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2BE3EEAB"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rPr>
              <w:t>Cella</w:t>
            </w:r>
            <w:proofErr w:type="spellEnd"/>
            <w:r w:rsidRPr="00B42397">
              <w:rPr>
                <w:rFonts w:ascii="Arial Narrow" w:eastAsiaTheme="majorEastAsia" w:hAnsi="Arial Narrow" w:cstheme="majorBidi"/>
                <w:bCs/>
                <w:sz w:val="20"/>
              </w:rPr>
              <w:t xml:space="preserve"> D, </w:t>
            </w:r>
            <w:proofErr w:type="spellStart"/>
            <w:r w:rsidRPr="00B42397">
              <w:rPr>
                <w:rFonts w:ascii="Arial Narrow" w:eastAsiaTheme="majorEastAsia" w:hAnsi="Arial Narrow" w:cstheme="majorBidi"/>
                <w:bCs/>
                <w:sz w:val="20"/>
              </w:rPr>
              <w:t>McKendrick</w:t>
            </w:r>
            <w:proofErr w:type="spellEnd"/>
            <w:r w:rsidRPr="00B42397">
              <w:rPr>
                <w:rFonts w:ascii="Arial Narrow" w:eastAsiaTheme="majorEastAsia" w:hAnsi="Arial Narrow" w:cstheme="majorBidi"/>
                <w:bCs/>
                <w:sz w:val="20"/>
              </w:rPr>
              <w:t xml:space="preserve"> J, </w:t>
            </w:r>
            <w:proofErr w:type="spellStart"/>
            <w:r w:rsidRPr="00B42397">
              <w:rPr>
                <w:rFonts w:ascii="Arial Narrow" w:eastAsiaTheme="majorEastAsia" w:hAnsi="Arial Narrow" w:cstheme="majorBidi"/>
                <w:bCs/>
                <w:sz w:val="20"/>
              </w:rPr>
              <w:t>Kudlac</w:t>
            </w:r>
            <w:proofErr w:type="spellEnd"/>
            <w:r w:rsidRPr="00B42397">
              <w:rPr>
                <w:rFonts w:ascii="Arial Narrow" w:eastAsiaTheme="majorEastAsia" w:hAnsi="Arial Narrow" w:cstheme="majorBidi"/>
                <w:bCs/>
                <w:sz w:val="20"/>
              </w:rPr>
              <w:t xml:space="preserve"> A, Palumbo A, </w:t>
            </w:r>
            <w:proofErr w:type="spellStart"/>
            <w:r w:rsidRPr="00B42397">
              <w:rPr>
                <w:rFonts w:ascii="Arial Narrow" w:eastAsiaTheme="majorEastAsia" w:hAnsi="Arial Narrow" w:cstheme="majorBidi"/>
                <w:bCs/>
                <w:sz w:val="20"/>
              </w:rPr>
              <w:t>Oukessou</w:t>
            </w:r>
            <w:proofErr w:type="spellEnd"/>
            <w:r w:rsidRPr="00B42397">
              <w:rPr>
                <w:rFonts w:ascii="Arial Narrow" w:eastAsiaTheme="majorEastAsia" w:hAnsi="Arial Narrow" w:cstheme="majorBidi"/>
                <w:bCs/>
                <w:sz w:val="20"/>
              </w:rPr>
              <w:t xml:space="preserve"> A, </w:t>
            </w:r>
            <w:proofErr w:type="spellStart"/>
            <w:r w:rsidRPr="00B42397">
              <w:rPr>
                <w:rFonts w:ascii="Arial Narrow" w:eastAsiaTheme="majorEastAsia" w:hAnsi="Arial Narrow" w:cstheme="majorBidi"/>
                <w:bCs/>
                <w:sz w:val="20"/>
              </w:rPr>
              <w:t>Vij</w:t>
            </w:r>
            <w:proofErr w:type="spellEnd"/>
            <w:r w:rsidRPr="00B42397">
              <w:rPr>
                <w:rFonts w:ascii="Arial Narrow" w:eastAsiaTheme="majorEastAsia" w:hAnsi="Arial Narrow" w:cstheme="majorBidi"/>
                <w:bCs/>
                <w:sz w:val="20"/>
              </w:rPr>
              <w:t xml:space="preserve"> R, et al. Impact of elotuzumab treatment on pain and health-related quality of life in patients with relapsed or refractory multiple myeloma: results from the ELOQUENT-2 study. </w:t>
            </w:r>
          </w:p>
        </w:tc>
        <w:tc>
          <w:tcPr>
            <w:tcW w:w="1177" w:type="pct"/>
            <w:tcBorders>
              <w:top w:val="nil"/>
              <w:bottom w:val="nil"/>
            </w:tcBorders>
            <w:vAlign w:val="center"/>
          </w:tcPr>
          <w:p w14:paraId="6247E64B"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 xml:space="preserve">Annals of </w:t>
            </w:r>
            <w:proofErr w:type="spellStart"/>
            <w:r w:rsidRPr="00B42397">
              <w:rPr>
                <w:rFonts w:ascii="Arial Narrow" w:eastAsiaTheme="majorEastAsia" w:hAnsi="Arial Narrow" w:cstheme="majorBidi"/>
                <w:bCs/>
                <w:sz w:val="20"/>
              </w:rPr>
              <w:t>Hematology</w:t>
            </w:r>
            <w:proofErr w:type="spellEnd"/>
            <w:r w:rsidRPr="00B42397">
              <w:rPr>
                <w:rFonts w:ascii="Arial Narrow" w:eastAsiaTheme="majorEastAsia" w:hAnsi="Arial Narrow" w:cstheme="majorBidi"/>
                <w:bCs/>
                <w:sz w:val="20"/>
              </w:rPr>
              <w:t>. 2018</w:t>
            </w:r>
            <w:proofErr w:type="gramStart"/>
            <w:r w:rsidRPr="00B42397">
              <w:rPr>
                <w:rFonts w:ascii="Arial Narrow" w:eastAsiaTheme="majorEastAsia" w:hAnsi="Arial Narrow" w:cstheme="majorBidi"/>
                <w:bCs/>
                <w:sz w:val="20"/>
              </w:rPr>
              <w:t>;97</w:t>
            </w:r>
            <w:proofErr w:type="gramEnd"/>
            <w:r w:rsidRPr="00B42397">
              <w:rPr>
                <w:rFonts w:ascii="Arial Narrow" w:eastAsiaTheme="majorEastAsia" w:hAnsi="Arial Narrow" w:cstheme="majorBidi"/>
                <w:bCs/>
                <w:sz w:val="20"/>
              </w:rPr>
              <w:t>(12):2455-63.</w:t>
            </w:r>
          </w:p>
        </w:tc>
      </w:tr>
      <w:tr w:rsidR="00AB5DF1" w:rsidRPr="00B42397" w14:paraId="41DA0CD1" w14:textId="77777777" w:rsidTr="008A1393">
        <w:tc>
          <w:tcPr>
            <w:tcW w:w="796" w:type="pct"/>
            <w:tcBorders>
              <w:top w:val="nil"/>
              <w:bottom w:val="nil"/>
            </w:tcBorders>
            <w:vAlign w:val="center"/>
          </w:tcPr>
          <w:p w14:paraId="61873720"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1B5AB140"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rPr>
              <w:t>Dimopoulos</w:t>
            </w:r>
            <w:proofErr w:type="spellEnd"/>
            <w:r w:rsidRPr="00B42397">
              <w:rPr>
                <w:rFonts w:ascii="Arial Narrow" w:eastAsiaTheme="majorEastAsia" w:hAnsi="Arial Narrow" w:cstheme="majorBidi"/>
                <w:bCs/>
                <w:sz w:val="20"/>
              </w:rPr>
              <w:t xml:space="preserve"> MA, </w:t>
            </w:r>
            <w:proofErr w:type="spellStart"/>
            <w:r w:rsidRPr="00B42397">
              <w:rPr>
                <w:rFonts w:ascii="Arial Narrow" w:eastAsiaTheme="majorEastAsia" w:hAnsi="Arial Narrow" w:cstheme="majorBidi"/>
                <w:bCs/>
                <w:sz w:val="20"/>
              </w:rPr>
              <w:t>Lonial</w:t>
            </w:r>
            <w:proofErr w:type="spellEnd"/>
            <w:r w:rsidRPr="00B42397">
              <w:rPr>
                <w:rFonts w:ascii="Arial Narrow" w:eastAsiaTheme="majorEastAsia" w:hAnsi="Arial Narrow" w:cstheme="majorBidi"/>
                <w:bCs/>
                <w:sz w:val="20"/>
              </w:rPr>
              <w:t xml:space="preserve"> S, White D, Moreau P, Palumbo A, San-Miguel J, et al. Elotuzumab plus lenalidomide/dexamethasone for relapsed or refractory multiple myeloma: ELOQUENT-2 follow-up and post-hoc analyses on progression-free survival and tumour growth. </w:t>
            </w:r>
          </w:p>
        </w:tc>
        <w:tc>
          <w:tcPr>
            <w:tcW w:w="1177" w:type="pct"/>
            <w:tcBorders>
              <w:top w:val="nil"/>
              <w:bottom w:val="nil"/>
            </w:tcBorders>
            <w:vAlign w:val="center"/>
          </w:tcPr>
          <w:p w14:paraId="014EA9F0"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British Journal of Haematology. 2017b</w:t>
            </w:r>
            <w:proofErr w:type="gramStart"/>
            <w:r w:rsidRPr="00B42397">
              <w:rPr>
                <w:rFonts w:ascii="Arial Narrow" w:eastAsiaTheme="majorEastAsia" w:hAnsi="Arial Narrow" w:cstheme="majorBidi"/>
                <w:bCs/>
                <w:sz w:val="20"/>
              </w:rPr>
              <w:t>;178</w:t>
            </w:r>
            <w:proofErr w:type="gramEnd"/>
            <w:r w:rsidRPr="00B42397">
              <w:rPr>
                <w:rFonts w:ascii="Arial Narrow" w:eastAsiaTheme="majorEastAsia" w:hAnsi="Arial Narrow" w:cstheme="majorBidi"/>
                <w:bCs/>
                <w:sz w:val="20"/>
              </w:rPr>
              <w:t>(6):896-905.</w:t>
            </w:r>
          </w:p>
        </w:tc>
      </w:tr>
      <w:tr w:rsidR="00AB5DF1" w:rsidRPr="00B42397" w14:paraId="461DCFBD" w14:textId="77777777" w:rsidTr="008A1393">
        <w:tc>
          <w:tcPr>
            <w:tcW w:w="796" w:type="pct"/>
            <w:tcBorders>
              <w:top w:val="nil"/>
              <w:bottom w:val="nil"/>
            </w:tcBorders>
            <w:vAlign w:val="center"/>
          </w:tcPr>
          <w:p w14:paraId="652A8358"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2AFDAEF9"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rPr>
              <w:t>Lonial</w:t>
            </w:r>
            <w:proofErr w:type="spellEnd"/>
            <w:r w:rsidRPr="00B42397">
              <w:rPr>
                <w:rFonts w:ascii="Arial Narrow" w:eastAsiaTheme="majorEastAsia" w:hAnsi="Arial Narrow" w:cstheme="majorBidi"/>
                <w:bCs/>
                <w:sz w:val="20"/>
              </w:rPr>
              <w:t xml:space="preserve"> S, </w:t>
            </w:r>
            <w:proofErr w:type="spellStart"/>
            <w:r w:rsidRPr="00B42397">
              <w:rPr>
                <w:rFonts w:ascii="Arial Narrow" w:eastAsiaTheme="majorEastAsia" w:hAnsi="Arial Narrow" w:cstheme="majorBidi"/>
                <w:bCs/>
                <w:sz w:val="20"/>
              </w:rPr>
              <w:t>Dimopoulos</w:t>
            </w:r>
            <w:proofErr w:type="spellEnd"/>
            <w:r w:rsidRPr="00B42397">
              <w:rPr>
                <w:rFonts w:ascii="Arial Narrow" w:eastAsiaTheme="majorEastAsia" w:hAnsi="Arial Narrow" w:cstheme="majorBidi"/>
                <w:bCs/>
                <w:sz w:val="20"/>
              </w:rPr>
              <w:t xml:space="preserve"> M, Palumbo A, White D, </w:t>
            </w:r>
            <w:proofErr w:type="spellStart"/>
            <w:r w:rsidRPr="00B42397">
              <w:rPr>
                <w:rFonts w:ascii="Arial Narrow" w:eastAsiaTheme="majorEastAsia" w:hAnsi="Arial Narrow" w:cstheme="majorBidi"/>
                <w:bCs/>
                <w:sz w:val="20"/>
              </w:rPr>
              <w:t>Grosicki</w:t>
            </w:r>
            <w:proofErr w:type="spellEnd"/>
            <w:r w:rsidRPr="00B42397">
              <w:rPr>
                <w:rFonts w:ascii="Arial Narrow" w:eastAsiaTheme="majorEastAsia" w:hAnsi="Arial Narrow" w:cstheme="majorBidi"/>
                <w:bCs/>
                <w:sz w:val="20"/>
              </w:rPr>
              <w:t xml:space="preserve"> S, </w:t>
            </w:r>
            <w:proofErr w:type="spellStart"/>
            <w:r w:rsidRPr="00B42397">
              <w:rPr>
                <w:rFonts w:ascii="Arial Narrow" w:eastAsiaTheme="majorEastAsia" w:hAnsi="Arial Narrow" w:cstheme="majorBidi"/>
                <w:bCs/>
                <w:sz w:val="20"/>
              </w:rPr>
              <w:t>Spicka</w:t>
            </w:r>
            <w:proofErr w:type="spellEnd"/>
            <w:r w:rsidRPr="00B42397">
              <w:rPr>
                <w:rFonts w:ascii="Arial Narrow" w:eastAsiaTheme="majorEastAsia" w:hAnsi="Arial Narrow" w:cstheme="majorBidi"/>
                <w:bCs/>
                <w:sz w:val="20"/>
              </w:rPr>
              <w:t xml:space="preserve"> I, et al. Elotuzumab therapy for relapsed or refractory multiple myeloma..</w:t>
            </w:r>
          </w:p>
        </w:tc>
        <w:tc>
          <w:tcPr>
            <w:tcW w:w="1177" w:type="pct"/>
            <w:tcBorders>
              <w:top w:val="nil"/>
              <w:bottom w:val="nil"/>
            </w:tcBorders>
            <w:vAlign w:val="center"/>
          </w:tcPr>
          <w:p w14:paraId="612E3E6D"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New England Journal of Medicine. 2015;373(7):621-31</w:t>
            </w:r>
          </w:p>
        </w:tc>
      </w:tr>
      <w:tr w:rsidR="00AB5DF1" w:rsidRPr="00B42397" w14:paraId="4F1CD527" w14:textId="77777777" w:rsidTr="008A1393">
        <w:tc>
          <w:tcPr>
            <w:tcW w:w="796" w:type="pct"/>
            <w:tcBorders>
              <w:top w:val="nil"/>
              <w:bottom w:val="nil"/>
            </w:tcBorders>
            <w:vAlign w:val="center"/>
          </w:tcPr>
          <w:p w14:paraId="00B74DF8"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1336E170"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NCT. Phase III Study of Lenalidomide and Dexamethasone With or Without Elotuzumab to Treat Relapsed or Refractory Multiple Myeloma. https://clinicaltrialsgov/show/NCT01239797. 2010.</w:t>
            </w:r>
          </w:p>
        </w:tc>
        <w:tc>
          <w:tcPr>
            <w:tcW w:w="1177" w:type="pct"/>
            <w:tcBorders>
              <w:top w:val="nil"/>
              <w:bottom w:val="nil"/>
            </w:tcBorders>
            <w:vAlign w:val="center"/>
          </w:tcPr>
          <w:p w14:paraId="3B733DF6"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18"/>
              </w:rPr>
              <w:t>NCT reco</w:t>
            </w:r>
            <w:r w:rsidR="00833A74" w:rsidRPr="00B42397">
              <w:rPr>
                <w:rFonts w:ascii="Arial Narrow" w:eastAsiaTheme="majorEastAsia" w:hAnsi="Arial Narrow" w:cstheme="majorBidi"/>
                <w:bCs/>
                <w:sz w:val="20"/>
                <w:szCs w:val="18"/>
              </w:rPr>
              <w:t>r</w:t>
            </w:r>
            <w:r w:rsidR="001F5659" w:rsidRPr="00B42397">
              <w:rPr>
                <w:rFonts w:ascii="Arial Narrow" w:eastAsiaTheme="majorEastAsia" w:hAnsi="Arial Narrow" w:cstheme="majorBidi"/>
                <w:bCs/>
                <w:sz w:val="20"/>
                <w:szCs w:val="18"/>
              </w:rPr>
              <w:t>d</w:t>
            </w:r>
          </w:p>
        </w:tc>
      </w:tr>
      <w:tr w:rsidR="00AB5DF1" w:rsidRPr="00B42397" w14:paraId="5AEA6DF0" w14:textId="77777777" w:rsidTr="008A1393">
        <w:tc>
          <w:tcPr>
            <w:tcW w:w="796" w:type="pct"/>
            <w:tcBorders>
              <w:top w:val="nil"/>
              <w:bottom w:val="nil"/>
            </w:tcBorders>
            <w:vAlign w:val="center"/>
          </w:tcPr>
          <w:p w14:paraId="202A25F7"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0BFF44AF"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rPr>
              <w:t>Euctr</w:t>
            </w:r>
            <w:proofErr w:type="spellEnd"/>
            <w:r w:rsidRPr="00B42397">
              <w:rPr>
                <w:rFonts w:ascii="Arial Narrow" w:eastAsiaTheme="majorEastAsia" w:hAnsi="Arial Narrow" w:cstheme="majorBidi"/>
                <w:bCs/>
                <w:sz w:val="20"/>
              </w:rPr>
              <w:t xml:space="preserve"> ES. </w:t>
            </w:r>
            <w:proofErr w:type="spellStart"/>
            <w:r w:rsidRPr="00B42397">
              <w:rPr>
                <w:rFonts w:ascii="Arial Narrow" w:eastAsiaTheme="majorEastAsia" w:hAnsi="Arial Narrow" w:cstheme="majorBidi"/>
                <w:bCs/>
                <w:sz w:val="20"/>
              </w:rPr>
              <w:t>Ensayo</w:t>
            </w:r>
            <w:proofErr w:type="spellEnd"/>
            <w:r w:rsidRPr="00B42397">
              <w:rPr>
                <w:rFonts w:ascii="Arial Narrow" w:eastAsiaTheme="majorEastAsia" w:hAnsi="Arial Narrow" w:cstheme="majorBidi"/>
                <w:bCs/>
                <w:sz w:val="20"/>
              </w:rPr>
              <w:t xml:space="preserve"> de </w:t>
            </w:r>
            <w:proofErr w:type="spellStart"/>
            <w:r w:rsidRPr="00B42397">
              <w:rPr>
                <w:rFonts w:ascii="Arial Narrow" w:eastAsiaTheme="majorEastAsia" w:hAnsi="Arial Narrow" w:cstheme="majorBidi"/>
                <w:bCs/>
                <w:sz w:val="20"/>
              </w:rPr>
              <w:t>fase</w:t>
            </w:r>
            <w:proofErr w:type="spellEnd"/>
            <w:r w:rsidRPr="00B42397">
              <w:rPr>
                <w:rFonts w:ascii="Arial Narrow" w:eastAsiaTheme="majorEastAsia" w:hAnsi="Arial Narrow" w:cstheme="majorBidi"/>
                <w:bCs/>
                <w:sz w:val="20"/>
              </w:rPr>
              <w:t xml:space="preserve"> 3, </w:t>
            </w:r>
            <w:proofErr w:type="spellStart"/>
            <w:r w:rsidRPr="00B42397">
              <w:rPr>
                <w:rFonts w:ascii="Arial Narrow" w:eastAsiaTheme="majorEastAsia" w:hAnsi="Arial Narrow" w:cstheme="majorBidi"/>
                <w:bCs/>
                <w:sz w:val="20"/>
              </w:rPr>
              <w:t>aleatorizado</w:t>
            </w:r>
            <w:proofErr w:type="spellEnd"/>
            <w:r w:rsidRPr="00B42397">
              <w:rPr>
                <w:rFonts w:ascii="Arial Narrow" w:eastAsiaTheme="majorEastAsia" w:hAnsi="Arial Narrow" w:cstheme="majorBidi"/>
                <w:bCs/>
                <w:sz w:val="20"/>
              </w:rPr>
              <w:t xml:space="preserve"> y </w:t>
            </w:r>
            <w:proofErr w:type="spellStart"/>
            <w:r w:rsidRPr="00B42397">
              <w:rPr>
                <w:rFonts w:ascii="Arial Narrow" w:eastAsiaTheme="majorEastAsia" w:hAnsi="Arial Narrow" w:cstheme="majorBidi"/>
                <w:bCs/>
                <w:sz w:val="20"/>
              </w:rPr>
              <w:t>abierto</w:t>
            </w:r>
            <w:proofErr w:type="spellEnd"/>
            <w:r w:rsidRPr="00B42397">
              <w:rPr>
                <w:rFonts w:ascii="Arial Narrow" w:eastAsiaTheme="majorEastAsia" w:hAnsi="Arial Narrow" w:cstheme="majorBidi"/>
                <w:bCs/>
                <w:sz w:val="20"/>
              </w:rPr>
              <w:t xml:space="preserve">, de </w:t>
            </w:r>
            <w:proofErr w:type="spellStart"/>
            <w:r w:rsidRPr="00B42397">
              <w:rPr>
                <w:rFonts w:ascii="Arial Narrow" w:eastAsiaTheme="majorEastAsia" w:hAnsi="Arial Narrow" w:cstheme="majorBidi"/>
                <w:bCs/>
                <w:sz w:val="20"/>
              </w:rPr>
              <w:t>lenalidomida</w:t>
            </w:r>
            <w:proofErr w:type="spellEnd"/>
            <w:r w:rsidRPr="00B42397">
              <w:rPr>
                <w:rFonts w:ascii="Arial Narrow" w:eastAsiaTheme="majorEastAsia" w:hAnsi="Arial Narrow" w:cstheme="majorBidi"/>
                <w:bCs/>
                <w:sz w:val="20"/>
              </w:rPr>
              <w:t>/</w:t>
            </w:r>
            <w:proofErr w:type="spellStart"/>
            <w:r w:rsidRPr="00B42397">
              <w:rPr>
                <w:rFonts w:ascii="Arial Narrow" w:eastAsiaTheme="majorEastAsia" w:hAnsi="Arial Narrow" w:cstheme="majorBidi"/>
                <w:bCs/>
                <w:sz w:val="20"/>
              </w:rPr>
              <w:t>dexametasona</w:t>
            </w:r>
            <w:proofErr w:type="spellEnd"/>
            <w:r w:rsidRPr="00B42397">
              <w:rPr>
                <w:rFonts w:ascii="Arial Narrow" w:eastAsiaTheme="majorEastAsia" w:hAnsi="Arial Narrow" w:cstheme="majorBidi"/>
                <w:bCs/>
                <w:sz w:val="20"/>
              </w:rPr>
              <w:t xml:space="preserve">, con o sin elotuzumab, </w:t>
            </w:r>
            <w:proofErr w:type="spellStart"/>
            <w:r w:rsidRPr="00B42397">
              <w:rPr>
                <w:rFonts w:ascii="Arial Narrow" w:eastAsiaTheme="majorEastAsia" w:hAnsi="Arial Narrow" w:cstheme="majorBidi"/>
                <w:bCs/>
                <w:sz w:val="20"/>
              </w:rPr>
              <w:t>en</w:t>
            </w:r>
            <w:proofErr w:type="spellEnd"/>
            <w:r w:rsidRPr="00B42397">
              <w:rPr>
                <w:rFonts w:ascii="Arial Narrow" w:eastAsiaTheme="majorEastAsia" w:hAnsi="Arial Narrow" w:cstheme="majorBidi"/>
                <w:bCs/>
                <w:sz w:val="20"/>
              </w:rPr>
              <w:t xml:space="preserve"> el </w:t>
            </w:r>
            <w:proofErr w:type="spellStart"/>
            <w:r w:rsidRPr="00B42397">
              <w:rPr>
                <w:rFonts w:ascii="Arial Narrow" w:eastAsiaTheme="majorEastAsia" w:hAnsi="Arial Narrow" w:cstheme="majorBidi"/>
                <w:bCs/>
                <w:sz w:val="20"/>
              </w:rPr>
              <w:t>mieloma</w:t>
            </w:r>
            <w:proofErr w:type="spellEnd"/>
            <w:r w:rsidRPr="00B42397">
              <w:rPr>
                <w:rFonts w:ascii="Arial Narrow" w:eastAsiaTheme="majorEastAsia" w:hAnsi="Arial Narrow" w:cstheme="majorBidi"/>
                <w:bCs/>
                <w:sz w:val="20"/>
              </w:rPr>
              <w:t xml:space="preserve"> </w:t>
            </w:r>
            <w:proofErr w:type="spellStart"/>
            <w:r w:rsidRPr="00B42397">
              <w:rPr>
                <w:rFonts w:ascii="Arial Narrow" w:eastAsiaTheme="majorEastAsia" w:hAnsi="Arial Narrow" w:cstheme="majorBidi"/>
                <w:bCs/>
                <w:sz w:val="20"/>
              </w:rPr>
              <w:t>múltiple</w:t>
            </w:r>
            <w:proofErr w:type="spellEnd"/>
            <w:r w:rsidRPr="00B42397">
              <w:rPr>
                <w:rFonts w:ascii="Arial Narrow" w:eastAsiaTheme="majorEastAsia" w:hAnsi="Arial Narrow" w:cstheme="majorBidi"/>
                <w:bCs/>
                <w:sz w:val="20"/>
              </w:rPr>
              <w:t xml:space="preserve"> </w:t>
            </w:r>
            <w:proofErr w:type="spellStart"/>
            <w:r w:rsidRPr="00B42397">
              <w:rPr>
                <w:rFonts w:ascii="Arial Narrow" w:eastAsiaTheme="majorEastAsia" w:hAnsi="Arial Narrow" w:cstheme="majorBidi"/>
                <w:bCs/>
                <w:sz w:val="20"/>
              </w:rPr>
              <w:t>en</w:t>
            </w:r>
            <w:proofErr w:type="spellEnd"/>
            <w:r w:rsidRPr="00B42397">
              <w:rPr>
                <w:rFonts w:ascii="Arial Narrow" w:eastAsiaTheme="majorEastAsia" w:hAnsi="Arial Narrow" w:cstheme="majorBidi"/>
                <w:bCs/>
                <w:sz w:val="20"/>
              </w:rPr>
              <w:t xml:space="preserve"> </w:t>
            </w:r>
            <w:proofErr w:type="spellStart"/>
            <w:r w:rsidRPr="00B42397">
              <w:rPr>
                <w:rFonts w:ascii="Arial Narrow" w:eastAsiaTheme="majorEastAsia" w:hAnsi="Arial Narrow" w:cstheme="majorBidi"/>
                <w:bCs/>
                <w:sz w:val="20"/>
              </w:rPr>
              <w:t>recidiva</w:t>
            </w:r>
            <w:proofErr w:type="spellEnd"/>
            <w:r w:rsidRPr="00B42397">
              <w:rPr>
                <w:rFonts w:ascii="Arial Narrow" w:eastAsiaTheme="majorEastAsia" w:hAnsi="Arial Narrow" w:cstheme="majorBidi"/>
                <w:bCs/>
                <w:sz w:val="20"/>
              </w:rPr>
              <w:t xml:space="preserve"> o </w:t>
            </w:r>
            <w:proofErr w:type="spellStart"/>
            <w:r w:rsidRPr="00B42397">
              <w:rPr>
                <w:rFonts w:ascii="Arial Narrow" w:eastAsiaTheme="majorEastAsia" w:hAnsi="Arial Narrow" w:cstheme="majorBidi"/>
                <w:bCs/>
                <w:sz w:val="20"/>
              </w:rPr>
              <w:t>resistente</w:t>
            </w:r>
            <w:proofErr w:type="spellEnd"/>
            <w:r w:rsidRPr="00B42397">
              <w:rPr>
                <w:rFonts w:ascii="Arial Narrow" w:eastAsiaTheme="majorEastAsia" w:hAnsi="Arial Narrow" w:cstheme="majorBidi"/>
                <w:bCs/>
                <w:sz w:val="20"/>
              </w:rPr>
              <w:t xml:space="preserve"> al </w:t>
            </w:r>
            <w:proofErr w:type="spellStart"/>
            <w:r w:rsidRPr="00B42397">
              <w:rPr>
                <w:rFonts w:ascii="Arial Narrow" w:eastAsiaTheme="majorEastAsia" w:hAnsi="Arial Narrow" w:cstheme="majorBidi"/>
                <w:bCs/>
                <w:sz w:val="20"/>
              </w:rPr>
              <w:t>tratamiento</w:t>
            </w:r>
            <w:proofErr w:type="spellEnd"/>
            <w:r w:rsidRPr="00B42397">
              <w:rPr>
                <w:rFonts w:ascii="Arial Narrow" w:eastAsiaTheme="majorEastAsia" w:hAnsi="Arial Narrow" w:cstheme="majorBidi"/>
                <w:bCs/>
                <w:sz w:val="20"/>
              </w:rPr>
              <w:t xml:space="preserve"> // A Phase 3, Randomized, Open Label Trial of Lenalidomide/dexamethasone With or Without Elotuzumab in Relapsed or Refractory Multiple Myeloma. http://wwwwhoint/trialsearch/Trial2aspx?TrialID=EUCTR2010-020347-12-ES. 2011.</w:t>
            </w:r>
          </w:p>
        </w:tc>
        <w:tc>
          <w:tcPr>
            <w:tcW w:w="1177" w:type="pct"/>
            <w:tcBorders>
              <w:top w:val="nil"/>
              <w:bottom w:val="nil"/>
            </w:tcBorders>
            <w:vAlign w:val="center"/>
          </w:tcPr>
          <w:p w14:paraId="5AFA99C8" w14:textId="77777777" w:rsidR="00AB5DF1" w:rsidRPr="00B42397" w:rsidRDefault="00AB5DF1" w:rsidP="00833A74">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18"/>
              </w:rPr>
              <w:t>EUCTR reco</w:t>
            </w:r>
            <w:r w:rsidR="00833A74" w:rsidRPr="00B42397">
              <w:rPr>
                <w:rFonts w:ascii="Arial Narrow" w:eastAsiaTheme="majorEastAsia" w:hAnsi="Arial Narrow" w:cstheme="majorBidi"/>
                <w:bCs/>
                <w:sz w:val="20"/>
                <w:szCs w:val="18"/>
              </w:rPr>
              <w:t>r</w:t>
            </w:r>
            <w:r w:rsidR="001F5659" w:rsidRPr="00B42397">
              <w:rPr>
                <w:rFonts w:ascii="Arial Narrow" w:eastAsiaTheme="majorEastAsia" w:hAnsi="Arial Narrow" w:cstheme="majorBidi"/>
                <w:bCs/>
                <w:sz w:val="20"/>
                <w:szCs w:val="18"/>
              </w:rPr>
              <w:t>d</w:t>
            </w:r>
          </w:p>
        </w:tc>
      </w:tr>
      <w:tr w:rsidR="00AB5DF1" w:rsidRPr="00B42397" w14:paraId="7AC21FFC" w14:textId="77777777" w:rsidTr="008A1393">
        <w:tc>
          <w:tcPr>
            <w:tcW w:w="796" w:type="pct"/>
            <w:tcBorders>
              <w:top w:val="nil"/>
              <w:bottom w:val="nil"/>
            </w:tcBorders>
            <w:vAlign w:val="center"/>
          </w:tcPr>
          <w:p w14:paraId="6E8879AF"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single" w:sz="4" w:space="0" w:color="auto"/>
              <w:right w:val="single" w:sz="4" w:space="0" w:color="auto"/>
            </w:tcBorders>
          </w:tcPr>
          <w:p w14:paraId="04B12531"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rPr>
              <w:t>Title: Phase III Study of Lenalidomide and Dexamethasone With or Without Elotuzumab to Treat Relapsed or Refractory Multiple Myeloma</w:t>
            </w:r>
          </w:p>
        </w:tc>
        <w:tc>
          <w:tcPr>
            <w:tcW w:w="1177" w:type="pct"/>
            <w:tcBorders>
              <w:top w:val="nil"/>
              <w:bottom w:val="single" w:sz="4" w:space="0" w:color="auto"/>
            </w:tcBorders>
            <w:vAlign w:val="center"/>
          </w:tcPr>
          <w:p w14:paraId="1AEC6A99"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18"/>
              </w:rPr>
              <w:t>NCT reco</w:t>
            </w:r>
            <w:r w:rsidR="00833A74" w:rsidRPr="00B42397">
              <w:rPr>
                <w:rFonts w:ascii="Arial Narrow" w:eastAsiaTheme="majorEastAsia" w:hAnsi="Arial Narrow" w:cstheme="majorBidi"/>
                <w:bCs/>
                <w:sz w:val="20"/>
                <w:szCs w:val="18"/>
              </w:rPr>
              <w:t>r</w:t>
            </w:r>
            <w:r w:rsidR="001F5659" w:rsidRPr="00B42397">
              <w:rPr>
                <w:rFonts w:ascii="Arial Narrow" w:eastAsiaTheme="majorEastAsia" w:hAnsi="Arial Narrow" w:cstheme="majorBidi"/>
                <w:bCs/>
                <w:sz w:val="20"/>
                <w:szCs w:val="18"/>
              </w:rPr>
              <w:t>d</w:t>
            </w:r>
          </w:p>
        </w:tc>
      </w:tr>
      <w:tr w:rsidR="00AB5DF1" w:rsidRPr="00B42397" w14:paraId="24D1E2B5" w14:textId="77777777" w:rsidTr="008A1393">
        <w:tc>
          <w:tcPr>
            <w:tcW w:w="796" w:type="pct"/>
            <w:tcBorders>
              <w:top w:val="single" w:sz="4" w:space="0" w:color="auto"/>
              <w:bottom w:val="nil"/>
            </w:tcBorders>
            <w:vAlign w:val="center"/>
          </w:tcPr>
          <w:p w14:paraId="0451ED6D" w14:textId="77777777" w:rsidR="00AB5DF1" w:rsidRPr="00B42397" w:rsidRDefault="00AB5DF1" w:rsidP="00AB5DF1">
            <w:pPr>
              <w:widowControl w:val="0"/>
              <w:jc w:val="left"/>
              <w:rPr>
                <w:rFonts w:ascii="Arial Narrow" w:eastAsiaTheme="majorEastAsia" w:hAnsi="Arial Narrow" w:cstheme="majorBidi"/>
                <w:bCs/>
                <w:sz w:val="20"/>
              </w:rPr>
            </w:pPr>
            <w:r w:rsidRPr="00B42397">
              <w:rPr>
                <w:rFonts w:ascii="Arial Narrow" w:eastAsiaTheme="majorEastAsia" w:hAnsi="Arial Narrow" w:cstheme="majorBidi"/>
                <w:bCs/>
                <w:sz w:val="20"/>
              </w:rPr>
              <w:t>ENDEAVOR</w:t>
            </w:r>
          </w:p>
        </w:tc>
        <w:tc>
          <w:tcPr>
            <w:tcW w:w="3027" w:type="pct"/>
            <w:tcBorders>
              <w:top w:val="single" w:sz="4" w:space="0" w:color="auto"/>
              <w:left w:val="single" w:sz="4" w:space="0" w:color="auto"/>
              <w:bottom w:val="nil"/>
              <w:right w:val="single" w:sz="4" w:space="0" w:color="auto"/>
            </w:tcBorders>
          </w:tcPr>
          <w:p w14:paraId="560E3135"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Dimopoulos</w:t>
            </w:r>
            <w:proofErr w:type="spellEnd"/>
            <w:r w:rsidRPr="00B42397">
              <w:rPr>
                <w:rFonts w:ascii="Arial Narrow" w:eastAsiaTheme="majorEastAsia" w:hAnsi="Arial Narrow" w:cstheme="majorBidi"/>
                <w:bCs/>
                <w:sz w:val="20"/>
                <w:szCs w:val="20"/>
              </w:rPr>
              <w:t xml:space="preserve">, M. A., et al. (2016). "Carfilzomib and dexamethasone versus bortezomib and dexamethasone for patients with relapsed or refractory multiple myeloma (ENDEAVOR): And randomised, phase 3, open-label, multicentre study." </w:t>
            </w:r>
          </w:p>
        </w:tc>
        <w:tc>
          <w:tcPr>
            <w:tcW w:w="1177" w:type="pct"/>
            <w:tcBorders>
              <w:top w:val="single" w:sz="4" w:space="0" w:color="auto"/>
              <w:bottom w:val="nil"/>
            </w:tcBorders>
            <w:vAlign w:val="center"/>
          </w:tcPr>
          <w:p w14:paraId="7982AA72"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The Lancet Oncology 17(1): 27-38.</w:t>
            </w:r>
          </w:p>
        </w:tc>
      </w:tr>
      <w:tr w:rsidR="00AB5DF1" w:rsidRPr="00B42397" w14:paraId="086EBB82" w14:textId="77777777" w:rsidTr="008A1393">
        <w:tc>
          <w:tcPr>
            <w:tcW w:w="796" w:type="pct"/>
            <w:tcBorders>
              <w:top w:val="nil"/>
              <w:bottom w:val="nil"/>
            </w:tcBorders>
            <w:vAlign w:val="center"/>
          </w:tcPr>
          <w:p w14:paraId="22F30702"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6060959E"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Dimopoulos</w:t>
            </w:r>
            <w:proofErr w:type="spellEnd"/>
            <w:r w:rsidRPr="00B42397">
              <w:rPr>
                <w:rFonts w:ascii="Arial Narrow" w:eastAsiaTheme="majorEastAsia" w:hAnsi="Arial Narrow" w:cstheme="majorBidi"/>
                <w:bCs/>
                <w:sz w:val="20"/>
                <w:szCs w:val="20"/>
              </w:rPr>
              <w:t xml:space="preserve">, M. A., et al. (2017). "Carfilzomib or bortezomib in relapsed or refractory multiple myeloma (ENDEAVOR): an interim overall survival analysis of an open-label, randomised, phase 3 trial." </w:t>
            </w:r>
          </w:p>
        </w:tc>
        <w:tc>
          <w:tcPr>
            <w:tcW w:w="1177" w:type="pct"/>
            <w:tcBorders>
              <w:top w:val="nil"/>
              <w:bottom w:val="nil"/>
            </w:tcBorders>
            <w:vAlign w:val="center"/>
          </w:tcPr>
          <w:p w14:paraId="7458A995"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The Lancet Oncology 18(10): 1327-1337.</w:t>
            </w:r>
          </w:p>
        </w:tc>
      </w:tr>
      <w:tr w:rsidR="00AB5DF1" w:rsidRPr="00B42397" w14:paraId="1CA335CC" w14:textId="77777777" w:rsidTr="008A1393">
        <w:tc>
          <w:tcPr>
            <w:tcW w:w="796" w:type="pct"/>
            <w:tcBorders>
              <w:top w:val="nil"/>
              <w:bottom w:val="nil"/>
            </w:tcBorders>
            <w:vAlign w:val="center"/>
          </w:tcPr>
          <w:p w14:paraId="1B1C1FCE"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20FCD072"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 xml:space="preserve">Goldschmidt, H., et al. (2018). "Carfilzomib-dexamethasone versus subcutaneous or intravenous bortezomib in relapsed or refractory multiple </w:t>
            </w:r>
            <w:r w:rsidRPr="00B42397">
              <w:rPr>
                <w:rFonts w:ascii="Arial Narrow" w:eastAsiaTheme="majorEastAsia" w:hAnsi="Arial Narrow" w:cstheme="majorBidi"/>
                <w:bCs/>
                <w:sz w:val="20"/>
                <w:szCs w:val="20"/>
              </w:rPr>
              <w:lastRenderedPageBreak/>
              <w:t xml:space="preserve">myeloma: secondary analysis of the phase 3 ENDEAVOR study." </w:t>
            </w:r>
          </w:p>
        </w:tc>
        <w:tc>
          <w:tcPr>
            <w:tcW w:w="1177" w:type="pct"/>
            <w:tcBorders>
              <w:top w:val="nil"/>
              <w:bottom w:val="nil"/>
            </w:tcBorders>
            <w:vAlign w:val="center"/>
          </w:tcPr>
          <w:p w14:paraId="1DD55825"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lastRenderedPageBreak/>
              <w:t>Leukemia</w:t>
            </w:r>
            <w:proofErr w:type="spellEnd"/>
            <w:r w:rsidRPr="00B42397">
              <w:rPr>
                <w:rFonts w:ascii="Arial Narrow" w:eastAsiaTheme="majorEastAsia" w:hAnsi="Arial Narrow" w:cstheme="majorBidi"/>
                <w:bCs/>
                <w:sz w:val="20"/>
                <w:szCs w:val="20"/>
              </w:rPr>
              <w:t xml:space="preserve"> and Lymphoma 59(6): 1364-1374.</w:t>
            </w:r>
          </w:p>
        </w:tc>
      </w:tr>
      <w:tr w:rsidR="00AB5DF1" w:rsidRPr="00B42397" w14:paraId="24201318" w14:textId="77777777" w:rsidTr="008A1393">
        <w:tc>
          <w:tcPr>
            <w:tcW w:w="796" w:type="pct"/>
            <w:tcBorders>
              <w:top w:val="nil"/>
              <w:bottom w:val="nil"/>
            </w:tcBorders>
            <w:vAlign w:val="center"/>
          </w:tcPr>
          <w:p w14:paraId="3C5388FC"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6BBAF606"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Orlowski</w:t>
            </w:r>
            <w:proofErr w:type="spellEnd"/>
            <w:r w:rsidRPr="00B42397">
              <w:rPr>
                <w:rFonts w:ascii="Arial Narrow" w:eastAsiaTheme="majorEastAsia" w:hAnsi="Arial Narrow" w:cstheme="majorBidi"/>
                <w:bCs/>
                <w:sz w:val="20"/>
                <w:szCs w:val="20"/>
              </w:rPr>
              <w:t xml:space="preserve">, R. Z., et al. (2019). "Carfilzomib-Dexamethasone Versus Bortezomib-Dexamethasone in Relapsed or Refractory Multiple Myeloma: Updated Overall Survival, Safety, and Subgroups." </w:t>
            </w:r>
          </w:p>
        </w:tc>
        <w:tc>
          <w:tcPr>
            <w:tcW w:w="1177" w:type="pct"/>
            <w:tcBorders>
              <w:top w:val="nil"/>
              <w:bottom w:val="nil"/>
            </w:tcBorders>
            <w:vAlign w:val="center"/>
          </w:tcPr>
          <w:p w14:paraId="7E7D3325"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 xml:space="preserve">Clinical Lymphoma, Myeloma and </w:t>
            </w:r>
            <w:proofErr w:type="spellStart"/>
            <w:r w:rsidRPr="00B42397">
              <w:rPr>
                <w:rFonts w:ascii="Arial Narrow" w:eastAsiaTheme="majorEastAsia" w:hAnsi="Arial Narrow" w:cstheme="majorBidi"/>
                <w:bCs/>
                <w:sz w:val="20"/>
                <w:szCs w:val="20"/>
              </w:rPr>
              <w:t>Leukemia</w:t>
            </w:r>
            <w:proofErr w:type="spellEnd"/>
            <w:r w:rsidRPr="00B42397">
              <w:rPr>
                <w:rFonts w:ascii="Arial Narrow" w:eastAsiaTheme="majorEastAsia" w:hAnsi="Arial Narrow" w:cstheme="majorBidi"/>
                <w:bCs/>
                <w:sz w:val="20"/>
                <w:szCs w:val="20"/>
              </w:rPr>
              <w:t xml:space="preserve"> 19(8): 522-530.e521.</w:t>
            </w:r>
          </w:p>
        </w:tc>
      </w:tr>
      <w:tr w:rsidR="00AB5DF1" w:rsidRPr="00B42397" w14:paraId="503546D2" w14:textId="77777777" w:rsidTr="008A1393">
        <w:tc>
          <w:tcPr>
            <w:tcW w:w="796" w:type="pct"/>
            <w:tcBorders>
              <w:top w:val="nil"/>
              <w:bottom w:val="nil"/>
            </w:tcBorders>
            <w:vAlign w:val="center"/>
          </w:tcPr>
          <w:p w14:paraId="7D8954E9"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188B5CA4"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Chng</w:t>
            </w:r>
            <w:proofErr w:type="spellEnd"/>
            <w:r w:rsidRPr="00B42397">
              <w:rPr>
                <w:rFonts w:ascii="Arial Narrow" w:eastAsiaTheme="majorEastAsia" w:hAnsi="Arial Narrow" w:cstheme="majorBidi"/>
                <w:bCs/>
                <w:sz w:val="20"/>
                <w:szCs w:val="20"/>
              </w:rPr>
              <w:t xml:space="preserve">, W. J., et al. (2017). "Carfilzomib-dexamethasone vs bortezomib-dexamethasone in relapsed or refractory multiple myeloma by cytogenetic risk in the phase 3 study ENDEAVOR." </w:t>
            </w:r>
          </w:p>
        </w:tc>
        <w:tc>
          <w:tcPr>
            <w:tcW w:w="1177" w:type="pct"/>
            <w:tcBorders>
              <w:top w:val="nil"/>
              <w:bottom w:val="nil"/>
            </w:tcBorders>
            <w:vAlign w:val="center"/>
          </w:tcPr>
          <w:p w14:paraId="356DCBEE"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Leukemia</w:t>
            </w:r>
            <w:proofErr w:type="spellEnd"/>
            <w:r w:rsidRPr="00B42397">
              <w:rPr>
                <w:rFonts w:ascii="Arial Narrow" w:eastAsiaTheme="majorEastAsia" w:hAnsi="Arial Narrow" w:cstheme="majorBidi"/>
                <w:bCs/>
                <w:sz w:val="20"/>
                <w:szCs w:val="20"/>
              </w:rPr>
              <w:t xml:space="preserve"> 31(6): 1368-1374.</w:t>
            </w:r>
          </w:p>
        </w:tc>
      </w:tr>
      <w:tr w:rsidR="00AB5DF1" w:rsidRPr="00B42397" w14:paraId="098BC5E8" w14:textId="77777777" w:rsidTr="008A1393">
        <w:tc>
          <w:tcPr>
            <w:tcW w:w="796" w:type="pct"/>
            <w:tcBorders>
              <w:top w:val="nil"/>
              <w:bottom w:val="nil"/>
            </w:tcBorders>
            <w:vAlign w:val="center"/>
          </w:tcPr>
          <w:p w14:paraId="26EACC91"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18B6AE32"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Dimopoulos</w:t>
            </w:r>
            <w:proofErr w:type="spellEnd"/>
            <w:r w:rsidRPr="00B42397">
              <w:rPr>
                <w:rFonts w:ascii="Arial Narrow" w:eastAsiaTheme="majorEastAsia" w:hAnsi="Arial Narrow" w:cstheme="majorBidi"/>
                <w:bCs/>
                <w:sz w:val="20"/>
                <w:szCs w:val="20"/>
              </w:rPr>
              <w:t xml:space="preserve">, M., et al. (2019). "Carfilzomib vs bortezomib in patients with multiple myeloma and renal failure: A subgroup analysis of ENDEAVOR." </w:t>
            </w:r>
          </w:p>
        </w:tc>
        <w:tc>
          <w:tcPr>
            <w:tcW w:w="1177" w:type="pct"/>
            <w:tcBorders>
              <w:top w:val="nil"/>
              <w:bottom w:val="nil"/>
            </w:tcBorders>
            <w:vAlign w:val="center"/>
          </w:tcPr>
          <w:p w14:paraId="33456DA3"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Blood 133(2): 147-155.</w:t>
            </w:r>
          </w:p>
        </w:tc>
      </w:tr>
      <w:tr w:rsidR="00AB5DF1" w:rsidRPr="00B42397" w14:paraId="0226405A" w14:textId="77777777" w:rsidTr="008A1393">
        <w:tc>
          <w:tcPr>
            <w:tcW w:w="796" w:type="pct"/>
            <w:tcBorders>
              <w:top w:val="nil"/>
              <w:bottom w:val="nil"/>
            </w:tcBorders>
            <w:vAlign w:val="center"/>
          </w:tcPr>
          <w:p w14:paraId="523417E4"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33857207"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Dimopoulos</w:t>
            </w:r>
            <w:proofErr w:type="spellEnd"/>
            <w:r w:rsidRPr="00B42397">
              <w:rPr>
                <w:rFonts w:ascii="Arial Narrow" w:eastAsiaTheme="majorEastAsia" w:hAnsi="Arial Narrow" w:cstheme="majorBidi"/>
                <w:bCs/>
                <w:sz w:val="20"/>
                <w:szCs w:val="20"/>
              </w:rPr>
              <w:t xml:space="preserve">, M. A., et al. (2019b). "Outcomes for Asian patients with multiple myeloma receiving once- or twice-weekly carfilzomib-based therapy: a subgroup analysis of the randomized phase 3 ENDEAVOR and A.R.R.O.W. Trials." </w:t>
            </w:r>
          </w:p>
        </w:tc>
        <w:tc>
          <w:tcPr>
            <w:tcW w:w="1177" w:type="pct"/>
            <w:tcBorders>
              <w:top w:val="nil"/>
              <w:bottom w:val="nil"/>
            </w:tcBorders>
            <w:vAlign w:val="center"/>
          </w:tcPr>
          <w:p w14:paraId="2174351C"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 xml:space="preserve">International Journal of </w:t>
            </w:r>
            <w:proofErr w:type="spellStart"/>
            <w:r w:rsidRPr="00B42397">
              <w:rPr>
                <w:rFonts w:ascii="Arial Narrow" w:eastAsiaTheme="majorEastAsia" w:hAnsi="Arial Narrow" w:cstheme="majorBidi"/>
                <w:bCs/>
                <w:sz w:val="20"/>
                <w:szCs w:val="20"/>
              </w:rPr>
              <w:t>Hematology</w:t>
            </w:r>
            <w:proofErr w:type="spellEnd"/>
            <w:r w:rsidRPr="00B42397">
              <w:rPr>
                <w:rFonts w:ascii="Arial Narrow" w:eastAsiaTheme="majorEastAsia" w:hAnsi="Arial Narrow" w:cstheme="majorBidi"/>
                <w:bCs/>
                <w:sz w:val="20"/>
                <w:szCs w:val="20"/>
              </w:rPr>
              <w:t xml:space="preserve"> 110(4): 466-473.</w:t>
            </w:r>
          </w:p>
        </w:tc>
      </w:tr>
      <w:tr w:rsidR="00AB5DF1" w:rsidRPr="00B42397" w14:paraId="57B9AE15" w14:textId="77777777" w:rsidTr="008A1393">
        <w:tc>
          <w:tcPr>
            <w:tcW w:w="796" w:type="pct"/>
            <w:tcBorders>
              <w:top w:val="nil"/>
              <w:bottom w:val="nil"/>
            </w:tcBorders>
            <w:vAlign w:val="center"/>
          </w:tcPr>
          <w:p w14:paraId="107F739F"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048353B7"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 xml:space="preserve">Moreau, P., et al. (2017b). "Impact of prior treatment on patients with relapsed multiple myeloma treated with carfilzomib and dexamethasone vs bortezomib and dexamethasone in the phase 3 ENDEAVOR study." </w:t>
            </w:r>
          </w:p>
        </w:tc>
        <w:tc>
          <w:tcPr>
            <w:tcW w:w="1177" w:type="pct"/>
            <w:tcBorders>
              <w:top w:val="nil"/>
              <w:bottom w:val="nil"/>
            </w:tcBorders>
            <w:vAlign w:val="center"/>
          </w:tcPr>
          <w:p w14:paraId="3D2F3965"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Leukemia</w:t>
            </w:r>
            <w:proofErr w:type="spellEnd"/>
            <w:r w:rsidRPr="00B42397">
              <w:rPr>
                <w:rFonts w:ascii="Arial Narrow" w:eastAsiaTheme="majorEastAsia" w:hAnsi="Arial Narrow" w:cstheme="majorBidi"/>
                <w:bCs/>
                <w:sz w:val="20"/>
                <w:szCs w:val="20"/>
              </w:rPr>
              <w:t xml:space="preserve"> 31(1): 115-122.</w:t>
            </w:r>
          </w:p>
        </w:tc>
      </w:tr>
      <w:tr w:rsidR="00AB5DF1" w:rsidRPr="00B42397" w14:paraId="797543C1" w14:textId="77777777" w:rsidTr="008A1393">
        <w:tc>
          <w:tcPr>
            <w:tcW w:w="796" w:type="pct"/>
            <w:tcBorders>
              <w:top w:val="nil"/>
              <w:bottom w:val="nil"/>
            </w:tcBorders>
            <w:vAlign w:val="center"/>
          </w:tcPr>
          <w:p w14:paraId="09584608"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1A8351B0"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 xml:space="preserve">Moreau, P., et al. (2020). "Once-weekly (70 mg/m2) vs twice-weekly (56 mg/m2) dosing of carfilzomib in patients with relapsed or refractory multiple myeloma: A post hoc analysis of the ENDEAVOR, A.R.R.O.W., and CHAMPION-1 trials." </w:t>
            </w:r>
          </w:p>
        </w:tc>
        <w:tc>
          <w:tcPr>
            <w:tcW w:w="1177" w:type="pct"/>
            <w:tcBorders>
              <w:top w:val="nil"/>
              <w:bottom w:val="nil"/>
            </w:tcBorders>
            <w:vAlign w:val="center"/>
          </w:tcPr>
          <w:p w14:paraId="3AE189EE"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Cancer Medicine.</w:t>
            </w:r>
          </w:p>
        </w:tc>
      </w:tr>
      <w:tr w:rsidR="00AB5DF1" w:rsidRPr="00B42397" w14:paraId="1734E042" w14:textId="77777777" w:rsidTr="008A1393">
        <w:tc>
          <w:tcPr>
            <w:tcW w:w="796" w:type="pct"/>
            <w:tcBorders>
              <w:top w:val="nil"/>
              <w:bottom w:val="nil"/>
            </w:tcBorders>
            <w:vAlign w:val="center"/>
          </w:tcPr>
          <w:p w14:paraId="22B52A37"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1B21576D"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Mateos</w:t>
            </w:r>
            <w:proofErr w:type="spellEnd"/>
            <w:r w:rsidRPr="00B42397">
              <w:rPr>
                <w:rFonts w:ascii="Arial Narrow" w:eastAsiaTheme="majorEastAsia" w:hAnsi="Arial Narrow" w:cstheme="majorBidi"/>
                <w:bCs/>
                <w:sz w:val="20"/>
                <w:szCs w:val="20"/>
              </w:rPr>
              <w:t xml:space="preserve">, M. V., et al. (2018). "Carfilzomib in relapsed or refractory multiple myeloma patients with early or late relapse following prior therapy: A subgroup analysis of the randomized phase 3 ASPIRE and ENDEAVOR trials." </w:t>
            </w:r>
          </w:p>
        </w:tc>
        <w:tc>
          <w:tcPr>
            <w:tcW w:w="1177" w:type="pct"/>
            <w:tcBorders>
              <w:top w:val="nil"/>
              <w:bottom w:val="nil"/>
            </w:tcBorders>
            <w:vAlign w:val="center"/>
          </w:tcPr>
          <w:p w14:paraId="6923A319"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Hematological</w:t>
            </w:r>
            <w:proofErr w:type="spellEnd"/>
            <w:r w:rsidRPr="00B42397">
              <w:rPr>
                <w:rFonts w:ascii="Arial Narrow" w:eastAsiaTheme="majorEastAsia" w:hAnsi="Arial Narrow" w:cstheme="majorBidi"/>
                <w:bCs/>
                <w:sz w:val="20"/>
                <w:szCs w:val="20"/>
              </w:rPr>
              <w:t xml:space="preserve"> Oncology 36(2): 463-470.</w:t>
            </w:r>
          </w:p>
        </w:tc>
      </w:tr>
      <w:tr w:rsidR="00AB5DF1" w:rsidRPr="00B42397" w14:paraId="0A9168D0" w14:textId="77777777" w:rsidTr="008A1393">
        <w:tc>
          <w:tcPr>
            <w:tcW w:w="796" w:type="pct"/>
            <w:tcBorders>
              <w:top w:val="nil"/>
              <w:bottom w:val="nil"/>
            </w:tcBorders>
            <w:vAlign w:val="center"/>
          </w:tcPr>
          <w:p w14:paraId="628C0636"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30D73556"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NCT (2012). "Phase 3 Study With Carfilzomib and Dexamethasone Versus Bortezomib and Dexamethasone for Relapsed Multiple Myeloma Patients."</w:t>
            </w:r>
          </w:p>
        </w:tc>
        <w:tc>
          <w:tcPr>
            <w:tcW w:w="1177" w:type="pct"/>
            <w:tcBorders>
              <w:top w:val="nil"/>
              <w:bottom w:val="nil"/>
            </w:tcBorders>
            <w:vAlign w:val="center"/>
          </w:tcPr>
          <w:p w14:paraId="4B25F76A"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18"/>
              </w:rPr>
              <w:t>NCT reco</w:t>
            </w:r>
            <w:r w:rsidR="00833A74" w:rsidRPr="00B42397">
              <w:rPr>
                <w:rFonts w:ascii="Arial Narrow" w:eastAsiaTheme="majorEastAsia" w:hAnsi="Arial Narrow" w:cstheme="majorBidi"/>
                <w:bCs/>
                <w:sz w:val="20"/>
                <w:szCs w:val="18"/>
              </w:rPr>
              <w:t>r</w:t>
            </w:r>
            <w:r w:rsidR="001F5659" w:rsidRPr="00B42397">
              <w:rPr>
                <w:rFonts w:ascii="Arial Narrow" w:eastAsiaTheme="majorEastAsia" w:hAnsi="Arial Narrow" w:cstheme="majorBidi"/>
                <w:bCs/>
                <w:sz w:val="20"/>
                <w:szCs w:val="18"/>
              </w:rPr>
              <w:t>d</w:t>
            </w:r>
          </w:p>
        </w:tc>
      </w:tr>
      <w:tr w:rsidR="00AB5DF1" w:rsidRPr="00B42397" w14:paraId="31D857C6" w14:textId="77777777" w:rsidTr="00E53C7B">
        <w:tc>
          <w:tcPr>
            <w:tcW w:w="796" w:type="pct"/>
            <w:tcBorders>
              <w:top w:val="nil"/>
              <w:bottom w:val="nil"/>
            </w:tcBorders>
            <w:vAlign w:val="center"/>
          </w:tcPr>
          <w:p w14:paraId="076EBC19"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nil"/>
              <w:right w:val="single" w:sz="4" w:space="0" w:color="auto"/>
            </w:tcBorders>
          </w:tcPr>
          <w:p w14:paraId="3E32B7F7" w14:textId="77777777" w:rsidR="00AB5DF1" w:rsidRPr="00B42397" w:rsidRDefault="00AB5DF1" w:rsidP="00AB5DF1">
            <w:pPr>
              <w:widowControl w:val="0"/>
              <w:jc w:val="left"/>
              <w:rPr>
                <w:rFonts w:ascii="Arial Narrow" w:eastAsiaTheme="majorEastAsia" w:hAnsi="Arial Narrow" w:cstheme="majorBidi"/>
                <w:bCs/>
                <w:sz w:val="20"/>
                <w:szCs w:val="18"/>
              </w:rPr>
            </w:pPr>
            <w:proofErr w:type="spellStart"/>
            <w:r w:rsidRPr="00B42397">
              <w:rPr>
                <w:rFonts w:ascii="Arial Narrow" w:eastAsiaTheme="majorEastAsia" w:hAnsi="Arial Narrow" w:cstheme="majorBidi"/>
                <w:bCs/>
                <w:sz w:val="20"/>
                <w:szCs w:val="20"/>
              </w:rPr>
              <w:t>Euctr</w:t>
            </w:r>
            <w:proofErr w:type="spellEnd"/>
            <w:r w:rsidRPr="00B42397">
              <w:rPr>
                <w:rFonts w:ascii="Arial Narrow" w:eastAsiaTheme="majorEastAsia" w:hAnsi="Arial Narrow" w:cstheme="majorBidi"/>
                <w:bCs/>
                <w:sz w:val="20"/>
                <w:szCs w:val="20"/>
              </w:rPr>
              <w:t>, C. Z. (2012). "A Randomized, Open-label, Phase 3 Study of Carfilzomib Plus Dexamethasone vs Bortezomib Plus Dexamethasone in Patients With Relapsed Multiple Myeloma."</w:t>
            </w:r>
          </w:p>
        </w:tc>
        <w:tc>
          <w:tcPr>
            <w:tcW w:w="1177" w:type="pct"/>
            <w:tcBorders>
              <w:top w:val="nil"/>
              <w:bottom w:val="nil"/>
            </w:tcBorders>
            <w:vAlign w:val="center"/>
          </w:tcPr>
          <w:p w14:paraId="3AC85101"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18"/>
              </w:rPr>
              <w:t>EUCTR reco</w:t>
            </w:r>
            <w:r w:rsidR="00833A74" w:rsidRPr="00B42397">
              <w:rPr>
                <w:rFonts w:ascii="Arial Narrow" w:eastAsiaTheme="majorEastAsia" w:hAnsi="Arial Narrow" w:cstheme="majorBidi"/>
                <w:bCs/>
                <w:sz w:val="20"/>
                <w:szCs w:val="18"/>
              </w:rPr>
              <w:t>r</w:t>
            </w:r>
            <w:r w:rsidR="001F5659" w:rsidRPr="00B42397">
              <w:rPr>
                <w:rFonts w:ascii="Arial Narrow" w:eastAsiaTheme="majorEastAsia" w:hAnsi="Arial Narrow" w:cstheme="majorBidi"/>
                <w:bCs/>
                <w:sz w:val="20"/>
                <w:szCs w:val="18"/>
              </w:rPr>
              <w:t>d</w:t>
            </w:r>
          </w:p>
        </w:tc>
      </w:tr>
      <w:tr w:rsidR="00AB5DF1" w:rsidRPr="00B42397" w14:paraId="1EC4C69F" w14:textId="77777777" w:rsidTr="00E53C7B">
        <w:tc>
          <w:tcPr>
            <w:tcW w:w="796" w:type="pct"/>
            <w:tcBorders>
              <w:top w:val="nil"/>
              <w:bottom w:val="single" w:sz="4" w:space="0" w:color="auto"/>
            </w:tcBorders>
            <w:vAlign w:val="center"/>
          </w:tcPr>
          <w:p w14:paraId="53AC1A8C" w14:textId="77777777" w:rsidR="00AB5DF1" w:rsidRPr="00B42397" w:rsidRDefault="00AB5DF1" w:rsidP="00AB5DF1">
            <w:pPr>
              <w:widowControl w:val="0"/>
              <w:jc w:val="left"/>
              <w:rPr>
                <w:rFonts w:ascii="Arial Narrow" w:eastAsiaTheme="majorEastAsia" w:hAnsi="Arial Narrow" w:cstheme="majorBidi"/>
                <w:bCs/>
                <w:sz w:val="20"/>
              </w:rPr>
            </w:pPr>
          </w:p>
        </w:tc>
        <w:tc>
          <w:tcPr>
            <w:tcW w:w="3027" w:type="pct"/>
            <w:tcBorders>
              <w:top w:val="nil"/>
              <w:left w:val="single" w:sz="4" w:space="0" w:color="auto"/>
              <w:bottom w:val="single" w:sz="4" w:space="0" w:color="auto"/>
              <w:right w:val="single" w:sz="4" w:space="0" w:color="auto"/>
            </w:tcBorders>
          </w:tcPr>
          <w:p w14:paraId="0C8361FA"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20"/>
              </w:rPr>
              <w:t>Amgen. (2014). Phase 3 Study With Carfilzomib and Dexamethasone Versus Bortezomib and Dexamethasone for Relapsed Multiple Myeloma Patients. In.</w:t>
            </w:r>
          </w:p>
        </w:tc>
        <w:tc>
          <w:tcPr>
            <w:tcW w:w="1177" w:type="pct"/>
            <w:tcBorders>
              <w:top w:val="nil"/>
              <w:bottom w:val="single" w:sz="4" w:space="0" w:color="auto"/>
            </w:tcBorders>
            <w:vAlign w:val="center"/>
          </w:tcPr>
          <w:p w14:paraId="275263A0" w14:textId="77777777" w:rsidR="00AB5DF1" w:rsidRPr="00B42397" w:rsidRDefault="00AB5DF1" w:rsidP="00AB5DF1">
            <w:pPr>
              <w:widowControl w:val="0"/>
              <w:jc w:val="left"/>
              <w:rPr>
                <w:rFonts w:ascii="Arial Narrow" w:eastAsiaTheme="majorEastAsia" w:hAnsi="Arial Narrow" w:cstheme="majorBidi"/>
                <w:bCs/>
                <w:sz w:val="20"/>
                <w:szCs w:val="18"/>
              </w:rPr>
            </w:pPr>
            <w:r w:rsidRPr="00B42397">
              <w:rPr>
                <w:rFonts w:ascii="Arial Narrow" w:eastAsiaTheme="majorEastAsia" w:hAnsi="Arial Narrow" w:cstheme="majorBidi"/>
                <w:bCs/>
                <w:sz w:val="20"/>
                <w:szCs w:val="18"/>
              </w:rPr>
              <w:t>NCT reco</w:t>
            </w:r>
            <w:r w:rsidR="00833A74" w:rsidRPr="00B42397">
              <w:rPr>
                <w:rFonts w:ascii="Arial Narrow" w:eastAsiaTheme="majorEastAsia" w:hAnsi="Arial Narrow" w:cstheme="majorBidi"/>
                <w:bCs/>
                <w:sz w:val="20"/>
                <w:szCs w:val="18"/>
              </w:rPr>
              <w:t>r</w:t>
            </w:r>
            <w:r w:rsidR="001F5659" w:rsidRPr="00B42397">
              <w:rPr>
                <w:rFonts w:ascii="Arial Narrow" w:eastAsiaTheme="majorEastAsia" w:hAnsi="Arial Narrow" w:cstheme="majorBidi"/>
                <w:bCs/>
                <w:sz w:val="20"/>
                <w:szCs w:val="18"/>
              </w:rPr>
              <w:t>d</w:t>
            </w:r>
          </w:p>
        </w:tc>
      </w:tr>
    </w:tbl>
    <w:p w14:paraId="7E047EE6" w14:textId="77777777" w:rsidR="00AB5DF1" w:rsidRPr="00B42397" w:rsidRDefault="00AB5DF1" w:rsidP="00EC5836">
      <w:pPr>
        <w:pStyle w:val="TableFigureFooter"/>
      </w:pPr>
      <w:r w:rsidRPr="00B42397">
        <w:t xml:space="preserve">Source: Table 2.2.3, pp42 – 47 and </w:t>
      </w:r>
      <w:proofErr w:type="spellStart"/>
      <w:r w:rsidRPr="00B42397">
        <w:t>Att</w:t>
      </w:r>
      <w:proofErr w:type="spellEnd"/>
      <w:r w:rsidRPr="00B42397">
        <w:t xml:space="preserve"> 2. </w:t>
      </w:r>
      <w:proofErr w:type="spellStart"/>
      <w:r w:rsidR="001F5659" w:rsidRPr="00B42397">
        <w:t>ELd</w:t>
      </w:r>
      <w:proofErr w:type="spellEnd"/>
      <w:r w:rsidRPr="00B42397">
        <w:t xml:space="preserve"> in </w:t>
      </w:r>
      <w:proofErr w:type="spellStart"/>
      <w:r w:rsidRPr="00B42397">
        <w:t>RRMM_Literature</w:t>
      </w:r>
      <w:proofErr w:type="spellEnd"/>
      <w:r w:rsidRPr="00B42397">
        <w:t xml:space="preserve"> </w:t>
      </w:r>
      <w:proofErr w:type="spellStart"/>
      <w:r w:rsidRPr="00B42397">
        <w:t>search_aster</w:t>
      </w:r>
      <w:proofErr w:type="spellEnd"/>
      <w:r w:rsidRPr="00B42397">
        <w:t xml:space="preserve"> List (Excel workbook) of the submission</w:t>
      </w:r>
      <w:r w:rsidR="005B41B7" w:rsidRPr="00B42397">
        <w:t>.</w:t>
      </w:r>
    </w:p>
    <w:p w14:paraId="0D854627" w14:textId="77777777" w:rsidR="005B41B7" w:rsidRPr="00B42397" w:rsidRDefault="005B41B7" w:rsidP="00EC5836">
      <w:pPr>
        <w:pStyle w:val="TableFigureFooter"/>
      </w:pPr>
      <w:r w:rsidRPr="00B42397">
        <w:t xml:space="preserve">Note: </w:t>
      </w:r>
      <w:r w:rsidR="00A23B1F" w:rsidRPr="00B42397">
        <w:t xml:space="preserve">Conference abstracts for ELOQUENT-2 AND ENDEVOR are not included in the table. A full list of publications is presented in </w:t>
      </w:r>
      <w:r w:rsidR="007C46E8" w:rsidRPr="00B42397">
        <w:t>Attachment</w:t>
      </w:r>
      <w:r w:rsidR="00A23B1F" w:rsidRPr="00B42397">
        <w:t xml:space="preserve"> 2 of the commentary.</w:t>
      </w:r>
    </w:p>
    <w:p w14:paraId="4CE0FEBD" w14:textId="77777777" w:rsidR="007F1017" w:rsidRPr="00B42397" w:rsidRDefault="008F120A" w:rsidP="00EC5836">
      <w:pPr>
        <w:pStyle w:val="3-BodyText"/>
        <w:rPr>
          <w:color w:val="0066FF"/>
        </w:rPr>
      </w:pPr>
      <w:r w:rsidRPr="00B42397">
        <w:t>The key features of the direct randomised trials</w:t>
      </w:r>
      <w:r w:rsidR="00143FD3" w:rsidRPr="00B42397">
        <w:t xml:space="preserve"> </w:t>
      </w:r>
      <w:r w:rsidRPr="00B42397">
        <w:t xml:space="preserve">are summarised in </w:t>
      </w:r>
      <w:r w:rsidR="00A05C24" w:rsidRPr="00B42397">
        <w:t>Table 3</w:t>
      </w:r>
      <w:r w:rsidRPr="00B42397">
        <w:t>.</w:t>
      </w:r>
      <w:r w:rsidR="00BC591F" w:rsidRPr="00B42397">
        <w:t xml:space="preserve"> </w:t>
      </w:r>
    </w:p>
    <w:p w14:paraId="6E9977D1" w14:textId="77777777" w:rsidR="007F1017" w:rsidRPr="00B42397" w:rsidRDefault="007F1017" w:rsidP="00EC5836">
      <w:pPr>
        <w:pStyle w:val="TableFigureHeading"/>
        <w:rPr>
          <w:rStyle w:val="CommentReference"/>
          <w:b/>
          <w:szCs w:val="24"/>
        </w:rPr>
      </w:pPr>
      <w:r w:rsidRPr="00B42397">
        <w:rPr>
          <w:rStyle w:val="CommentReference"/>
          <w:b/>
          <w:szCs w:val="24"/>
        </w:rPr>
        <w:lastRenderedPageBreak/>
        <w:t xml:space="preserve">Table </w:t>
      </w:r>
      <w:r w:rsidR="00421BB2" w:rsidRPr="00B42397">
        <w:rPr>
          <w:rStyle w:val="CommentReference"/>
          <w:b/>
          <w:szCs w:val="24"/>
        </w:rPr>
        <w:t>3</w:t>
      </w:r>
      <w:r w:rsidRPr="00B42397">
        <w:rPr>
          <w:rStyle w:val="CommentReference"/>
          <w:b/>
          <w:szCs w:val="24"/>
        </w:rPr>
        <w:t xml:space="preserve">: </w:t>
      </w:r>
      <w:r w:rsidR="00FE51F3" w:rsidRPr="00B42397">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8"/>
        <w:gridCol w:w="570"/>
        <w:gridCol w:w="1986"/>
        <w:gridCol w:w="759"/>
        <w:gridCol w:w="1791"/>
        <w:gridCol w:w="968"/>
        <w:gridCol w:w="1675"/>
      </w:tblGrid>
      <w:tr w:rsidR="00604A87" w:rsidRPr="00B42397" w14:paraId="5D0D1681" w14:textId="77777777" w:rsidTr="00CC3E50">
        <w:trPr>
          <w:cantSplit/>
          <w:tblHeader/>
        </w:trPr>
        <w:tc>
          <w:tcPr>
            <w:tcW w:w="703" w:type="pct"/>
            <w:shd w:val="clear" w:color="auto" w:fill="auto"/>
            <w:vAlign w:val="center"/>
          </w:tcPr>
          <w:p w14:paraId="109680FE" w14:textId="77777777" w:rsidR="00604A87" w:rsidRPr="00B42397" w:rsidRDefault="00604A87" w:rsidP="001E34DF">
            <w:pPr>
              <w:pStyle w:val="In-tableHeading"/>
              <w:rPr>
                <w:lang w:val="en-AU"/>
              </w:rPr>
            </w:pPr>
            <w:r w:rsidRPr="00B42397">
              <w:rPr>
                <w:lang w:val="en-AU"/>
              </w:rPr>
              <w:t>Trial</w:t>
            </w:r>
          </w:p>
        </w:tc>
        <w:tc>
          <w:tcPr>
            <w:tcW w:w="316" w:type="pct"/>
            <w:shd w:val="clear" w:color="auto" w:fill="auto"/>
            <w:vAlign w:val="center"/>
          </w:tcPr>
          <w:p w14:paraId="78DF51AF" w14:textId="77777777" w:rsidR="00604A87" w:rsidRPr="00B42397" w:rsidRDefault="00604A87" w:rsidP="00EC5836">
            <w:pPr>
              <w:pStyle w:val="In-tableHeading"/>
              <w:jc w:val="center"/>
              <w:rPr>
                <w:lang w:val="en-AU"/>
              </w:rPr>
            </w:pPr>
            <w:r w:rsidRPr="00B42397">
              <w:rPr>
                <w:lang w:val="en-AU"/>
              </w:rPr>
              <w:t>N</w:t>
            </w:r>
          </w:p>
        </w:tc>
        <w:tc>
          <w:tcPr>
            <w:tcW w:w="1101" w:type="pct"/>
            <w:shd w:val="clear" w:color="auto" w:fill="auto"/>
            <w:vAlign w:val="center"/>
          </w:tcPr>
          <w:p w14:paraId="2A4D965E" w14:textId="77777777" w:rsidR="00906A3E" w:rsidRPr="00B42397" w:rsidRDefault="00604A87" w:rsidP="00EC5836">
            <w:pPr>
              <w:pStyle w:val="In-tableHeading"/>
              <w:jc w:val="center"/>
              <w:rPr>
                <w:lang w:val="en-AU"/>
              </w:rPr>
            </w:pPr>
            <w:r w:rsidRPr="00B42397">
              <w:rPr>
                <w:lang w:val="en-AU"/>
              </w:rPr>
              <w:t xml:space="preserve">Design/ </w:t>
            </w:r>
          </w:p>
          <w:p w14:paraId="7D8E6E49" w14:textId="77777777" w:rsidR="00604A87" w:rsidRPr="00B42397" w:rsidRDefault="009F7C60" w:rsidP="00EC5836">
            <w:pPr>
              <w:pStyle w:val="In-tableHeading"/>
              <w:jc w:val="center"/>
              <w:rPr>
                <w:lang w:val="en-AU"/>
              </w:rPr>
            </w:pPr>
            <w:r w:rsidRPr="00B42397">
              <w:rPr>
                <w:lang w:val="en-AU"/>
              </w:rPr>
              <w:t>median follow-up</w:t>
            </w:r>
          </w:p>
        </w:tc>
        <w:tc>
          <w:tcPr>
            <w:tcW w:w="421" w:type="pct"/>
            <w:shd w:val="clear" w:color="auto" w:fill="auto"/>
            <w:vAlign w:val="center"/>
          </w:tcPr>
          <w:p w14:paraId="5C29D410" w14:textId="77777777" w:rsidR="00604A87" w:rsidRPr="00B42397" w:rsidRDefault="00604A87" w:rsidP="00EC5836">
            <w:pPr>
              <w:pStyle w:val="In-tableHeading"/>
              <w:jc w:val="center"/>
              <w:rPr>
                <w:lang w:val="en-AU"/>
              </w:rPr>
            </w:pPr>
            <w:r w:rsidRPr="00B42397">
              <w:rPr>
                <w:lang w:val="en-AU"/>
              </w:rPr>
              <w:t>Risk of bias</w:t>
            </w:r>
          </w:p>
        </w:tc>
        <w:tc>
          <w:tcPr>
            <w:tcW w:w="993" w:type="pct"/>
            <w:shd w:val="clear" w:color="auto" w:fill="auto"/>
            <w:vAlign w:val="center"/>
          </w:tcPr>
          <w:p w14:paraId="4BB9593B" w14:textId="77777777" w:rsidR="00604A87" w:rsidRPr="00B42397" w:rsidRDefault="00604A87" w:rsidP="00EC5836">
            <w:pPr>
              <w:pStyle w:val="In-tableHeading"/>
              <w:jc w:val="center"/>
              <w:rPr>
                <w:lang w:val="en-AU"/>
              </w:rPr>
            </w:pPr>
            <w:r w:rsidRPr="00B42397">
              <w:rPr>
                <w:lang w:val="en-AU"/>
              </w:rPr>
              <w:t>Patient population</w:t>
            </w:r>
          </w:p>
        </w:tc>
        <w:tc>
          <w:tcPr>
            <w:tcW w:w="1466" w:type="pct"/>
            <w:gridSpan w:val="2"/>
            <w:shd w:val="clear" w:color="auto" w:fill="auto"/>
            <w:vAlign w:val="center"/>
          </w:tcPr>
          <w:p w14:paraId="20A10A19" w14:textId="77777777" w:rsidR="00604A87" w:rsidRPr="00B42397" w:rsidRDefault="00604A87" w:rsidP="00906A3E">
            <w:pPr>
              <w:pStyle w:val="In-tableHeading"/>
              <w:jc w:val="center"/>
              <w:rPr>
                <w:lang w:val="en-AU"/>
              </w:rPr>
            </w:pPr>
            <w:r w:rsidRPr="00B42397">
              <w:rPr>
                <w:lang w:val="en-AU"/>
              </w:rPr>
              <w:t>Outcomes</w:t>
            </w:r>
          </w:p>
        </w:tc>
      </w:tr>
      <w:tr w:rsidR="007F1017" w:rsidRPr="00B42397" w14:paraId="621F054F" w14:textId="77777777" w:rsidTr="00682BA6">
        <w:trPr>
          <w:cantSplit/>
        </w:trPr>
        <w:tc>
          <w:tcPr>
            <w:tcW w:w="5000" w:type="pct"/>
            <w:gridSpan w:val="7"/>
            <w:shd w:val="clear" w:color="auto" w:fill="auto"/>
            <w:vAlign w:val="center"/>
          </w:tcPr>
          <w:p w14:paraId="5A254042" w14:textId="77777777" w:rsidR="007F1017" w:rsidRPr="00B42397" w:rsidRDefault="001F5659" w:rsidP="00EC5836">
            <w:pPr>
              <w:pStyle w:val="In-tableHeading"/>
              <w:rPr>
                <w:lang w:val="en-AU"/>
              </w:rPr>
            </w:pPr>
            <w:proofErr w:type="spellStart"/>
            <w:r w:rsidRPr="00B42397">
              <w:rPr>
                <w:lang w:val="en-AU"/>
              </w:rPr>
              <w:t>ELd</w:t>
            </w:r>
            <w:proofErr w:type="spellEnd"/>
            <w:r w:rsidR="00143FD3" w:rsidRPr="00B42397">
              <w:rPr>
                <w:lang w:val="en-AU"/>
              </w:rPr>
              <w:t xml:space="preserve"> vs </w:t>
            </w:r>
            <w:proofErr w:type="spellStart"/>
            <w:r w:rsidRPr="00B42397">
              <w:rPr>
                <w:lang w:val="en-AU"/>
              </w:rPr>
              <w:t>Ld</w:t>
            </w:r>
            <w:proofErr w:type="spellEnd"/>
          </w:p>
        </w:tc>
      </w:tr>
      <w:tr w:rsidR="00604A87" w:rsidRPr="00B42397" w14:paraId="7949F95C" w14:textId="77777777" w:rsidTr="00CC3E50">
        <w:trPr>
          <w:cantSplit/>
        </w:trPr>
        <w:tc>
          <w:tcPr>
            <w:tcW w:w="703" w:type="pct"/>
            <w:tcBorders>
              <w:bottom w:val="single" w:sz="4" w:space="0" w:color="auto"/>
            </w:tcBorders>
            <w:shd w:val="clear" w:color="auto" w:fill="auto"/>
            <w:vAlign w:val="center"/>
          </w:tcPr>
          <w:p w14:paraId="5B1B7FAA" w14:textId="77777777" w:rsidR="00604A87" w:rsidRPr="00B42397" w:rsidRDefault="00604A87" w:rsidP="00EC5836">
            <w:pPr>
              <w:pStyle w:val="TableText0"/>
            </w:pPr>
            <w:r w:rsidRPr="00B42397">
              <w:t>ELOQUENT-2</w:t>
            </w:r>
          </w:p>
        </w:tc>
        <w:tc>
          <w:tcPr>
            <w:tcW w:w="316" w:type="pct"/>
            <w:tcBorders>
              <w:bottom w:val="single" w:sz="4" w:space="0" w:color="auto"/>
            </w:tcBorders>
            <w:shd w:val="clear" w:color="auto" w:fill="auto"/>
            <w:vAlign w:val="center"/>
          </w:tcPr>
          <w:p w14:paraId="48FD800A" w14:textId="77777777" w:rsidR="00604A87" w:rsidRPr="00B42397" w:rsidRDefault="00604A87" w:rsidP="00EC5836">
            <w:pPr>
              <w:pStyle w:val="TableText0"/>
              <w:jc w:val="center"/>
            </w:pPr>
            <w:r w:rsidRPr="00B42397">
              <w:t>646</w:t>
            </w:r>
          </w:p>
        </w:tc>
        <w:tc>
          <w:tcPr>
            <w:tcW w:w="1101" w:type="pct"/>
            <w:tcBorders>
              <w:bottom w:val="single" w:sz="4" w:space="0" w:color="auto"/>
            </w:tcBorders>
            <w:shd w:val="clear" w:color="auto" w:fill="auto"/>
            <w:vAlign w:val="center"/>
          </w:tcPr>
          <w:p w14:paraId="4025CCF6" w14:textId="77777777" w:rsidR="00164770" w:rsidRPr="00B42397" w:rsidRDefault="00604A87" w:rsidP="00A315D7">
            <w:pPr>
              <w:pStyle w:val="TableText0"/>
            </w:pPr>
            <w:r w:rsidRPr="00B42397">
              <w:t>Phase III, R, OL</w:t>
            </w:r>
          </w:p>
          <w:p w14:paraId="0534BE3B" w14:textId="77777777" w:rsidR="00906A3E" w:rsidRPr="00B42397" w:rsidRDefault="00906A3E" w:rsidP="00D56E7F">
            <w:pPr>
              <w:pStyle w:val="TableText0"/>
            </w:pPr>
          </w:p>
          <w:p w14:paraId="53728E23" w14:textId="77777777" w:rsidR="00604A87" w:rsidRPr="00B42397" w:rsidRDefault="00604A87" w:rsidP="00D56E7F">
            <w:pPr>
              <w:pStyle w:val="TableText0"/>
            </w:pPr>
            <w:r w:rsidRPr="00B42397">
              <w:t>PFS: 46.8</w:t>
            </w:r>
            <w:r w:rsidR="00DE1B80" w:rsidRPr="00B42397">
              <w:t xml:space="preserve"> months</w:t>
            </w:r>
            <w:r w:rsidRPr="00B42397">
              <w:t xml:space="preserve"> </w:t>
            </w:r>
          </w:p>
          <w:p w14:paraId="6CC3B119" w14:textId="77777777" w:rsidR="00604A87" w:rsidRPr="00B42397" w:rsidRDefault="00604A87" w:rsidP="0031526B">
            <w:pPr>
              <w:pStyle w:val="TableText0"/>
            </w:pPr>
            <w:r w:rsidRPr="00B42397">
              <w:t>OS: 70.9</w:t>
            </w:r>
            <w:r w:rsidR="00DE1B80" w:rsidRPr="00B42397">
              <w:t xml:space="preserve"> months</w:t>
            </w:r>
            <w:r w:rsidRPr="00B42397">
              <w:t xml:space="preserve"> (cut-off 3 Oct 2018)</w:t>
            </w:r>
            <w:r w:rsidR="000C2888" w:rsidRPr="00B42397">
              <w:rPr>
                <w:vertAlign w:val="superscript"/>
              </w:rPr>
              <w:t>a</w:t>
            </w:r>
          </w:p>
        </w:tc>
        <w:tc>
          <w:tcPr>
            <w:tcW w:w="421" w:type="pct"/>
            <w:tcBorders>
              <w:bottom w:val="single" w:sz="4" w:space="0" w:color="auto"/>
            </w:tcBorders>
            <w:shd w:val="clear" w:color="auto" w:fill="auto"/>
            <w:vAlign w:val="center"/>
          </w:tcPr>
          <w:p w14:paraId="2A6E0ADD" w14:textId="77777777" w:rsidR="00604A87" w:rsidRPr="00B42397" w:rsidRDefault="00604A87" w:rsidP="00EC5836">
            <w:pPr>
              <w:pStyle w:val="TableText0"/>
              <w:jc w:val="center"/>
              <w:rPr>
                <w:iCs/>
              </w:rPr>
            </w:pPr>
            <w:r w:rsidRPr="00B42397">
              <w:rPr>
                <w:iCs/>
              </w:rPr>
              <w:t>Low</w:t>
            </w:r>
          </w:p>
        </w:tc>
        <w:tc>
          <w:tcPr>
            <w:tcW w:w="993" w:type="pct"/>
            <w:tcBorders>
              <w:bottom w:val="single" w:sz="4" w:space="0" w:color="auto"/>
            </w:tcBorders>
            <w:shd w:val="clear" w:color="auto" w:fill="auto"/>
            <w:vAlign w:val="center"/>
          </w:tcPr>
          <w:p w14:paraId="5AA380A6" w14:textId="77777777" w:rsidR="00604A87" w:rsidRPr="00B42397" w:rsidRDefault="00AC64AE" w:rsidP="00AC64AE">
            <w:pPr>
              <w:pStyle w:val="TableText0"/>
            </w:pPr>
            <w:r w:rsidRPr="00B42397">
              <w:t>P</w:t>
            </w:r>
            <w:r w:rsidR="00604A87" w:rsidRPr="00B42397">
              <w:t>atients who had received at least one prior line of therapy</w:t>
            </w:r>
            <w:r w:rsidRPr="00B42397">
              <w:t xml:space="preserve"> (RRMM)</w:t>
            </w:r>
            <w:r w:rsidR="00A315D7" w:rsidRPr="00B42397">
              <w:t>.</w:t>
            </w:r>
          </w:p>
        </w:tc>
        <w:tc>
          <w:tcPr>
            <w:tcW w:w="1466" w:type="pct"/>
            <w:gridSpan w:val="2"/>
            <w:tcBorders>
              <w:bottom w:val="single" w:sz="4" w:space="0" w:color="auto"/>
            </w:tcBorders>
            <w:shd w:val="clear" w:color="auto" w:fill="auto"/>
            <w:vAlign w:val="center"/>
          </w:tcPr>
          <w:p w14:paraId="4D8B3B44" w14:textId="77777777" w:rsidR="00604A87" w:rsidRPr="00B42397" w:rsidRDefault="00604A87" w:rsidP="00EB57B7">
            <w:pPr>
              <w:pStyle w:val="TableText0"/>
            </w:pPr>
            <w:r w:rsidRPr="00B42397">
              <w:t>Co-primary endpoints: PFS and ORR</w:t>
            </w:r>
          </w:p>
          <w:p w14:paraId="716D8D2C" w14:textId="77777777" w:rsidR="00604A87" w:rsidRPr="00B42397" w:rsidRDefault="00604A87" w:rsidP="00EB57B7">
            <w:pPr>
              <w:pStyle w:val="TableText0"/>
            </w:pPr>
            <w:r w:rsidRPr="00B42397">
              <w:t>Secondary: OS and BPI-SF</w:t>
            </w:r>
          </w:p>
          <w:p w14:paraId="12CDB94A" w14:textId="77777777" w:rsidR="00604A87" w:rsidRPr="00B42397" w:rsidRDefault="00604A87" w:rsidP="00604A87">
            <w:pPr>
              <w:pStyle w:val="TableText0"/>
            </w:pPr>
            <w:r w:rsidRPr="00B42397">
              <w:t xml:space="preserve">Exploratory: Safety, TTR, DOR, </w:t>
            </w:r>
            <w:proofErr w:type="spellStart"/>
            <w:r w:rsidRPr="00B42397">
              <w:t>HRQoL</w:t>
            </w:r>
            <w:proofErr w:type="spellEnd"/>
            <w:r w:rsidR="00A315D7" w:rsidRPr="00B42397">
              <w:t xml:space="preserve"> </w:t>
            </w:r>
            <w:r w:rsidRPr="00B42397">
              <w:t>(EORTC QLQ-C30 and QLQ-MY20)</w:t>
            </w:r>
          </w:p>
        </w:tc>
      </w:tr>
      <w:tr w:rsidR="00143FD3" w:rsidRPr="00B42397" w14:paraId="6927ADC4" w14:textId="77777777" w:rsidTr="00CC3E50">
        <w:trPr>
          <w:cantSplit/>
        </w:trPr>
        <w:tc>
          <w:tcPr>
            <w:tcW w:w="703" w:type="pct"/>
            <w:tcBorders>
              <w:right w:val="nil"/>
            </w:tcBorders>
            <w:shd w:val="clear" w:color="auto" w:fill="auto"/>
            <w:vAlign w:val="center"/>
          </w:tcPr>
          <w:p w14:paraId="25F04871" w14:textId="77777777" w:rsidR="00143FD3" w:rsidRPr="00B42397" w:rsidRDefault="00143FD3" w:rsidP="00EC5836">
            <w:pPr>
              <w:pStyle w:val="TableText0"/>
              <w:rPr>
                <w:b/>
                <w:bCs w:val="0"/>
              </w:rPr>
            </w:pPr>
            <w:r w:rsidRPr="00B42397">
              <w:rPr>
                <w:b/>
                <w:bCs w:val="0"/>
              </w:rPr>
              <w:t>Cd vs Bd</w:t>
            </w:r>
          </w:p>
        </w:tc>
        <w:tc>
          <w:tcPr>
            <w:tcW w:w="316" w:type="pct"/>
            <w:tcBorders>
              <w:left w:val="nil"/>
              <w:right w:val="nil"/>
            </w:tcBorders>
            <w:shd w:val="clear" w:color="auto" w:fill="auto"/>
            <w:vAlign w:val="center"/>
          </w:tcPr>
          <w:p w14:paraId="0E17E102" w14:textId="77777777" w:rsidR="00143FD3" w:rsidRPr="00B42397" w:rsidRDefault="00143FD3" w:rsidP="00EC5836">
            <w:pPr>
              <w:pStyle w:val="TableText0"/>
              <w:jc w:val="center"/>
            </w:pPr>
          </w:p>
        </w:tc>
        <w:tc>
          <w:tcPr>
            <w:tcW w:w="1101" w:type="pct"/>
            <w:tcBorders>
              <w:left w:val="nil"/>
              <w:right w:val="nil"/>
            </w:tcBorders>
            <w:shd w:val="clear" w:color="auto" w:fill="auto"/>
            <w:vAlign w:val="center"/>
          </w:tcPr>
          <w:p w14:paraId="451FC7EB" w14:textId="77777777" w:rsidR="00143FD3" w:rsidRPr="00B42397" w:rsidRDefault="00143FD3" w:rsidP="00EC5836">
            <w:pPr>
              <w:pStyle w:val="TableText0"/>
              <w:jc w:val="center"/>
            </w:pPr>
          </w:p>
        </w:tc>
        <w:tc>
          <w:tcPr>
            <w:tcW w:w="421" w:type="pct"/>
            <w:tcBorders>
              <w:left w:val="nil"/>
              <w:right w:val="nil"/>
            </w:tcBorders>
            <w:shd w:val="clear" w:color="auto" w:fill="auto"/>
            <w:vAlign w:val="center"/>
          </w:tcPr>
          <w:p w14:paraId="6F455311" w14:textId="77777777" w:rsidR="00143FD3" w:rsidRPr="00B42397" w:rsidRDefault="00143FD3" w:rsidP="00EC5836">
            <w:pPr>
              <w:pStyle w:val="TableText0"/>
              <w:jc w:val="center"/>
              <w:rPr>
                <w:i/>
              </w:rPr>
            </w:pPr>
          </w:p>
        </w:tc>
        <w:tc>
          <w:tcPr>
            <w:tcW w:w="993" w:type="pct"/>
            <w:tcBorders>
              <w:left w:val="nil"/>
              <w:right w:val="nil"/>
            </w:tcBorders>
            <w:shd w:val="clear" w:color="auto" w:fill="auto"/>
            <w:vAlign w:val="center"/>
          </w:tcPr>
          <w:p w14:paraId="5190A511" w14:textId="77777777" w:rsidR="00143FD3" w:rsidRPr="00B42397" w:rsidRDefault="00143FD3" w:rsidP="00EC5836">
            <w:pPr>
              <w:pStyle w:val="TableText0"/>
              <w:jc w:val="center"/>
            </w:pPr>
          </w:p>
        </w:tc>
        <w:tc>
          <w:tcPr>
            <w:tcW w:w="537" w:type="pct"/>
            <w:tcBorders>
              <w:left w:val="nil"/>
              <w:right w:val="nil"/>
            </w:tcBorders>
            <w:shd w:val="clear" w:color="auto" w:fill="auto"/>
            <w:vAlign w:val="center"/>
          </w:tcPr>
          <w:p w14:paraId="35195A9D" w14:textId="77777777" w:rsidR="00143FD3" w:rsidRPr="00B42397" w:rsidRDefault="00143FD3" w:rsidP="00EC5836">
            <w:pPr>
              <w:pStyle w:val="TableText0"/>
              <w:jc w:val="center"/>
            </w:pPr>
          </w:p>
        </w:tc>
        <w:tc>
          <w:tcPr>
            <w:tcW w:w="929" w:type="pct"/>
            <w:tcBorders>
              <w:left w:val="nil"/>
            </w:tcBorders>
            <w:shd w:val="clear" w:color="auto" w:fill="auto"/>
            <w:vAlign w:val="center"/>
          </w:tcPr>
          <w:p w14:paraId="28B5FFEB" w14:textId="77777777" w:rsidR="00143FD3" w:rsidRPr="00B42397" w:rsidRDefault="00143FD3" w:rsidP="00EC5836">
            <w:pPr>
              <w:pStyle w:val="TableText0"/>
              <w:jc w:val="center"/>
            </w:pPr>
          </w:p>
        </w:tc>
      </w:tr>
      <w:tr w:rsidR="00604A87" w:rsidRPr="00B42397" w14:paraId="06E2AC75" w14:textId="77777777" w:rsidTr="00CC3E50">
        <w:trPr>
          <w:cantSplit/>
        </w:trPr>
        <w:tc>
          <w:tcPr>
            <w:tcW w:w="703" w:type="pct"/>
            <w:shd w:val="clear" w:color="auto" w:fill="auto"/>
            <w:vAlign w:val="center"/>
          </w:tcPr>
          <w:p w14:paraId="3242186A" w14:textId="77777777" w:rsidR="00604A87" w:rsidRPr="00B42397" w:rsidRDefault="00604A87" w:rsidP="004F7BC8">
            <w:pPr>
              <w:pStyle w:val="TableText0"/>
            </w:pPr>
            <w:r w:rsidRPr="00B42397">
              <w:t>ENDEAVOR</w:t>
            </w:r>
          </w:p>
        </w:tc>
        <w:tc>
          <w:tcPr>
            <w:tcW w:w="316" w:type="pct"/>
            <w:shd w:val="clear" w:color="auto" w:fill="auto"/>
            <w:vAlign w:val="center"/>
          </w:tcPr>
          <w:p w14:paraId="2CAF56AD" w14:textId="77777777" w:rsidR="00604A87" w:rsidRPr="00B42397" w:rsidRDefault="00604A87" w:rsidP="004F7BC8">
            <w:pPr>
              <w:pStyle w:val="TableText0"/>
              <w:jc w:val="center"/>
            </w:pPr>
            <w:r w:rsidRPr="00B42397">
              <w:t>929</w:t>
            </w:r>
          </w:p>
        </w:tc>
        <w:tc>
          <w:tcPr>
            <w:tcW w:w="1101" w:type="pct"/>
            <w:shd w:val="clear" w:color="auto" w:fill="auto"/>
            <w:vAlign w:val="center"/>
          </w:tcPr>
          <w:p w14:paraId="5D9CFF37" w14:textId="77777777" w:rsidR="00164770" w:rsidRPr="00B42397" w:rsidRDefault="00604A87" w:rsidP="00A315D7">
            <w:pPr>
              <w:pStyle w:val="Tabletext"/>
            </w:pPr>
            <w:r w:rsidRPr="00B42397">
              <w:t>Phase III, R, OL, MC</w:t>
            </w:r>
          </w:p>
          <w:p w14:paraId="6AF7CF0C" w14:textId="77777777" w:rsidR="00906A3E" w:rsidRPr="00B42397" w:rsidRDefault="00906A3E" w:rsidP="00A315D7">
            <w:pPr>
              <w:pStyle w:val="TableText0"/>
            </w:pPr>
          </w:p>
          <w:p w14:paraId="3FCEF90B" w14:textId="77777777" w:rsidR="00604A87" w:rsidRPr="00B42397" w:rsidRDefault="00604A87" w:rsidP="00A315D7">
            <w:pPr>
              <w:pStyle w:val="TableText0"/>
            </w:pPr>
            <w:r w:rsidRPr="00B42397">
              <w:t>PFS: NR</w:t>
            </w:r>
          </w:p>
          <w:p w14:paraId="0234F43D" w14:textId="77777777" w:rsidR="00604A87" w:rsidRPr="00B42397" w:rsidRDefault="00604A87" w:rsidP="00A315D7">
            <w:pPr>
              <w:pStyle w:val="TableText0"/>
            </w:pPr>
            <w:r w:rsidRPr="00B42397">
              <w:t>OS: 44.3 months (Cd) and 43.7 months (Bd) (cut-off 19 July 2017)</w:t>
            </w:r>
            <w:r w:rsidR="000C2888" w:rsidRPr="00B42397">
              <w:rPr>
                <w:vertAlign w:val="superscript"/>
              </w:rPr>
              <w:t>a</w:t>
            </w:r>
          </w:p>
        </w:tc>
        <w:tc>
          <w:tcPr>
            <w:tcW w:w="421" w:type="pct"/>
            <w:shd w:val="clear" w:color="auto" w:fill="auto"/>
            <w:vAlign w:val="center"/>
          </w:tcPr>
          <w:p w14:paraId="448A8873" w14:textId="77777777" w:rsidR="00604A87" w:rsidRPr="00B42397" w:rsidRDefault="00604A87" w:rsidP="004F7BC8">
            <w:pPr>
              <w:pStyle w:val="Tabletext"/>
              <w:jc w:val="center"/>
            </w:pPr>
            <w:r w:rsidRPr="00B42397">
              <w:t>Low</w:t>
            </w:r>
          </w:p>
          <w:p w14:paraId="11A177C7" w14:textId="77777777" w:rsidR="00604A87" w:rsidRPr="00B42397" w:rsidRDefault="00604A87" w:rsidP="004F7BC8">
            <w:pPr>
              <w:pStyle w:val="TableText0"/>
              <w:jc w:val="center"/>
              <w:rPr>
                <w:i/>
              </w:rPr>
            </w:pPr>
          </w:p>
        </w:tc>
        <w:tc>
          <w:tcPr>
            <w:tcW w:w="993" w:type="pct"/>
            <w:shd w:val="clear" w:color="auto" w:fill="auto"/>
            <w:vAlign w:val="center"/>
          </w:tcPr>
          <w:p w14:paraId="7A7CC928" w14:textId="77777777" w:rsidR="00604A87" w:rsidRPr="00B42397" w:rsidRDefault="00AC64AE" w:rsidP="00AC64AE">
            <w:pPr>
              <w:pStyle w:val="TableText0"/>
            </w:pPr>
            <w:r w:rsidRPr="00B42397">
              <w:t>P</w:t>
            </w:r>
            <w:r w:rsidR="00604A87" w:rsidRPr="00B42397">
              <w:t>atients who had received one to three prior lines of therapy and achieved at least a partial response to at least one previous treatment</w:t>
            </w:r>
            <w:r w:rsidR="00D871D2" w:rsidRPr="00B42397">
              <w:t xml:space="preserve"> (RRMM)</w:t>
            </w:r>
            <w:r w:rsidR="00604A87" w:rsidRPr="00B42397">
              <w:t>.</w:t>
            </w:r>
          </w:p>
        </w:tc>
        <w:tc>
          <w:tcPr>
            <w:tcW w:w="1466" w:type="pct"/>
            <w:gridSpan w:val="2"/>
            <w:shd w:val="clear" w:color="auto" w:fill="auto"/>
            <w:vAlign w:val="center"/>
          </w:tcPr>
          <w:p w14:paraId="203E08C2" w14:textId="77777777" w:rsidR="00604A87" w:rsidRPr="00B42397" w:rsidRDefault="00604A87" w:rsidP="00DE1B80">
            <w:pPr>
              <w:pStyle w:val="Tabletext"/>
            </w:pPr>
            <w:r w:rsidRPr="00B42397">
              <w:t xml:space="preserve">Primary: PFS </w:t>
            </w:r>
            <w:r w:rsidRPr="00B42397">
              <w:br/>
              <w:t>Secondary: OS, ORR</w:t>
            </w:r>
            <w:r w:rsidR="00DE1B80" w:rsidRPr="00B42397">
              <w:t xml:space="preserve"> and</w:t>
            </w:r>
            <w:r w:rsidRPr="00B42397">
              <w:t xml:space="preserve"> Safety</w:t>
            </w:r>
          </w:p>
        </w:tc>
      </w:tr>
    </w:tbl>
    <w:p w14:paraId="40FEBDE6" w14:textId="77777777" w:rsidR="00045017" w:rsidRPr="00B42397" w:rsidRDefault="00045017" w:rsidP="00EC5836">
      <w:pPr>
        <w:pStyle w:val="TableFigureFooter"/>
      </w:pPr>
      <w:r w:rsidRPr="00B42397">
        <w:t xml:space="preserve">Source: </w:t>
      </w:r>
      <w:r w:rsidR="00ED65FD" w:rsidRPr="00B42397">
        <w:t>Table 2.2.4</w:t>
      </w:r>
      <w:r w:rsidR="00DC3F99" w:rsidRPr="00B42397">
        <w:t>,</w:t>
      </w:r>
      <w:r w:rsidR="00F43344" w:rsidRPr="00B42397">
        <w:t xml:space="preserve"> Table 2.3.1</w:t>
      </w:r>
      <w:r w:rsidR="00133750" w:rsidRPr="00B42397">
        <w:t>,</w:t>
      </w:r>
      <w:r w:rsidR="00DC3F99" w:rsidRPr="00B42397">
        <w:t xml:space="preserve"> </w:t>
      </w:r>
      <w:r w:rsidR="002828B4" w:rsidRPr="00B42397">
        <w:t>Table 2.4.3</w:t>
      </w:r>
      <w:r w:rsidR="00115466">
        <w:t xml:space="preserve"> </w:t>
      </w:r>
      <w:r w:rsidRPr="00B42397">
        <w:t>of the submission</w:t>
      </w:r>
      <w:r w:rsidR="00DC3F99" w:rsidRPr="00B42397">
        <w:t>.</w:t>
      </w:r>
    </w:p>
    <w:p w14:paraId="07C7FFA4" w14:textId="77777777" w:rsidR="00D56E7F" w:rsidRPr="00B42397" w:rsidRDefault="002F7CC8" w:rsidP="00D56E7F">
      <w:pPr>
        <w:pStyle w:val="TableFigureFooter"/>
      </w:pPr>
      <w:r w:rsidRPr="00B42397">
        <w:t xml:space="preserve">Bd = bortezomib + dexamethasone; </w:t>
      </w:r>
      <w:r w:rsidR="00765D3E" w:rsidRPr="00B42397">
        <w:t>BPI-SF =</w:t>
      </w:r>
      <w:r w:rsidR="0000472A" w:rsidRPr="00B42397">
        <w:t xml:space="preserve"> Brief Pain Inventory-Short Form;</w:t>
      </w:r>
      <w:r w:rsidR="00765D3E" w:rsidRPr="00B42397">
        <w:t xml:space="preserve"> </w:t>
      </w:r>
      <w:r w:rsidRPr="00B42397">
        <w:t xml:space="preserve">Cd = carfilzomib +dexamethasone; </w:t>
      </w:r>
      <w:r w:rsidR="00620C25" w:rsidRPr="00B42397">
        <w:t xml:space="preserve">DB = double blind; </w:t>
      </w:r>
      <w:r w:rsidR="00FE2166" w:rsidRPr="00B42397">
        <w:t xml:space="preserve">DOR = duration of response; </w:t>
      </w:r>
      <w:proofErr w:type="spellStart"/>
      <w:r w:rsidR="001F5659" w:rsidRPr="00B42397">
        <w:t>ELd</w:t>
      </w:r>
      <w:proofErr w:type="spellEnd"/>
      <w:r w:rsidR="001F5659" w:rsidRPr="00B42397">
        <w:t xml:space="preserve"> = elotuzumab + lenalidomide + dexamethasone; </w:t>
      </w:r>
      <w:r w:rsidRPr="00B42397">
        <w:t>EMA</w:t>
      </w:r>
      <w:r w:rsidR="00CC3E50" w:rsidRPr="00B42397">
        <w:t xml:space="preserve"> </w:t>
      </w:r>
      <w:r w:rsidRPr="00B42397">
        <w:t>=</w:t>
      </w:r>
      <w:r w:rsidR="00CC3E50" w:rsidRPr="00B42397">
        <w:t xml:space="preserve"> </w:t>
      </w:r>
      <w:r w:rsidRPr="00B42397">
        <w:t xml:space="preserve">European Medicines Agency; </w:t>
      </w:r>
      <w:r w:rsidR="003B1CF2" w:rsidRPr="00B42397">
        <w:t xml:space="preserve">EORTC QLQ-C30 = </w:t>
      </w:r>
      <w:r w:rsidR="00940F3D" w:rsidRPr="00B42397">
        <w:t>European Organization for Research and Treatment of Cancer Quality of Life Questionnaire</w:t>
      </w:r>
      <w:r w:rsidR="007077C5" w:rsidRPr="00B42397">
        <w:t xml:space="preserve"> Core 30 module</w:t>
      </w:r>
      <w:r w:rsidR="003B1CF2" w:rsidRPr="00B42397">
        <w:t>; EORTC QLQ-MY20</w:t>
      </w:r>
      <w:r w:rsidR="00F96E2D" w:rsidRPr="00B42397">
        <w:t xml:space="preserve"> =</w:t>
      </w:r>
      <w:r w:rsidR="00940F3D" w:rsidRPr="00B42397">
        <w:t xml:space="preserve"> European Organization for Research and Treatment of Cancer Quality of Life Questionnaire the myeloma specific module;</w:t>
      </w:r>
      <w:r w:rsidR="00F96E2D" w:rsidRPr="00B42397">
        <w:t xml:space="preserve"> </w:t>
      </w:r>
      <w:r w:rsidRPr="00B42397">
        <w:t>IQR = interquartile range; IRC = independent review committee; ITT = intention to treat;</w:t>
      </w:r>
      <w:r w:rsidR="001F5659" w:rsidRPr="00B42397">
        <w:t xml:space="preserve"> </w:t>
      </w:r>
      <w:proofErr w:type="spellStart"/>
      <w:r w:rsidR="001F5659" w:rsidRPr="00B42397">
        <w:t>Ld</w:t>
      </w:r>
      <w:proofErr w:type="spellEnd"/>
      <w:r w:rsidR="001F5659" w:rsidRPr="00B42397">
        <w:t xml:space="preserve"> = lenalidomide + dexamethasone;</w:t>
      </w:r>
      <w:r w:rsidRPr="00B42397">
        <w:t xml:space="preserve"> </w:t>
      </w:r>
      <w:r w:rsidR="00620C25" w:rsidRPr="00B42397">
        <w:t xml:space="preserve">MC = multi-centre; </w:t>
      </w:r>
      <w:r w:rsidRPr="00B42397">
        <w:t>NR</w:t>
      </w:r>
      <w:r w:rsidR="00CC3E50" w:rsidRPr="00B42397">
        <w:t xml:space="preserve"> </w:t>
      </w:r>
      <w:r w:rsidRPr="00B42397">
        <w:t>=</w:t>
      </w:r>
      <w:r w:rsidR="00CC3E50" w:rsidRPr="00B42397">
        <w:t xml:space="preserve"> </w:t>
      </w:r>
      <w:r w:rsidRPr="00B42397">
        <w:t xml:space="preserve">not reported; </w:t>
      </w:r>
      <w:r w:rsidR="00620C25" w:rsidRPr="00B42397">
        <w:t>OL = open label; OS = overall survival; PFS = progression-free survival; R = randomised</w:t>
      </w:r>
      <w:r w:rsidR="00D56E7F" w:rsidRPr="00B42397">
        <w:t xml:space="preserve">; </w:t>
      </w:r>
      <w:r w:rsidR="00FE2166" w:rsidRPr="00B42397">
        <w:t>TTR = time to response.</w:t>
      </w:r>
    </w:p>
    <w:p w14:paraId="1EA6FD50" w14:textId="77777777" w:rsidR="0051618F" w:rsidRPr="00B42397" w:rsidRDefault="000C2888" w:rsidP="00D56E7F">
      <w:pPr>
        <w:pStyle w:val="TableFigureFooter"/>
      </w:pPr>
      <w:proofErr w:type="gramStart"/>
      <w:r w:rsidRPr="00B42397">
        <w:rPr>
          <w:vertAlign w:val="superscript"/>
        </w:rPr>
        <w:t>a</w:t>
      </w:r>
      <w:proofErr w:type="gramEnd"/>
      <w:r w:rsidRPr="00B42397">
        <w:t xml:space="preserve"> </w:t>
      </w:r>
      <w:r w:rsidR="00CC3E50" w:rsidRPr="00B42397">
        <w:t>T</w:t>
      </w:r>
      <w:r w:rsidR="0051618F" w:rsidRPr="00B42397">
        <w:t xml:space="preserve">he </w:t>
      </w:r>
      <w:r w:rsidRPr="00B42397">
        <w:t>details of the follow-up are provided for the latest data cut-off.</w:t>
      </w:r>
    </w:p>
    <w:p w14:paraId="0750AB86" w14:textId="77777777" w:rsidR="00620C25" w:rsidRPr="00B42397" w:rsidRDefault="00620C25" w:rsidP="00EC5836">
      <w:pPr>
        <w:pStyle w:val="TableFigureFooter"/>
        <w:rPr>
          <w:b/>
          <w:bCs/>
          <w:sz w:val="20"/>
        </w:rPr>
      </w:pPr>
    </w:p>
    <w:p w14:paraId="3CD0F5C4" w14:textId="77777777" w:rsidR="00A315D7" w:rsidRPr="00B42397" w:rsidRDefault="002B64CF" w:rsidP="002B64CF">
      <w:pPr>
        <w:pStyle w:val="3-BodyText"/>
        <w:rPr>
          <w:color w:val="000000" w:themeColor="text1"/>
        </w:rPr>
      </w:pPr>
      <w:r w:rsidRPr="00B42397">
        <w:rPr>
          <w:color w:val="000000" w:themeColor="text1"/>
        </w:rPr>
        <w:t xml:space="preserve">The key difference between </w:t>
      </w:r>
      <w:r w:rsidR="00A315D7" w:rsidRPr="00B42397">
        <w:rPr>
          <w:color w:val="000000" w:themeColor="text1"/>
        </w:rPr>
        <w:t xml:space="preserve">the </w:t>
      </w:r>
      <w:r w:rsidRPr="00B42397">
        <w:rPr>
          <w:color w:val="000000" w:themeColor="text1"/>
        </w:rPr>
        <w:t>eligibility criteria of the tri</w:t>
      </w:r>
      <w:r w:rsidR="00A315D7" w:rsidRPr="00B42397">
        <w:rPr>
          <w:color w:val="000000" w:themeColor="text1"/>
        </w:rPr>
        <w:t>a</w:t>
      </w:r>
      <w:r w:rsidRPr="00B42397">
        <w:rPr>
          <w:color w:val="000000" w:themeColor="text1"/>
        </w:rPr>
        <w:t xml:space="preserve">ls was </w:t>
      </w:r>
      <w:r w:rsidR="00A315D7" w:rsidRPr="00B42397">
        <w:rPr>
          <w:color w:val="000000" w:themeColor="text1"/>
        </w:rPr>
        <w:t>with respect to the prior exposure to either lenalidomide or bortezomib:</w:t>
      </w:r>
    </w:p>
    <w:p w14:paraId="377141FC" w14:textId="77777777" w:rsidR="00A315D7" w:rsidRPr="00B42397" w:rsidRDefault="00A315D7" w:rsidP="00CC3E50">
      <w:pPr>
        <w:pStyle w:val="3-BodyText"/>
        <w:numPr>
          <w:ilvl w:val="2"/>
          <w:numId w:val="1"/>
        </w:numPr>
        <w:ind w:left="1077" w:hanging="357"/>
        <w:rPr>
          <w:color w:val="000000" w:themeColor="text1"/>
        </w:rPr>
      </w:pPr>
      <w:r w:rsidRPr="00B42397">
        <w:rPr>
          <w:color w:val="000000" w:themeColor="text1"/>
        </w:rPr>
        <w:t xml:space="preserve">ELOQUENT-2 had </w:t>
      </w:r>
      <w:r w:rsidR="002B64CF" w:rsidRPr="00B42397">
        <w:rPr>
          <w:color w:val="000000" w:themeColor="text1"/>
        </w:rPr>
        <w:t xml:space="preserve">strict </w:t>
      </w:r>
      <w:r w:rsidRPr="00B42397">
        <w:rPr>
          <w:color w:val="000000" w:themeColor="text1"/>
        </w:rPr>
        <w:t xml:space="preserve">eligibility criteria </w:t>
      </w:r>
      <w:r w:rsidR="002B64CF" w:rsidRPr="00B42397">
        <w:rPr>
          <w:color w:val="000000" w:themeColor="text1"/>
        </w:rPr>
        <w:t xml:space="preserve">for </w:t>
      </w:r>
      <w:r w:rsidRPr="00B42397">
        <w:rPr>
          <w:color w:val="000000" w:themeColor="text1"/>
        </w:rPr>
        <w:t xml:space="preserve">patients with </w:t>
      </w:r>
      <w:r w:rsidR="004855AC" w:rsidRPr="00B42397">
        <w:rPr>
          <w:color w:val="000000" w:themeColor="text1"/>
        </w:rPr>
        <w:t>rega</w:t>
      </w:r>
      <w:r w:rsidR="00833A74" w:rsidRPr="00B42397">
        <w:rPr>
          <w:color w:val="000000" w:themeColor="text1"/>
        </w:rPr>
        <w:t>r</w:t>
      </w:r>
      <w:r w:rsidR="001F5659" w:rsidRPr="00B42397">
        <w:rPr>
          <w:color w:val="000000" w:themeColor="text1"/>
        </w:rPr>
        <w:t>d</w:t>
      </w:r>
      <w:r w:rsidR="004855AC" w:rsidRPr="00B42397">
        <w:rPr>
          <w:color w:val="000000" w:themeColor="text1"/>
        </w:rPr>
        <w:t xml:space="preserve"> to </w:t>
      </w:r>
      <w:r w:rsidR="002B64CF" w:rsidRPr="00B42397">
        <w:rPr>
          <w:color w:val="000000" w:themeColor="text1"/>
        </w:rPr>
        <w:t>prior lenalidomide</w:t>
      </w:r>
      <w:r w:rsidR="00EB0B79" w:rsidRPr="00B42397">
        <w:rPr>
          <w:color w:val="000000" w:themeColor="text1"/>
        </w:rPr>
        <w:t xml:space="preserve"> </w:t>
      </w:r>
      <w:r w:rsidRPr="00B42397">
        <w:rPr>
          <w:color w:val="000000" w:themeColor="text1"/>
        </w:rPr>
        <w:t>exposure</w:t>
      </w:r>
      <w:r w:rsidR="004855AC" w:rsidRPr="00B42397">
        <w:rPr>
          <w:color w:val="000000" w:themeColor="text1"/>
        </w:rPr>
        <w:t>, requiring them</w:t>
      </w:r>
      <w:r w:rsidRPr="00B42397">
        <w:rPr>
          <w:color w:val="000000" w:themeColor="text1"/>
        </w:rPr>
        <w:t xml:space="preserve"> to have achieved at </w:t>
      </w:r>
      <w:r w:rsidR="00EB0B79" w:rsidRPr="00B42397">
        <w:rPr>
          <w:color w:val="000000" w:themeColor="text1"/>
        </w:rPr>
        <w:t xml:space="preserve">least a partial response, not be refractory and </w:t>
      </w:r>
      <w:r w:rsidRPr="00B42397">
        <w:rPr>
          <w:color w:val="000000" w:themeColor="text1"/>
        </w:rPr>
        <w:t xml:space="preserve">being limited </w:t>
      </w:r>
      <w:r w:rsidR="00EB0B79" w:rsidRPr="00B42397">
        <w:rPr>
          <w:color w:val="000000" w:themeColor="text1"/>
        </w:rPr>
        <w:t xml:space="preserve">to no more than 10% of the study population. </w:t>
      </w:r>
      <w:r w:rsidR="00DF7A2F" w:rsidRPr="00B42397">
        <w:rPr>
          <w:color w:val="000000" w:themeColor="text1"/>
        </w:rPr>
        <w:t xml:space="preserve">The ESC considered that the majority of patients would receive prior lenalidomide in the NDMM setting and that the inclusion of this eligibility criteria meant that the ELOQUENT-2 trial </w:t>
      </w:r>
      <w:r w:rsidR="000A2907" w:rsidRPr="00B42397">
        <w:rPr>
          <w:color w:val="000000" w:themeColor="text1"/>
        </w:rPr>
        <w:t>was not</w:t>
      </w:r>
      <w:r w:rsidR="00DF7A2F" w:rsidRPr="00B42397">
        <w:rPr>
          <w:color w:val="000000" w:themeColor="text1"/>
        </w:rPr>
        <w:t xml:space="preserve"> represent</w:t>
      </w:r>
      <w:r w:rsidR="000A2907" w:rsidRPr="00B42397">
        <w:rPr>
          <w:color w:val="000000" w:themeColor="text1"/>
        </w:rPr>
        <w:t>ative of</w:t>
      </w:r>
      <w:r w:rsidR="00DF7A2F" w:rsidRPr="00B42397">
        <w:rPr>
          <w:color w:val="000000" w:themeColor="text1"/>
        </w:rPr>
        <w:t xml:space="preserve"> the likely clinical population.</w:t>
      </w:r>
    </w:p>
    <w:p w14:paraId="0EFD3BF6" w14:textId="77777777" w:rsidR="00A315D7" w:rsidRPr="00B42397" w:rsidRDefault="00EB0B79" w:rsidP="00CC3E50">
      <w:pPr>
        <w:pStyle w:val="3-BodyText"/>
        <w:numPr>
          <w:ilvl w:val="2"/>
          <w:numId w:val="1"/>
        </w:numPr>
        <w:ind w:left="1077" w:hanging="357"/>
        <w:rPr>
          <w:color w:val="000000" w:themeColor="text1"/>
        </w:rPr>
      </w:pPr>
      <w:r w:rsidRPr="00B42397">
        <w:rPr>
          <w:color w:val="000000" w:themeColor="text1"/>
        </w:rPr>
        <w:t xml:space="preserve">ENDEAVOR specified that patients had to have had at least a partial response to bortezomib, were not removed from bortezomib therapy due to toxicity, and were to have had at least a 6-month bortezomib free period prior to study initiation. </w:t>
      </w:r>
    </w:p>
    <w:p w14:paraId="23F216EC" w14:textId="77777777" w:rsidR="002B64CF" w:rsidRPr="00B42397" w:rsidRDefault="00EB0B79" w:rsidP="00A315D7">
      <w:pPr>
        <w:pStyle w:val="3-BodyText"/>
        <w:numPr>
          <w:ilvl w:val="0"/>
          <w:numId w:val="0"/>
        </w:numPr>
        <w:ind w:left="709"/>
        <w:rPr>
          <w:color w:val="000000" w:themeColor="text1"/>
        </w:rPr>
      </w:pPr>
      <w:r w:rsidRPr="00B42397">
        <w:rPr>
          <w:iCs/>
          <w:color w:val="000000" w:themeColor="text1"/>
        </w:rPr>
        <w:t xml:space="preserve">The </w:t>
      </w:r>
      <w:r w:rsidR="0090166A" w:rsidRPr="00B42397">
        <w:rPr>
          <w:iCs/>
          <w:color w:val="000000" w:themeColor="text1"/>
        </w:rPr>
        <w:t xml:space="preserve">PBAC noted that the </w:t>
      </w:r>
      <w:r w:rsidRPr="00B42397">
        <w:rPr>
          <w:iCs/>
          <w:color w:val="000000" w:themeColor="text1"/>
        </w:rPr>
        <w:t xml:space="preserve">differences in eligibility criteria specific to prior use of lenalidomide (ELOQUENT-2) and bortezomib (ENDEAVOR) may have </w:t>
      </w:r>
      <w:r w:rsidR="0090166A" w:rsidRPr="00B42397">
        <w:rPr>
          <w:iCs/>
          <w:color w:val="000000" w:themeColor="text1"/>
        </w:rPr>
        <w:t xml:space="preserve">had </w:t>
      </w:r>
      <w:r w:rsidRPr="00B42397">
        <w:rPr>
          <w:iCs/>
          <w:color w:val="000000" w:themeColor="text1"/>
        </w:rPr>
        <w:t xml:space="preserve">a potential bearing on the exchangeability of the trials for the quantitative </w:t>
      </w:r>
      <w:r w:rsidR="00A315D7" w:rsidRPr="00B42397">
        <w:rPr>
          <w:iCs/>
          <w:color w:val="000000" w:themeColor="text1"/>
        </w:rPr>
        <w:t>ITC</w:t>
      </w:r>
      <w:r w:rsidRPr="00B42397">
        <w:rPr>
          <w:iCs/>
          <w:color w:val="000000" w:themeColor="text1"/>
        </w:rPr>
        <w:t xml:space="preserve">. </w:t>
      </w:r>
    </w:p>
    <w:p w14:paraId="19662B50" w14:textId="77777777" w:rsidR="002B64CF" w:rsidRPr="00B42397" w:rsidRDefault="002B64CF" w:rsidP="002B64CF">
      <w:pPr>
        <w:pStyle w:val="3-BodyText"/>
        <w:rPr>
          <w:color w:val="000000" w:themeColor="text1"/>
        </w:rPr>
      </w:pPr>
      <w:r w:rsidRPr="00B42397">
        <w:rPr>
          <w:snapToGrid/>
          <w:color w:val="000000" w:themeColor="text1"/>
        </w:rPr>
        <w:t>The demographic characteristic</w:t>
      </w:r>
      <w:r w:rsidR="001900F6" w:rsidRPr="00B42397">
        <w:rPr>
          <w:snapToGrid/>
          <w:color w:val="000000" w:themeColor="text1"/>
        </w:rPr>
        <w:t>s</w:t>
      </w:r>
      <w:r w:rsidRPr="00B42397">
        <w:rPr>
          <w:snapToGrid/>
          <w:color w:val="000000" w:themeColor="text1"/>
        </w:rPr>
        <w:t xml:space="preserve"> across the two trials were similar, with </w:t>
      </w:r>
      <w:r w:rsidR="00096169" w:rsidRPr="00B42397">
        <w:rPr>
          <w:snapToGrid/>
          <w:color w:val="000000" w:themeColor="text1"/>
        </w:rPr>
        <w:t xml:space="preserve">the </w:t>
      </w:r>
      <w:r w:rsidR="00B61351" w:rsidRPr="00B42397">
        <w:rPr>
          <w:snapToGrid/>
          <w:color w:val="000000" w:themeColor="text1"/>
        </w:rPr>
        <w:t xml:space="preserve">following </w:t>
      </w:r>
      <w:r w:rsidRPr="00B42397">
        <w:rPr>
          <w:snapToGrid/>
          <w:color w:val="000000" w:themeColor="text1"/>
        </w:rPr>
        <w:t>exception</w:t>
      </w:r>
      <w:r w:rsidR="00B61351" w:rsidRPr="00B42397">
        <w:rPr>
          <w:snapToGrid/>
          <w:color w:val="000000" w:themeColor="text1"/>
        </w:rPr>
        <w:t xml:space="preserve">s: </w:t>
      </w:r>
      <w:r w:rsidR="00A315D7" w:rsidRPr="00B42397">
        <w:rPr>
          <w:snapToGrid/>
          <w:color w:val="000000" w:themeColor="text1"/>
        </w:rPr>
        <w:t xml:space="preserve">more </w:t>
      </w:r>
      <w:r w:rsidR="00EB0B79" w:rsidRPr="00B42397">
        <w:rPr>
          <w:snapToGrid/>
          <w:color w:val="000000" w:themeColor="text1"/>
        </w:rPr>
        <w:t xml:space="preserve">ELOQUENT-2 patients </w:t>
      </w:r>
      <w:r w:rsidR="00B61351" w:rsidRPr="00B42397">
        <w:rPr>
          <w:snapToGrid/>
          <w:color w:val="000000" w:themeColor="text1"/>
        </w:rPr>
        <w:t xml:space="preserve">were </w:t>
      </w:r>
      <w:r w:rsidR="00EB0B79" w:rsidRPr="00B42397">
        <w:t xml:space="preserve">male (59.6% versus 50%), aged 75 years or over (20% versus 15.4%), </w:t>
      </w:r>
      <w:r w:rsidR="00B61351" w:rsidRPr="00B42397">
        <w:t xml:space="preserve">had </w:t>
      </w:r>
      <w:r w:rsidR="00EB0B79" w:rsidRPr="00B42397">
        <w:t xml:space="preserve">an </w:t>
      </w:r>
      <w:r w:rsidR="008E7B46" w:rsidRPr="00B42397">
        <w:t>Eastern Cooperative Oncology Group (</w:t>
      </w:r>
      <w:r w:rsidR="00EB0B79" w:rsidRPr="00B42397">
        <w:t>ECOG</w:t>
      </w:r>
      <w:r w:rsidR="008E7B46" w:rsidRPr="00B42397">
        <w:t>)</w:t>
      </w:r>
      <w:r w:rsidR="00EB0B79" w:rsidRPr="00B42397">
        <w:t xml:space="preserve"> performance status of 2 (9.0% versus 6.7%), and </w:t>
      </w:r>
      <w:r w:rsidR="00CD0073" w:rsidRPr="00B42397">
        <w:t xml:space="preserve">were </w:t>
      </w:r>
      <w:r w:rsidR="00EB0B79" w:rsidRPr="00B42397">
        <w:t xml:space="preserve">white (84% versus 75%) </w:t>
      </w:r>
      <w:r w:rsidR="00EB0B79" w:rsidRPr="00B42397">
        <w:lastRenderedPageBreak/>
        <w:t>compared with ENDEAVOR</w:t>
      </w:r>
      <w:r w:rsidR="00B61351" w:rsidRPr="00B42397">
        <w:t xml:space="preserve"> trial patients</w:t>
      </w:r>
      <w:r w:rsidR="00EB0B79" w:rsidRPr="00B42397">
        <w:t>.</w:t>
      </w:r>
      <w:r w:rsidR="00A315D7" w:rsidRPr="00B42397">
        <w:t xml:space="preserve"> </w:t>
      </w:r>
      <w:r w:rsidR="00A315D7" w:rsidRPr="00B42397">
        <w:rPr>
          <w:iCs/>
        </w:rPr>
        <w:t xml:space="preserve">These differences </w:t>
      </w:r>
      <w:r w:rsidR="00B61351" w:rsidRPr="00B42397">
        <w:rPr>
          <w:iCs/>
        </w:rPr>
        <w:t>we</w:t>
      </w:r>
      <w:r w:rsidR="00A315D7" w:rsidRPr="00B42397">
        <w:rPr>
          <w:iCs/>
        </w:rPr>
        <w:t>re not anticipated to affect the comparability of these trials.</w:t>
      </w:r>
    </w:p>
    <w:p w14:paraId="7F984BCA" w14:textId="77777777" w:rsidR="00A315D7" w:rsidRPr="00B42397" w:rsidRDefault="00A315D7" w:rsidP="00EB0B79">
      <w:pPr>
        <w:pStyle w:val="3-BodyText"/>
        <w:rPr>
          <w:color w:val="000000" w:themeColor="text1"/>
        </w:rPr>
      </w:pPr>
      <w:r w:rsidRPr="00B42397">
        <w:rPr>
          <w:color w:val="000000" w:themeColor="text1"/>
        </w:rPr>
        <w:t xml:space="preserve">The </w:t>
      </w:r>
      <w:r w:rsidR="0090166A" w:rsidRPr="00B42397">
        <w:rPr>
          <w:color w:val="000000" w:themeColor="text1"/>
        </w:rPr>
        <w:t xml:space="preserve">PBAC noted the </w:t>
      </w:r>
      <w:r w:rsidRPr="00B42397">
        <w:rPr>
          <w:color w:val="000000" w:themeColor="text1"/>
        </w:rPr>
        <w:t xml:space="preserve">following differences between the trials in </w:t>
      </w:r>
      <w:r w:rsidR="00E70DCE" w:rsidRPr="00B42397">
        <w:rPr>
          <w:color w:val="000000" w:themeColor="text1"/>
        </w:rPr>
        <w:t xml:space="preserve">terms of </w:t>
      </w:r>
      <w:r w:rsidRPr="00B42397">
        <w:rPr>
          <w:color w:val="000000" w:themeColor="text1"/>
        </w:rPr>
        <w:t>baseline disease and treatment characteristics:</w:t>
      </w:r>
    </w:p>
    <w:p w14:paraId="10A07946" w14:textId="77777777" w:rsidR="00EB0B79" w:rsidRPr="00B42397" w:rsidRDefault="00EB0B79" w:rsidP="00A315D7">
      <w:pPr>
        <w:pStyle w:val="3-BodyText"/>
        <w:numPr>
          <w:ilvl w:val="2"/>
          <w:numId w:val="1"/>
        </w:numPr>
        <w:ind w:left="1134"/>
        <w:rPr>
          <w:color w:val="000000" w:themeColor="text1"/>
        </w:rPr>
      </w:pPr>
      <w:r w:rsidRPr="00B42397">
        <w:rPr>
          <w:color w:val="000000" w:themeColor="text1"/>
        </w:rPr>
        <w:t xml:space="preserve">A </w:t>
      </w:r>
      <w:r w:rsidR="004855AC" w:rsidRPr="00B42397">
        <w:rPr>
          <w:color w:val="000000" w:themeColor="text1"/>
        </w:rPr>
        <w:t xml:space="preserve">higher </w:t>
      </w:r>
      <w:r w:rsidRPr="00B42397">
        <w:rPr>
          <w:color w:val="000000" w:themeColor="text1"/>
        </w:rPr>
        <w:t>proportion of patients in ENDEAVOR had poorer renal function at study entry compared with ELOQUENT-2 (</w:t>
      </w:r>
      <w:proofErr w:type="spellStart"/>
      <w:r w:rsidRPr="00B42397">
        <w:rPr>
          <w:color w:val="000000" w:themeColor="text1"/>
        </w:rPr>
        <w:t>CrCl</w:t>
      </w:r>
      <w:proofErr w:type="spellEnd"/>
      <w:r w:rsidRPr="00B42397">
        <w:rPr>
          <w:color w:val="000000" w:themeColor="text1"/>
        </w:rPr>
        <w:t xml:space="preserve"> &lt;</w:t>
      </w:r>
      <w:r w:rsidR="008E7B46" w:rsidRPr="00B42397">
        <w:rPr>
          <w:color w:val="000000" w:themeColor="text1"/>
        </w:rPr>
        <w:t xml:space="preserve"> </w:t>
      </w:r>
      <w:r w:rsidRPr="00B42397">
        <w:rPr>
          <w:color w:val="000000" w:themeColor="text1"/>
        </w:rPr>
        <w:t xml:space="preserve">30 mL/min: 6.0% vs. 1.4%). </w:t>
      </w:r>
      <w:r w:rsidR="007C230C" w:rsidRPr="00B42397">
        <w:rPr>
          <w:color w:val="000000" w:themeColor="text1"/>
        </w:rPr>
        <w:t xml:space="preserve">The submission stated that </w:t>
      </w:r>
      <w:r w:rsidR="00FB436F" w:rsidRPr="00B42397">
        <w:rPr>
          <w:color w:val="000000" w:themeColor="text1"/>
        </w:rPr>
        <w:t>t</w:t>
      </w:r>
      <w:r w:rsidRPr="00B42397">
        <w:rPr>
          <w:color w:val="000000" w:themeColor="text1"/>
        </w:rPr>
        <w:t>his was likely due to differences in the inclusion criteria of the trials with respect to renal function.</w:t>
      </w:r>
    </w:p>
    <w:p w14:paraId="775933B0" w14:textId="77777777" w:rsidR="00EB0B79" w:rsidRPr="00B42397" w:rsidRDefault="00EB0B79" w:rsidP="00A315D7">
      <w:pPr>
        <w:pStyle w:val="3-BodyText"/>
        <w:numPr>
          <w:ilvl w:val="2"/>
          <w:numId w:val="1"/>
        </w:numPr>
        <w:ind w:left="1134"/>
        <w:rPr>
          <w:color w:val="000000" w:themeColor="text1"/>
        </w:rPr>
      </w:pPr>
      <w:r w:rsidRPr="00B42397">
        <w:rPr>
          <w:color w:val="000000" w:themeColor="text1"/>
        </w:rPr>
        <w:t xml:space="preserve">High risk cytogenetic markers of 17pDel and </w:t>
      </w:r>
      <w:proofErr w:type="gramStart"/>
      <w:r w:rsidRPr="00B42397">
        <w:rPr>
          <w:color w:val="000000" w:themeColor="text1"/>
        </w:rPr>
        <w:t>t(</w:t>
      </w:r>
      <w:proofErr w:type="gramEnd"/>
      <w:r w:rsidRPr="00B42397">
        <w:rPr>
          <w:color w:val="000000" w:themeColor="text1"/>
        </w:rPr>
        <w:t xml:space="preserve">4;14) were present in 31.9% and 9.4% of patients, respectively, in the ELOQUENT-2 trial. While the rates of </w:t>
      </w:r>
      <w:proofErr w:type="gramStart"/>
      <w:r w:rsidRPr="00B42397">
        <w:rPr>
          <w:color w:val="000000" w:themeColor="text1"/>
        </w:rPr>
        <w:t>t(</w:t>
      </w:r>
      <w:proofErr w:type="gramEnd"/>
      <w:r w:rsidRPr="00B42397">
        <w:rPr>
          <w:color w:val="000000" w:themeColor="text1"/>
        </w:rPr>
        <w:t xml:space="preserve">4;14) amongst patients in ENDEAVOR were similar (11.9%); rates of 17pDel were considerably lower than those in ELOQUENT-2 (9.9%). </w:t>
      </w:r>
      <w:r w:rsidR="00B34E49" w:rsidRPr="00B42397">
        <w:rPr>
          <w:color w:val="000000" w:themeColor="text1"/>
        </w:rPr>
        <w:t>The ESC noted that the higher proportion of patients in the ELOQUENT-2 trial with 17pDel</w:t>
      </w:r>
      <w:r w:rsidR="00090BE2" w:rsidRPr="00B42397">
        <w:rPr>
          <w:color w:val="000000" w:themeColor="text1"/>
        </w:rPr>
        <w:t>, likely meant that patients in the ELOQUENT-2 trial had a poorer prognosis.</w:t>
      </w:r>
    </w:p>
    <w:p w14:paraId="3420EF28" w14:textId="77777777" w:rsidR="00EB0B79" w:rsidRPr="00B42397" w:rsidRDefault="00EB0B79" w:rsidP="00A315D7">
      <w:pPr>
        <w:pStyle w:val="3-BodyText"/>
        <w:numPr>
          <w:ilvl w:val="2"/>
          <w:numId w:val="1"/>
        </w:numPr>
        <w:ind w:left="1134"/>
        <w:rPr>
          <w:color w:val="000000" w:themeColor="text1"/>
        </w:rPr>
      </w:pPr>
      <w:r w:rsidRPr="00B42397">
        <w:rPr>
          <w:color w:val="000000" w:themeColor="text1"/>
        </w:rPr>
        <w:t xml:space="preserve">B2 </w:t>
      </w:r>
      <w:proofErr w:type="spellStart"/>
      <w:r w:rsidRPr="00B42397">
        <w:rPr>
          <w:color w:val="000000" w:themeColor="text1"/>
        </w:rPr>
        <w:t>microglobulin</w:t>
      </w:r>
      <w:proofErr w:type="spellEnd"/>
      <w:r w:rsidRPr="00B42397">
        <w:rPr>
          <w:color w:val="000000" w:themeColor="text1"/>
        </w:rPr>
        <w:t xml:space="preserve"> of 3.5 mg/L or more was reported in a </w:t>
      </w:r>
      <w:r w:rsidR="004855AC" w:rsidRPr="00B42397">
        <w:rPr>
          <w:color w:val="000000" w:themeColor="text1"/>
        </w:rPr>
        <w:t xml:space="preserve">higher </w:t>
      </w:r>
      <w:r w:rsidRPr="00B42397">
        <w:rPr>
          <w:color w:val="000000" w:themeColor="text1"/>
        </w:rPr>
        <w:t xml:space="preserve">proportion of patients in ENDEAVOR compared with ELOQUENT-2 (53.1% vs. 44.9%, respectively). Nonetheless, the rate of patients classified as </w:t>
      </w:r>
      <w:r w:rsidR="001D6912" w:rsidRPr="00B42397">
        <w:rPr>
          <w:color w:val="000000" w:themeColor="text1"/>
        </w:rPr>
        <w:t xml:space="preserve">having </w:t>
      </w:r>
      <w:r w:rsidR="00AD126C" w:rsidRPr="00B42397">
        <w:rPr>
          <w:color w:val="000000" w:themeColor="text1"/>
        </w:rPr>
        <w:t xml:space="preserve">International Staging System </w:t>
      </w:r>
      <w:r w:rsidRPr="00B42397">
        <w:rPr>
          <w:color w:val="000000" w:themeColor="text1"/>
        </w:rPr>
        <w:t xml:space="preserve">stage 1 </w:t>
      </w:r>
      <w:r w:rsidR="001D6912" w:rsidRPr="00B42397">
        <w:rPr>
          <w:color w:val="000000" w:themeColor="text1"/>
        </w:rPr>
        <w:t xml:space="preserve">disease </w:t>
      </w:r>
      <w:r w:rsidRPr="00B42397">
        <w:rPr>
          <w:color w:val="000000" w:themeColor="text1"/>
        </w:rPr>
        <w:t xml:space="preserve">was similar between trials (43.2% in ELOQUENT-2 and 44.0% in ENDEAVOR). </w:t>
      </w:r>
    </w:p>
    <w:p w14:paraId="6E83B40F" w14:textId="77777777" w:rsidR="00EB0B79" w:rsidRPr="00B42397" w:rsidRDefault="00EB0B79" w:rsidP="00A315D7">
      <w:pPr>
        <w:pStyle w:val="3-BodyText"/>
        <w:numPr>
          <w:ilvl w:val="2"/>
          <w:numId w:val="1"/>
        </w:numPr>
        <w:ind w:left="1134"/>
        <w:rPr>
          <w:color w:val="000000" w:themeColor="text1"/>
        </w:rPr>
      </w:pPr>
      <w:r w:rsidRPr="00B42397">
        <w:rPr>
          <w:color w:val="000000" w:themeColor="text1"/>
        </w:rPr>
        <w:t>In ELOQUENT-2, approximately one thi</w:t>
      </w:r>
      <w:r w:rsidR="00833A74" w:rsidRPr="00B42397">
        <w:rPr>
          <w:color w:val="000000" w:themeColor="text1"/>
        </w:rPr>
        <w:t>r</w:t>
      </w:r>
      <w:r w:rsidR="001F5659" w:rsidRPr="00B42397">
        <w:rPr>
          <w:color w:val="000000" w:themeColor="text1"/>
        </w:rPr>
        <w:t>d</w:t>
      </w:r>
      <w:r w:rsidRPr="00B42397">
        <w:rPr>
          <w:color w:val="000000" w:themeColor="text1"/>
        </w:rPr>
        <w:t xml:space="preserve"> of patients (35.1%) had resistance to their most recent line of therapy (progression during or within 60 days after prior therapy) and 64.7% had relapsed (progression after a period greater than 60 days post last therapy). Response to </w:t>
      </w:r>
      <w:r w:rsidR="00A315D7" w:rsidRPr="00B42397">
        <w:rPr>
          <w:color w:val="000000" w:themeColor="text1"/>
        </w:rPr>
        <w:t xml:space="preserve">the </w:t>
      </w:r>
      <w:r w:rsidRPr="00B42397">
        <w:rPr>
          <w:color w:val="000000" w:themeColor="text1"/>
        </w:rPr>
        <w:t xml:space="preserve">most recent line of therapy was not reported in ENDEAVOR although the trial required that all patients had at least a </w:t>
      </w:r>
      <w:r w:rsidR="001709A9" w:rsidRPr="00B42397">
        <w:rPr>
          <w:color w:val="000000" w:themeColor="text1"/>
        </w:rPr>
        <w:t xml:space="preserve">partial </w:t>
      </w:r>
      <w:r w:rsidR="00E37E63" w:rsidRPr="00B42397">
        <w:rPr>
          <w:color w:val="000000" w:themeColor="text1"/>
        </w:rPr>
        <w:t>response</w:t>
      </w:r>
      <w:r w:rsidR="00917562" w:rsidRPr="00B42397">
        <w:rPr>
          <w:color w:val="000000" w:themeColor="text1"/>
        </w:rPr>
        <w:t xml:space="preserve"> </w:t>
      </w:r>
      <w:r w:rsidRPr="00B42397">
        <w:rPr>
          <w:color w:val="000000" w:themeColor="text1"/>
        </w:rPr>
        <w:t xml:space="preserve">to at least one line of prior therapy. </w:t>
      </w:r>
    </w:p>
    <w:p w14:paraId="4D9F9E2E" w14:textId="77777777" w:rsidR="0052784C" w:rsidRPr="00B42397" w:rsidRDefault="00EB0B79" w:rsidP="00A315D7">
      <w:pPr>
        <w:pStyle w:val="3-BodyText"/>
        <w:numPr>
          <w:ilvl w:val="2"/>
          <w:numId w:val="1"/>
        </w:numPr>
        <w:ind w:left="1134"/>
        <w:rPr>
          <w:color w:val="000000" w:themeColor="text1"/>
        </w:rPr>
      </w:pPr>
      <w:r w:rsidRPr="00B42397">
        <w:rPr>
          <w:color w:val="000000" w:themeColor="text1"/>
        </w:rPr>
        <w:t>Prior treatment with bortezomib was more common amongst patients in the ELOQUENT-2 trial compared with ENDEAVOR (69.7% vs. 54.0%, respectively).</w:t>
      </w:r>
      <w:r w:rsidR="00A315D7" w:rsidRPr="00B42397">
        <w:rPr>
          <w:color w:val="000000" w:themeColor="text1"/>
        </w:rPr>
        <w:t xml:space="preserve"> </w:t>
      </w:r>
      <w:r w:rsidRPr="00B42397">
        <w:rPr>
          <w:color w:val="000000" w:themeColor="text1"/>
        </w:rPr>
        <w:t>Prior use of lenalidomide was more common in ENDEAVOR compared with ELOQUENT-2 (38.1% vs. 5.7%, respectively).</w:t>
      </w:r>
      <w:r w:rsidR="000A2907" w:rsidRPr="00B42397">
        <w:rPr>
          <w:color w:val="000000" w:themeColor="text1"/>
        </w:rPr>
        <w:t xml:space="preserve"> </w:t>
      </w:r>
      <w:r w:rsidR="000A2907" w:rsidRPr="00B42397">
        <w:rPr>
          <w:lang w:eastAsia="ko-KR"/>
        </w:rPr>
        <w:t xml:space="preserve">The ESC noted </w:t>
      </w:r>
      <w:r w:rsidR="00EC5C31" w:rsidRPr="00B42397">
        <w:rPr>
          <w:lang w:eastAsia="ko-KR"/>
        </w:rPr>
        <w:t>patients in the ENDEAVOR trial were more highly pre-treated</w:t>
      </w:r>
      <w:r w:rsidR="00091C36" w:rsidRPr="00B42397">
        <w:rPr>
          <w:lang w:eastAsia="ko-KR"/>
        </w:rPr>
        <w:t xml:space="preserve">. The ESC noted </w:t>
      </w:r>
      <w:r w:rsidR="000A2907" w:rsidRPr="00B42397">
        <w:rPr>
          <w:lang w:eastAsia="ko-KR"/>
        </w:rPr>
        <w:t>that the submission did not provide any information on prior therapy with daratumumab.</w:t>
      </w:r>
    </w:p>
    <w:p w14:paraId="7F8438ED" w14:textId="77777777" w:rsidR="00EB0B79" w:rsidRPr="00B42397" w:rsidRDefault="00FF7261" w:rsidP="00906A3E">
      <w:pPr>
        <w:pStyle w:val="3-BodyText"/>
        <w:numPr>
          <w:ilvl w:val="2"/>
          <w:numId w:val="1"/>
        </w:numPr>
        <w:ind w:left="1134"/>
        <w:rPr>
          <w:iCs/>
          <w:color w:val="000000" w:themeColor="text1"/>
        </w:rPr>
      </w:pPr>
      <w:r w:rsidRPr="00B42397">
        <w:rPr>
          <w:iCs/>
          <w:color w:val="000000" w:themeColor="text1"/>
        </w:rPr>
        <w:t xml:space="preserve">The rates of no prior </w:t>
      </w:r>
      <w:proofErr w:type="spellStart"/>
      <w:r w:rsidRPr="00B42397">
        <w:rPr>
          <w:iCs/>
          <w:color w:val="000000" w:themeColor="text1"/>
        </w:rPr>
        <w:t>IMiD</w:t>
      </w:r>
      <w:proofErr w:type="spellEnd"/>
      <w:r w:rsidRPr="00B42397">
        <w:rPr>
          <w:iCs/>
          <w:color w:val="000000" w:themeColor="text1"/>
        </w:rPr>
        <w:t xml:space="preserve"> therapy were higher in </w:t>
      </w:r>
      <w:r w:rsidR="00484D71" w:rsidRPr="00B42397">
        <w:rPr>
          <w:iCs/>
          <w:color w:val="000000" w:themeColor="text1"/>
        </w:rPr>
        <w:t>ELO</w:t>
      </w:r>
      <w:r w:rsidR="003060B6" w:rsidRPr="00B42397">
        <w:rPr>
          <w:iCs/>
          <w:color w:val="000000" w:themeColor="text1"/>
        </w:rPr>
        <w:t>QUENT-2 (47.0% vs. 46.8%</w:t>
      </w:r>
      <w:r w:rsidR="005C5C55" w:rsidRPr="00B42397">
        <w:rPr>
          <w:iCs/>
          <w:color w:val="000000" w:themeColor="text1"/>
        </w:rPr>
        <w:t xml:space="preserve"> in </w:t>
      </w:r>
      <w:proofErr w:type="spellStart"/>
      <w:r w:rsidR="001F5659" w:rsidRPr="00B42397">
        <w:rPr>
          <w:iCs/>
          <w:color w:val="000000" w:themeColor="text1"/>
        </w:rPr>
        <w:t>ELd</w:t>
      </w:r>
      <w:proofErr w:type="spellEnd"/>
      <w:r w:rsidR="005C5C55" w:rsidRPr="00B42397">
        <w:rPr>
          <w:iCs/>
          <w:color w:val="000000" w:themeColor="text1"/>
        </w:rPr>
        <w:t xml:space="preserve"> and </w:t>
      </w:r>
      <w:proofErr w:type="spellStart"/>
      <w:proofErr w:type="gramStart"/>
      <w:r w:rsidR="001F5659" w:rsidRPr="00B42397">
        <w:rPr>
          <w:iCs/>
          <w:color w:val="000000" w:themeColor="text1"/>
        </w:rPr>
        <w:t>Ld</w:t>
      </w:r>
      <w:proofErr w:type="spellEnd"/>
      <w:proofErr w:type="gramEnd"/>
      <w:r w:rsidR="001D6912" w:rsidRPr="00B42397">
        <w:rPr>
          <w:iCs/>
          <w:color w:val="000000" w:themeColor="text1"/>
        </w:rPr>
        <w:t>,</w:t>
      </w:r>
      <w:r w:rsidR="003060B6" w:rsidRPr="00B42397">
        <w:rPr>
          <w:iCs/>
          <w:color w:val="000000" w:themeColor="text1"/>
        </w:rPr>
        <w:t xml:space="preserve"> </w:t>
      </w:r>
      <w:r w:rsidR="006E4DAD" w:rsidRPr="00B42397">
        <w:rPr>
          <w:iCs/>
          <w:color w:val="000000" w:themeColor="text1"/>
        </w:rPr>
        <w:t xml:space="preserve">respectively) </w:t>
      </w:r>
      <w:r w:rsidR="00107D79" w:rsidRPr="00B42397">
        <w:rPr>
          <w:iCs/>
          <w:color w:val="000000" w:themeColor="text1"/>
        </w:rPr>
        <w:t xml:space="preserve">compared to </w:t>
      </w:r>
      <w:r w:rsidR="00733DE0" w:rsidRPr="00B42397">
        <w:rPr>
          <w:iCs/>
          <w:color w:val="000000" w:themeColor="text1"/>
        </w:rPr>
        <w:t>ENDEAVOR</w:t>
      </w:r>
      <w:r w:rsidR="00107D79" w:rsidRPr="00B42397">
        <w:rPr>
          <w:iCs/>
          <w:color w:val="000000" w:themeColor="text1"/>
        </w:rPr>
        <w:t xml:space="preserve"> (</w:t>
      </w:r>
      <w:r w:rsidRPr="00B42397">
        <w:rPr>
          <w:iCs/>
          <w:color w:val="000000" w:themeColor="text1"/>
        </w:rPr>
        <w:t>30.0% vs. 25.4%</w:t>
      </w:r>
      <w:r w:rsidR="005C5C55" w:rsidRPr="00B42397">
        <w:rPr>
          <w:iCs/>
          <w:color w:val="000000" w:themeColor="text1"/>
        </w:rPr>
        <w:t xml:space="preserve"> in Cd and Bd</w:t>
      </w:r>
      <w:r w:rsidR="001D6912" w:rsidRPr="00B42397">
        <w:rPr>
          <w:iCs/>
          <w:color w:val="000000" w:themeColor="text1"/>
        </w:rPr>
        <w:t>,</w:t>
      </w:r>
      <w:r w:rsidR="005C5C55" w:rsidRPr="00B42397">
        <w:rPr>
          <w:iCs/>
          <w:color w:val="000000" w:themeColor="text1"/>
        </w:rPr>
        <w:t xml:space="preserve"> respectively</w:t>
      </w:r>
      <w:r w:rsidRPr="00B42397">
        <w:rPr>
          <w:iCs/>
          <w:color w:val="000000" w:themeColor="text1"/>
        </w:rPr>
        <w:t>)</w:t>
      </w:r>
      <w:r w:rsidR="00733DE0" w:rsidRPr="00B42397">
        <w:rPr>
          <w:iCs/>
          <w:color w:val="000000" w:themeColor="text1"/>
        </w:rPr>
        <w:t>.</w:t>
      </w:r>
      <w:r w:rsidR="00906A3E" w:rsidRPr="00B42397">
        <w:rPr>
          <w:iCs/>
          <w:color w:val="000000" w:themeColor="text1"/>
        </w:rPr>
        <w:t xml:space="preserve"> </w:t>
      </w:r>
      <w:r w:rsidR="007E1C24" w:rsidRPr="00B42397">
        <w:rPr>
          <w:iCs/>
          <w:color w:val="000000" w:themeColor="text1"/>
        </w:rPr>
        <w:t xml:space="preserve">The difference in prior use of </w:t>
      </w:r>
      <w:proofErr w:type="spellStart"/>
      <w:r w:rsidR="007E1C24" w:rsidRPr="00B42397">
        <w:rPr>
          <w:iCs/>
          <w:color w:val="000000" w:themeColor="text1"/>
        </w:rPr>
        <w:t>IMiD</w:t>
      </w:r>
      <w:proofErr w:type="spellEnd"/>
      <w:r w:rsidR="007E1C24" w:rsidRPr="00B42397">
        <w:rPr>
          <w:iCs/>
          <w:color w:val="000000" w:themeColor="text1"/>
        </w:rPr>
        <w:t xml:space="preserve"> therapy may affect </w:t>
      </w:r>
      <w:r w:rsidR="004855AC" w:rsidRPr="00B42397">
        <w:rPr>
          <w:iCs/>
          <w:color w:val="000000" w:themeColor="text1"/>
        </w:rPr>
        <w:t xml:space="preserve">the </w:t>
      </w:r>
      <w:r w:rsidR="007E1C24" w:rsidRPr="00B42397">
        <w:rPr>
          <w:iCs/>
          <w:color w:val="000000" w:themeColor="text1"/>
        </w:rPr>
        <w:t>compa</w:t>
      </w:r>
      <w:r w:rsidR="004855AC" w:rsidRPr="00B42397">
        <w:rPr>
          <w:iCs/>
          <w:color w:val="000000" w:themeColor="text1"/>
        </w:rPr>
        <w:t>rabi</w:t>
      </w:r>
      <w:r w:rsidR="007E1C24" w:rsidRPr="00B42397">
        <w:rPr>
          <w:iCs/>
          <w:color w:val="000000" w:themeColor="text1"/>
        </w:rPr>
        <w:t>lity of the two tr</w:t>
      </w:r>
      <w:r w:rsidR="004855AC" w:rsidRPr="00B42397">
        <w:rPr>
          <w:iCs/>
          <w:color w:val="000000" w:themeColor="text1"/>
        </w:rPr>
        <w:t>i</w:t>
      </w:r>
      <w:r w:rsidR="007E1C24" w:rsidRPr="00B42397">
        <w:rPr>
          <w:iCs/>
          <w:color w:val="000000" w:themeColor="text1"/>
        </w:rPr>
        <w:t>als</w:t>
      </w:r>
      <w:r w:rsidR="00E70DCE" w:rsidRPr="00B42397">
        <w:rPr>
          <w:iCs/>
          <w:color w:val="000000" w:themeColor="text1"/>
        </w:rPr>
        <w:t>. The submission presented</w:t>
      </w:r>
      <w:r w:rsidR="004855AC" w:rsidRPr="00B42397">
        <w:rPr>
          <w:iCs/>
          <w:color w:val="000000" w:themeColor="text1"/>
        </w:rPr>
        <w:t xml:space="preserve"> results from subgroup analyses from the trials</w:t>
      </w:r>
      <w:r w:rsidR="009977AE" w:rsidRPr="00B42397">
        <w:rPr>
          <w:iCs/>
          <w:color w:val="000000" w:themeColor="text1"/>
        </w:rPr>
        <w:t xml:space="preserve"> to </w:t>
      </w:r>
      <w:r w:rsidR="00754596" w:rsidRPr="00B42397">
        <w:rPr>
          <w:iCs/>
          <w:color w:val="000000" w:themeColor="text1"/>
        </w:rPr>
        <w:t>assess the impact of these differences (see paragraphs 6.1</w:t>
      </w:r>
      <w:r w:rsidR="00C55EF0">
        <w:rPr>
          <w:iCs/>
          <w:color w:val="000000" w:themeColor="text1"/>
        </w:rPr>
        <w:t>5</w:t>
      </w:r>
      <w:r w:rsidR="00754596" w:rsidRPr="00B42397">
        <w:rPr>
          <w:iCs/>
          <w:color w:val="000000" w:themeColor="text1"/>
        </w:rPr>
        <w:t xml:space="preserve"> and 6.1</w:t>
      </w:r>
      <w:r w:rsidR="00C55EF0">
        <w:rPr>
          <w:iCs/>
          <w:color w:val="000000" w:themeColor="text1"/>
        </w:rPr>
        <w:t>6</w:t>
      </w:r>
      <w:r w:rsidR="00754596" w:rsidRPr="00B42397">
        <w:rPr>
          <w:iCs/>
          <w:color w:val="000000" w:themeColor="text1"/>
        </w:rPr>
        <w:t>)</w:t>
      </w:r>
      <w:r w:rsidR="007E1C24" w:rsidRPr="00B42397">
        <w:rPr>
          <w:iCs/>
          <w:color w:val="000000" w:themeColor="text1"/>
        </w:rPr>
        <w:t>.</w:t>
      </w:r>
    </w:p>
    <w:p w14:paraId="0E88E3B9" w14:textId="77777777" w:rsidR="00B60939" w:rsidRPr="00B42397" w:rsidRDefault="00B60939" w:rsidP="00EC5836">
      <w:pPr>
        <w:pStyle w:val="4-SubsectionHeading"/>
      </w:pPr>
      <w:bookmarkStart w:id="11" w:name="_Toc22897641"/>
      <w:bookmarkStart w:id="12" w:name="_Toc49758142"/>
      <w:r w:rsidRPr="00B42397">
        <w:lastRenderedPageBreak/>
        <w:t>Comparative effectiveness</w:t>
      </w:r>
      <w:bookmarkEnd w:id="11"/>
      <w:bookmarkEnd w:id="12"/>
    </w:p>
    <w:p w14:paraId="3494DAFE" w14:textId="77777777" w:rsidR="00E92374" w:rsidRPr="00B42397" w:rsidRDefault="001F5659" w:rsidP="00E92374">
      <w:pPr>
        <w:pStyle w:val="3-BodyText"/>
        <w:numPr>
          <w:ilvl w:val="0"/>
          <w:numId w:val="0"/>
        </w:numPr>
        <w:ind w:left="720" w:hanging="720"/>
        <w:rPr>
          <w:u w:val="single"/>
        </w:rPr>
      </w:pPr>
      <w:proofErr w:type="spellStart"/>
      <w:r w:rsidRPr="00B42397">
        <w:rPr>
          <w:u w:val="single"/>
        </w:rPr>
        <w:t>ELd</w:t>
      </w:r>
      <w:proofErr w:type="spellEnd"/>
      <w:r w:rsidR="00E92374" w:rsidRPr="00B42397">
        <w:rPr>
          <w:u w:val="single"/>
        </w:rPr>
        <w:t xml:space="preserve"> versus </w:t>
      </w:r>
      <w:proofErr w:type="spellStart"/>
      <w:proofErr w:type="gramStart"/>
      <w:r w:rsidRPr="00B42397">
        <w:rPr>
          <w:u w:val="single"/>
        </w:rPr>
        <w:t>Ld</w:t>
      </w:r>
      <w:proofErr w:type="spellEnd"/>
      <w:proofErr w:type="gramEnd"/>
      <w:r w:rsidR="00E92374" w:rsidRPr="00B42397">
        <w:rPr>
          <w:u w:val="single"/>
        </w:rPr>
        <w:t xml:space="preserve"> (ELOQUENT-2 trial)</w:t>
      </w:r>
    </w:p>
    <w:p w14:paraId="4DA2113F" w14:textId="77777777" w:rsidR="0082304A" w:rsidRPr="00B42397" w:rsidRDefault="00604A87" w:rsidP="007D07A5">
      <w:pPr>
        <w:pStyle w:val="3-BodyText"/>
        <w:rPr>
          <w:rStyle w:val="CommentReference"/>
          <w:rFonts w:asciiTheme="minorHAnsi" w:hAnsiTheme="minorHAnsi"/>
          <w:b w:val="0"/>
          <w:color w:val="000000" w:themeColor="text1"/>
          <w:sz w:val="24"/>
          <w:szCs w:val="24"/>
        </w:rPr>
      </w:pPr>
      <w:r w:rsidRPr="00B42397">
        <w:rPr>
          <w:snapToGrid/>
          <w:color w:val="000000" w:themeColor="text1"/>
        </w:rPr>
        <w:t xml:space="preserve">The summary of survival outcomes </w:t>
      </w:r>
      <w:r w:rsidR="00A315D7" w:rsidRPr="00B42397">
        <w:rPr>
          <w:snapToGrid/>
          <w:color w:val="000000" w:themeColor="text1"/>
        </w:rPr>
        <w:t xml:space="preserve">in </w:t>
      </w:r>
      <w:r w:rsidR="007633DE" w:rsidRPr="00B42397">
        <w:rPr>
          <w:snapToGrid/>
          <w:color w:val="000000" w:themeColor="text1"/>
        </w:rPr>
        <w:t xml:space="preserve">ELOQUENT-2 is </w:t>
      </w:r>
      <w:r w:rsidR="007D07A5" w:rsidRPr="00B42397">
        <w:rPr>
          <w:snapToGrid/>
          <w:color w:val="000000" w:themeColor="text1"/>
        </w:rPr>
        <w:t xml:space="preserve">presented </w:t>
      </w:r>
      <w:r w:rsidR="007633DE" w:rsidRPr="00B42397">
        <w:rPr>
          <w:snapToGrid/>
          <w:color w:val="000000" w:themeColor="text1"/>
        </w:rPr>
        <w:t xml:space="preserve">in Table </w:t>
      </w:r>
      <w:r w:rsidR="00421BB2" w:rsidRPr="00B42397">
        <w:rPr>
          <w:snapToGrid/>
          <w:color w:val="000000" w:themeColor="text1"/>
        </w:rPr>
        <w:t>4</w:t>
      </w:r>
      <w:r w:rsidR="007633DE" w:rsidRPr="00B42397">
        <w:rPr>
          <w:snapToGrid/>
          <w:color w:val="000000" w:themeColor="text1"/>
        </w:rPr>
        <w:t xml:space="preserve">, with the corresponding Kaplan-Meier plots reported in Figure </w:t>
      </w:r>
      <w:r w:rsidR="007E1C24" w:rsidRPr="00B42397">
        <w:rPr>
          <w:snapToGrid/>
          <w:color w:val="000000" w:themeColor="text1"/>
        </w:rPr>
        <w:t>2</w:t>
      </w:r>
      <w:r w:rsidR="007633DE" w:rsidRPr="00B42397">
        <w:rPr>
          <w:snapToGrid/>
          <w:color w:val="000000" w:themeColor="text1"/>
        </w:rPr>
        <w:t>.</w:t>
      </w:r>
      <w:r w:rsidR="00A315D7" w:rsidRPr="00B42397">
        <w:rPr>
          <w:snapToGrid/>
          <w:color w:val="000000" w:themeColor="text1"/>
        </w:rPr>
        <w:t xml:space="preserve"> As noted in the submission, p</w:t>
      </w:r>
      <w:r w:rsidR="000B4A69" w:rsidRPr="00B42397">
        <w:rPr>
          <w:snapToGrid/>
          <w:color w:val="000000" w:themeColor="text1"/>
        </w:rPr>
        <w:t>atients</w:t>
      </w:r>
      <w:r w:rsidR="00A315D7" w:rsidRPr="00B42397">
        <w:rPr>
          <w:snapToGrid/>
          <w:color w:val="000000" w:themeColor="text1"/>
        </w:rPr>
        <w:t xml:space="preserve"> </w:t>
      </w:r>
      <w:r w:rsidR="000B4A69" w:rsidRPr="00B42397">
        <w:rPr>
          <w:snapToGrid/>
          <w:color w:val="000000" w:themeColor="text1"/>
        </w:rPr>
        <w:t xml:space="preserve">in the </w:t>
      </w:r>
      <w:proofErr w:type="spellStart"/>
      <w:r w:rsidR="001F5659" w:rsidRPr="00B42397">
        <w:rPr>
          <w:snapToGrid/>
          <w:color w:val="000000" w:themeColor="text1"/>
        </w:rPr>
        <w:t>ELd</w:t>
      </w:r>
      <w:proofErr w:type="spellEnd"/>
      <w:r w:rsidR="000B4A69" w:rsidRPr="00B42397">
        <w:rPr>
          <w:snapToGrid/>
          <w:color w:val="000000" w:themeColor="text1"/>
        </w:rPr>
        <w:t xml:space="preserve"> arm had statistically significantly longer </w:t>
      </w:r>
      <w:r w:rsidR="008E7B46" w:rsidRPr="00B42397">
        <w:rPr>
          <w:snapToGrid/>
          <w:color w:val="000000" w:themeColor="text1"/>
        </w:rPr>
        <w:t>progression free survival (</w:t>
      </w:r>
      <w:r w:rsidR="000B4A69" w:rsidRPr="00B42397">
        <w:rPr>
          <w:snapToGrid/>
          <w:color w:val="000000" w:themeColor="text1"/>
        </w:rPr>
        <w:t>PFS</w:t>
      </w:r>
      <w:r w:rsidR="008E7B46" w:rsidRPr="00B42397">
        <w:rPr>
          <w:snapToGrid/>
          <w:color w:val="000000" w:themeColor="text1"/>
        </w:rPr>
        <w:t>)</w:t>
      </w:r>
      <w:r w:rsidR="000B4A69" w:rsidRPr="00B42397">
        <w:rPr>
          <w:snapToGrid/>
          <w:color w:val="000000" w:themeColor="text1"/>
        </w:rPr>
        <w:t xml:space="preserve"> and </w:t>
      </w:r>
      <w:r w:rsidR="008E7B46" w:rsidRPr="00B42397">
        <w:rPr>
          <w:snapToGrid/>
          <w:color w:val="000000" w:themeColor="text1"/>
        </w:rPr>
        <w:t>overall survival (</w:t>
      </w:r>
      <w:r w:rsidR="000B4A69" w:rsidRPr="00B42397">
        <w:rPr>
          <w:snapToGrid/>
          <w:color w:val="000000" w:themeColor="text1"/>
        </w:rPr>
        <w:t>OS</w:t>
      </w:r>
      <w:r w:rsidR="008E7B46" w:rsidRPr="00B42397">
        <w:rPr>
          <w:snapToGrid/>
          <w:color w:val="000000" w:themeColor="text1"/>
        </w:rPr>
        <w:t xml:space="preserve">) </w:t>
      </w:r>
      <w:r w:rsidR="000B4A69" w:rsidRPr="00B42397">
        <w:rPr>
          <w:snapToGrid/>
          <w:color w:val="000000" w:themeColor="text1"/>
        </w:rPr>
        <w:t xml:space="preserve">compared to </w:t>
      </w:r>
      <w:r w:rsidR="001F5659" w:rsidRPr="00B42397">
        <w:rPr>
          <w:snapToGrid/>
          <w:color w:val="000000" w:themeColor="text1"/>
        </w:rPr>
        <w:t>Ld</w:t>
      </w:r>
      <w:r w:rsidR="000B4A69" w:rsidRPr="00B42397">
        <w:rPr>
          <w:snapToGrid/>
          <w:color w:val="000000" w:themeColor="text1"/>
        </w:rPr>
        <w:t xml:space="preserve">. </w:t>
      </w:r>
      <w:r w:rsidR="009977AE" w:rsidRPr="00B42397">
        <w:rPr>
          <w:iCs/>
          <w:snapToGrid/>
          <w:color w:val="000000" w:themeColor="text1"/>
        </w:rPr>
        <w:t>The results</w:t>
      </w:r>
      <w:r w:rsidR="0023722B" w:rsidRPr="00B42397">
        <w:rPr>
          <w:iCs/>
          <w:snapToGrid/>
          <w:color w:val="000000" w:themeColor="text1"/>
        </w:rPr>
        <w:t xml:space="preserve"> did not change </w:t>
      </w:r>
      <w:r w:rsidR="00D871D2" w:rsidRPr="00B42397">
        <w:rPr>
          <w:iCs/>
          <w:snapToGrid/>
          <w:color w:val="000000" w:themeColor="text1"/>
        </w:rPr>
        <w:t>substantially</w:t>
      </w:r>
      <w:r w:rsidR="009977AE" w:rsidRPr="00B42397">
        <w:rPr>
          <w:iCs/>
          <w:snapToGrid/>
          <w:color w:val="000000" w:themeColor="text1"/>
        </w:rPr>
        <w:t xml:space="preserve"> between the two data-cuts</w:t>
      </w:r>
      <w:r w:rsidR="00944AFA" w:rsidRPr="00B42397">
        <w:rPr>
          <w:rStyle w:val="CommentReference"/>
          <w:rFonts w:asciiTheme="minorHAnsi" w:hAnsiTheme="minorHAnsi"/>
          <w:b w:val="0"/>
          <w:color w:val="000000" w:themeColor="text1"/>
          <w:sz w:val="24"/>
          <w:szCs w:val="24"/>
        </w:rPr>
        <w:t>.</w:t>
      </w:r>
      <w:r w:rsidR="0016639E" w:rsidRPr="00B42397">
        <w:rPr>
          <w:rStyle w:val="CommentReference"/>
          <w:rFonts w:asciiTheme="minorHAnsi" w:hAnsiTheme="minorHAnsi"/>
          <w:b w:val="0"/>
          <w:color w:val="000000" w:themeColor="text1"/>
          <w:sz w:val="24"/>
          <w:szCs w:val="24"/>
        </w:rPr>
        <w:t xml:space="preserve"> </w:t>
      </w:r>
    </w:p>
    <w:p w14:paraId="5D7C88F5" w14:textId="77777777" w:rsidR="005D26B4" w:rsidRPr="00B42397" w:rsidRDefault="00173565" w:rsidP="00EC5836">
      <w:pPr>
        <w:pStyle w:val="TableFigureHeading"/>
        <w:rPr>
          <w:rStyle w:val="CommentReference"/>
          <w:b/>
          <w:szCs w:val="24"/>
        </w:rPr>
      </w:pPr>
      <w:r w:rsidRPr="00B42397">
        <w:rPr>
          <w:rStyle w:val="CommentReference"/>
          <w:b/>
          <w:szCs w:val="24"/>
        </w:rPr>
        <w:t xml:space="preserve">Table </w:t>
      </w:r>
      <w:r w:rsidR="00421BB2" w:rsidRPr="00B42397">
        <w:rPr>
          <w:rStyle w:val="CommentReference"/>
          <w:b/>
          <w:szCs w:val="24"/>
        </w:rPr>
        <w:t>4</w:t>
      </w:r>
      <w:r w:rsidR="005D26B4" w:rsidRPr="00B42397">
        <w:rPr>
          <w:rStyle w:val="CommentReference"/>
          <w:b/>
          <w:szCs w:val="24"/>
        </w:rPr>
        <w:t xml:space="preserve">: Results of </w:t>
      </w:r>
      <w:r w:rsidR="007633DE" w:rsidRPr="00B42397">
        <w:rPr>
          <w:rStyle w:val="CommentReference"/>
          <w:b/>
          <w:szCs w:val="24"/>
        </w:rPr>
        <w:t>PFS and OS</w:t>
      </w:r>
      <w:r w:rsidR="005D26B4" w:rsidRPr="00B42397">
        <w:rPr>
          <w:rStyle w:val="CommentReference"/>
          <w:b/>
          <w:szCs w:val="24"/>
        </w:rPr>
        <w:t xml:space="preserve"> across the trials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9"/>
        <w:gridCol w:w="1103"/>
        <w:gridCol w:w="1122"/>
        <w:gridCol w:w="1135"/>
        <w:gridCol w:w="1133"/>
        <w:gridCol w:w="990"/>
        <w:gridCol w:w="852"/>
        <w:gridCol w:w="1133"/>
      </w:tblGrid>
      <w:tr w:rsidR="007633DE" w:rsidRPr="00B42397" w14:paraId="052DC20E" w14:textId="77777777" w:rsidTr="0090166A">
        <w:trPr>
          <w:trHeight w:val="113"/>
          <w:tblHeader/>
        </w:trPr>
        <w:tc>
          <w:tcPr>
            <w:tcW w:w="881" w:type="pct"/>
            <w:vMerge w:val="restart"/>
            <w:tcBorders>
              <w:top w:val="single" w:sz="4" w:space="0" w:color="auto"/>
              <w:left w:val="single" w:sz="4" w:space="0" w:color="auto"/>
              <w:right w:val="single" w:sz="4" w:space="0" w:color="auto"/>
            </w:tcBorders>
            <w:hideMark/>
          </w:tcPr>
          <w:p w14:paraId="0D9F0E80" w14:textId="77777777" w:rsidR="007633DE" w:rsidRPr="00B42397" w:rsidRDefault="007633DE" w:rsidP="00A315D7">
            <w:pPr>
              <w:keepNext/>
              <w:keepLines/>
              <w:jc w:val="left"/>
              <w:rPr>
                <w:rFonts w:ascii="Arial Narrow" w:eastAsia="TimesNewRoman" w:hAnsi="Arial Narrow" w:cs="Times New Roman"/>
                <w:b/>
                <w:color w:val="000000"/>
                <w:sz w:val="20"/>
                <w:szCs w:val="20"/>
              </w:rPr>
            </w:pPr>
          </w:p>
        </w:tc>
        <w:tc>
          <w:tcPr>
            <w:tcW w:w="1227" w:type="pct"/>
            <w:gridSpan w:val="2"/>
            <w:tcBorders>
              <w:top w:val="single" w:sz="4" w:space="0" w:color="auto"/>
              <w:left w:val="single" w:sz="4" w:space="0" w:color="auto"/>
              <w:right w:val="single" w:sz="4" w:space="0" w:color="auto"/>
            </w:tcBorders>
          </w:tcPr>
          <w:p w14:paraId="29FC02C4" w14:textId="77777777" w:rsidR="007633DE" w:rsidRPr="00B42397" w:rsidRDefault="001F5659" w:rsidP="00A315D7">
            <w:pPr>
              <w:keepNext/>
              <w:keepLines/>
              <w:jc w:val="center"/>
              <w:rPr>
                <w:rFonts w:ascii="Arial Narrow" w:eastAsia="TimesNewRoman" w:hAnsi="Arial Narrow" w:cs="Times New Roman"/>
                <w:b/>
                <w:color w:val="000000"/>
                <w:sz w:val="20"/>
                <w:szCs w:val="20"/>
              </w:rPr>
            </w:pPr>
            <w:proofErr w:type="spellStart"/>
            <w:r w:rsidRPr="00B42397">
              <w:rPr>
                <w:rFonts w:ascii="Arial Narrow" w:eastAsia="TimesNewRoman" w:hAnsi="Arial Narrow" w:cs="Times New Roman"/>
                <w:b/>
                <w:color w:val="000000"/>
                <w:sz w:val="20"/>
                <w:szCs w:val="20"/>
              </w:rPr>
              <w:t>ELd</w:t>
            </w:r>
            <w:proofErr w:type="spellEnd"/>
          </w:p>
        </w:tc>
        <w:tc>
          <w:tcPr>
            <w:tcW w:w="1251" w:type="pct"/>
            <w:gridSpan w:val="2"/>
            <w:tcBorders>
              <w:top w:val="single" w:sz="4" w:space="0" w:color="auto"/>
              <w:left w:val="single" w:sz="4" w:space="0" w:color="auto"/>
              <w:right w:val="single" w:sz="4" w:space="0" w:color="auto"/>
            </w:tcBorders>
          </w:tcPr>
          <w:p w14:paraId="4402F0DF" w14:textId="77777777" w:rsidR="007633DE" w:rsidRPr="00B42397" w:rsidRDefault="001F5659" w:rsidP="00A315D7">
            <w:pPr>
              <w:keepNext/>
              <w:keepLines/>
              <w:jc w:val="center"/>
              <w:rPr>
                <w:rFonts w:ascii="Arial Narrow" w:eastAsia="TimesNewRoman" w:hAnsi="Arial Narrow" w:cs="Times New Roman"/>
                <w:b/>
                <w:color w:val="000000"/>
                <w:sz w:val="20"/>
                <w:szCs w:val="20"/>
              </w:rPr>
            </w:pPr>
            <w:proofErr w:type="spellStart"/>
            <w:r w:rsidRPr="00B42397">
              <w:rPr>
                <w:rFonts w:ascii="Arial Narrow" w:eastAsia="TimesNewRoman" w:hAnsi="Arial Narrow" w:cs="Times New Roman"/>
                <w:b/>
                <w:color w:val="000000"/>
                <w:sz w:val="20"/>
                <w:szCs w:val="20"/>
              </w:rPr>
              <w:t>Ld</w:t>
            </w:r>
            <w:proofErr w:type="spellEnd"/>
          </w:p>
        </w:tc>
        <w:tc>
          <w:tcPr>
            <w:tcW w:w="546" w:type="pct"/>
            <w:vMerge w:val="restart"/>
            <w:tcBorders>
              <w:top w:val="single" w:sz="4" w:space="0" w:color="auto"/>
              <w:left w:val="single" w:sz="4" w:space="0" w:color="auto"/>
              <w:right w:val="single" w:sz="4" w:space="0" w:color="auto"/>
            </w:tcBorders>
          </w:tcPr>
          <w:p w14:paraId="3FDF626B" w14:textId="77777777" w:rsidR="007633DE" w:rsidRPr="00B42397" w:rsidRDefault="007633DE" w:rsidP="00A315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Difference in median, months</w:t>
            </w:r>
          </w:p>
        </w:tc>
        <w:tc>
          <w:tcPr>
            <w:tcW w:w="470" w:type="pct"/>
            <w:vMerge w:val="restart"/>
            <w:tcBorders>
              <w:top w:val="single" w:sz="4" w:space="0" w:color="auto"/>
              <w:left w:val="single" w:sz="4" w:space="0" w:color="auto"/>
              <w:right w:val="single" w:sz="4" w:space="0" w:color="auto"/>
            </w:tcBorders>
          </w:tcPr>
          <w:p w14:paraId="77CF80AE" w14:textId="77777777" w:rsidR="007633DE" w:rsidRPr="00B42397" w:rsidRDefault="007633DE" w:rsidP="00A315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 value</w:t>
            </w:r>
            <w:r w:rsidR="000B4A69" w:rsidRPr="00B42397">
              <w:rPr>
                <w:rFonts w:ascii="Arial Narrow" w:eastAsia="TimesNewRoman" w:hAnsi="Arial Narrow" w:cs="Times New Roman"/>
                <w:color w:val="000000"/>
                <w:sz w:val="20"/>
                <w:szCs w:val="20"/>
                <w:vertAlign w:val="superscript"/>
              </w:rPr>
              <w:t xml:space="preserve"> a</w:t>
            </w:r>
            <w:r w:rsidRPr="00B42397">
              <w:rPr>
                <w:rFonts w:ascii="Arial Narrow" w:eastAsia="TimesNewRoman" w:hAnsi="Arial Narrow" w:cs="Times New Roman"/>
                <w:b/>
                <w:color w:val="000000"/>
                <w:sz w:val="20"/>
                <w:szCs w:val="20"/>
              </w:rPr>
              <w:t xml:space="preserve"> (log rank test)</w:t>
            </w:r>
          </w:p>
        </w:tc>
        <w:tc>
          <w:tcPr>
            <w:tcW w:w="625" w:type="pct"/>
            <w:vMerge w:val="restart"/>
            <w:tcBorders>
              <w:top w:val="single" w:sz="4" w:space="0" w:color="auto"/>
              <w:left w:val="single" w:sz="4" w:space="0" w:color="auto"/>
              <w:right w:val="single" w:sz="4" w:space="0" w:color="auto"/>
            </w:tcBorders>
            <w:vAlign w:val="center"/>
          </w:tcPr>
          <w:p w14:paraId="6E887CEF" w14:textId="77777777" w:rsidR="007633DE" w:rsidRPr="00B42397" w:rsidRDefault="007633DE" w:rsidP="00A315D7">
            <w:pPr>
              <w:keepNext/>
              <w:keepLines/>
              <w:jc w:val="center"/>
              <w:rPr>
                <w:rFonts w:ascii="Arial Narrow" w:eastAsia="TimesNewRoman" w:hAnsi="Arial Narrow" w:cs="Times New Roman"/>
                <w:b/>
                <w:color w:val="000000"/>
                <w:sz w:val="20"/>
                <w:szCs w:val="20"/>
                <w:vertAlign w:val="superscript"/>
              </w:rPr>
            </w:pPr>
            <w:r w:rsidRPr="00B42397">
              <w:rPr>
                <w:rFonts w:ascii="Arial Narrow" w:eastAsia="TimesNewRoman" w:hAnsi="Arial Narrow" w:cs="Times New Roman"/>
                <w:b/>
                <w:color w:val="000000"/>
                <w:sz w:val="20"/>
                <w:szCs w:val="20"/>
              </w:rPr>
              <w:t>HR</w:t>
            </w:r>
            <w:r w:rsidR="000B4A69" w:rsidRPr="00B42397">
              <w:rPr>
                <w:rFonts w:ascii="Arial Narrow" w:eastAsia="TimesNewRoman" w:hAnsi="Arial Narrow" w:cs="Times New Roman"/>
                <w:color w:val="000000"/>
                <w:sz w:val="20"/>
                <w:szCs w:val="20"/>
                <w:vertAlign w:val="superscript"/>
              </w:rPr>
              <w:t xml:space="preserve"> b</w:t>
            </w:r>
            <w:r w:rsidRPr="00B42397">
              <w:rPr>
                <w:rFonts w:ascii="Arial Narrow" w:eastAsia="TimesNewRoman" w:hAnsi="Arial Narrow" w:cs="Times New Roman"/>
                <w:b/>
                <w:color w:val="000000"/>
                <w:sz w:val="20"/>
                <w:szCs w:val="20"/>
              </w:rPr>
              <w:br/>
              <w:t>(95% CI)</w:t>
            </w:r>
          </w:p>
        </w:tc>
      </w:tr>
      <w:tr w:rsidR="007633DE" w:rsidRPr="00B42397" w14:paraId="6F91C3BE" w14:textId="77777777" w:rsidTr="0090166A">
        <w:trPr>
          <w:trHeight w:val="113"/>
          <w:tblHeader/>
        </w:trPr>
        <w:tc>
          <w:tcPr>
            <w:tcW w:w="881" w:type="pct"/>
            <w:vMerge/>
            <w:tcBorders>
              <w:left w:val="single" w:sz="4" w:space="0" w:color="auto"/>
              <w:bottom w:val="single" w:sz="4" w:space="0" w:color="auto"/>
              <w:right w:val="single" w:sz="4" w:space="0" w:color="auto"/>
            </w:tcBorders>
          </w:tcPr>
          <w:p w14:paraId="477A55D9" w14:textId="77777777" w:rsidR="007633DE" w:rsidRPr="00B42397" w:rsidRDefault="007633DE" w:rsidP="00A315D7">
            <w:pPr>
              <w:keepNext/>
              <w:keepLines/>
              <w:jc w:val="left"/>
              <w:rPr>
                <w:rFonts w:ascii="Arial Narrow" w:eastAsia="TimesNewRoman" w:hAnsi="Arial Narrow" w:cs="Times New Roman"/>
                <w:color w:val="000000"/>
                <w:sz w:val="20"/>
                <w:szCs w:val="20"/>
              </w:rPr>
            </w:pPr>
          </w:p>
        </w:tc>
        <w:tc>
          <w:tcPr>
            <w:tcW w:w="608" w:type="pct"/>
            <w:tcBorders>
              <w:top w:val="single" w:sz="4" w:space="0" w:color="auto"/>
              <w:left w:val="single" w:sz="4" w:space="0" w:color="auto"/>
              <w:bottom w:val="single" w:sz="4" w:space="0" w:color="auto"/>
              <w:right w:val="single" w:sz="4" w:space="0" w:color="auto"/>
            </w:tcBorders>
          </w:tcPr>
          <w:p w14:paraId="3B3C399A" w14:textId="77777777" w:rsidR="007633DE" w:rsidRPr="00B42397" w:rsidRDefault="007633DE" w:rsidP="00A315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Patients with events, n (%)</w:t>
            </w:r>
          </w:p>
        </w:tc>
        <w:tc>
          <w:tcPr>
            <w:tcW w:w="619" w:type="pct"/>
            <w:tcBorders>
              <w:top w:val="single" w:sz="4" w:space="0" w:color="auto"/>
              <w:left w:val="single" w:sz="4" w:space="0" w:color="auto"/>
              <w:bottom w:val="single" w:sz="4" w:space="0" w:color="auto"/>
              <w:right w:val="single" w:sz="4" w:space="0" w:color="auto"/>
            </w:tcBorders>
          </w:tcPr>
          <w:p w14:paraId="107AA5A3" w14:textId="77777777" w:rsidR="007633DE" w:rsidRPr="00B42397" w:rsidRDefault="007633DE" w:rsidP="00A315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 xml:space="preserve">Median, </w:t>
            </w:r>
            <w:r w:rsidR="0090166A" w:rsidRPr="00B42397">
              <w:rPr>
                <w:rFonts w:ascii="Arial Narrow" w:eastAsia="TimesNewRoman" w:hAnsi="Arial Narrow" w:cs="Times New Roman"/>
                <w:b/>
                <w:color w:val="000000"/>
                <w:sz w:val="20"/>
                <w:szCs w:val="20"/>
              </w:rPr>
              <w:br/>
            </w:r>
            <w:r w:rsidRPr="00B42397">
              <w:rPr>
                <w:rFonts w:ascii="Arial Narrow" w:eastAsia="TimesNewRoman" w:hAnsi="Arial Narrow" w:cs="Times New Roman"/>
                <w:b/>
                <w:color w:val="000000"/>
                <w:sz w:val="20"/>
                <w:szCs w:val="20"/>
              </w:rPr>
              <w:t>months</w:t>
            </w:r>
            <w:r w:rsidRPr="00B42397">
              <w:rPr>
                <w:rFonts w:ascii="Arial Narrow" w:eastAsia="TimesNewRoman" w:hAnsi="Arial Narrow" w:cs="Times New Roman"/>
                <w:b/>
                <w:color w:val="000000"/>
                <w:sz w:val="20"/>
                <w:szCs w:val="20"/>
              </w:rPr>
              <w:br/>
              <w:t>(95% CI)</w:t>
            </w:r>
          </w:p>
        </w:tc>
        <w:tc>
          <w:tcPr>
            <w:tcW w:w="626" w:type="pct"/>
            <w:tcBorders>
              <w:top w:val="single" w:sz="4" w:space="0" w:color="auto"/>
              <w:left w:val="single" w:sz="4" w:space="0" w:color="auto"/>
              <w:bottom w:val="single" w:sz="4" w:space="0" w:color="auto"/>
              <w:right w:val="single" w:sz="4" w:space="0" w:color="auto"/>
            </w:tcBorders>
          </w:tcPr>
          <w:p w14:paraId="4C3105C7" w14:textId="77777777" w:rsidR="007633DE" w:rsidRPr="00B42397" w:rsidRDefault="007633DE" w:rsidP="00A315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Patients with events, n (%)</w:t>
            </w:r>
          </w:p>
        </w:tc>
        <w:tc>
          <w:tcPr>
            <w:tcW w:w="625" w:type="pct"/>
            <w:tcBorders>
              <w:top w:val="single" w:sz="4" w:space="0" w:color="auto"/>
              <w:left w:val="single" w:sz="4" w:space="0" w:color="auto"/>
              <w:bottom w:val="single" w:sz="4" w:space="0" w:color="auto"/>
              <w:right w:val="single" w:sz="4" w:space="0" w:color="auto"/>
            </w:tcBorders>
          </w:tcPr>
          <w:p w14:paraId="0FB7798A" w14:textId="77777777" w:rsidR="007633DE" w:rsidRPr="00B42397" w:rsidRDefault="007633DE" w:rsidP="00A315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 xml:space="preserve">Median, </w:t>
            </w:r>
            <w:r w:rsidR="0090166A" w:rsidRPr="00B42397">
              <w:rPr>
                <w:rFonts w:ascii="Arial Narrow" w:eastAsia="TimesNewRoman" w:hAnsi="Arial Narrow" w:cs="Times New Roman"/>
                <w:b/>
                <w:color w:val="000000"/>
                <w:sz w:val="20"/>
                <w:szCs w:val="20"/>
              </w:rPr>
              <w:br/>
            </w:r>
            <w:r w:rsidRPr="00B42397">
              <w:rPr>
                <w:rFonts w:ascii="Arial Narrow" w:eastAsia="TimesNewRoman" w:hAnsi="Arial Narrow" w:cs="Times New Roman"/>
                <w:b/>
                <w:color w:val="000000"/>
                <w:sz w:val="20"/>
                <w:szCs w:val="20"/>
              </w:rPr>
              <w:t>months</w:t>
            </w:r>
            <w:r w:rsidRPr="00B42397">
              <w:rPr>
                <w:rFonts w:ascii="Arial Narrow" w:eastAsia="TimesNewRoman" w:hAnsi="Arial Narrow" w:cs="Times New Roman"/>
                <w:b/>
                <w:color w:val="000000"/>
                <w:sz w:val="20"/>
                <w:szCs w:val="20"/>
              </w:rPr>
              <w:br/>
              <w:t>(95% CI)</w:t>
            </w:r>
          </w:p>
        </w:tc>
        <w:tc>
          <w:tcPr>
            <w:tcW w:w="546" w:type="pct"/>
            <w:vMerge/>
            <w:tcBorders>
              <w:left w:val="single" w:sz="4" w:space="0" w:color="auto"/>
              <w:bottom w:val="single" w:sz="4" w:space="0" w:color="auto"/>
              <w:right w:val="single" w:sz="4" w:space="0" w:color="auto"/>
            </w:tcBorders>
          </w:tcPr>
          <w:p w14:paraId="0CBE593C" w14:textId="77777777" w:rsidR="007633DE" w:rsidRPr="00B42397" w:rsidRDefault="007633DE" w:rsidP="00A315D7">
            <w:pPr>
              <w:keepNext/>
              <w:keepLines/>
              <w:jc w:val="center"/>
              <w:rPr>
                <w:rFonts w:ascii="Arial Narrow" w:eastAsia="TimesNewRoman" w:hAnsi="Arial Narrow" w:cs="Times New Roman"/>
                <w:color w:val="000000"/>
                <w:sz w:val="20"/>
                <w:szCs w:val="20"/>
              </w:rPr>
            </w:pPr>
          </w:p>
        </w:tc>
        <w:tc>
          <w:tcPr>
            <w:tcW w:w="470" w:type="pct"/>
            <w:vMerge/>
            <w:tcBorders>
              <w:left w:val="single" w:sz="4" w:space="0" w:color="auto"/>
              <w:bottom w:val="single" w:sz="4" w:space="0" w:color="auto"/>
              <w:right w:val="single" w:sz="4" w:space="0" w:color="auto"/>
            </w:tcBorders>
          </w:tcPr>
          <w:p w14:paraId="7D720BD0" w14:textId="77777777" w:rsidR="007633DE" w:rsidRPr="00B42397" w:rsidRDefault="007633DE" w:rsidP="00A315D7">
            <w:pPr>
              <w:keepNext/>
              <w:keepLines/>
              <w:jc w:val="center"/>
              <w:rPr>
                <w:rFonts w:ascii="Arial Narrow" w:eastAsia="TimesNewRoman" w:hAnsi="Arial Narrow" w:cs="Times New Roman"/>
                <w:color w:val="000000"/>
                <w:sz w:val="20"/>
                <w:szCs w:val="20"/>
              </w:rPr>
            </w:pPr>
          </w:p>
        </w:tc>
        <w:tc>
          <w:tcPr>
            <w:tcW w:w="625" w:type="pct"/>
            <w:vMerge/>
            <w:tcBorders>
              <w:left w:val="single" w:sz="4" w:space="0" w:color="auto"/>
              <w:bottom w:val="single" w:sz="4" w:space="0" w:color="auto"/>
              <w:right w:val="single" w:sz="4" w:space="0" w:color="auto"/>
            </w:tcBorders>
          </w:tcPr>
          <w:p w14:paraId="1B3C3389" w14:textId="77777777" w:rsidR="007633DE" w:rsidRPr="00B42397" w:rsidRDefault="007633DE" w:rsidP="00A315D7">
            <w:pPr>
              <w:keepNext/>
              <w:keepLines/>
              <w:jc w:val="center"/>
              <w:rPr>
                <w:rFonts w:ascii="Arial Narrow" w:eastAsia="TimesNewRoman" w:hAnsi="Arial Narrow" w:cs="Times New Roman"/>
                <w:color w:val="000000"/>
                <w:sz w:val="20"/>
                <w:szCs w:val="20"/>
              </w:rPr>
            </w:pPr>
          </w:p>
        </w:tc>
      </w:tr>
      <w:tr w:rsidR="007633DE" w:rsidRPr="00B42397" w14:paraId="512FD94D" w14:textId="77777777" w:rsidTr="0090166A">
        <w:trPr>
          <w:trHeight w:val="113"/>
        </w:trPr>
        <w:tc>
          <w:tcPr>
            <w:tcW w:w="5000" w:type="pct"/>
            <w:gridSpan w:val="8"/>
            <w:tcBorders>
              <w:top w:val="single" w:sz="4" w:space="0" w:color="auto"/>
              <w:left w:val="single" w:sz="4" w:space="0" w:color="auto"/>
              <w:bottom w:val="single" w:sz="4" w:space="0" w:color="auto"/>
              <w:right w:val="single" w:sz="4" w:space="0" w:color="auto"/>
            </w:tcBorders>
          </w:tcPr>
          <w:p w14:paraId="460F39F9" w14:textId="77777777" w:rsidR="007633DE" w:rsidRPr="00B42397" w:rsidRDefault="007633DE" w:rsidP="00A315D7">
            <w:pPr>
              <w:keepNext/>
              <w:keepLines/>
              <w:jc w:val="left"/>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PFS</w:t>
            </w:r>
          </w:p>
        </w:tc>
      </w:tr>
      <w:tr w:rsidR="007633DE" w:rsidRPr="00B42397" w14:paraId="434F3484" w14:textId="77777777" w:rsidTr="0090166A">
        <w:trPr>
          <w:trHeight w:val="113"/>
        </w:trPr>
        <w:tc>
          <w:tcPr>
            <w:tcW w:w="881" w:type="pct"/>
            <w:tcBorders>
              <w:top w:val="single" w:sz="4" w:space="0" w:color="auto"/>
              <w:left w:val="single" w:sz="4" w:space="0" w:color="auto"/>
              <w:bottom w:val="single" w:sz="4" w:space="0" w:color="auto"/>
              <w:right w:val="single" w:sz="4" w:space="0" w:color="auto"/>
            </w:tcBorders>
            <w:vAlign w:val="center"/>
          </w:tcPr>
          <w:p w14:paraId="33B042A1" w14:textId="77777777" w:rsidR="007633DE" w:rsidRPr="00B42397" w:rsidRDefault="007633DE" w:rsidP="00CC3E50">
            <w:pPr>
              <w:keepNext/>
              <w:jc w:val="left"/>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29 Oct 2014 –</w:t>
            </w:r>
            <w:r w:rsidR="000B4A69" w:rsidRPr="00B42397">
              <w:rPr>
                <w:rFonts w:ascii="Arial Narrow" w:eastAsia="TimesNewRoman" w:hAnsi="Arial Narrow" w:cs="Times New Roman"/>
                <w:color w:val="000000"/>
                <w:sz w:val="20"/>
                <w:szCs w:val="20"/>
              </w:rPr>
              <w:t xml:space="preserve"> ITT (</w:t>
            </w:r>
            <w:r w:rsidRPr="00B42397">
              <w:rPr>
                <w:rFonts w:ascii="Arial Narrow" w:eastAsia="TimesNewRoman" w:hAnsi="Arial Narrow" w:cs="Times New Roman"/>
                <w:color w:val="000000"/>
                <w:sz w:val="20"/>
                <w:szCs w:val="20"/>
              </w:rPr>
              <w:t>IRC</w:t>
            </w:r>
            <w:r w:rsidR="000B4A69" w:rsidRPr="00B42397">
              <w:rPr>
                <w:rFonts w:ascii="Arial Narrow" w:eastAsia="TimesNewRoman" w:hAnsi="Arial Narrow" w:cs="Times New Roman"/>
                <w:color w:val="000000"/>
                <w:sz w:val="20"/>
                <w:szCs w:val="20"/>
              </w:rPr>
              <w:t>)</w:t>
            </w:r>
          </w:p>
        </w:tc>
        <w:tc>
          <w:tcPr>
            <w:tcW w:w="608" w:type="pct"/>
            <w:tcBorders>
              <w:top w:val="single" w:sz="4" w:space="0" w:color="auto"/>
              <w:left w:val="single" w:sz="4" w:space="0" w:color="auto"/>
              <w:bottom w:val="single" w:sz="4" w:space="0" w:color="auto"/>
              <w:right w:val="single" w:sz="4" w:space="0" w:color="auto"/>
            </w:tcBorders>
            <w:vAlign w:val="center"/>
          </w:tcPr>
          <w:p w14:paraId="0BF8E44C" w14:textId="77777777" w:rsidR="007633DE" w:rsidRPr="00B42397" w:rsidRDefault="007633DE" w:rsidP="00A315D7">
            <w:pPr>
              <w:keepNext/>
              <w:jc w:val="center"/>
              <w:rPr>
                <w:rFonts w:ascii="Arial Narrow" w:eastAsia="TimesNewRoman" w:hAnsi="Arial Narrow" w:cs="Times New Roman"/>
                <w:color w:val="000000"/>
                <w:sz w:val="20"/>
                <w:szCs w:val="20"/>
              </w:rPr>
            </w:pPr>
            <w:r w:rsidRPr="00B42397">
              <w:rPr>
                <w:rFonts w:ascii="Arial Narrow" w:hAnsi="Arial Narrow"/>
                <w:sz w:val="20"/>
                <w:szCs w:val="20"/>
              </w:rPr>
              <w:t>192 (59.8%)</w:t>
            </w:r>
          </w:p>
        </w:tc>
        <w:tc>
          <w:tcPr>
            <w:tcW w:w="619" w:type="pct"/>
            <w:tcBorders>
              <w:top w:val="single" w:sz="4" w:space="0" w:color="auto"/>
              <w:left w:val="single" w:sz="4" w:space="0" w:color="auto"/>
              <w:bottom w:val="single" w:sz="4" w:space="0" w:color="auto"/>
              <w:right w:val="single" w:sz="4" w:space="0" w:color="auto"/>
            </w:tcBorders>
            <w:vAlign w:val="center"/>
          </w:tcPr>
          <w:p w14:paraId="665AE7DC" w14:textId="77777777" w:rsidR="007633DE" w:rsidRPr="00B42397" w:rsidRDefault="007633DE" w:rsidP="00A315D7">
            <w:pPr>
              <w:keepNext/>
              <w:jc w:val="center"/>
              <w:rPr>
                <w:rFonts w:ascii="Arial Narrow" w:eastAsia="TimesNewRoman" w:hAnsi="Arial Narrow" w:cs="Times New Roman"/>
                <w:color w:val="000000"/>
                <w:sz w:val="20"/>
                <w:szCs w:val="20"/>
              </w:rPr>
            </w:pPr>
            <w:r w:rsidRPr="00B42397">
              <w:rPr>
                <w:rFonts w:ascii="Arial Narrow" w:hAnsi="Arial Narrow"/>
                <w:sz w:val="20"/>
                <w:szCs w:val="20"/>
              </w:rPr>
              <w:t xml:space="preserve">18.5 </w:t>
            </w:r>
            <w:r w:rsidR="00906A3E" w:rsidRPr="00B42397">
              <w:rPr>
                <w:rFonts w:ascii="Arial Narrow" w:hAnsi="Arial Narrow"/>
                <w:sz w:val="20"/>
                <w:szCs w:val="20"/>
              </w:rPr>
              <w:br/>
            </w:r>
            <w:r w:rsidRPr="00B42397">
              <w:rPr>
                <w:rFonts w:ascii="Arial Narrow" w:hAnsi="Arial Narrow"/>
                <w:sz w:val="20"/>
                <w:szCs w:val="20"/>
              </w:rPr>
              <w:t>(16.5, 21.4)</w:t>
            </w:r>
          </w:p>
        </w:tc>
        <w:tc>
          <w:tcPr>
            <w:tcW w:w="626" w:type="pct"/>
            <w:tcBorders>
              <w:top w:val="single" w:sz="4" w:space="0" w:color="auto"/>
              <w:left w:val="single" w:sz="4" w:space="0" w:color="auto"/>
              <w:bottom w:val="single" w:sz="4" w:space="0" w:color="auto"/>
              <w:right w:val="single" w:sz="4" w:space="0" w:color="auto"/>
            </w:tcBorders>
            <w:vAlign w:val="center"/>
          </w:tcPr>
          <w:p w14:paraId="487DE23A" w14:textId="77777777" w:rsidR="007633DE" w:rsidRPr="00B42397" w:rsidRDefault="007633DE" w:rsidP="00A315D7">
            <w:pPr>
              <w:keepNext/>
              <w:jc w:val="center"/>
              <w:rPr>
                <w:rFonts w:ascii="Arial Narrow" w:eastAsia="TimesNewRoman" w:hAnsi="Arial Narrow" w:cs="Times New Roman"/>
                <w:color w:val="000000"/>
                <w:sz w:val="20"/>
                <w:szCs w:val="20"/>
              </w:rPr>
            </w:pPr>
            <w:r w:rsidRPr="00B42397">
              <w:rPr>
                <w:rFonts w:ascii="Arial Narrow" w:hAnsi="Arial Narrow"/>
                <w:sz w:val="20"/>
                <w:szCs w:val="20"/>
              </w:rPr>
              <w:t>231 (71.1%)</w:t>
            </w:r>
          </w:p>
        </w:tc>
        <w:tc>
          <w:tcPr>
            <w:tcW w:w="625" w:type="pct"/>
            <w:tcBorders>
              <w:top w:val="single" w:sz="4" w:space="0" w:color="auto"/>
              <w:left w:val="single" w:sz="4" w:space="0" w:color="auto"/>
              <w:bottom w:val="single" w:sz="4" w:space="0" w:color="auto"/>
              <w:right w:val="single" w:sz="4" w:space="0" w:color="auto"/>
            </w:tcBorders>
            <w:vAlign w:val="center"/>
          </w:tcPr>
          <w:p w14:paraId="205C95DA" w14:textId="77777777" w:rsidR="007633DE" w:rsidRPr="00B42397" w:rsidRDefault="007633DE" w:rsidP="00A315D7">
            <w:pPr>
              <w:keepNext/>
              <w:jc w:val="center"/>
              <w:rPr>
                <w:rFonts w:ascii="Arial Narrow" w:eastAsia="TimesNewRoman" w:hAnsi="Arial Narrow" w:cs="Times New Roman"/>
                <w:color w:val="000000"/>
                <w:sz w:val="20"/>
                <w:szCs w:val="20"/>
              </w:rPr>
            </w:pPr>
            <w:r w:rsidRPr="00B42397">
              <w:rPr>
                <w:rFonts w:ascii="Arial Narrow" w:hAnsi="Arial Narrow"/>
                <w:sz w:val="20"/>
                <w:szCs w:val="20"/>
              </w:rPr>
              <w:t xml:space="preserve">14.3 </w:t>
            </w:r>
            <w:r w:rsidR="00906A3E" w:rsidRPr="00B42397">
              <w:rPr>
                <w:rFonts w:ascii="Arial Narrow" w:hAnsi="Arial Narrow"/>
                <w:sz w:val="20"/>
                <w:szCs w:val="20"/>
              </w:rPr>
              <w:br/>
            </w:r>
            <w:r w:rsidRPr="00B42397">
              <w:rPr>
                <w:rFonts w:ascii="Arial Narrow" w:hAnsi="Arial Narrow"/>
                <w:sz w:val="20"/>
                <w:szCs w:val="20"/>
              </w:rPr>
              <w:t>(12.0, 16.0)</w:t>
            </w:r>
          </w:p>
        </w:tc>
        <w:tc>
          <w:tcPr>
            <w:tcW w:w="546" w:type="pct"/>
            <w:tcBorders>
              <w:top w:val="single" w:sz="4" w:space="0" w:color="auto"/>
              <w:left w:val="single" w:sz="4" w:space="0" w:color="auto"/>
              <w:bottom w:val="single" w:sz="4" w:space="0" w:color="auto"/>
              <w:right w:val="single" w:sz="4" w:space="0" w:color="auto"/>
            </w:tcBorders>
            <w:vAlign w:val="center"/>
          </w:tcPr>
          <w:p w14:paraId="1AED8A50" w14:textId="77777777" w:rsidR="007633DE" w:rsidRPr="00B42397" w:rsidRDefault="007633DE" w:rsidP="00A315D7">
            <w:pPr>
              <w:keepNext/>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4.2</w:t>
            </w:r>
          </w:p>
        </w:tc>
        <w:tc>
          <w:tcPr>
            <w:tcW w:w="470" w:type="pct"/>
            <w:tcBorders>
              <w:top w:val="single" w:sz="4" w:space="0" w:color="auto"/>
              <w:left w:val="single" w:sz="4" w:space="0" w:color="auto"/>
              <w:bottom w:val="single" w:sz="4" w:space="0" w:color="auto"/>
              <w:right w:val="single" w:sz="4" w:space="0" w:color="auto"/>
            </w:tcBorders>
            <w:vAlign w:val="center"/>
          </w:tcPr>
          <w:p w14:paraId="25DFE8CB" w14:textId="77777777" w:rsidR="007633DE" w:rsidRPr="00B42397" w:rsidRDefault="007633DE" w:rsidP="00A315D7">
            <w:pPr>
              <w:keepNext/>
              <w:jc w:val="center"/>
              <w:rPr>
                <w:rFonts w:ascii="Arial Narrow" w:eastAsia="TimesNewRoman" w:hAnsi="Arial Narrow" w:cs="Times New Roman"/>
                <w:b/>
                <w:bCs/>
                <w:color w:val="000000"/>
                <w:sz w:val="20"/>
                <w:szCs w:val="20"/>
              </w:rPr>
            </w:pPr>
            <w:r w:rsidRPr="00B42397">
              <w:rPr>
                <w:rFonts w:ascii="Arial Narrow" w:eastAsia="TimesNewRoman" w:hAnsi="Arial Narrow" w:cs="Times New Roman"/>
                <w:b/>
                <w:bCs/>
                <w:color w:val="000000"/>
                <w:sz w:val="20"/>
                <w:szCs w:val="20"/>
              </w:rPr>
              <w:t>0.0001</w:t>
            </w:r>
          </w:p>
        </w:tc>
        <w:tc>
          <w:tcPr>
            <w:tcW w:w="625" w:type="pct"/>
            <w:tcBorders>
              <w:top w:val="single" w:sz="4" w:space="0" w:color="auto"/>
              <w:left w:val="single" w:sz="4" w:space="0" w:color="auto"/>
              <w:bottom w:val="single" w:sz="4" w:space="0" w:color="auto"/>
              <w:right w:val="single" w:sz="4" w:space="0" w:color="auto"/>
            </w:tcBorders>
            <w:vAlign w:val="center"/>
          </w:tcPr>
          <w:p w14:paraId="19F28366" w14:textId="77777777" w:rsidR="000B4A69" w:rsidRPr="00B42397" w:rsidRDefault="007633DE" w:rsidP="00A315D7">
            <w:pPr>
              <w:keepNext/>
              <w:jc w:val="center"/>
              <w:rPr>
                <w:rFonts w:ascii="Arial Narrow" w:hAnsi="Arial Narrow"/>
                <w:b/>
                <w:bCs/>
                <w:sz w:val="20"/>
                <w:szCs w:val="20"/>
              </w:rPr>
            </w:pPr>
            <w:r w:rsidRPr="00B42397">
              <w:rPr>
                <w:rFonts w:ascii="Arial Narrow" w:hAnsi="Arial Narrow"/>
                <w:b/>
                <w:bCs/>
                <w:sz w:val="20"/>
                <w:szCs w:val="20"/>
              </w:rPr>
              <w:t>0.68</w:t>
            </w:r>
            <w:r w:rsidR="007714BC" w:rsidRPr="00B42397">
              <w:rPr>
                <w:rFonts w:ascii="Arial Narrow" w:hAnsi="Arial Narrow"/>
                <w:b/>
                <w:bCs/>
                <w:sz w:val="20"/>
                <w:szCs w:val="20"/>
              </w:rPr>
              <w:t xml:space="preserve"> </w:t>
            </w:r>
          </w:p>
          <w:p w14:paraId="07A796C2" w14:textId="77777777" w:rsidR="007633DE" w:rsidRPr="00B42397" w:rsidRDefault="007633DE" w:rsidP="00A315D7">
            <w:pPr>
              <w:keepNext/>
              <w:jc w:val="center"/>
              <w:rPr>
                <w:rFonts w:ascii="Arial Narrow" w:eastAsia="TimesNewRoman" w:hAnsi="Arial Narrow" w:cs="Times New Roman"/>
                <w:b/>
                <w:bCs/>
                <w:color w:val="000000"/>
                <w:sz w:val="20"/>
                <w:szCs w:val="20"/>
              </w:rPr>
            </w:pPr>
            <w:r w:rsidRPr="00B42397">
              <w:rPr>
                <w:rFonts w:ascii="Arial Narrow" w:hAnsi="Arial Narrow"/>
                <w:b/>
                <w:bCs/>
                <w:sz w:val="20"/>
                <w:szCs w:val="20"/>
              </w:rPr>
              <w:t>(0.56, 0.83)</w:t>
            </w:r>
          </w:p>
        </w:tc>
      </w:tr>
      <w:tr w:rsidR="007633DE" w:rsidRPr="00B42397" w14:paraId="72A055B2" w14:textId="77777777" w:rsidTr="0090166A">
        <w:trPr>
          <w:trHeight w:val="113"/>
        </w:trPr>
        <w:tc>
          <w:tcPr>
            <w:tcW w:w="881" w:type="pct"/>
            <w:tcBorders>
              <w:top w:val="single" w:sz="4" w:space="0" w:color="auto"/>
              <w:left w:val="single" w:sz="4" w:space="0" w:color="auto"/>
              <w:bottom w:val="single" w:sz="4" w:space="0" w:color="auto"/>
              <w:right w:val="single" w:sz="4" w:space="0" w:color="auto"/>
            </w:tcBorders>
            <w:vAlign w:val="center"/>
          </w:tcPr>
          <w:p w14:paraId="509E93F4" w14:textId="77777777" w:rsidR="007633DE" w:rsidRPr="00B42397" w:rsidRDefault="007633DE" w:rsidP="00CC3E50">
            <w:pPr>
              <w:keepNext/>
              <w:jc w:val="left"/>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 xml:space="preserve">3 Oct 2018 </w:t>
            </w:r>
            <w:r w:rsidR="000B4A69" w:rsidRPr="00B42397">
              <w:rPr>
                <w:rFonts w:ascii="Arial Narrow" w:eastAsia="TimesNewRoman" w:hAnsi="Arial Narrow" w:cs="Times New Roman"/>
                <w:color w:val="000000"/>
                <w:sz w:val="20"/>
                <w:szCs w:val="20"/>
              </w:rPr>
              <w:t>– ITT (</w:t>
            </w:r>
            <w:r w:rsidRPr="00B42397">
              <w:rPr>
                <w:rFonts w:ascii="Arial Narrow" w:eastAsia="TimesNewRoman" w:hAnsi="Arial Narrow" w:cs="Times New Roman"/>
                <w:color w:val="000000"/>
                <w:sz w:val="20"/>
                <w:szCs w:val="20"/>
              </w:rPr>
              <w:t>IRC</w:t>
            </w:r>
            <w:r w:rsidR="000B4A69" w:rsidRPr="00B42397">
              <w:rPr>
                <w:rFonts w:ascii="Arial Narrow" w:eastAsia="TimesNewRoman" w:hAnsi="Arial Narrow" w:cs="Times New Roman"/>
                <w:color w:val="000000"/>
                <w:sz w:val="20"/>
                <w:szCs w:val="20"/>
              </w:rPr>
              <w:t>)</w:t>
            </w:r>
          </w:p>
        </w:tc>
        <w:tc>
          <w:tcPr>
            <w:tcW w:w="608" w:type="pct"/>
            <w:tcBorders>
              <w:top w:val="single" w:sz="4" w:space="0" w:color="auto"/>
              <w:left w:val="single" w:sz="4" w:space="0" w:color="auto"/>
              <w:bottom w:val="single" w:sz="4" w:space="0" w:color="auto"/>
              <w:right w:val="single" w:sz="4" w:space="0" w:color="auto"/>
            </w:tcBorders>
            <w:vAlign w:val="center"/>
          </w:tcPr>
          <w:p w14:paraId="6E9ED5F9" w14:textId="77777777" w:rsidR="007633DE" w:rsidRPr="00B42397" w:rsidRDefault="007633DE" w:rsidP="00A315D7">
            <w:pPr>
              <w:keepNext/>
              <w:jc w:val="center"/>
              <w:rPr>
                <w:rFonts w:ascii="Arial Narrow" w:eastAsia="TimesNewRoman" w:hAnsi="Arial Narrow" w:cs="Times New Roman"/>
                <w:color w:val="000000"/>
                <w:sz w:val="20"/>
                <w:szCs w:val="20"/>
              </w:rPr>
            </w:pPr>
            <w:r w:rsidRPr="00B42397">
              <w:rPr>
                <w:rFonts w:ascii="Arial Narrow" w:hAnsi="Arial Narrow"/>
                <w:sz w:val="20"/>
                <w:szCs w:val="20"/>
              </w:rPr>
              <w:t>268 (83.5%)</w:t>
            </w:r>
          </w:p>
        </w:tc>
        <w:tc>
          <w:tcPr>
            <w:tcW w:w="619" w:type="pct"/>
            <w:tcBorders>
              <w:top w:val="single" w:sz="4" w:space="0" w:color="auto"/>
              <w:left w:val="single" w:sz="4" w:space="0" w:color="auto"/>
              <w:bottom w:val="single" w:sz="4" w:space="0" w:color="auto"/>
              <w:right w:val="single" w:sz="4" w:space="0" w:color="auto"/>
            </w:tcBorders>
            <w:vAlign w:val="center"/>
          </w:tcPr>
          <w:p w14:paraId="5E83A598" w14:textId="77777777" w:rsidR="007633DE" w:rsidRPr="00B42397" w:rsidRDefault="007633DE" w:rsidP="00A315D7">
            <w:pPr>
              <w:keepNext/>
              <w:jc w:val="center"/>
              <w:rPr>
                <w:rFonts w:ascii="Arial Narrow" w:eastAsia="TimesNewRoman" w:hAnsi="Arial Narrow" w:cs="Times New Roman"/>
                <w:color w:val="000000"/>
                <w:sz w:val="20"/>
                <w:szCs w:val="20"/>
              </w:rPr>
            </w:pPr>
            <w:r w:rsidRPr="00B42397">
              <w:rPr>
                <w:rFonts w:ascii="Arial Narrow" w:hAnsi="Arial Narrow"/>
                <w:sz w:val="20"/>
                <w:szCs w:val="20"/>
              </w:rPr>
              <w:t xml:space="preserve">19.4 </w:t>
            </w:r>
            <w:r w:rsidR="00906A3E" w:rsidRPr="00B42397">
              <w:rPr>
                <w:rFonts w:ascii="Arial Narrow" w:hAnsi="Arial Narrow"/>
                <w:sz w:val="20"/>
                <w:szCs w:val="20"/>
              </w:rPr>
              <w:br/>
            </w:r>
            <w:r w:rsidRPr="00B42397">
              <w:rPr>
                <w:rFonts w:ascii="Arial Narrow" w:hAnsi="Arial Narrow"/>
                <w:sz w:val="20"/>
                <w:szCs w:val="20"/>
              </w:rPr>
              <w:t>(16.6, 22.2)</w:t>
            </w:r>
          </w:p>
        </w:tc>
        <w:tc>
          <w:tcPr>
            <w:tcW w:w="626" w:type="pct"/>
            <w:tcBorders>
              <w:top w:val="single" w:sz="4" w:space="0" w:color="auto"/>
              <w:left w:val="single" w:sz="4" w:space="0" w:color="auto"/>
              <w:bottom w:val="single" w:sz="4" w:space="0" w:color="auto"/>
              <w:right w:val="single" w:sz="4" w:space="0" w:color="auto"/>
            </w:tcBorders>
            <w:vAlign w:val="center"/>
          </w:tcPr>
          <w:p w14:paraId="7B74A709" w14:textId="77777777" w:rsidR="007633DE" w:rsidRPr="00B42397" w:rsidRDefault="007633DE" w:rsidP="00A315D7">
            <w:pPr>
              <w:keepNext/>
              <w:jc w:val="center"/>
              <w:rPr>
                <w:rFonts w:ascii="Arial Narrow" w:eastAsia="TimesNewRoman" w:hAnsi="Arial Narrow" w:cs="Times New Roman"/>
                <w:color w:val="000000"/>
                <w:sz w:val="20"/>
                <w:szCs w:val="20"/>
              </w:rPr>
            </w:pPr>
            <w:r w:rsidRPr="00B42397">
              <w:rPr>
                <w:rFonts w:ascii="Arial Narrow" w:hAnsi="Arial Narrow"/>
                <w:sz w:val="20"/>
                <w:szCs w:val="20"/>
              </w:rPr>
              <w:t>290 (89.2%)</w:t>
            </w:r>
          </w:p>
        </w:tc>
        <w:tc>
          <w:tcPr>
            <w:tcW w:w="625" w:type="pct"/>
            <w:tcBorders>
              <w:top w:val="single" w:sz="4" w:space="0" w:color="auto"/>
              <w:left w:val="single" w:sz="4" w:space="0" w:color="auto"/>
              <w:bottom w:val="single" w:sz="4" w:space="0" w:color="auto"/>
              <w:right w:val="single" w:sz="4" w:space="0" w:color="auto"/>
            </w:tcBorders>
            <w:vAlign w:val="center"/>
          </w:tcPr>
          <w:p w14:paraId="4538F6E9" w14:textId="77777777" w:rsidR="007633DE" w:rsidRPr="00B42397" w:rsidRDefault="007633DE" w:rsidP="00A315D7">
            <w:pPr>
              <w:keepNext/>
              <w:jc w:val="center"/>
              <w:rPr>
                <w:rFonts w:ascii="Arial Narrow" w:eastAsia="TimesNewRoman" w:hAnsi="Arial Narrow" w:cs="Times New Roman"/>
                <w:color w:val="000000"/>
                <w:sz w:val="20"/>
                <w:szCs w:val="20"/>
              </w:rPr>
            </w:pPr>
            <w:r w:rsidRPr="00B42397">
              <w:rPr>
                <w:rFonts w:ascii="Arial Narrow" w:hAnsi="Arial Narrow"/>
                <w:sz w:val="20"/>
                <w:szCs w:val="20"/>
              </w:rPr>
              <w:t xml:space="preserve">14.8 </w:t>
            </w:r>
            <w:r w:rsidR="00906A3E" w:rsidRPr="00B42397">
              <w:rPr>
                <w:rFonts w:ascii="Arial Narrow" w:hAnsi="Arial Narrow"/>
                <w:sz w:val="20"/>
                <w:szCs w:val="20"/>
              </w:rPr>
              <w:br/>
            </w:r>
            <w:r w:rsidRPr="00B42397">
              <w:rPr>
                <w:rFonts w:ascii="Arial Narrow" w:hAnsi="Arial Narrow"/>
                <w:sz w:val="20"/>
                <w:szCs w:val="20"/>
              </w:rPr>
              <w:t>(12.1, 16.6)</w:t>
            </w:r>
          </w:p>
        </w:tc>
        <w:tc>
          <w:tcPr>
            <w:tcW w:w="546" w:type="pct"/>
            <w:tcBorders>
              <w:top w:val="single" w:sz="4" w:space="0" w:color="auto"/>
              <w:left w:val="single" w:sz="4" w:space="0" w:color="auto"/>
              <w:bottom w:val="single" w:sz="4" w:space="0" w:color="auto"/>
              <w:right w:val="single" w:sz="4" w:space="0" w:color="auto"/>
            </w:tcBorders>
            <w:vAlign w:val="center"/>
          </w:tcPr>
          <w:p w14:paraId="35651F30" w14:textId="77777777" w:rsidR="007633DE" w:rsidRPr="00B42397" w:rsidRDefault="007714BC" w:rsidP="00A315D7">
            <w:pPr>
              <w:keepNext/>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4.6</w:t>
            </w:r>
          </w:p>
        </w:tc>
        <w:tc>
          <w:tcPr>
            <w:tcW w:w="470" w:type="pct"/>
            <w:tcBorders>
              <w:top w:val="single" w:sz="4" w:space="0" w:color="auto"/>
              <w:left w:val="single" w:sz="4" w:space="0" w:color="auto"/>
              <w:bottom w:val="single" w:sz="4" w:space="0" w:color="auto"/>
              <w:right w:val="single" w:sz="4" w:space="0" w:color="auto"/>
            </w:tcBorders>
            <w:vAlign w:val="center"/>
          </w:tcPr>
          <w:p w14:paraId="036A466A" w14:textId="77777777" w:rsidR="007633DE" w:rsidRPr="00B42397" w:rsidRDefault="007633DE" w:rsidP="00A315D7">
            <w:pPr>
              <w:keepNext/>
              <w:jc w:val="center"/>
              <w:rPr>
                <w:rFonts w:ascii="Arial Narrow" w:eastAsia="TimesNewRoman" w:hAnsi="Arial Narrow" w:cs="Times New Roman"/>
                <w:b/>
                <w:bCs/>
                <w:color w:val="000000"/>
                <w:sz w:val="20"/>
                <w:szCs w:val="20"/>
              </w:rPr>
            </w:pPr>
            <w:r w:rsidRPr="00B42397">
              <w:rPr>
                <w:rFonts w:ascii="Arial Narrow" w:eastAsia="TimesNewRoman" w:hAnsi="Arial Narrow" w:cs="Times New Roman"/>
                <w:b/>
                <w:bCs/>
                <w:color w:val="000000"/>
                <w:sz w:val="20"/>
                <w:szCs w:val="20"/>
              </w:rPr>
              <w:t>0.0001</w:t>
            </w:r>
          </w:p>
        </w:tc>
        <w:tc>
          <w:tcPr>
            <w:tcW w:w="625" w:type="pct"/>
            <w:tcBorders>
              <w:top w:val="single" w:sz="4" w:space="0" w:color="auto"/>
              <w:left w:val="single" w:sz="4" w:space="0" w:color="auto"/>
              <w:bottom w:val="single" w:sz="4" w:space="0" w:color="auto"/>
              <w:right w:val="single" w:sz="4" w:space="0" w:color="auto"/>
            </w:tcBorders>
            <w:vAlign w:val="center"/>
          </w:tcPr>
          <w:p w14:paraId="1F1BF90C" w14:textId="77777777" w:rsidR="000B4A69" w:rsidRPr="00B42397" w:rsidRDefault="007633DE" w:rsidP="00A315D7">
            <w:pPr>
              <w:keepNext/>
              <w:jc w:val="center"/>
              <w:rPr>
                <w:rFonts w:ascii="Arial Narrow" w:hAnsi="Arial Narrow"/>
                <w:b/>
                <w:bCs/>
                <w:sz w:val="20"/>
                <w:szCs w:val="20"/>
              </w:rPr>
            </w:pPr>
            <w:r w:rsidRPr="00B42397">
              <w:rPr>
                <w:rFonts w:ascii="Arial Narrow" w:hAnsi="Arial Narrow"/>
                <w:b/>
                <w:bCs/>
                <w:sz w:val="20"/>
                <w:szCs w:val="20"/>
              </w:rPr>
              <w:t>0.72</w:t>
            </w:r>
            <w:r w:rsidR="007714BC" w:rsidRPr="00B42397">
              <w:rPr>
                <w:rFonts w:ascii="Arial Narrow" w:hAnsi="Arial Narrow"/>
                <w:b/>
                <w:bCs/>
                <w:sz w:val="20"/>
                <w:szCs w:val="20"/>
              </w:rPr>
              <w:t xml:space="preserve"> </w:t>
            </w:r>
          </w:p>
          <w:p w14:paraId="0F2DFF1B" w14:textId="77777777" w:rsidR="007633DE" w:rsidRPr="00B42397" w:rsidRDefault="007633DE" w:rsidP="00A315D7">
            <w:pPr>
              <w:keepNext/>
              <w:jc w:val="center"/>
              <w:rPr>
                <w:rFonts w:ascii="Arial Narrow" w:eastAsia="TimesNewRoman" w:hAnsi="Arial Narrow" w:cs="Times New Roman"/>
                <w:b/>
                <w:bCs/>
                <w:color w:val="000000"/>
                <w:sz w:val="20"/>
                <w:szCs w:val="20"/>
              </w:rPr>
            </w:pPr>
            <w:r w:rsidRPr="00B42397">
              <w:rPr>
                <w:rFonts w:ascii="Arial Narrow" w:hAnsi="Arial Narrow"/>
                <w:b/>
                <w:bCs/>
                <w:sz w:val="20"/>
                <w:szCs w:val="20"/>
              </w:rPr>
              <w:t>(0.61, 0.85)</w:t>
            </w:r>
          </w:p>
        </w:tc>
      </w:tr>
      <w:tr w:rsidR="007633DE" w:rsidRPr="00B42397" w14:paraId="21931FB6" w14:textId="77777777" w:rsidTr="0090166A">
        <w:trPr>
          <w:trHeight w:val="113"/>
        </w:trPr>
        <w:tc>
          <w:tcPr>
            <w:tcW w:w="5000" w:type="pct"/>
            <w:gridSpan w:val="8"/>
            <w:tcBorders>
              <w:top w:val="single" w:sz="4" w:space="0" w:color="auto"/>
              <w:left w:val="single" w:sz="4" w:space="0" w:color="auto"/>
              <w:bottom w:val="single" w:sz="4" w:space="0" w:color="auto"/>
              <w:right w:val="single" w:sz="4" w:space="0" w:color="auto"/>
            </w:tcBorders>
          </w:tcPr>
          <w:p w14:paraId="0C0471EC" w14:textId="77777777" w:rsidR="007633DE" w:rsidRPr="00B42397" w:rsidRDefault="007633DE" w:rsidP="00A315D7">
            <w:pPr>
              <w:keepNext/>
              <w:jc w:val="left"/>
              <w:rPr>
                <w:rFonts w:ascii="Arial Narrow" w:eastAsia="TimesNewRoman" w:hAnsi="Arial Narrow" w:cs="Times New Roman"/>
                <w:b/>
                <w:bCs/>
                <w:color w:val="000000"/>
                <w:sz w:val="20"/>
                <w:szCs w:val="20"/>
              </w:rPr>
            </w:pPr>
            <w:r w:rsidRPr="00B42397">
              <w:rPr>
                <w:rFonts w:ascii="Arial Narrow" w:eastAsia="TimesNewRoman" w:hAnsi="Arial Narrow" w:cs="Times New Roman"/>
                <w:b/>
                <w:bCs/>
                <w:color w:val="000000"/>
                <w:sz w:val="20"/>
                <w:szCs w:val="20"/>
              </w:rPr>
              <w:t xml:space="preserve">OS </w:t>
            </w:r>
          </w:p>
        </w:tc>
      </w:tr>
      <w:tr w:rsidR="007633DE" w:rsidRPr="00B42397" w14:paraId="61BAE51B" w14:textId="77777777" w:rsidTr="0090166A">
        <w:trPr>
          <w:trHeight w:val="113"/>
        </w:trPr>
        <w:tc>
          <w:tcPr>
            <w:tcW w:w="881" w:type="pct"/>
            <w:tcBorders>
              <w:top w:val="single" w:sz="4" w:space="0" w:color="auto"/>
              <w:left w:val="single" w:sz="4" w:space="0" w:color="auto"/>
              <w:bottom w:val="single" w:sz="4" w:space="0" w:color="auto"/>
              <w:right w:val="single" w:sz="4" w:space="0" w:color="auto"/>
            </w:tcBorders>
            <w:vAlign w:val="center"/>
          </w:tcPr>
          <w:p w14:paraId="24344CB4" w14:textId="77777777" w:rsidR="007633DE" w:rsidRPr="00B42397" w:rsidRDefault="007714BC" w:rsidP="00A315D7">
            <w:pPr>
              <w:keepNext/>
              <w:keepLines/>
              <w:jc w:val="left"/>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29 Oct 2015 (all randomi</w:t>
            </w:r>
            <w:r w:rsidR="0023722B" w:rsidRPr="00B42397">
              <w:rPr>
                <w:rFonts w:ascii="Arial Narrow" w:eastAsia="TimesNewRoman" w:hAnsi="Arial Narrow" w:cs="Times New Roman"/>
                <w:color w:val="000000"/>
                <w:sz w:val="20"/>
                <w:szCs w:val="20"/>
              </w:rPr>
              <w:t>s</w:t>
            </w:r>
            <w:r w:rsidRPr="00B42397">
              <w:rPr>
                <w:rFonts w:ascii="Arial Narrow" w:eastAsia="TimesNewRoman" w:hAnsi="Arial Narrow" w:cs="Times New Roman"/>
                <w:color w:val="000000"/>
                <w:sz w:val="20"/>
                <w:szCs w:val="20"/>
              </w:rPr>
              <w:t>ed patients)</w:t>
            </w:r>
          </w:p>
        </w:tc>
        <w:tc>
          <w:tcPr>
            <w:tcW w:w="608" w:type="pct"/>
            <w:tcBorders>
              <w:top w:val="single" w:sz="4" w:space="0" w:color="auto"/>
              <w:left w:val="single" w:sz="4" w:space="0" w:color="auto"/>
              <w:bottom w:val="single" w:sz="4" w:space="0" w:color="auto"/>
              <w:right w:val="single" w:sz="4" w:space="0" w:color="auto"/>
            </w:tcBorders>
            <w:vAlign w:val="center"/>
          </w:tcPr>
          <w:p w14:paraId="056F6917" w14:textId="77777777" w:rsidR="007633DE" w:rsidRPr="00B42397" w:rsidRDefault="007714BC" w:rsidP="00A315D7">
            <w:pPr>
              <w:keepNext/>
              <w:jc w:val="center"/>
              <w:rPr>
                <w:rFonts w:ascii="Arial Narrow" w:eastAsia="TimesNewRoman" w:hAnsi="Arial Narrow" w:cs="Times New Roman"/>
                <w:b/>
                <w:color w:val="000000"/>
                <w:sz w:val="20"/>
                <w:szCs w:val="20"/>
              </w:rPr>
            </w:pPr>
            <w:r w:rsidRPr="00B42397">
              <w:rPr>
                <w:rFonts w:ascii="Arial Narrow" w:hAnsi="Arial Narrow"/>
                <w:sz w:val="20"/>
                <w:szCs w:val="20"/>
              </w:rPr>
              <w:t>136 (42.4%)</w:t>
            </w:r>
          </w:p>
        </w:tc>
        <w:tc>
          <w:tcPr>
            <w:tcW w:w="619" w:type="pct"/>
            <w:tcBorders>
              <w:top w:val="single" w:sz="4" w:space="0" w:color="auto"/>
              <w:left w:val="single" w:sz="4" w:space="0" w:color="auto"/>
              <w:bottom w:val="single" w:sz="4" w:space="0" w:color="auto"/>
              <w:right w:val="single" w:sz="4" w:space="0" w:color="auto"/>
            </w:tcBorders>
            <w:vAlign w:val="center"/>
          </w:tcPr>
          <w:p w14:paraId="1E1F46B6" w14:textId="77777777" w:rsidR="007633DE" w:rsidRPr="00B42397" w:rsidRDefault="007714BC" w:rsidP="00A315D7">
            <w:pPr>
              <w:keepNext/>
              <w:jc w:val="center"/>
              <w:rPr>
                <w:rFonts w:ascii="Arial Narrow" w:eastAsia="TimesNewRoman" w:hAnsi="Arial Narrow" w:cs="Times New Roman"/>
                <w:b/>
                <w:color w:val="000000"/>
                <w:sz w:val="20"/>
                <w:szCs w:val="20"/>
              </w:rPr>
            </w:pPr>
            <w:r w:rsidRPr="00B42397">
              <w:rPr>
                <w:rFonts w:ascii="Arial Narrow" w:hAnsi="Arial Narrow"/>
                <w:sz w:val="20"/>
                <w:szCs w:val="20"/>
              </w:rPr>
              <w:t xml:space="preserve">43.7 </w:t>
            </w:r>
            <w:r w:rsidR="00906A3E" w:rsidRPr="00B42397">
              <w:rPr>
                <w:rFonts w:ascii="Arial Narrow" w:hAnsi="Arial Narrow"/>
                <w:sz w:val="20"/>
                <w:szCs w:val="20"/>
              </w:rPr>
              <w:br/>
            </w:r>
            <w:r w:rsidRPr="00B42397">
              <w:rPr>
                <w:rFonts w:ascii="Arial Narrow" w:hAnsi="Arial Narrow"/>
                <w:sz w:val="20"/>
                <w:szCs w:val="20"/>
              </w:rPr>
              <w:t>(40.3, NE)</w:t>
            </w:r>
          </w:p>
        </w:tc>
        <w:tc>
          <w:tcPr>
            <w:tcW w:w="626" w:type="pct"/>
            <w:tcBorders>
              <w:top w:val="single" w:sz="4" w:space="0" w:color="auto"/>
              <w:left w:val="single" w:sz="4" w:space="0" w:color="auto"/>
              <w:bottom w:val="single" w:sz="4" w:space="0" w:color="auto"/>
              <w:right w:val="single" w:sz="4" w:space="0" w:color="auto"/>
            </w:tcBorders>
            <w:vAlign w:val="center"/>
          </w:tcPr>
          <w:p w14:paraId="30E8862A" w14:textId="77777777" w:rsidR="007633DE" w:rsidRPr="00B42397" w:rsidRDefault="007714BC" w:rsidP="00A315D7">
            <w:pPr>
              <w:keepNext/>
              <w:jc w:val="center"/>
              <w:rPr>
                <w:rFonts w:ascii="Arial Narrow" w:eastAsia="TimesNewRoman" w:hAnsi="Arial Narrow" w:cs="Times New Roman"/>
                <w:b/>
                <w:color w:val="000000"/>
                <w:sz w:val="20"/>
                <w:szCs w:val="20"/>
              </w:rPr>
            </w:pPr>
            <w:r w:rsidRPr="00B42397">
              <w:rPr>
                <w:rFonts w:ascii="Arial Narrow" w:hAnsi="Arial Narrow"/>
                <w:sz w:val="20"/>
                <w:szCs w:val="20"/>
              </w:rPr>
              <w:t>159 (48.9%)</w:t>
            </w:r>
          </w:p>
        </w:tc>
        <w:tc>
          <w:tcPr>
            <w:tcW w:w="625" w:type="pct"/>
            <w:tcBorders>
              <w:top w:val="single" w:sz="4" w:space="0" w:color="auto"/>
              <w:left w:val="single" w:sz="4" w:space="0" w:color="auto"/>
              <w:bottom w:val="single" w:sz="4" w:space="0" w:color="auto"/>
              <w:right w:val="single" w:sz="4" w:space="0" w:color="auto"/>
            </w:tcBorders>
            <w:vAlign w:val="center"/>
          </w:tcPr>
          <w:p w14:paraId="636FCF20" w14:textId="77777777" w:rsidR="007633DE" w:rsidRPr="00B42397" w:rsidRDefault="007714BC" w:rsidP="00A315D7">
            <w:pPr>
              <w:keepNext/>
              <w:jc w:val="center"/>
              <w:rPr>
                <w:rFonts w:ascii="Arial Narrow" w:eastAsia="TimesNewRoman" w:hAnsi="Arial Narrow" w:cs="Times New Roman"/>
                <w:color w:val="000000"/>
                <w:sz w:val="20"/>
                <w:szCs w:val="20"/>
              </w:rPr>
            </w:pPr>
            <w:r w:rsidRPr="00B42397">
              <w:rPr>
                <w:rFonts w:ascii="Arial Narrow" w:hAnsi="Arial Narrow"/>
                <w:sz w:val="20"/>
                <w:szCs w:val="20"/>
              </w:rPr>
              <w:t xml:space="preserve">39.6 </w:t>
            </w:r>
            <w:r w:rsidR="00906A3E" w:rsidRPr="00B42397">
              <w:rPr>
                <w:rFonts w:ascii="Arial Narrow" w:hAnsi="Arial Narrow"/>
                <w:sz w:val="20"/>
                <w:szCs w:val="20"/>
              </w:rPr>
              <w:br/>
            </w:r>
            <w:r w:rsidRPr="00B42397">
              <w:rPr>
                <w:rFonts w:ascii="Arial Narrow" w:hAnsi="Arial Narrow"/>
                <w:sz w:val="20"/>
                <w:szCs w:val="20"/>
              </w:rPr>
              <w:t>(33.3, NE)</w:t>
            </w:r>
          </w:p>
        </w:tc>
        <w:tc>
          <w:tcPr>
            <w:tcW w:w="546" w:type="pct"/>
            <w:tcBorders>
              <w:top w:val="single" w:sz="4" w:space="0" w:color="auto"/>
              <w:left w:val="single" w:sz="4" w:space="0" w:color="auto"/>
              <w:bottom w:val="single" w:sz="4" w:space="0" w:color="auto"/>
              <w:right w:val="single" w:sz="4" w:space="0" w:color="auto"/>
            </w:tcBorders>
            <w:vAlign w:val="center"/>
          </w:tcPr>
          <w:p w14:paraId="5369DE9B" w14:textId="77777777" w:rsidR="007633DE" w:rsidRPr="00B42397" w:rsidRDefault="007714BC" w:rsidP="00A315D7">
            <w:pPr>
              <w:keepNext/>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4.1</w:t>
            </w:r>
          </w:p>
        </w:tc>
        <w:tc>
          <w:tcPr>
            <w:tcW w:w="470" w:type="pct"/>
            <w:tcBorders>
              <w:top w:val="single" w:sz="4" w:space="0" w:color="auto"/>
              <w:left w:val="single" w:sz="4" w:space="0" w:color="auto"/>
              <w:bottom w:val="single" w:sz="4" w:space="0" w:color="auto"/>
              <w:right w:val="single" w:sz="4" w:space="0" w:color="auto"/>
            </w:tcBorders>
            <w:vAlign w:val="center"/>
          </w:tcPr>
          <w:p w14:paraId="1F8DD44D" w14:textId="77777777" w:rsidR="007633DE" w:rsidRPr="00B42397" w:rsidRDefault="007714BC" w:rsidP="00A315D7">
            <w:pPr>
              <w:keepNext/>
              <w:jc w:val="center"/>
              <w:rPr>
                <w:rFonts w:ascii="Arial Narrow" w:eastAsia="TimesNewRoman" w:hAnsi="Arial Narrow" w:cs="Times New Roman"/>
                <w:b/>
                <w:bCs/>
                <w:color w:val="000000"/>
                <w:sz w:val="20"/>
                <w:szCs w:val="20"/>
              </w:rPr>
            </w:pPr>
            <w:r w:rsidRPr="00B42397">
              <w:rPr>
                <w:rFonts w:ascii="Arial Narrow" w:hAnsi="Arial Narrow"/>
                <w:b/>
                <w:bCs/>
                <w:sz w:val="20"/>
                <w:szCs w:val="20"/>
              </w:rPr>
              <w:t>0.0257</w:t>
            </w:r>
          </w:p>
        </w:tc>
        <w:tc>
          <w:tcPr>
            <w:tcW w:w="625" w:type="pct"/>
            <w:tcBorders>
              <w:top w:val="single" w:sz="4" w:space="0" w:color="auto"/>
              <w:left w:val="single" w:sz="4" w:space="0" w:color="auto"/>
              <w:bottom w:val="single" w:sz="4" w:space="0" w:color="auto"/>
              <w:right w:val="single" w:sz="4" w:space="0" w:color="auto"/>
            </w:tcBorders>
            <w:vAlign w:val="center"/>
          </w:tcPr>
          <w:p w14:paraId="1F164858" w14:textId="77777777" w:rsidR="000B4A69" w:rsidRPr="00B42397" w:rsidRDefault="007714BC" w:rsidP="00A315D7">
            <w:pPr>
              <w:keepNext/>
              <w:jc w:val="center"/>
              <w:rPr>
                <w:rFonts w:ascii="Arial Narrow" w:hAnsi="Arial Narrow"/>
                <w:b/>
                <w:bCs/>
                <w:sz w:val="20"/>
                <w:szCs w:val="20"/>
              </w:rPr>
            </w:pPr>
            <w:r w:rsidRPr="00B42397">
              <w:rPr>
                <w:rFonts w:ascii="Arial Narrow" w:hAnsi="Arial Narrow"/>
                <w:b/>
                <w:bCs/>
                <w:sz w:val="20"/>
                <w:szCs w:val="20"/>
              </w:rPr>
              <w:t xml:space="preserve">0.77 </w:t>
            </w:r>
          </w:p>
          <w:p w14:paraId="34E21E8D" w14:textId="77777777" w:rsidR="007633DE" w:rsidRPr="00B42397" w:rsidRDefault="007714BC" w:rsidP="00A315D7">
            <w:pPr>
              <w:keepNext/>
              <w:jc w:val="center"/>
              <w:rPr>
                <w:rFonts w:ascii="Arial Narrow" w:eastAsia="TimesNewRoman" w:hAnsi="Arial Narrow" w:cs="Times New Roman"/>
                <w:b/>
                <w:bCs/>
                <w:color w:val="000000"/>
                <w:sz w:val="20"/>
                <w:szCs w:val="20"/>
              </w:rPr>
            </w:pPr>
            <w:r w:rsidRPr="00B42397">
              <w:rPr>
                <w:rFonts w:ascii="Arial Narrow" w:hAnsi="Arial Narrow"/>
                <w:b/>
                <w:bCs/>
                <w:sz w:val="20"/>
                <w:szCs w:val="20"/>
              </w:rPr>
              <w:t>(0.61, 0.97)</w:t>
            </w:r>
          </w:p>
        </w:tc>
      </w:tr>
      <w:tr w:rsidR="007633DE" w:rsidRPr="00B42397" w14:paraId="2C43709A" w14:textId="77777777" w:rsidTr="0090166A">
        <w:trPr>
          <w:trHeight w:val="113"/>
        </w:trPr>
        <w:tc>
          <w:tcPr>
            <w:tcW w:w="881" w:type="pct"/>
            <w:tcBorders>
              <w:top w:val="single" w:sz="4" w:space="0" w:color="auto"/>
              <w:left w:val="single" w:sz="4" w:space="0" w:color="auto"/>
              <w:bottom w:val="single" w:sz="4" w:space="0" w:color="auto"/>
              <w:right w:val="single" w:sz="4" w:space="0" w:color="auto"/>
            </w:tcBorders>
            <w:vAlign w:val="center"/>
          </w:tcPr>
          <w:p w14:paraId="59F42D80" w14:textId="77777777" w:rsidR="007633DE" w:rsidRPr="00B42397" w:rsidRDefault="007714BC" w:rsidP="00A315D7">
            <w:pPr>
              <w:jc w:val="left"/>
              <w:rPr>
                <w:rFonts w:ascii="Arial Narrow" w:eastAsia="TimesNewRoman" w:hAnsi="Arial Narrow" w:cs="Times New Roman"/>
                <w:b/>
                <w:color w:val="000000"/>
                <w:sz w:val="20"/>
                <w:szCs w:val="20"/>
              </w:rPr>
            </w:pPr>
            <w:r w:rsidRPr="00B42397">
              <w:rPr>
                <w:rFonts w:ascii="Arial Narrow" w:hAnsi="Arial Narrow"/>
                <w:sz w:val="20"/>
                <w:szCs w:val="20"/>
              </w:rPr>
              <w:t>3 Oct 2018 (all randomised patients)</w:t>
            </w:r>
            <w:r w:rsidR="007633DE" w:rsidRPr="00B42397">
              <w:rPr>
                <w:rFonts w:ascii="Arial Narrow" w:hAnsi="Arial Narrow"/>
                <w:sz w:val="20"/>
                <w:szCs w:val="20"/>
              </w:rPr>
              <w:t xml:space="preserve"> </w:t>
            </w:r>
          </w:p>
        </w:tc>
        <w:tc>
          <w:tcPr>
            <w:tcW w:w="608" w:type="pct"/>
            <w:tcBorders>
              <w:top w:val="single" w:sz="4" w:space="0" w:color="auto"/>
              <w:left w:val="single" w:sz="4" w:space="0" w:color="auto"/>
              <w:bottom w:val="single" w:sz="4" w:space="0" w:color="auto"/>
              <w:right w:val="single" w:sz="4" w:space="0" w:color="auto"/>
            </w:tcBorders>
            <w:vAlign w:val="center"/>
          </w:tcPr>
          <w:p w14:paraId="07826889" w14:textId="77777777" w:rsidR="007633DE" w:rsidRPr="00B42397" w:rsidRDefault="007714BC" w:rsidP="00A315D7">
            <w:pPr>
              <w:jc w:val="center"/>
              <w:rPr>
                <w:rFonts w:ascii="Arial Narrow" w:eastAsia="TimesNewRoman" w:hAnsi="Arial Narrow" w:cs="Times New Roman"/>
                <w:b/>
                <w:color w:val="000000"/>
                <w:sz w:val="20"/>
                <w:szCs w:val="20"/>
              </w:rPr>
            </w:pPr>
            <w:r w:rsidRPr="00B42397">
              <w:rPr>
                <w:rFonts w:ascii="Arial Narrow" w:hAnsi="Arial Narrow"/>
                <w:sz w:val="20"/>
                <w:szCs w:val="20"/>
              </w:rPr>
              <w:t>212 (66.0%)</w:t>
            </w:r>
          </w:p>
        </w:tc>
        <w:tc>
          <w:tcPr>
            <w:tcW w:w="619" w:type="pct"/>
            <w:tcBorders>
              <w:top w:val="single" w:sz="4" w:space="0" w:color="auto"/>
              <w:left w:val="single" w:sz="4" w:space="0" w:color="auto"/>
              <w:bottom w:val="single" w:sz="4" w:space="0" w:color="auto"/>
              <w:right w:val="single" w:sz="4" w:space="0" w:color="auto"/>
            </w:tcBorders>
            <w:vAlign w:val="center"/>
          </w:tcPr>
          <w:p w14:paraId="30F10BDD" w14:textId="77777777" w:rsidR="007633DE" w:rsidRPr="00B42397" w:rsidRDefault="007714BC" w:rsidP="00A315D7">
            <w:pPr>
              <w:jc w:val="center"/>
              <w:rPr>
                <w:rFonts w:ascii="Arial Narrow" w:eastAsia="TimesNewRoman" w:hAnsi="Arial Narrow" w:cs="Times New Roman"/>
                <w:b/>
                <w:color w:val="000000"/>
                <w:sz w:val="20"/>
                <w:szCs w:val="20"/>
              </w:rPr>
            </w:pPr>
            <w:r w:rsidRPr="00B42397">
              <w:rPr>
                <w:rFonts w:ascii="Arial Narrow" w:hAnsi="Arial Narrow"/>
                <w:sz w:val="20"/>
                <w:szCs w:val="20"/>
              </w:rPr>
              <w:t xml:space="preserve">48.3 </w:t>
            </w:r>
            <w:r w:rsidR="00906A3E" w:rsidRPr="00B42397">
              <w:rPr>
                <w:rFonts w:ascii="Arial Narrow" w:hAnsi="Arial Narrow"/>
                <w:sz w:val="20"/>
                <w:szCs w:val="20"/>
              </w:rPr>
              <w:br/>
            </w:r>
            <w:r w:rsidRPr="00B42397">
              <w:rPr>
                <w:rFonts w:ascii="Arial Narrow" w:hAnsi="Arial Narrow"/>
                <w:sz w:val="20"/>
                <w:szCs w:val="20"/>
              </w:rPr>
              <w:t>(40.3, 51.9)</w:t>
            </w:r>
          </w:p>
        </w:tc>
        <w:tc>
          <w:tcPr>
            <w:tcW w:w="626" w:type="pct"/>
            <w:tcBorders>
              <w:top w:val="single" w:sz="4" w:space="0" w:color="auto"/>
              <w:left w:val="single" w:sz="4" w:space="0" w:color="auto"/>
              <w:bottom w:val="single" w:sz="4" w:space="0" w:color="auto"/>
              <w:right w:val="single" w:sz="4" w:space="0" w:color="auto"/>
            </w:tcBorders>
            <w:vAlign w:val="center"/>
          </w:tcPr>
          <w:p w14:paraId="2A60EAB0" w14:textId="77777777" w:rsidR="007633DE" w:rsidRPr="00B42397" w:rsidRDefault="007714BC" w:rsidP="00A315D7">
            <w:pPr>
              <w:jc w:val="center"/>
              <w:rPr>
                <w:rFonts w:ascii="Arial Narrow" w:eastAsia="TimesNewRoman" w:hAnsi="Arial Narrow" w:cs="Times New Roman"/>
                <w:b/>
                <w:color w:val="000000"/>
                <w:sz w:val="20"/>
                <w:szCs w:val="20"/>
              </w:rPr>
            </w:pPr>
            <w:r w:rsidRPr="00B42397">
              <w:rPr>
                <w:rFonts w:ascii="Arial Narrow" w:hAnsi="Arial Narrow"/>
                <w:sz w:val="20"/>
                <w:szCs w:val="20"/>
              </w:rPr>
              <w:t>225 (69.2%)</w:t>
            </w:r>
          </w:p>
        </w:tc>
        <w:tc>
          <w:tcPr>
            <w:tcW w:w="625" w:type="pct"/>
            <w:tcBorders>
              <w:top w:val="single" w:sz="4" w:space="0" w:color="auto"/>
              <w:left w:val="single" w:sz="4" w:space="0" w:color="auto"/>
              <w:bottom w:val="single" w:sz="4" w:space="0" w:color="auto"/>
              <w:right w:val="single" w:sz="4" w:space="0" w:color="auto"/>
            </w:tcBorders>
            <w:vAlign w:val="center"/>
          </w:tcPr>
          <w:p w14:paraId="63182DC3" w14:textId="77777777" w:rsidR="007633DE" w:rsidRPr="00B42397" w:rsidRDefault="007714BC" w:rsidP="00A315D7">
            <w:pPr>
              <w:jc w:val="center"/>
              <w:rPr>
                <w:rFonts w:ascii="Arial Narrow" w:eastAsia="TimesNewRoman" w:hAnsi="Arial Narrow" w:cs="Times New Roman"/>
                <w:color w:val="000000"/>
                <w:sz w:val="20"/>
                <w:szCs w:val="20"/>
              </w:rPr>
            </w:pPr>
            <w:r w:rsidRPr="00B42397">
              <w:rPr>
                <w:rFonts w:ascii="Arial Narrow" w:hAnsi="Arial Narrow"/>
                <w:sz w:val="20"/>
                <w:szCs w:val="20"/>
              </w:rPr>
              <w:t xml:space="preserve">39.6 </w:t>
            </w:r>
            <w:r w:rsidR="00906A3E" w:rsidRPr="00B42397">
              <w:rPr>
                <w:rFonts w:ascii="Arial Narrow" w:hAnsi="Arial Narrow"/>
                <w:sz w:val="20"/>
                <w:szCs w:val="20"/>
              </w:rPr>
              <w:br/>
            </w:r>
            <w:r w:rsidRPr="00B42397">
              <w:rPr>
                <w:rFonts w:ascii="Arial Narrow" w:hAnsi="Arial Narrow"/>
                <w:sz w:val="20"/>
                <w:szCs w:val="20"/>
              </w:rPr>
              <w:t>(33.3, 45.3)</w:t>
            </w:r>
          </w:p>
        </w:tc>
        <w:tc>
          <w:tcPr>
            <w:tcW w:w="546" w:type="pct"/>
            <w:tcBorders>
              <w:top w:val="single" w:sz="4" w:space="0" w:color="auto"/>
              <w:left w:val="single" w:sz="4" w:space="0" w:color="auto"/>
              <w:bottom w:val="single" w:sz="4" w:space="0" w:color="auto"/>
              <w:right w:val="single" w:sz="4" w:space="0" w:color="auto"/>
            </w:tcBorders>
            <w:vAlign w:val="center"/>
          </w:tcPr>
          <w:p w14:paraId="31A08B26" w14:textId="77777777" w:rsidR="007633DE" w:rsidRPr="00B42397" w:rsidRDefault="007714BC" w:rsidP="00A315D7">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8.7</w:t>
            </w:r>
          </w:p>
        </w:tc>
        <w:tc>
          <w:tcPr>
            <w:tcW w:w="470" w:type="pct"/>
            <w:tcBorders>
              <w:top w:val="single" w:sz="4" w:space="0" w:color="auto"/>
              <w:left w:val="single" w:sz="4" w:space="0" w:color="auto"/>
              <w:bottom w:val="single" w:sz="4" w:space="0" w:color="auto"/>
              <w:right w:val="single" w:sz="4" w:space="0" w:color="auto"/>
            </w:tcBorders>
            <w:vAlign w:val="center"/>
          </w:tcPr>
          <w:p w14:paraId="77070D90" w14:textId="77777777" w:rsidR="007633DE" w:rsidRPr="00B42397" w:rsidRDefault="007714BC" w:rsidP="00A315D7">
            <w:pPr>
              <w:jc w:val="center"/>
              <w:rPr>
                <w:rFonts w:ascii="Arial Narrow" w:eastAsia="TimesNewRoman" w:hAnsi="Arial Narrow" w:cs="Times New Roman"/>
                <w:b/>
                <w:bCs/>
                <w:color w:val="000000"/>
                <w:sz w:val="20"/>
                <w:szCs w:val="20"/>
              </w:rPr>
            </w:pPr>
            <w:r w:rsidRPr="00B42397">
              <w:rPr>
                <w:rFonts w:ascii="Arial Narrow" w:hAnsi="Arial Narrow"/>
                <w:b/>
                <w:bCs/>
                <w:sz w:val="20"/>
                <w:szCs w:val="20"/>
              </w:rPr>
              <w:t>0.0408</w:t>
            </w:r>
          </w:p>
        </w:tc>
        <w:tc>
          <w:tcPr>
            <w:tcW w:w="625" w:type="pct"/>
            <w:tcBorders>
              <w:top w:val="single" w:sz="4" w:space="0" w:color="auto"/>
              <w:left w:val="single" w:sz="4" w:space="0" w:color="auto"/>
              <w:bottom w:val="single" w:sz="4" w:space="0" w:color="auto"/>
              <w:right w:val="single" w:sz="4" w:space="0" w:color="auto"/>
            </w:tcBorders>
            <w:vAlign w:val="center"/>
          </w:tcPr>
          <w:p w14:paraId="64A04891" w14:textId="77777777" w:rsidR="000B4A69" w:rsidRPr="00B42397" w:rsidRDefault="007714BC" w:rsidP="00A315D7">
            <w:pPr>
              <w:jc w:val="center"/>
              <w:rPr>
                <w:rFonts w:ascii="Arial Narrow" w:hAnsi="Arial Narrow"/>
                <w:b/>
                <w:bCs/>
                <w:sz w:val="20"/>
                <w:szCs w:val="20"/>
              </w:rPr>
            </w:pPr>
            <w:r w:rsidRPr="00B42397">
              <w:rPr>
                <w:rFonts w:ascii="Arial Narrow" w:hAnsi="Arial Narrow"/>
                <w:b/>
                <w:bCs/>
                <w:sz w:val="20"/>
                <w:szCs w:val="20"/>
              </w:rPr>
              <w:t xml:space="preserve">0.82 </w:t>
            </w:r>
          </w:p>
          <w:p w14:paraId="740CDB3C" w14:textId="77777777" w:rsidR="007633DE" w:rsidRPr="00B42397" w:rsidRDefault="007714BC" w:rsidP="00A315D7">
            <w:pPr>
              <w:jc w:val="center"/>
              <w:rPr>
                <w:rFonts w:ascii="Arial Narrow" w:eastAsia="TimesNewRoman" w:hAnsi="Arial Narrow" w:cs="Times New Roman"/>
                <w:b/>
                <w:bCs/>
                <w:color w:val="000000"/>
                <w:sz w:val="20"/>
                <w:szCs w:val="20"/>
              </w:rPr>
            </w:pPr>
            <w:r w:rsidRPr="00B42397">
              <w:rPr>
                <w:rFonts w:ascii="Arial Narrow" w:hAnsi="Arial Narrow"/>
                <w:b/>
                <w:bCs/>
                <w:sz w:val="20"/>
                <w:szCs w:val="20"/>
              </w:rPr>
              <w:t>(0.68, 0.99)</w:t>
            </w:r>
          </w:p>
        </w:tc>
      </w:tr>
    </w:tbl>
    <w:p w14:paraId="32439BB0" w14:textId="77777777" w:rsidR="000B4A69" w:rsidRPr="00B42397" w:rsidRDefault="007714BC" w:rsidP="000B4A69">
      <w:pPr>
        <w:pStyle w:val="TableFigureFooter"/>
      </w:pPr>
      <w:r w:rsidRPr="00B42397">
        <w:t>Source: Table 2.5.1</w:t>
      </w:r>
      <w:r w:rsidR="000B4A69" w:rsidRPr="00B42397">
        <w:t>,</w:t>
      </w:r>
      <w:r w:rsidR="00543539" w:rsidRPr="00B42397">
        <w:t xml:space="preserve"> </w:t>
      </w:r>
      <w:r w:rsidR="000B4A69" w:rsidRPr="00B42397">
        <w:t>Table 2.5.5 of the submission.</w:t>
      </w:r>
    </w:p>
    <w:p w14:paraId="66B87D4F" w14:textId="77777777" w:rsidR="007714BC" w:rsidRPr="00B42397" w:rsidRDefault="007714BC" w:rsidP="007714BC">
      <w:pPr>
        <w:pStyle w:val="TableFigureFooter"/>
      </w:pPr>
      <w:r w:rsidRPr="00B42397">
        <w:t>CI</w:t>
      </w:r>
      <w:r w:rsidR="00CC3E50" w:rsidRPr="00B42397">
        <w:t xml:space="preserve"> </w:t>
      </w:r>
      <w:r w:rsidRPr="00B42397">
        <w:t xml:space="preserve">= confidence interval; </w:t>
      </w:r>
      <w:proofErr w:type="spellStart"/>
      <w:r w:rsidR="001F5659" w:rsidRPr="00B42397">
        <w:t>ELd</w:t>
      </w:r>
      <w:proofErr w:type="spellEnd"/>
      <w:r w:rsidR="00CC3E50" w:rsidRPr="00B42397">
        <w:t xml:space="preserve"> </w:t>
      </w:r>
      <w:r w:rsidRPr="00B42397">
        <w:t xml:space="preserve">= elotuzumab + lenalidomide </w:t>
      </w:r>
      <w:r w:rsidR="00CC3E50" w:rsidRPr="00B42397">
        <w:t xml:space="preserve">+ </w:t>
      </w:r>
      <w:r w:rsidRPr="00B42397">
        <w:t>dexamethasone; HR</w:t>
      </w:r>
      <w:r w:rsidR="00CC3E50" w:rsidRPr="00B42397">
        <w:t xml:space="preserve"> </w:t>
      </w:r>
      <w:r w:rsidRPr="00B42397">
        <w:t>= haza</w:t>
      </w:r>
      <w:r w:rsidR="001F5659" w:rsidRPr="00B42397">
        <w:t>rd</w:t>
      </w:r>
      <w:r w:rsidRPr="00B42397">
        <w:t xml:space="preserve"> ratio;</w:t>
      </w:r>
      <w:r w:rsidR="002F0A11" w:rsidRPr="00B42397">
        <w:t xml:space="preserve"> </w:t>
      </w:r>
      <w:proofErr w:type="spellStart"/>
      <w:r w:rsidR="002F0A11" w:rsidRPr="00B42397">
        <w:t>IMiD</w:t>
      </w:r>
      <w:proofErr w:type="spellEnd"/>
      <w:r w:rsidR="002F0A11" w:rsidRPr="00B42397">
        <w:t xml:space="preserve"> =</w:t>
      </w:r>
      <w:r w:rsidRPr="00B42397">
        <w:t xml:space="preserve"> </w:t>
      </w:r>
      <w:r w:rsidR="002F0A11" w:rsidRPr="00B42397">
        <w:t xml:space="preserve">Immunomodulatory drug; </w:t>
      </w:r>
      <w:r w:rsidRPr="00B42397">
        <w:t>IRC</w:t>
      </w:r>
      <w:r w:rsidR="00CC3E50" w:rsidRPr="00B42397">
        <w:t xml:space="preserve"> </w:t>
      </w:r>
      <w:r w:rsidRPr="00B42397">
        <w:t>= independent review committee; ITT</w:t>
      </w:r>
      <w:r w:rsidR="00CC3E50" w:rsidRPr="00B42397">
        <w:t xml:space="preserve"> </w:t>
      </w:r>
      <w:r w:rsidRPr="00B42397">
        <w:t xml:space="preserve">= intention to treat; </w:t>
      </w:r>
      <w:proofErr w:type="spellStart"/>
      <w:proofErr w:type="gramStart"/>
      <w:r w:rsidR="001F5659" w:rsidRPr="00B42397">
        <w:t>Ld</w:t>
      </w:r>
      <w:proofErr w:type="spellEnd"/>
      <w:proofErr w:type="gramEnd"/>
      <w:r w:rsidR="001F5659" w:rsidRPr="00B42397">
        <w:t xml:space="preserve"> = lenalidomide + dexamethasone; </w:t>
      </w:r>
      <w:r w:rsidR="00543539" w:rsidRPr="00B42397">
        <w:t>OS</w:t>
      </w:r>
      <w:r w:rsidR="00CC3E50" w:rsidRPr="00B42397">
        <w:t xml:space="preserve"> </w:t>
      </w:r>
      <w:r w:rsidR="00543539" w:rsidRPr="00B42397">
        <w:t xml:space="preserve">= overall survival; </w:t>
      </w:r>
      <w:r w:rsidRPr="00B42397">
        <w:t>PFS</w:t>
      </w:r>
      <w:r w:rsidR="00CC3E50" w:rsidRPr="00B42397">
        <w:t xml:space="preserve"> </w:t>
      </w:r>
      <w:r w:rsidRPr="00B42397">
        <w:t xml:space="preserve">= progression free survival; </w:t>
      </w:r>
    </w:p>
    <w:p w14:paraId="4EAC3FC0" w14:textId="77777777" w:rsidR="007714BC" w:rsidRPr="00B42397" w:rsidRDefault="007714BC" w:rsidP="007714BC">
      <w:pPr>
        <w:pStyle w:val="TableFigureFooter"/>
      </w:pPr>
      <w:proofErr w:type="gramStart"/>
      <w:r w:rsidRPr="00B42397">
        <w:rPr>
          <w:vertAlign w:val="superscript"/>
        </w:rPr>
        <w:t>a</w:t>
      </w:r>
      <w:proofErr w:type="gramEnd"/>
      <w:r w:rsidR="00CC3E50" w:rsidRPr="00B42397">
        <w:t xml:space="preserve"> </w:t>
      </w:r>
      <w:r w:rsidRPr="00B42397">
        <w:t>2-sided p-value for stratified log-rank test.</w:t>
      </w:r>
    </w:p>
    <w:p w14:paraId="411692D9" w14:textId="77777777" w:rsidR="007714BC" w:rsidRPr="00B42397" w:rsidRDefault="007714BC" w:rsidP="007714BC">
      <w:pPr>
        <w:pStyle w:val="TableFigureFooter"/>
      </w:pPr>
      <w:proofErr w:type="gramStart"/>
      <w:r w:rsidRPr="00B42397">
        <w:rPr>
          <w:vertAlign w:val="superscript"/>
        </w:rPr>
        <w:t>b</w:t>
      </w:r>
      <w:proofErr w:type="gramEnd"/>
      <w:r w:rsidRPr="00B42397">
        <w:t xml:space="preserve"> Stratified by B2 </w:t>
      </w:r>
      <w:proofErr w:type="spellStart"/>
      <w:r w:rsidRPr="00B42397">
        <w:t>microglobulin</w:t>
      </w:r>
      <w:proofErr w:type="spellEnd"/>
      <w:r w:rsidRPr="00B42397">
        <w:t xml:space="preserve"> (&lt;3.5 mg/L vs &gt;=</w:t>
      </w:r>
      <w:r w:rsidR="00CC3E50" w:rsidRPr="00B42397">
        <w:t xml:space="preserve"> </w:t>
      </w:r>
      <w:r w:rsidRPr="00B42397">
        <w:t xml:space="preserve">3.5 mg/L), number of prior lines of therapy (1 vs 2 or 3) and prior </w:t>
      </w:r>
      <w:proofErr w:type="spellStart"/>
      <w:r w:rsidRPr="00B42397">
        <w:t>IMiD</w:t>
      </w:r>
      <w:proofErr w:type="spellEnd"/>
      <w:r w:rsidRPr="00B42397">
        <w:t xml:space="preserve"> (no vs prior thalidomide only vs other) at randomisation</w:t>
      </w:r>
      <w:r w:rsidR="000B4A69" w:rsidRPr="00B42397">
        <w:t>.</w:t>
      </w:r>
    </w:p>
    <w:p w14:paraId="1A0C7077" w14:textId="77777777" w:rsidR="004E7CAE" w:rsidRPr="00B42397" w:rsidRDefault="004E7CAE" w:rsidP="007714BC">
      <w:pPr>
        <w:pStyle w:val="TableFigureFooter"/>
      </w:pPr>
      <w:r w:rsidRPr="00B42397">
        <w:t>Note: ELOQUENT-2 median follow for PFS: 24.5 months (data cut 29 Oct 2014); 46.8 months (data cut 3 Oct 2018); OS:</w:t>
      </w:r>
      <w:r w:rsidR="005D69C0" w:rsidRPr="00B42397">
        <w:t xml:space="preserve"> </w:t>
      </w:r>
      <w:r w:rsidRPr="00B42397">
        <w:t>38.7 months (data cut 29 Oct 2015); 70.9 months (</w:t>
      </w:r>
      <w:r w:rsidR="00323D06" w:rsidRPr="00B42397">
        <w:t>dat</w:t>
      </w:r>
      <w:r w:rsidR="004855AC" w:rsidRPr="00B42397">
        <w:t>a</w:t>
      </w:r>
      <w:r w:rsidR="00323D06" w:rsidRPr="00B42397">
        <w:t xml:space="preserve"> cut </w:t>
      </w:r>
      <w:r w:rsidRPr="00B42397">
        <w:t>3 Oct 2018).</w:t>
      </w:r>
    </w:p>
    <w:p w14:paraId="6A4352B4" w14:textId="77777777" w:rsidR="00543539" w:rsidRPr="00B42397" w:rsidRDefault="00543539" w:rsidP="007714BC">
      <w:pPr>
        <w:pStyle w:val="TableFigureFooter"/>
      </w:pPr>
      <w:r w:rsidRPr="00B42397">
        <w:t>Bold values indicate statistical significance.</w:t>
      </w:r>
    </w:p>
    <w:p w14:paraId="33C8BC8D" w14:textId="77777777" w:rsidR="000B4A69" w:rsidRPr="00B42397" w:rsidRDefault="000B4A69" w:rsidP="007714BC">
      <w:pPr>
        <w:pStyle w:val="TableFigureFooter"/>
      </w:pPr>
    </w:p>
    <w:p w14:paraId="36F63C0C" w14:textId="77777777" w:rsidR="000B4A69" w:rsidRPr="00B42397" w:rsidRDefault="000B4A69" w:rsidP="00695817">
      <w:pPr>
        <w:pStyle w:val="TableFigureFooter"/>
        <w:keepNext/>
        <w:rPr>
          <w:b/>
          <w:bCs/>
          <w:sz w:val="20"/>
          <w:szCs w:val="20"/>
        </w:rPr>
      </w:pPr>
      <w:r w:rsidRPr="00B42397">
        <w:rPr>
          <w:b/>
          <w:bCs/>
          <w:sz w:val="20"/>
          <w:szCs w:val="20"/>
        </w:rPr>
        <w:lastRenderedPageBreak/>
        <w:t xml:space="preserve">Figure </w:t>
      </w:r>
      <w:r w:rsidR="007E1C24" w:rsidRPr="00B42397">
        <w:rPr>
          <w:b/>
          <w:bCs/>
          <w:sz w:val="20"/>
          <w:szCs w:val="20"/>
        </w:rPr>
        <w:t>2</w:t>
      </w:r>
      <w:r w:rsidRPr="00B42397">
        <w:rPr>
          <w:b/>
          <w:bCs/>
          <w:sz w:val="20"/>
          <w:szCs w:val="20"/>
        </w:rPr>
        <w:t>: Kaplan-Meier curve</w:t>
      </w:r>
      <w:r w:rsidR="009977AE" w:rsidRPr="00B42397">
        <w:rPr>
          <w:b/>
          <w:bCs/>
          <w:sz w:val="20"/>
          <w:szCs w:val="20"/>
        </w:rPr>
        <w:t>s for (A)</w:t>
      </w:r>
      <w:r w:rsidRPr="00B42397">
        <w:rPr>
          <w:b/>
          <w:bCs/>
          <w:sz w:val="20"/>
          <w:szCs w:val="20"/>
        </w:rPr>
        <w:t xml:space="preserve"> PFS</w:t>
      </w:r>
      <w:r w:rsidR="00AF2E7F" w:rsidRPr="00B42397">
        <w:rPr>
          <w:b/>
          <w:bCs/>
          <w:sz w:val="20"/>
          <w:szCs w:val="20"/>
        </w:rPr>
        <w:t xml:space="preserve"> </w:t>
      </w:r>
      <w:r w:rsidRPr="00B42397">
        <w:rPr>
          <w:b/>
          <w:bCs/>
          <w:sz w:val="20"/>
          <w:szCs w:val="20"/>
        </w:rPr>
        <w:t xml:space="preserve">and </w:t>
      </w:r>
      <w:r w:rsidR="009977AE" w:rsidRPr="00B42397">
        <w:rPr>
          <w:b/>
          <w:bCs/>
          <w:sz w:val="20"/>
          <w:szCs w:val="20"/>
        </w:rPr>
        <w:t xml:space="preserve">(B) </w:t>
      </w:r>
      <w:r w:rsidRPr="00B42397">
        <w:rPr>
          <w:b/>
          <w:bCs/>
          <w:sz w:val="20"/>
          <w:szCs w:val="20"/>
        </w:rPr>
        <w:t>OS, ELOQUENT-2</w:t>
      </w:r>
      <w:r w:rsidR="000F52C3" w:rsidRPr="00B42397">
        <w:rPr>
          <w:b/>
          <w:bCs/>
          <w:sz w:val="20"/>
          <w:szCs w:val="20"/>
        </w:rPr>
        <w:t xml:space="preserve"> (</w:t>
      </w:r>
      <w:r w:rsidR="000F52C3" w:rsidRPr="00B42397">
        <w:rPr>
          <w:b/>
          <w:sz w:val="20"/>
          <w:szCs w:val="20"/>
        </w:rPr>
        <w:t>3 Oct 2018 data-cut)</w:t>
      </w:r>
      <w:r w:rsidR="000F52C3" w:rsidRPr="00B42397">
        <w:rPr>
          <w:b/>
          <w:bCs/>
          <w:sz w:val="20"/>
          <w:szCs w:val="20"/>
        </w:rPr>
        <w:t xml:space="preserve"> </w:t>
      </w:r>
      <w:r w:rsidRPr="00B42397">
        <w:rPr>
          <w:b/>
          <w:bCs/>
          <w:sz w:val="20"/>
          <w:szCs w:val="20"/>
        </w:rPr>
        <w:t xml:space="preserve"> </w:t>
      </w:r>
    </w:p>
    <w:tbl>
      <w:tblPr>
        <w:tblStyle w:val="TableGrid"/>
        <w:tblW w:w="0" w:type="auto"/>
        <w:tblLook w:val="04A0" w:firstRow="1" w:lastRow="0" w:firstColumn="1" w:lastColumn="0" w:noHBand="0" w:noVBand="1"/>
      </w:tblPr>
      <w:tblGrid>
        <w:gridCol w:w="9017"/>
      </w:tblGrid>
      <w:tr w:rsidR="000B4A69" w:rsidRPr="00B42397" w14:paraId="522A5A82" w14:textId="77777777" w:rsidTr="001F619B">
        <w:trPr>
          <w:tblHeader/>
        </w:trPr>
        <w:tc>
          <w:tcPr>
            <w:tcW w:w="9017" w:type="dxa"/>
            <w:tcBorders>
              <w:top w:val="nil"/>
              <w:left w:val="nil"/>
              <w:bottom w:val="nil"/>
              <w:right w:val="nil"/>
            </w:tcBorders>
          </w:tcPr>
          <w:p w14:paraId="1F6A757F" w14:textId="77777777" w:rsidR="000B4A69" w:rsidRPr="00B42397" w:rsidRDefault="009977AE" w:rsidP="00695817">
            <w:pPr>
              <w:pStyle w:val="TableFigureFooter"/>
              <w:keepNext/>
              <w:rPr>
                <w:b/>
                <w:sz w:val="20"/>
                <w:szCs w:val="20"/>
              </w:rPr>
            </w:pPr>
            <w:r w:rsidRPr="00B42397">
              <w:rPr>
                <w:b/>
                <w:sz w:val="20"/>
                <w:szCs w:val="20"/>
              </w:rPr>
              <w:t xml:space="preserve">A: </w:t>
            </w:r>
            <w:r w:rsidR="000B4A69" w:rsidRPr="00B42397">
              <w:rPr>
                <w:b/>
                <w:sz w:val="20"/>
                <w:szCs w:val="20"/>
              </w:rPr>
              <w:t xml:space="preserve">PFS </w:t>
            </w:r>
            <w:r w:rsidR="005D69C0" w:rsidRPr="00B42397">
              <w:rPr>
                <w:b/>
                <w:sz w:val="20"/>
                <w:szCs w:val="20"/>
              </w:rPr>
              <w:t>(median duration of follow-up = 46.8 months)</w:t>
            </w:r>
          </w:p>
        </w:tc>
      </w:tr>
      <w:tr w:rsidR="000B4A69" w:rsidRPr="00B42397" w14:paraId="31A01785" w14:textId="77777777" w:rsidTr="001F619B">
        <w:tc>
          <w:tcPr>
            <w:tcW w:w="9017" w:type="dxa"/>
            <w:tcBorders>
              <w:top w:val="nil"/>
              <w:left w:val="nil"/>
              <w:bottom w:val="nil"/>
              <w:right w:val="nil"/>
            </w:tcBorders>
          </w:tcPr>
          <w:p w14:paraId="3DDF111B" w14:textId="77777777" w:rsidR="000B4A69" w:rsidRPr="00B42397" w:rsidRDefault="000B4A69" w:rsidP="00695817">
            <w:pPr>
              <w:pStyle w:val="TableFigureFooter"/>
              <w:keepNext/>
            </w:pPr>
            <w:r w:rsidRPr="00B42397">
              <w:rPr>
                <w:noProof/>
              </w:rPr>
              <w:drawing>
                <wp:inline distT="0" distB="0" distL="0" distR="0" wp14:anchorId="2ED88704" wp14:editId="6F5C5A4E">
                  <wp:extent cx="3668889" cy="2848459"/>
                  <wp:effectExtent l="0" t="0" r="8255" b="9525"/>
                  <wp:docPr id="22" name="Picture 22" title="Figure 2: Kaplan-Meier curves for (A) PFS and (B) OS, ELOQUENT-2 (3 Oct 2018 data-c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2322" cy="2851124"/>
                          </a:xfrm>
                          <a:prstGeom prst="rect">
                            <a:avLst/>
                          </a:prstGeom>
                          <a:noFill/>
                        </pic:spPr>
                      </pic:pic>
                    </a:graphicData>
                  </a:graphic>
                </wp:inline>
              </w:drawing>
            </w:r>
          </w:p>
        </w:tc>
      </w:tr>
      <w:tr w:rsidR="000B4A69" w:rsidRPr="00B42397" w14:paraId="2202A21B" w14:textId="77777777" w:rsidTr="001F619B">
        <w:tc>
          <w:tcPr>
            <w:tcW w:w="9017" w:type="dxa"/>
            <w:tcBorders>
              <w:top w:val="nil"/>
              <w:left w:val="nil"/>
              <w:bottom w:val="nil"/>
              <w:right w:val="nil"/>
            </w:tcBorders>
          </w:tcPr>
          <w:p w14:paraId="65B31392" w14:textId="77777777" w:rsidR="000B4A69" w:rsidRPr="00B42397" w:rsidRDefault="009977AE" w:rsidP="00695817">
            <w:pPr>
              <w:pStyle w:val="Tablenotes"/>
              <w:keepNext/>
              <w:spacing w:after="0"/>
              <w:rPr>
                <w:rFonts w:ascii="Arial Narrow" w:hAnsi="Arial Narrow"/>
                <w:b/>
                <w:bCs/>
                <w:sz w:val="20"/>
              </w:rPr>
            </w:pPr>
            <w:r w:rsidRPr="00B42397">
              <w:rPr>
                <w:rFonts w:ascii="Arial Narrow" w:hAnsi="Arial Narrow"/>
                <w:b/>
                <w:sz w:val="20"/>
              </w:rPr>
              <w:t xml:space="preserve">B: </w:t>
            </w:r>
            <w:r w:rsidR="000B4A69" w:rsidRPr="00B42397">
              <w:rPr>
                <w:rFonts w:ascii="Arial Narrow" w:hAnsi="Arial Narrow"/>
                <w:b/>
                <w:sz w:val="20"/>
              </w:rPr>
              <w:t>OS</w:t>
            </w:r>
            <w:r w:rsidRPr="00B42397">
              <w:rPr>
                <w:rFonts w:ascii="Arial Narrow" w:hAnsi="Arial Narrow"/>
                <w:b/>
                <w:sz w:val="20"/>
              </w:rPr>
              <w:t xml:space="preserve"> </w:t>
            </w:r>
            <w:r w:rsidR="005D69C0" w:rsidRPr="00B42397">
              <w:rPr>
                <w:rFonts w:ascii="Arial Narrow" w:hAnsi="Arial Narrow"/>
                <w:b/>
                <w:sz w:val="20"/>
              </w:rPr>
              <w:t>(median duration of follow-up = 70.9 months)</w:t>
            </w:r>
          </w:p>
        </w:tc>
      </w:tr>
      <w:tr w:rsidR="000B4A69" w:rsidRPr="00B42397" w14:paraId="721B0134" w14:textId="77777777" w:rsidTr="001F619B">
        <w:tc>
          <w:tcPr>
            <w:tcW w:w="9017" w:type="dxa"/>
            <w:tcBorders>
              <w:top w:val="nil"/>
              <w:left w:val="nil"/>
              <w:bottom w:val="nil"/>
              <w:right w:val="nil"/>
            </w:tcBorders>
          </w:tcPr>
          <w:p w14:paraId="5A11A605" w14:textId="77777777" w:rsidR="000B4A69" w:rsidRPr="00B42397" w:rsidRDefault="000B4A69" w:rsidP="007714BC">
            <w:pPr>
              <w:pStyle w:val="TableFigureFooter"/>
            </w:pPr>
            <w:r w:rsidRPr="00B42397">
              <w:rPr>
                <w:noProof/>
              </w:rPr>
              <w:drawing>
                <wp:inline distT="0" distB="0" distL="0" distR="0" wp14:anchorId="46F12080" wp14:editId="05A7A69D">
                  <wp:extent cx="4196220" cy="3355302"/>
                  <wp:effectExtent l="0" t="0" r="0" b="0"/>
                  <wp:docPr id="18" name="Picture 18" title="Figure 2: Kaplan-Meier curves for (A) PFS and (B) OS, ELOQUENT-2 (3 Oct 2018 data-c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9229" cy="3365704"/>
                          </a:xfrm>
                          <a:prstGeom prst="rect">
                            <a:avLst/>
                          </a:prstGeom>
                          <a:noFill/>
                          <a:ln>
                            <a:noFill/>
                          </a:ln>
                        </pic:spPr>
                      </pic:pic>
                    </a:graphicData>
                  </a:graphic>
                </wp:inline>
              </w:drawing>
            </w:r>
          </w:p>
        </w:tc>
      </w:tr>
    </w:tbl>
    <w:p w14:paraId="110A1D9B" w14:textId="77777777" w:rsidR="000B4A69" w:rsidRPr="00B42397" w:rsidRDefault="000B4A69" w:rsidP="000B4A69">
      <w:pPr>
        <w:pStyle w:val="TableFigureFooter"/>
      </w:pPr>
      <w:r w:rsidRPr="00B42397">
        <w:t>Source: Figure 2.5.4, Figure 2.5.8,</w:t>
      </w:r>
      <w:r w:rsidR="008E7B46" w:rsidRPr="00B42397">
        <w:t xml:space="preserve"> </w:t>
      </w:r>
      <w:r w:rsidRPr="00B42397">
        <w:t xml:space="preserve">of the submission. </w:t>
      </w:r>
    </w:p>
    <w:p w14:paraId="4C1E8492" w14:textId="77777777" w:rsidR="000B4A69" w:rsidRPr="00B42397" w:rsidRDefault="000B4A69" w:rsidP="000B4A69">
      <w:pPr>
        <w:pStyle w:val="TableFigureFooter"/>
      </w:pPr>
      <w:r w:rsidRPr="00B42397">
        <w:t>CI =</w:t>
      </w:r>
      <w:r w:rsidR="00CC3E50" w:rsidRPr="00B42397">
        <w:t xml:space="preserve"> </w:t>
      </w:r>
      <w:r w:rsidRPr="00B42397">
        <w:t>confidence interval; E-</w:t>
      </w:r>
      <w:proofErr w:type="spellStart"/>
      <w:r w:rsidRPr="00B42397">
        <w:t>Ld</w:t>
      </w:r>
      <w:proofErr w:type="spellEnd"/>
      <w:r w:rsidRPr="00B42397">
        <w:t xml:space="preserve"> =</w:t>
      </w:r>
      <w:r w:rsidR="00CC3E50" w:rsidRPr="00B42397">
        <w:t xml:space="preserve"> </w:t>
      </w:r>
      <w:r w:rsidRPr="00B42397">
        <w:t xml:space="preserve">elotuzumab + lenalidomide + dexamethasone; IRC = independent review committee; KM = Kaplan Meier; </w:t>
      </w:r>
      <w:proofErr w:type="spellStart"/>
      <w:proofErr w:type="gramStart"/>
      <w:r w:rsidRPr="00B42397">
        <w:t>Ld</w:t>
      </w:r>
      <w:proofErr w:type="spellEnd"/>
      <w:proofErr w:type="gramEnd"/>
      <w:r w:rsidRPr="00B42397">
        <w:t xml:space="preserve"> = lenalidomide + dexamethasone; NE = not estimable; OS = overall survival; PFS = progression free survival.</w:t>
      </w:r>
    </w:p>
    <w:p w14:paraId="49D0B6E5" w14:textId="77777777" w:rsidR="000B4A69" w:rsidRPr="00B42397" w:rsidRDefault="000B4A69" w:rsidP="007714BC">
      <w:pPr>
        <w:pStyle w:val="TableFigureFooter"/>
      </w:pPr>
    </w:p>
    <w:p w14:paraId="67055192" w14:textId="77777777" w:rsidR="00543539" w:rsidRPr="00B42397" w:rsidRDefault="00543539" w:rsidP="00543539">
      <w:pPr>
        <w:pStyle w:val="3-BodyText"/>
        <w:rPr>
          <w:color w:val="000000" w:themeColor="text1"/>
        </w:rPr>
      </w:pPr>
      <w:r w:rsidRPr="00B42397">
        <w:rPr>
          <w:snapToGrid/>
          <w:color w:val="000000" w:themeColor="text1"/>
        </w:rPr>
        <w:t xml:space="preserve">The results </w:t>
      </w:r>
      <w:r w:rsidR="0023722B" w:rsidRPr="00B42397">
        <w:rPr>
          <w:snapToGrid/>
          <w:color w:val="000000" w:themeColor="text1"/>
        </w:rPr>
        <w:t>for</w:t>
      </w:r>
      <w:r w:rsidRPr="00B42397">
        <w:rPr>
          <w:snapToGrid/>
          <w:color w:val="000000" w:themeColor="text1"/>
        </w:rPr>
        <w:t xml:space="preserve"> </w:t>
      </w:r>
      <w:r w:rsidR="008E7B46" w:rsidRPr="00B42397">
        <w:rPr>
          <w:snapToGrid/>
          <w:color w:val="000000" w:themeColor="text1"/>
        </w:rPr>
        <w:t>objective response rate (</w:t>
      </w:r>
      <w:r w:rsidR="004E7CAE" w:rsidRPr="00B42397">
        <w:rPr>
          <w:snapToGrid/>
          <w:color w:val="000000" w:themeColor="text1"/>
        </w:rPr>
        <w:t>ORR</w:t>
      </w:r>
      <w:r w:rsidR="008E7B46" w:rsidRPr="00B42397">
        <w:rPr>
          <w:snapToGrid/>
          <w:color w:val="000000" w:themeColor="text1"/>
        </w:rPr>
        <w:t>)</w:t>
      </w:r>
      <w:r w:rsidR="004E7CAE" w:rsidRPr="00B42397">
        <w:rPr>
          <w:snapToGrid/>
          <w:color w:val="000000" w:themeColor="text1"/>
        </w:rPr>
        <w:t xml:space="preserve"> are presented in Table </w:t>
      </w:r>
      <w:r w:rsidR="00421BB2" w:rsidRPr="00B42397">
        <w:rPr>
          <w:snapToGrid/>
          <w:color w:val="000000" w:themeColor="text1"/>
        </w:rPr>
        <w:t>5</w:t>
      </w:r>
      <w:r w:rsidR="004E7CAE" w:rsidRPr="00B42397">
        <w:rPr>
          <w:snapToGrid/>
          <w:color w:val="000000" w:themeColor="text1"/>
        </w:rPr>
        <w:t xml:space="preserve">. Patients </w:t>
      </w:r>
      <w:r w:rsidRPr="00B42397">
        <w:rPr>
          <w:snapToGrid/>
          <w:color w:val="000000" w:themeColor="text1"/>
        </w:rPr>
        <w:t xml:space="preserve">in the </w:t>
      </w:r>
      <w:proofErr w:type="spellStart"/>
      <w:r w:rsidR="001F5659" w:rsidRPr="00B42397">
        <w:rPr>
          <w:snapToGrid/>
          <w:color w:val="000000" w:themeColor="text1"/>
        </w:rPr>
        <w:t>ELd</w:t>
      </w:r>
      <w:proofErr w:type="spellEnd"/>
      <w:r w:rsidRPr="00B42397">
        <w:rPr>
          <w:snapToGrid/>
          <w:color w:val="000000" w:themeColor="text1"/>
        </w:rPr>
        <w:t xml:space="preserve"> arm had </w:t>
      </w:r>
      <w:r w:rsidR="0023722B" w:rsidRPr="00B42397">
        <w:rPr>
          <w:snapToGrid/>
          <w:color w:val="000000" w:themeColor="text1"/>
        </w:rPr>
        <w:t xml:space="preserve">a </w:t>
      </w:r>
      <w:r w:rsidRPr="00B42397">
        <w:rPr>
          <w:snapToGrid/>
          <w:color w:val="000000" w:themeColor="text1"/>
        </w:rPr>
        <w:t xml:space="preserve">statistically significantly </w:t>
      </w:r>
      <w:r w:rsidR="0023722B" w:rsidRPr="00B42397">
        <w:rPr>
          <w:snapToGrid/>
          <w:color w:val="000000" w:themeColor="text1"/>
        </w:rPr>
        <w:t xml:space="preserve">higher </w:t>
      </w:r>
      <w:r w:rsidR="004E7CAE" w:rsidRPr="00B42397">
        <w:rPr>
          <w:snapToGrid/>
          <w:color w:val="000000" w:themeColor="text1"/>
        </w:rPr>
        <w:t>ORR</w:t>
      </w:r>
      <w:r w:rsidRPr="00B42397">
        <w:rPr>
          <w:snapToGrid/>
          <w:color w:val="000000" w:themeColor="text1"/>
        </w:rPr>
        <w:t xml:space="preserve"> compared to </w:t>
      </w:r>
      <w:proofErr w:type="spellStart"/>
      <w:proofErr w:type="gramStart"/>
      <w:r w:rsidR="001F5659" w:rsidRPr="00B42397">
        <w:rPr>
          <w:snapToGrid/>
          <w:color w:val="000000" w:themeColor="text1"/>
        </w:rPr>
        <w:t>Ld</w:t>
      </w:r>
      <w:proofErr w:type="spellEnd"/>
      <w:proofErr w:type="gramEnd"/>
      <w:r w:rsidR="00E92374" w:rsidRPr="00B42397">
        <w:rPr>
          <w:snapToGrid/>
          <w:color w:val="000000" w:themeColor="text1"/>
        </w:rPr>
        <w:t xml:space="preserve"> at both data cuts</w:t>
      </w:r>
      <w:r w:rsidRPr="00B42397">
        <w:rPr>
          <w:snapToGrid/>
          <w:color w:val="000000" w:themeColor="text1"/>
        </w:rPr>
        <w:t xml:space="preserve">. </w:t>
      </w:r>
    </w:p>
    <w:p w14:paraId="52173AD6" w14:textId="77777777" w:rsidR="00EF0171" w:rsidRPr="00B42397" w:rsidRDefault="00EF0171" w:rsidP="00D86231">
      <w:pPr>
        <w:pStyle w:val="TableFigureHeading"/>
      </w:pPr>
      <w:r w:rsidRPr="00B42397">
        <w:lastRenderedPageBreak/>
        <w:t xml:space="preserve">Table </w:t>
      </w:r>
      <w:r w:rsidR="00421BB2" w:rsidRPr="00B42397">
        <w:t>5</w:t>
      </w:r>
      <w:r w:rsidRPr="00B42397">
        <w:t xml:space="preserve">: Results of </w:t>
      </w:r>
      <w:r w:rsidR="00543539" w:rsidRPr="00B42397">
        <w:t>ORR</w:t>
      </w:r>
      <w:r w:rsidRPr="00B42397">
        <w:t xml:space="preserve"> </w:t>
      </w:r>
      <w:r w:rsidR="004E7CAE" w:rsidRPr="00B42397">
        <w:t>in ELOQUENT-2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1417"/>
        <w:gridCol w:w="992"/>
        <w:gridCol w:w="1416"/>
        <w:gridCol w:w="994"/>
        <w:gridCol w:w="992"/>
        <w:gridCol w:w="902"/>
        <w:gridCol w:w="1032"/>
      </w:tblGrid>
      <w:tr w:rsidR="00C53057" w:rsidRPr="00B42397" w14:paraId="2BBE79D2" w14:textId="77777777" w:rsidTr="005D69C0">
        <w:trPr>
          <w:cantSplit/>
          <w:tblHeader/>
        </w:trPr>
        <w:tc>
          <w:tcPr>
            <w:tcW w:w="705" w:type="pct"/>
            <w:vMerge w:val="restart"/>
            <w:vAlign w:val="center"/>
          </w:tcPr>
          <w:p w14:paraId="6038F3B0" w14:textId="77777777" w:rsidR="00C53057" w:rsidRPr="00B42397" w:rsidRDefault="00C53057" w:rsidP="0023722B">
            <w:pPr>
              <w:pStyle w:val="In-tableHeading"/>
              <w:rPr>
                <w:b w:val="0"/>
                <w:bCs/>
                <w:lang w:val="en-AU"/>
              </w:rPr>
            </w:pPr>
          </w:p>
        </w:tc>
        <w:tc>
          <w:tcPr>
            <w:tcW w:w="1336" w:type="pct"/>
            <w:gridSpan w:val="2"/>
            <w:vAlign w:val="center"/>
          </w:tcPr>
          <w:p w14:paraId="03E99FE0" w14:textId="77777777" w:rsidR="00C53057" w:rsidRPr="00B42397" w:rsidRDefault="001F5659" w:rsidP="0023722B">
            <w:pPr>
              <w:pStyle w:val="In-tableHeading"/>
              <w:jc w:val="center"/>
              <w:rPr>
                <w:lang w:val="en-AU"/>
              </w:rPr>
            </w:pPr>
            <w:proofErr w:type="spellStart"/>
            <w:r w:rsidRPr="00B42397">
              <w:rPr>
                <w:lang w:val="en-AU"/>
              </w:rPr>
              <w:t>ELd</w:t>
            </w:r>
            <w:proofErr w:type="spellEnd"/>
          </w:p>
        </w:tc>
        <w:tc>
          <w:tcPr>
            <w:tcW w:w="1336" w:type="pct"/>
            <w:gridSpan w:val="2"/>
            <w:vAlign w:val="center"/>
          </w:tcPr>
          <w:p w14:paraId="34A70E4C" w14:textId="77777777" w:rsidR="00C53057" w:rsidRPr="00B42397" w:rsidRDefault="001F5659" w:rsidP="0023722B">
            <w:pPr>
              <w:pStyle w:val="In-tableHeading"/>
              <w:jc w:val="center"/>
              <w:rPr>
                <w:lang w:val="en-AU"/>
              </w:rPr>
            </w:pPr>
            <w:proofErr w:type="spellStart"/>
            <w:r w:rsidRPr="00B42397">
              <w:rPr>
                <w:lang w:val="en-AU"/>
              </w:rPr>
              <w:t>Ld</w:t>
            </w:r>
            <w:proofErr w:type="spellEnd"/>
          </w:p>
        </w:tc>
        <w:tc>
          <w:tcPr>
            <w:tcW w:w="550" w:type="pct"/>
            <w:vMerge w:val="restart"/>
            <w:vAlign w:val="center"/>
          </w:tcPr>
          <w:p w14:paraId="07DC3CC0" w14:textId="77777777" w:rsidR="00C53057" w:rsidRPr="00B42397" w:rsidRDefault="00C53057" w:rsidP="0023722B">
            <w:pPr>
              <w:pStyle w:val="In-tableHeading"/>
              <w:jc w:val="center"/>
              <w:rPr>
                <w:lang w:val="en-AU"/>
              </w:rPr>
            </w:pPr>
            <w:r w:rsidRPr="00B42397">
              <w:rPr>
                <w:lang w:val="en-AU"/>
              </w:rPr>
              <w:t>Difference in median</w:t>
            </w:r>
          </w:p>
        </w:tc>
        <w:tc>
          <w:tcPr>
            <w:tcW w:w="500" w:type="pct"/>
            <w:vMerge w:val="restart"/>
            <w:vAlign w:val="center"/>
          </w:tcPr>
          <w:p w14:paraId="27133BA3" w14:textId="77777777" w:rsidR="00C53057" w:rsidRPr="00B42397" w:rsidRDefault="00C53057" w:rsidP="0023722B">
            <w:pPr>
              <w:pStyle w:val="In-tableHeading"/>
              <w:jc w:val="center"/>
              <w:rPr>
                <w:lang w:val="en-AU"/>
              </w:rPr>
            </w:pPr>
            <w:r w:rsidRPr="00B42397">
              <w:rPr>
                <w:lang w:val="en-AU"/>
              </w:rPr>
              <w:t>P value</w:t>
            </w:r>
          </w:p>
          <w:p w14:paraId="27E3A44C" w14:textId="77777777" w:rsidR="00C53057" w:rsidRPr="00B42397" w:rsidRDefault="00C53057" w:rsidP="0023722B">
            <w:pPr>
              <w:pStyle w:val="In-tableHeading"/>
              <w:jc w:val="center"/>
              <w:rPr>
                <w:lang w:val="en-AU"/>
              </w:rPr>
            </w:pPr>
            <w:r w:rsidRPr="00B42397">
              <w:rPr>
                <w:lang w:val="en-AU"/>
              </w:rPr>
              <w:t>(log rank test)</w:t>
            </w:r>
          </w:p>
        </w:tc>
        <w:tc>
          <w:tcPr>
            <w:tcW w:w="572" w:type="pct"/>
            <w:vMerge w:val="restart"/>
            <w:vAlign w:val="center"/>
          </w:tcPr>
          <w:p w14:paraId="6322C768" w14:textId="77777777" w:rsidR="00C53057" w:rsidRPr="00B42397" w:rsidRDefault="00C53057" w:rsidP="0023722B">
            <w:pPr>
              <w:pStyle w:val="In-tableHeading"/>
              <w:jc w:val="center"/>
              <w:rPr>
                <w:lang w:val="en-AU"/>
              </w:rPr>
            </w:pPr>
            <w:r w:rsidRPr="00B42397">
              <w:rPr>
                <w:lang w:val="en-AU"/>
              </w:rPr>
              <w:t>Haza</w:t>
            </w:r>
            <w:r w:rsidR="00833A74" w:rsidRPr="00B42397">
              <w:rPr>
                <w:lang w:val="en-AU"/>
              </w:rPr>
              <w:t>r</w:t>
            </w:r>
            <w:r w:rsidR="001F5659" w:rsidRPr="00B42397">
              <w:rPr>
                <w:lang w:val="en-AU"/>
              </w:rPr>
              <w:t>d</w:t>
            </w:r>
            <w:r w:rsidRPr="00B42397">
              <w:rPr>
                <w:lang w:val="en-AU"/>
              </w:rPr>
              <w:t xml:space="preserve"> </w:t>
            </w:r>
            <w:proofErr w:type="spellStart"/>
            <w:r w:rsidRPr="00B42397">
              <w:rPr>
                <w:lang w:val="en-AU"/>
              </w:rPr>
              <w:t>ratio</w:t>
            </w:r>
            <w:r w:rsidRPr="00B42397">
              <w:rPr>
                <w:vertAlign w:val="superscript"/>
                <w:lang w:val="en-AU"/>
              </w:rPr>
              <w:t>a</w:t>
            </w:r>
            <w:proofErr w:type="spellEnd"/>
            <w:r w:rsidRPr="00B42397">
              <w:rPr>
                <w:lang w:val="en-AU"/>
              </w:rPr>
              <w:t xml:space="preserve"> </w:t>
            </w:r>
          </w:p>
          <w:p w14:paraId="4848CBC7" w14:textId="77777777" w:rsidR="00C53057" w:rsidRPr="00B42397" w:rsidRDefault="00C53057" w:rsidP="0023722B">
            <w:pPr>
              <w:pStyle w:val="In-tableHeading"/>
              <w:jc w:val="center"/>
              <w:rPr>
                <w:lang w:val="en-AU"/>
              </w:rPr>
            </w:pPr>
            <w:r w:rsidRPr="00B42397">
              <w:rPr>
                <w:lang w:val="en-AU"/>
              </w:rPr>
              <w:t>(95% CI)</w:t>
            </w:r>
          </w:p>
        </w:tc>
      </w:tr>
      <w:tr w:rsidR="00C53057" w:rsidRPr="00B42397" w14:paraId="13F36176" w14:textId="77777777" w:rsidTr="005D69C0">
        <w:trPr>
          <w:cantSplit/>
        </w:trPr>
        <w:tc>
          <w:tcPr>
            <w:tcW w:w="705" w:type="pct"/>
            <w:vMerge/>
            <w:vAlign w:val="center"/>
          </w:tcPr>
          <w:p w14:paraId="45542FAD" w14:textId="77777777" w:rsidR="00C53057" w:rsidRPr="00B42397" w:rsidRDefault="00C53057" w:rsidP="0023722B">
            <w:pPr>
              <w:pStyle w:val="TableText0"/>
            </w:pPr>
          </w:p>
        </w:tc>
        <w:tc>
          <w:tcPr>
            <w:tcW w:w="786" w:type="pct"/>
            <w:vAlign w:val="center"/>
          </w:tcPr>
          <w:p w14:paraId="49B5D724" w14:textId="77777777" w:rsidR="00C53057" w:rsidRPr="00B42397" w:rsidRDefault="00C53057" w:rsidP="009977AE">
            <w:pPr>
              <w:pStyle w:val="TableText0"/>
              <w:jc w:val="center"/>
              <w:rPr>
                <w:b/>
              </w:rPr>
            </w:pPr>
            <w:proofErr w:type="gramStart"/>
            <w:r w:rsidRPr="00B42397">
              <w:rPr>
                <w:b/>
              </w:rPr>
              <w:t>n</w:t>
            </w:r>
            <w:r w:rsidR="00E92374" w:rsidRPr="00B42397">
              <w:rPr>
                <w:b/>
              </w:rPr>
              <w:t>/</w:t>
            </w:r>
            <w:r w:rsidRPr="00B42397">
              <w:rPr>
                <w:b/>
              </w:rPr>
              <w:t>N</w:t>
            </w:r>
            <w:proofErr w:type="gramEnd"/>
            <w:r w:rsidRPr="00B42397">
              <w:rPr>
                <w:b/>
              </w:rPr>
              <w:t xml:space="preserve"> (%)</w:t>
            </w:r>
          </w:p>
        </w:tc>
        <w:tc>
          <w:tcPr>
            <w:tcW w:w="550" w:type="pct"/>
            <w:vAlign w:val="center"/>
          </w:tcPr>
          <w:p w14:paraId="600B4B01" w14:textId="77777777" w:rsidR="00C53057" w:rsidRPr="00B42397" w:rsidRDefault="00C53057" w:rsidP="005D69C0">
            <w:pPr>
              <w:pStyle w:val="TableText0"/>
              <w:jc w:val="center"/>
              <w:rPr>
                <w:b/>
              </w:rPr>
            </w:pPr>
            <w:r w:rsidRPr="00B42397">
              <w:rPr>
                <w:b/>
              </w:rPr>
              <w:t>Median</w:t>
            </w:r>
            <w:r w:rsidR="00D11488" w:rsidRPr="00B42397">
              <w:rPr>
                <w:b/>
              </w:rPr>
              <w:t>, months</w:t>
            </w:r>
          </w:p>
        </w:tc>
        <w:tc>
          <w:tcPr>
            <w:tcW w:w="785" w:type="pct"/>
            <w:vAlign w:val="center"/>
          </w:tcPr>
          <w:p w14:paraId="2C4957C8" w14:textId="77777777" w:rsidR="00C53057" w:rsidRPr="00B42397" w:rsidRDefault="00C53057" w:rsidP="00E92374">
            <w:pPr>
              <w:pStyle w:val="TableText0"/>
              <w:jc w:val="center"/>
              <w:rPr>
                <w:b/>
              </w:rPr>
            </w:pPr>
            <w:proofErr w:type="gramStart"/>
            <w:r w:rsidRPr="00B42397">
              <w:rPr>
                <w:b/>
              </w:rPr>
              <w:t>n</w:t>
            </w:r>
            <w:r w:rsidR="00E92374" w:rsidRPr="00B42397">
              <w:rPr>
                <w:b/>
              </w:rPr>
              <w:t>/</w:t>
            </w:r>
            <w:r w:rsidRPr="00B42397">
              <w:rPr>
                <w:b/>
              </w:rPr>
              <w:t>N</w:t>
            </w:r>
            <w:proofErr w:type="gramEnd"/>
            <w:r w:rsidRPr="00B42397">
              <w:rPr>
                <w:b/>
              </w:rPr>
              <w:t xml:space="preserve"> (%)</w:t>
            </w:r>
          </w:p>
        </w:tc>
        <w:tc>
          <w:tcPr>
            <w:tcW w:w="551" w:type="pct"/>
            <w:vAlign w:val="center"/>
          </w:tcPr>
          <w:p w14:paraId="14B95526" w14:textId="77777777" w:rsidR="00C53057" w:rsidRPr="00B42397" w:rsidRDefault="00C53057" w:rsidP="005D69C0">
            <w:pPr>
              <w:pStyle w:val="TableText0"/>
              <w:jc w:val="center"/>
              <w:rPr>
                <w:b/>
              </w:rPr>
            </w:pPr>
            <w:r w:rsidRPr="00B42397">
              <w:rPr>
                <w:b/>
              </w:rPr>
              <w:t>Median</w:t>
            </w:r>
            <w:r w:rsidR="00D11488" w:rsidRPr="00B42397">
              <w:rPr>
                <w:b/>
              </w:rPr>
              <w:t>, months</w:t>
            </w:r>
            <w:r w:rsidRPr="00B42397">
              <w:rPr>
                <w:b/>
              </w:rPr>
              <w:t xml:space="preserve"> </w:t>
            </w:r>
          </w:p>
        </w:tc>
        <w:tc>
          <w:tcPr>
            <w:tcW w:w="550" w:type="pct"/>
            <w:vMerge/>
            <w:vAlign w:val="center"/>
          </w:tcPr>
          <w:p w14:paraId="25043CD7" w14:textId="77777777" w:rsidR="00C53057" w:rsidRPr="00B42397" w:rsidRDefault="00C53057" w:rsidP="0023722B">
            <w:pPr>
              <w:pStyle w:val="TableText0"/>
              <w:jc w:val="center"/>
            </w:pPr>
          </w:p>
        </w:tc>
        <w:tc>
          <w:tcPr>
            <w:tcW w:w="500" w:type="pct"/>
            <w:vMerge/>
            <w:vAlign w:val="center"/>
          </w:tcPr>
          <w:p w14:paraId="2E9EDA20" w14:textId="77777777" w:rsidR="00C53057" w:rsidRPr="00B42397" w:rsidRDefault="00C53057" w:rsidP="0023722B">
            <w:pPr>
              <w:pStyle w:val="TableText0"/>
              <w:jc w:val="center"/>
            </w:pPr>
          </w:p>
        </w:tc>
        <w:tc>
          <w:tcPr>
            <w:tcW w:w="572" w:type="pct"/>
            <w:vMerge/>
            <w:vAlign w:val="center"/>
          </w:tcPr>
          <w:p w14:paraId="1F22C52F" w14:textId="77777777" w:rsidR="00C53057" w:rsidRPr="00B42397" w:rsidRDefault="00C53057" w:rsidP="0023722B">
            <w:pPr>
              <w:pStyle w:val="TableText0"/>
              <w:jc w:val="center"/>
            </w:pPr>
          </w:p>
        </w:tc>
      </w:tr>
      <w:tr w:rsidR="00543539" w:rsidRPr="00B42397" w14:paraId="29870E36" w14:textId="77777777" w:rsidTr="005D69C0">
        <w:trPr>
          <w:cantSplit/>
        </w:trPr>
        <w:tc>
          <w:tcPr>
            <w:tcW w:w="705" w:type="pct"/>
            <w:vAlign w:val="center"/>
          </w:tcPr>
          <w:p w14:paraId="7AEEA6FB" w14:textId="77777777" w:rsidR="00543539" w:rsidRPr="00B42397" w:rsidRDefault="00543539" w:rsidP="0023722B">
            <w:pPr>
              <w:pStyle w:val="TableText0"/>
            </w:pPr>
            <w:r w:rsidRPr="00B42397">
              <w:t>29 Oct 2014 data-cut</w:t>
            </w:r>
          </w:p>
        </w:tc>
        <w:tc>
          <w:tcPr>
            <w:tcW w:w="786" w:type="pct"/>
            <w:vAlign w:val="center"/>
          </w:tcPr>
          <w:p w14:paraId="3088F773" w14:textId="77777777" w:rsidR="00543539" w:rsidRPr="00B42397" w:rsidRDefault="00543539" w:rsidP="005D69C0">
            <w:pPr>
              <w:pStyle w:val="TableText0"/>
              <w:jc w:val="center"/>
            </w:pPr>
            <w:r w:rsidRPr="00B42397">
              <w:t>252</w:t>
            </w:r>
            <w:r w:rsidR="00B311D6" w:rsidRPr="00B42397">
              <w:t>/321</w:t>
            </w:r>
            <w:r w:rsidR="005D69C0" w:rsidRPr="00B42397">
              <w:t xml:space="preserve"> </w:t>
            </w:r>
            <w:r w:rsidRPr="00B42397">
              <w:t>(78.5%)</w:t>
            </w:r>
          </w:p>
        </w:tc>
        <w:tc>
          <w:tcPr>
            <w:tcW w:w="550" w:type="pct"/>
            <w:vAlign w:val="center"/>
          </w:tcPr>
          <w:p w14:paraId="1189D1D2" w14:textId="77777777" w:rsidR="00543539" w:rsidRPr="00B42397" w:rsidRDefault="004E7CAE" w:rsidP="0023722B">
            <w:pPr>
              <w:pStyle w:val="TableText0"/>
              <w:jc w:val="center"/>
            </w:pPr>
            <w:r w:rsidRPr="00B42397">
              <w:t>NR</w:t>
            </w:r>
            <w:r w:rsidR="00543539" w:rsidRPr="00B42397">
              <w:t xml:space="preserve"> </w:t>
            </w:r>
          </w:p>
        </w:tc>
        <w:tc>
          <w:tcPr>
            <w:tcW w:w="785" w:type="pct"/>
            <w:vAlign w:val="center"/>
          </w:tcPr>
          <w:p w14:paraId="6F430D00" w14:textId="77777777" w:rsidR="00543539" w:rsidRPr="00B42397" w:rsidRDefault="00543539" w:rsidP="0023722B">
            <w:pPr>
              <w:pStyle w:val="TableText0"/>
              <w:jc w:val="center"/>
            </w:pPr>
            <w:r w:rsidRPr="00B42397">
              <w:t>213</w:t>
            </w:r>
            <w:r w:rsidR="004826CD" w:rsidRPr="00B42397">
              <w:t>/325</w:t>
            </w:r>
            <w:r w:rsidRPr="00B42397">
              <w:t xml:space="preserve"> (65.5%)</w:t>
            </w:r>
          </w:p>
        </w:tc>
        <w:tc>
          <w:tcPr>
            <w:tcW w:w="551" w:type="pct"/>
            <w:vAlign w:val="center"/>
          </w:tcPr>
          <w:p w14:paraId="7A569D2D" w14:textId="77777777" w:rsidR="00543539" w:rsidRPr="00B42397" w:rsidRDefault="004E7CAE" w:rsidP="0023722B">
            <w:pPr>
              <w:pStyle w:val="TableText0"/>
              <w:jc w:val="center"/>
            </w:pPr>
            <w:r w:rsidRPr="00B42397">
              <w:t>NR</w:t>
            </w:r>
          </w:p>
        </w:tc>
        <w:tc>
          <w:tcPr>
            <w:tcW w:w="550" w:type="pct"/>
            <w:vAlign w:val="center"/>
          </w:tcPr>
          <w:p w14:paraId="67D8C201" w14:textId="77777777" w:rsidR="00543539" w:rsidRPr="00B42397" w:rsidRDefault="004E7CAE" w:rsidP="0023722B">
            <w:pPr>
              <w:pStyle w:val="TableText0"/>
              <w:jc w:val="center"/>
            </w:pPr>
            <w:r w:rsidRPr="00B42397">
              <w:t>NR</w:t>
            </w:r>
          </w:p>
        </w:tc>
        <w:tc>
          <w:tcPr>
            <w:tcW w:w="500" w:type="pct"/>
            <w:vAlign w:val="center"/>
          </w:tcPr>
          <w:p w14:paraId="0197878B" w14:textId="77777777" w:rsidR="00543539" w:rsidRPr="00B42397" w:rsidRDefault="00543539" w:rsidP="0023722B">
            <w:pPr>
              <w:pStyle w:val="TableText0"/>
              <w:jc w:val="center"/>
              <w:rPr>
                <w:b/>
                <w:bCs w:val="0"/>
              </w:rPr>
            </w:pPr>
            <w:r w:rsidRPr="00B42397">
              <w:rPr>
                <w:b/>
                <w:bCs w:val="0"/>
              </w:rPr>
              <w:t>0.0002</w:t>
            </w:r>
          </w:p>
        </w:tc>
        <w:tc>
          <w:tcPr>
            <w:tcW w:w="572" w:type="pct"/>
            <w:vAlign w:val="center"/>
          </w:tcPr>
          <w:p w14:paraId="2D37978B" w14:textId="77777777" w:rsidR="004E7CAE" w:rsidRPr="00B42397" w:rsidRDefault="00543539" w:rsidP="0023722B">
            <w:pPr>
              <w:pStyle w:val="TableText0"/>
              <w:jc w:val="center"/>
              <w:rPr>
                <w:b/>
                <w:bCs w:val="0"/>
              </w:rPr>
            </w:pPr>
            <w:r w:rsidRPr="00B42397">
              <w:rPr>
                <w:b/>
                <w:bCs w:val="0"/>
              </w:rPr>
              <w:t xml:space="preserve">1.94 </w:t>
            </w:r>
          </w:p>
          <w:p w14:paraId="48BD843E" w14:textId="77777777" w:rsidR="00543539" w:rsidRPr="00B42397" w:rsidRDefault="00543539" w:rsidP="0023722B">
            <w:pPr>
              <w:pStyle w:val="TableText0"/>
              <w:jc w:val="center"/>
              <w:rPr>
                <w:b/>
                <w:bCs w:val="0"/>
              </w:rPr>
            </w:pPr>
            <w:r w:rsidRPr="00B42397">
              <w:rPr>
                <w:b/>
                <w:bCs w:val="0"/>
              </w:rPr>
              <w:t>(1.36, 2.77)</w:t>
            </w:r>
          </w:p>
        </w:tc>
      </w:tr>
      <w:tr w:rsidR="00543539" w:rsidRPr="00B42397" w14:paraId="3875BA5C" w14:textId="77777777" w:rsidTr="005D69C0">
        <w:trPr>
          <w:cantSplit/>
        </w:trPr>
        <w:tc>
          <w:tcPr>
            <w:tcW w:w="705" w:type="pct"/>
            <w:vAlign w:val="center"/>
          </w:tcPr>
          <w:p w14:paraId="3D38FAF2" w14:textId="77777777" w:rsidR="00543539" w:rsidRPr="00B42397" w:rsidRDefault="00543539" w:rsidP="0023722B">
            <w:pPr>
              <w:pStyle w:val="TableText0"/>
            </w:pPr>
            <w:r w:rsidRPr="00B42397">
              <w:t>10 Aug 2015 data-cut</w:t>
            </w:r>
          </w:p>
        </w:tc>
        <w:tc>
          <w:tcPr>
            <w:tcW w:w="786" w:type="pct"/>
            <w:vAlign w:val="center"/>
          </w:tcPr>
          <w:p w14:paraId="4DFFDAC6" w14:textId="77777777" w:rsidR="00543539" w:rsidRPr="00B42397" w:rsidRDefault="00543539" w:rsidP="0023722B">
            <w:pPr>
              <w:pStyle w:val="TableText0"/>
              <w:jc w:val="center"/>
            </w:pPr>
            <w:r w:rsidRPr="00B42397">
              <w:t>252</w:t>
            </w:r>
            <w:r w:rsidR="004826CD" w:rsidRPr="00B42397">
              <w:t>/321</w:t>
            </w:r>
            <w:r w:rsidRPr="00B42397">
              <w:t xml:space="preserve"> (78.5%)</w:t>
            </w:r>
          </w:p>
        </w:tc>
        <w:tc>
          <w:tcPr>
            <w:tcW w:w="550" w:type="pct"/>
            <w:vAlign w:val="center"/>
          </w:tcPr>
          <w:p w14:paraId="6B78B4FE" w14:textId="77777777" w:rsidR="00543539" w:rsidRPr="00B42397" w:rsidRDefault="004E7CAE" w:rsidP="0023722B">
            <w:pPr>
              <w:pStyle w:val="TableText0"/>
              <w:jc w:val="center"/>
            </w:pPr>
            <w:r w:rsidRPr="00B42397">
              <w:t>1.87</w:t>
            </w:r>
          </w:p>
        </w:tc>
        <w:tc>
          <w:tcPr>
            <w:tcW w:w="785" w:type="pct"/>
            <w:vAlign w:val="center"/>
          </w:tcPr>
          <w:p w14:paraId="10C47707" w14:textId="77777777" w:rsidR="00543539" w:rsidRPr="00B42397" w:rsidRDefault="00543539" w:rsidP="0023722B">
            <w:pPr>
              <w:pStyle w:val="TableText0"/>
              <w:jc w:val="center"/>
            </w:pPr>
            <w:r w:rsidRPr="00B42397">
              <w:t>213</w:t>
            </w:r>
            <w:r w:rsidR="004826CD" w:rsidRPr="00B42397">
              <w:t>/325</w:t>
            </w:r>
            <w:r w:rsidRPr="00B42397">
              <w:t xml:space="preserve"> (65.5%)</w:t>
            </w:r>
          </w:p>
        </w:tc>
        <w:tc>
          <w:tcPr>
            <w:tcW w:w="551" w:type="pct"/>
            <w:vAlign w:val="center"/>
          </w:tcPr>
          <w:p w14:paraId="5C16F9AB" w14:textId="77777777" w:rsidR="00543539" w:rsidRPr="00B42397" w:rsidRDefault="004E7CAE" w:rsidP="0023722B">
            <w:pPr>
              <w:pStyle w:val="TableText0"/>
              <w:jc w:val="center"/>
            </w:pPr>
            <w:r w:rsidRPr="00B42397">
              <w:t>1.87</w:t>
            </w:r>
          </w:p>
        </w:tc>
        <w:tc>
          <w:tcPr>
            <w:tcW w:w="550" w:type="pct"/>
            <w:vAlign w:val="center"/>
          </w:tcPr>
          <w:p w14:paraId="787502D0" w14:textId="77777777" w:rsidR="00543539" w:rsidRPr="00B42397" w:rsidRDefault="004E7CAE" w:rsidP="0023722B">
            <w:pPr>
              <w:pStyle w:val="TableText0"/>
              <w:jc w:val="center"/>
            </w:pPr>
            <w:r w:rsidRPr="00B42397">
              <w:t>0</w:t>
            </w:r>
          </w:p>
        </w:tc>
        <w:tc>
          <w:tcPr>
            <w:tcW w:w="500" w:type="pct"/>
            <w:vAlign w:val="center"/>
          </w:tcPr>
          <w:p w14:paraId="3BF9E2C5" w14:textId="77777777" w:rsidR="00543539" w:rsidRPr="00B42397" w:rsidRDefault="004E7CAE" w:rsidP="0023722B">
            <w:pPr>
              <w:pStyle w:val="TableText0"/>
              <w:jc w:val="center"/>
              <w:rPr>
                <w:b/>
                <w:bCs w:val="0"/>
              </w:rPr>
            </w:pPr>
            <w:r w:rsidRPr="00B42397">
              <w:rPr>
                <w:b/>
                <w:bCs w:val="0"/>
              </w:rPr>
              <w:t>0.0002</w:t>
            </w:r>
          </w:p>
        </w:tc>
        <w:tc>
          <w:tcPr>
            <w:tcW w:w="572" w:type="pct"/>
            <w:vAlign w:val="center"/>
          </w:tcPr>
          <w:p w14:paraId="7C7D671F" w14:textId="77777777" w:rsidR="004E7CAE" w:rsidRPr="00B42397" w:rsidRDefault="004E7CAE" w:rsidP="0023722B">
            <w:pPr>
              <w:pStyle w:val="TableText0"/>
              <w:jc w:val="center"/>
              <w:rPr>
                <w:b/>
                <w:bCs w:val="0"/>
              </w:rPr>
            </w:pPr>
            <w:r w:rsidRPr="00B42397">
              <w:rPr>
                <w:b/>
                <w:bCs w:val="0"/>
              </w:rPr>
              <w:t xml:space="preserve">1.95 </w:t>
            </w:r>
          </w:p>
          <w:p w14:paraId="71E9FC02" w14:textId="77777777" w:rsidR="00543539" w:rsidRPr="00B42397" w:rsidRDefault="004E7CAE" w:rsidP="0023722B">
            <w:pPr>
              <w:pStyle w:val="TableText0"/>
              <w:jc w:val="center"/>
              <w:rPr>
                <w:b/>
                <w:bCs w:val="0"/>
              </w:rPr>
            </w:pPr>
            <w:r w:rsidRPr="00B42397">
              <w:rPr>
                <w:b/>
                <w:bCs w:val="0"/>
              </w:rPr>
              <w:t>(1.36, 2.78)</w:t>
            </w:r>
          </w:p>
        </w:tc>
      </w:tr>
    </w:tbl>
    <w:p w14:paraId="177B28FA" w14:textId="77777777" w:rsidR="004E7CAE" w:rsidRPr="00B42397" w:rsidRDefault="004E7CAE" w:rsidP="004E7CAE">
      <w:pPr>
        <w:pStyle w:val="TableFigureFooter"/>
      </w:pPr>
      <w:r w:rsidRPr="00B42397">
        <w:t>Source: Table 2.5.3 of the submission.</w:t>
      </w:r>
    </w:p>
    <w:p w14:paraId="6ADFB238" w14:textId="77777777" w:rsidR="004E7CAE" w:rsidRPr="00B42397" w:rsidRDefault="004E7CAE" w:rsidP="004E7CAE">
      <w:pPr>
        <w:pStyle w:val="TableFigureFooter"/>
      </w:pPr>
      <w:r w:rsidRPr="00B42397">
        <w:t>CI</w:t>
      </w:r>
      <w:r w:rsidR="00CC3E50" w:rsidRPr="00B42397">
        <w:t xml:space="preserve"> </w:t>
      </w:r>
      <w:r w:rsidRPr="00B42397">
        <w:t xml:space="preserve">= confidence interval; </w:t>
      </w:r>
      <w:proofErr w:type="spellStart"/>
      <w:r w:rsidR="001F5659" w:rsidRPr="00B42397">
        <w:t>ELd</w:t>
      </w:r>
      <w:proofErr w:type="spellEnd"/>
      <w:r w:rsidR="00CC3E50" w:rsidRPr="00B42397">
        <w:t xml:space="preserve"> </w:t>
      </w:r>
      <w:r w:rsidRPr="00B42397">
        <w:t xml:space="preserve">= elotuzumab + lenalidomide </w:t>
      </w:r>
      <w:r w:rsidR="00CC3E50" w:rsidRPr="00B42397">
        <w:t xml:space="preserve">+ </w:t>
      </w:r>
      <w:r w:rsidRPr="00B42397">
        <w:t xml:space="preserve">dexamethasone; </w:t>
      </w:r>
      <w:proofErr w:type="spellStart"/>
      <w:r w:rsidR="002F0A11" w:rsidRPr="00B42397">
        <w:t>IMiD</w:t>
      </w:r>
      <w:proofErr w:type="spellEnd"/>
      <w:r w:rsidR="002F0A11" w:rsidRPr="00B42397">
        <w:t xml:space="preserve"> = Immunomodulatory drug; </w:t>
      </w:r>
      <w:r w:rsidRPr="00B42397">
        <w:t>IRC</w:t>
      </w:r>
      <w:r w:rsidR="00CC3E50" w:rsidRPr="00B42397">
        <w:t xml:space="preserve"> </w:t>
      </w:r>
      <w:r w:rsidRPr="00B42397">
        <w:t xml:space="preserve">= independent review committee; </w:t>
      </w:r>
      <w:proofErr w:type="spellStart"/>
      <w:proofErr w:type="gramStart"/>
      <w:r w:rsidR="001F5659" w:rsidRPr="00B42397">
        <w:t>Ld</w:t>
      </w:r>
      <w:proofErr w:type="spellEnd"/>
      <w:proofErr w:type="gramEnd"/>
      <w:r w:rsidR="001F5659" w:rsidRPr="00B42397">
        <w:t xml:space="preserve"> = lenalidomide + dexamethasone; </w:t>
      </w:r>
      <w:r w:rsidR="00AF4D91" w:rsidRPr="00B42397">
        <w:t xml:space="preserve">NR = not reported; </w:t>
      </w:r>
      <w:r w:rsidRPr="00B42397">
        <w:t>OR</w:t>
      </w:r>
      <w:r w:rsidR="00CC3E50" w:rsidRPr="00B42397">
        <w:t xml:space="preserve"> </w:t>
      </w:r>
      <w:r w:rsidRPr="00B42397">
        <w:t>= odds ratio; ORR</w:t>
      </w:r>
      <w:r w:rsidR="00CC3E50" w:rsidRPr="00B42397">
        <w:t xml:space="preserve"> </w:t>
      </w:r>
      <w:r w:rsidR="001F5659" w:rsidRPr="00B42397">
        <w:t>= objective response rate</w:t>
      </w:r>
      <w:r w:rsidRPr="00B42397">
        <w:t xml:space="preserve">. </w:t>
      </w:r>
    </w:p>
    <w:p w14:paraId="22C4FF6A" w14:textId="77777777" w:rsidR="004E7CAE" w:rsidRPr="00B42397" w:rsidRDefault="004E7CAE" w:rsidP="004E7CAE">
      <w:pPr>
        <w:pStyle w:val="TableFigureFooter"/>
      </w:pPr>
      <w:proofErr w:type="gramStart"/>
      <w:r w:rsidRPr="00B42397">
        <w:rPr>
          <w:vertAlign w:val="superscript"/>
        </w:rPr>
        <w:t>a</w:t>
      </w:r>
      <w:proofErr w:type="gramEnd"/>
      <w:r w:rsidRPr="00B42397">
        <w:t xml:space="preserve"> Stratified by B2 </w:t>
      </w:r>
      <w:proofErr w:type="spellStart"/>
      <w:r w:rsidRPr="00B42397">
        <w:t>microglobulin</w:t>
      </w:r>
      <w:proofErr w:type="spellEnd"/>
      <w:r w:rsidRPr="00B42397">
        <w:t xml:space="preserve"> (&lt;3.5 mg/L vs &gt;=</w:t>
      </w:r>
      <w:r w:rsidR="00CC3E50" w:rsidRPr="00B42397">
        <w:t xml:space="preserve"> </w:t>
      </w:r>
      <w:r w:rsidRPr="00B42397">
        <w:t xml:space="preserve">3.5 mg/L), number of prior lines of therapy (1 vs 2 or 3) and prior </w:t>
      </w:r>
      <w:proofErr w:type="spellStart"/>
      <w:r w:rsidRPr="00B42397">
        <w:t>IMiD</w:t>
      </w:r>
      <w:proofErr w:type="spellEnd"/>
      <w:r w:rsidRPr="00B42397">
        <w:t xml:space="preserve"> (no vs prior thalidomide only vs other) at randomisation.</w:t>
      </w:r>
    </w:p>
    <w:p w14:paraId="7A873CBA" w14:textId="77777777" w:rsidR="004E7CAE" w:rsidRPr="00B42397" w:rsidRDefault="004E7CAE" w:rsidP="004E7CAE">
      <w:pPr>
        <w:pStyle w:val="TableFigureFooter"/>
      </w:pPr>
      <w:r w:rsidRPr="00B42397">
        <w:t>Bold values indicate statistical significance.</w:t>
      </w:r>
    </w:p>
    <w:p w14:paraId="3131A6C1" w14:textId="77777777" w:rsidR="004E7CAE" w:rsidRPr="00B42397" w:rsidRDefault="004E7CAE" w:rsidP="004E7CAE">
      <w:pPr>
        <w:pStyle w:val="TableFigureFooter"/>
      </w:pPr>
    </w:p>
    <w:p w14:paraId="58D70544" w14:textId="77777777" w:rsidR="00E92374" w:rsidRPr="00B42397" w:rsidRDefault="00E92374" w:rsidP="00E92374">
      <w:pPr>
        <w:pStyle w:val="3-BodyText"/>
        <w:numPr>
          <w:ilvl w:val="0"/>
          <w:numId w:val="0"/>
        </w:numPr>
        <w:ind w:left="720" w:hanging="720"/>
        <w:rPr>
          <w:color w:val="000000" w:themeColor="text1"/>
          <w:u w:val="single"/>
        </w:rPr>
      </w:pPr>
      <w:r w:rsidRPr="00B42397">
        <w:rPr>
          <w:color w:val="000000" w:themeColor="text1"/>
          <w:u w:val="single"/>
        </w:rPr>
        <w:t>Cd versus Bd (ENDEAVOR trial)</w:t>
      </w:r>
    </w:p>
    <w:p w14:paraId="4BF1E2A9" w14:textId="77777777" w:rsidR="00B756E8" w:rsidRPr="00B42397" w:rsidRDefault="004E7CAE" w:rsidP="001D6912">
      <w:pPr>
        <w:pStyle w:val="3-BodyText"/>
        <w:rPr>
          <w:rFonts w:cstheme="minorHAnsi"/>
        </w:rPr>
      </w:pPr>
      <w:r w:rsidRPr="00B42397">
        <w:rPr>
          <w:snapToGrid/>
          <w:color w:val="000000" w:themeColor="text1"/>
        </w:rPr>
        <w:t xml:space="preserve">The summary of survival outcomes from ENDEAVOR </w:t>
      </w:r>
      <w:r w:rsidR="00647B99" w:rsidRPr="00B42397">
        <w:rPr>
          <w:snapToGrid/>
          <w:color w:val="000000" w:themeColor="text1"/>
        </w:rPr>
        <w:t>are</w:t>
      </w:r>
      <w:r w:rsidR="0023722B" w:rsidRPr="00B42397">
        <w:rPr>
          <w:snapToGrid/>
          <w:color w:val="000000" w:themeColor="text1"/>
        </w:rPr>
        <w:t xml:space="preserve"> </w:t>
      </w:r>
      <w:r w:rsidRPr="00B42397">
        <w:rPr>
          <w:snapToGrid/>
          <w:color w:val="000000" w:themeColor="text1"/>
        </w:rPr>
        <w:t xml:space="preserve">presented in Table </w:t>
      </w:r>
      <w:r w:rsidR="00421BB2" w:rsidRPr="00B42397">
        <w:rPr>
          <w:snapToGrid/>
          <w:color w:val="000000" w:themeColor="text1"/>
        </w:rPr>
        <w:t>6</w:t>
      </w:r>
      <w:r w:rsidR="00647B99" w:rsidRPr="00B42397">
        <w:rPr>
          <w:snapToGrid/>
          <w:color w:val="000000" w:themeColor="text1"/>
        </w:rPr>
        <w:t xml:space="preserve">, </w:t>
      </w:r>
      <w:r w:rsidR="00377B06" w:rsidRPr="00B42397">
        <w:rPr>
          <w:snapToGrid/>
          <w:color w:val="000000" w:themeColor="text1"/>
        </w:rPr>
        <w:t>w</w:t>
      </w:r>
      <w:r w:rsidRPr="00B42397">
        <w:rPr>
          <w:snapToGrid/>
          <w:color w:val="000000" w:themeColor="text1"/>
        </w:rPr>
        <w:t xml:space="preserve">ith the corresponding Kaplan-Meier plots in Figure </w:t>
      </w:r>
      <w:r w:rsidR="00CD5C68" w:rsidRPr="00B42397">
        <w:rPr>
          <w:snapToGrid/>
          <w:color w:val="000000" w:themeColor="text1"/>
        </w:rPr>
        <w:t>3</w:t>
      </w:r>
      <w:r w:rsidR="00B42397">
        <w:rPr>
          <w:snapToGrid/>
          <w:color w:val="000000" w:themeColor="text1"/>
        </w:rPr>
        <w:t xml:space="preserve">. </w:t>
      </w:r>
    </w:p>
    <w:p w14:paraId="199148E2" w14:textId="77777777" w:rsidR="004E7CAE" w:rsidRPr="00B42397" w:rsidRDefault="004E7CAE" w:rsidP="00421BB2">
      <w:pPr>
        <w:pStyle w:val="TableHeading0"/>
        <w:spacing w:after="0"/>
      </w:pPr>
      <w:r w:rsidRPr="00B42397">
        <w:t>Table</w:t>
      </w:r>
      <w:r w:rsidR="00421BB2" w:rsidRPr="00B42397">
        <w:t xml:space="preserve"> 6</w:t>
      </w:r>
      <w:r w:rsidRPr="00B42397">
        <w:t>: Results of PFS and OS in ENDEAVOR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1133"/>
        <w:gridCol w:w="1419"/>
        <w:gridCol w:w="1133"/>
        <w:gridCol w:w="1423"/>
        <w:gridCol w:w="992"/>
        <w:gridCol w:w="849"/>
        <w:gridCol w:w="1080"/>
      </w:tblGrid>
      <w:tr w:rsidR="004E7CAE" w:rsidRPr="00B42397" w14:paraId="7F1C8D34" w14:textId="77777777" w:rsidTr="002271D7">
        <w:trPr>
          <w:trHeight w:val="113"/>
          <w:tblHeader/>
        </w:trPr>
        <w:tc>
          <w:tcPr>
            <w:tcW w:w="548" w:type="pct"/>
            <w:vMerge w:val="restart"/>
            <w:tcBorders>
              <w:top w:val="single" w:sz="4" w:space="0" w:color="auto"/>
              <w:left w:val="single" w:sz="4" w:space="0" w:color="auto"/>
              <w:right w:val="single" w:sz="4" w:space="0" w:color="auto"/>
            </w:tcBorders>
            <w:hideMark/>
          </w:tcPr>
          <w:p w14:paraId="75A5D79F" w14:textId="77777777" w:rsidR="004E7CAE" w:rsidRPr="00B42397" w:rsidRDefault="004E7CAE" w:rsidP="0023722B">
            <w:pPr>
              <w:jc w:val="left"/>
              <w:rPr>
                <w:rFonts w:ascii="Arial Narrow" w:eastAsia="TimesNewRoman" w:hAnsi="Arial Narrow" w:cs="Times New Roman"/>
                <w:b/>
                <w:color w:val="000000"/>
                <w:sz w:val="20"/>
                <w:szCs w:val="20"/>
              </w:rPr>
            </w:pPr>
          </w:p>
        </w:tc>
        <w:tc>
          <w:tcPr>
            <w:tcW w:w="1415" w:type="pct"/>
            <w:gridSpan w:val="2"/>
            <w:tcBorders>
              <w:top w:val="single" w:sz="4" w:space="0" w:color="auto"/>
              <w:left w:val="single" w:sz="4" w:space="0" w:color="auto"/>
              <w:right w:val="single" w:sz="4" w:space="0" w:color="auto"/>
            </w:tcBorders>
          </w:tcPr>
          <w:p w14:paraId="764DE093"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Cd</w:t>
            </w:r>
          </w:p>
        </w:tc>
        <w:tc>
          <w:tcPr>
            <w:tcW w:w="1417" w:type="pct"/>
            <w:gridSpan w:val="2"/>
            <w:tcBorders>
              <w:top w:val="single" w:sz="4" w:space="0" w:color="auto"/>
              <w:left w:val="single" w:sz="4" w:space="0" w:color="auto"/>
              <w:right w:val="single" w:sz="4" w:space="0" w:color="auto"/>
            </w:tcBorders>
          </w:tcPr>
          <w:p w14:paraId="24AD644F"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Bd</w:t>
            </w:r>
          </w:p>
        </w:tc>
        <w:tc>
          <w:tcPr>
            <w:tcW w:w="550" w:type="pct"/>
            <w:vMerge w:val="restart"/>
            <w:tcBorders>
              <w:top w:val="single" w:sz="4" w:space="0" w:color="auto"/>
              <w:left w:val="single" w:sz="4" w:space="0" w:color="auto"/>
              <w:right w:val="single" w:sz="4" w:space="0" w:color="auto"/>
            </w:tcBorders>
          </w:tcPr>
          <w:p w14:paraId="2AEDFCBF"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Difference in median, months</w:t>
            </w:r>
          </w:p>
        </w:tc>
        <w:tc>
          <w:tcPr>
            <w:tcW w:w="471" w:type="pct"/>
            <w:vMerge w:val="restart"/>
            <w:tcBorders>
              <w:top w:val="single" w:sz="4" w:space="0" w:color="auto"/>
              <w:left w:val="single" w:sz="4" w:space="0" w:color="auto"/>
              <w:right w:val="single" w:sz="4" w:space="0" w:color="auto"/>
            </w:tcBorders>
          </w:tcPr>
          <w:p w14:paraId="07060142"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 value (log rank test)</w:t>
            </w:r>
          </w:p>
        </w:tc>
        <w:tc>
          <w:tcPr>
            <w:tcW w:w="599" w:type="pct"/>
            <w:vMerge w:val="restart"/>
            <w:tcBorders>
              <w:top w:val="single" w:sz="4" w:space="0" w:color="auto"/>
              <w:left w:val="single" w:sz="4" w:space="0" w:color="auto"/>
              <w:right w:val="single" w:sz="4" w:space="0" w:color="auto"/>
            </w:tcBorders>
          </w:tcPr>
          <w:p w14:paraId="0C6AFA9A" w14:textId="77777777" w:rsidR="004E7CAE" w:rsidRPr="00B42397" w:rsidRDefault="004E7CAE" w:rsidP="0023722B">
            <w:pPr>
              <w:jc w:val="center"/>
              <w:rPr>
                <w:rFonts w:ascii="Arial Narrow" w:eastAsia="TimesNewRoman" w:hAnsi="Arial Narrow" w:cs="Times New Roman"/>
                <w:b/>
                <w:color w:val="000000"/>
                <w:sz w:val="20"/>
                <w:szCs w:val="20"/>
                <w:vertAlign w:val="superscript"/>
              </w:rPr>
            </w:pPr>
            <w:r w:rsidRPr="00B42397">
              <w:rPr>
                <w:rFonts w:ascii="Arial Narrow" w:eastAsia="TimesNewRoman" w:hAnsi="Arial Narrow" w:cs="Times New Roman"/>
                <w:b/>
                <w:color w:val="000000"/>
                <w:sz w:val="20"/>
                <w:szCs w:val="20"/>
              </w:rPr>
              <w:t xml:space="preserve">HR </w:t>
            </w:r>
            <w:r w:rsidRPr="00B42397">
              <w:rPr>
                <w:rFonts w:ascii="Arial Narrow" w:eastAsia="TimesNewRoman" w:hAnsi="Arial Narrow" w:cs="Times New Roman"/>
                <w:b/>
                <w:color w:val="000000"/>
                <w:sz w:val="20"/>
                <w:szCs w:val="20"/>
              </w:rPr>
              <w:br/>
              <w:t>(95% CI)</w:t>
            </w:r>
          </w:p>
        </w:tc>
      </w:tr>
      <w:tr w:rsidR="004E7CAE" w:rsidRPr="00B42397" w14:paraId="64EDD9D7" w14:textId="77777777" w:rsidTr="002271D7">
        <w:trPr>
          <w:trHeight w:val="113"/>
          <w:tblHeader/>
        </w:trPr>
        <w:tc>
          <w:tcPr>
            <w:tcW w:w="548" w:type="pct"/>
            <w:vMerge/>
            <w:tcBorders>
              <w:left w:val="single" w:sz="4" w:space="0" w:color="auto"/>
              <w:bottom w:val="single" w:sz="4" w:space="0" w:color="auto"/>
              <w:right w:val="single" w:sz="4" w:space="0" w:color="auto"/>
            </w:tcBorders>
          </w:tcPr>
          <w:p w14:paraId="05620AFE" w14:textId="77777777" w:rsidR="004E7CAE" w:rsidRPr="00B42397" w:rsidRDefault="004E7CAE" w:rsidP="0023722B">
            <w:pPr>
              <w:jc w:val="left"/>
              <w:rPr>
                <w:rFonts w:ascii="Arial Narrow" w:eastAsia="TimesNewRoman" w:hAnsi="Arial Narrow" w:cs="Times New Roman"/>
                <w:color w:val="000000"/>
                <w:sz w:val="20"/>
                <w:szCs w:val="20"/>
              </w:rPr>
            </w:pPr>
          </w:p>
        </w:tc>
        <w:tc>
          <w:tcPr>
            <w:tcW w:w="628" w:type="pct"/>
            <w:tcBorders>
              <w:top w:val="single" w:sz="4" w:space="0" w:color="auto"/>
              <w:left w:val="single" w:sz="4" w:space="0" w:color="auto"/>
              <w:bottom w:val="single" w:sz="4" w:space="0" w:color="auto"/>
              <w:right w:val="single" w:sz="4" w:space="0" w:color="auto"/>
            </w:tcBorders>
          </w:tcPr>
          <w:p w14:paraId="1D4C5292"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Patients with events, n (%)</w:t>
            </w:r>
          </w:p>
        </w:tc>
        <w:tc>
          <w:tcPr>
            <w:tcW w:w="787" w:type="pct"/>
            <w:tcBorders>
              <w:top w:val="single" w:sz="4" w:space="0" w:color="auto"/>
              <w:left w:val="single" w:sz="4" w:space="0" w:color="auto"/>
              <w:bottom w:val="single" w:sz="4" w:space="0" w:color="auto"/>
              <w:right w:val="single" w:sz="4" w:space="0" w:color="auto"/>
            </w:tcBorders>
          </w:tcPr>
          <w:p w14:paraId="14086988"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Median, months</w:t>
            </w:r>
            <w:r w:rsidRPr="00B42397">
              <w:rPr>
                <w:rFonts w:ascii="Arial Narrow" w:eastAsia="TimesNewRoman" w:hAnsi="Arial Narrow" w:cs="Times New Roman"/>
                <w:b/>
                <w:color w:val="000000"/>
                <w:sz w:val="20"/>
                <w:szCs w:val="20"/>
              </w:rPr>
              <w:br/>
              <w:t>(95% CI)</w:t>
            </w:r>
          </w:p>
        </w:tc>
        <w:tc>
          <w:tcPr>
            <w:tcW w:w="628" w:type="pct"/>
            <w:tcBorders>
              <w:top w:val="single" w:sz="4" w:space="0" w:color="auto"/>
              <w:left w:val="single" w:sz="4" w:space="0" w:color="auto"/>
              <w:bottom w:val="single" w:sz="4" w:space="0" w:color="auto"/>
              <w:right w:val="single" w:sz="4" w:space="0" w:color="auto"/>
            </w:tcBorders>
          </w:tcPr>
          <w:p w14:paraId="21C54C9E"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Patients with events, n (%)</w:t>
            </w:r>
          </w:p>
        </w:tc>
        <w:tc>
          <w:tcPr>
            <w:tcW w:w="789" w:type="pct"/>
            <w:tcBorders>
              <w:top w:val="single" w:sz="4" w:space="0" w:color="auto"/>
              <w:left w:val="single" w:sz="4" w:space="0" w:color="auto"/>
              <w:bottom w:val="single" w:sz="4" w:space="0" w:color="auto"/>
              <w:right w:val="single" w:sz="4" w:space="0" w:color="auto"/>
            </w:tcBorders>
          </w:tcPr>
          <w:p w14:paraId="29190472"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Median, months</w:t>
            </w:r>
            <w:r w:rsidRPr="00B42397">
              <w:rPr>
                <w:rFonts w:ascii="Arial Narrow" w:eastAsia="TimesNewRoman" w:hAnsi="Arial Narrow" w:cs="Times New Roman"/>
                <w:b/>
                <w:color w:val="000000"/>
                <w:sz w:val="20"/>
                <w:szCs w:val="20"/>
              </w:rPr>
              <w:br/>
              <w:t>(95% CI)</w:t>
            </w:r>
          </w:p>
        </w:tc>
        <w:tc>
          <w:tcPr>
            <w:tcW w:w="550" w:type="pct"/>
            <w:vMerge/>
            <w:tcBorders>
              <w:left w:val="single" w:sz="4" w:space="0" w:color="auto"/>
              <w:bottom w:val="single" w:sz="4" w:space="0" w:color="auto"/>
              <w:right w:val="single" w:sz="4" w:space="0" w:color="auto"/>
            </w:tcBorders>
          </w:tcPr>
          <w:p w14:paraId="3FCC41FC" w14:textId="77777777" w:rsidR="004E7CAE" w:rsidRPr="00B42397" w:rsidRDefault="004E7CAE" w:rsidP="0023722B">
            <w:pPr>
              <w:jc w:val="center"/>
              <w:rPr>
                <w:rFonts w:ascii="Arial Narrow" w:eastAsia="TimesNewRoman" w:hAnsi="Arial Narrow" w:cs="Times New Roman"/>
                <w:color w:val="000000"/>
                <w:sz w:val="20"/>
                <w:szCs w:val="20"/>
              </w:rPr>
            </w:pPr>
          </w:p>
        </w:tc>
        <w:tc>
          <w:tcPr>
            <w:tcW w:w="471" w:type="pct"/>
            <w:vMerge/>
            <w:tcBorders>
              <w:left w:val="single" w:sz="4" w:space="0" w:color="auto"/>
              <w:bottom w:val="single" w:sz="4" w:space="0" w:color="auto"/>
              <w:right w:val="single" w:sz="4" w:space="0" w:color="auto"/>
            </w:tcBorders>
          </w:tcPr>
          <w:p w14:paraId="1A0C3FB5" w14:textId="77777777" w:rsidR="004E7CAE" w:rsidRPr="00B42397" w:rsidRDefault="004E7CAE" w:rsidP="0023722B">
            <w:pPr>
              <w:jc w:val="center"/>
              <w:rPr>
                <w:rFonts w:ascii="Arial Narrow" w:eastAsia="TimesNewRoman" w:hAnsi="Arial Narrow" w:cs="Times New Roman"/>
                <w:color w:val="000000"/>
                <w:sz w:val="20"/>
                <w:szCs w:val="20"/>
              </w:rPr>
            </w:pPr>
          </w:p>
        </w:tc>
        <w:tc>
          <w:tcPr>
            <w:tcW w:w="599" w:type="pct"/>
            <w:vMerge/>
            <w:tcBorders>
              <w:left w:val="single" w:sz="4" w:space="0" w:color="auto"/>
              <w:bottom w:val="single" w:sz="4" w:space="0" w:color="auto"/>
              <w:right w:val="single" w:sz="4" w:space="0" w:color="auto"/>
            </w:tcBorders>
          </w:tcPr>
          <w:p w14:paraId="62F4D074" w14:textId="77777777" w:rsidR="004E7CAE" w:rsidRPr="00B42397" w:rsidRDefault="004E7CAE" w:rsidP="0023722B">
            <w:pPr>
              <w:jc w:val="center"/>
              <w:rPr>
                <w:rFonts w:ascii="Arial Narrow" w:eastAsia="TimesNewRoman" w:hAnsi="Arial Narrow" w:cs="Times New Roman"/>
                <w:color w:val="000000"/>
                <w:sz w:val="20"/>
                <w:szCs w:val="20"/>
              </w:rPr>
            </w:pPr>
          </w:p>
        </w:tc>
      </w:tr>
      <w:tr w:rsidR="004E7CAE" w:rsidRPr="00B42397" w14:paraId="6C4989B8" w14:textId="77777777" w:rsidTr="002271D7">
        <w:trPr>
          <w:trHeight w:val="113"/>
        </w:trPr>
        <w:tc>
          <w:tcPr>
            <w:tcW w:w="5000" w:type="pct"/>
            <w:gridSpan w:val="8"/>
            <w:tcBorders>
              <w:top w:val="single" w:sz="4" w:space="0" w:color="auto"/>
              <w:left w:val="single" w:sz="4" w:space="0" w:color="auto"/>
              <w:bottom w:val="single" w:sz="4" w:space="0" w:color="auto"/>
              <w:right w:val="single" w:sz="4" w:space="0" w:color="auto"/>
            </w:tcBorders>
          </w:tcPr>
          <w:p w14:paraId="13CAF5EF" w14:textId="77777777" w:rsidR="004E7CAE" w:rsidRPr="00B42397" w:rsidRDefault="004E7CAE" w:rsidP="0023722B">
            <w:pPr>
              <w:jc w:val="left"/>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PFS</w:t>
            </w:r>
          </w:p>
        </w:tc>
      </w:tr>
      <w:tr w:rsidR="004E7CAE" w:rsidRPr="00B42397" w14:paraId="0FD344EB" w14:textId="77777777" w:rsidTr="002271D7">
        <w:trPr>
          <w:trHeight w:val="113"/>
        </w:trPr>
        <w:tc>
          <w:tcPr>
            <w:tcW w:w="548" w:type="pct"/>
            <w:tcBorders>
              <w:top w:val="single" w:sz="4" w:space="0" w:color="auto"/>
              <w:left w:val="single" w:sz="4" w:space="0" w:color="auto"/>
              <w:bottom w:val="single" w:sz="4" w:space="0" w:color="auto"/>
              <w:right w:val="single" w:sz="4" w:space="0" w:color="auto"/>
            </w:tcBorders>
            <w:hideMark/>
          </w:tcPr>
          <w:p w14:paraId="5C354503" w14:textId="77777777" w:rsidR="004E7CAE" w:rsidRPr="00B42397" w:rsidRDefault="004E7CAE" w:rsidP="0023722B">
            <w:pPr>
              <w:jc w:val="left"/>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10 Nov 2014-IRC</w:t>
            </w:r>
          </w:p>
        </w:tc>
        <w:tc>
          <w:tcPr>
            <w:tcW w:w="628" w:type="pct"/>
            <w:tcBorders>
              <w:top w:val="single" w:sz="4" w:space="0" w:color="auto"/>
              <w:left w:val="single" w:sz="4" w:space="0" w:color="auto"/>
              <w:bottom w:val="single" w:sz="4" w:space="0" w:color="auto"/>
              <w:right w:val="single" w:sz="4" w:space="0" w:color="auto"/>
            </w:tcBorders>
            <w:vAlign w:val="center"/>
            <w:hideMark/>
          </w:tcPr>
          <w:p w14:paraId="02A576F5"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171 (36.9%)</w:t>
            </w:r>
          </w:p>
        </w:tc>
        <w:tc>
          <w:tcPr>
            <w:tcW w:w="787" w:type="pct"/>
            <w:tcBorders>
              <w:top w:val="single" w:sz="4" w:space="0" w:color="auto"/>
              <w:left w:val="single" w:sz="4" w:space="0" w:color="auto"/>
              <w:bottom w:val="single" w:sz="4" w:space="0" w:color="auto"/>
              <w:right w:val="single" w:sz="4" w:space="0" w:color="auto"/>
            </w:tcBorders>
            <w:vAlign w:val="center"/>
            <w:hideMark/>
          </w:tcPr>
          <w:p w14:paraId="20D159F1"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 xml:space="preserve">18.7 </w:t>
            </w:r>
            <w:r w:rsidRPr="00B42397">
              <w:rPr>
                <w:rFonts w:ascii="Arial Narrow" w:eastAsia="TimesNewRoman" w:hAnsi="Arial Narrow" w:cs="Times New Roman"/>
                <w:color w:val="000000"/>
                <w:sz w:val="20"/>
                <w:szCs w:val="20"/>
              </w:rPr>
              <w:br/>
              <w:t>(15.6, NE)</w:t>
            </w:r>
          </w:p>
        </w:tc>
        <w:tc>
          <w:tcPr>
            <w:tcW w:w="628" w:type="pct"/>
            <w:tcBorders>
              <w:top w:val="single" w:sz="4" w:space="0" w:color="auto"/>
              <w:left w:val="single" w:sz="4" w:space="0" w:color="auto"/>
              <w:bottom w:val="single" w:sz="4" w:space="0" w:color="auto"/>
              <w:right w:val="single" w:sz="4" w:space="0" w:color="auto"/>
            </w:tcBorders>
            <w:vAlign w:val="center"/>
            <w:hideMark/>
          </w:tcPr>
          <w:p w14:paraId="1A742A3A"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243 (52.3%)</w:t>
            </w:r>
          </w:p>
        </w:tc>
        <w:tc>
          <w:tcPr>
            <w:tcW w:w="789" w:type="pct"/>
            <w:tcBorders>
              <w:top w:val="single" w:sz="4" w:space="0" w:color="auto"/>
              <w:left w:val="single" w:sz="4" w:space="0" w:color="auto"/>
              <w:bottom w:val="single" w:sz="4" w:space="0" w:color="auto"/>
              <w:right w:val="single" w:sz="4" w:space="0" w:color="auto"/>
            </w:tcBorders>
            <w:vAlign w:val="center"/>
            <w:hideMark/>
          </w:tcPr>
          <w:p w14:paraId="7584BBF9"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9.4</w:t>
            </w:r>
            <w:r w:rsidRPr="00B42397">
              <w:rPr>
                <w:rFonts w:ascii="Arial Narrow" w:eastAsia="TimesNewRoman" w:hAnsi="Arial Narrow" w:cs="Times New Roman"/>
                <w:color w:val="000000"/>
                <w:sz w:val="20"/>
                <w:szCs w:val="20"/>
              </w:rPr>
              <w:br/>
              <w:t>(8.4, 10.4)</w:t>
            </w:r>
          </w:p>
        </w:tc>
        <w:tc>
          <w:tcPr>
            <w:tcW w:w="550" w:type="pct"/>
            <w:tcBorders>
              <w:top w:val="single" w:sz="4" w:space="0" w:color="auto"/>
              <w:left w:val="single" w:sz="4" w:space="0" w:color="auto"/>
              <w:bottom w:val="single" w:sz="4" w:space="0" w:color="auto"/>
              <w:right w:val="single" w:sz="4" w:space="0" w:color="auto"/>
            </w:tcBorders>
            <w:vAlign w:val="center"/>
            <w:hideMark/>
          </w:tcPr>
          <w:p w14:paraId="002C358C"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9.3</w:t>
            </w:r>
          </w:p>
        </w:tc>
        <w:tc>
          <w:tcPr>
            <w:tcW w:w="471" w:type="pct"/>
            <w:tcBorders>
              <w:top w:val="single" w:sz="4" w:space="0" w:color="auto"/>
              <w:left w:val="single" w:sz="4" w:space="0" w:color="auto"/>
              <w:bottom w:val="single" w:sz="4" w:space="0" w:color="auto"/>
              <w:right w:val="single" w:sz="4" w:space="0" w:color="auto"/>
            </w:tcBorders>
            <w:vAlign w:val="center"/>
            <w:hideMark/>
          </w:tcPr>
          <w:p w14:paraId="3B0EF987"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&lt; 0.0001</w:t>
            </w:r>
          </w:p>
        </w:tc>
        <w:tc>
          <w:tcPr>
            <w:tcW w:w="599" w:type="pct"/>
            <w:tcBorders>
              <w:top w:val="single" w:sz="4" w:space="0" w:color="auto"/>
              <w:left w:val="single" w:sz="4" w:space="0" w:color="auto"/>
              <w:bottom w:val="single" w:sz="4" w:space="0" w:color="auto"/>
              <w:right w:val="single" w:sz="4" w:space="0" w:color="auto"/>
            </w:tcBorders>
            <w:vAlign w:val="center"/>
            <w:hideMark/>
          </w:tcPr>
          <w:p w14:paraId="48877654"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0.53</w:t>
            </w:r>
            <w:r w:rsidRPr="00B42397">
              <w:rPr>
                <w:rFonts w:ascii="Arial Narrow" w:eastAsia="TimesNewRoman" w:hAnsi="Arial Narrow" w:cs="Times New Roman"/>
                <w:b/>
                <w:color w:val="000000"/>
                <w:sz w:val="20"/>
                <w:szCs w:val="20"/>
              </w:rPr>
              <w:br/>
              <w:t>(0.44, 0.65)</w:t>
            </w:r>
          </w:p>
        </w:tc>
      </w:tr>
      <w:tr w:rsidR="004E7CAE" w:rsidRPr="00B42397" w14:paraId="246CD294" w14:textId="77777777" w:rsidTr="002271D7">
        <w:trPr>
          <w:trHeight w:val="113"/>
        </w:trPr>
        <w:tc>
          <w:tcPr>
            <w:tcW w:w="548" w:type="pct"/>
            <w:tcBorders>
              <w:top w:val="single" w:sz="4" w:space="0" w:color="auto"/>
              <w:left w:val="single" w:sz="4" w:space="0" w:color="auto"/>
              <w:bottom w:val="single" w:sz="4" w:space="0" w:color="auto"/>
              <w:right w:val="single" w:sz="4" w:space="0" w:color="auto"/>
            </w:tcBorders>
            <w:hideMark/>
          </w:tcPr>
          <w:p w14:paraId="37079B07" w14:textId="77777777" w:rsidR="004E7CAE" w:rsidRPr="00B42397" w:rsidRDefault="004E7CAE" w:rsidP="0023722B">
            <w:pPr>
              <w:jc w:val="left"/>
              <w:rPr>
                <w:rFonts w:ascii="Arial Narrow" w:eastAsia="TimesNewRoman" w:hAnsi="Arial Narrow" w:cs="Times New Roman"/>
                <w:i/>
                <w:color w:val="000000"/>
                <w:sz w:val="20"/>
                <w:szCs w:val="20"/>
              </w:rPr>
            </w:pPr>
            <w:r w:rsidRPr="00B42397">
              <w:rPr>
                <w:rFonts w:ascii="Arial Narrow" w:eastAsia="TimesNewRoman" w:hAnsi="Arial Narrow" w:cs="Times New Roman"/>
                <w:color w:val="000000"/>
                <w:sz w:val="20"/>
                <w:szCs w:val="20"/>
              </w:rPr>
              <w:t xml:space="preserve">3 Mar 2016-ORCA </w:t>
            </w:r>
          </w:p>
        </w:tc>
        <w:tc>
          <w:tcPr>
            <w:tcW w:w="628" w:type="pct"/>
            <w:tcBorders>
              <w:top w:val="single" w:sz="4" w:space="0" w:color="auto"/>
              <w:left w:val="single" w:sz="4" w:space="0" w:color="auto"/>
              <w:bottom w:val="single" w:sz="4" w:space="0" w:color="auto"/>
              <w:right w:val="single" w:sz="4" w:space="0" w:color="auto"/>
            </w:tcBorders>
            <w:vAlign w:val="center"/>
            <w:hideMark/>
          </w:tcPr>
          <w:p w14:paraId="39D3231A"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232 (50.0%)</w:t>
            </w:r>
          </w:p>
        </w:tc>
        <w:tc>
          <w:tcPr>
            <w:tcW w:w="787" w:type="pct"/>
            <w:tcBorders>
              <w:top w:val="single" w:sz="4" w:space="0" w:color="auto"/>
              <w:left w:val="single" w:sz="4" w:space="0" w:color="auto"/>
              <w:bottom w:val="single" w:sz="4" w:space="0" w:color="auto"/>
              <w:right w:val="single" w:sz="4" w:space="0" w:color="auto"/>
            </w:tcBorders>
            <w:vAlign w:val="center"/>
            <w:hideMark/>
          </w:tcPr>
          <w:p w14:paraId="73F661D3"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16.8</w:t>
            </w:r>
            <w:r w:rsidRPr="00B42397">
              <w:rPr>
                <w:rFonts w:ascii="Arial Narrow" w:eastAsia="TimesNewRoman" w:hAnsi="Arial Narrow" w:cs="Times New Roman"/>
                <w:color w:val="000000"/>
                <w:sz w:val="20"/>
                <w:szCs w:val="20"/>
              </w:rPr>
              <w:br/>
              <w:t>(14.8, 20.3)</w:t>
            </w:r>
          </w:p>
        </w:tc>
        <w:tc>
          <w:tcPr>
            <w:tcW w:w="628" w:type="pct"/>
            <w:tcBorders>
              <w:top w:val="single" w:sz="4" w:space="0" w:color="auto"/>
              <w:left w:val="single" w:sz="4" w:space="0" w:color="auto"/>
              <w:bottom w:val="single" w:sz="4" w:space="0" w:color="auto"/>
              <w:right w:val="single" w:sz="4" w:space="0" w:color="auto"/>
            </w:tcBorders>
            <w:vAlign w:val="center"/>
            <w:hideMark/>
          </w:tcPr>
          <w:p w14:paraId="4E13E37F"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288 (61.9%)</w:t>
            </w:r>
          </w:p>
        </w:tc>
        <w:tc>
          <w:tcPr>
            <w:tcW w:w="789" w:type="pct"/>
            <w:tcBorders>
              <w:top w:val="single" w:sz="4" w:space="0" w:color="auto"/>
              <w:left w:val="single" w:sz="4" w:space="0" w:color="auto"/>
              <w:bottom w:val="single" w:sz="4" w:space="0" w:color="auto"/>
              <w:right w:val="single" w:sz="4" w:space="0" w:color="auto"/>
            </w:tcBorders>
            <w:vAlign w:val="center"/>
            <w:hideMark/>
          </w:tcPr>
          <w:p w14:paraId="6C0B651D"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9.3</w:t>
            </w:r>
            <w:r w:rsidRPr="00B42397">
              <w:rPr>
                <w:rFonts w:ascii="Arial Narrow" w:eastAsia="TimesNewRoman" w:hAnsi="Arial Narrow" w:cs="Times New Roman"/>
                <w:color w:val="000000"/>
                <w:sz w:val="20"/>
                <w:szCs w:val="20"/>
              </w:rPr>
              <w:br/>
              <w:t>(8.3, 10.4)</w:t>
            </w:r>
          </w:p>
        </w:tc>
        <w:tc>
          <w:tcPr>
            <w:tcW w:w="550" w:type="pct"/>
            <w:tcBorders>
              <w:top w:val="single" w:sz="4" w:space="0" w:color="auto"/>
              <w:left w:val="single" w:sz="4" w:space="0" w:color="auto"/>
              <w:bottom w:val="single" w:sz="4" w:space="0" w:color="auto"/>
              <w:right w:val="single" w:sz="4" w:space="0" w:color="auto"/>
            </w:tcBorders>
            <w:vAlign w:val="center"/>
            <w:hideMark/>
          </w:tcPr>
          <w:p w14:paraId="0C32EB8B" w14:textId="77777777" w:rsidR="004E7CAE" w:rsidRPr="00B42397" w:rsidRDefault="004E7CAE"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7.5</w:t>
            </w:r>
          </w:p>
        </w:tc>
        <w:tc>
          <w:tcPr>
            <w:tcW w:w="471" w:type="pct"/>
            <w:tcBorders>
              <w:top w:val="single" w:sz="4" w:space="0" w:color="auto"/>
              <w:left w:val="single" w:sz="4" w:space="0" w:color="auto"/>
              <w:bottom w:val="single" w:sz="4" w:space="0" w:color="auto"/>
              <w:right w:val="single" w:sz="4" w:space="0" w:color="auto"/>
            </w:tcBorders>
            <w:vAlign w:val="center"/>
            <w:hideMark/>
          </w:tcPr>
          <w:p w14:paraId="1882FD74"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&lt; 0.0001</w:t>
            </w:r>
          </w:p>
        </w:tc>
        <w:tc>
          <w:tcPr>
            <w:tcW w:w="599" w:type="pct"/>
            <w:tcBorders>
              <w:top w:val="single" w:sz="4" w:space="0" w:color="auto"/>
              <w:left w:val="single" w:sz="4" w:space="0" w:color="auto"/>
              <w:bottom w:val="single" w:sz="4" w:space="0" w:color="auto"/>
              <w:right w:val="single" w:sz="4" w:space="0" w:color="auto"/>
            </w:tcBorders>
            <w:vAlign w:val="center"/>
            <w:hideMark/>
          </w:tcPr>
          <w:p w14:paraId="74420954" w14:textId="77777777" w:rsidR="004E7CAE" w:rsidRPr="00B42397" w:rsidRDefault="004E7CAE"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0.55</w:t>
            </w:r>
            <w:r w:rsidRPr="00B42397">
              <w:rPr>
                <w:rFonts w:ascii="Arial Narrow" w:eastAsia="TimesNewRoman" w:hAnsi="Arial Narrow" w:cs="Times New Roman"/>
                <w:b/>
                <w:color w:val="000000"/>
                <w:sz w:val="20"/>
                <w:szCs w:val="20"/>
              </w:rPr>
              <w:br/>
              <w:t>(0.46, 0.65)</w:t>
            </w:r>
          </w:p>
        </w:tc>
      </w:tr>
      <w:tr w:rsidR="004E7CAE" w:rsidRPr="00B42397" w14:paraId="4640518D" w14:textId="77777777" w:rsidTr="002271D7">
        <w:trPr>
          <w:trHeight w:val="113"/>
        </w:trPr>
        <w:tc>
          <w:tcPr>
            <w:tcW w:w="5000" w:type="pct"/>
            <w:gridSpan w:val="8"/>
            <w:tcBorders>
              <w:top w:val="single" w:sz="4" w:space="0" w:color="auto"/>
              <w:left w:val="single" w:sz="4" w:space="0" w:color="auto"/>
              <w:bottom w:val="single" w:sz="4" w:space="0" w:color="auto"/>
              <w:right w:val="single" w:sz="4" w:space="0" w:color="auto"/>
            </w:tcBorders>
          </w:tcPr>
          <w:p w14:paraId="7DD7435D" w14:textId="77777777" w:rsidR="004E7CAE" w:rsidRPr="00B42397" w:rsidRDefault="004E7CAE" w:rsidP="0023722B">
            <w:pPr>
              <w:jc w:val="left"/>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 xml:space="preserve">OS </w:t>
            </w:r>
          </w:p>
        </w:tc>
      </w:tr>
      <w:tr w:rsidR="00B756E8" w:rsidRPr="00B42397" w14:paraId="61E2A906" w14:textId="77777777" w:rsidTr="00B756E8">
        <w:trPr>
          <w:trHeight w:val="113"/>
        </w:trPr>
        <w:tc>
          <w:tcPr>
            <w:tcW w:w="548" w:type="pct"/>
            <w:tcBorders>
              <w:top w:val="single" w:sz="4" w:space="0" w:color="auto"/>
              <w:left w:val="single" w:sz="4" w:space="0" w:color="auto"/>
              <w:bottom w:val="single" w:sz="4" w:space="0" w:color="auto"/>
              <w:right w:val="single" w:sz="4" w:space="0" w:color="auto"/>
            </w:tcBorders>
            <w:vAlign w:val="center"/>
          </w:tcPr>
          <w:p w14:paraId="2C857759" w14:textId="77777777" w:rsidR="00B756E8" w:rsidRPr="00B42397" w:rsidRDefault="00B756E8" w:rsidP="0023722B">
            <w:pPr>
              <w:jc w:val="center"/>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3 Jan 2017</w:t>
            </w:r>
          </w:p>
        </w:tc>
        <w:tc>
          <w:tcPr>
            <w:tcW w:w="628" w:type="pct"/>
            <w:tcBorders>
              <w:top w:val="single" w:sz="4" w:space="0" w:color="auto"/>
              <w:left w:val="single" w:sz="4" w:space="0" w:color="auto"/>
              <w:bottom w:val="single" w:sz="4" w:space="0" w:color="auto"/>
              <w:right w:val="single" w:sz="4" w:space="0" w:color="auto"/>
            </w:tcBorders>
            <w:vAlign w:val="center"/>
          </w:tcPr>
          <w:p w14:paraId="1740651B"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Calibri" w:hAnsi="Arial Narrow"/>
                <w:color w:val="000000"/>
                <w:sz w:val="20"/>
                <w:szCs w:val="20"/>
              </w:rPr>
              <w:t>189 (40.7%)</w:t>
            </w:r>
          </w:p>
        </w:tc>
        <w:tc>
          <w:tcPr>
            <w:tcW w:w="787" w:type="pct"/>
            <w:tcBorders>
              <w:top w:val="single" w:sz="4" w:space="0" w:color="auto"/>
              <w:left w:val="single" w:sz="4" w:space="0" w:color="auto"/>
              <w:bottom w:val="single" w:sz="4" w:space="0" w:color="auto"/>
              <w:right w:val="single" w:sz="4" w:space="0" w:color="auto"/>
            </w:tcBorders>
            <w:vAlign w:val="center"/>
          </w:tcPr>
          <w:p w14:paraId="1C737322"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Calibri" w:hAnsi="Arial Narrow"/>
                <w:sz w:val="20"/>
                <w:szCs w:val="20"/>
              </w:rPr>
              <w:t>47.6</w:t>
            </w:r>
            <w:r w:rsidRPr="00B42397">
              <w:rPr>
                <w:rFonts w:ascii="Arial Narrow" w:eastAsia="Calibri" w:hAnsi="Arial Narrow"/>
                <w:sz w:val="20"/>
                <w:szCs w:val="20"/>
              </w:rPr>
              <w:br/>
              <w:t>(42.5, NE)</w:t>
            </w:r>
          </w:p>
        </w:tc>
        <w:tc>
          <w:tcPr>
            <w:tcW w:w="628" w:type="pct"/>
            <w:tcBorders>
              <w:top w:val="single" w:sz="4" w:space="0" w:color="auto"/>
              <w:left w:val="single" w:sz="4" w:space="0" w:color="auto"/>
              <w:bottom w:val="single" w:sz="4" w:space="0" w:color="auto"/>
              <w:right w:val="single" w:sz="4" w:space="0" w:color="auto"/>
            </w:tcBorders>
            <w:vAlign w:val="center"/>
          </w:tcPr>
          <w:p w14:paraId="1414AD48"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Calibri" w:hAnsi="Arial Narrow"/>
                <w:color w:val="000000"/>
                <w:sz w:val="20"/>
                <w:szCs w:val="20"/>
              </w:rPr>
              <w:t>209 (44.9%)</w:t>
            </w:r>
          </w:p>
        </w:tc>
        <w:tc>
          <w:tcPr>
            <w:tcW w:w="789" w:type="pct"/>
            <w:tcBorders>
              <w:top w:val="single" w:sz="4" w:space="0" w:color="auto"/>
              <w:left w:val="single" w:sz="4" w:space="0" w:color="auto"/>
              <w:bottom w:val="single" w:sz="4" w:space="0" w:color="auto"/>
              <w:right w:val="single" w:sz="4" w:space="0" w:color="auto"/>
            </w:tcBorders>
            <w:vAlign w:val="center"/>
          </w:tcPr>
          <w:p w14:paraId="78485308"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Calibri" w:hAnsi="Arial Narrow"/>
                <w:sz w:val="20"/>
                <w:szCs w:val="20"/>
              </w:rPr>
              <w:t>40.0</w:t>
            </w:r>
            <w:r w:rsidRPr="00B42397">
              <w:rPr>
                <w:rFonts w:ascii="Arial Narrow" w:eastAsia="Calibri" w:hAnsi="Arial Narrow"/>
                <w:sz w:val="20"/>
                <w:szCs w:val="20"/>
              </w:rPr>
              <w:br/>
              <w:t>(32.6, 42.3)</w:t>
            </w:r>
          </w:p>
        </w:tc>
        <w:tc>
          <w:tcPr>
            <w:tcW w:w="550" w:type="pct"/>
            <w:tcBorders>
              <w:top w:val="single" w:sz="4" w:space="0" w:color="auto"/>
              <w:left w:val="single" w:sz="4" w:space="0" w:color="auto"/>
              <w:bottom w:val="single" w:sz="4" w:space="0" w:color="auto"/>
              <w:right w:val="single" w:sz="4" w:space="0" w:color="auto"/>
            </w:tcBorders>
            <w:vAlign w:val="center"/>
          </w:tcPr>
          <w:p w14:paraId="09A65CBC"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Calibri" w:hAnsi="Arial Narrow"/>
                <w:color w:val="000000"/>
                <w:sz w:val="20"/>
                <w:szCs w:val="20"/>
              </w:rPr>
              <w:t>7.6</w:t>
            </w:r>
          </w:p>
        </w:tc>
        <w:tc>
          <w:tcPr>
            <w:tcW w:w="471" w:type="pct"/>
            <w:tcBorders>
              <w:top w:val="single" w:sz="4" w:space="0" w:color="auto"/>
              <w:left w:val="single" w:sz="4" w:space="0" w:color="auto"/>
              <w:bottom w:val="single" w:sz="4" w:space="0" w:color="auto"/>
              <w:right w:val="single" w:sz="4" w:space="0" w:color="auto"/>
            </w:tcBorders>
            <w:vAlign w:val="center"/>
          </w:tcPr>
          <w:p w14:paraId="4E405177"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Calibri" w:hAnsi="Arial Narrow"/>
                <w:b/>
                <w:color w:val="000000"/>
                <w:sz w:val="20"/>
                <w:szCs w:val="20"/>
              </w:rPr>
              <w:t>0.010</w:t>
            </w:r>
          </w:p>
        </w:tc>
        <w:tc>
          <w:tcPr>
            <w:tcW w:w="599" w:type="pct"/>
            <w:tcBorders>
              <w:top w:val="single" w:sz="4" w:space="0" w:color="auto"/>
              <w:left w:val="single" w:sz="4" w:space="0" w:color="auto"/>
              <w:bottom w:val="single" w:sz="4" w:space="0" w:color="auto"/>
              <w:right w:val="single" w:sz="4" w:space="0" w:color="auto"/>
            </w:tcBorders>
            <w:vAlign w:val="center"/>
          </w:tcPr>
          <w:p w14:paraId="148232C7"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Calibri" w:hAnsi="Arial Narrow"/>
                <w:b/>
                <w:sz w:val="20"/>
                <w:szCs w:val="20"/>
              </w:rPr>
              <w:t xml:space="preserve">0.79 </w:t>
            </w:r>
            <w:r w:rsidRPr="00B42397">
              <w:rPr>
                <w:rFonts w:ascii="Arial Narrow" w:eastAsia="Calibri" w:hAnsi="Arial Narrow"/>
                <w:b/>
                <w:sz w:val="20"/>
                <w:szCs w:val="20"/>
              </w:rPr>
              <w:br/>
              <w:t>(0.65, 0.96)</w:t>
            </w:r>
          </w:p>
        </w:tc>
      </w:tr>
      <w:tr w:rsidR="00B756E8" w:rsidRPr="00B42397" w14:paraId="08F2D12F" w14:textId="77777777" w:rsidTr="00B756E8">
        <w:trPr>
          <w:trHeight w:val="113"/>
        </w:trPr>
        <w:tc>
          <w:tcPr>
            <w:tcW w:w="548" w:type="pct"/>
            <w:tcBorders>
              <w:top w:val="single" w:sz="4" w:space="0" w:color="auto"/>
              <w:left w:val="single" w:sz="4" w:space="0" w:color="auto"/>
              <w:bottom w:val="single" w:sz="4" w:space="0" w:color="auto"/>
              <w:right w:val="single" w:sz="4" w:space="0" w:color="auto"/>
            </w:tcBorders>
            <w:vAlign w:val="center"/>
          </w:tcPr>
          <w:p w14:paraId="4F7B35E1" w14:textId="77777777" w:rsidR="00B756E8" w:rsidRPr="00B42397" w:rsidRDefault="00B756E8" w:rsidP="0023722B">
            <w:pPr>
              <w:jc w:val="center"/>
              <w:rPr>
                <w:rFonts w:ascii="Arial Narrow" w:eastAsia="TimesNewRoman" w:hAnsi="Arial Narrow" w:cs="Times New Roman"/>
                <w:bCs/>
                <w:color w:val="000000"/>
                <w:sz w:val="20"/>
                <w:szCs w:val="20"/>
              </w:rPr>
            </w:pPr>
            <w:r w:rsidRPr="00B42397">
              <w:rPr>
                <w:rFonts w:ascii="Arial Narrow" w:eastAsia="TimesNewRoman" w:hAnsi="Arial Narrow" w:cs="Times New Roman"/>
                <w:bCs/>
                <w:color w:val="000000"/>
                <w:sz w:val="20"/>
                <w:szCs w:val="20"/>
              </w:rPr>
              <w:t>19 July 2017</w:t>
            </w:r>
          </w:p>
        </w:tc>
        <w:tc>
          <w:tcPr>
            <w:tcW w:w="628" w:type="pct"/>
            <w:tcBorders>
              <w:top w:val="single" w:sz="4" w:space="0" w:color="auto"/>
              <w:left w:val="single" w:sz="4" w:space="0" w:color="auto"/>
              <w:bottom w:val="single" w:sz="4" w:space="0" w:color="auto"/>
              <w:right w:val="single" w:sz="4" w:space="0" w:color="auto"/>
            </w:tcBorders>
            <w:vAlign w:val="center"/>
          </w:tcPr>
          <w:p w14:paraId="44CEC564"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hAnsi="Arial Narrow"/>
                <w:sz w:val="20"/>
                <w:szCs w:val="20"/>
              </w:rPr>
              <w:t>214 (46.1%)</w:t>
            </w:r>
          </w:p>
        </w:tc>
        <w:tc>
          <w:tcPr>
            <w:tcW w:w="787" w:type="pct"/>
            <w:tcBorders>
              <w:top w:val="single" w:sz="4" w:space="0" w:color="auto"/>
              <w:left w:val="single" w:sz="4" w:space="0" w:color="auto"/>
              <w:bottom w:val="single" w:sz="4" w:space="0" w:color="auto"/>
              <w:right w:val="single" w:sz="4" w:space="0" w:color="auto"/>
            </w:tcBorders>
            <w:vAlign w:val="center"/>
          </w:tcPr>
          <w:p w14:paraId="4B776033"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hAnsi="Arial Narrow"/>
                <w:sz w:val="20"/>
                <w:szCs w:val="20"/>
              </w:rPr>
              <w:t xml:space="preserve">47.8 </w:t>
            </w:r>
            <w:r w:rsidR="00647B99" w:rsidRPr="00B42397">
              <w:rPr>
                <w:rFonts w:ascii="Arial Narrow" w:hAnsi="Arial Narrow"/>
                <w:sz w:val="20"/>
                <w:szCs w:val="20"/>
              </w:rPr>
              <w:br/>
            </w:r>
            <w:r w:rsidRPr="00B42397">
              <w:rPr>
                <w:rFonts w:ascii="Arial Narrow" w:hAnsi="Arial Narrow"/>
                <w:sz w:val="20"/>
                <w:szCs w:val="20"/>
              </w:rPr>
              <w:t>(41.9, NE)</w:t>
            </w:r>
          </w:p>
        </w:tc>
        <w:tc>
          <w:tcPr>
            <w:tcW w:w="628" w:type="pct"/>
            <w:tcBorders>
              <w:top w:val="single" w:sz="4" w:space="0" w:color="auto"/>
              <w:left w:val="single" w:sz="4" w:space="0" w:color="auto"/>
              <w:bottom w:val="single" w:sz="4" w:space="0" w:color="auto"/>
              <w:right w:val="single" w:sz="4" w:space="0" w:color="auto"/>
            </w:tcBorders>
            <w:vAlign w:val="center"/>
          </w:tcPr>
          <w:p w14:paraId="3DB25A52"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hAnsi="Arial Narrow"/>
                <w:sz w:val="20"/>
                <w:szCs w:val="20"/>
              </w:rPr>
              <w:t>248 (53.3%)</w:t>
            </w:r>
          </w:p>
        </w:tc>
        <w:tc>
          <w:tcPr>
            <w:tcW w:w="789" w:type="pct"/>
            <w:tcBorders>
              <w:top w:val="single" w:sz="4" w:space="0" w:color="auto"/>
              <w:left w:val="single" w:sz="4" w:space="0" w:color="auto"/>
              <w:bottom w:val="single" w:sz="4" w:space="0" w:color="auto"/>
              <w:right w:val="single" w:sz="4" w:space="0" w:color="auto"/>
            </w:tcBorders>
            <w:vAlign w:val="center"/>
          </w:tcPr>
          <w:p w14:paraId="7E3FD4CD" w14:textId="77777777" w:rsidR="00B756E8" w:rsidRPr="00B42397" w:rsidRDefault="00B756E8" w:rsidP="00647B99">
            <w:pPr>
              <w:jc w:val="center"/>
              <w:rPr>
                <w:rFonts w:ascii="Arial Narrow" w:eastAsia="TimesNewRoman" w:hAnsi="Arial Narrow" w:cs="Times New Roman"/>
                <w:b/>
                <w:color w:val="000000"/>
                <w:sz w:val="20"/>
                <w:szCs w:val="20"/>
              </w:rPr>
            </w:pPr>
            <w:r w:rsidRPr="00B42397">
              <w:rPr>
                <w:rFonts w:ascii="Arial Narrow" w:hAnsi="Arial Narrow"/>
                <w:sz w:val="20"/>
                <w:szCs w:val="20"/>
              </w:rPr>
              <w:t xml:space="preserve">38.8 </w:t>
            </w:r>
            <w:r w:rsidR="00647B99" w:rsidRPr="00B42397">
              <w:rPr>
                <w:rFonts w:ascii="Arial Narrow" w:hAnsi="Arial Narrow"/>
                <w:sz w:val="20"/>
                <w:szCs w:val="20"/>
              </w:rPr>
              <w:br/>
            </w:r>
            <w:r w:rsidRPr="00B42397">
              <w:rPr>
                <w:rFonts w:ascii="Arial Narrow" w:hAnsi="Arial Narrow"/>
                <w:sz w:val="20"/>
                <w:szCs w:val="20"/>
              </w:rPr>
              <w:t>(31.7, 42.7)</w:t>
            </w:r>
          </w:p>
        </w:tc>
        <w:tc>
          <w:tcPr>
            <w:tcW w:w="550" w:type="pct"/>
            <w:tcBorders>
              <w:top w:val="single" w:sz="4" w:space="0" w:color="auto"/>
              <w:left w:val="single" w:sz="4" w:space="0" w:color="auto"/>
              <w:bottom w:val="single" w:sz="4" w:space="0" w:color="auto"/>
              <w:right w:val="single" w:sz="4" w:space="0" w:color="auto"/>
            </w:tcBorders>
            <w:vAlign w:val="center"/>
          </w:tcPr>
          <w:p w14:paraId="71D3B494" w14:textId="77777777" w:rsidR="00B756E8" w:rsidRPr="00B42397" w:rsidRDefault="00B756E8" w:rsidP="0023722B">
            <w:pPr>
              <w:jc w:val="center"/>
              <w:rPr>
                <w:rFonts w:ascii="Arial Narrow" w:eastAsia="TimesNewRoman" w:hAnsi="Arial Narrow" w:cs="Times New Roman"/>
                <w:bCs/>
                <w:color w:val="000000"/>
                <w:sz w:val="20"/>
                <w:szCs w:val="20"/>
              </w:rPr>
            </w:pPr>
            <w:r w:rsidRPr="00B42397">
              <w:rPr>
                <w:rFonts w:ascii="Arial Narrow" w:eastAsia="TimesNewRoman" w:hAnsi="Arial Narrow" w:cs="Times New Roman"/>
                <w:bCs/>
                <w:color w:val="000000"/>
                <w:sz w:val="20"/>
                <w:szCs w:val="20"/>
              </w:rPr>
              <w:t>9</w:t>
            </w:r>
            <w:r w:rsidR="001A5C65" w:rsidRPr="00B42397">
              <w:rPr>
                <w:rFonts w:ascii="Arial Narrow" w:eastAsia="TimesNewRoman" w:hAnsi="Arial Narrow" w:cs="Times New Roman"/>
                <w:bCs/>
                <w:color w:val="000000"/>
                <w:sz w:val="20"/>
                <w:szCs w:val="20"/>
              </w:rPr>
              <w:t>.0</w:t>
            </w:r>
          </w:p>
        </w:tc>
        <w:tc>
          <w:tcPr>
            <w:tcW w:w="471" w:type="pct"/>
            <w:tcBorders>
              <w:top w:val="single" w:sz="4" w:space="0" w:color="auto"/>
              <w:left w:val="single" w:sz="4" w:space="0" w:color="auto"/>
              <w:bottom w:val="single" w:sz="4" w:space="0" w:color="auto"/>
              <w:right w:val="single" w:sz="4" w:space="0" w:color="auto"/>
            </w:tcBorders>
            <w:vAlign w:val="center"/>
          </w:tcPr>
          <w:p w14:paraId="61C3988F"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0.0017</w:t>
            </w:r>
          </w:p>
        </w:tc>
        <w:tc>
          <w:tcPr>
            <w:tcW w:w="599" w:type="pct"/>
            <w:tcBorders>
              <w:top w:val="single" w:sz="4" w:space="0" w:color="auto"/>
              <w:left w:val="single" w:sz="4" w:space="0" w:color="auto"/>
              <w:bottom w:val="single" w:sz="4" w:space="0" w:color="auto"/>
              <w:right w:val="single" w:sz="4" w:space="0" w:color="auto"/>
            </w:tcBorders>
            <w:vAlign w:val="center"/>
          </w:tcPr>
          <w:p w14:paraId="27C09D76"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 xml:space="preserve">0.76 </w:t>
            </w:r>
          </w:p>
          <w:p w14:paraId="236586D8" w14:textId="77777777" w:rsidR="00B756E8" w:rsidRPr="00B42397" w:rsidRDefault="00B756E8" w:rsidP="0023722B">
            <w:pPr>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(0.63, 0.92)</w:t>
            </w:r>
          </w:p>
        </w:tc>
      </w:tr>
    </w:tbl>
    <w:p w14:paraId="664F9AD7" w14:textId="77777777" w:rsidR="00B756E8" w:rsidRPr="00B42397" w:rsidRDefault="00B756E8" w:rsidP="004E7CAE">
      <w:pPr>
        <w:rPr>
          <w:rFonts w:ascii="Arial Narrow" w:hAnsi="Arial Narrow"/>
          <w:sz w:val="18"/>
          <w:szCs w:val="18"/>
        </w:rPr>
      </w:pPr>
      <w:r w:rsidRPr="00B42397">
        <w:rPr>
          <w:rFonts w:ascii="Arial Narrow" w:hAnsi="Arial Narrow"/>
          <w:sz w:val="18"/>
          <w:szCs w:val="18"/>
        </w:rPr>
        <w:t>Source: Table 2</w:t>
      </w:r>
      <w:proofErr w:type="gramStart"/>
      <w:r w:rsidRPr="00B42397">
        <w:rPr>
          <w:rFonts w:ascii="Arial Narrow" w:hAnsi="Arial Narrow"/>
          <w:sz w:val="18"/>
          <w:szCs w:val="18"/>
        </w:rPr>
        <w:t>,5,2</w:t>
      </w:r>
      <w:proofErr w:type="gramEnd"/>
      <w:r w:rsidRPr="00B42397">
        <w:rPr>
          <w:rFonts w:ascii="Arial Narrow" w:hAnsi="Arial Narrow"/>
          <w:sz w:val="18"/>
          <w:szCs w:val="18"/>
        </w:rPr>
        <w:t>, Table 2.5.6 of the submission.</w:t>
      </w:r>
    </w:p>
    <w:p w14:paraId="16F40EBD" w14:textId="77777777" w:rsidR="004E7CAE" w:rsidRPr="00B42397" w:rsidRDefault="004E7CAE" w:rsidP="004E7CAE">
      <w:pPr>
        <w:rPr>
          <w:rFonts w:ascii="Arial Narrow" w:hAnsi="Arial Narrow"/>
          <w:sz w:val="18"/>
          <w:szCs w:val="18"/>
        </w:rPr>
      </w:pPr>
      <w:r w:rsidRPr="00B42397">
        <w:rPr>
          <w:rFonts w:ascii="Arial Narrow" w:hAnsi="Arial Narrow"/>
          <w:sz w:val="18"/>
          <w:szCs w:val="18"/>
        </w:rPr>
        <w:t>Bd = bortezomib</w:t>
      </w:r>
      <w:r w:rsidR="00B756E8" w:rsidRPr="00B42397">
        <w:rPr>
          <w:rFonts w:ascii="Arial Narrow" w:hAnsi="Arial Narrow"/>
          <w:sz w:val="18"/>
          <w:szCs w:val="18"/>
        </w:rPr>
        <w:t xml:space="preserve"> </w:t>
      </w:r>
      <w:r w:rsidRPr="00B42397">
        <w:rPr>
          <w:rFonts w:ascii="Arial Narrow" w:hAnsi="Arial Narrow"/>
          <w:sz w:val="18"/>
          <w:szCs w:val="18"/>
        </w:rPr>
        <w:t>+</w:t>
      </w:r>
      <w:r w:rsidR="00B756E8" w:rsidRPr="00B42397">
        <w:rPr>
          <w:rFonts w:ascii="Arial Narrow" w:hAnsi="Arial Narrow"/>
          <w:sz w:val="18"/>
          <w:szCs w:val="18"/>
        </w:rPr>
        <w:t xml:space="preserve"> </w:t>
      </w:r>
      <w:r w:rsidRPr="00B42397">
        <w:rPr>
          <w:rFonts w:ascii="Arial Narrow" w:hAnsi="Arial Narrow"/>
          <w:sz w:val="18"/>
          <w:szCs w:val="18"/>
        </w:rPr>
        <w:t>dexamethasone; Cd = carfilzomib</w:t>
      </w:r>
      <w:r w:rsidR="00B756E8" w:rsidRPr="00B42397">
        <w:rPr>
          <w:rFonts w:ascii="Arial Narrow" w:hAnsi="Arial Narrow"/>
          <w:sz w:val="18"/>
          <w:szCs w:val="18"/>
        </w:rPr>
        <w:t xml:space="preserve"> </w:t>
      </w:r>
      <w:r w:rsidRPr="00B42397">
        <w:rPr>
          <w:rFonts w:ascii="Arial Narrow" w:hAnsi="Arial Narrow"/>
          <w:sz w:val="18"/>
          <w:szCs w:val="18"/>
        </w:rPr>
        <w:t>+</w:t>
      </w:r>
      <w:r w:rsidR="00B756E8" w:rsidRPr="00B42397">
        <w:rPr>
          <w:rFonts w:ascii="Arial Narrow" w:hAnsi="Arial Narrow"/>
          <w:sz w:val="18"/>
          <w:szCs w:val="18"/>
        </w:rPr>
        <w:t xml:space="preserve"> </w:t>
      </w:r>
      <w:r w:rsidRPr="00B42397">
        <w:rPr>
          <w:rFonts w:ascii="Arial Narrow" w:hAnsi="Arial Narrow"/>
          <w:sz w:val="18"/>
          <w:szCs w:val="18"/>
        </w:rPr>
        <w:t>dexamethasone; CI = confidence interval; HR = haza</w:t>
      </w:r>
      <w:r w:rsidR="001F5659" w:rsidRPr="00B42397">
        <w:rPr>
          <w:rFonts w:ascii="Arial Narrow" w:hAnsi="Arial Narrow"/>
          <w:sz w:val="18"/>
          <w:szCs w:val="18"/>
        </w:rPr>
        <w:t>rd</w:t>
      </w:r>
      <w:r w:rsidRPr="00B42397">
        <w:rPr>
          <w:rFonts w:ascii="Arial Narrow" w:hAnsi="Arial Narrow"/>
          <w:sz w:val="18"/>
          <w:szCs w:val="18"/>
        </w:rPr>
        <w:t xml:space="preserve"> ratio; IRC = Independent Review Committee; NE = not estimable; ORCA = Onyx Response Computational Assessment; OS = overall survival; PFS = progression free survival</w:t>
      </w:r>
      <w:r w:rsidR="00B756E8" w:rsidRPr="00B42397">
        <w:rPr>
          <w:rFonts w:ascii="Arial Narrow" w:hAnsi="Arial Narrow"/>
          <w:sz w:val="18"/>
          <w:szCs w:val="18"/>
        </w:rPr>
        <w:t>.</w:t>
      </w:r>
    </w:p>
    <w:p w14:paraId="2BE619F7" w14:textId="77777777" w:rsidR="00B756E8" w:rsidRPr="00B42397" w:rsidRDefault="00B756E8" w:rsidP="00B756E8">
      <w:pPr>
        <w:pStyle w:val="TableFigureFooter"/>
        <w:rPr>
          <w:szCs w:val="18"/>
        </w:rPr>
      </w:pPr>
      <w:r w:rsidRPr="00B42397">
        <w:rPr>
          <w:szCs w:val="18"/>
        </w:rPr>
        <w:t>Note: ENDEAVOR median follow-up for PFS: 11.5 months (data cut 10 Nov 2014); 16.6 months (data cut 3 March 2016); OS: 37.2 months (data cut 3 Jan 2017); 44 months (data cut 19 July 2017).</w:t>
      </w:r>
    </w:p>
    <w:p w14:paraId="357EE023" w14:textId="77777777" w:rsidR="004E7CAE" w:rsidRPr="00B42397" w:rsidRDefault="00B756E8" w:rsidP="00647B99">
      <w:pPr>
        <w:pStyle w:val="TableFigureFooter"/>
      </w:pPr>
      <w:r w:rsidRPr="00B42397">
        <w:rPr>
          <w:szCs w:val="18"/>
        </w:rPr>
        <w:t>Bold values indicate statistical significance.</w:t>
      </w:r>
    </w:p>
    <w:p w14:paraId="5F697C86" w14:textId="77777777" w:rsidR="004E7CAE" w:rsidRPr="00B42397" w:rsidRDefault="004E7CAE" w:rsidP="004E7CAE">
      <w:pPr>
        <w:rPr>
          <w:rFonts w:ascii="Arial Narrow" w:hAnsi="Arial Narrow"/>
          <w:sz w:val="18"/>
          <w:szCs w:val="18"/>
        </w:rPr>
      </w:pPr>
    </w:p>
    <w:p w14:paraId="6CDB0A67" w14:textId="77777777" w:rsidR="00647B99" w:rsidRPr="00B42397" w:rsidRDefault="00647B99" w:rsidP="004E7CAE">
      <w:pPr>
        <w:pStyle w:val="ListParagraph"/>
        <w:widowControl w:val="0"/>
        <w:numPr>
          <w:ilvl w:val="1"/>
          <w:numId w:val="1"/>
        </w:numPr>
        <w:spacing w:after="160"/>
        <w:rPr>
          <w:rFonts w:cstheme="minorHAnsi"/>
          <w:iCs/>
        </w:rPr>
      </w:pPr>
      <w:r w:rsidRPr="00B42397">
        <w:rPr>
          <w:rFonts w:cstheme="minorHAnsi"/>
        </w:rPr>
        <w:t xml:space="preserve">The patients in the Cd arm of ENDEAVOR had statistically significant </w:t>
      </w:r>
      <w:r w:rsidR="009F30AA" w:rsidRPr="00B42397">
        <w:rPr>
          <w:rFonts w:cstheme="minorHAnsi"/>
        </w:rPr>
        <w:t xml:space="preserve">improvements in </w:t>
      </w:r>
      <w:r w:rsidRPr="00B42397">
        <w:rPr>
          <w:rFonts w:cstheme="minorHAnsi"/>
        </w:rPr>
        <w:t xml:space="preserve">PFS and OS compared to Bd. </w:t>
      </w:r>
    </w:p>
    <w:p w14:paraId="2A2AF693" w14:textId="77777777" w:rsidR="00647B99" w:rsidRPr="00B42397" w:rsidRDefault="00647B99" w:rsidP="00647B99">
      <w:pPr>
        <w:pStyle w:val="TableHeading0"/>
      </w:pPr>
      <w:r w:rsidRPr="00B42397">
        <w:lastRenderedPageBreak/>
        <w:t>Figure 3: Kaplan-Meier curve of (A) PFS (</w:t>
      </w:r>
      <w:r w:rsidR="005D69C0" w:rsidRPr="00B42397">
        <w:t>3 March</w:t>
      </w:r>
      <w:r w:rsidRPr="00B42397">
        <w:t xml:space="preserve"> </w:t>
      </w:r>
      <w:r w:rsidR="005D69C0" w:rsidRPr="00B42397">
        <w:t>2016 data</w:t>
      </w:r>
      <w:r w:rsidRPr="00B42397">
        <w:t>-cut) and (B) OS (19 July 2017 data-cut), ENDEAVOR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tblGrid>
      <w:tr w:rsidR="00647B99" w:rsidRPr="00B42397" w14:paraId="7EC58649" w14:textId="77777777" w:rsidTr="001F619B">
        <w:trPr>
          <w:tblHeader/>
        </w:trPr>
        <w:tc>
          <w:tcPr>
            <w:tcW w:w="7669" w:type="dxa"/>
          </w:tcPr>
          <w:p w14:paraId="4D422145" w14:textId="77777777" w:rsidR="00647B99" w:rsidRPr="00B42397" w:rsidRDefault="00647B99" w:rsidP="006C5D99">
            <w:pPr>
              <w:keepNext/>
              <w:rPr>
                <w:rFonts w:ascii="Arial Narrow" w:hAnsi="Arial Narrow"/>
                <w:b/>
                <w:sz w:val="20"/>
                <w:szCs w:val="20"/>
              </w:rPr>
            </w:pPr>
            <w:r w:rsidRPr="00B42397">
              <w:rPr>
                <w:rFonts w:ascii="Arial Narrow" w:hAnsi="Arial Narrow"/>
                <w:b/>
                <w:sz w:val="20"/>
                <w:szCs w:val="20"/>
              </w:rPr>
              <w:t>A: PFS</w:t>
            </w:r>
            <w:r w:rsidR="005D69C0" w:rsidRPr="00B42397">
              <w:rPr>
                <w:rFonts w:ascii="Arial Narrow" w:hAnsi="Arial Narrow"/>
                <w:b/>
                <w:sz w:val="20"/>
                <w:szCs w:val="20"/>
              </w:rPr>
              <w:t xml:space="preserve"> (median follow-up = 16.6 months)</w:t>
            </w:r>
          </w:p>
          <w:p w14:paraId="7D0332EC" w14:textId="77777777" w:rsidR="00647B99" w:rsidRPr="00B42397" w:rsidRDefault="00647B99" w:rsidP="006C5D99">
            <w:pPr>
              <w:keepNext/>
              <w:rPr>
                <w:rFonts w:ascii="Arial Narrow" w:hAnsi="Arial Narrow"/>
                <w:b/>
                <w:sz w:val="20"/>
                <w:szCs w:val="20"/>
              </w:rPr>
            </w:pPr>
            <w:r w:rsidRPr="00B42397">
              <w:rPr>
                <w:noProof/>
              </w:rPr>
              <w:drawing>
                <wp:inline distT="0" distB="0" distL="0" distR="0" wp14:anchorId="4FF5B6BB" wp14:editId="2F27A624">
                  <wp:extent cx="4714875" cy="2021613"/>
                  <wp:effectExtent l="0" t="0" r="0" b="0"/>
                  <wp:docPr id="6" name="Picture 6" title="Figure 3: Kaplan-Meier curve of (A) PFS (3 March 2016 data-cut) and (B) OS (19 July 2017 data-cut), ENDEA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5284" cy="2026076"/>
                          </a:xfrm>
                          <a:prstGeom prst="rect">
                            <a:avLst/>
                          </a:prstGeom>
                          <a:noFill/>
                        </pic:spPr>
                      </pic:pic>
                    </a:graphicData>
                  </a:graphic>
                </wp:inline>
              </w:drawing>
            </w:r>
          </w:p>
        </w:tc>
      </w:tr>
      <w:tr w:rsidR="00647B99" w:rsidRPr="00B42397" w14:paraId="6F0CF17B" w14:textId="77777777" w:rsidTr="006C5D99">
        <w:tc>
          <w:tcPr>
            <w:tcW w:w="7669" w:type="dxa"/>
          </w:tcPr>
          <w:p w14:paraId="7ABD96C7" w14:textId="77777777" w:rsidR="00647B99" w:rsidRPr="00B42397" w:rsidRDefault="00647B99" w:rsidP="006C5D99">
            <w:pPr>
              <w:keepNext/>
              <w:rPr>
                <w:rFonts w:ascii="Arial Narrow" w:hAnsi="Arial Narrow"/>
                <w:b/>
                <w:sz w:val="20"/>
                <w:szCs w:val="20"/>
              </w:rPr>
            </w:pPr>
          </w:p>
          <w:p w14:paraId="564E3EA9" w14:textId="77777777" w:rsidR="00647B99" w:rsidRPr="00B42397" w:rsidRDefault="00647B99" w:rsidP="006C5D99">
            <w:pPr>
              <w:keepNext/>
              <w:rPr>
                <w:rFonts w:ascii="Arial Narrow" w:hAnsi="Arial Narrow"/>
                <w:b/>
                <w:sz w:val="20"/>
                <w:szCs w:val="20"/>
              </w:rPr>
            </w:pPr>
            <w:r w:rsidRPr="00B42397">
              <w:rPr>
                <w:rFonts w:ascii="Arial Narrow" w:hAnsi="Arial Narrow"/>
                <w:b/>
                <w:sz w:val="20"/>
                <w:szCs w:val="20"/>
              </w:rPr>
              <w:t>B: OS</w:t>
            </w:r>
            <w:r w:rsidR="005D69C0" w:rsidRPr="00B42397">
              <w:rPr>
                <w:rFonts w:ascii="Arial Narrow" w:hAnsi="Arial Narrow"/>
                <w:b/>
                <w:sz w:val="20"/>
                <w:szCs w:val="20"/>
              </w:rPr>
              <w:t xml:space="preserve"> (median follow-up = 44 months)</w:t>
            </w:r>
          </w:p>
          <w:p w14:paraId="12C6C8AB" w14:textId="77777777" w:rsidR="00647B99" w:rsidRPr="00B42397" w:rsidRDefault="00647B99" w:rsidP="006C5D99">
            <w:pPr>
              <w:keepNext/>
              <w:rPr>
                <w:rFonts w:ascii="Arial Narrow" w:hAnsi="Arial Narrow"/>
                <w:b/>
                <w:sz w:val="20"/>
                <w:szCs w:val="20"/>
              </w:rPr>
            </w:pPr>
            <w:r w:rsidRPr="00B42397">
              <w:rPr>
                <w:noProof/>
              </w:rPr>
              <w:drawing>
                <wp:inline distT="0" distB="0" distL="0" distR="0" wp14:anchorId="06ABE0F9" wp14:editId="6783C066">
                  <wp:extent cx="4760595" cy="3746565"/>
                  <wp:effectExtent l="0" t="0" r="1905" b="6350"/>
                  <wp:docPr id="23" name="Picture 23" title="Figure 3: Kaplan-Meier curve of (A) PFS (3 March 2016 data-cut) and (B) OS (19 July 2017 data-cut), ENDEA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9382" cy="3753480"/>
                          </a:xfrm>
                          <a:prstGeom prst="rect">
                            <a:avLst/>
                          </a:prstGeom>
                          <a:noFill/>
                          <a:ln>
                            <a:noFill/>
                          </a:ln>
                        </pic:spPr>
                      </pic:pic>
                    </a:graphicData>
                  </a:graphic>
                </wp:inline>
              </w:drawing>
            </w:r>
          </w:p>
        </w:tc>
      </w:tr>
    </w:tbl>
    <w:p w14:paraId="5E98DFB6" w14:textId="77777777" w:rsidR="00647B99" w:rsidRPr="00B42397" w:rsidRDefault="00647B99" w:rsidP="00647B99">
      <w:pPr>
        <w:pStyle w:val="TableFooter"/>
      </w:pPr>
      <w:r w:rsidRPr="00B42397">
        <w:t xml:space="preserve">Source: Figure 2.5.7, Figure 2.5.8 of the submission. </w:t>
      </w:r>
    </w:p>
    <w:p w14:paraId="29CB35D7" w14:textId="77777777" w:rsidR="00647B99" w:rsidRPr="00B42397" w:rsidRDefault="00647B99" w:rsidP="00647B99">
      <w:pPr>
        <w:pStyle w:val="TableFooter"/>
      </w:pPr>
      <w:r w:rsidRPr="00B42397">
        <w:t>CI =</w:t>
      </w:r>
      <w:r w:rsidR="00CC3E50" w:rsidRPr="00B42397">
        <w:t xml:space="preserve"> </w:t>
      </w:r>
      <w:r w:rsidRPr="00B42397">
        <w:t>confidence interval; IRC = independent review committee; KM = Kaplan Meier; Kd56 = carfilzomib + dexamethasone (56 mg/m</w:t>
      </w:r>
      <w:r w:rsidRPr="00B42397">
        <w:rPr>
          <w:vertAlign w:val="superscript"/>
        </w:rPr>
        <w:t>2</w:t>
      </w:r>
      <w:r w:rsidRPr="00B42397">
        <w:t xml:space="preserve"> dose); OS = overall survival; PFS = progression free survival; </w:t>
      </w:r>
      <w:proofErr w:type="spellStart"/>
      <w:proofErr w:type="gramStart"/>
      <w:r w:rsidRPr="00B42397">
        <w:t>Vd</w:t>
      </w:r>
      <w:proofErr w:type="spellEnd"/>
      <w:proofErr w:type="gramEnd"/>
      <w:r w:rsidRPr="00B42397">
        <w:t xml:space="preserve"> = bortezomib + dexamethasone.</w:t>
      </w:r>
    </w:p>
    <w:p w14:paraId="73DD4215" w14:textId="77777777" w:rsidR="00647B99" w:rsidRPr="00B42397" w:rsidRDefault="00647B99" w:rsidP="00647B99">
      <w:pPr>
        <w:pStyle w:val="ListBullet"/>
        <w:numPr>
          <w:ilvl w:val="0"/>
          <w:numId w:val="0"/>
        </w:numPr>
        <w:ind w:left="360" w:hanging="360"/>
      </w:pPr>
    </w:p>
    <w:p w14:paraId="0A3D1CB0" w14:textId="77777777" w:rsidR="004E7CAE" w:rsidRPr="00B42397" w:rsidRDefault="0048437B" w:rsidP="004E7CAE">
      <w:pPr>
        <w:pStyle w:val="ListParagraph"/>
        <w:widowControl w:val="0"/>
        <w:numPr>
          <w:ilvl w:val="1"/>
          <w:numId w:val="1"/>
        </w:numPr>
        <w:spacing w:after="160"/>
        <w:rPr>
          <w:rFonts w:cstheme="minorHAnsi"/>
        </w:rPr>
      </w:pPr>
      <w:r w:rsidRPr="00B42397">
        <w:t xml:space="preserve">The ORR was </w:t>
      </w:r>
      <w:r w:rsidR="006C4482" w:rsidRPr="00B42397">
        <w:t xml:space="preserve">statistically </w:t>
      </w:r>
      <w:r w:rsidRPr="00B42397">
        <w:t>significantly higher for patients receiving Cd compared with Bd</w:t>
      </w:r>
      <w:r w:rsidR="002271D7" w:rsidRPr="00B42397">
        <w:t xml:space="preserve"> (Table </w:t>
      </w:r>
      <w:r w:rsidR="00421BB2" w:rsidRPr="00B42397">
        <w:t>7</w:t>
      </w:r>
      <w:r w:rsidR="004E7CAE" w:rsidRPr="00B42397">
        <w:rPr>
          <w:rFonts w:cstheme="minorHAnsi"/>
        </w:rPr>
        <w:t>).</w:t>
      </w:r>
    </w:p>
    <w:p w14:paraId="6582458E" w14:textId="77777777" w:rsidR="004E7CAE" w:rsidRPr="00B42397" w:rsidRDefault="00421BB2" w:rsidP="00421BB2">
      <w:pPr>
        <w:pStyle w:val="TableHeading0"/>
        <w:spacing w:after="0"/>
      </w:pPr>
      <w:r w:rsidRPr="00B42397">
        <w:lastRenderedPageBreak/>
        <w:t>Table 7</w:t>
      </w:r>
      <w:r w:rsidR="004E7CAE" w:rsidRPr="00B42397">
        <w:t>: Summary of efficacy results: ORR,</w:t>
      </w:r>
      <w:r w:rsidRPr="00B42397">
        <w:t xml:space="preserve"> </w:t>
      </w:r>
      <w:r w:rsidR="004E7CAE" w:rsidRPr="00B42397">
        <w:t>ENDEAVOR (10 Nov 2014 data-cut</w:t>
      </w:r>
      <w:r w:rsidR="00981429" w:rsidRPr="00B42397">
        <w:t xml:space="preserve">; median </w:t>
      </w:r>
      <w:r w:rsidR="00722987" w:rsidRPr="00B42397">
        <w:t xml:space="preserve">OS </w:t>
      </w:r>
      <w:r w:rsidR="00981429" w:rsidRPr="00B42397">
        <w:t xml:space="preserve">follow up = </w:t>
      </w:r>
      <w:r w:rsidR="00722987" w:rsidRPr="00B42397">
        <w:t>12.2 months</w:t>
      </w:r>
      <w:r w:rsidR="004E7CAE" w:rsidRPr="00B4239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5"/>
        <w:gridCol w:w="1277"/>
        <w:gridCol w:w="992"/>
        <w:gridCol w:w="1275"/>
        <w:gridCol w:w="994"/>
        <w:gridCol w:w="1133"/>
        <w:gridCol w:w="992"/>
        <w:gridCol w:w="1509"/>
      </w:tblGrid>
      <w:tr w:rsidR="004E7CAE" w:rsidRPr="00B42397" w14:paraId="19367ACC" w14:textId="77777777" w:rsidTr="00BE08E4">
        <w:trPr>
          <w:trHeight w:val="115"/>
        </w:trPr>
        <w:tc>
          <w:tcPr>
            <w:tcW w:w="469" w:type="pct"/>
            <w:vMerge w:val="restart"/>
            <w:tcBorders>
              <w:top w:val="single" w:sz="4" w:space="0" w:color="auto"/>
              <w:left w:val="single" w:sz="4" w:space="0" w:color="auto"/>
              <w:right w:val="single" w:sz="4" w:space="0" w:color="auto"/>
            </w:tcBorders>
            <w:hideMark/>
          </w:tcPr>
          <w:p w14:paraId="51B34C93" w14:textId="77777777" w:rsidR="004E7CAE" w:rsidRPr="00B42397" w:rsidRDefault="004E7CAE" w:rsidP="002271D7">
            <w:pPr>
              <w:keepNext/>
              <w:keepLines/>
              <w:jc w:val="left"/>
              <w:rPr>
                <w:rFonts w:ascii="Arial Narrow" w:eastAsia="TimesNewRoman" w:hAnsi="Arial Narrow" w:cs="Times New Roman"/>
                <w:b/>
                <w:color w:val="000000"/>
                <w:sz w:val="20"/>
                <w:szCs w:val="20"/>
              </w:rPr>
            </w:pPr>
          </w:p>
        </w:tc>
        <w:tc>
          <w:tcPr>
            <w:tcW w:w="1258" w:type="pct"/>
            <w:gridSpan w:val="2"/>
            <w:tcBorders>
              <w:top w:val="single" w:sz="4" w:space="0" w:color="auto"/>
              <w:left w:val="single" w:sz="4" w:space="0" w:color="auto"/>
              <w:right w:val="single" w:sz="4" w:space="0" w:color="auto"/>
            </w:tcBorders>
          </w:tcPr>
          <w:p w14:paraId="668D8422" w14:textId="77777777" w:rsidR="004E7CAE" w:rsidRPr="00B42397" w:rsidRDefault="004E7CAE" w:rsidP="002271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Cd</w:t>
            </w:r>
          </w:p>
        </w:tc>
        <w:tc>
          <w:tcPr>
            <w:tcW w:w="1258" w:type="pct"/>
            <w:gridSpan w:val="2"/>
            <w:tcBorders>
              <w:top w:val="single" w:sz="4" w:space="0" w:color="auto"/>
              <w:left w:val="single" w:sz="4" w:space="0" w:color="auto"/>
              <w:right w:val="single" w:sz="4" w:space="0" w:color="auto"/>
            </w:tcBorders>
          </w:tcPr>
          <w:p w14:paraId="5E12F94C" w14:textId="77777777" w:rsidR="004E7CAE" w:rsidRPr="00B42397" w:rsidRDefault="004E7CAE" w:rsidP="002271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Bd</w:t>
            </w:r>
          </w:p>
        </w:tc>
        <w:tc>
          <w:tcPr>
            <w:tcW w:w="628" w:type="pct"/>
            <w:vMerge w:val="restart"/>
            <w:tcBorders>
              <w:top w:val="single" w:sz="4" w:space="0" w:color="auto"/>
              <w:left w:val="single" w:sz="4" w:space="0" w:color="auto"/>
              <w:right w:val="single" w:sz="4" w:space="0" w:color="auto"/>
            </w:tcBorders>
          </w:tcPr>
          <w:p w14:paraId="18F2B67F" w14:textId="77777777" w:rsidR="004E7CAE" w:rsidRPr="00B42397" w:rsidRDefault="004E7CAE" w:rsidP="002271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Difference in median, months</w:t>
            </w:r>
          </w:p>
        </w:tc>
        <w:tc>
          <w:tcPr>
            <w:tcW w:w="550" w:type="pct"/>
            <w:vMerge w:val="restart"/>
            <w:tcBorders>
              <w:top w:val="single" w:sz="4" w:space="0" w:color="auto"/>
              <w:left w:val="single" w:sz="4" w:space="0" w:color="auto"/>
              <w:right w:val="single" w:sz="4" w:space="0" w:color="auto"/>
            </w:tcBorders>
          </w:tcPr>
          <w:p w14:paraId="324FF077" w14:textId="77777777" w:rsidR="004E7CAE" w:rsidRPr="00B42397" w:rsidRDefault="004E7CAE" w:rsidP="002271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 value (log rank test)</w:t>
            </w:r>
          </w:p>
        </w:tc>
        <w:tc>
          <w:tcPr>
            <w:tcW w:w="837" w:type="pct"/>
            <w:vMerge w:val="restart"/>
            <w:tcBorders>
              <w:top w:val="single" w:sz="4" w:space="0" w:color="auto"/>
              <w:left w:val="single" w:sz="4" w:space="0" w:color="auto"/>
              <w:right w:val="single" w:sz="4" w:space="0" w:color="auto"/>
            </w:tcBorders>
          </w:tcPr>
          <w:p w14:paraId="3FC8E643" w14:textId="77777777" w:rsidR="004E7CAE" w:rsidRPr="00B42397" w:rsidRDefault="004E7CAE" w:rsidP="002271D7">
            <w:pPr>
              <w:keepNext/>
              <w:keepLines/>
              <w:jc w:val="center"/>
              <w:rPr>
                <w:rFonts w:ascii="Arial Narrow" w:eastAsia="TimesNewRoman" w:hAnsi="Arial Narrow" w:cs="Times New Roman"/>
                <w:b/>
                <w:color w:val="000000"/>
                <w:sz w:val="20"/>
                <w:szCs w:val="20"/>
                <w:vertAlign w:val="superscript"/>
              </w:rPr>
            </w:pPr>
            <w:r w:rsidRPr="00B42397">
              <w:rPr>
                <w:rFonts w:ascii="Arial Narrow" w:eastAsia="TimesNewRoman" w:hAnsi="Arial Narrow" w:cs="Times New Roman"/>
                <w:b/>
                <w:color w:val="000000"/>
                <w:sz w:val="20"/>
                <w:szCs w:val="20"/>
              </w:rPr>
              <w:t xml:space="preserve">HR </w:t>
            </w:r>
            <w:r w:rsidRPr="00B42397">
              <w:rPr>
                <w:rFonts w:ascii="Arial Narrow" w:eastAsia="TimesNewRoman" w:hAnsi="Arial Narrow" w:cs="Times New Roman"/>
                <w:b/>
                <w:color w:val="000000"/>
                <w:sz w:val="20"/>
                <w:szCs w:val="20"/>
              </w:rPr>
              <w:br/>
              <w:t>(95% CI)</w:t>
            </w:r>
          </w:p>
        </w:tc>
      </w:tr>
      <w:tr w:rsidR="004E7CAE" w:rsidRPr="00B42397" w14:paraId="6C62EC9B" w14:textId="77777777" w:rsidTr="00BE08E4">
        <w:trPr>
          <w:trHeight w:val="303"/>
        </w:trPr>
        <w:tc>
          <w:tcPr>
            <w:tcW w:w="469" w:type="pct"/>
            <w:vMerge/>
            <w:tcBorders>
              <w:left w:val="single" w:sz="4" w:space="0" w:color="auto"/>
              <w:bottom w:val="single" w:sz="4" w:space="0" w:color="auto"/>
              <w:right w:val="single" w:sz="4" w:space="0" w:color="auto"/>
            </w:tcBorders>
            <w:vAlign w:val="center"/>
          </w:tcPr>
          <w:p w14:paraId="5A11B182" w14:textId="77777777" w:rsidR="004E7CAE" w:rsidRPr="00B42397" w:rsidRDefault="004E7CAE" w:rsidP="002271D7">
            <w:pPr>
              <w:keepNext/>
              <w:keepLines/>
              <w:jc w:val="left"/>
              <w:rPr>
                <w:rFonts w:ascii="Arial Narrow" w:eastAsia="TimesNewRoman" w:hAnsi="Arial Narrow" w:cs="Times New Roman"/>
                <w:color w:val="000000"/>
                <w:sz w:val="20"/>
                <w:szCs w:val="20"/>
              </w:rPr>
            </w:pPr>
          </w:p>
        </w:tc>
        <w:tc>
          <w:tcPr>
            <w:tcW w:w="708" w:type="pct"/>
            <w:tcBorders>
              <w:top w:val="single" w:sz="4" w:space="0" w:color="auto"/>
              <w:left w:val="single" w:sz="4" w:space="0" w:color="auto"/>
              <w:bottom w:val="single" w:sz="4" w:space="0" w:color="auto"/>
              <w:right w:val="single" w:sz="4" w:space="0" w:color="auto"/>
            </w:tcBorders>
          </w:tcPr>
          <w:p w14:paraId="73D3BA6A" w14:textId="77777777" w:rsidR="004E7CAE" w:rsidRPr="00B42397" w:rsidRDefault="004E7CAE" w:rsidP="005D69C0">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Patients with events, n (%)</w:t>
            </w:r>
          </w:p>
        </w:tc>
        <w:tc>
          <w:tcPr>
            <w:tcW w:w="550" w:type="pct"/>
            <w:tcBorders>
              <w:top w:val="single" w:sz="4" w:space="0" w:color="auto"/>
              <w:left w:val="single" w:sz="4" w:space="0" w:color="auto"/>
              <w:bottom w:val="single" w:sz="4" w:space="0" w:color="auto"/>
              <w:right w:val="single" w:sz="4" w:space="0" w:color="auto"/>
            </w:tcBorders>
          </w:tcPr>
          <w:p w14:paraId="1CA36DD2" w14:textId="77777777" w:rsidR="004E7CAE" w:rsidRPr="00B42397" w:rsidRDefault="004E7CAE" w:rsidP="002271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M</w:t>
            </w:r>
            <w:r w:rsidR="00BE08E4" w:rsidRPr="00B42397">
              <w:rPr>
                <w:rFonts w:ascii="Arial Narrow" w:eastAsia="TimesNewRoman" w:hAnsi="Arial Narrow" w:cs="Times New Roman"/>
                <w:b/>
                <w:color w:val="000000"/>
                <w:sz w:val="20"/>
                <w:szCs w:val="20"/>
              </w:rPr>
              <w:t>edian, months</w:t>
            </w:r>
          </w:p>
        </w:tc>
        <w:tc>
          <w:tcPr>
            <w:tcW w:w="707" w:type="pct"/>
            <w:tcBorders>
              <w:top w:val="single" w:sz="4" w:space="0" w:color="auto"/>
              <w:left w:val="single" w:sz="4" w:space="0" w:color="auto"/>
              <w:bottom w:val="single" w:sz="4" w:space="0" w:color="auto"/>
              <w:right w:val="single" w:sz="4" w:space="0" w:color="auto"/>
            </w:tcBorders>
          </w:tcPr>
          <w:p w14:paraId="44B8C7C3" w14:textId="77777777" w:rsidR="004E7CAE" w:rsidRPr="00B42397" w:rsidRDefault="004E7CAE" w:rsidP="00BE08E4">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Patients with events, n</w:t>
            </w:r>
            <w:r w:rsidR="00CD2736" w:rsidRPr="00B42397">
              <w:rPr>
                <w:rFonts w:ascii="Arial Narrow" w:eastAsia="TimesNewRoman" w:hAnsi="Arial Narrow" w:cs="Times New Roman"/>
                <w:b/>
                <w:color w:val="000000"/>
                <w:sz w:val="20"/>
                <w:szCs w:val="20"/>
              </w:rPr>
              <w:t xml:space="preserve"> </w:t>
            </w:r>
            <w:r w:rsidRPr="00B42397">
              <w:rPr>
                <w:rFonts w:ascii="Arial Narrow" w:eastAsia="TimesNewRoman" w:hAnsi="Arial Narrow" w:cs="Times New Roman"/>
                <w:b/>
                <w:color w:val="000000"/>
                <w:sz w:val="20"/>
                <w:szCs w:val="20"/>
              </w:rPr>
              <w:t>(%)</w:t>
            </w:r>
          </w:p>
        </w:tc>
        <w:tc>
          <w:tcPr>
            <w:tcW w:w="551" w:type="pct"/>
            <w:tcBorders>
              <w:top w:val="single" w:sz="4" w:space="0" w:color="auto"/>
              <w:left w:val="single" w:sz="4" w:space="0" w:color="auto"/>
              <w:bottom w:val="single" w:sz="4" w:space="0" w:color="auto"/>
              <w:right w:val="single" w:sz="4" w:space="0" w:color="auto"/>
            </w:tcBorders>
          </w:tcPr>
          <w:p w14:paraId="7FD45FB3" w14:textId="77777777" w:rsidR="004E7CAE" w:rsidRPr="00B42397" w:rsidRDefault="004E7CAE" w:rsidP="002271D7">
            <w:pPr>
              <w:keepNext/>
              <w:keepLines/>
              <w:jc w:val="center"/>
              <w:rPr>
                <w:rFonts w:ascii="Arial Narrow" w:eastAsia="TimesNewRoman" w:hAnsi="Arial Narrow" w:cs="Times New Roman"/>
                <w:b/>
                <w:color w:val="000000"/>
                <w:sz w:val="20"/>
                <w:szCs w:val="20"/>
              </w:rPr>
            </w:pPr>
            <w:r w:rsidRPr="00B42397">
              <w:rPr>
                <w:rFonts w:ascii="Arial Narrow" w:eastAsia="TimesNewRoman" w:hAnsi="Arial Narrow" w:cs="Times New Roman"/>
                <w:b/>
                <w:color w:val="000000"/>
                <w:sz w:val="20"/>
                <w:szCs w:val="20"/>
              </w:rPr>
              <w:t>M</w:t>
            </w:r>
            <w:r w:rsidR="00BE08E4" w:rsidRPr="00B42397">
              <w:rPr>
                <w:rFonts w:ascii="Arial Narrow" w:eastAsia="TimesNewRoman" w:hAnsi="Arial Narrow" w:cs="Times New Roman"/>
                <w:b/>
                <w:color w:val="000000"/>
                <w:sz w:val="20"/>
                <w:szCs w:val="20"/>
              </w:rPr>
              <w:t>edian, months</w:t>
            </w:r>
          </w:p>
        </w:tc>
        <w:tc>
          <w:tcPr>
            <w:tcW w:w="628" w:type="pct"/>
            <w:vMerge/>
            <w:tcBorders>
              <w:left w:val="single" w:sz="4" w:space="0" w:color="auto"/>
              <w:bottom w:val="single" w:sz="4" w:space="0" w:color="auto"/>
              <w:right w:val="single" w:sz="4" w:space="0" w:color="auto"/>
            </w:tcBorders>
          </w:tcPr>
          <w:p w14:paraId="11684A65" w14:textId="77777777" w:rsidR="004E7CAE" w:rsidRPr="00B42397" w:rsidRDefault="004E7CAE" w:rsidP="002271D7">
            <w:pPr>
              <w:keepNext/>
              <w:keepLines/>
              <w:jc w:val="center"/>
              <w:rPr>
                <w:rFonts w:ascii="Arial Narrow" w:eastAsia="TimesNewRoman" w:hAnsi="Arial Narrow" w:cs="Times New Roman"/>
                <w:color w:val="000000"/>
                <w:sz w:val="20"/>
                <w:szCs w:val="20"/>
              </w:rPr>
            </w:pPr>
          </w:p>
        </w:tc>
        <w:tc>
          <w:tcPr>
            <w:tcW w:w="550" w:type="pct"/>
            <w:vMerge/>
            <w:tcBorders>
              <w:left w:val="single" w:sz="4" w:space="0" w:color="auto"/>
              <w:bottom w:val="single" w:sz="4" w:space="0" w:color="auto"/>
              <w:right w:val="single" w:sz="4" w:space="0" w:color="auto"/>
            </w:tcBorders>
          </w:tcPr>
          <w:p w14:paraId="68FABB9D" w14:textId="77777777" w:rsidR="004E7CAE" w:rsidRPr="00B42397" w:rsidRDefault="004E7CAE" w:rsidP="002271D7">
            <w:pPr>
              <w:keepNext/>
              <w:keepLines/>
              <w:jc w:val="center"/>
              <w:rPr>
                <w:rFonts w:ascii="Arial Narrow" w:eastAsia="TimesNewRoman" w:hAnsi="Arial Narrow" w:cs="Times New Roman"/>
                <w:color w:val="000000"/>
                <w:sz w:val="20"/>
                <w:szCs w:val="20"/>
              </w:rPr>
            </w:pPr>
          </w:p>
        </w:tc>
        <w:tc>
          <w:tcPr>
            <w:tcW w:w="837" w:type="pct"/>
            <w:vMerge/>
            <w:tcBorders>
              <w:left w:val="single" w:sz="4" w:space="0" w:color="auto"/>
              <w:bottom w:val="single" w:sz="4" w:space="0" w:color="auto"/>
              <w:right w:val="single" w:sz="4" w:space="0" w:color="auto"/>
            </w:tcBorders>
          </w:tcPr>
          <w:p w14:paraId="75FC5557" w14:textId="77777777" w:rsidR="004E7CAE" w:rsidRPr="00B42397" w:rsidRDefault="004E7CAE" w:rsidP="002271D7">
            <w:pPr>
              <w:keepNext/>
              <w:keepLines/>
              <w:jc w:val="center"/>
              <w:rPr>
                <w:rFonts w:ascii="Arial Narrow" w:eastAsia="TimesNewRoman" w:hAnsi="Arial Narrow" w:cs="Times New Roman"/>
                <w:color w:val="000000"/>
                <w:sz w:val="20"/>
                <w:szCs w:val="20"/>
              </w:rPr>
            </w:pPr>
          </w:p>
        </w:tc>
      </w:tr>
      <w:tr w:rsidR="004E7CAE" w:rsidRPr="00B42397" w14:paraId="5F08619F" w14:textId="77777777" w:rsidTr="00BE08E4">
        <w:trPr>
          <w:trHeight w:val="487"/>
        </w:trPr>
        <w:tc>
          <w:tcPr>
            <w:tcW w:w="469" w:type="pct"/>
            <w:tcBorders>
              <w:top w:val="single" w:sz="4" w:space="0" w:color="auto"/>
              <w:left w:val="single" w:sz="4" w:space="0" w:color="auto"/>
              <w:bottom w:val="single" w:sz="4" w:space="0" w:color="auto"/>
              <w:right w:val="single" w:sz="4" w:space="0" w:color="auto"/>
            </w:tcBorders>
            <w:vAlign w:val="center"/>
          </w:tcPr>
          <w:p w14:paraId="2A1BD5D8" w14:textId="77777777" w:rsidR="004E7CAE" w:rsidRPr="00B42397" w:rsidRDefault="004E7CAE" w:rsidP="002271D7">
            <w:pPr>
              <w:keepNext/>
              <w:keepLines/>
              <w:jc w:val="left"/>
              <w:rPr>
                <w:rFonts w:ascii="Arial Narrow" w:eastAsia="TimesNewRoman" w:hAnsi="Arial Narrow" w:cs="Times New Roman"/>
                <w:color w:val="000000"/>
                <w:sz w:val="20"/>
                <w:szCs w:val="20"/>
              </w:rPr>
            </w:pPr>
            <w:r w:rsidRPr="00B42397">
              <w:rPr>
                <w:rFonts w:ascii="Arial Narrow" w:eastAsia="TimesNewRoman" w:hAnsi="Arial Narrow" w:cs="Times New Roman"/>
                <w:color w:val="000000"/>
                <w:sz w:val="20"/>
                <w:szCs w:val="20"/>
              </w:rPr>
              <w:t>ORR</w:t>
            </w:r>
          </w:p>
        </w:tc>
        <w:tc>
          <w:tcPr>
            <w:tcW w:w="708" w:type="pct"/>
            <w:tcBorders>
              <w:top w:val="single" w:sz="4" w:space="0" w:color="auto"/>
              <w:left w:val="single" w:sz="4" w:space="0" w:color="auto"/>
              <w:bottom w:val="single" w:sz="4" w:space="0" w:color="auto"/>
              <w:right w:val="single" w:sz="4" w:space="0" w:color="auto"/>
            </w:tcBorders>
            <w:vAlign w:val="center"/>
          </w:tcPr>
          <w:p w14:paraId="08E789BA" w14:textId="77777777" w:rsidR="004E7CAE" w:rsidRPr="00B42397" w:rsidRDefault="004E7CAE" w:rsidP="002271D7">
            <w:pPr>
              <w:keepNext/>
              <w:keepLines/>
              <w:jc w:val="center"/>
              <w:rPr>
                <w:rFonts w:ascii="Arial Narrow" w:eastAsia="TimesNewRoman" w:hAnsi="Arial Narrow" w:cs="Times New Roman"/>
                <w:i/>
                <w:color w:val="000000"/>
                <w:sz w:val="20"/>
                <w:szCs w:val="20"/>
              </w:rPr>
            </w:pPr>
            <w:r w:rsidRPr="00B42397">
              <w:rPr>
                <w:rFonts w:ascii="Arial Narrow" w:hAnsi="Arial Narrow"/>
                <w:sz w:val="20"/>
                <w:szCs w:val="20"/>
              </w:rPr>
              <w:t>357</w:t>
            </w:r>
            <w:r w:rsidR="005D69C0" w:rsidRPr="00B42397">
              <w:rPr>
                <w:rFonts w:ascii="Arial Narrow" w:hAnsi="Arial Narrow"/>
                <w:sz w:val="20"/>
                <w:szCs w:val="20"/>
              </w:rPr>
              <w:t xml:space="preserve"> </w:t>
            </w:r>
            <w:r w:rsidRPr="00B42397">
              <w:rPr>
                <w:rFonts w:ascii="Arial Narrow" w:hAnsi="Arial Narrow"/>
                <w:sz w:val="20"/>
                <w:szCs w:val="20"/>
              </w:rPr>
              <w:t>(76.9%)</w:t>
            </w:r>
          </w:p>
        </w:tc>
        <w:tc>
          <w:tcPr>
            <w:tcW w:w="550" w:type="pct"/>
            <w:tcBorders>
              <w:top w:val="single" w:sz="4" w:space="0" w:color="auto"/>
              <w:left w:val="single" w:sz="4" w:space="0" w:color="auto"/>
              <w:bottom w:val="single" w:sz="4" w:space="0" w:color="auto"/>
              <w:right w:val="single" w:sz="4" w:space="0" w:color="auto"/>
            </w:tcBorders>
            <w:vAlign w:val="center"/>
          </w:tcPr>
          <w:p w14:paraId="359B5846" w14:textId="77777777" w:rsidR="004E7CAE" w:rsidRPr="00B42397" w:rsidRDefault="00C53057" w:rsidP="002271D7">
            <w:pPr>
              <w:keepNext/>
              <w:keepLines/>
              <w:jc w:val="center"/>
              <w:rPr>
                <w:rFonts w:ascii="Arial Narrow" w:eastAsia="TimesNewRoman" w:hAnsi="Arial Narrow" w:cs="Times New Roman"/>
                <w:iCs/>
                <w:color w:val="000000" w:themeColor="text1"/>
                <w:sz w:val="20"/>
                <w:szCs w:val="20"/>
              </w:rPr>
            </w:pPr>
            <w:r w:rsidRPr="00B42397">
              <w:rPr>
                <w:rFonts w:ascii="Arial Narrow" w:eastAsia="TimesNewRoman" w:hAnsi="Arial Narrow" w:cs="Times New Roman"/>
                <w:iCs/>
                <w:color w:val="000000" w:themeColor="text1"/>
                <w:sz w:val="20"/>
                <w:szCs w:val="20"/>
              </w:rPr>
              <w:t>1.1</w:t>
            </w:r>
          </w:p>
        </w:tc>
        <w:tc>
          <w:tcPr>
            <w:tcW w:w="707" w:type="pct"/>
            <w:tcBorders>
              <w:top w:val="single" w:sz="4" w:space="0" w:color="auto"/>
              <w:left w:val="single" w:sz="4" w:space="0" w:color="auto"/>
              <w:bottom w:val="single" w:sz="4" w:space="0" w:color="auto"/>
              <w:right w:val="single" w:sz="4" w:space="0" w:color="auto"/>
            </w:tcBorders>
            <w:vAlign w:val="center"/>
          </w:tcPr>
          <w:p w14:paraId="239635A5" w14:textId="77777777" w:rsidR="004E7CAE" w:rsidRPr="00B42397" w:rsidRDefault="004E7CAE" w:rsidP="002271D7">
            <w:pPr>
              <w:keepNext/>
              <w:keepLines/>
              <w:jc w:val="center"/>
              <w:rPr>
                <w:rFonts w:ascii="Arial Narrow" w:eastAsia="TimesNewRoman" w:hAnsi="Arial Narrow" w:cs="Times New Roman"/>
                <w:i/>
                <w:color w:val="000000" w:themeColor="text1"/>
                <w:sz w:val="20"/>
                <w:szCs w:val="20"/>
              </w:rPr>
            </w:pPr>
            <w:r w:rsidRPr="00B42397">
              <w:rPr>
                <w:rFonts w:ascii="Arial Narrow" w:hAnsi="Arial Narrow"/>
                <w:color w:val="000000" w:themeColor="text1"/>
                <w:sz w:val="20"/>
                <w:szCs w:val="20"/>
              </w:rPr>
              <w:t>293 (63.0%)</w:t>
            </w:r>
          </w:p>
        </w:tc>
        <w:tc>
          <w:tcPr>
            <w:tcW w:w="551" w:type="pct"/>
            <w:tcBorders>
              <w:top w:val="single" w:sz="4" w:space="0" w:color="auto"/>
              <w:left w:val="single" w:sz="4" w:space="0" w:color="auto"/>
              <w:bottom w:val="single" w:sz="4" w:space="0" w:color="auto"/>
              <w:right w:val="single" w:sz="4" w:space="0" w:color="auto"/>
            </w:tcBorders>
            <w:vAlign w:val="center"/>
          </w:tcPr>
          <w:p w14:paraId="5494C7F7" w14:textId="77777777" w:rsidR="004E7CAE" w:rsidRPr="00B42397" w:rsidRDefault="00C53057" w:rsidP="002271D7">
            <w:pPr>
              <w:keepNext/>
              <w:keepLines/>
              <w:jc w:val="center"/>
              <w:rPr>
                <w:rFonts w:ascii="Arial Narrow" w:eastAsia="TimesNewRoman" w:hAnsi="Arial Narrow" w:cs="Times New Roman"/>
                <w:iCs/>
                <w:color w:val="000000" w:themeColor="text1"/>
                <w:sz w:val="20"/>
                <w:szCs w:val="20"/>
              </w:rPr>
            </w:pPr>
            <w:r w:rsidRPr="00B42397">
              <w:rPr>
                <w:rFonts w:ascii="Arial Narrow" w:eastAsia="TimesNewRoman" w:hAnsi="Arial Narrow" w:cs="Times New Roman"/>
                <w:iCs/>
                <w:color w:val="000000" w:themeColor="text1"/>
                <w:sz w:val="20"/>
                <w:szCs w:val="20"/>
              </w:rPr>
              <w:t>1.1</w:t>
            </w:r>
          </w:p>
        </w:tc>
        <w:tc>
          <w:tcPr>
            <w:tcW w:w="628" w:type="pct"/>
            <w:tcBorders>
              <w:top w:val="single" w:sz="4" w:space="0" w:color="auto"/>
              <w:left w:val="single" w:sz="4" w:space="0" w:color="auto"/>
              <w:bottom w:val="single" w:sz="4" w:space="0" w:color="auto"/>
              <w:right w:val="single" w:sz="4" w:space="0" w:color="auto"/>
            </w:tcBorders>
            <w:vAlign w:val="center"/>
          </w:tcPr>
          <w:p w14:paraId="6AC84471" w14:textId="77777777" w:rsidR="004E7CAE" w:rsidRPr="00B42397" w:rsidRDefault="00C53057" w:rsidP="002271D7">
            <w:pPr>
              <w:keepNext/>
              <w:keepLines/>
              <w:jc w:val="center"/>
              <w:rPr>
                <w:rFonts w:ascii="Arial Narrow" w:eastAsia="TimesNewRoman" w:hAnsi="Arial Narrow" w:cs="Times New Roman"/>
                <w:iCs/>
                <w:color w:val="000000"/>
                <w:sz w:val="20"/>
                <w:szCs w:val="20"/>
              </w:rPr>
            </w:pPr>
            <w:r w:rsidRPr="00B42397">
              <w:rPr>
                <w:rFonts w:ascii="Arial Narrow" w:eastAsia="TimesNewRoman" w:hAnsi="Arial Narrow" w:cs="Times New Roman"/>
                <w:iCs/>
                <w:color w:val="000000"/>
                <w:sz w:val="20"/>
                <w:szCs w:val="20"/>
              </w:rPr>
              <w:t>0</w:t>
            </w:r>
          </w:p>
        </w:tc>
        <w:tc>
          <w:tcPr>
            <w:tcW w:w="550" w:type="pct"/>
            <w:tcBorders>
              <w:top w:val="single" w:sz="4" w:space="0" w:color="auto"/>
              <w:left w:val="single" w:sz="4" w:space="0" w:color="auto"/>
              <w:right w:val="single" w:sz="4" w:space="0" w:color="auto"/>
            </w:tcBorders>
            <w:vAlign w:val="center"/>
          </w:tcPr>
          <w:p w14:paraId="1FF68A9B" w14:textId="77777777" w:rsidR="004E7CAE" w:rsidRPr="00B42397" w:rsidRDefault="004E7CAE" w:rsidP="002271D7">
            <w:pPr>
              <w:keepNext/>
              <w:keepLines/>
              <w:jc w:val="center"/>
              <w:rPr>
                <w:rFonts w:ascii="Arial Narrow" w:eastAsia="TimesNewRoman" w:hAnsi="Arial Narrow" w:cs="Times New Roman"/>
                <w:color w:val="000000"/>
                <w:sz w:val="20"/>
                <w:szCs w:val="20"/>
              </w:rPr>
            </w:pPr>
            <w:r w:rsidRPr="00B42397">
              <w:rPr>
                <w:rFonts w:ascii="Arial Narrow" w:eastAsia="TimesNewRoman" w:hAnsi="Arial Narrow" w:cs="Times New Roman"/>
                <w:b/>
                <w:color w:val="000000"/>
                <w:sz w:val="20"/>
                <w:szCs w:val="20"/>
              </w:rPr>
              <w:t>&lt;0.0001</w:t>
            </w:r>
          </w:p>
        </w:tc>
        <w:tc>
          <w:tcPr>
            <w:tcW w:w="837" w:type="pct"/>
            <w:tcBorders>
              <w:top w:val="single" w:sz="4" w:space="0" w:color="auto"/>
              <w:left w:val="single" w:sz="4" w:space="0" w:color="auto"/>
              <w:right w:val="single" w:sz="4" w:space="0" w:color="auto"/>
            </w:tcBorders>
            <w:vAlign w:val="center"/>
          </w:tcPr>
          <w:p w14:paraId="503010FC" w14:textId="77777777" w:rsidR="004E7CAE" w:rsidRPr="00B42397" w:rsidRDefault="004E7CAE" w:rsidP="00BE08E4">
            <w:pPr>
              <w:keepNext/>
              <w:keepLines/>
              <w:jc w:val="center"/>
              <w:rPr>
                <w:rFonts w:ascii="Arial Narrow" w:eastAsia="TimesNewRoman" w:hAnsi="Arial Narrow" w:cs="Times New Roman"/>
                <w:color w:val="000000"/>
                <w:sz w:val="20"/>
                <w:szCs w:val="20"/>
              </w:rPr>
            </w:pPr>
            <w:r w:rsidRPr="00B42397">
              <w:rPr>
                <w:rFonts w:ascii="Arial Narrow" w:eastAsia="TimesNewRoman" w:hAnsi="Arial Narrow" w:cs="Times New Roman"/>
                <w:b/>
                <w:color w:val="000000"/>
                <w:sz w:val="20"/>
                <w:szCs w:val="20"/>
              </w:rPr>
              <w:t>2.03 (1.52, 2.72)</w:t>
            </w:r>
          </w:p>
        </w:tc>
      </w:tr>
    </w:tbl>
    <w:p w14:paraId="5F95F4F0" w14:textId="77777777" w:rsidR="00C53057" w:rsidRPr="00B42397" w:rsidRDefault="00C53057" w:rsidP="00C53057">
      <w:pPr>
        <w:pStyle w:val="TableFigureFooter"/>
      </w:pPr>
      <w:r w:rsidRPr="00B42397">
        <w:t>Source: Table 2.5.4 of the submission.</w:t>
      </w:r>
    </w:p>
    <w:p w14:paraId="16E295C6" w14:textId="77777777" w:rsidR="00C53057" w:rsidRPr="00B42397" w:rsidRDefault="00C53057" w:rsidP="00C53057">
      <w:pPr>
        <w:pStyle w:val="TableFigureFooter"/>
      </w:pPr>
      <w:r w:rsidRPr="00B42397">
        <w:t>Bd</w:t>
      </w:r>
      <w:r w:rsidR="00CC3E50" w:rsidRPr="00B42397">
        <w:t xml:space="preserve"> </w:t>
      </w:r>
      <w:r w:rsidRPr="00B42397">
        <w:t xml:space="preserve">= bortezomib </w:t>
      </w:r>
      <w:r w:rsidR="007C1D4B" w:rsidRPr="00B42397">
        <w:t>+</w:t>
      </w:r>
      <w:r w:rsidRPr="00B42397">
        <w:t xml:space="preserve"> dexamethasone; Cd</w:t>
      </w:r>
      <w:r w:rsidR="00CC3E50" w:rsidRPr="00B42397">
        <w:t xml:space="preserve"> </w:t>
      </w:r>
      <w:r w:rsidRPr="00B42397">
        <w:t xml:space="preserve">= carfilzomib </w:t>
      </w:r>
      <w:r w:rsidR="007C1D4B" w:rsidRPr="00B42397">
        <w:t>+</w:t>
      </w:r>
      <w:r w:rsidRPr="00B42397">
        <w:t xml:space="preserve"> dexamethasone; CI</w:t>
      </w:r>
      <w:r w:rsidR="00CC3E50" w:rsidRPr="00B42397">
        <w:t xml:space="preserve"> </w:t>
      </w:r>
      <w:r w:rsidRPr="00B42397">
        <w:t>= confidence interval;</w:t>
      </w:r>
      <w:r w:rsidR="00EC549B" w:rsidRPr="00B42397">
        <w:t xml:space="preserve"> HR = haza</w:t>
      </w:r>
      <w:r w:rsidR="001F5659" w:rsidRPr="00B42397">
        <w:t>rd</w:t>
      </w:r>
      <w:r w:rsidR="00EC549B" w:rsidRPr="00B42397">
        <w:t xml:space="preserve"> ratio;</w:t>
      </w:r>
      <w:r w:rsidRPr="00B42397">
        <w:t xml:space="preserve"> IRC</w:t>
      </w:r>
      <w:r w:rsidR="00CC3E50" w:rsidRPr="00B42397">
        <w:t xml:space="preserve"> </w:t>
      </w:r>
      <w:r w:rsidRPr="00B42397">
        <w:t>= independent review committee; ORR</w:t>
      </w:r>
      <w:r w:rsidR="008E7B46" w:rsidRPr="00B42397">
        <w:t xml:space="preserve"> </w:t>
      </w:r>
      <w:r w:rsidRPr="00B42397">
        <w:t xml:space="preserve">= objective response rate. </w:t>
      </w:r>
    </w:p>
    <w:p w14:paraId="0D9886B4" w14:textId="77777777" w:rsidR="00C53057" w:rsidRPr="00B42397" w:rsidRDefault="00C53057" w:rsidP="00C53057">
      <w:pPr>
        <w:pStyle w:val="TableFigureFooter"/>
        <w:rPr>
          <w:szCs w:val="18"/>
        </w:rPr>
      </w:pPr>
      <w:r w:rsidRPr="00B42397">
        <w:rPr>
          <w:szCs w:val="18"/>
        </w:rPr>
        <w:t>Bold values indicate statistical significance.</w:t>
      </w:r>
    </w:p>
    <w:p w14:paraId="2F745C97" w14:textId="77777777" w:rsidR="00C53057" w:rsidRPr="00B42397" w:rsidRDefault="00C53057" w:rsidP="00C53057">
      <w:pPr>
        <w:pStyle w:val="TableFigureFooter"/>
      </w:pPr>
    </w:p>
    <w:p w14:paraId="1E10E559" w14:textId="77777777" w:rsidR="008C3D5A" w:rsidRPr="00B42397" w:rsidRDefault="00B54E02" w:rsidP="00597514">
      <w:pPr>
        <w:widowControl w:val="0"/>
        <w:rPr>
          <w:snapToGrid w:val="0"/>
          <w:szCs w:val="22"/>
          <w:u w:val="single"/>
          <w:lang w:eastAsia="en-US"/>
        </w:rPr>
      </w:pPr>
      <w:r w:rsidRPr="00B42397">
        <w:rPr>
          <w:snapToGrid w:val="0"/>
          <w:szCs w:val="22"/>
          <w:u w:val="single"/>
          <w:lang w:eastAsia="en-US"/>
        </w:rPr>
        <w:t>Subgroup analys</w:t>
      </w:r>
      <w:r w:rsidR="001A5C65" w:rsidRPr="00B42397">
        <w:rPr>
          <w:snapToGrid w:val="0"/>
          <w:szCs w:val="22"/>
          <w:u w:val="single"/>
          <w:lang w:eastAsia="en-US"/>
        </w:rPr>
        <w:t>e</w:t>
      </w:r>
      <w:r w:rsidRPr="00B42397">
        <w:rPr>
          <w:snapToGrid w:val="0"/>
          <w:szCs w:val="22"/>
          <w:u w:val="single"/>
          <w:lang w:eastAsia="en-US"/>
        </w:rPr>
        <w:t>s</w:t>
      </w:r>
    </w:p>
    <w:p w14:paraId="093B4EAB" w14:textId="77777777" w:rsidR="008C3D5A" w:rsidRPr="00B42397" w:rsidRDefault="008C3D5A" w:rsidP="008C3D5A">
      <w:pPr>
        <w:pStyle w:val="ListParagraph"/>
        <w:widowControl w:val="0"/>
        <w:numPr>
          <w:ilvl w:val="1"/>
          <w:numId w:val="1"/>
        </w:numPr>
        <w:spacing w:after="160"/>
      </w:pPr>
      <w:r w:rsidRPr="00B42397">
        <w:t>The submission presented subgroup analys</w:t>
      </w:r>
      <w:r w:rsidR="001A5C65" w:rsidRPr="00B42397">
        <w:t>e</w:t>
      </w:r>
      <w:r w:rsidRPr="00B42397">
        <w:t xml:space="preserve">s </w:t>
      </w:r>
      <w:r w:rsidR="001A5C65" w:rsidRPr="00B42397">
        <w:t xml:space="preserve">from the </w:t>
      </w:r>
      <w:r w:rsidRPr="00B42397">
        <w:t>ELOQUENT-</w:t>
      </w:r>
      <w:r w:rsidR="00654F16" w:rsidRPr="00B42397">
        <w:t>2 and</w:t>
      </w:r>
      <w:r w:rsidRPr="00B42397">
        <w:t xml:space="preserve"> ENDEAVOR </w:t>
      </w:r>
      <w:r w:rsidR="001A5C65" w:rsidRPr="00B42397">
        <w:t xml:space="preserve">trials </w:t>
      </w:r>
      <w:r w:rsidRPr="00B42397">
        <w:t xml:space="preserve">based on the baseline characteristics of patients to assess </w:t>
      </w:r>
      <w:r w:rsidR="0023722B" w:rsidRPr="00B42397">
        <w:t xml:space="preserve">the </w:t>
      </w:r>
      <w:r w:rsidRPr="00B42397">
        <w:t xml:space="preserve">consistency </w:t>
      </w:r>
      <w:r w:rsidR="001E41C8" w:rsidRPr="00B42397">
        <w:t xml:space="preserve">within </w:t>
      </w:r>
      <w:r w:rsidR="0023722B" w:rsidRPr="00B42397">
        <w:t xml:space="preserve">trials </w:t>
      </w:r>
      <w:r w:rsidRPr="00B42397">
        <w:t xml:space="preserve">of the treatment effect on PFS. </w:t>
      </w:r>
      <w:r w:rsidRPr="00B42397">
        <w:rPr>
          <w:iCs/>
        </w:rPr>
        <w:t xml:space="preserve">The submission presented </w:t>
      </w:r>
      <w:r w:rsidR="006C4482" w:rsidRPr="00B42397">
        <w:rPr>
          <w:iCs/>
        </w:rPr>
        <w:t>results stratified within sub</w:t>
      </w:r>
      <w:r w:rsidRPr="00B42397">
        <w:rPr>
          <w:iCs/>
        </w:rPr>
        <w:t>group</w:t>
      </w:r>
      <w:r w:rsidR="006C4482" w:rsidRPr="00B42397">
        <w:rPr>
          <w:iCs/>
        </w:rPr>
        <w:t>s;</w:t>
      </w:r>
      <w:r w:rsidRPr="00B42397">
        <w:rPr>
          <w:iCs/>
        </w:rPr>
        <w:t xml:space="preserve"> a treatment by subgroup interaction term</w:t>
      </w:r>
      <w:r w:rsidR="006C4482" w:rsidRPr="00B42397">
        <w:rPr>
          <w:iCs/>
        </w:rPr>
        <w:t xml:space="preserve"> was not reported and it is unclear if an interaction was included in each subgroup analysis</w:t>
      </w:r>
      <w:r w:rsidRPr="00B42397">
        <w:rPr>
          <w:iCs/>
        </w:rPr>
        <w:t>.</w:t>
      </w:r>
      <w:r w:rsidR="00654F16" w:rsidRPr="00B42397">
        <w:t xml:space="preserve"> </w:t>
      </w:r>
      <w:bookmarkStart w:id="13" w:name="_Hlk48309979"/>
      <w:r w:rsidR="00654F16" w:rsidRPr="00B42397">
        <w:t>The results of the analys</w:t>
      </w:r>
      <w:r w:rsidR="009F30AA" w:rsidRPr="00B42397">
        <w:t>e</w:t>
      </w:r>
      <w:r w:rsidR="00654F16" w:rsidRPr="00B42397">
        <w:t>s</w:t>
      </w:r>
      <w:r w:rsidR="00E277E7" w:rsidRPr="00B42397">
        <w:t xml:space="preserve"> for ELOQUENT-2</w:t>
      </w:r>
      <w:r w:rsidR="005A597F" w:rsidRPr="00B42397">
        <w:t xml:space="preserve"> </w:t>
      </w:r>
      <w:r w:rsidR="00E277E7" w:rsidRPr="00B42397">
        <w:t xml:space="preserve">and ENDEAVOR </w:t>
      </w:r>
      <w:r w:rsidR="00BE08E4" w:rsidRPr="00B42397">
        <w:t>demonstrated</w:t>
      </w:r>
      <w:r w:rsidR="00D24442" w:rsidRPr="00B42397">
        <w:t xml:space="preserve"> a similar</w:t>
      </w:r>
      <w:r w:rsidR="00164A20" w:rsidRPr="00B42397">
        <w:t>, albeit not significantly different</w:t>
      </w:r>
      <w:r w:rsidR="00774167" w:rsidRPr="00B42397">
        <w:t>,</w:t>
      </w:r>
      <w:r w:rsidR="00D24442" w:rsidRPr="00B42397">
        <w:t xml:space="preserve"> trend</w:t>
      </w:r>
      <w:r w:rsidR="00BF121F" w:rsidRPr="00B42397">
        <w:t xml:space="preserve"> of</w:t>
      </w:r>
      <w:r w:rsidR="00E277E7" w:rsidRPr="00B42397">
        <w:t xml:space="preserve"> PFS advantage in favour of </w:t>
      </w:r>
      <w:proofErr w:type="spellStart"/>
      <w:r w:rsidR="001F5659" w:rsidRPr="00B42397">
        <w:t>ELd</w:t>
      </w:r>
      <w:proofErr w:type="spellEnd"/>
      <w:r w:rsidR="00E277E7" w:rsidRPr="00B42397">
        <w:t xml:space="preserve">/Cd </w:t>
      </w:r>
      <w:r w:rsidR="007D07A5" w:rsidRPr="00B42397">
        <w:t>relative to their comparators</w:t>
      </w:r>
      <w:r w:rsidR="00B101FC" w:rsidRPr="00B42397">
        <w:t xml:space="preserve"> (</w:t>
      </w:r>
      <w:proofErr w:type="spellStart"/>
      <w:proofErr w:type="gramStart"/>
      <w:r w:rsidR="001F5659" w:rsidRPr="00B42397">
        <w:t>Ld</w:t>
      </w:r>
      <w:proofErr w:type="spellEnd"/>
      <w:proofErr w:type="gramEnd"/>
      <w:r w:rsidR="00B101FC" w:rsidRPr="00B42397">
        <w:t xml:space="preserve"> and Bd, respectively)</w:t>
      </w:r>
      <w:r w:rsidR="007D07A5" w:rsidRPr="00B42397">
        <w:t xml:space="preserve"> </w:t>
      </w:r>
      <w:r w:rsidR="00E277E7" w:rsidRPr="00B42397">
        <w:t>with respect to patient characteristics (</w:t>
      </w:r>
      <w:r w:rsidR="00164A20" w:rsidRPr="00B42397">
        <w:t xml:space="preserve">i.e. </w:t>
      </w:r>
      <w:r w:rsidR="00E277E7" w:rsidRPr="00B42397">
        <w:t>age, gender, race) and disease characteristics (</w:t>
      </w:r>
      <w:r w:rsidR="00164A20" w:rsidRPr="00B42397">
        <w:t xml:space="preserve">i.e. </w:t>
      </w:r>
      <w:r w:rsidR="008E7B46" w:rsidRPr="00B42397">
        <w:t>ECOG performance</w:t>
      </w:r>
      <w:r w:rsidR="00E277E7" w:rsidRPr="00B42397">
        <w:t xml:space="preserve"> status, creatinine clearance).</w:t>
      </w:r>
      <w:r w:rsidR="00FE1711" w:rsidRPr="00B42397">
        <w:t xml:space="preserve"> </w:t>
      </w:r>
      <w:r w:rsidR="00FE1711" w:rsidRPr="00B42397">
        <w:rPr>
          <w:iCs/>
        </w:rPr>
        <w:t xml:space="preserve">The </w:t>
      </w:r>
      <w:r w:rsidR="005F3DB8" w:rsidRPr="00B42397">
        <w:rPr>
          <w:iCs/>
        </w:rPr>
        <w:t xml:space="preserve">results of the test for subgroup differences showed that </w:t>
      </w:r>
      <w:r w:rsidR="00151E27" w:rsidRPr="00B42397">
        <w:rPr>
          <w:iCs/>
        </w:rPr>
        <w:t>there w</w:t>
      </w:r>
      <w:r w:rsidR="006C4482" w:rsidRPr="00B42397">
        <w:rPr>
          <w:iCs/>
        </w:rPr>
        <w:t>ere</w:t>
      </w:r>
      <w:r w:rsidR="00151E27" w:rsidRPr="00B42397">
        <w:rPr>
          <w:iCs/>
        </w:rPr>
        <w:t xml:space="preserve"> only sign</w:t>
      </w:r>
      <w:r w:rsidR="008553B8" w:rsidRPr="00B42397">
        <w:rPr>
          <w:iCs/>
        </w:rPr>
        <w:t xml:space="preserve">ificantly </w:t>
      </w:r>
      <w:r w:rsidR="004E73FC" w:rsidRPr="00B42397">
        <w:rPr>
          <w:iCs/>
        </w:rPr>
        <w:t xml:space="preserve">different results </w:t>
      </w:r>
      <w:r w:rsidR="006C4482" w:rsidRPr="00B42397">
        <w:rPr>
          <w:iCs/>
        </w:rPr>
        <w:t>for Cd compared with Bd when stratified by</w:t>
      </w:r>
      <w:r w:rsidR="008553B8" w:rsidRPr="00B42397">
        <w:rPr>
          <w:iCs/>
        </w:rPr>
        <w:t xml:space="preserve"> </w:t>
      </w:r>
      <w:r w:rsidR="004E73FC" w:rsidRPr="00B42397">
        <w:rPr>
          <w:iCs/>
        </w:rPr>
        <w:t>ECOG status</w:t>
      </w:r>
      <w:r w:rsidR="008553B8" w:rsidRPr="00B42397">
        <w:rPr>
          <w:iCs/>
        </w:rPr>
        <w:t xml:space="preserve"> in ENDEAVOR</w:t>
      </w:r>
      <w:r w:rsidR="003A5CF2" w:rsidRPr="00B42397">
        <w:rPr>
          <w:iCs/>
        </w:rPr>
        <w:t>.</w:t>
      </w:r>
    </w:p>
    <w:bookmarkEnd w:id="13"/>
    <w:p w14:paraId="4345A69A" w14:textId="77777777" w:rsidR="008C3D5A" w:rsidRPr="00B42397" w:rsidRDefault="00E277E7" w:rsidP="00D42F8E">
      <w:pPr>
        <w:pStyle w:val="3-BodyText"/>
      </w:pPr>
      <w:r w:rsidRPr="00B42397">
        <w:t>The</w:t>
      </w:r>
      <w:r w:rsidR="008553B8" w:rsidRPr="00B42397">
        <w:t xml:space="preserve"> submission presented the subgroup analyses</w:t>
      </w:r>
      <w:r w:rsidR="003628A6" w:rsidRPr="00B42397">
        <w:t xml:space="preserve"> </w:t>
      </w:r>
      <w:r w:rsidR="00666044" w:rsidRPr="00B42397">
        <w:t>within</w:t>
      </w:r>
      <w:r w:rsidR="003628A6" w:rsidRPr="00B42397">
        <w:t xml:space="preserve"> each trial</w:t>
      </w:r>
      <w:r w:rsidRPr="00B42397">
        <w:t xml:space="preserve"> with respect </w:t>
      </w:r>
      <w:r w:rsidR="00C90E18" w:rsidRPr="00B42397">
        <w:t xml:space="preserve">to the </w:t>
      </w:r>
      <w:r w:rsidRPr="00B42397">
        <w:t xml:space="preserve">number of prior therapies, with </w:t>
      </w:r>
      <w:proofErr w:type="spellStart"/>
      <w:r w:rsidR="001F5659" w:rsidRPr="00B42397">
        <w:t>ELd</w:t>
      </w:r>
      <w:proofErr w:type="spellEnd"/>
      <w:r w:rsidRPr="00B42397">
        <w:t xml:space="preserve"> showing improved PFS for two or more prior lines</w:t>
      </w:r>
      <w:r w:rsidR="003628A6" w:rsidRPr="00B42397">
        <w:t xml:space="preserve"> compared to </w:t>
      </w:r>
      <w:proofErr w:type="spellStart"/>
      <w:r w:rsidR="001F5659" w:rsidRPr="00B42397">
        <w:t>Ld</w:t>
      </w:r>
      <w:proofErr w:type="spellEnd"/>
      <w:r w:rsidRPr="00B42397">
        <w:t>,</w:t>
      </w:r>
      <w:r w:rsidR="003628A6" w:rsidRPr="00B42397">
        <w:t xml:space="preserve"> and</w:t>
      </w:r>
      <w:r w:rsidRPr="00B42397">
        <w:t xml:space="preserve"> Cd showing improvement in PFS for one prior line</w:t>
      </w:r>
      <w:r w:rsidR="003628A6" w:rsidRPr="00B42397">
        <w:t xml:space="preserve"> compared to Bd</w:t>
      </w:r>
      <w:r w:rsidRPr="00B42397">
        <w:t xml:space="preserve">. </w:t>
      </w:r>
      <w:r w:rsidR="006C4482" w:rsidRPr="00B42397">
        <w:t>P</w:t>
      </w:r>
      <w:r w:rsidR="00597514" w:rsidRPr="00B42397">
        <w:t xml:space="preserve">rior lenalidomide </w:t>
      </w:r>
      <w:r w:rsidR="00754596" w:rsidRPr="00B42397">
        <w:t>(</w:t>
      </w:r>
      <w:proofErr w:type="spellStart"/>
      <w:r w:rsidR="00754596" w:rsidRPr="00B42397">
        <w:t>IMi</w:t>
      </w:r>
      <w:r w:rsidR="00D46EB0" w:rsidRPr="00B42397">
        <w:t>D</w:t>
      </w:r>
      <w:proofErr w:type="spellEnd"/>
      <w:r w:rsidR="00754596" w:rsidRPr="00B42397">
        <w:t xml:space="preserve">) </w:t>
      </w:r>
      <w:r w:rsidR="00597514" w:rsidRPr="00B42397">
        <w:t xml:space="preserve">treatment </w:t>
      </w:r>
      <w:r w:rsidR="006C4482" w:rsidRPr="00B42397">
        <w:t>was</w:t>
      </w:r>
      <w:r w:rsidR="00A3715A" w:rsidRPr="00B42397">
        <w:t xml:space="preserve"> </w:t>
      </w:r>
      <w:r w:rsidR="00C90E18" w:rsidRPr="00B42397">
        <w:t xml:space="preserve">not a treatment effect modifier for </w:t>
      </w:r>
      <w:r w:rsidR="00597514" w:rsidRPr="00B42397">
        <w:t>PFS</w:t>
      </w:r>
      <w:r w:rsidR="006C4482" w:rsidRPr="00B42397">
        <w:t xml:space="preserve"> in ELOQUENT-2</w:t>
      </w:r>
      <w:r w:rsidR="00597514" w:rsidRPr="00B42397">
        <w:t xml:space="preserve">, </w:t>
      </w:r>
      <w:r w:rsidR="006C4482" w:rsidRPr="00B42397">
        <w:t xml:space="preserve">noting </w:t>
      </w:r>
      <w:r w:rsidR="00597514" w:rsidRPr="00B42397">
        <w:t xml:space="preserve">the analysis was based on a small number of patients who received lenalidomide as prior treatment. </w:t>
      </w:r>
      <w:r w:rsidR="006C4482" w:rsidRPr="00B42397">
        <w:t>T</w:t>
      </w:r>
      <w:r w:rsidR="008C3D5A" w:rsidRPr="00B42397">
        <w:t xml:space="preserve">he </w:t>
      </w:r>
      <w:r w:rsidR="00FA44C0" w:rsidRPr="00B42397">
        <w:t xml:space="preserve">submission stated that the </w:t>
      </w:r>
      <w:r w:rsidR="008C3D5A" w:rsidRPr="00B42397">
        <w:t xml:space="preserve">results for PFS from ELOQUENT-2 showed that </w:t>
      </w:r>
      <w:proofErr w:type="spellStart"/>
      <w:r w:rsidR="001F5659" w:rsidRPr="00B42397">
        <w:t>ELd</w:t>
      </w:r>
      <w:proofErr w:type="spellEnd"/>
      <w:r w:rsidR="008C3D5A" w:rsidRPr="00B42397">
        <w:t xml:space="preserve"> exhibited similar efficacy across subgroups of patients with prior refractory disease compared with relapsed disease</w:t>
      </w:r>
      <w:r w:rsidR="00597514" w:rsidRPr="00B42397">
        <w:t xml:space="preserve">. </w:t>
      </w:r>
      <w:r w:rsidR="00A14ED0" w:rsidRPr="00B42397">
        <w:rPr>
          <w:iCs/>
        </w:rPr>
        <w:t xml:space="preserve">The results of the subgroup </w:t>
      </w:r>
      <w:r w:rsidR="00FB436F" w:rsidRPr="00B42397">
        <w:rPr>
          <w:iCs/>
        </w:rPr>
        <w:t>analyses</w:t>
      </w:r>
      <w:r w:rsidR="00A14ED0" w:rsidRPr="00B42397">
        <w:rPr>
          <w:iCs/>
        </w:rPr>
        <w:t xml:space="preserve"> showed </w:t>
      </w:r>
      <w:r w:rsidR="00FB436F" w:rsidRPr="00B42397">
        <w:rPr>
          <w:iCs/>
        </w:rPr>
        <w:t>that</w:t>
      </w:r>
      <w:r w:rsidR="00A14ED0" w:rsidRPr="00B42397">
        <w:rPr>
          <w:iCs/>
        </w:rPr>
        <w:t xml:space="preserve"> prior lenalidomide use and patients who were refractory to lenalidomide </w:t>
      </w:r>
      <w:r w:rsidR="00FB436F" w:rsidRPr="00B42397">
        <w:rPr>
          <w:iCs/>
        </w:rPr>
        <w:t xml:space="preserve">had a </w:t>
      </w:r>
      <w:r w:rsidR="007E6BFD" w:rsidRPr="00B42397">
        <w:rPr>
          <w:iCs/>
        </w:rPr>
        <w:t>worse</w:t>
      </w:r>
      <w:r w:rsidR="00FB436F" w:rsidRPr="00B42397">
        <w:rPr>
          <w:iCs/>
        </w:rPr>
        <w:t xml:space="preserve"> outcome for Cd compared with Bd </w:t>
      </w:r>
      <w:r w:rsidR="00A14ED0" w:rsidRPr="00B42397">
        <w:rPr>
          <w:iCs/>
        </w:rPr>
        <w:t>in ENDEAVOR</w:t>
      </w:r>
      <w:r w:rsidR="00643F96" w:rsidRPr="00B42397">
        <w:rPr>
          <w:iCs/>
        </w:rPr>
        <w:t>.</w:t>
      </w:r>
    </w:p>
    <w:p w14:paraId="6215296D" w14:textId="77777777" w:rsidR="00B54E02" w:rsidRPr="00B42397" w:rsidRDefault="00B54E02" w:rsidP="00B54E02">
      <w:pPr>
        <w:widowControl w:val="0"/>
        <w:rPr>
          <w:snapToGrid w:val="0"/>
          <w:szCs w:val="22"/>
          <w:u w:val="single"/>
          <w:lang w:eastAsia="en-US"/>
        </w:rPr>
      </w:pPr>
      <w:r w:rsidRPr="00B42397">
        <w:rPr>
          <w:snapToGrid w:val="0"/>
          <w:szCs w:val="22"/>
          <w:u w:val="single"/>
          <w:lang w:eastAsia="en-US"/>
        </w:rPr>
        <w:t xml:space="preserve">Indirect treatment comparison </w:t>
      </w:r>
      <w:r w:rsidR="000D4AB3" w:rsidRPr="00B42397">
        <w:rPr>
          <w:snapToGrid w:val="0"/>
          <w:szCs w:val="22"/>
          <w:u w:val="single"/>
          <w:lang w:eastAsia="en-US"/>
        </w:rPr>
        <w:t xml:space="preserve">- </w:t>
      </w:r>
      <w:proofErr w:type="spellStart"/>
      <w:r w:rsidR="001F5659" w:rsidRPr="00B42397">
        <w:rPr>
          <w:snapToGrid w:val="0"/>
          <w:szCs w:val="22"/>
          <w:u w:val="single"/>
          <w:lang w:eastAsia="en-US"/>
        </w:rPr>
        <w:t>ELd</w:t>
      </w:r>
      <w:proofErr w:type="spellEnd"/>
      <w:r w:rsidR="000D4AB3" w:rsidRPr="00B42397">
        <w:rPr>
          <w:snapToGrid w:val="0"/>
          <w:szCs w:val="22"/>
          <w:u w:val="single"/>
          <w:lang w:eastAsia="en-US"/>
        </w:rPr>
        <w:t xml:space="preserve"> versus Cd</w:t>
      </w:r>
    </w:p>
    <w:p w14:paraId="60E31F60" w14:textId="3C4C7CB7" w:rsidR="002271D7" w:rsidRPr="00B42397" w:rsidRDefault="002271D7" w:rsidP="002271D7">
      <w:pPr>
        <w:pStyle w:val="ListParagraph"/>
        <w:widowControl w:val="0"/>
        <w:numPr>
          <w:ilvl w:val="1"/>
          <w:numId w:val="1"/>
        </w:numPr>
        <w:spacing w:after="160"/>
      </w:pPr>
      <w:r w:rsidRPr="00B42397">
        <w:t xml:space="preserve">The results of the ITC for the outcomes of PFS and OS are presented in Table </w:t>
      </w:r>
      <w:r w:rsidR="00421BB2" w:rsidRPr="00B42397">
        <w:t>8</w:t>
      </w:r>
      <w:r w:rsidR="00807FCB" w:rsidRPr="00B42397">
        <w:t xml:space="preserve">. </w:t>
      </w:r>
      <w:r w:rsidRPr="00B42397">
        <w:t xml:space="preserve">The ITC </w:t>
      </w:r>
      <w:r w:rsidR="00A900C0" w:rsidRPr="00B42397">
        <w:t xml:space="preserve">compared </w:t>
      </w:r>
      <w:proofErr w:type="spellStart"/>
      <w:r w:rsidR="001F5659" w:rsidRPr="00B42397">
        <w:t>ELd</w:t>
      </w:r>
      <w:proofErr w:type="spellEnd"/>
      <w:r w:rsidRPr="00B42397">
        <w:t xml:space="preserve"> to Cd assuming </w:t>
      </w:r>
      <w:r w:rsidR="006C4482" w:rsidRPr="00B42397">
        <w:t xml:space="preserve">that the efficacy results for </w:t>
      </w:r>
      <w:proofErr w:type="spellStart"/>
      <w:proofErr w:type="gramStart"/>
      <w:r w:rsidR="001F5659" w:rsidRPr="00B42397">
        <w:t>Ld</w:t>
      </w:r>
      <w:proofErr w:type="spellEnd"/>
      <w:proofErr w:type="gramEnd"/>
      <w:r w:rsidRPr="00B42397">
        <w:t xml:space="preserve"> and Bd </w:t>
      </w:r>
      <w:r w:rsidR="00A900C0" w:rsidRPr="00B42397">
        <w:t xml:space="preserve">were </w:t>
      </w:r>
      <w:r w:rsidR="0052607E" w:rsidRPr="00B42397">
        <w:t>the same</w:t>
      </w:r>
      <w:r w:rsidR="006C4482" w:rsidRPr="00B42397">
        <w:t xml:space="preserve"> </w:t>
      </w:r>
      <w:r w:rsidRPr="00B42397">
        <w:t>for the purpose</w:t>
      </w:r>
      <w:r w:rsidR="00A900C0" w:rsidRPr="00B42397">
        <w:t>s</w:t>
      </w:r>
      <w:r w:rsidRPr="00B42397">
        <w:t xml:space="preserve"> of anchoring as a common comparator</w:t>
      </w:r>
      <w:r w:rsidR="006C4482" w:rsidRPr="00B42397">
        <w:t xml:space="preserve"> in the ITC</w:t>
      </w:r>
      <w:r w:rsidRPr="00B42397">
        <w:t>.</w:t>
      </w:r>
      <w:r w:rsidR="000177F1" w:rsidRPr="00B42397">
        <w:t xml:space="preserve"> </w:t>
      </w:r>
      <w:r w:rsidR="000177F1" w:rsidRPr="00B42397">
        <w:rPr>
          <w:iCs/>
        </w:rPr>
        <w:t xml:space="preserve">This may be inappropriate </w:t>
      </w:r>
      <w:r w:rsidR="00BE08E4" w:rsidRPr="00B42397">
        <w:rPr>
          <w:iCs/>
        </w:rPr>
        <w:t>as</w:t>
      </w:r>
      <w:r w:rsidR="000177F1" w:rsidRPr="00B42397">
        <w:rPr>
          <w:iCs/>
        </w:rPr>
        <w:t xml:space="preserve"> </w:t>
      </w:r>
      <w:proofErr w:type="spellStart"/>
      <w:proofErr w:type="gramStart"/>
      <w:r w:rsidR="001F5659" w:rsidRPr="00B42397">
        <w:rPr>
          <w:iCs/>
        </w:rPr>
        <w:t>Ld</w:t>
      </w:r>
      <w:proofErr w:type="spellEnd"/>
      <w:proofErr w:type="gramEnd"/>
      <w:r w:rsidR="000177F1" w:rsidRPr="00B42397">
        <w:rPr>
          <w:iCs/>
        </w:rPr>
        <w:t xml:space="preserve"> and Bd are different treatment regimens and</w:t>
      </w:r>
      <w:r w:rsidR="00BE08E4" w:rsidRPr="00B42397">
        <w:rPr>
          <w:iCs/>
        </w:rPr>
        <w:t>,</w:t>
      </w:r>
      <w:r w:rsidR="000177F1" w:rsidRPr="00B42397">
        <w:rPr>
          <w:iCs/>
        </w:rPr>
        <w:t xml:space="preserve"> </w:t>
      </w:r>
      <w:r w:rsidR="00482512" w:rsidRPr="00B42397">
        <w:rPr>
          <w:iCs/>
        </w:rPr>
        <w:t xml:space="preserve">although the PBAC has previously considered </w:t>
      </w:r>
      <w:proofErr w:type="spellStart"/>
      <w:r w:rsidR="001F5659" w:rsidRPr="00B42397">
        <w:rPr>
          <w:iCs/>
        </w:rPr>
        <w:t>Ld</w:t>
      </w:r>
      <w:proofErr w:type="spellEnd"/>
      <w:r w:rsidR="00482512" w:rsidRPr="00B42397">
        <w:rPr>
          <w:iCs/>
        </w:rPr>
        <w:t xml:space="preserve"> and Bd to be non-inferior, </w:t>
      </w:r>
      <w:r w:rsidR="000177F1" w:rsidRPr="00B42397">
        <w:rPr>
          <w:iCs/>
        </w:rPr>
        <w:t xml:space="preserve">the results of the ITC </w:t>
      </w:r>
      <w:r w:rsidR="00482512" w:rsidRPr="00B42397">
        <w:rPr>
          <w:iCs/>
        </w:rPr>
        <w:t xml:space="preserve">could </w:t>
      </w:r>
      <w:r w:rsidR="000177F1" w:rsidRPr="00B42397">
        <w:rPr>
          <w:iCs/>
        </w:rPr>
        <w:t>be confounded by any difference</w:t>
      </w:r>
      <w:r w:rsidR="00482512" w:rsidRPr="00B42397">
        <w:rPr>
          <w:iCs/>
        </w:rPr>
        <w:t>s</w:t>
      </w:r>
      <w:r w:rsidR="000177F1" w:rsidRPr="00B42397">
        <w:rPr>
          <w:iCs/>
        </w:rPr>
        <w:t xml:space="preserve"> in the efficacy of these two therapies, as well as potential issues of transitivity between the trials.</w:t>
      </w:r>
      <w:r w:rsidR="006C4482" w:rsidRPr="00B42397">
        <w:rPr>
          <w:iCs/>
        </w:rPr>
        <w:t xml:space="preserve"> The submission did not adjust the </w:t>
      </w:r>
      <w:r w:rsidR="006C4482" w:rsidRPr="00B42397">
        <w:rPr>
          <w:iCs/>
        </w:rPr>
        <w:lastRenderedPageBreak/>
        <w:t xml:space="preserve">ITC for differences in efficacy between </w:t>
      </w:r>
      <w:proofErr w:type="spellStart"/>
      <w:proofErr w:type="gramStart"/>
      <w:r w:rsidR="001F5659" w:rsidRPr="00B42397">
        <w:rPr>
          <w:iCs/>
        </w:rPr>
        <w:t>Ld</w:t>
      </w:r>
      <w:proofErr w:type="spellEnd"/>
      <w:proofErr w:type="gramEnd"/>
      <w:r w:rsidR="006C4482" w:rsidRPr="00B42397">
        <w:rPr>
          <w:iCs/>
        </w:rPr>
        <w:t xml:space="preserve"> and Bd.</w:t>
      </w:r>
      <w:r w:rsidR="00C01934" w:rsidRPr="00B42397">
        <w:rPr>
          <w:iCs/>
        </w:rPr>
        <w:t xml:space="preserve"> The </w:t>
      </w:r>
      <w:r w:rsidR="00B55515">
        <w:rPr>
          <w:iCs/>
        </w:rPr>
        <w:t>Pre-Sub-Committee-Response (PSCR)</w:t>
      </w:r>
      <w:r w:rsidR="00C01934" w:rsidRPr="00B42397">
        <w:rPr>
          <w:iCs/>
        </w:rPr>
        <w:t xml:space="preserve"> stated that attempts of adjust for any potential differences in outcomes between </w:t>
      </w:r>
      <w:proofErr w:type="spellStart"/>
      <w:proofErr w:type="gramStart"/>
      <w:r w:rsidR="00C01934" w:rsidRPr="00B42397">
        <w:rPr>
          <w:iCs/>
        </w:rPr>
        <w:t>Ld</w:t>
      </w:r>
      <w:proofErr w:type="spellEnd"/>
      <w:proofErr w:type="gramEnd"/>
      <w:r w:rsidR="00C01934" w:rsidRPr="00B42397">
        <w:rPr>
          <w:iCs/>
        </w:rPr>
        <w:t xml:space="preserve"> and Bd would have added uncertainty to the results and limited the transparency of the ITC.</w:t>
      </w:r>
    </w:p>
    <w:p w14:paraId="04378B7B" w14:textId="77777777" w:rsidR="0046158F" w:rsidRPr="00B42397" w:rsidRDefault="0046158F" w:rsidP="0046158F">
      <w:pPr>
        <w:pStyle w:val="ListBullet"/>
        <w:keepNext/>
        <w:numPr>
          <w:ilvl w:val="0"/>
          <w:numId w:val="0"/>
        </w:numPr>
        <w:ind w:left="360" w:hanging="360"/>
        <w:rPr>
          <w:rFonts w:ascii="Arial Narrow" w:hAnsi="Arial Narrow"/>
          <w:b/>
          <w:bCs/>
          <w:sz w:val="20"/>
          <w:szCs w:val="20"/>
        </w:rPr>
      </w:pPr>
      <w:r w:rsidRPr="00B42397">
        <w:rPr>
          <w:rFonts w:ascii="Arial Narrow" w:hAnsi="Arial Narrow"/>
          <w:b/>
          <w:bCs/>
          <w:sz w:val="20"/>
          <w:szCs w:val="20"/>
        </w:rPr>
        <w:t xml:space="preserve">Table </w:t>
      </w:r>
      <w:r w:rsidR="00421BB2" w:rsidRPr="00B42397">
        <w:rPr>
          <w:rFonts w:ascii="Arial Narrow" w:hAnsi="Arial Narrow"/>
          <w:b/>
          <w:bCs/>
          <w:sz w:val="20"/>
          <w:szCs w:val="20"/>
        </w:rPr>
        <w:t>8</w:t>
      </w:r>
      <w:r w:rsidRPr="00B42397">
        <w:rPr>
          <w:rFonts w:ascii="Arial Narrow" w:hAnsi="Arial Narrow"/>
          <w:b/>
          <w:bCs/>
          <w:sz w:val="20"/>
          <w:szCs w:val="20"/>
        </w:rPr>
        <w:t>: Summary of results of the indirect comparison for PFS and OS, between ELOQUENT-2 and ENDEAVOR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418"/>
        <w:gridCol w:w="1417"/>
        <w:gridCol w:w="1432"/>
        <w:gridCol w:w="1064"/>
        <w:gridCol w:w="1280"/>
      </w:tblGrid>
      <w:tr w:rsidR="002271D7" w:rsidRPr="00B42397" w14:paraId="37420FE0" w14:textId="77777777" w:rsidTr="00A900C0">
        <w:trPr>
          <w:trHeight w:val="20"/>
          <w:tblHeader/>
        </w:trPr>
        <w:tc>
          <w:tcPr>
            <w:tcW w:w="2406" w:type="dxa"/>
            <w:tcBorders>
              <w:top w:val="single" w:sz="4" w:space="0" w:color="auto"/>
              <w:left w:val="single" w:sz="4" w:space="0" w:color="auto"/>
              <w:bottom w:val="single" w:sz="4" w:space="0" w:color="auto"/>
              <w:right w:val="single" w:sz="4" w:space="0" w:color="auto"/>
            </w:tcBorders>
            <w:tcMar>
              <w:left w:w="28" w:type="dxa"/>
              <w:right w:w="28" w:type="dxa"/>
            </w:tcMar>
          </w:tcPr>
          <w:p w14:paraId="61EEACD9" w14:textId="77777777" w:rsidR="002271D7" w:rsidRPr="00B42397" w:rsidRDefault="002271D7" w:rsidP="00A900C0">
            <w:pPr>
              <w:jc w:val="center"/>
              <w:rPr>
                <w:rFonts w:ascii="Arial Narrow" w:hAnsi="Arial Narrow" w:cs="Times New Roman"/>
                <w:b/>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14:paraId="1C69DF65" w14:textId="77777777" w:rsidR="002271D7" w:rsidRPr="00B42397" w:rsidRDefault="002271D7" w:rsidP="00A900C0">
            <w:pPr>
              <w:jc w:val="center"/>
              <w:rPr>
                <w:rFonts w:ascii="Arial Narrow" w:hAnsi="Arial Narrow" w:cs="Times New Roman"/>
                <w:b/>
                <w:iCs/>
                <w:sz w:val="20"/>
                <w:szCs w:val="20"/>
                <w:lang w:eastAsia="en-US"/>
              </w:rPr>
            </w:pPr>
            <w:r w:rsidRPr="00B42397">
              <w:rPr>
                <w:rFonts w:ascii="Arial Narrow" w:hAnsi="Arial Narrow" w:cs="Times New Roman"/>
                <w:b/>
                <w:iCs/>
                <w:sz w:val="20"/>
                <w:szCs w:val="20"/>
                <w:lang w:eastAsia="en-US"/>
              </w:rPr>
              <w:t>Median duration of follow-up</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ABE203" w14:textId="77777777" w:rsidR="002271D7" w:rsidRPr="00B42397" w:rsidRDefault="001F5659" w:rsidP="00A900C0">
            <w:pPr>
              <w:jc w:val="center"/>
              <w:rPr>
                <w:rFonts w:ascii="Arial Narrow" w:hAnsi="Arial Narrow" w:cs="Times New Roman"/>
                <w:b/>
                <w:iCs/>
                <w:sz w:val="20"/>
                <w:szCs w:val="20"/>
                <w:lang w:eastAsia="en-US"/>
              </w:rPr>
            </w:pPr>
            <w:proofErr w:type="spellStart"/>
            <w:r w:rsidRPr="00B42397">
              <w:rPr>
                <w:rFonts w:ascii="Arial Narrow" w:hAnsi="Arial Narrow" w:cs="Times New Roman"/>
                <w:b/>
                <w:iCs/>
                <w:sz w:val="20"/>
                <w:szCs w:val="20"/>
                <w:lang w:eastAsia="en-US"/>
              </w:rPr>
              <w:t>ELd</w:t>
            </w:r>
            <w:proofErr w:type="spellEnd"/>
            <w:r w:rsidR="002271D7" w:rsidRPr="00B42397">
              <w:rPr>
                <w:rFonts w:ascii="Arial Narrow" w:hAnsi="Arial Narrow" w:cs="Times New Roman"/>
                <w:b/>
                <w:iCs/>
                <w:sz w:val="20"/>
                <w:szCs w:val="20"/>
                <w:lang w:eastAsia="en-US"/>
              </w:rPr>
              <w:t xml:space="preserve"> or Cd</w:t>
            </w:r>
          </w:p>
          <w:p w14:paraId="710A4908" w14:textId="77777777" w:rsidR="002271D7" w:rsidRPr="00B42397" w:rsidRDefault="002271D7" w:rsidP="00A900C0">
            <w:pPr>
              <w:jc w:val="center"/>
              <w:rPr>
                <w:rFonts w:ascii="Arial Narrow" w:hAnsi="Arial Narrow" w:cs="Times New Roman"/>
                <w:b/>
                <w:sz w:val="20"/>
                <w:szCs w:val="20"/>
                <w:lang w:eastAsia="en-US"/>
              </w:rPr>
            </w:pPr>
            <w:proofErr w:type="gramStart"/>
            <w:r w:rsidRPr="00B42397">
              <w:rPr>
                <w:rFonts w:ascii="Arial Narrow" w:hAnsi="Arial Narrow" w:cs="Times New Roman"/>
                <w:b/>
                <w:iCs/>
                <w:sz w:val="20"/>
                <w:szCs w:val="20"/>
                <w:lang w:eastAsia="en-US"/>
              </w:rPr>
              <w:t>n/N</w:t>
            </w:r>
            <w:proofErr w:type="gramEnd"/>
            <w:r w:rsidRPr="00B42397">
              <w:rPr>
                <w:rFonts w:ascii="Arial Narrow" w:hAnsi="Arial Narrow" w:cs="Times New Roman"/>
                <w:b/>
                <w:iCs/>
                <w:sz w:val="20"/>
                <w:szCs w:val="20"/>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A09DBC" w14:textId="77777777" w:rsidR="002271D7" w:rsidRPr="00B42397" w:rsidRDefault="001F5659" w:rsidP="00A900C0">
            <w:pPr>
              <w:jc w:val="center"/>
              <w:rPr>
                <w:rFonts w:ascii="Arial Narrow" w:hAnsi="Arial Narrow" w:cs="Times New Roman"/>
                <w:b/>
                <w:sz w:val="20"/>
                <w:szCs w:val="20"/>
                <w:lang w:eastAsia="en-US"/>
              </w:rPr>
            </w:pPr>
            <w:proofErr w:type="spellStart"/>
            <w:r w:rsidRPr="00B42397">
              <w:rPr>
                <w:rFonts w:ascii="Arial Narrow" w:hAnsi="Arial Narrow" w:cs="Times New Roman"/>
                <w:b/>
                <w:sz w:val="20"/>
                <w:szCs w:val="20"/>
                <w:lang w:eastAsia="en-US"/>
              </w:rPr>
              <w:t>Ld</w:t>
            </w:r>
            <w:proofErr w:type="spellEnd"/>
            <w:r w:rsidR="00866634" w:rsidRPr="00B42397">
              <w:rPr>
                <w:rFonts w:ascii="Arial Narrow" w:hAnsi="Arial Narrow" w:cs="Times New Roman"/>
                <w:b/>
                <w:sz w:val="20"/>
                <w:szCs w:val="20"/>
                <w:lang w:eastAsia="en-US"/>
              </w:rPr>
              <w:t xml:space="preserve"> or </w:t>
            </w:r>
            <w:r w:rsidR="002271D7" w:rsidRPr="00B42397">
              <w:rPr>
                <w:rFonts w:ascii="Arial Narrow" w:hAnsi="Arial Narrow" w:cs="Times New Roman"/>
                <w:b/>
                <w:sz w:val="20"/>
                <w:szCs w:val="20"/>
                <w:lang w:eastAsia="en-US"/>
              </w:rPr>
              <w:t>Bd</w:t>
            </w:r>
          </w:p>
          <w:p w14:paraId="56D00971" w14:textId="77777777" w:rsidR="002271D7" w:rsidRPr="00B42397" w:rsidRDefault="002271D7" w:rsidP="00A900C0">
            <w:pPr>
              <w:jc w:val="center"/>
              <w:rPr>
                <w:rFonts w:ascii="Arial Narrow" w:hAnsi="Arial Narrow" w:cs="Times New Roman"/>
                <w:b/>
                <w:sz w:val="20"/>
                <w:szCs w:val="20"/>
                <w:lang w:eastAsia="en-US"/>
              </w:rPr>
            </w:pPr>
            <w:proofErr w:type="gramStart"/>
            <w:r w:rsidRPr="00B42397">
              <w:rPr>
                <w:rFonts w:ascii="Arial Narrow" w:hAnsi="Arial Narrow" w:cs="Times New Roman"/>
                <w:b/>
                <w:sz w:val="20"/>
                <w:szCs w:val="20"/>
                <w:lang w:eastAsia="en-US"/>
              </w:rPr>
              <w:t>n/N</w:t>
            </w:r>
            <w:proofErr w:type="gramEnd"/>
            <w:r w:rsidRPr="00B42397">
              <w:rPr>
                <w:rFonts w:ascii="Arial Narrow" w:hAnsi="Arial Narrow" w:cs="Times New Roman"/>
                <w:b/>
                <w:sz w:val="20"/>
                <w:szCs w:val="20"/>
                <w:lang w:eastAsia="en-US"/>
              </w:rPr>
              <w:t xml:space="preserve"> (%)</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070D38" w14:textId="77777777" w:rsidR="002271D7" w:rsidRPr="00B42397" w:rsidRDefault="002271D7" w:rsidP="00A900C0">
            <w:pPr>
              <w:jc w:val="center"/>
              <w:rPr>
                <w:rFonts w:ascii="Arial Narrow" w:hAnsi="Arial Narrow" w:cs="Times New Roman"/>
                <w:b/>
                <w:sz w:val="20"/>
                <w:szCs w:val="20"/>
                <w:lang w:eastAsia="en-US"/>
              </w:rPr>
            </w:pPr>
            <w:r w:rsidRPr="00B42397">
              <w:rPr>
                <w:rFonts w:ascii="Arial Narrow" w:hAnsi="Arial Narrow" w:cs="Times New Roman"/>
                <w:b/>
                <w:sz w:val="20"/>
                <w:szCs w:val="20"/>
                <w:lang w:eastAsia="en-US"/>
              </w:rPr>
              <w:t>Absolute difference</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92D6AA" w14:textId="77777777" w:rsidR="002271D7" w:rsidRPr="00B42397" w:rsidRDefault="002271D7" w:rsidP="00A900C0">
            <w:pPr>
              <w:jc w:val="center"/>
              <w:rPr>
                <w:rFonts w:ascii="Arial Narrow" w:hAnsi="Arial Narrow" w:cs="Times New Roman"/>
                <w:b/>
                <w:sz w:val="20"/>
                <w:szCs w:val="20"/>
                <w:lang w:eastAsia="en-US"/>
              </w:rPr>
            </w:pPr>
            <w:proofErr w:type="spellStart"/>
            <w:r w:rsidRPr="00B42397">
              <w:rPr>
                <w:rFonts w:ascii="Arial Narrow" w:hAnsi="Arial Narrow" w:cs="Times New Roman"/>
                <w:b/>
                <w:sz w:val="20"/>
                <w:szCs w:val="20"/>
                <w:lang w:eastAsia="en-US"/>
              </w:rPr>
              <w:t>HR</w:t>
            </w:r>
            <w:r w:rsidR="008D1012" w:rsidRPr="00B42397">
              <w:rPr>
                <w:rFonts w:ascii="Arial Narrow" w:hAnsi="Arial Narrow" w:cs="Times New Roman"/>
                <w:b/>
                <w:sz w:val="20"/>
                <w:szCs w:val="20"/>
                <w:vertAlign w:val="superscript"/>
                <w:lang w:eastAsia="en-US"/>
              </w:rPr>
              <w:t>c</w:t>
            </w:r>
            <w:proofErr w:type="spellEnd"/>
            <w:r w:rsidRPr="00B42397">
              <w:rPr>
                <w:rFonts w:ascii="Arial Narrow" w:hAnsi="Arial Narrow" w:cs="Times New Roman"/>
                <w:b/>
                <w:sz w:val="20"/>
                <w:szCs w:val="20"/>
                <w:lang w:eastAsia="en-US"/>
              </w:rPr>
              <w:t xml:space="preserve"> </w:t>
            </w:r>
            <w:r w:rsidR="008A3D72" w:rsidRPr="00B42397">
              <w:rPr>
                <w:rFonts w:ascii="Arial Narrow" w:hAnsi="Arial Narrow" w:cs="Times New Roman"/>
                <w:b/>
                <w:sz w:val="20"/>
                <w:szCs w:val="20"/>
                <w:lang w:eastAsia="en-US"/>
              </w:rPr>
              <w:br/>
            </w:r>
            <w:r w:rsidRPr="00B42397">
              <w:rPr>
                <w:rFonts w:ascii="Arial Narrow" w:hAnsi="Arial Narrow" w:cs="Times New Roman"/>
                <w:b/>
                <w:sz w:val="20"/>
                <w:szCs w:val="20"/>
                <w:lang w:eastAsia="en-US"/>
              </w:rPr>
              <w:t>(95% CI)</w:t>
            </w:r>
          </w:p>
        </w:tc>
      </w:tr>
      <w:tr w:rsidR="002271D7" w:rsidRPr="00B42397" w14:paraId="3585CF85" w14:textId="77777777" w:rsidTr="00A900C0">
        <w:trPr>
          <w:trHeight w:val="20"/>
        </w:trPr>
        <w:tc>
          <w:tcPr>
            <w:tcW w:w="9017"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7C67CF3A" w14:textId="77777777" w:rsidR="002271D7" w:rsidRPr="00B42397" w:rsidRDefault="002271D7" w:rsidP="00A900C0">
            <w:pPr>
              <w:jc w:val="left"/>
              <w:rPr>
                <w:rFonts w:ascii="Arial Narrow" w:hAnsi="Arial Narrow" w:cs="Times New Roman"/>
                <w:b/>
                <w:sz w:val="20"/>
                <w:szCs w:val="20"/>
                <w:lang w:eastAsia="en-US"/>
              </w:rPr>
            </w:pPr>
            <w:r w:rsidRPr="00B42397">
              <w:rPr>
                <w:rFonts w:ascii="Arial Narrow" w:hAnsi="Arial Narrow" w:cs="Times New Roman"/>
                <w:b/>
                <w:sz w:val="20"/>
                <w:szCs w:val="20"/>
                <w:lang w:eastAsia="en-US"/>
              </w:rPr>
              <w:t>PFS</w:t>
            </w:r>
          </w:p>
        </w:tc>
      </w:tr>
      <w:tr w:rsidR="002271D7" w:rsidRPr="00B42397" w14:paraId="1FCB185F" w14:textId="77777777" w:rsidTr="008A3D72">
        <w:trPr>
          <w:trHeight w:val="20"/>
        </w:trPr>
        <w:tc>
          <w:tcPr>
            <w:tcW w:w="2406" w:type="dxa"/>
            <w:tcBorders>
              <w:top w:val="single" w:sz="4" w:space="0" w:color="auto"/>
              <w:left w:val="single" w:sz="4" w:space="0" w:color="auto"/>
              <w:bottom w:val="single" w:sz="4" w:space="0" w:color="auto"/>
              <w:right w:val="single" w:sz="4" w:space="0" w:color="auto"/>
            </w:tcBorders>
            <w:tcMar>
              <w:left w:w="28" w:type="dxa"/>
              <w:right w:w="28" w:type="dxa"/>
            </w:tcMar>
          </w:tcPr>
          <w:p w14:paraId="6976E713" w14:textId="77777777" w:rsidR="002271D7" w:rsidRPr="00B42397" w:rsidRDefault="002271D7" w:rsidP="00A900C0">
            <w:pPr>
              <w:jc w:val="left"/>
              <w:rPr>
                <w:rFonts w:ascii="Arial Narrow" w:hAnsi="Arial Narrow" w:cs="Times New Roman"/>
                <w:sz w:val="20"/>
                <w:szCs w:val="20"/>
                <w:lang w:eastAsia="en-US"/>
              </w:rPr>
            </w:pPr>
            <w:r w:rsidRPr="00B42397">
              <w:rPr>
                <w:rFonts w:ascii="Arial Narrow" w:hAnsi="Arial Narrow" w:cs="Times New Roman"/>
                <w:sz w:val="20"/>
                <w:szCs w:val="20"/>
                <w:lang w:eastAsia="en-US"/>
              </w:rPr>
              <w:t>ELOQUENT-2 (29 Oct 2017)</w:t>
            </w:r>
            <w:r w:rsidR="008D1012" w:rsidRPr="00B42397">
              <w:rPr>
                <w:rFonts w:ascii="Arial Narrow" w:hAnsi="Arial Narrow" w:cs="Times New Roman"/>
                <w:sz w:val="20"/>
                <w:szCs w:val="20"/>
                <w:vertAlign w:val="superscript"/>
                <w:lang w:eastAsia="en-US"/>
              </w:rPr>
              <w:t>a</w:t>
            </w:r>
          </w:p>
          <w:p w14:paraId="118BA1DE" w14:textId="77777777" w:rsidR="002271D7" w:rsidRPr="00B42397" w:rsidRDefault="001F5659" w:rsidP="00A900C0">
            <w:pPr>
              <w:jc w:val="left"/>
              <w:rPr>
                <w:rFonts w:ascii="Arial Narrow" w:hAnsi="Arial Narrow" w:cs="Times New Roman"/>
                <w:sz w:val="20"/>
                <w:szCs w:val="20"/>
                <w:lang w:eastAsia="en-US"/>
              </w:rPr>
            </w:pPr>
            <w:proofErr w:type="spellStart"/>
            <w:r w:rsidRPr="00B42397">
              <w:rPr>
                <w:rFonts w:ascii="Arial Narrow" w:hAnsi="Arial Narrow" w:cs="Times New Roman"/>
                <w:sz w:val="20"/>
                <w:szCs w:val="20"/>
                <w:lang w:eastAsia="en-US"/>
              </w:rPr>
              <w:t>ELd</w:t>
            </w:r>
            <w:proofErr w:type="spellEnd"/>
            <w:r w:rsidR="002271D7" w:rsidRPr="00B42397">
              <w:rPr>
                <w:rFonts w:ascii="Arial Narrow" w:hAnsi="Arial Narrow" w:cs="Times New Roman"/>
                <w:sz w:val="20"/>
                <w:szCs w:val="20"/>
                <w:lang w:eastAsia="en-US"/>
              </w:rPr>
              <w:t xml:space="preserve"> vs </w:t>
            </w:r>
            <w:proofErr w:type="spellStart"/>
            <w:r w:rsidRPr="00B42397">
              <w:rPr>
                <w:rFonts w:ascii="Arial Narrow" w:hAnsi="Arial Narrow" w:cs="Times New Roman"/>
                <w:sz w:val="20"/>
                <w:szCs w:val="20"/>
                <w:lang w:eastAsia="en-US"/>
              </w:rPr>
              <w:t>Ld</w:t>
            </w:r>
            <w:proofErr w:type="spellEnd"/>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CD6C95" w14:textId="77777777" w:rsidR="002271D7" w:rsidRPr="00B42397" w:rsidRDefault="002271D7" w:rsidP="008A3D72">
            <w:pPr>
              <w:jc w:val="center"/>
              <w:rPr>
                <w:rFonts w:ascii="Arial Narrow" w:hAnsi="Arial Narrow" w:cs="Times New Roman"/>
                <w:iCs/>
                <w:sz w:val="20"/>
                <w:szCs w:val="20"/>
                <w:lang w:eastAsia="en-US"/>
              </w:rPr>
            </w:pPr>
            <w:r w:rsidRPr="00B42397">
              <w:rPr>
                <w:rFonts w:ascii="Arial Narrow" w:hAnsi="Arial Narrow" w:cs="Times New Roman"/>
                <w:iCs/>
                <w:sz w:val="20"/>
                <w:szCs w:val="20"/>
                <w:lang w:eastAsia="en-US"/>
              </w:rPr>
              <w:t>24.9 months</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CB6D0A" w14:textId="77777777" w:rsidR="002271D7" w:rsidRPr="00B42397" w:rsidRDefault="002271D7" w:rsidP="008A3D72">
            <w:pPr>
              <w:jc w:val="center"/>
              <w:rPr>
                <w:rFonts w:ascii="Arial Narrow" w:hAnsi="Arial Narrow" w:cs="Times New Roman"/>
                <w:iCs/>
                <w:sz w:val="20"/>
                <w:szCs w:val="20"/>
                <w:lang w:eastAsia="en-US"/>
              </w:rPr>
            </w:pPr>
            <w:r w:rsidRPr="00B42397">
              <w:rPr>
                <w:rFonts w:ascii="Arial Narrow" w:hAnsi="Arial Narrow"/>
                <w:sz w:val="20"/>
                <w:szCs w:val="20"/>
              </w:rPr>
              <w:t>192</w:t>
            </w:r>
            <w:r w:rsidR="002074D1" w:rsidRPr="00B42397">
              <w:rPr>
                <w:rFonts w:ascii="Arial Narrow" w:hAnsi="Arial Narrow"/>
                <w:sz w:val="20"/>
                <w:szCs w:val="20"/>
              </w:rPr>
              <w:t>/321</w:t>
            </w:r>
            <w:r w:rsidRPr="00B42397">
              <w:rPr>
                <w:rFonts w:ascii="Arial Narrow" w:hAnsi="Arial Narrow"/>
                <w:sz w:val="20"/>
                <w:szCs w:val="20"/>
              </w:rPr>
              <w:t xml:space="preserve"> (59.8%)</w:t>
            </w:r>
          </w:p>
        </w:tc>
        <w:tc>
          <w:tcPr>
            <w:tcW w:w="14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2FB76" w14:textId="77777777" w:rsidR="002271D7" w:rsidRPr="00B42397" w:rsidRDefault="002271D7" w:rsidP="008A3D72">
            <w:pPr>
              <w:jc w:val="center"/>
              <w:rPr>
                <w:rFonts w:ascii="Arial Narrow" w:hAnsi="Arial Narrow" w:cs="Times New Roman"/>
                <w:iCs/>
                <w:sz w:val="20"/>
                <w:szCs w:val="20"/>
                <w:lang w:eastAsia="en-US"/>
              </w:rPr>
            </w:pPr>
            <w:r w:rsidRPr="00B42397">
              <w:rPr>
                <w:rFonts w:ascii="Arial Narrow" w:hAnsi="Arial Narrow"/>
                <w:sz w:val="20"/>
                <w:szCs w:val="20"/>
              </w:rPr>
              <w:t>231</w:t>
            </w:r>
            <w:r w:rsidR="002074D1" w:rsidRPr="00B42397">
              <w:rPr>
                <w:rFonts w:ascii="Arial Narrow" w:hAnsi="Arial Narrow"/>
                <w:sz w:val="20"/>
                <w:szCs w:val="20"/>
              </w:rPr>
              <w:t>/325</w:t>
            </w:r>
            <w:r w:rsidRPr="00B42397">
              <w:rPr>
                <w:rFonts w:ascii="Arial Narrow" w:hAnsi="Arial Narrow"/>
                <w:sz w:val="20"/>
                <w:szCs w:val="20"/>
              </w:rPr>
              <w:t xml:space="preserve"> (71.1%)</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15CE1B" w14:textId="77777777" w:rsidR="002271D7" w:rsidRPr="00B42397" w:rsidRDefault="002074D1" w:rsidP="008A3D72">
            <w:pPr>
              <w:jc w:val="center"/>
              <w:rPr>
                <w:rFonts w:ascii="Arial Narrow" w:hAnsi="Arial Narrow" w:cs="Times New Roman"/>
                <w:sz w:val="20"/>
                <w:szCs w:val="20"/>
                <w:lang w:eastAsia="en-US"/>
              </w:rPr>
            </w:pPr>
            <w:r w:rsidRPr="00B42397">
              <w:rPr>
                <w:rFonts w:ascii="Arial Narrow" w:hAnsi="Arial Narrow" w:cs="Times New Roman"/>
                <w:sz w:val="20"/>
                <w:szCs w:val="20"/>
                <w:lang w:eastAsia="en-US"/>
              </w:rPr>
              <w:t>11.3</w:t>
            </w:r>
            <w:r w:rsidR="002271D7" w:rsidRPr="00B42397">
              <w:rPr>
                <w:rFonts w:ascii="Arial Narrow" w:hAnsi="Arial Narrow" w:cs="Times New Roman"/>
                <w:sz w:val="20"/>
                <w:szCs w:val="20"/>
                <w:lang w:eastAsia="en-US"/>
              </w:rPr>
              <w:t>%</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90E5C2" w14:textId="77777777" w:rsidR="002074D1" w:rsidRPr="00B42397" w:rsidRDefault="002271D7" w:rsidP="008A3D72">
            <w:pPr>
              <w:jc w:val="center"/>
              <w:rPr>
                <w:rFonts w:ascii="Arial Narrow" w:hAnsi="Arial Narrow"/>
                <w:sz w:val="20"/>
                <w:szCs w:val="20"/>
              </w:rPr>
            </w:pPr>
            <w:r w:rsidRPr="00B42397">
              <w:rPr>
                <w:rFonts w:ascii="Arial Narrow" w:hAnsi="Arial Narrow"/>
                <w:sz w:val="20"/>
                <w:szCs w:val="20"/>
              </w:rPr>
              <w:t xml:space="preserve">0.68 </w:t>
            </w:r>
            <w:r w:rsidR="008A3D72" w:rsidRPr="00B42397">
              <w:rPr>
                <w:rFonts w:ascii="Arial Narrow" w:hAnsi="Arial Narrow"/>
                <w:sz w:val="20"/>
                <w:szCs w:val="20"/>
              </w:rPr>
              <w:br/>
            </w:r>
            <w:r w:rsidRPr="00B42397">
              <w:rPr>
                <w:rFonts w:ascii="Arial Narrow" w:hAnsi="Arial Narrow"/>
                <w:sz w:val="20"/>
                <w:szCs w:val="20"/>
              </w:rPr>
              <w:t>(0.56, 0.83)</w:t>
            </w:r>
          </w:p>
        </w:tc>
      </w:tr>
      <w:tr w:rsidR="002074D1" w:rsidRPr="00B42397" w14:paraId="6B1B1620" w14:textId="77777777" w:rsidTr="008A3D72">
        <w:trPr>
          <w:trHeight w:val="20"/>
        </w:trPr>
        <w:tc>
          <w:tcPr>
            <w:tcW w:w="2406" w:type="dxa"/>
            <w:tcBorders>
              <w:top w:val="single" w:sz="4" w:space="0" w:color="auto"/>
              <w:left w:val="single" w:sz="4" w:space="0" w:color="auto"/>
              <w:bottom w:val="single" w:sz="4" w:space="0" w:color="auto"/>
              <w:right w:val="single" w:sz="4" w:space="0" w:color="auto"/>
            </w:tcBorders>
            <w:tcMar>
              <w:left w:w="28" w:type="dxa"/>
              <w:right w:w="28" w:type="dxa"/>
            </w:tcMar>
          </w:tcPr>
          <w:p w14:paraId="4D72C6A2" w14:textId="77777777" w:rsidR="002074D1" w:rsidRPr="00B42397" w:rsidRDefault="002074D1" w:rsidP="00A900C0">
            <w:pPr>
              <w:jc w:val="left"/>
              <w:rPr>
                <w:rFonts w:ascii="Arial Narrow" w:hAnsi="Arial Narrow" w:cs="Times New Roman"/>
                <w:sz w:val="20"/>
                <w:szCs w:val="20"/>
                <w:lang w:eastAsia="en-US"/>
              </w:rPr>
            </w:pPr>
            <w:r w:rsidRPr="00B42397">
              <w:rPr>
                <w:rFonts w:ascii="Arial Narrow" w:hAnsi="Arial Narrow" w:cs="Times New Roman"/>
                <w:sz w:val="20"/>
                <w:szCs w:val="20"/>
                <w:lang w:eastAsia="en-US"/>
              </w:rPr>
              <w:t>ENDEAVOR (3 March 2016)</w:t>
            </w:r>
            <w:r w:rsidR="008D1012" w:rsidRPr="00B42397">
              <w:rPr>
                <w:rFonts w:ascii="Arial Narrow" w:hAnsi="Arial Narrow" w:cs="Times New Roman"/>
                <w:sz w:val="20"/>
                <w:szCs w:val="20"/>
                <w:vertAlign w:val="superscript"/>
                <w:lang w:eastAsia="en-US"/>
              </w:rPr>
              <w:t>b</w:t>
            </w:r>
            <w:r w:rsidRPr="00B42397">
              <w:rPr>
                <w:rFonts w:ascii="Arial Narrow" w:hAnsi="Arial Narrow" w:cs="Times New Roman"/>
                <w:sz w:val="20"/>
                <w:szCs w:val="20"/>
                <w:lang w:eastAsia="en-US"/>
              </w:rPr>
              <w:t xml:space="preserve"> </w:t>
            </w:r>
            <w:r w:rsidRPr="00B42397">
              <w:rPr>
                <w:rFonts w:ascii="Arial Narrow" w:hAnsi="Arial Narrow" w:cs="Times New Roman"/>
                <w:sz w:val="20"/>
                <w:szCs w:val="20"/>
                <w:lang w:eastAsia="en-US"/>
              </w:rPr>
              <w:br/>
              <w:t>Cd vs Bd</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3B11B0" w14:textId="77777777" w:rsidR="002074D1" w:rsidRPr="00B42397" w:rsidRDefault="002074D1" w:rsidP="008A3D72">
            <w:pPr>
              <w:jc w:val="center"/>
              <w:rPr>
                <w:rFonts w:ascii="Arial Narrow" w:hAnsi="Arial Narrow" w:cs="Times New Roman"/>
                <w:sz w:val="20"/>
                <w:szCs w:val="20"/>
                <w:lang w:eastAsia="en-US"/>
              </w:rPr>
            </w:pPr>
            <w:r w:rsidRPr="00B42397">
              <w:rPr>
                <w:rFonts w:ascii="Arial Narrow" w:hAnsi="Arial Narrow" w:cs="Times New Roman"/>
                <w:sz w:val="20"/>
                <w:szCs w:val="20"/>
                <w:lang w:eastAsia="en-US"/>
              </w:rPr>
              <w:t>16.6 months</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2268CD" w14:textId="77777777" w:rsidR="002074D1" w:rsidRPr="00B42397" w:rsidRDefault="002074D1" w:rsidP="008A3D72">
            <w:pPr>
              <w:jc w:val="center"/>
              <w:rPr>
                <w:rFonts w:ascii="Arial Narrow" w:hAnsi="Arial Narrow" w:cs="Times New Roman"/>
                <w:sz w:val="20"/>
                <w:szCs w:val="20"/>
                <w:lang w:eastAsia="en-US"/>
              </w:rPr>
            </w:pPr>
            <w:r w:rsidRPr="00B42397">
              <w:rPr>
                <w:rFonts w:ascii="Arial Narrow" w:hAnsi="Arial Narrow"/>
                <w:sz w:val="20"/>
                <w:szCs w:val="20"/>
              </w:rPr>
              <w:t>232/464 (50.0%)</w:t>
            </w:r>
          </w:p>
        </w:tc>
        <w:tc>
          <w:tcPr>
            <w:tcW w:w="14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1B4E7A" w14:textId="77777777" w:rsidR="002074D1" w:rsidRPr="00B42397" w:rsidRDefault="002074D1" w:rsidP="008A3D72">
            <w:pPr>
              <w:jc w:val="center"/>
              <w:rPr>
                <w:rFonts w:ascii="Arial Narrow" w:hAnsi="Arial Narrow" w:cs="Times New Roman"/>
                <w:sz w:val="20"/>
                <w:szCs w:val="20"/>
                <w:lang w:eastAsia="en-US"/>
              </w:rPr>
            </w:pPr>
            <w:r w:rsidRPr="00B42397">
              <w:rPr>
                <w:rFonts w:ascii="Arial Narrow" w:hAnsi="Arial Narrow"/>
                <w:sz w:val="20"/>
                <w:szCs w:val="20"/>
              </w:rPr>
              <w:t>288/465 (61.9%)</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9E552B" w14:textId="77777777" w:rsidR="002074D1" w:rsidRPr="00B42397" w:rsidRDefault="002074D1" w:rsidP="008A3D72">
            <w:pPr>
              <w:jc w:val="center"/>
              <w:rPr>
                <w:rFonts w:ascii="Arial Narrow" w:hAnsi="Arial Narrow" w:cs="Times New Roman"/>
                <w:sz w:val="20"/>
                <w:szCs w:val="20"/>
                <w:lang w:eastAsia="en-US"/>
              </w:rPr>
            </w:pPr>
            <w:r w:rsidRPr="00B42397">
              <w:rPr>
                <w:rFonts w:ascii="Arial Narrow" w:hAnsi="Arial Narrow" w:cs="Times New Roman"/>
                <w:sz w:val="20"/>
                <w:szCs w:val="20"/>
                <w:lang w:eastAsia="en-US"/>
              </w:rPr>
              <w:t>11.9%</w:t>
            </w:r>
          </w:p>
        </w:tc>
        <w:tc>
          <w:tcPr>
            <w:tcW w:w="128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362AF6" w14:textId="77777777" w:rsidR="002074D1" w:rsidRPr="00B42397" w:rsidRDefault="002074D1" w:rsidP="008A3D72">
            <w:pPr>
              <w:jc w:val="center"/>
              <w:rPr>
                <w:rFonts w:ascii="Arial Narrow" w:hAnsi="Arial Narrow"/>
                <w:sz w:val="20"/>
                <w:szCs w:val="20"/>
              </w:rPr>
            </w:pPr>
            <w:r w:rsidRPr="00B42397">
              <w:rPr>
                <w:rFonts w:ascii="Arial Narrow" w:hAnsi="Arial Narrow"/>
                <w:sz w:val="20"/>
                <w:szCs w:val="20"/>
              </w:rPr>
              <w:t xml:space="preserve">0.55 </w:t>
            </w:r>
            <w:r w:rsidR="008A3D72" w:rsidRPr="00B42397">
              <w:rPr>
                <w:rFonts w:ascii="Arial Narrow" w:hAnsi="Arial Narrow"/>
                <w:sz w:val="20"/>
                <w:szCs w:val="20"/>
              </w:rPr>
              <w:br/>
            </w:r>
            <w:r w:rsidRPr="00B42397">
              <w:rPr>
                <w:rFonts w:ascii="Arial Narrow" w:hAnsi="Arial Narrow"/>
                <w:sz w:val="20"/>
                <w:szCs w:val="20"/>
              </w:rPr>
              <w:t>(0.46, 0.65)</w:t>
            </w:r>
          </w:p>
        </w:tc>
      </w:tr>
      <w:tr w:rsidR="002271D7" w:rsidRPr="00B42397" w14:paraId="2342D267" w14:textId="77777777" w:rsidTr="008A3D72">
        <w:trPr>
          <w:trHeight w:val="20"/>
        </w:trPr>
        <w:tc>
          <w:tcPr>
            <w:tcW w:w="7737" w:type="dxa"/>
            <w:gridSpan w:val="5"/>
            <w:tcBorders>
              <w:top w:val="single" w:sz="4" w:space="0" w:color="auto"/>
            </w:tcBorders>
            <w:tcMar>
              <w:left w:w="28" w:type="dxa"/>
              <w:right w:w="28" w:type="dxa"/>
            </w:tcMar>
            <w:vAlign w:val="center"/>
          </w:tcPr>
          <w:p w14:paraId="092CC602" w14:textId="77777777" w:rsidR="002271D7" w:rsidRPr="00B42397" w:rsidRDefault="002271D7" w:rsidP="008A3D72">
            <w:pPr>
              <w:jc w:val="right"/>
              <w:rPr>
                <w:rFonts w:ascii="Arial Narrow" w:hAnsi="Arial Narrow" w:cs="Times New Roman"/>
                <w:b/>
                <w:sz w:val="20"/>
                <w:szCs w:val="20"/>
                <w:lang w:eastAsia="en-US"/>
              </w:rPr>
            </w:pPr>
            <w:r w:rsidRPr="00B42397">
              <w:rPr>
                <w:rFonts w:ascii="Arial Narrow" w:hAnsi="Arial Narrow" w:cs="Times New Roman"/>
                <w:b/>
                <w:sz w:val="20"/>
                <w:szCs w:val="20"/>
                <w:lang w:eastAsia="en-US"/>
              </w:rPr>
              <w:t xml:space="preserve">Indirect comparison </w:t>
            </w:r>
            <w:proofErr w:type="spellStart"/>
            <w:r w:rsidR="001F5659" w:rsidRPr="00B42397">
              <w:rPr>
                <w:rFonts w:ascii="Arial Narrow" w:hAnsi="Arial Narrow" w:cs="Times New Roman"/>
                <w:b/>
                <w:sz w:val="20"/>
                <w:szCs w:val="20"/>
                <w:lang w:eastAsia="en-US"/>
              </w:rPr>
              <w:t>ELd</w:t>
            </w:r>
            <w:proofErr w:type="spellEnd"/>
            <w:r w:rsidRPr="00B42397">
              <w:rPr>
                <w:rFonts w:ascii="Arial Narrow" w:hAnsi="Arial Narrow" w:cs="Times New Roman"/>
                <w:b/>
                <w:sz w:val="20"/>
                <w:szCs w:val="20"/>
                <w:lang w:eastAsia="en-US"/>
              </w:rPr>
              <w:t xml:space="preserve"> vs. Cd</w:t>
            </w:r>
          </w:p>
        </w:tc>
        <w:tc>
          <w:tcPr>
            <w:tcW w:w="1280" w:type="dxa"/>
            <w:tcBorders>
              <w:top w:val="single" w:sz="4" w:space="0" w:color="auto"/>
            </w:tcBorders>
            <w:shd w:val="clear" w:color="auto" w:fill="auto"/>
            <w:tcMar>
              <w:left w:w="28" w:type="dxa"/>
              <w:right w:w="28" w:type="dxa"/>
            </w:tcMar>
          </w:tcPr>
          <w:p w14:paraId="15B50249" w14:textId="77777777" w:rsidR="00961092" w:rsidRPr="00B42397" w:rsidRDefault="002271D7" w:rsidP="00A900C0">
            <w:pPr>
              <w:jc w:val="center"/>
              <w:rPr>
                <w:rFonts w:ascii="Arial Narrow" w:hAnsi="Arial Narrow"/>
                <w:sz w:val="20"/>
                <w:szCs w:val="20"/>
              </w:rPr>
            </w:pPr>
            <w:r w:rsidRPr="00B42397">
              <w:rPr>
                <w:rFonts w:ascii="Arial Narrow" w:hAnsi="Arial Narrow"/>
                <w:sz w:val="20"/>
                <w:szCs w:val="20"/>
              </w:rPr>
              <w:t xml:space="preserve">1.236 </w:t>
            </w:r>
          </w:p>
          <w:p w14:paraId="5C256FE7" w14:textId="77777777" w:rsidR="002271D7" w:rsidRPr="00B42397" w:rsidRDefault="002271D7" w:rsidP="00A900C0">
            <w:pPr>
              <w:jc w:val="center"/>
              <w:rPr>
                <w:rFonts w:ascii="Arial Narrow" w:hAnsi="Arial Narrow" w:cs="Times New Roman"/>
                <w:sz w:val="20"/>
                <w:szCs w:val="20"/>
                <w:lang w:eastAsia="en-US"/>
              </w:rPr>
            </w:pPr>
            <w:r w:rsidRPr="00B42397">
              <w:rPr>
                <w:rFonts w:ascii="Arial Narrow" w:hAnsi="Arial Narrow"/>
                <w:sz w:val="20"/>
                <w:szCs w:val="20"/>
              </w:rPr>
              <w:t>(0.95, 1.6</w:t>
            </w:r>
            <w:r w:rsidR="008C5479" w:rsidRPr="00B42397">
              <w:rPr>
                <w:rFonts w:ascii="Arial Narrow" w:hAnsi="Arial Narrow"/>
                <w:sz w:val="20"/>
                <w:szCs w:val="20"/>
              </w:rPr>
              <w:t>1</w:t>
            </w:r>
            <w:r w:rsidRPr="00B42397">
              <w:rPr>
                <w:rFonts w:ascii="Arial Narrow" w:hAnsi="Arial Narrow"/>
                <w:sz w:val="20"/>
                <w:szCs w:val="20"/>
              </w:rPr>
              <w:t>)</w:t>
            </w:r>
          </w:p>
        </w:tc>
      </w:tr>
      <w:tr w:rsidR="002271D7" w:rsidRPr="00B42397" w14:paraId="55C32A0A" w14:textId="77777777" w:rsidTr="00A900C0">
        <w:trPr>
          <w:trHeight w:val="20"/>
        </w:trPr>
        <w:tc>
          <w:tcPr>
            <w:tcW w:w="9017" w:type="dxa"/>
            <w:gridSpan w:val="6"/>
            <w:tcMar>
              <w:left w:w="28" w:type="dxa"/>
              <w:right w:w="28" w:type="dxa"/>
            </w:tcMar>
          </w:tcPr>
          <w:p w14:paraId="558E78F5" w14:textId="77777777" w:rsidR="002271D7" w:rsidRPr="00B42397" w:rsidRDefault="002271D7" w:rsidP="00A900C0">
            <w:pPr>
              <w:jc w:val="left"/>
              <w:rPr>
                <w:rFonts w:ascii="Arial Narrow" w:hAnsi="Arial Narrow" w:cs="Times New Roman"/>
                <w:b/>
                <w:sz w:val="20"/>
                <w:szCs w:val="20"/>
                <w:lang w:eastAsia="en-US"/>
              </w:rPr>
            </w:pPr>
            <w:r w:rsidRPr="00B42397">
              <w:rPr>
                <w:rFonts w:ascii="Arial Narrow" w:hAnsi="Arial Narrow" w:cs="Times New Roman"/>
                <w:b/>
                <w:sz w:val="20"/>
                <w:szCs w:val="20"/>
                <w:lang w:eastAsia="en-US"/>
              </w:rPr>
              <w:t>OS</w:t>
            </w:r>
          </w:p>
        </w:tc>
      </w:tr>
      <w:tr w:rsidR="002074D1" w:rsidRPr="00B42397" w14:paraId="6C70613C" w14:textId="77777777" w:rsidTr="008A3D72">
        <w:trPr>
          <w:trHeight w:val="20"/>
        </w:trPr>
        <w:tc>
          <w:tcPr>
            <w:tcW w:w="2406" w:type="dxa"/>
            <w:tcMar>
              <w:left w:w="28" w:type="dxa"/>
              <w:right w:w="28" w:type="dxa"/>
            </w:tcMar>
          </w:tcPr>
          <w:p w14:paraId="3B30B612" w14:textId="77777777" w:rsidR="002074D1" w:rsidRPr="00B42397" w:rsidRDefault="002074D1" w:rsidP="00A900C0">
            <w:pPr>
              <w:jc w:val="left"/>
              <w:rPr>
                <w:rFonts w:ascii="Arial Narrow" w:hAnsi="Arial Narrow" w:cs="Times New Roman"/>
                <w:sz w:val="20"/>
                <w:szCs w:val="20"/>
                <w:lang w:eastAsia="en-US"/>
              </w:rPr>
            </w:pPr>
            <w:r w:rsidRPr="00B42397">
              <w:rPr>
                <w:rFonts w:ascii="Arial Narrow" w:hAnsi="Arial Narrow" w:cs="Times New Roman"/>
                <w:sz w:val="20"/>
                <w:szCs w:val="20"/>
                <w:lang w:eastAsia="en-US"/>
              </w:rPr>
              <w:t>ELOQUENT-2 (</w:t>
            </w:r>
            <w:r w:rsidR="005E7AFD" w:rsidRPr="00B42397">
              <w:rPr>
                <w:rFonts w:ascii="Arial Narrow" w:hAnsi="Arial Narrow" w:cs="Times New Roman"/>
                <w:sz w:val="20"/>
                <w:szCs w:val="20"/>
                <w:lang w:eastAsia="en-US"/>
              </w:rPr>
              <w:t xml:space="preserve"> 29</w:t>
            </w:r>
            <w:r w:rsidR="001022CB" w:rsidRPr="00B42397">
              <w:rPr>
                <w:rFonts w:ascii="Arial Narrow" w:hAnsi="Arial Narrow" w:cs="Times New Roman"/>
                <w:sz w:val="20"/>
                <w:szCs w:val="20"/>
                <w:lang w:eastAsia="en-US"/>
              </w:rPr>
              <w:t xml:space="preserve"> Oct</w:t>
            </w:r>
            <w:r w:rsidRPr="00B42397">
              <w:rPr>
                <w:rFonts w:ascii="Arial Narrow" w:hAnsi="Arial Narrow" w:cs="Times New Roman"/>
                <w:sz w:val="20"/>
                <w:szCs w:val="20"/>
                <w:lang w:eastAsia="en-US"/>
              </w:rPr>
              <w:t xml:space="preserve"> 201</w:t>
            </w:r>
            <w:r w:rsidR="008310F5" w:rsidRPr="00B42397">
              <w:rPr>
                <w:rFonts w:ascii="Arial Narrow" w:hAnsi="Arial Narrow" w:cs="Times New Roman"/>
                <w:sz w:val="20"/>
                <w:szCs w:val="20"/>
                <w:lang w:eastAsia="en-US"/>
              </w:rPr>
              <w:t>5</w:t>
            </w:r>
            <w:r w:rsidRPr="00B42397">
              <w:rPr>
                <w:rFonts w:ascii="Arial Narrow" w:hAnsi="Arial Narrow" w:cs="Times New Roman"/>
                <w:sz w:val="20"/>
                <w:szCs w:val="20"/>
                <w:lang w:eastAsia="en-US"/>
              </w:rPr>
              <w:t>)</w:t>
            </w:r>
          </w:p>
          <w:p w14:paraId="56C5B4B8" w14:textId="77777777" w:rsidR="002074D1" w:rsidRPr="00B42397" w:rsidRDefault="001F5659" w:rsidP="00A900C0">
            <w:pPr>
              <w:jc w:val="left"/>
              <w:rPr>
                <w:rFonts w:ascii="Arial Narrow" w:hAnsi="Arial Narrow" w:cs="Times New Roman"/>
                <w:sz w:val="20"/>
                <w:szCs w:val="20"/>
                <w:lang w:eastAsia="en-US"/>
              </w:rPr>
            </w:pPr>
            <w:proofErr w:type="spellStart"/>
            <w:r w:rsidRPr="00B42397">
              <w:rPr>
                <w:rFonts w:ascii="Arial Narrow" w:hAnsi="Arial Narrow" w:cs="Times New Roman"/>
                <w:sz w:val="20"/>
                <w:szCs w:val="20"/>
                <w:lang w:eastAsia="en-US"/>
              </w:rPr>
              <w:t>ELd</w:t>
            </w:r>
            <w:proofErr w:type="spellEnd"/>
            <w:r w:rsidR="002074D1" w:rsidRPr="00B42397">
              <w:rPr>
                <w:rFonts w:ascii="Arial Narrow" w:hAnsi="Arial Narrow" w:cs="Times New Roman"/>
                <w:sz w:val="20"/>
                <w:szCs w:val="20"/>
                <w:lang w:eastAsia="en-US"/>
              </w:rPr>
              <w:t xml:space="preserve"> vs </w:t>
            </w:r>
            <w:proofErr w:type="spellStart"/>
            <w:r w:rsidRPr="00B42397">
              <w:rPr>
                <w:rFonts w:ascii="Arial Narrow" w:hAnsi="Arial Narrow" w:cs="Times New Roman"/>
                <w:sz w:val="20"/>
                <w:szCs w:val="20"/>
                <w:lang w:eastAsia="en-US"/>
              </w:rPr>
              <w:t>Ld</w:t>
            </w:r>
            <w:proofErr w:type="spellEnd"/>
          </w:p>
        </w:tc>
        <w:tc>
          <w:tcPr>
            <w:tcW w:w="1418" w:type="dxa"/>
            <w:tcMar>
              <w:left w:w="28" w:type="dxa"/>
              <w:right w:w="28" w:type="dxa"/>
            </w:tcMar>
            <w:vAlign w:val="center"/>
          </w:tcPr>
          <w:p w14:paraId="79B2CB0F" w14:textId="77777777" w:rsidR="002074D1" w:rsidRPr="00B42397" w:rsidRDefault="002074D1" w:rsidP="008A3D72">
            <w:pPr>
              <w:jc w:val="center"/>
              <w:rPr>
                <w:rFonts w:ascii="Arial Narrow" w:hAnsi="Arial Narrow" w:cs="Times New Roman"/>
                <w:sz w:val="20"/>
                <w:szCs w:val="20"/>
                <w:lang w:eastAsia="en-US"/>
              </w:rPr>
            </w:pPr>
            <w:r w:rsidRPr="00B42397">
              <w:rPr>
                <w:rFonts w:ascii="Arial Narrow" w:hAnsi="Arial Narrow"/>
                <w:sz w:val="20"/>
                <w:szCs w:val="20"/>
              </w:rPr>
              <w:t>38.7 months</w:t>
            </w:r>
          </w:p>
        </w:tc>
        <w:tc>
          <w:tcPr>
            <w:tcW w:w="1417" w:type="dxa"/>
            <w:tcMar>
              <w:left w:w="28" w:type="dxa"/>
              <w:right w:w="28" w:type="dxa"/>
            </w:tcMar>
            <w:vAlign w:val="center"/>
          </w:tcPr>
          <w:p w14:paraId="5B2504F2" w14:textId="77777777" w:rsidR="002074D1" w:rsidRPr="00B42397" w:rsidRDefault="002074D1" w:rsidP="008A3D72">
            <w:pPr>
              <w:jc w:val="center"/>
              <w:rPr>
                <w:rFonts w:ascii="Arial Narrow" w:hAnsi="Arial Narrow" w:cs="Times New Roman"/>
                <w:sz w:val="20"/>
                <w:szCs w:val="20"/>
                <w:lang w:eastAsia="en-US"/>
              </w:rPr>
            </w:pPr>
            <w:r w:rsidRPr="00B42397">
              <w:rPr>
                <w:rFonts w:ascii="Arial Narrow" w:hAnsi="Arial Narrow"/>
                <w:sz w:val="20"/>
                <w:szCs w:val="20"/>
              </w:rPr>
              <w:t>136/321 (42.4%)</w:t>
            </w:r>
          </w:p>
        </w:tc>
        <w:tc>
          <w:tcPr>
            <w:tcW w:w="1432" w:type="dxa"/>
            <w:tcMar>
              <w:left w:w="28" w:type="dxa"/>
              <w:right w:w="28" w:type="dxa"/>
            </w:tcMar>
            <w:vAlign w:val="center"/>
          </w:tcPr>
          <w:p w14:paraId="363B938D" w14:textId="77777777" w:rsidR="002074D1" w:rsidRPr="00B42397" w:rsidRDefault="002074D1" w:rsidP="008A3D72">
            <w:pPr>
              <w:jc w:val="center"/>
              <w:rPr>
                <w:rFonts w:ascii="Arial Narrow" w:hAnsi="Arial Narrow" w:cs="Times New Roman"/>
                <w:sz w:val="20"/>
                <w:szCs w:val="20"/>
                <w:lang w:eastAsia="en-US"/>
              </w:rPr>
            </w:pPr>
            <w:r w:rsidRPr="00B42397">
              <w:rPr>
                <w:rFonts w:ascii="Arial Narrow" w:hAnsi="Arial Narrow"/>
                <w:sz w:val="20"/>
                <w:szCs w:val="20"/>
              </w:rPr>
              <w:t>159/325 (48.9%)</w:t>
            </w:r>
          </w:p>
        </w:tc>
        <w:tc>
          <w:tcPr>
            <w:tcW w:w="1064" w:type="dxa"/>
            <w:tcMar>
              <w:left w:w="28" w:type="dxa"/>
              <w:right w:w="28" w:type="dxa"/>
            </w:tcMar>
            <w:vAlign w:val="center"/>
          </w:tcPr>
          <w:p w14:paraId="269867AF" w14:textId="77777777" w:rsidR="002074D1" w:rsidRPr="00B42397" w:rsidRDefault="002074D1" w:rsidP="008A3D72">
            <w:pPr>
              <w:jc w:val="center"/>
              <w:rPr>
                <w:rFonts w:ascii="Arial Narrow" w:hAnsi="Arial Narrow" w:cs="Times New Roman"/>
                <w:sz w:val="20"/>
                <w:szCs w:val="20"/>
                <w:lang w:eastAsia="en-US"/>
              </w:rPr>
            </w:pPr>
            <w:r w:rsidRPr="00B42397">
              <w:rPr>
                <w:rFonts w:ascii="Arial Narrow" w:hAnsi="Arial Narrow" w:cs="Times New Roman"/>
                <w:sz w:val="20"/>
                <w:szCs w:val="20"/>
                <w:lang w:eastAsia="en-US"/>
              </w:rPr>
              <w:t>6.5%</w:t>
            </w:r>
          </w:p>
        </w:tc>
        <w:tc>
          <w:tcPr>
            <w:tcW w:w="1280" w:type="dxa"/>
            <w:tcMar>
              <w:left w:w="28" w:type="dxa"/>
              <w:right w:w="28" w:type="dxa"/>
            </w:tcMar>
            <w:vAlign w:val="center"/>
          </w:tcPr>
          <w:p w14:paraId="3FCE67C9" w14:textId="77777777" w:rsidR="002074D1" w:rsidRPr="00B42397" w:rsidRDefault="002074D1" w:rsidP="008A3D72">
            <w:pPr>
              <w:jc w:val="center"/>
              <w:rPr>
                <w:rFonts w:ascii="Arial Narrow" w:hAnsi="Arial Narrow" w:cs="Times New Roman"/>
                <w:b/>
                <w:sz w:val="20"/>
                <w:szCs w:val="20"/>
                <w:lang w:eastAsia="en-US"/>
              </w:rPr>
            </w:pPr>
            <w:r w:rsidRPr="00B42397">
              <w:rPr>
                <w:rFonts w:ascii="Arial Narrow" w:hAnsi="Arial Narrow"/>
                <w:sz w:val="20"/>
                <w:szCs w:val="20"/>
              </w:rPr>
              <w:t xml:space="preserve">0.77 </w:t>
            </w:r>
            <w:r w:rsidR="008A3D72" w:rsidRPr="00B42397">
              <w:rPr>
                <w:rFonts w:ascii="Arial Narrow" w:hAnsi="Arial Narrow"/>
                <w:sz w:val="20"/>
                <w:szCs w:val="20"/>
              </w:rPr>
              <w:br/>
            </w:r>
            <w:r w:rsidRPr="00B42397">
              <w:rPr>
                <w:rFonts w:ascii="Arial Narrow" w:hAnsi="Arial Narrow"/>
                <w:sz w:val="20"/>
                <w:szCs w:val="20"/>
              </w:rPr>
              <w:t>(0.61, 0.97)</w:t>
            </w:r>
          </w:p>
        </w:tc>
      </w:tr>
      <w:tr w:rsidR="002271D7" w:rsidRPr="00B42397" w14:paraId="75AD96F3" w14:textId="77777777" w:rsidTr="008A3D72">
        <w:trPr>
          <w:trHeight w:val="20"/>
        </w:trPr>
        <w:tc>
          <w:tcPr>
            <w:tcW w:w="2406" w:type="dxa"/>
            <w:tcMar>
              <w:left w:w="28" w:type="dxa"/>
              <w:right w:w="28" w:type="dxa"/>
            </w:tcMar>
          </w:tcPr>
          <w:p w14:paraId="2E4F251F" w14:textId="77777777" w:rsidR="002271D7" w:rsidRPr="00B42397" w:rsidRDefault="002271D7" w:rsidP="00A900C0">
            <w:pPr>
              <w:jc w:val="left"/>
              <w:rPr>
                <w:rFonts w:ascii="Arial Narrow" w:hAnsi="Arial Narrow" w:cs="Times New Roman"/>
                <w:sz w:val="20"/>
                <w:szCs w:val="20"/>
                <w:lang w:eastAsia="en-US"/>
              </w:rPr>
            </w:pPr>
            <w:r w:rsidRPr="00B42397">
              <w:rPr>
                <w:rFonts w:ascii="Arial Narrow" w:hAnsi="Arial Narrow" w:cs="Times New Roman"/>
                <w:sz w:val="20"/>
                <w:szCs w:val="20"/>
                <w:lang w:eastAsia="en-US"/>
              </w:rPr>
              <w:t>ENDEAVOR (3 Jan 2017)</w:t>
            </w:r>
          </w:p>
          <w:p w14:paraId="2D4FE683" w14:textId="77777777" w:rsidR="002271D7" w:rsidRPr="00B42397" w:rsidRDefault="002271D7" w:rsidP="00A900C0">
            <w:pPr>
              <w:jc w:val="left"/>
              <w:rPr>
                <w:rFonts w:ascii="Arial Narrow" w:hAnsi="Arial Narrow" w:cs="Times New Roman"/>
                <w:sz w:val="20"/>
                <w:szCs w:val="20"/>
                <w:lang w:eastAsia="en-US"/>
              </w:rPr>
            </w:pPr>
            <w:r w:rsidRPr="00B42397">
              <w:rPr>
                <w:rFonts w:ascii="Arial Narrow" w:hAnsi="Arial Narrow" w:cs="Times New Roman"/>
                <w:sz w:val="20"/>
                <w:szCs w:val="20"/>
                <w:lang w:eastAsia="en-US"/>
              </w:rPr>
              <w:t>Cd vs Bd</w:t>
            </w:r>
          </w:p>
        </w:tc>
        <w:tc>
          <w:tcPr>
            <w:tcW w:w="1418" w:type="dxa"/>
            <w:tcMar>
              <w:left w:w="28" w:type="dxa"/>
              <w:right w:w="28" w:type="dxa"/>
            </w:tcMar>
            <w:vAlign w:val="center"/>
          </w:tcPr>
          <w:p w14:paraId="6D4AF7AB" w14:textId="77777777" w:rsidR="002271D7" w:rsidRPr="00B42397" w:rsidRDefault="002271D7" w:rsidP="008A3D72">
            <w:pPr>
              <w:jc w:val="center"/>
              <w:rPr>
                <w:rFonts w:ascii="Arial Narrow" w:hAnsi="Arial Narrow" w:cs="Times New Roman"/>
                <w:sz w:val="20"/>
                <w:szCs w:val="20"/>
                <w:lang w:eastAsia="en-US"/>
              </w:rPr>
            </w:pPr>
            <w:r w:rsidRPr="00B42397">
              <w:rPr>
                <w:rFonts w:ascii="Arial Narrow" w:hAnsi="Arial Narrow" w:cs="Times New Roman"/>
                <w:sz w:val="20"/>
                <w:szCs w:val="20"/>
                <w:lang w:eastAsia="en-US"/>
              </w:rPr>
              <w:t>37.2 months</w:t>
            </w:r>
          </w:p>
        </w:tc>
        <w:tc>
          <w:tcPr>
            <w:tcW w:w="1417" w:type="dxa"/>
            <w:tcMar>
              <w:left w:w="28" w:type="dxa"/>
              <w:right w:w="28" w:type="dxa"/>
            </w:tcMar>
            <w:vAlign w:val="center"/>
          </w:tcPr>
          <w:p w14:paraId="700C5148" w14:textId="77777777" w:rsidR="002271D7" w:rsidRPr="00B42397" w:rsidRDefault="002271D7" w:rsidP="008A3D72">
            <w:pPr>
              <w:jc w:val="center"/>
              <w:rPr>
                <w:rFonts w:ascii="Arial Narrow" w:hAnsi="Arial Narrow" w:cs="Times New Roman"/>
                <w:sz w:val="20"/>
                <w:szCs w:val="20"/>
                <w:lang w:eastAsia="en-US"/>
              </w:rPr>
            </w:pPr>
            <w:r w:rsidRPr="00B42397">
              <w:rPr>
                <w:rFonts w:ascii="Arial Narrow" w:hAnsi="Arial Narrow" w:cs="Times New Roman"/>
                <w:sz w:val="20"/>
                <w:szCs w:val="20"/>
                <w:lang w:eastAsia="en-US"/>
              </w:rPr>
              <w:t>189/464 (40.7%)</w:t>
            </w:r>
          </w:p>
        </w:tc>
        <w:tc>
          <w:tcPr>
            <w:tcW w:w="1432" w:type="dxa"/>
            <w:tcMar>
              <w:left w:w="28" w:type="dxa"/>
              <w:right w:w="28" w:type="dxa"/>
            </w:tcMar>
            <w:vAlign w:val="center"/>
          </w:tcPr>
          <w:p w14:paraId="2397223B" w14:textId="77777777" w:rsidR="002271D7" w:rsidRPr="00B42397" w:rsidRDefault="002271D7" w:rsidP="008A3D72">
            <w:pPr>
              <w:jc w:val="center"/>
              <w:rPr>
                <w:rFonts w:ascii="Arial Narrow" w:hAnsi="Arial Narrow" w:cs="Times New Roman"/>
                <w:sz w:val="20"/>
                <w:szCs w:val="20"/>
                <w:lang w:eastAsia="en-US"/>
              </w:rPr>
            </w:pPr>
            <w:r w:rsidRPr="00B42397">
              <w:rPr>
                <w:rFonts w:ascii="Arial Narrow" w:hAnsi="Arial Narrow" w:cs="Times New Roman"/>
                <w:sz w:val="20"/>
                <w:szCs w:val="20"/>
                <w:lang w:eastAsia="en-US"/>
              </w:rPr>
              <w:t>209/465 (44.9%)</w:t>
            </w:r>
          </w:p>
        </w:tc>
        <w:tc>
          <w:tcPr>
            <w:tcW w:w="1064" w:type="dxa"/>
            <w:tcMar>
              <w:left w:w="28" w:type="dxa"/>
              <w:right w:w="28" w:type="dxa"/>
            </w:tcMar>
            <w:vAlign w:val="center"/>
          </w:tcPr>
          <w:p w14:paraId="7808FAA3" w14:textId="77777777" w:rsidR="002271D7" w:rsidRPr="00B42397" w:rsidRDefault="002074D1" w:rsidP="008A3D72">
            <w:pPr>
              <w:jc w:val="center"/>
              <w:rPr>
                <w:rFonts w:ascii="Arial Narrow" w:hAnsi="Arial Narrow" w:cs="Times New Roman"/>
                <w:sz w:val="20"/>
                <w:szCs w:val="20"/>
                <w:lang w:eastAsia="en-US"/>
              </w:rPr>
            </w:pPr>
            <w:r w:rsidRPr="00B42397">
              <w:rPr>
                <w:rFonts w:ascii="Arial Narrow" w:hAnsi="Arial Narrow" w:cs="Times New Roman"/>
                <w:sz w:val="20"/>
                <w:szCs w:val="20"/>
                <w:lang w:eastAsia="en-US"/>
              </w:rPr>
              <w:t>4</w:t>
            </w:r>
            <w:r w:rsidR="002271D7" w:rsidRPr="00B42397">
              <w:rPr>
                <w:rFonts w:ascii="Arial Narrow" w:hAnsi="Arial Narrow" w:cs="Times New Roman"/>
                <w:sz w:val="20"/>
                <w:szCs w:val="20"/>
                <w:lang w:eastAsia="en-US"/>
              </w:rPr>
              <w:t>.2%</w:t>
            </w:r>
          </w:p>
        </w:tc>
        <w:tc>
          <w:tcPr>
            <w:tcW w:w="1280" w:type="dxa"/>
            <w:shd w:val="clear" w:color="auto" w:fill="auto"/>
            <w:tcMar>
              <w:left w:w="28" w:type="dxa"/>
              <w:right w:w="28" w:type="dxa"/>
            </w:tcMar>
            <w:vAlign w:val="center"/>
          </w:tcPr>
          <w:p w14:paraId="0B842AD1" w14:textId="77777777" w:rsidR="002271D7" w:rsidRPr="00B42397" w:rsidRDefault="002271D7" w:rsidP="008A3D72">
            <w:pPr>
              <w:jc w:val="center"/>
              <w:rPr>
                <w:rFonts w:ascii="Arial Narrow" w:hAnsi="Arial Narrow" w:cs="Times New Roman"/>
                <w:bCs/>
                <w:sz w:val="20"/>
                <w:szCs w:val="20"/>
                <w:lang w:eastAsia="en-US"/>
              </w:rPr>
            </w:pPr>
            <w:r w:rsidRPr="00B42397">
              <w:rPr>
                <w:rFonts w:ascii="Arial Narrow" w:hAnsi="Arial Narrow" w:cs="Times New Roman"/>
                <w:bCs/>
                <w:sz w:val="20"/>
                <w:szCs w:val="20"/>
                <w:lang w:eastAsia="en-US"/>
              </w:rPr>
              <w:t>0.79</w:t>
            </w:r>
          </w:p>
          <w:p w14:paraId="686B411B" w14:textId="77777777" w:rsidR="002074D1" w:rsidRPr="00B42397" w:rsidRDefault="002271D7" w:rsidP="008A3D72">
            <w:pPr>
              <w:jc w:val="center"/>
              <w:rPr>
                <w:rFonts w:ascii="Arial Narrow" w:hAnsi="Arial Narrow" w:cs="Times New Roman"/>
                <w:bCs/>
                <w:sz w:val="20"/>
                <w:szCs w:val="20"/>
                <w:lang w:eastAsia="en-US"/>
              </w:rPr>
            </w:pPr>
            <w:r w:rsidRPr="00B42397">
              <w:rPr>
                <w:rFonts w:ascii="Arial Narrow" w:hAnsi="Arial Narrow" w:cs="Times New Roman"/>
                <w:bCs/>
                <w:sz w:val="20"/>
                <w:szCs w:val="20"/>
                <w:lang w:eastAsia="en-US"/>
              </w:rPr>
              <w:t>(0.65, 0.96)</w:t>
            </w:r>
          </w:p>
        </w:tc>
      </w:tr>
      <w:tr w:rsidR="002271D7" w:rsidRPr="00B42397" w14:paraId="2CD7291C" w14:textId="77777777" w:rsidTr="008A3D72">
        <w:trPr>
          <w:trHeight w:val="20"/>
        </w:trPr>
        <w:tc>
          <w:tcPr>
            <w:tcW w:w="7737" w:type="dxa"/>
            <w:gridSpan w:val="5"/>
            <w:tcMar>
              <w:left w:w="28" w:type="dxa"/>
              <w:right w:w="28" w:type="dxa"/>
            </w:tcMar>
            <w:vAlign w:val="center"/>
          </w:tcPr>
          <w:p w14:paraId="1F84E8EE" w14:textId="77777777" w:rsidR="002271D7" w:rsidRPr="00B42397" w:rsidRDefault="002271D7" w:rsidP="008A3D72">
            <w:pPr>
              <w:jc w:val="right"/>
              <w:rPr>
                <w:rFonts w:ascii="Arial Narrow" w:hAnsi="Arial Narrow" w:cs="Times New Roman"/>
                <w:b/>
                <w:sz w:val="20"/>
                <w:szCs w:val="20"/>
                <w:lang w:eastAsia="en-US"/>
              </w:rPr>
            </w:pPr>
            <w:r w:rsidRPr="00B42397">
              <w:rPr>
                <w:rFonts w:ascii="Arial Narrow" w:hAnsi="Arial Narrow" w:cs="Times New Roman"/>
                <w:b/>
                <w:sz w:val="20"/>
                <w:szCs w:val="20"/>
                <w:lang w:eastAsia="en-US"/>
              </w:rPr>
              <w:t xml:space="preserve">Indirect comparison </w:t>
            </w:r>
            <w:proofErr w:type="spellStart"/>
            <w:r w:rsidR="001F5659" w:rsidRPr="00B42397">
              <w:rPr>
                <w:rFonts w:ascii="Arial Narrow" w:hAnsi="Arial Narrow" w:cs="Times New Roman"/>
                <w:b/>
                <w:sz w:val="20"/>
                <w:szCs w:val="20"/>
                <w:lang w:eastAsia="en-US"/>
              </w:rPr>
              <w:t>ELd</w:t>
            </w:r>
            <w:proofErr w:type="spellEnd"/>
            <w:r w:rsidRPr="00B42397">
              <w:rPr>
                <w:rFonts w:ascii="Arial Narrow" w:hAnsi="Arial Narrow" w:cs="Times New Roman"/>
                <w:b/>
                <w:sz w:val="20"/>
                <w:szCs w:val="20"/>
                <w:lang w:eastAsia="en-US"/>
              </w:rPr>
              <w:t xml:space="preserve"> vs. Cd</w:t>
            </w:r>
          </w:p>
        </w:tc>
        <w:tc>
          <w:tcPr>
            <w:tcW w:w="1280" w:type="dxa"/>
            <w:shd w:val="clear" w:color="auto" w:fill="auto"/>
            <w:tcMar>
              <w:left w:w="28" w:type="dxa"/>
              <w:right w:w="28" w:type="dxa"/>
            </w:tcMar>
          </w:tcPr>
          <w:p w14:paraId="48E8C7A7" w14:textId="77777777" w:rsidR="00961092" w:rsidRPr="00B42397" w:rsidRDefault="00961092" w:rsidP="00A900C0">
            <w:pPr>
              <w:jc w:val="center"/>
              <w:rPr>
                <w:rFonts w:ascii="Arial Narrow" w:hAnsi="Arial Narrow"/>
                <w:sz w:val="20"/>
                <w:szCs w:val="20"/>
              </w:rPr>
            </w:pPr>
            <w:r w:rsidRPr="00B42397">
              <w:rPr>
                <w:rFonts w:ascii="Arial Narrow" w:hAnsi="Arial Narrow"/>
                <w:sz w:val="20"/>
                <w:szCs w:val="20"/>
              </w:rPr>
              <w:t xml:space="preserve">0.975 </w:t>
            </w:r>
          </w:p>
          <w:p w14:paraId="25403FAA" w14:textId="77777777" w:rsidR="00961092" w:rsidRPr="00B42397" w:rsidRDefault="00961092" w:rsidP="00A900C0">
            <w:pPr>
              <w:jc w:val="center"/>
              <w:rPr>
                <w:rFonts w:ascii="Arial Narrow" w:hAnsi="Arial Narrow"/>
                <w:sz w:val="20"/>
                <w:szCs w:val="20"/>
              </w:rPr>
            </w:pPr>
            <w:r w:rsidRPr="00B42397">
              <w:rPr>
                <w:rFonts w:ascii="Arial Narrow" w:hAnsi="Arial Narrow"/>
                <w:sz w:val="20"/>
                <w:szCs w:val="20"/>
              </w:rPr>
              <w:t>(0.72, 1.32)</w:t>
            </w:r>
          </w:p>
        </w:tc>
      </w:tr>
    </w:tbl>
    <w:p w14:paraId="5550F488" w14:textId="77777777" w:rsidR="002074D1" w:rsidRPr="00B42397" w:rsidRDefault="002074D1" w:rsidP="002074D1">
      <w:pPr>
        <w:pStyle w:val="Tablenotes"/>
        <w:rPr>
          <w:rFonts w:ascii="Arial Narrow" w:hAnsi="Arial Narrow"/>
          <w:sz w:val="18"/>
          <w:szCs w:val="18"/>
        </w:rPr>
      </w:pPr>
      <w:r w:rsidRPr="00B42397">
        <w:rPr>
          <w:rFonts w:ascii="Arial Narrow" w:hAnsi="Arial Narrow"/>
          <w:sz w:val="18"/>
          <w:szCs w:val="18"/>
        </w:rPr>
        <w:t>Source: Table 2.6.3</w:t>
      </w:r>
      <w:r w:rsidR="008C5479" w:rsidRPr="00B42397">
        <w:rPr>
          <w:rFonts w:ascii="Arial Narrow" w:hAnsi="Arial Narrow"/>
          <w:sz w:val="18"/>
          <w:szCs w:val="18"/>
        </w:rPr>
        <w:t>,</w:t>
      </w:r>
      <w:r w:rsidRPr="00B42397">
        <w:rPr>
          <w:rFonts w:ascii="Arial Narrow" w:hAnsi="Arial Narrow"/>
          <w:sz w:val="18"/>
          <w:szCs w:val="18"/>
        </w:rPr>
        <w:t xml:space="preserve"> </w:t>
      </w:r>
      <w:r w:rsidR="008C5479" w:rsidRPr="00B42397">
        <w:rPr>
          <w:rFonts w:ascii="Arial Narrow" w:hAnsi="Arial Narrow"/>
          <w:sz w:val="18"/>
          <w:szCs w:val="18"/>
        </w:rPr>
        <w:t>Table 2.6.4, Table 2.6.1,</w:t>
      </w:r>
      <w:r w:rsidR="008C5479" w:rsidRPr="00B42397">
        <w:t xml:space="preserve"> </w:t>
      </w:r>
      <w:r w:rsidR="008C5479" w:rsidRPr="00B42397">
        <w:rPr>
          <w:rFonts w:ascii="Arial Narrow" w:hAnsi="Arial Narrow"/>
          <w:sz w:val="18"/>
          <w:szCs w:val="18"/>
        </w:rPr>
        <w:t xml:space="preserve">Table 2.6.2 </w:t>
      </w:r>
      <w:r w:rsidRPr="00B42397">
        <w:rPr>
          <w:rFonts w:ascii="Arial Narrow" w:hAnsi="Arial Narrow"/>
          <w:sz w:val="18"/>
          <w:szCs w:val="18"/>
        </w:rPr>
        <w:t>of the submission.</w:t>
      </w:r>
    </w:p>
    <w:p w14:paraId="1DC1EBB0" w14:textId="77777777" w:rsidR="002074D1" w:rsidRPr="00B42397" w:rsidRDefault="002074D1" w:rsidP="002074D1">
      <w:pPr>
        <w:pStyle w:val="Tablenotes"/>
        <w:rPr>
          <w:rFonts w:ascii="Arial Narrow" w:hAnsi="Arial Narrow"/>
          <w:sz w:val="18"/>
          <w:szCs w:val="18"/>
        </w:rPr>
      </w:pPr>
      <w:r w:rsidRPr="00B42397">
        <w:rPr>
          <w:rFonts w:ascii="Arial Narrow" w:hAnsi="Arial Narrow"/>
          <w:sz w:val="18"/>
          <w:szCs w:val="18"/>
        </w:rPr>
        <w:t>Bd</w:t>
      </w:r>
      <w:r w:rsidR="001F5659" w:rsidRPr="00B42397">
        <w:rPr>
          <w:rFonts w:ascii="Arial Narrow" w:hAnsi="Arial Narrow"/>
          <w:sz w:val="18"/>
          <w:szCs w:val="18"/>
        </w:rPr>
        <w:t xml:space="preserve"> </w:t>
      </w:r>
      <w:r w:rsidRPr="00B42397">
        <w:rPr>
          <w:rFonts w:ascii="Arial Narrow" w:hAnsi="Arial Narrow"/>
          <w:sz w:val="18"/>
          <w:szCs w:val="18"/>
        </w:rPr>
        <w:t xml:space="preserve">= bortezomib </w:t>
      </w:r>
      <w:r w:rsidR="007C1D4B" w:rsidRPr="00B42397">
        <w:rPr>
          <w:rFonts w:ascii="Arial Narrow" w:hAnsi="Arial Narrow"/>
          <w:sz w:val="18"/>
          <w:szCs w:val="18"/>
        </w:rPr>
        <w:t>+</w:t>
      </w:r>
      <w:r w:rsidRPr="00B42397">
        <w:rPr>
          <w:rFonts w:ascii="Arial Narrow" w:hAnsi="Arial Narrow"/>
          <w:sz w:val="18"/>
          <w:szCs w:val="18"/>
        </w:rPr>
        <w:t xml:space="preserve"> dexamethasone; Cd</w:t>
      </w:r>
      <w:r w:rsidR="001F5659" w:rsidRPr="00B42397">
        <w:rPr>
          <w:rFonts w:ascii="Arial Narrow" w:hAnsi="Arial Narrow"/>
          <w:sz w:val="18"/>
          <w:szCs w:val="18"/>
        </w:rPr>
        <w:t xml:space="preserve"> </w:t>
      </w:r>
      <w:r w:rsidRPr="00B42397">
        <w:rPr>
          <w:rFonts w:ascii="Arial Narrow" w:hAnsi="Arial Narrow"/>
          <w:sz w:val="18"/>
          <w:szCs w:val="18"/>
        </w:rPr>
        <w:t xml:space="preserve">= carfilzomib </w:t>
      </w:r>
      <w:r w:rsidR="007C1D4B" w:rsidRPr="00B42397">
        <w:rPr>
          <w:rFonts w:ascii="Arial Narrow" w:hAnsi="Arial Narrow"/>
          <w:sz w:val="18"/>
          <w:szCs w:val="18"/>
        </w:rPr>
        <w:t>+</w:t>
      </w:r>
      <w:r w:rsidRPr="00B42397">
        <w:rPr>
          <w:rFonts w:ascii="Arial Narrow" w:hAnsi="Arial Narrow"/>
          <w:sz w:val="18"/>
          <w:szCs w:val="18"/>
        </w:rPr>
        <w:t xml:space="preserve"> dexamethasone; CI</w:t>
      </w:r>
      <w:r w:rsidR="001F5659" w:rsidRPr="00B42397">
        <w:rPr>
          <w:rFonts w:ascii="Arial Narrow" w:hAnsi="Arial Narrow"/>
          <w:sz w:val="18"/>
          <w:szCs w:val="18"/>
        </w:rPr>
        <w:t xml:space="preserve"> </w:t>
      </w:r>
      <w:r w:rsidRPr="00B42397">
        <w:rPr>
          <w:rFonts w:ascii="Arial Narrow" w:hAnsi="Arial Narrow"/>
          <w:sz w:val="18"/>
          <w:szCs w:val="18"/>
        </w:rPr>
        <w:t xml:space="preserve">= confidence interval; </w:t>
      </w:r>
      <w:proofErr w:type="spellStart"/>
      <w:r w:rsidR="001F5659" w:rsidRPr="00B42397">
        <w:rPr>
          <w:rFonts w:ascii="Arial Narrow" w:hAnsi="Arial Narrow"/>
          <w:sz w:val="18"/>
          <w:szCs w:val="18"/>
        </w:rPr>
        <w:t>ELd</w:t>
      </w:r>
      <w:proofErr w:type="spellEnd"/>
      <w:r w:rsidR="001F5659" w:rsidRPr="00B42397">
        <w:rPr>
          <w:rFonts w:ascii="Arial Narrow" w:hAnsi="Arial Narrow"/>
          <w:sz w:val="18"/>
          <w:szCs w:val="18"/>
        </w:rPr>
        <w:t xml:space="preserve"> </w:t>
      </w:r>
      <w:r w:rsidRPr="00B42397">
        <w:rPr>
          <w:rFonts w:ascii="Arial Narrow" w:hAnsi="Arial Narrow"/>
          <w:sz w:val="18"/>
          <w:szCs w:val="18"/>
        </w:rPr>
        <w:t xml:space="preserve">= elotuzumab + lenalidomide </w:t>
      </w:r>
      <w:r w:rsidR="007C1D4B" w:rsidRPr="00B42397">
        <w:rPr>
          <w:rFonts w:ascii="Arial Narrow" w:hAnsi="Arial Narrow"/>
          <w:sz w:val="18"/>
          <w:szCs w:val="18"/>
        </w:rPr>
        <w:t>+</w:t>
      </w:r>
      <w:r w:rsidRPr="00B42397">
        <w:rPr>
          <w:rFonts w:ascii="Arial Narrow" w:hAnsi="Arial Narrow"/>
          <w:sz w:val="18"/>
          <w:szCs w:val="18"/>
        </w:rPr>
        <w:t xml:space="preserve"> dexamethasone; HR</w:t>
      </w:r>
      <w:r w:rsidR="001F5659" w:rsidRPr="00B42397">
        <w:rPr>
          <w:rFonts w:ascii="Arial Narrow" w:hAnsi="Arial Narrow"/>
          <w:sz w:val="18"/>
          <w:szCs w:val="18"/>
        </w:rPr>
        <w:t xml:space="preserve"> </w:t>
      </w:r>
      <w:r w:rsidRPr="00B42397">
        <w:rPr>
          <w:rFonts w:ascii="Arial Narrow" w:hAnsi="Arial Narrow"/>
          <w:sz w:val="18"/>
          <w:szCs w:val="18"/>
        </w:rPr>
        <w:t>= haza</w:t>
      </w:r>
      <w:r w:rsidR="001F5659" w:rsidRPr="00B42397">
        <w:rPr>
          <w:rFonts w:ascii="Arial Narrow" w:hAnsi="Arial Narrow"/>
          <w:sz w:val="18"/>
          <w:szCs w:val="18"/>
        </w:rPr>
        <w:t>rd</w:t>
      </w:r>
      <w:r w:rsidRPr="00B42397">
        <w:rPr>
          <w:rFonts w:ascii="Arial Narrow" w:hAnsi="Arial Narrow"/>
          <w:sz w:val="18"/>
          <w:szCs w:val="18"/>
        </w:rPr>
        <w:t xml:space="preserve"> ratio; </w:t>
      </w:r>
      <w:r w:rsidR="007C1D4B" w:rsidRPr="00B42397">
        <w:rPr>
          <w:rFonts w:ascii="Arial Narrow" w:hAnsi="Arial Narrow"/>
          <w:sz w:val="18"/>
          <w:szCs w:val="18"/>
        </w:rPr>
        <w:t>IRC</w:t>
      </w:r>
      <w:r w:rsidR="001F5659" w:rsidRPr="00B42397">
        <w:rPr>
          <w:rFonts w:ascii="Arial Narrow" w:hAnsi="Arial Narrow"/>
          <w:sz w:val="18"/>
          <w:szCs w:val="18"/>
        </w:rPr>
        <w:t xml:space="preserve"> </w:t>
      </w:r>
      <w:r w:rsidR="007C1D4B" w:rsidRPr="00B42397">
        <w:rPr>
          <w:rFonts w:ascii="Arial Narrow" w:hAnsi="Arial Narrow"/>
          <w:sz w:val="18"/>
          <w:szCs w:val="18"/>
        </w:rPr>
        <w:t xml:space="preserve">= independent review committee; </w:t>
      </w:r>
      <w:r w:rsidRPr="00B42397">
        <w:rPr>
          <w:rFonts w:ascii="Arial Narrow" w:hAnsi="Arial Narrow"/>
          <w:sz w:val="18"/>
          <w:szCs w:val="18"/>
        </w:rPr>
        <w:t>ITT</w:t>
      </w:r>
      <w:r w:rsidR="001F5659" w:rsidRPr="00B42397">
        <w:rPr>
          <w:rFonts w:ascii="Arial Narrow" w:hAnsi="Arial Narrow"/>
          <w:sz w:val="18"/>
          <w:szCs w:val="18"/>
        </w:rPr>
        <w:t xml:space="preserve"> </w:t>
      </w:r>
      <w:r w:rsidRPr="00B42397">
        <w:rPr>
          <w:rFonts w:ascii="Arial Narrow" w:hAnsi="Arial Narrow"/>
          <w:sz w:val="18"/>
          <w:szCs w:val="18"/>
        </w:rPr>
        <w:t>= intention to treat;</w:t>
      </w:r>
      <w:r w:rsidR="00C81524" w:rsidRPr="00B42397">
        <w:t xml:space="preserve"> </w:t>
      </w:r>
      <w:proofErr w:type="spellStart"/>
      <w:r w:rsidR="001F5659" w:rsidRPr="00B42397">
        <w:rPr>
          <w:rFonts w:ascii="Arial Narrow" w:hAnsi="Arial Narrow"/>
          <w:sz w:val="18"/>
          <w:szCs w:val="18"/>
        </w:rPr>
        <w:t>Ld</w:t>
      </w:r>
      <w:proofErr w:type="spellEnd"/>
      <w:r w:rsidR="001F5659" w:rsidRPr="00B42397">
        <w:rPr>
          <w:rFonts w:ascii="Arial Narrow" w:hAnsi="Arial Narrow"/>
          <w:sz w:val="18"/>
          <w:szCs w:val="18"/>
        </w:rPr>
        <w:t xml:space="preserve"> = lenalidomide + dexamethasone; </w:t>
      </w:r>
      <w:r w:rsidR="00C81524" w:rsidRPr="00B42397">
        <w:rPr>
          <w:rFonts w:ascii="Arial Narrow" w:hAnsi="Arial Narrow"/>
          <w:sz w:val="18"/>
          <w:szCs w:val="18"/>
        </w:rPr>
        <w:t>n = number of participants reporting data; N = total participants in group;</w:t>
      </w:r>
      <w:r w:rsidRPr="00B42397">
        <w:rPr>
          <w:rFonts w:ascii="Arial Narrow" w:hAnsi="Arial Narrow"/>
          <w:sz w:val="18"/>
          <w:szCs w:val="18"/>
        </w:rPr>
        <w:t xml:space="preserve"> ORCA =</w:t>
      </w:r>
      <w:r w:rsidRPr="00B42397">
        <w:t xml:space="preserve"> </w:t>
      </w:r>
      <w:r w:rsidRPr="00B42397">
        <w:rPr>
          <w:rFonts w:ascii="Arial Narrow" w:hAnsi="Arial Narrow"/>
          <w:sz w:val="18"/>
          <w:szCs w:val="18"/>
        </w:rPr>
        <w:t>Onyx Response Computational Assessment</w:t>
      </w:r>
      <w:r w:rsidR="001F5659" w:rsidRPr="00B42397">
        <w:rPr>
          <w:rFonts w:ascii="Arial Narrow" w:hAnsi="Arial Narrow"/>
          <w:sz w:val="18"/>
          <w:szCs w:val="18"/>
        </w:rPr>
        <w:t>;</w:t>
      </w:r>
      <w:r w:rsidRPr="00B42397">
        <w:rPr>
          <w:rFonts w:ascii="Arial Narrow" w:hAnsi="Arial Narrow"/>
          <w:sz w:val="18"/>
          <w:szCs w:val="18"/>
        </w:rPr>
        <w:t xml:space="preserve"> </w:t>
      </w:r>
      <w:r w:rsidR="007C1D4B" w:rsidRPr="00B42397">
        <w:rPr>
          <w:rFonts w:ascii="Arial Narrow" w:hAnsi="Arial Narrow"/>
          <w:sz w:val="18"/>
          <w:szCs w:val="18"/>
        </w:rPr>
        <w:t>OS</w:t>
      </w:r>
      <w:r w:rsidR="001F5659" w:rsidRPr="00B42397">
        <w:rPr>
          <w:rFonts w:ascii="Arial Narrow" w:hAnsi="Arial Narrow"/>
          <w:sz w:val="18"/>
          <w:szCs w:val="18"/>
        </w:rPr>
        <w:t xml:space="preserve"> </w:t>
      </w:r>
      <w:r w:rsidR="007C1D4B" w:rsidRPr="00B42397">
        <w:rPr>
          <w:rFonts w:ascii="Arial Narrow" w:hAnsi="Arial Narrow"/>
          <w:sz w:val="18"/>
          <w:szCs w:val="18"/>
        </w:rPr>
        <w:t xml:space="preserve">= overall survival; </w:t>
      </w:r>
      <w:r w:rsidRPr="00B42397">
        <w:rPr>
          <w:rFonts w:ascii="Arial Narrow" w:hAnsi="Arial Narrow"/>
          <w:sz w:val="18"/>
          <w:szCs w:val="18"/>
        </w:rPr>
        <w:t>PFS =</w:t>
      </w:r>
      <w:r w:rsidR="001F5659" w:rsidRPr="00B42397">
        <w:rPr>
          <w:rFonts w:ascii="Arial Narrow" w:hAnsi="Arial Narrow"/>
          <w:sz w:val="18"/>
          <w:szCs w:val="18"/>
        </w:rPr>
        <w:t xml:space="preserve"> </w:t>
      </w:r>
      <w:r w:rsidRPr="00B42397">
        <w:rPr>
          <w:rFonts w:ascii="Arial Narrow" w:hAnsi="Arial Narrow"/>
          <w:sz w:val="18"/>
          <w:szCs w:val="18"/>
        </w:rPr>
        <w:t>progression free survival</w:t>
      </w:r>
      <w:proofErr w:type="gramStart"/>
      <w:r w:rsidRPr="00B42397">
        <w:rPr>
          <w:rFonts w:ascii="Arial Narrow" w:hAnsi="Arial Narrow"/>
          <w:sz w:val="18"/>
          <w:szCs w:val="18"/>
        </w:rPr>
        <w:t>;</w:t>
      </w:r>
      <w:r w:rsidR="007C1D4B" w:rsidRPr="00B42397">
        <w:rPr>
          <w:rFonts w:ascii="Arial Narrow" w:hAnsi="Arial Narrow"/>
          <w:sz w:val="18"/>
          <w:szCs w:val="18"/>
        </w:rPr>
        <w:t>.</w:t>
      </w:r>
      <w:proofErr w:type="gramEnd"/>
    </w:p>
    <w:p w14:paraId="337B7017" w14:textId="77777777" w:rsidR="002074D1" w:rsidRPr="00B42397" w:rsidRDefault="002074D1" w:rsidP="002074D1">
      <w:pPr>
        <w:pStyle w:val="Tablenotes"/>
        <w:rPr>
          <w:rFonts w:ascii="Arial Narrow" w:hAnsi="Arial Narrow"/>
          <w:sz w:val="18"/>
          <w:szCs w:val="18"/>
        </w:rPr>
      </w:pPr>
      <w:r w:rsidRPr="00B42397">
        <w:rPr>
          <w:rFonts w:ascii="Arial Narrow" w:hAnsi="Arial Narrow"/>
          <w:sz w:val="18"/>
          <w:szCs w:val="18"/>
        </w:rPr>
        <w:t>a. IRC assessed; ITT definition of PFS</w:t>
      </w:r>
    </w:p>
    <w:p w14:paraId="21880231" w14:textId="77777777" w:rsidR="002074D1" w:rsidRPr="00B42397" w:rsidRDefault="002074D1" w:rsidP="002074D1">
      <w:pPr>
        <w:pStyle w:val="Tablenotes"/>
        <w:rPr>
          <w:rFonts w:ascii="Arial Narrow" w:hAnsi="Arial Narrow"/>
          <w:sz w:val="18"/>
          <w:szCs w:val="18"/>
        </w:rPr>
      </w:pPr>
      <w:r w:rsidRPr="00B42397">
        <w:rPr>
          <w:rFonts w:ascii="Arial Narrow" w:hAnsi="Arial Narrow"/>
          <w:sz w:val="18"/>
          <w:szCs w:val="18"/>
        </w:rPr>
        <w:t xml:space="preserve">b. ORCA generated; ITT population </w:t>
      </w:r>
    </w:p>
    <w:p w14:paraId="79C8D17D" w14:textId="77777777" w:rsidR="002074D1" w:rsidRPr="00B42397" w:rsidRDefault="002074D1" w:rsidP="008D1012">
      <w:pPr>
        <w:pStyle w:val="Tablenotes"/>
        <w:rPr>
          <w:rFonts w:ascii="Arial Narrow" w:hAnsi="Arial Narrow"/>
          <w:sz w:val="18"/>
          <w:szCs w:val="18"/>
        </w:rPr>
      </w:pPr>
      <w:proofErr w:type="gramStart"/>
      <w:r w:rsidRPr="00B42397">
        <w:rPr>
          <w:rFonts w:ascii="Arial Narrow" w:hAnsi="Arial Narrow"/>
          <w:sz w:val="18"/>
          <w:szCs w:val="18"/>
        </w:rPr>
        <w:t>c</w:t>
      </w:r>
      <w:proofErr w:type="gramEnd"/>
      <w:r w:rsidRPr="00B42397">
        <w:rPr>
          <w:rFonts w:ascii="Arial Narrow" w:hAnsi="Arial Narrow"/>
          <w:sz w:val="18"/>
          <w:szCs w:val="18"/>
        </w:rPr>
        <w:t xml:space="preserve">. </w:t>
      </w:r>
      <w:r w:rsidR="008C5479" w:rsidRPr="00B42397">
        <w:rPr>
          <w:rFonts w:ascii="Arial Narrow" w:hAnsi="Arial Narrow"/>
          <w:sz w:val="18"/>
          <w:szCs w:val="18"/>
        </w:rPr>
        <w:t>Performed using the Bucher ITC method</w:t>
      </w:r>
    </w:p>
    <w:p w14:paraId="28199163" w14:textId="77777777" w:rsidR="00EB284C" w:rsidRPr="00B42397" w:rsidRDefault="00606216" w:rsidP="00442C88">
      <w:pPr>
        <w:pStyle w:val="ListParagraph"/>
        <w:widowControl w:val="0"/>
        <w:numPr>
          <w:ilvl w:val="1"/>
          <w:numId w:val="1"/>
        </w:numPr>
        <w:spacing w:after="160"/>
      </w:pPr>
      <w:r w:rsidRPr="00B42397">
        <w:rPr>
          <w:iCs/>
        </w:rPr>
        <w:t>The ESC noted that a</w:t>
      </w:r>
      <w:r w:rsidR="00EB284C" w:rsidRPr="00B42397">
        <w:rPr>
          <w:iCs/>
        </w:rPr>
        <w:t xml:space="preserve"> non-inferiority margin was not nominated by the submission.</w:t>
      </w:r>
      <w:r w:rsidR="00EB284C" w:rsidRPr="00B42397">
        <w:t xml:space="preserve"> There w</w:t>
      </w:r>
      <w:r w:rsidR="00F31103" w:rsidRPr="00B42397">
        <w:t>ere</w:t>
      </w:r>
      <w:r w:rsidR="00EB284C" w:rsidRPr="00B42397">
        <w:t xml:space="preserve"> no statistically significant difference</w:t>
      </w:r>
      <w:r w:rsidR="009C54A2" w:rsidRPr="00B42397">
        <w:t>s</w:t>
      </w:r>
      <w:r w:rsidR="00EB284C" w:rsidRPr="00B42397">
        <w:t xml:space="preserve"> between </w:t>
      </w:r>
      <w:proofErr w:type="spellStart"/>
      <w:r w:rsidR="001F5659" w:rsidRPr="00B42397">
        <w:t>ELd</w:t>
      </w:r>
      <w:proofErr w:type="spellEnd"/>
      <w:r w:rsidR="00EB284C" w:rsidRPr="00B42397">
        <w:t xml:space="preserve"> and Cd in terms of PFS or OS. The results of the ITC demonstrated a numerical advantage in PFS in favour of Cd relative to </w:t>
      </w:r>
      <w:proofErr w:type="spellStart"/>
      <w:r w:rsidR="001F5659" w:rsidRPr="00B42397">
        <w:t>ELd</w:t>
      </w:r>
      <w:proofErr w:type="spellEnd"/>
      <w:r w:rsidR="00EB284C" w:rsidRPr="00B42397">
        <w:t xml:space="preserve"> (HR = 1.236; 95%</w:t>
      </w:r>
      <w:r w:rsidR="009C54A2" w:rsidRPr="00B42397">
        <w:t xml:space="preserve"> </w:t>
      </w:r>
      <w:r w:rsidR="00EB284C" w:rsidRPr="00B42397">
        <w:t xml:space="preserve">CI: 0.95, 1.61). Comparatively, a numerical advantage in OS was noted in favour of </w:t>
      </w:r>
      <w:proofErr w:type="spellStart"/>
      <w:r w:rsidR="001F5659" w:rsidRPr="00B42397">
        <w:t>ELd</w:t>
      </w:r>
      <w:proofErr w:type="spellEnd"/>
      <w:r w:rsidR="00EB284C" w:rsidRPr="00B42397">
        <w:t xml:space="preserve"> relative to Cd (HR = 0.975; 95%</w:t>
      </w:r>
      <w:r w:rsidR="009C54A2" w:rsidRPr="00B42397">
        <w:t xml:space="preserve"> </w:t>
      </w:r>
      <w:r w:rsidR="00EB284C" w:rsidRPr="00B42397">
        <w:t xml:space="preserve">CI: 0.72, 1.32). </w:t>
      </w:r>
    </w:p>
    <w:p w14:paraId="77EB48DF" w14:textId="77777777" w:rsidR="002074D1" w:rsidRPr="00B42397" w:rsidRDefault="002074D1" w:rsidP="002074D1">
      <w:pPr>
        <w:pStyle w:val="ListParagraph"/>
        <w:widowControl w:val="0"/>
        <w:numPr>
          <w:ilvl w:val="1"/>
          <w:numId w:val="1"/>
        </w:numPr>
        <w:spacing w:after="160"/>
      </w:pPr>
      <w:r w:rsidRPr="00B42397">
        <w:t xml:space="preserve">The </w:t>
      </w:r>
      <w:r w:rsidR="008B075D" w:rsidRPr="00B42397">
        <w:t xml:space="preserve">submission presented an overlay of the </w:t>
      </w:r>
      <w:r w:rsidR="00807FCB" w:rsidRPr="00B42397">
        <w:t>Kaplan-Meier plots for PFS and OS (Figure</w:t>
      </w:r>
      <w:r w:rsidR="00A642C9" w:rsidRPr="00B42397">
        <w:t> </w:t>
      </w:r>
      <w:r w:rsidR="00B311D6" w:rsidRPr="00B42397">
        <w:t>4</w:t>
      </w:r>
      <w:r w:rsidR="00807FCB" w:rsidRPr="00B42397">
        <w:t xml:space="preserve">) </w:t>
      </w:r>
      <w:r w:rsidR="008A3D72" w:rsidRPr="00B42397">
        <w:t>from the ELOQUENT-2 and ENDEAVOR trials to demonstrate that</w:t>
      </w:r>
      <w:r w:rsidR="007D2597" w:rsidRPr="00B42397">
        <w:t xml:space="preserve"> </w:t>
      </w:r>
      <w:r w:rsidR="00807FCB" w:rsidRPr="00B42397">
        <w:t xml:space="preserve">there </w:t>
      </w:r>
      <w:r w:rsidRPr="00B42397">
        <w:t>w</w:t>
      </w:r>
      <w:r w:rsidR="008A3D72" w:rsidRPr="00B42397">
        <w:t>ere</w:t>
      </w:r>
      <w:r w:rsidRPr="00B42397">
        <w:t xml:space="preserve"> no significan</w:t>
      </w:r>
      <w:r w:rsidR="00807FCB" w:rsidRPr="00B42397">
        <w:t>t</w:t>
      </w:r>
      <w:r w:rsidR="00866634" w:rsidRPr="00B42397">
        <w:t xml:space="preserve"> difference</w:t>
      </w:r>
      <w:r w:rsidR="008A3D72" w:rsidRPr="00B42397">
        <w:t>s</w:t>
      </w:r>
      <w:r w:rsidR="00807FCB" w:rsidRPr="00B42397">
        <w:t xml:space="preserve"> </w:t>
      </w:r>
      <w:r w:rsidRPr="00B42397">
        <w:t xml:space="preserve">between </w:t>
      </w:r>
      <w:proofErr w:type="spellStart"/>
      <w:r w:rsidR="001F5659" w:rsidRPr="00B42397">
        <w:t>ELd</w:t>
      </w:r>
      <w:proofErr w:type="spellEnd"/>
      <w:r w:rsidRPr="00B42397">
        <w:t xml:space="preserve"> and Cd. </w:t>
      </w:r>
      <w:r w:rsidR="0090166A" w:rsidRPr="00B42397">
        <w:t>The PBAC considered that due to the differences in between the trials, the overlay of the Kaplan-Meier curves for PFS and OS were not informative.</w:t>
      </w:r>
    </w:p>
    <w:p w14:paraId="18577EE9" w14:textId="77777777" w:rsidR="008B075D" w:rsidRPr="00B42397" w:rsidRDefault="008B075D" w:rsidP="008B075D">
      <w:pPr>
        <w:keepNext/>
        <w:rPr>
          <w:rFonts w:ascii="Arial Narrow" w:hAnsi="Arial Narrow"/>
          <w:b/>
          <w:bCs/>
          <w:sz w:val="20"/>
          <w:szCs w:val="20"/>
        </w:rPr>
      </w:pPr>
      <w:r w:rsidRPr="00B42397">
        <w:rPr>
          <w:rFonts w:ascii="Arial Narrow" w:hAnsi="Arial Narrow"/>
          <w:b/>
          <w:bCs/>
          <w:sz w:val="20"/>
          <w:szCs w:val="20"/>
        </w:rPr>
        <w:lastRenderedPageBreak/>
        <w:t>Figure</w:t>
      </w:r>
      <w:r w:rsidR="00B311D6" w:rsidRPr="00B42397">
        <w:rPr>
          <w:rFonts w:ascii="Arial Narrow" w:hAnsi="Arial Narrow"/>
          <w:b/>
          <w:bCs/>
          <w:sz w:val="20"/>
          <w:szCs w:val="20"/>
        </w:rPr>
        <w:t xml:space="preserve"> 4</w:t>
      </w:r>
      <w:r w:rsidRPr="00B42397">
        <w:rPr>
          <w:rFonts w:ascii="Arial Narrow" w:hAnsi="Arial Narrow"/>
          <w:b/>
          <w:bCs/>
          <w:sz w:val="20"/>
          <w:szCs w:val="20"/>
        </w:rPr>
        <w:t>: Overlay of K</w:t>
      </w:r>
      <w:r w:rsidR="0059566A" w:rsidRPr="00B42397">
        <w:rPr>
          <w:rFonts w:ascii="Arial Narrow" w:hAnsi="Arial Narrow"/>
          <w:b/>
          <w:bCs/>
          <w:sz w:val="20"/>
          <w:szCs w:val="20"/>
        </w:rPr>
        <w:t>aplan-</w:t>
      </w:r>
      <w:r w:rsidRPr="00B42397">
        <w:rPr>
          <w:rFonts w:ascii="Arial Narrow" w:hAnsi="Arial Narrow"/>
          <w:b/>
          <w:bCs/>
          <w:sz w:val="20"/>
          <w:szCs w:val="20"/>
        </w:rPr>
        <w:t>M</w:t>
      </w:r>
      <w:r w:rsidR="0059566A" w:rsidRPr="00B42397">
        <w:rPr>
          <w:rFonts w:ascii="Arial Narrow" w:hAnsi="Arial Narrow"/>
          <w:b/>
          <w:bCs/>
          <w:sz w:val="20"/>
          <w:szCs w:val="20"/>
        </w:rPr>
        <w:t>eier</w:t>
      </w:r>
      <w:r w:rsidRPr="00B42397">
        <w:rPr>
          <w:rFonts w:ascii="Arial Narrow" w:hAnsi="Arial Narrow"/>
          <w:b/>
          <w:bCs/>
          <w:sz w:val="20"/>
          <w:szCs w:val="20"/>
        </w:rPr>
        <w:t xml:space="preserve"> </w:t>
      </w:r>
      <w:proofErr w:type="spellStart"/>
      <w:r w:rsidRPr="00B42397">
        <w:rPr>
          <w:rFonts w:ascii="Arial Narrow" w:hAnsi="Arial Narrow"/>
          <w:b/>
          <w:bCs/>
          <w:sz w:val="20"/>
          <w:szCs w:val="20"/>
        </w:rPr>
        <w:t>curves</w:t>
      </w:r>
      <w:r w:rsidRPr="00B42397">
        <w:rPr>
          <w:rFonts w:ascii="Arial Narrow" w:hAnsi="Arial Narrow"/>
          <w:b/>
          <w:bCs/>
          <w:sz w:val="20"/>
          <w:szCs w:val="20"/>
          <w:vertAlign w:val="superscript"/>
        </w:rPr>
        <w:t>a</w:t>
      </w:r>
      <w:proofErr w:type="spellEnd"/>
      <w:r w:rsidRPr="00B42397">
        <w:rPr>
          <w:rFonts w:ascii="Arial Narrow" w:hAnsi="Arial Narrow"/>
          <w:b/>
          <w:bCs/>
          <w:sz w:val="20"/>
          <w:szCs w:val="20"/>
        </w:rPr>
        <w:t xml:space="preserve"> for</w:t>
      </w:r>
      <w:r w:rsidR="009C54A2" w:rsidRPr="00B42397">
        <w:rPr>
          <w:rFonts w:ascii="Arial Narrow" w:hAnsi="Arial Narrow"/>
          <w:b/>
          <w:bCs/>
          <w:sz w:val="20"/>
          <w:szCs w:val="20"/>
        </w:rPr>
        <w:t xml:space="preserve"> (A)</w:t>
      </w:r>
      <w:r w:rsidRPr="00B42397">
        <w:rPr>
          <w:rFonts w:ascii="Arial Narrow" w:hAnsi="Arial Narrow"/>
          <w:b/>
          <w:bCs/>
          <w:sz w:val="20"/>
          <w:szCs w:val="20"/>
        </w:rPr>
        <w:t xml:space="preserve"> PFS and </w:t>
      </w:r>
      <w:r w:rsidR="009C54A2" w:rsidRPr="00B42397">
        <w:rPr>
          <w:rFonts w:ascii="Arial Narrow" w:hAnsi="Arial Narrow"/>
          <w:b/>
          <w:bCs/>
          <w:sz w:val="20"/>
          <w:szCs w:val="20"/>
        </w:rPr>
        <w:t xml:space="preserve">(B) </w:t>
      </w:r>
      <w:r w:rsidRPr="00B42397">
        <w:rPr>
          <w:rFonts w:ascii="Arial Narrow" w:hAnsi="Arial Narrow"/>
          <w:b/>
          <w:bCs/>
          <w:sz w:val="20"/>
          <w:szCs w:val="20"/>
        </w:rPr>
        <w:t>OS</w:t>
      </w:r>
      <w:r w:rsidR="009C54A2" w:rsidRPr="00B42397">
        <w:rPr>
          <w:rFonts w:ascii="Arial Narrow" w:hAnsi="Arial Narrow"/>
          <w:b/>
          <w:bCs/>
          <w:sz w:val="20"/>
          <w:szCs w:val="20"/>
        </w:rPr>
        <w:t xml:space="preserve"> </w:t>
      </w:r>
      <w:r w:rsidRPr="00B42397">
        <w:rPr>
          <w:rFonts w:ascii="Arial Narrow" w:hAnsi="Arial Narrow"/>
          <w:b/>
          <w:bCs/>
          <w:sz w:val="20"/>
          <w:szCs w:val="20"/>
        </w:rPr>
        <w:t xml:space="preserve">from </w:t>
      </w:r>
      <w:r w:rsidR="009C54A2" w:rsidRPr="00B42397">
        <w:rPr>
          <w:rFonts w:ascii="Arial Narrow" w:hAnsi="Arial Narrow"/>
          <w:b/>
          <w:bCs/>
          <w:sz w:val="20"/>
          <w:szCs w:val="20"/>
        </w:rPr>
        <w:t xml:space="preserve">the </w:t>
      </w:r>
      <w:r w:rsidRPr="00B42397">
        <w:rPr>
          <w:rFonts w:ascii="Arial Narrow" w:hAnsi="Arial Narrow"/>
          <w:b/>
          <w:bCs/>
          <w:sz w:val="20"/>
          <w:szCs w:val="20"/>
        </w:rPr>
        <w:t>ELOQUENT-2</w:t>
      </w:r>
      <w:r w:rsidR="00CC5F40" w:rsidRPr="00B42397">
        <w:rPr>
          <w:rFonts w:ascii="Arial Narrow" w:hAnsi="Arial Narrow"/>
          <w:b/>
          <w:bCs/>
          <w:sz w:val="20"/>
          <w:szCs w:val="20"/>
          <w:vertAlign w:val="superscript"/>
        </w:rPr>
        <w:t>b</w:t>
      </w:r>
      <w:r w:rsidRPr="00B42397">
        <w:rPr>
          <w:rFonts w:ascii="Arial Narrow" w:hAnsi="Arial Narrow"/>
          <w:b/>
          <w:bCs/>
          <w:sz w:val="20"/>
          <w:szCs w:val="20"/>
        </w:rPr>
        <w:t xml:space="preserve"> and </w:t>
      </w:r>
      <w:proofErr w:type="spellStart"/>
      <w:r w:rsidRPr="00B42397">
        <w:rPr>
          <w:rFonts w:ascii="Arial Narrow" w:hAnsi="Arial Narrow"/>
          <w:b/>
          <w:bCs/>
          <w:sz w:val="20"/>
          <w:szCs w:val="20"/>
        </w:rPr>
        <w:t>ENDEAVOR</w:t>
      </w:r>
      <w:r w:rsidR="00CC5F40" w:rsidRPr="00B42397">
        <w:rPr>
          <w:rFonts w:ascii="Arial Narrow" w:hAnsi="Arial Narrow"/>
          <w:b/>
          <w:bCs/>
          <w:sz w:val="20"/>
          <w:szCs w:val="20"/>
          <w:vertAlign w:val="superscript"/>
        </w:rPr>
        <w:t>c</w:t>
      </w:r>
      <w:proofErr w:type="spellEnd"/>
      <w:r w:rsidR="009C54A2" w:rsidRPr="00B42397">
        <w:rPr>
          <w:rFonts w:ascii="Arial Narrow" w:hAnsi="Arial Narrow"/>
          <w:b/>
          <w:bCs/>
          <w:sz w:val="20"/>
          <w:szCs w:val="20"/>
        </w:rPr>
        <w:t xml:space="preserve"> trials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25"/>
      </w:tblGrid>
      <w:tr w:rsidR="008B075D" w:rsidRPr="00B42397" w14:paraId="27722CE0" w14:textId="77777777" w:rsidTr="001F619B">
        <w:trPr>
          <w:tblHeader/>
        </w:trPr>
        <w:tc>
          <w:tcPr>
            <w:tcW w:w="4497" w:type="dxa"/>
          </w:tcPr>
          <w:p w14:paraId="6FAC79B2" w14:textId="77777777" w:rsidR="008B075D" w:rsidRPr="00B42397" w:rsidRDefault="002E43F0" w:rsidP="004E7AE0">
            <w:pPr>
              <w:pStyle w:val="TableFigureFooter"/>
              <w:keepNext/>
              <w:keepLines/>
              <w:spacing w:after="0"/>
              <w:rPr>
                <w:b/>
                <w:sz w:val="20"/>
                <w:szCs w:val="20"/>
              </w:rPr>
            </w:pPr>
            <w:r w:rsidRPr="00B42397">
              <w:rPr>
                <w:b/>
                <w:sz w:val="20"/>
                <w:szCs w:val="20"/>
              </w:rPr>
              <w:t xml:space="preserve">A: </w:t>
            </w:r>
            <w:r w:rsidR="008B075D" w:rsidRPr="00B42397">
              <w:rPr>
                <w:b/>
                <w:sz w:val="20"/>
                <w:szCs w:val="20"/>
              </w:rPr>
              <w:t>PFS</w:t>
            </w:r>
          </w:p>
        </w:tc>
        <w:tc>
          <w:tcPr>
            <w:tcW w:w="4520" w:type="dxa"/>
          </w:tcPr>
          <w:p w14:paraId="46C5A5B0" w14:textId="77777777" w:rsidR="008B075D" w:rsidRPr="00B42397" w:rsidRDefault="002E43F0" w:rsidP="004E7AE0">
            <w:pPr>
              <w:pStyle w:val="TableFigureFooter"/>
              <w:keepNext/>
              <w:keepLines/>
              <w:spacing w:after="0"/>
              <w:rPr>
                <w:b/>
                <w:sz w:val="20"/>
                <w:szCs w:val="20"/>
              </w:rPr>
            </w:pPr>
            <w:r w:rsidRPr="00B42397">
              <w:rPr>
                <w:b/>
                <w:sz w:val="20"/>
                <w:szCs w:val="20"/>
              </w:rPr>
              <w:t xml:space="preserve">B: </w:t>
            </w:r>
            <w:r w:rsidR="008B075D" w:rsidRPr="00B42397">
              <w:rPr>
                <w:b/>
                <w:sz w:val="20"/>
                <w:szCs w:val="20"/>
              </w:rPr>
              <w:t>OS</w:t>
            </w:r>
          </w:p>
        </w:tc>
      </w:tr>
      <w:tr w:rsidR="008B075D" w:rsidRPr="00B42397" w14:paraId="3F314F2A" w14:textId="77777777" w:rsidTr="004E7AE0">
        <w:tc>
          <w:tcPr>
            <w:tcW w:w="4497" w:type="dxa"/>
          </w:tcPr>
          <w:p w14:paraId="62306258" w14:textId="77777777" w:rsidR="008B075D" w:rsidRPr="00B42397" w:rsidRDefault="008B075D" w:rsidP="004E7AE0">
            <w:pPr>
              <w:pStyle w:val="TableFigureFooter"/>
              <w:keepNext/>
              <w:keepLines/>
            </w:pPr>
            <w:r w:rsidRPr="00B42397">
              <w:rPr>
                <w:noProof/>
              </w:rPr>
              <w:drawing>
                <wp:inline distT="0" distB="0" distL="0" distR="0" wp14:anchorId="28910B79" wp14:editId="416CECDF">
                  <wp:extent cx="2880433" cy="1549730"/>
                  <wp:effectExtent l="0" t="0" r="0" b="0"/>
                  <wp:docPr id="32" name="Picture 32" title="Figure 4: Overlay of Kaplan-Meier curvesa for (A) PFS and (B) OS from the ELOQUENT-2b and ENDEAVORc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0959" cy="1560773"/>
                          </a:xfrm>
                          <a:prstGeom prst="rect">
                            <a:avLst/>
                          </a:prstGeom>
                          <a:noFill/>
                          <a:ln>
                            <a:noFill/>
                          </a:ln>
                        </pic:spPr>
                      </pic:pic>
                    </a:graphicData>
                  </a:graphic>
                </wp:inline>
              </w:drawing>
            </w:r>
          </w:p>
        </w:tc>
        <w:tc>
          <w:tcPr>
            <w:tcW w:w="4520" w:type="dxa"/>
          </w:tcPr>
          <w:p w14:paraId="7539A30E" w14:textId="77777777" w:rsidR="008B075D" w:rsidRPr="00B42397" w:rsidRDefault="008B075D" w:rsidP="004E7AE0">
            <w:pPr>
              <w:pStyle w:val="TableFigureFooter"/>
              <w:keepNext/>
              <w:keepLines/>
            </w:pPr>
            <w:r w:rsidRPr="00B42397">
              <w:rPr>
                <w:noProof/>
              </w:rPr>
              <w:drawing>
                <wp:inline distT="0" distB="0" distL="0" distR="0" wp14:anchorId="32395B16" wp14:editId="73A2A2A2">
                  <wp:extent cx="2891276" cy="1555667"/>
                  <wp:effectExtent l="0" t="0" r="4445" b="6985"/>
                  <wp:docPr id="33" name="Picture 33" title="Figure 4: Overlay of Kaplan-Meier curvesa for (A) PFS and (B) OS from the ELOQUENT-2b and ENDEAVORc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8790" cy="1581232"/>
                          </a:xfrm>
                          <a:prstGeom prst="rect">
                            <a:avLst/>
                          </a:prstGeom>
                          <a:noFill/>
                          <a:ln>
                            <a:noFill/>
                          </a:ln>
                        </pic:spPr>
                      </pic:pic>
                    </a:graphicData>
                  </a:graphic>
                </wp:inline>
              </w:drawing>
            </w:r>
          </w:p>
        </w:tc>
      </w:tr>
    </w:tbl>
    <w:p w14:paraId="61B6DA7E" w14:textId="77777777" w:rsidR="008B075D" w:rsidRPr="00B42397" w:rsidRDefault="008B075D" w:rsidP="008B075D">
      <w:pPr>
        <w:pStyle w:val="Tablenotes"/>
        <w:rPr>
          <w:rFonts w:ascii="Arial Narrow" w:hAnsi="Arial Narrow"/>
          <w:sz w:val="18"/>
          <w:szCs w:val="18"/>
        </w:rPr>
      </w:pPr>
      <w:r w:rsidRPr="00B42397">
        <w:rPr>
          <w:rFonts w:ascii="Arial Narrow" w:hAnsi="Arial Narrow"/>
          <w:sz w:val="18"/>
          <w:szCs w:val="18"/>
        </w:rPr>
        <w:t>Source: Figure 2.6.5, Figure 2.6.4 of the submission.</w:t>
      </w:r>
    </w:p>
    <w:p w14:paraId="3EE9049E" w14:textId="77777777" w:rsidR="008B075D" w:rsidRPr="00B42397" w:rsidRDefault="008B075D" w:rsidP="008B075D">
      <w:pPr>
        <w:pStyle w:val="Tablenotes"/>
        <w:rPr>
          <w:rFonts w:ascii="Arial Narrow" w:hAnsi="Arial Narrow"/>
          <w:sz w:val="18"/>
          <w:szCs w:val="18"/>
        </w:rPr>
      </w:pPr>
      <w:r w:rsidRPr="00B42397">
        <w:rPr>
          <w:rFonts w:ascii="Arial Narrow" w:hAnsi="Arial Narrow"/>
          <w:sz w:val="18"/>
          <w:szCs w:val="18"/>
        </w:rPr>
        <w:t>Bd</w:t>
      </w:r>
      <w:r w:rsidR="00CC3E50" w:rsidRPr="00B42397">
        <w:rPr>
          <w:rFonts w:ascii="Arial Narrow" w:hAnsi="Arial Narrow"/>
          <w:sz w:val="18"/>
          <w:szCs w:val="18"/>
        </w:rPr>
        <w:t xml:space="preserve"> </w:t>
      </w:r>
      <w:r w:rsidRPr="00B42397">
        <w:rPr>
          <w:rFonts w:ascii="Arial Narrow" w:hAnsi="Arial Narrow"/>
          <w:sz w:val="18"/>
          <w:szCs w:val="18"/>
        </w:rPr>
        <w:t xml:space="preserve">= bortezomib </w:t>
      </w:r>
      <w:r w:rsidR="007C1D4B" w:rsidRPr="00B42397">
        <w:rPr>
          <w:rFonts w:ascii="Arial Narrow" w:hAnsi="Arial Narrow"/>
          <w:sz w:val="18"/>
          <w:szCs w:val="18"/>
        </w:rPr>
        <w:t>+</w:t>
      </w:r>
      <w:r w:rsidRPr="00B42397">
        <w:rPr>
          <w:rFonts w:ascii="Arial Narrow" w:hAnsi="Arial Narrow"/>
          <w:sz w:val="18"/>
          <w:szCs w:val="18"/>
        </w:rPr>
        <w:t xml:space="preserve"> dexamethasone; Cd</w:t>
      </w:r>
      <w:r w:rsidR="00CC3E50" w:rsidRPr="00B42397">
        <w:rPr>
          <w:rFonts w:ascii="Arial Narrow" w:hAnsi="Arial Narrow"/>
          <w:sz w:val="18"/>
          <w:szCs w:val="18"/>
        </w:rPr>
        <w:t xml:space="preserve"> </w:t>
      </w:r>
      <w:r w:rsidRPr="00B42397">
        <w:rPr>
          <w:rFonts w:ascii="Arial Narrow" w:hAnsi="Arial Narrow"/>
          <w:sz w:val="18"/>
          <w:szCs w:val="18"/>
        </w:rPr>
        <w:t xml:space="preserve">= carfilzomib </w:t>
      </w:r>
      <w:r w:rsidR="007C1D4B" w:rsidRPr="00B42397">
        <w:rPr>
          <w:rFonts w:ascii="Arial Narrow" w:hAnsi="Arial Narrow"/>
          <w:sz w:val="18"/>
          <w:szCs w:val="18"/>
        </w:rPr>
        <w:t>+</w:t>
      </w:r>
      <w:r w:rsidRPr="00B42397">
        <w:rPr>
          <w:rFonts w:ascii="Arial Narrow" w:hAnsi="Arial Narrow"/>
          <w:sz w:val="18"/>
          <w:szCs w:val="18"/>
        </w:rPr>
        <w:t xml:space="preserve"> dexamethasone; </w:t>
      </w:r>
      <w:proofErr w:type="spellStart"/>
      <w:r w:rsidR="001F5659" w:rsidRPr="00B42397">
        <w:rPr>
          <w:rFonts w:ascii="Arial Narrow" w:hAnsi="Arial Narrow"/>
          <w:sz w:val="18"/>
          <w:szCs w:val="18"/>
        </w:rPr>
        <w:t>ELd</w:t>
      </w:r>
      <w:proofErr w:type="spellEnd"/>
      <w:r w:rsidR="00CC3E50" w:rsidRPr="00B42397">
        <w:rPr>
          <w:rFonts w:ascii="Arial Narrow" w:hAnsi="Arial Narrow"/>
          <w:sz w:val="18"/>
          <w:szCs w:val="18"/>
        </w:rPr>
        <w:t xml:space="preserve"> </w:t>
      </w:r>
      <w:r w:rsidRPr="00B42397">
        <w:rPr>
          <w:rFonts w:ascii="Arial Narrow" w:hAnsi="Arial Narrow"/>
          <w:sz w:val="18"/>
          <w:szCs w:val="18"/>
        </w:rPr>
        <w:t xml:space="preserve">= elotuzumab + lenalidomide </w:t>
      </w:r>
      <w:r w:rsidR="007C1D4B" w:rsidRPr="00B42397">
        <w:rPr>
          <w:rFonts w:ascii="Arial Narrow" w:hAnsi="Arial Narrow"/>
          <w:sz w:val="18"/>
          <w:szCs w:val="18"/>
        </w:rPr>
        <w:t>+</w:t>
      </w:r>
      <w:r w:rsidRPr="00B42397">
        <w:rPr>
          <w:rFonts w:ascii="Arial Narrow" w:hAnsi="Arial Narrow"/>
          <w:sz w:val="18"/>
          <w:szCs w:val="18"/>
        </w:rPr>
        <w:t xml:space="preserve"> dexamethasone; </w:t>
      </w:r>
      <w:proofErr w:type="spellStart"/>
      <w:proofErr w:type="gramStart"/>
      <w:r w:rsidR="00833A74" w:rsidRPr="00B42397">
        <w:rPr>
          <w:rFonts w:ascii="Arial Narrow" w:hAnsi="Arial Narrow"/>
          <w:sz w:val="18"/>
          <w:szCs w:val="18"/>
        </w:rPr>
        <w:t>Ld</w:t>
      </w:r>
      <w:proofErr w:type="spellEnd"/>
      <w:proofErr w:type="gramEnd"/>
      <w:r w:rsidR="00833A74" w:rsidRPr="00B42397">
        <w:rPr>
          <w:rFonts w:ascii="Arial Narrow" w:hAnsi="Arial Narrow"/>
          <w:sz w:val="18"/>
          <w:szCs w:val="18"/>
        </w:rPr>
        <w:t xml:space="preserve"> = lenalidomide + dexamethasone; </w:t>
      </w:r>
      <w:r w:rsidRPr="00B42397">
        <w:rPr>
          <w:rFonts w:ascii="Arial Narrow" w:hAnsi="Arial Narrow"/>
          <w:sz w:val="18"/>
          <w:szCs w:val="18"/>
        </w:rPr>
        <w:t>PFS =</w:t>
      </w:r>
      <w:r w:rsidR="00CC3E50" w:rsidRPr="00B42397">
        <w:rPr>
          <w:rFonts w:ascii="Arial Narrow" w:hAnsi="Arial Narrow"/>
          <w:sz w:val="18"/>
          <w:szCs w:val="18"/>
        </w:rPr>
        <w:t xml:space="preserve"> </w:t>
      </w:r>
      <w:r w:rsidRPr="00B42397">
        <w:rPr>
          <w:rFonts w:ascii="Arial Narrow" w:hAnsi="Arial Narrow"/>
          <w:sz w:val="18"/>
          <w:szCs w:val="18"/>
        </w:rPr>
        <w:t xml:space="preserve">progression free survival. </w:t>
      </w:r>
    </w:p>
    <w:p w14:paraId="0C62EA02" w14:textId="77777777" w:rsidR="008B075D" w:rsidRPr="00B42397" w:rsidRDefault="008B075D" w:rsidP="008B075D">
      <w:pPr>
        <w:pStyle w:val="Tablenotes"/>
        <w:rPr>
          <w:rFonts w:ascii="Arial Narrow" w:hAnsi="Arial Narrow"/>
          <w:sz w:val="18"/>
          <w:szCs w:val="18"/>
        </w:rPr>
      </w:pPr>
      <w:proofErr w:type="gramStart"/>
      <w:r w:rsidRPr="00B42397">
        <w:rPr>
          <w:rFonts w:ascii="Arial Narrow" w:hAnsi="Arial Narrow"/>
          <w:sz w:val="18"/>
          <w:szCs w:val="18"/>
          <w:vertAlign w:val="superscript"/>
        </w:rPr>
        <w:t>a</w:t>
      </w:r>
      <w:proofErr w:type="gramEnd"/>
      <w:r w:rsidR="00123B88" w:rsidRPr="00B42397">
        <w:rPr>
          <w:rFonts w:ascii="Arial Narrow" w:hAnsi="Arial Narrow"/>
          <w:sz w:val="18"/>
          <w:szCs w:val="18"/>
        </w:rPr>
        <w:t xml:space="preserve"> </w:t>
      </w:r>
      <w:r w:rsidRPr="00B42397">
        <w:rPr>
          <w:rFonts w:ascii="Arial Narrow" w:hAnsi="Arial Narrow"/>
          <w:sz w:val="18"/>
          <w:szCs w:val="18"/>
        </w:rPr>
        <w:t>Data from the published Kaplan-Meier curves were extracted using digitising software and replotted</w:t>
      </w:r>
    </w:p>
    <w:p w14:paraId="49B80294" w14:textId="77777777" w:rsidR="00CC5F40" w:rsidRPr="00B42397" w:rsidRDefault="00CC5F40" w:rsidP="008B075D">
      <w:pPr>
        <w:pStyle w:val="Tablenotes"/>
        <w:rPr>
          <w:rFonts w:ascii="Arial Narrow" w:hAnsi="Arial Narrow"/>
          <w:sz w:val="18"/>
          <w:szCs w:val="18"/>
        </w:rPr>
      </w:pPr>
      <w:proofErr w:type="gramStart"/>
      <w:r w:rsidRPr="00B42397">
        <w:rPr>
          <w:rFonts w:ascii="Arial Narrow" w:hAnsi="Arial Narrow"/>
          <w:sz w:val="18"/>
          <w:szCs w:val="18"/>
          <w:vertAlign w:val="superscript"/>
        </w:rPr>
        <w:t>b</w:t>
      </w:r>
      <w:proofErr w:type="gramEnd"/>
      <w:r w:rsidRPr="00B42397">
        <w:rPr>
          <w:rFonts w:ascii="Arial Narrow" w:hAnsi="Arial Narrow"/>
          <w:sz w:val="18"/>
          <w:szCs w:val="18"/>
        </w:rPr>
        <w:t xml:space="preserve"> </w:t>
      </w:r>
      <w:r w:rsidR="00443BFA" w:rsidRPr="00B42397">
        <w:rPr>
          <w:rFonts w:ascii="Arial Narrow" w:hAnsi="Arial Narrow"/>
          <w:sz w:val="18"/>
          <w:szCs w:val="18"/>
        </w:rPr>
        <w:t>PF</w:t>
      </w:r>
      <w:r w:rsidR="00552641" w:rsidRPr="00B42397">
        <w:rPr>
          <w:rFonts w:ascii="Arial Narrow" w:hAnsi="Arial Narrow"/>
          <w:sz w:val="18"/>
          <w:szCs w:val="18"/>
        </w:rPr>
        <w:t>S</w:t>
      </w:r>
      <w:r w:rsidR="00443BFA" w:rsidRPr="00B42397">
        <w:rPr>
          <w:rFonts w:ascii="Arial Narrow" w:hAnsi="Arial Narrow"/>
          <w:sz w:val="18"/>
          <w:szCs w:val="18"/>
        </w:rPr>
        <w:t xml:space="preserve"> data based on ELOQUENT-2 median follow up 24.5 months (</w:t>
      </w:r>
      <w:r w:rsidR="00CA151D" w:rsidRPr="00B42397">
        <w:rPr>
          <w:rFonts w:ascii="Arial Narrow" w:hAnsi="Arial Narrow"/>
          <w:sz w:val="18"/>
          <w:szCs w:val="18"/>
        </w:rPr>
        <w:t xml:space="preserve">data cut </w:t>
      </w:r>
      <w:r w:rsidR="00552641" w:rsidRPr="00B42397">
        <w:rPr>
          <w:rFonts w:ascii="Arial Narrow" w:hAnsi="Arial Narrow"/>
          <w:sz w:val="18"/>
          <w:szCs w:val="18"/>
        </w:rPr>
        <w:t>29 Oct 2014)</w:t>
      </w:r>
      <w:r w:rsidR="006163A6" w:rsidRPr="00B42397">
        <w:rPr>
          <w:rFonts w:ascii="Arial Narrow" w:hAnsi="Arial Narrow"/>
          <w:sz w:val="18"/>
          <w:szCs w:val="18"/>
        </w:rPr>
        <w:t xml:space="preserve">, and OS data based on median follow-up </w:t>
      </w:r>
      <w:r w:rsidR="007300AD" w:rsidRPr="00B42397">
        <w:rPr>
          <w:rFonts w:ascii="Arial Narrow" w:hAnsi="Arial Narrow"/>
          <w:sz w:val="18"/>
          <w:szCs w:val="18"/>
        </w:rPr>
        <w:t xml:space="preserve">38.7 months (data cut </w:t>
      </w:r>
      <w:r w:rsidR="00DF2EFA" w:rsidRPr="00B42397">
        <w:rPr>
          <w:rFonts w:ascii="Arial Narrow" w:hAnsi="Arial Narrow"/>
          <w:sz w:val="18"/>
          <w:szCs w:val="18"/>
        </w:rPr>
        <w:t>29 Oct 2015)</w:t>
      </w:r>
    </w:p>
    <w:p w14:paraId="3347B5EB" w14:textId="77777777" w:rsidR="00552641" w:rsidRPr="00B42397" w:rsidRDefault="00552641" w:rsidP="008B075D">
      <w:pPr>
        <w:pStyle w:val="Tablenotes"/>
        <w:rPr>
          <w:rFonts w:ascii="Arial Narrow" w:hAnsi="Arial Narrow"/>
          <w:sz w:val="18"/>
          <w:szCs w:val="18"/>
        </w:rPr>
      </w:pPr>
      <w:proofErr w:type="gramStart"/>
      <w:r w:rsidRPr="00B42397">
        <w:rPr>
          <w:rFonts w:ascii="Arial Narrow" w:hAnsi="Arial Narrow"/>
          <w:sz w:val="18"/>
          <w:szCs w:val="18"/>
          <w:vertAlign w:val="superscript"/>
        </w:rPr>
        <w:t>c</w:t>
      </w:r>
      <w:proofErr w:type="gramEnd"/>
      <w:r w:rsidRPr="00B42397">
        <w:rPr>
          <w:rFonts w:ascii="Arial Narrow" w:hAnsi="Arial Narrow"/>
          <w:sz w:val="18"/>
          <w:szCs w:val="18"/>
        </w:rPr>
        <w:t xml:space="preserve"> PFS data based on ENDE</w:t>
      </w:r>
      <w:r w:rsidR="00BE7084" w:rsidRPr="00B42397">
        <w:rPr>
          <w:rFonts w:ascii="Arial Narrow" w:hAnsi="Arial Narrow"/>
          <w:sz w:val="18"/>
          <w:szCs w:val="18"/>
        </w:rPr>
        <w:t>AVOR median follow-up 16.6 months (</w:t>
      </w:r>
      <w:r w:rsidR="00CA151D" w:rsidRPr="00B42397">
        <w:rPr>
          <w:rFonts w:ascii="Arial Narrow" w:hAnsi="Arial Narrow"/>
          <w:sz w:val="18"/>
          <w:szCs w:val="18"/>
        </w:rPr>
        <w:t xml:space="preserve">data cut </w:t>
      </w:r>
      <w:r w:rsidR="00BE7084" w:rsidRPr="00B42397">
        <w:rPr>
          <w:rFonts w:ascii="Arial Narrow" w:hAnsi="Arial Narrow"/>
          <w:sz w:val="18"/>
          <w:szCs w:val="18"/>
        </w:rPr>
        <w:t xml:space="preserve">3 </w:t>
      </w:r>
      <w:r w:rsidR="00CA151D" w:rsidRPr="00B42397">
        <w:rPr>
          <w:rFonts w:ascii="Arial Narrow" w:hAnsi="Arial Narrow"/>
          <w:sz w:val="18"/>
          <w:szCs w:val="18"/>
        </w:rPr>
        <w:t>M</w:t>
      </w:r>
      <w:r w:rsidR="00BE7084" w:rsidRPr="00B42397">
        <w:rPr>
          <w:rFonts w:ascii="Arial Narrow" w:hAnsi="Arial Narrow"/>
          <w:sz w:val="18"/>
          <w:szCs w:val="18"/>
        </w:rPr>
        <w:t>arch 2016</w:t>
      </w:r>
      <w:r w:rsidR="00CA151D" w:rsidRPr="00B42397">
        <w:rPr>
          <w:rFonts w:ascii="Arial Narrow" w:hAnsi="Arial Narrow"/>
          <w:sz w:val="18"/>
          <w:szCs w:val="18"/>
        </w:rPr>
        <w:t>)</w:t>
      </w:r>
      <w:r w:rsidR="005A5799" w:rsidRPr="00B42397">
        <w:rPr>
          <w:rFonts w:ascii="Arial Narrow" w:hAnsi="Arial Narrow"/>
          <w:sz w:val="18"/>
          <w:szCs w:val="18"/>
        </w:rPr>
        <w:t>, and OS data</w:t>
      </w:r>
      <w:r w:rsidR="006163A6" w:rsidRPr="00B42397">
        <w:rPr>
          <w:rFonts w:ascii="Arial Narrow" w:hAnsi="Arial Narrow"/>
          <w:sz w:val="18"/>
          <w:szCs w:val="18"/>
        </w:rPr>
        <w:t xml:space="preserve"> based median follow-up 37.2 months </w:t>
      </w:r>
      <w:r w:rsidR="007300AD" w:rsidRPr="00B42397">
        <w:rPr>
          <w:rFonts w:ascii="Arial Narrow" w:hAnsi="Arial Narrow"/>
          <w:sz w:val="18"/>
          <w:szCs w:val="18"/>
        </w:rPr>
        <w:t>(</w:t>
      </w:r>
      <w:r w:rsidR="006163A6" w:rsidRPr="00B42397">
        <w:rPr>
          <w:rFonts w:ascii="Arial Narrow" w:hAnsi="Arial Narrow"/>
          <w:sz w:val="18"/>
          <w:szCs w:val="18"/>
        </w:rPr>
        <w:t>data cut 3 Jan 2017)</w:t>
      </w:r>
    </w:p>
    <w:p w14:paraId="611ABD27" w14:textId="77777777" w:rsidR="00123B88" w:rsidRPr="00B42397" w:rsidRDefault="00123B88" w:rsidP="00123B88">
      <w:pPr>
        <w:pStyle w:val="ListParagraph"/>
        <w:widowControl w:val="0"/>
        <w:numPr>
          <w:ilvl w:val="1"/>
          <w:numId w:val="1"/>
        </w:numPr>
        <w:tabs>
          <w:tab w:val="num" w:pos="1080"/>
        </w:tabs>
        <w:rPr>
          <w:iCs/>
        </w:rPr>
      </w:pPr>
      <w:r w:rsidRPr="00B42397">
        <w:rPr>
          <w:iCs/>
        </w:rPr>
        <w:t xml:space="preserve">The incremental difference in OS was greater for </w:t>
      </w:r>
      <w:proofErr w:type="spellStart"/>
      <w:r w:rsidR="001F5659" w:rsidRPr="00B42397">
        <w:rPr>
          <w:iCs/>
        </w:rPr>
        <w:t>ELd</w:t>
      </w:r>
      <w:proofErr w:type="spellEnd"/>
      <w:r w:rsidRPr="00B42397">
        <w:rPr>
          <w:iCs/>
        </w:rPr>
        <w:t xml:space="preserve"> relative to </w:t>
      </w:r>
      <w:proofErr w:type="spellStart"/>
      <w:proofErr w:type="gramStart"/>
      <w:r w:rsidR="001F5659" w:rsidRPr="00B42397">
        <w:rPr>
          <w:iCs/>
        </w:rPr>
        <w:t>Ld</w:t>
      </w:r>
      <w:proofErr w:type="spellEnd"/>
      <w:proofErr w:type="gramEnd"/>
      <w:r w:rsidRPr="00B42397">
        <w:rPr>
          <w:iCs/>
        </w:rPr>
        <w:t xml:space="preserve"> as the CD and Bd curves did not separate until month 15.</w:t>
      </w:r>
      <w:r w:rsidRPr="00B42397">
        <w:t xml:space="preserve"> </w:t>
      </w:r>
    </w:p>
    <w:p w14:paraId="59D777A1" w14:textId="77777777" w:rsidR="00123B88" w:rsidRPr="00B42397" w:rsidRDefault="00FC7902" w:rsidP="00123B88">
      <w:pPr>
        <w:pStyle w:val="ListParagraph"/>
        <w:widowControl w:val="0"/>
        <w:numPr>
          <w:ilvl w:val="1"/>
          <w:numId w:val="1"/>
        </w:numPr>
        <w:tabs>
          <w:tab w:val="num" w:pos="1080"/>
        </w:tabs>
        <w:rPr>
          <w:iCs/>
        </w:rPr>
      </w:pPr>
      <w:r w:rsidRPr="00B42397">
        <w:t xml:space="preserve">There are potential transitivity </w:t>
      </w:r>
      <w:r w:rsidR="000E4C25" w:rsidRPr="00B42397">
        <w:t xml:space="preserve">issues </w:t>
      </w:r>
      <w:r w:rsidRPr="00B42397">
        <w:t>between the ELOQUENT-2 and ENDEAVOR trials which are outlined in paragraph 6.</w:t>
      </w:r>
      <w:r w:rsidR="000E4C25" w:rsidRPr="00B42397">
        <w:t>6</w:t>
      </w:r>
      <w:r w:rsidR="00C55EF0">
        <w:t xml:space="preserve"> and 6.9</w:t>
      </w:r>
      <w:r w:rsidRPr="00B42397">
        <w:t>.</w:t>
      </w:r>
      <w:r w:rsidR="00F43116" w:rsidRPr="00B42397">
        <w:t xml:space="preserve"> </w:t>
      </w:r>
      <w:r w:rsidR="00B911A5" w:rsidRPr="00B42397">
        <w:t xml:space="preserve">The submission stated that </w:t>
      </w:r>
      <w:r w:rsidR="00C84B14" w:rsidRPr="00B42397">
        <w:t xml:space="preserve">the relative treatment effect in terms of PFS </w:t>
      </w:r>
      <w:r w:rsidR="00B911A5" w:rsidRPr="00B42397">
        <w:t>wa</w:t>
      </w:r>
      <w:r w:rsidR="00C84B14" w:rsidRPr="00B42397">
        <w:t xml:space="preserve">s more pronounced in the ENDEAVOR trial compared with ELOQUENT-2 and therefore the assumption that Bd and </w:t>
      </w:r>
      <w:proofErr w:type="spellStart"/>
      <w:proofErr w:type="gramStart"/>
      <w:r w:rsidR="001F5659" w:rsidRPr="00B42397">
        <w:t>Ld</w:t>
      </w:r>
      <w:proofErr w:type="spellEnd"/>
      <w:proofErr w:type="gramEnd"/>
      <w:r w:rsidR="00C84B14" w:rsidRPr="00B42397">
        <w:t xml:space="preserve"> are equi-effective may be overly conservative and bias the results of the ITC in favour of Cd. </w:t>
      </w:r>
      <w:r w:rsidR="00135955" w:rsidRPr="00B42397">
        <w:rPr>
          <w:iCs/>
        </w:rPr>
        <w:t xml:space="preserve">The submission </w:t>
      </w:r>
      <w:r w:rsidR="00A10C6C" w:rsidRPr="00B42397">
        <w:rPr>
          <w:iCs/>
        </w:rPr>
        <w:t xml:space="preserve">assumed that the efficacy results for </w:t>
      </w:r>
      <w:proofErr w:type="spellStart"/>
      <w:proofErr w:type="gramStart"/>
      <w:r w:rsidR="001F5659" w:rsidRPr="00B42397">
        <w:rPr>
          <w:iCs/>
        </w:rPr>
        <w:t>Ld</w:t>
      </w:r>
      <w:proofErr w:type="spellEnd"/>
      <w:proofErr w:type="gramEnd"/>
      <w:r w:rsidR="00A10C6C" w:rsidRPr="00B42397">
        <w:rPr>
          <w:iCs/>
        </w:rPr>
        <w:t xml:space="preserve"> and Bd were </w:t>
      </w:r>
      <w:r w:rsidR="0052607E" w:rsidRPr="00B42397">
        <w:rPr>
          <w:iCs/>
        </w:rPr>
        <w:t>the same</w:t>
      </w:r>
      <w:r w:rsidR="00A10C6C" w:rsidRPr="00B42397">
        <w:rPr>
          <w:iCs/>
        </w:rPr>
        <w:t xml:space="preserve">, and </w:t>
      </w:r>
      <w:r w:rsidR="00CE6E45" w:rsidRPr="00B42397">
        <w:rPr>
          <w:iCs/>
        </w:rPr>
        <w:t xml:space="preserve">did not include </w:t>
      </w:r>
      <w:r w:rsidR="00294CF8" w:rsidRPr="00B42397">
        <w:rPr>
          <w:iCs/>
        </w:rPr>
        <w:t>adjustment</w:t>
      </w:r>
      <w:r w:rsidR="00CE6E45" w:rsidRPr="00B42397">
        <w:rPr>
          <w:iCs/>
        </w:rPr>
        <w:t>s</w:t>
      </w:r>
      <w:r w:rsidR="00294CF8" w:rsidRPr="00B42397">
        <w:rPr>
          <w:iCs/>
        </w:rPr>
        <w:t xml:space="preserve"> for differences in efficacy between </w:t>
      </w:r>
      <w:proofErr w:type="spellStart"/>
      <w:r w:rsidR="001F5659" w:rsidRPr="00B42397">
        <w:rPr>
          <w:iCs/>
        </w:rPr>
        <w:t>Ld</w:t>
      </w:r>
      <w:proofErr w:type="spellEnd"/>
      <w:r w:rsidR="00294CF8" w:rsidRPr="00B42397">
        <w:rPr>
          <w:iCs/>
        </w:rPr>
        <w:t xml:space="preserve"> and Bd.</w:t>
      </w:r>
    </w:p>
    <w:p w14:paraId="3A153BFF" w14:textId="77777777" w:rsidR="00B60939" w:rsidRPr="00B42397" w:rsidRDefault="00B60939" w:rsidP="00D86231">
      <w:pPr>
        <w:pStyle w:val="4-SubsectionHeading"/>
      </w:pPr>
      <w:bookmarkStart w:id="14" w:name="_Toc22897642"/>
      <w:bookmarkStart w:id="15" w:name="_Toc49758143"/>
      <w:r w:rsidRPr="00B42397">
        <w:t>Comparative harms</w:t>
      </w:r>
      <w:bookmarkEnd w:id="14"/>
      <w:bookmarkEnd w:id="15"/>
    </w:p>
    <w:p w14:paraId="5BAB7DAD" w14:textId="77777777" w:rsidR="00181021" w:rsidRPr="00B42397" w:rsidRDefault="001F5659" w:rsidP="00376A9D">
      <w:pPr>
        <w:pStyle w:val="3-BodyText"/>
        <w:numPr>
          <w:ilvl w:val="0"/>
          <w:numId w:val="0"/>
        </w:numPr>
        <w:spacing w:after="0"/>
        <w:ind w:left="720" w:hanging="720"/>
        <w:rPr>
          <w:u w:val="single"/>
        </w:rPr>
      </w:pPr>
      <w:proofErr w:type="spellStart"/>
      <w:r w:rsidRPr="00B42397">
        <w:rPr>
          <w:u w:val="single"/>
        </w:rPr>
        <w:t>ELd</w:t>
      </w:r>
      <w:proofErr w:type="spellEnd"/>
      <w:r w:rsidR="00181021" w:rsidRPr="00B42397">
        <w:rPr>
          <w:u w:val="single"/>
        </w:rPr>
        <w:t xml:space="preserve"> versus </w:t>
      </w:r>
      <w:proofErr w:type="spellStart"/>
      <w:proofErr w:type="gramStart"/>
      <w:r w:rsidRPr="00B42397">
        <w:rPr>
          <w:u w:val="single"/>
        </w:rPr>
        <w:t>Ld</w:t>
      </w:r>
      <w:proofErr w:type="spellEnd"/>
      <w:proofErr w:type="gramEnd"/>
      <w:r w:rsidR="00181021" w:rsidRPr="00B42397">
        <w:rPr>
          <w:u w:val="single"/>
        </w:rPr>
        <w:t xml:space="preserve"> – ELOQUENT trial</w:t>
      </w:r>
    </w:p>
    <w:p w14:paraId="5D014018" w14:textId="77777777" w:rsidR="00AC1332" w:rsidRPr="00B42397" w:rsidRDefault="0046158F" w:rsidP="00D86231">
      <w:pPr>
        <w:pStyle w:val="3-BodyText"/>
        <w:rPr>
          <w:color w:val="000000" w:themeColor="text1"/>
        </w:rPr>
      </w:pPr>
      <w:r w:rsidRPr="00B42397">
        <w:rPr>
          <w:color w:val="000000" w:themeColor="text1"/>
        </w:rPr>
        <w:t xml:space="preserve">The summary of </w:t>
      </w:r>
      <w:r w:rsidR="00AC1332" w:rsidRPr="00B42397">
        <w:rPr>
          <w:color w:val="000000" w:themeColor="text1"/>
        </w:rPr>
        <w:t xml:space="preserve">key safety outcomes </w:t>
      </w:r>
      <w:r w:rsidR="004757C4" w:rsidRPr="00B42397">
        <w:rPr>
          <w:color w:val="000000" w:themeColor="text1"/>
        </w:rPr>
        <w:t xml:space="preserve">from </w:t>
      </w:r>
      <w:r w:rsidR="00AC1332" w:rsidRPr="00B42397">
        <w:rPr>
          <w:color w:val="000000" w:themeColor="text1"/>
        </w:rPr>
        <w:t xml:space="preserve">ELOQUENT-2 </w:t>
      </w:r>
      <w:r w:rsidR="000C489D" w:rsidRPr="00B42397">
        <w:rPr>
          <w:color w:val="000000" w:themeColor="text1"/>
        </w:rPr>
        <w:t>is</w:t>
      </w:r>
      <w:r w:rsidR="00AC1332" w:rsidRPr="00B42397">
        <w:rPr>
          <w:color w:val="000000" w:themeColor="text1"/>
        </w:rPr>
        <w:t xml:space="preserve"> presented in Table </w:t>
      </w:r>
      <w:r w:rsidR="00421BB2" w:rsidRPr="00B42397">
        <w:rPr>
          <w:color w:val="000000" w:themeColor="text1"/>
        </w:rPr>
        <w:t>9</w:t>
      </w:r>
      <w:r w:rsidR="00AC1332" w:rsidRPr="00B42397">
        <w:rPr>
          <w:color w:val="000000" w:themeColor="text1"/>
        </w:rPr>
        <w:t xml:space="preserve">. Treatment with </w:t>
      </w:r>
      <w:proofErr w:type="spellStart"/>
      <w:r w:rsidR="001F5659" w:rsidRPr="00B42397">
        <w:rPr>
          <w:color w:val="000000" w:themeColor="text1"/>
        </w:rPr>
        <w:t>ELd</w:t>
      </w:r>
      <w:proofErr w:type="spellEnd"/>
      <w:r w:rsidR="00AC1332" w:rsidRPr="00B42397">
        <w:rPr>
          <w:color w:val="000000" w:themeColor="text1"/>
        </w:rPr>
        <w:t xml:space="preserve"> was associated with more serious adverse everts (AEs) and Grade 3-4 AEs</w:t>
      </w:r>
      <w:r w:rsidR="004757C4" w:rsidRPr="00B42397">
        <w:rPr>
          <w:color w:val="000000" w:themeColor="text1"/>
        </w:rPr>
        <w:t xml:space="preserve"> compared to treatment with </w:t>
      </w:r>
      <w:r w:rsidR="001F5659" w:rsidRPr="00B42397">
        <w:rPr>
          <w:color w:val="000000" w:themeColor="text1"/>
        </w:rPr>
        <w:t>Ld</w:t>
      </w:r>
      <w:r w:rsidR="00AC1332" w:rsidRPr="00B42397">
        <w:rPr>
          <w:color w:val="000000" w:themeColor="text1"/>
        </w:rPr>
        <w:t>.</w:t>
      </w:r>
    </w:p>
    <w:p w14:paraId="1404C84A" w14:textId="77777777" w:rsidR="00B60939" w:rsidRPr="00B42397" w:rsidRDefault="00173565" w:rsidP="00D86231">
      <w:pPr>
        <w:pStyle w:val="TableFigureHeading"/>
        <w:rPr>
          <w:rStyle w:val="CommentReference"/>
          <w:b/>
          <w:szCs w:val="24"/>
        </w:rPr>
      </w:pPr>
      <w:r w:rsidRPr="00B42397">
        <w:rPr>
          <w:rStyle w:val="CommentReference"/>
          <w:b/>
          <w:szCs w:val="24"/>
        </w:rPr>
        <w:lastRenderedPageBreak/>
        <w:t xml:space="preserve">Table </w:t>
      </w:r>
      <w:r w:rsidR="00421BB2" w:rsidRPr="00B42397">
        <w:rPr>
          <w:rStyle w:val="CommentReference"/>
          <w:b/>
          <w:szCs w:val="24"/>
        </w:rPr>
        <w:t>9</w:t>
      </w:r>
      <w:r w:rsidR="005D26B4" w:rsidRPr="00B42397">
        <w:rPr>
          <w:rStyle w:val="CommentReference"/>
          <w:b/>
          <w:szCs w:val="24"/>
        </w:rPr>
        <w:t>:</w:t>
      </w:r>
      <w:r w:rsidR="00BC591F" w:rsidRPr="00B42397">
        <w:rPr>
          <w:rStyle w:val="CommentReference"/>
          <w:b/>
          <w:szCs w:val="24"/>
        </w:rPr>
        <w:t xml:space="preserve"> </w:t>
      </w:r>
      <w:r w:rsidR="005D26B4" w:rsidRPr="00B42397">
        <w:rPr>
          <w:rStyle w:val="CommentReference"/>
          <w:b/>
          <w:szCs w:val="24"/>
        </w:rPr>
        <w:t xml:space="preserve">Summary of </w:t>
      </w:r>
      <w:r w:rsidR="0066016D" w:rsidRPr="00B42397">
        <w:rPr>
          <w:rStyle w:val="CommentReference"/>
          <w:b/>
          <w:szCs w:val="24"/>
        </w:rPr>
        <w:t>safety outcomes from ELOQUENT-2</w:t>
      </w:r>
      <w:r w:rsidR="00EB2E16" w:rsidRPr="00B42397">
        <w:rPr>
          <w:rStyle w:val="CommentReference"/>
          <w:b/>
          <w:szCs w:val="24"/>
        </w:rPr>
        <w:t xml:space="preserve"> (</w:t>
      </w:r>
      <w:r w:rsidR="00123B88" w:rsidRPr="00B42397">
        <w:rPr>
          <w:rStyle w:val="CommentReference"/>
          <w:b/>
          <w:szCs w:val="24"/>
        </w:rPr>
        <w:t xml:space="preserve">3 Oct 2018 data cut-off; </w:t>
      </w:r>
      <w:r w:rsidR="008D754E" w:rsidRPr="00B42397">
        <w:rPr>
          <w:rStyle w:val="CommentReference"/>
          <w:b/>
          <w:szCs w:val="24"/>
        </w:rPr>
        <w:t>medi</w:t>
      </w:r>
      <w:r w:rsidR="00550C35" w:rsidRPr="00B42397">
        <w:rPr>
          <w:rStyle w:val="CommentReference"/>
          <w:b/>
          <w:szCs w:val="24"/>
        </w:rPr>
        <w:t>an OS follow up of 70.9 months</w:t>
      </w:r>
      <w:r w:rsidR="008D754E" w:rsidRPr="00B42397">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844"/>
        <w:gridCol w:w="1841"/>
        <w:gridCol w:w="1650"/>
      </w:tblGrid>
      <w:tr w:rsidR="005D26B4" w:rsidRPr="00B42397" w14:paraId="31B9F08A" w14:textId="77777777" w:rsidTr="00123B88">
        <w:trPr>
          <w:cantSplit/>
          <w:tblHeader/>
        </w:trPr>
        <w:tc>
          <w:tcPr>
            <w:tcW w:w="2041" w:type="pct"/>
            <w:vAlign w:val="center"/>
          </w:tcPr>
          <w:p w14:paraId="1684841F" w14:textId="77777777" w:rsidR="005D26B4" w:rsidRPr="00B42397" w:rsidRDefault="0066016D" w:rsidP="00D86231">
            <w:pPr>
              <w:pStyle w:val="In-tableHeading"/>
              <w:rPr>
                <w:lang w:val="en-AU"/>
              </w:rPr>
            </w:pPr>
            <w:r w:rsidRPr="00B42397">
              <w:rPr>
                <w:lang w:val="en-AU"/>
              </w:rPr>
              <w:t>ELOQUENT-2</w:t>
            </w:r>
          </w:p>
        </w:tc>
        <w:tc>
          <w:tcPr>
            <w:tcW w:w="1022" w:type="pct"/>
            <w:vAlign w:val="center"/>
          </w:tcPr>
          <w:p w14:paraId="74CD4671" w14:textId="77777777" w:rsidR="005D26B4" w:rsidRPr="00B42397" w:rsidRDefault="001F5659" w:rsidP="00D86231">
            <w:pPr>
              <w:pStyle w:val="In-tableHeading"/>
              <w:jc w:val="center"/>
              <w:rPr>
                <w:lang w:val="en-AU"/>
              </w:rPr>
            </w:pPr>
            <w:proofErr w:type="spellStart"/>
            <w:r w:rsidRPr="00B42397">
              <w:rPr>
                <w:lang w:val="en-AU"/>
              </w:rPr>
              <w:t>ELd</w:t>
            </w:r>
            <w:proofErr w:type="spellEnd"/>
          </w:p>
          <w:p w14:paraId="02144B33" w14:textId="77777777" w:rsidR="005D26B4" w:rsidRPr="00B42397" w:rsidRDefault="005D26B4" w:rsidP="00D86231">
            <w:pPr>
              <w:pStyle w:val="In-tableHeading"/>
              <w:jc w:val="center"/>
              <w:rPr>
                <w:lang w:val="en-AU"/>
              </w:rPr>
            </w:pPr>
            <w:proofErr w:type="gramStart"/>
            <w:r w:rsidRPr="00B42397">
              <w:rPr>
                <w:lang w:val="en-AU"/>
              </w:rPr>
              <w:t>n</w:t>
            </w:r>
            <w:proofErr w:type="gramEnd"/>
            <w:r w:rsidRPr="00B42397">
              <w:rPr>
                <w:lang w:val="en-AU"/>
              </w:rPr>
              <w:t xml:space="preserve"> with event/N (%)</w:t>
            </w:r>
          </w:p>
        </w:tc>
        <w:tc>
          <w:tcPr>
            <w:tcW w:w="1021" w:type="pct"/>
            <w:vAlign w:val="center"/>
          </w:tcPr>
          <w:p w14:paraId="5F95979A" w14:textId="77777777" w:rsidR="005D26B4" w:rsidRPr="00B42397" w:rsidRDefault="001F5659" w:rsidP="00D86231">
            <w:pPr>
              <w:pStyle w:val="In-tableHeading"/>
              <w:jc w:val="center"/>
              <w:rPr>
                <w:lang w:val="en-AU"/>
              </w:rPr>
            </w:pPr>
            <w:proofErr w:type="spellStart"/>
            <w:r w:rsidRPr="00B42397">
              <w:rPr>
                <w:lang w:val="en-AU"/>
              </w:rPr>
              <w:t>Ld</w:t>
            </w:r>
            <w:proofErr w:type="spellEnd"/>
          </w:p>
          <w:p w14:paraId="08E5D202" w14:textId="77777777" w:rsidR="005D26B4" w:rsidRPr="00B42397" w:rsidRDefault="005D26B4" w:rsidP="00D86231">
            <w:pPr>
              <w:pStyle w:val="In-tableHeading"/>
              <w:jc w:val="center"/>
              <w:rPr>
                <w:lang w:val="en-AU"/>
              </w:rPr>
            </w:pPr>
            <w:proofErr w:type="gramStart"/>
            <w:r w:rsidRPr="00B42397">
              <w:rPr>
                <w:lang w:val="en-AU"/>
              </w:rPr>
              <w:t>n</w:t>
            </w:r>
            <w:proofErr w:type="gramEnd"/>
            <w:r w:rsidRPr="00B42397">
              <w:rPr>
                <w:lang w:val="en-AU"/>
              </w:rPr>
              <w:t xml:space="preserve"> with event/N (%)</w:t>
            </w:r>
          </w:p>
        </w:tc>
        <w:tc>
          <w:tcPr>
            <w:tcW w:w="915" w:type="pct"/>
            <w:vAlign w:val="center"/>
          </w:tcPr>
          <w:p w14:paraId="73B63FC9" w14:textId="77777777" w:rsidR="005D26B4" w:rsidRPr="00B42397" w:rsidRDefault="005D26B4" w:rsidP="00D86231">
            <w:pPr>
              <w:pStyle w:val="In-tableHeading"/>
              <w:jc w:val="center"/>
              <w:rPr>
                <w:lang w:val="en-AU"/>
              </w:rPr>
            </w:pPr>
            <w:r w:rsidRPr="00B42397">
              <w:rPr>
                <w:lang w:val="en-AU"/>
              </w:rPr>
              <w:t>RR (95% CI)</w:t>
            </w:r>
          </w:p>
        </w:tc>
      </w:tr>
      <w:tr w:rsidR="0066016D" w:rsidRPr="00B42397" w14:paraId="444B0939" w14:textId="77777777" w:rsidTr="00123B88">
        <w:trPr>
          <w:cantSplit/>
          <w:tblHeader/>
        </w:trPr>
        <w:tc>
          <w:tcPr>
            <w:tcW w:w="2041" w:type="pct"/>
          </w:tcPr>
          <w:p w14:paraId="454DB4FA" w14:textId="77777777" w:rsidR="0066016D" w:rsidRPr="00B42397" w:rsidRDefault="0066016D" w:rsidP="0066016D">
            <w:pPr>
              <w:pStyle w:val="In-tableHeading"/>
              <w:rPr>
                <w:lang w:val="en-AU"/>
              </w:rPr>
            </w:pPr>
            <w:r w:rsidRPr="00B42397">
              <w:rPr>
                <w:b w:val="0"/>
                <w:bCs/>
                <w:lang w:val="en-AU"/>
              </w:rPr>
              <w:t>Median treatment duration</w:t>
            </w:r>
          </w:p>
        </w:tc>
        <w:tc>
          <w:tcPr>
            <w:tcW w:w="1022" w:type="pct"/>
          </w:tcPr>
          <w:p w14:paraId="5124A24D" w14:textId="77777777" w:rsidR="0066016D" w:rsidRPr="00B42397" w:rsidRDefault="0066016D" w:rsidP="0066016D">
            <w:pPr>
              <w:pStyle w:val="In-tableHeading"/>
              <w:jc w:val="center"/>
              <w:rPr>
                <w:lang w:val="en-AU"/>
              </w:rPr>
            </w:pPr>
            <w:r w:rsidRPr="00B42397">
              <w:rPr>
                <w:b w:val="0"/>
                <w:bCs/>
                <w:lang w:val="en-AU"/>
              </w:rPr>
              <w:t>17 months</w:t>
            </w:r>
          </w:p>
        </w:tc>
        <w:tc>
          <w:tcPr>
            <w:tcW w:w="1021" w:type="pct"/>
          </w:tcPr>
          <w:p w14:paraId="057348C1" w14:textId="77777777" w:rsidR="0066016D" w:rsidRPr="00B42397" w:rsidRDefault="0066016D" w:rsidP="0066016D">
            <w:pPr>
              <w:pStyle w:val="In-tableHeading"/>
              <w:jc w:val="center"/>
              <w:rPr>
                <w:lang w:val="en-AU"/>
              </w:rPr>
            </w:pPr>
            <w:r w:rsidRPr="00B42397">
              <w:rPr>
                <w:b w:val="0"/>
                <w:bCs/>
                <w:lang w:val="en-AU"/>
              </w:rPr>
              <w:t>12 months</w:t>
            </w:r>
          </w:p>
        </w:tc>
        <w:tc>
          <w:tcPr>
            <w:tcW w:w="915" w:type="pct"/>
            <w:vAlign w:val="center"/>
          </w:tcPr>
          <w:p w14:paraId="32BAD35B" w14:textId="77777777" w:rsidR="0066016D" w:rsidRPr="00B42397" w:rsidRDefault="0066016D" w:rsidP="0066016D">
            <w:pPr>
              <w:pStyle w:val="In-tableHeading"/>
              <w:jc w:val="center"/>
              <w:rPr>
                <w:lang w:val="en-AU"/>
              </w:rPr>
            </w:pPr>
          </w:p>
        </w:tc>
      </w:tr>
      <w:tr w:rsidR="0066016D" w:rsidRPr="00B42397" w14:paraId="63680E3D" w14:textId="77777777" w:rsidTr="00123B88">
        <w:trPr>
          <w:cantSplit/>
        </w:trPr>
        <w:tc>
          <w:tcPr>
            <w:tcW w:w="2041" w:type="pct"/>
          </w:tcPr>
          <w:p w14:paraId="0DADAE45" w14:textId="77777777" w:rsidR="0066016D" w:rsidRPr="00B42397" w:rsidRDefault="0066016D" w:rsidP="0066016D">
            <w:pPr>
              <w:pStyle w:val="TableText0"/>
            </w:pPr>
            <w:r w:rsidRPr="00B42397">
              <w:t>Patients with any AE</w:t>
            </w:r>
          </w:p>
        </w:tc>
        <w:tc>
          <w:tcPr>
            <w:tcW w:w="1022" w:type="pct"/>
          </w:tcPr>
          <w:p w14:paraId="5B034962" w14:textId="77777777" w:rsidR="0066016D" w:rsidRPr="00B42397" w:rsidRDefault="0066016D" w:rsidP="0066016D">
            <w:pPr>
              <w:pStyle w:val="TableText0"/>
              <w:jc w:val="center"/>
            </w:pPr>
            <w:r w:rsidRPr="00B42397">
              <w:t>316</w:t>
            </w:r>
            <w:r w:rsidR="00D22226" w:rsidRPr="00B42397">
              <w:t>/318</w:t>
            </w:r>
            <w:r w:rsidRPr="00B42397">
              <w:t xml:space="preserve"> (99.4%)</w:t>
            </w:r>
          </w:p>
        </w:tc>
        <w:tc>
          <w:tcPr>
            <w:tcW w:w="1021" w:type="pct"/>
          </w:tcPr>
          <w:p w14:paraId="282316E9" w14:textId="77777777" w:rsidR="0066016D" w:rsidRPr="00B42397" w:rsidRDefault="0066016D" w:rsidP="0066016D">
            <w:pPr>
              <w:pStyle w:val="TableText0"/>
              <w:jc w:val="center"/>
            </w:pPr>
            <w:r w:rsidRPr="00B42397">
              <w:t>314</w:t>
            </w:r>
            <w:r w:rsidR="00D22226" w:rsidRPr="00B42397">
              <w:t>/317</w:t>
            </w:r>
            <w:r w:rsidRPr="00B42397">
              <w:t xml:space="preserve"> (99.1%)</w:t>
            </w:r>
          </w:p>
        </w:tc>
        <w:tc>
          <w:tcPr>
            <w:tcW w:w="915" w:type="pct"/>
          </w:tcPr>
          <w:p w14:paraId="6532A81B" w14:textId="77777777" w:rsidR="0066016D" w:rsidRPr="00B42397" w:rsidRDefault="0066016D" w:rsidP="0066016D">
            <w:pPr>
              <w:pStyle w:val="TableText0"/>
              <w:jc w:val="center"/>
            </w:pPr>
            <w:r w:rsidRPr="00B42397">
              <w:t>1.00 (0.99, 1.02)</w:t>
            </w:r>
          </w:p>
        </w:tc>
      </w:tr>
      <w:tr w:rsidR="0066016D" w:rsidRPr="00B42397" w14:paraId="69B08FFC" w14:textId="77777777" w:rsidTr="00123B88">
        <w:trPr>
          <w:cantSplit/>
        </w:trPr>
        <w:tc>
          <w:tcPr>
            <w:tcW w:w="2041" w:type="pct"/>
          </w:tcPr>
          <w:p w14:paraId="29F732B9" w14:textId="77777777" w:rsidR="0066016D" w:rsidRPr="00B42397" w:rsidRDefault="0066016D" w:rsidP="0066016D">
            <w:pPr>
              <w:pStyle w:val="TableText0"/>
            </w:pPr>
            <w:r w:rsidRPr="00B42397">
              <w:t>Patients with serious AE</w:t>
            </w:r>
          </w:p>
        </w:tc>
        <w:tc>
          <w:tcPr>
            <w:tcW w:w="1022" w:type="pct"/>
          </w:tcPr>
          <w:p w14:paraId="0B61A0A7" w14:textId="77777777" w:rsidR="0066016D" w:rsidRPr="00B42397" w:rsidRDefault="0066016D" w:rsidP="0066016D">
            <w:pPr>
              <w:pStyle w:val="TableText0"/>
              <w:jc w:val="center"/>
            </w:pPr>
            <w:r w:rsidRPr="00B42397">
              <w:t>238</w:t>
            </w:r>
            <w:r w:rsidR="00D22226" w:rsidRPr="00B42397">
              <w:t>/318</w:t>
            </w:r>
            <w:r w:rsidRPr="00B42397">
              <w:t xml:space="preserve"> (74.8%)</w:t>
            </w:r>
          </w:p>
        </w:tc>
        <w:tc>
          <w:tcPr>
            <w:tcW w:w="1021" w:type="pct"/>
          </w:tcPr>
          <w:p w14:paraId="3B5CD80C" w14:textId="77777777" w:rsidR="0066016D" w:rsidRPr="00B42397" w:rsidRDefault="0066016D" w:rsidP="0066016D">
            <w:pPr>
              <w:pStyle w:val="TableText0"/>
              <w:jc w:val="center"/>
            </w:pPr>
            <w:r w:rsidRPr="00B42397">
              <w:t>194</w:t>
            </w:r>
            <w:r w:rsidR="00D22226" w:rsidRPr="00B42397">
              <w:t xml:space="preserve">/317 </w:t>
            </w:r>
            <w:r w:rsidRPr="00B42397">
              <w:t>(61.2%)</w:t>
            </w:r>
          </w:p>
        </w:tc>
        <w:tc>
          <w:tcPr>
            <w:tcW w:w="915" w:type="pct"/>
          </w:tcPr>
          <w:p w14:paraId="73D912BB" w14:textId="77777777" w:rsidR="0066016D" w:rsidRPr="00B42397" w:rsidRDefault="0066016D" w:rsidP="0066016D">
            <w:pPr>
              <w:pStyle w:val="TableText0"/>
              <w:jc w:val="center"/>
            </w:pPr>
            <w:r w:rsidRPr="00B42397">
              <w:rPr>
                <w:b/>
                <w:bCs w:val="0"/>
              </w:rPr>
              <w:t>1.22 (1.10, 1.36)</w:t>
            </w:r>
          </w:p>
        </w:tc>
      </w:tr>
      <w:tr w:rsidR="0066016D" w:rsidRPr="00B42397" w14:paraId="30496AF7" w14:textId="77777777" w:rsidTr="00123B88">
        <w:trPr>
          <w:cantSplit/>
        </w:trPr>
        <w:tc>
          <w:tcPr>
            <w:tcW w:w="2041" w:type="pct"/>
          </w:tcPr>
          <w:p w14:paraId="3590A0B9" w14:textId="77777777" w:rsidR="0066016D" w:rsidRPr="00B42397" w:rsidRDefault="0066016D" w:rsidP="0066016D">
            <w:pPr>
              <w:pStyle w:val="TableText0"/>
            </w:pPr>
            <w:r w:rsidRPr="00B42397">
              <w:t>Patients with Grade 3-4 AE</w:t>
            </w:r>
          </w:p>
        </w:tc>
        <w:tc>
          <w:tcPr>
            <w:tcW w:w="1022" w:type="pct"/>
          </w:tcPr>
          <w:p w14:paraId="08729B73" w14:textId="77777777" w:rsidR="0066016D" w:rsidRPr="00B42397" w:rsidRDefault="0066016D" w:rsidP="0066016D">
            <w:pPr>
              <w:pStyle w:val="TableText0"/>
              <w:jc w:val="center"/>
            </w:pPr>
            <w:r w:rsidRPr="00B42397">
              <w:t>244</w:t>
            </w:r>
            <w:r w:rsidR="00D22226" w:rsidRPr="00B42397">
              <w:t>/318</w:t>
            </w:r>
            <w:r w:rsidRPr="00B42397">
              <w:t xml:space="preserve"> (76.7%)</w:t>
            </w:r>
          </w:p>
        </w:tc>
        <w:tc>
          <w:tcPr>
            <w:tcW w:w="1021" w:type="pct"/>
          </w:tcPr>
          <w:p w14:paraId="2FC22DC5" w14:textId="77777777" w:rsidR="0066016D" w:rsidRPr="00B42397" w:rsidRDefault="0066016D" w:rsidP="0066016D">
            <w:pPr>
              <w:pStyle w:val="TableText0"/>
              <w:jc w:val="center"/>
            </w:pPr>
            <w:r w:rsidRPr="00B42397">
              <w:t>217</w:t>
            </w:r>
            <w:r w:rsidR="00D22226" w:rsidRPr="00B42397">
              <w:t>/317</w:t>
            </w:r>
            <w:r w:rsidRPr="00B42397">
              <w:t xml:space="preserve"> (68.5%)</w:t>
            </w:r>
          </w:p>
        </w:tc>
        <w:tc>
          <w:tcPr>
            <w:tcW w:w="915" w:type="pct"/>
          </w:tcPr>
          <w:p w14:paraId="4762B1BD" w14:textId="77777777" w:rsidR="0066016D" w:rsidRPr="00B42397" w:rsidRDefault="0066016D" w:rsidP="0066016D">
            <w:pPr>
              <w:pStyle w:val="TableText0"/>
              <w:jc w:val="center"/>
            </w:pPr>
            <w:r w:rsidRPr="00B42397">
              <w:rPr>
                <w:b/>
                <w:bCs w:val="0"/>
              </w:rPr>
              <w:t>1.12 (1.02, 1.23)</w:t>
            </w:r>
          </w:p>
        </w:tc>
      </w:tr>
      <w:tr w:rsidR="0066016D" w:rsidRPr="00B42397" w14:paraId="3E1CBCA8" w14:textId="77777777" w:rsidTr="00123B88">
        <w:trPr>
          <w:cantSplit/>
        </w:trPr>
        <w:tc>
          <w:tcPr>
            <w:tcW w:w="2041" w:type="pct"/>
          </w:tcPr>
          <w:p w14:paraId="0B994E44" w14:textId="77777777" w:rsidR="0066016D" w:rsidRPr="00B42397" w:rsidRDefault="0066016D" w:rsidP="0066016D">
            <w:pPr>
              <w:pStyle w:val="TableText0"/>
            </w:pPr>
            <w:r w:rsidRPr="00B42397">
              <w:t>Patients with AE leading to discontinuation</w:t>
            </w:r>
          </w:p>
        </w:tc>
        <w:tc>
          <w:tcPr>
            <w:tcW w:w="1022" w:type="pct"/>
          </w:tcPr>
          <w:p w14:paraId="135C3397" w14:textId="77777777" w:rsidR="0066016D" w:rsidRPr="00B42397" w:rsidRDefault="0066016D" w:rsidP="0066016D">
            <w:pPr>
              <w:pStyle w:val="TableText0"/>
              <w:jc w:val="center"/>
            </w:pPr>
            <w:r w:rsidRPr="00B42397">
              <w:t>114</w:t>
            </w:r>
            <w:r w:rsidR="00D22226" w:rsidRPr="00B42397">
              <w:t>/318 (</w:t>
            </w:r>
            <w:r w:rsidRPr="00B42397">
              <w:t>35.8%)</w:t>
            </w:r>
          </w:p>
        </w:tc>
        <w:tc>
          <w:tcPr>
            <w:tcW w:w="1021" w:type="pct"/>
          </w:tcPr>
          <w:p w14:paraId="5333D3C3" w14:textId="77777777" w:rsidR="0066016D" w:rsidRPr="00B42397" w:rsidRDefault="0066016D" w:rsidP="0066016D">
            <w:pPr>
              <w:pStyle w:val="TableText0"/>
              <w:jc w:val="center"/>
            </w:pPr>
            <w:r w:rsidRPr="00B42397">
              <w:t>104</w:t>
            </w:r>
            <w:r w:rsidR="00D22226" w:rsidRPr="00B42397">
              <w:t xml:space="preserve">/317 </w:t>
            </w:r>
            <w:r w:rsidRPr="00B42397">
              <w:t>(32.8%)</w:t>
            </w:r>
          </w:p>
        </w:tc>
        <w:tc>
          <w:tcPr>
            <w:tcW w:w="915" w:type="pct"/>
          </w:tcPr>
          <w:p w14:paraId="064FCA9E" w14:textId="77777777" w:rsidR="0066016D" w:rsidRPr="00B42397" w:rsidRDefault="0066016D" w:rsidP="0066016D">
            <w:pPr>
              <w:pStyle w:val="TableText0"/>
              <w:jc w:val="center"/>
            </w:pPr>
            <w:r w:rsidRPr="00B42397">
              <w:t>1.09 (0.88, 1.36)</w:t>
            </w:r>
          </w:p>
        </w:tc>
      </w:tr>
      <w:tr w:rsidR="0066016D" w:rsidRPr="00B42397" w14:paraId="34BE00ED" w14:textId="77777777" w:rsidTr="00123B88">
        <w:trPr>
          <w:cantSplit/>
        </w:trPr>
        <w:tc>
          <w:tcPr>
            <w:tcW w:w="2041" w:type="pct"/>
          </w:tcPr>
          <w:p w14:paraId="6F7E47C7" w14:textId="77777777" w:rsidR="0066016D" w:rsidRPr="00B42397" w:rsidRDefault="0066016D" w:rsidP="0066016D">
            <w:pPr>
              <w:pStyle w:val="TableText0"/>
            </w:pPr>
            <w:r w:rsidRPr="00B42397">
              <w:t>Patients with Grade 5 AE</w:t>
            </w:r>
          </w:p>
        </w:tc>
        <w:tc>
          <w:tcPr>
            <w:tcW w:w="1022" w:type="pct"/>
          </w:tcPr>
          <w:p w14:paraId="5A9499D3" w14:textId="77777777" w:rsidR="0066016D" w:rsidRPr="00B42397" w:rsidRDefault="0066016D" w:rsidP="0066016D">
            <w:pPr>
              <w:pStyle w:val="TableText0"/>
              <w:jc w:val="center"/>
            </w:pPr>
            <w:r w:rsidRPr="00B42397">
              <w:t>45</w:t>
            </w:r>
            <w:r w:rsidR="00D22226" w:rsidRPr="00B42397">
              <w:t xml:space="preserve">/318 </w:t>
            </w:r>
            <w:r w:rsidRPr="00B42397">
              <w:t>(14.2%)</w:t>
            </w:r>
          </w:p>
        </w:tc>
        <w:tc>
          <w:tcPr>
            <w:tcW w:w="1021" w:type="pct"/>
          </w:tcPr>
          <w:p w14:paraId="11DE094C" w14:textId="77777777" w:rsidR="0066016D" w:rsidRPr="00B42397" w:rsidRDefault="0066016D" w:rsidP="0066016D">
            <w:pPr>
              <w:pStyle w:val="TableText0"/>
              <w:jc w:val="center"/>
            </w:pPr>
            <w:r w:rsidRPr="00B42397">
              <w:t>45</w:t>
            </w:r>
            <w:r w:rsidR="00D22226" w:rsidRPr="00B42397">
              <w:t xml:space="preserve">/317 </w:t>
            </w:r>
            <w:r w:rsidRPr="00B42397">
              <w:t>(14.2%)</w:t>
            </w:r>
          </w:p>
        </w:tc>
        <w:tc>
          <w:tcPr>
            <w:tcW w:w="915" w:type="pct"/>
          </w:tcPr>
          <w:p w14:paraId="0E1773B1" w14:textId="77777777" w:rsidR="0066016D" w:rsidRPr="00B42397" w:rsidRDefault="0066016D" w:rsidP="0066016D">
            <w:pPr>
              <w:pStyle w:val="TableText0"/>
              <w:jc w:val="center"/>
            </w:pPr>
            <w:r w:rsidRPr="00B42397">
              <w:t>1.00 (0.68, 1.46)</w:t>
            </w:r>
          </w:p>
        </w:tc>
      </w:tr>
      <w:tr w:rsidR="0066016D" w:rsidRPr="00B42397" w14:paraId="4729C0F0" w14:textId="77777777" w:rsidTr="00123B88">
        <w:trPr>
          <w:cantSplit/>
        </w:trPr>
        <w:tc>
          <w:tcPr>
            <w:tcW w:w="2041" w:type="pct"/>
          </w:tcPr>
          <w:p w14:paraId="783663B4" w14:textId="77777777" w:rsidR="0066016D" w:rsidRPr="00B42397" w:rsidRDefault="0066016D" w:rsidP="0066016D">
            <w:pPr>
              <w:pStyle w:val="TableText0"/>
            </w:pPr>
            <w:r w:rsidRPr="00B42397">
              <w:t xml:space="preserve">Deaths </w:t>
            </w:r>
          </w:p>
        </w:tc>
        <w:tc>
          <w:tcPr>
            <w:tcW w:w="1022" w:type="pct"/>
          </w:tcPr>
          <w:p w14:paraId="599BE7E6" w14:textId="77777777" w:rsidR="0066016D" w:rsidRPr="00B42397" w:rsidRDefault="0066016D" w:rsidP="0066016D">
            <w:pPr>
              <w:pStyle w:val="TableText0"/>
              <w:jc w:val="center"/>
            </w:pPr>
            <w:r w:rsidRPr="00B42397">
              <w:t>212</w:t>
            </w:r>
            <w:r w:rsidR="00D22226" w:rsidRPr="00B42397">
              <w:t>/318 (</w:t>
            </w:r>
            <w:r w:rsidRPr="00B42397">
              <w:t>66.7%)</w:t>
            </w:r>
          </w:p>
        </w:tc>
        <w:tc>
          <w:tcPr>
            <w:tcW w:w="1021" w:type="pct"/>
          </w:tcPr>
          <w:p w14:paraId="4D1C57F8" w14:textId="77777777" w:rsidR="0066016D" w:rsidRPr="00B42397" w:rsidRDefault="0066016D" w:rsidP="0066016D">
            <w:pPr>
              <w:pStyle w:val="TableText0"/>
              <w:jc w:val="center"/>
            </w:pPr>
            <w:r w:rsidRPr="00B42397">
              <w:t>225</w:t>
            </w:r>
            <w:r w:rsidR="00D22226" w:rsidRPr="00B42397">
              <w:t>/317</w:t>
            </w:r>
            <w:r w:rsidRPr="00B42397">
              <w:t xml:space="preserve"> (71.0%)</w:t>
            </w:r>
          </w:p>
        </w:tc>
        <w:tc>
          <w:tcPr>
            <w:tcW w:w="915" w:type="pct"/>
          </w:tcPr>
          <w:p w14:paraId="536790C5" w14:textId="77777777" w:rsidR="0066016D" w:rsidRPr="00B42397" w:rsidRDefault="0066016D" w:rsidP="0066016D">
            <w:pPr>
              <w:pStyle w:val="TableText0"/>
              <w:jc w:val="center"/>
            </w:pPr>
            <w:r w:rsidRPr="00B42397">
              <w:t>0.94 (0.85, 1.04)</w:t>
            </w:r>
          </w:p>
        </w:tc>
      </w:tr>
      <w:tr w:rsidR="0066016D" w:rsidRPr="00B42397" w14:paraId="29ECE065" w14:textId="77777777" w:rsidTr="00123B88">
        <w:trPr>
          <w:cantSplit/>
        </w:trPr>
        <w:tc>
          <w:tcPr>
            <w:tcW w:w="2041" w:type="pct"/>
          </w:tcPr>
          <w:p w14:paraId="27DB9C31" w14:textId="77777777" w:rsidR="0066016D" w:rsidRPr="00B42397" w:rsidRDefault="0066016D" w:rsidP="0066016D">
            <w:pPr>
              <w:pStyle w:val="TableText0"/>
            </w:pPr>
            <w:r w:rsidRPr="00B42397">
              <w:t>Deaths within 60 days of last dose</w:t>
            </w:r>
          </w:p>
        </w:tc>
        <w:tc>
          <w:tcPr>
            <w:tcW w:w="1022" w:type="pct"/>
          </w:tcPr>
          <w:p w14:paraId="2F03D7F2" w14:textId="77777777" w:rsidR="0066016D" w:rsidRPr="00B42397" w:rsidRDefault="0066016D" w:rsidP="0066016D">
            <w:pPr>
              <w:pStyle w:val="TableText0"/>
              <w:jc w:val="center"/>
            </w:pPr>
            <w:r w:rsidRPr="00B42397">
              <w:t>44</w:t>
            </w:r>
            <w:r w:rsidR="00D22226" w:rsidRPr="00B42397">
              <w:t>/318 (</w:t>
            </w:r>
            <w:r w:rsidRPr="00B42397">
              <w:t>13.8%)</w:t>
            </w:r>
          </w:p>
        </w:tc>
        <w:tc>
          <w:tcPr>
            <w:tcW w:w="1021" w:type="pct"/>
          </w:tcPr>
          <w:p w14:paraId="41803814" w14:textId="77777777" w:rsidR="0066016D" w:rsidRPr="00B42397" w:rsidRDefault="0066016D" w:rsidP="0066016D">
            <w:pPr>
              <w:pStyle w:val="TableText0"/>
              <w:jc w:val="center"/>
            </w:pPr>
            <w:r w:rsidRPr="00B42397">
              <w:t>45</w:t>
            </w:r>
            <w:r w:rsidR="00D22226" w:rsidRPr="00B42397">
              <w:t>/317</w:t>
            </w:r>
            <w:r w:rsidRPr="00B42397">
              <w:t xml:space="preserve"> (14.2%)</w:t>
            </w:r>
          </w:p>
        </w:tc>
        <w:tc>
          <w:tcPr>
            <w:tcW w:w="915" w:type="pct"/>
          </w:tcPr>
          <w:p w14:paraId="6EF436F2" w14:textId="77777777" w:rsidR="0066016D" w:rsidRPr="00B42397" w:rsidRDefault="0066016D" w:rsidP="0066016D">
            <w:pPr>
              <w:pStyle w:val="TableText0"/>
              <w:jc w:val="center"/>
            </w:pPr>
            <w:r w:rsidRPr="00B42397">
              <w:t>0.97 (0.66, 1.43)</w:t>
            </w:r>
          </w:p>
        </w:tc>
      </w:tr>
    </w:tbl>
    <w:p w14:paraId="7F694D8B" w14:textId="77777777" w:rsidR="0066016D" w:rsidRPr="00B42397" w:rsidRDefault="0066016D" w:rsidP="0066016D">
      <w:pPr>
        <w:pStyle w:val="TableFigureFooter"/>
      </w:pPr>
      <w:r w:rsidRPr="00B42397">
        <w:t>Source: Table 2.5.8 of the submission.</w:t>
      </w:r>
    </w:p>
    <w:p w14:paraId="05D0B8F2" w14:textId="77777777" w:rsidR="005A160C" w:rsidRPr="00B42397" w:rsidRDefault="0066016D" w:rsidP="0066016D">
      <w:pPr>
        <w:pStyle w:val="TableFigureFooter"/>
      </w:pPr>
      <w:r w:rsidRPr="00B42397">
        <w:t>AE</w:t>
      </w:r>
      <w:r w:rsidR="00CC3E50" w:rsidRPr="00B42397">
        <w:t xml:space="preserve"> </w:t>
      </w:r>
      <w:r w:rsidRPr="00B42397">
        <w:t>= adverse event; CI</w:t>
      </w:r>
      <w:r w:rsidR="00CC3E50" w:rsidRPr="00B42397">
        <w:t xml:space="preserve"> </w:t>
      </w:r>
      <w:r w:rsidRPr="00B42397">
        <w:t xml:space="preserve">= confidence interval; </w:t>
      </w:r>
      <w:proofErr w:type="spellStart"/>
      <w:r w:rsidR="001F5659" w:rsidRPr="00B42397">
        <w:t>ELd</w:t>
      </w:r>
      <w:proofErr w:type="spellEnd"/>
      <w:r w:rsidR="00CC3E50" w:rsidRPr="00B42397">
        <w:t xml:space="preserve"> </w:t>
      </w:r>
      <w:r w:rsidRPr="00B42397">
        <w:t xml:space="preserve">= elotuzumab + lenalidomide + dexamethasone; </w:t>
      </w:r>
      <w:proofErr w:type="spellStart"/>
      <w:proofErr w:type="gramStart"/>
      <w:r w:rsidR="001F5659" w:rsidRPr="00B42397">
        <w:t>Ld</w:t>
      </w:r>
      <w:proofErr w:type="spellEnd"/>
      <w:proofErr w:type="gramEnd"/>
      <w:r w:rsidR="00CC3E50" w:rsidRPr="00B42397">
        <w:t xml:space="preserve"> </w:t>
      </w:r>
      <w:r w:rsidRPr="00B42397">
        <w:t>= lenalidomide + dexamethasone; RR</w:t>
      </w:r>
      <w:r w:rsidR="00CC3E50" w:rsidRPr="00B42397">
        <w:t xml:space="preserve"> </w:t>
      </w:r>
      <w:r w:rsidRPr="00B42397">
        <w:t>= relative risk</w:t>
      </w:r>
    </w:p>
    <w:p w14:paraId="3353E1AC" w14:textId="77777777" w:rsidR="0066016D" w:rsidRPr="00B42397" w:rsidRDefault="0066016D" w:rsidP="0066016D">
      <w:pPr>
        <w:pStyle w:val="TableFigureFooter"/>
      </w:pPr>
      <w:r w:rsidRPr="00B42397">
        <w:t>Bold values indicate statistically significant results.</w:t>
      </w:r>
    </w:p>
    <w:p w14:paraId="34056172" w14:textId="77777777" w:rsidR="00D22226" w:rsidRPr="00B42397" w:rsidRDefault="00D22226" w:rsidP="0066016D">
      <w:pPr>
        <w:pStyle w:val="TableFigureFooter"/>
      </w:pPr>
    </w:p>
    <w:p w14:paraId="4D7823B6" w14:textId="77777777" w:rsidR="00807FCB" w:rsidRPr="00B42397" w:rsidRDefault="00D22226" w:rsidP="00D22226">
      <w:pPr>
        <w:pStyle w:val="3-BodyText"/>
        <w:rPr>
          <w:iCs/>
          <w:color w:val="000000" w:themeColor="text1"/>
        </w:rPr>
      </w:pPr>
      <w:r w:rsidRPr="00B42397">
        <w:rPr>
          <w:color w:val="000000" w:themeColor="text1"/>
        </w:rPr>
        <w:t>The most frequently</w:t>
      </w:r>
      <w:r w:rsidR="00923B18" w:rsidRPr="00B42397">
        <w:rPr>
          <w:color w:val="000000" w:themeColor="text1"/>
        </w:rPr>
        <w:t xml:space="preserve"> </w:t>
      </w:r>
      <w:r w:rsidRPr="00B42397">
        <w:rPr>
          <w:color w:val="000000" w:themeColor="text1"/>
        </w:rPr>
        <w:t>reported G</w:t>
      </w:r>
      <w:r w:rsidR="005A160C" w:rsidRPr="00B42397">
        <w:rPr>
          <w:color w:val="000000" w:themeColor="text1"/>
        </w:rPr>
        <w:t>rade</w:t>
      </w:r>
      <w:r w:rsidRPr="00B42397">
        <w:rPr>
          <w:color w:val="000000" w:themeColor="text1"/>
        </w:rPr>
        <w:t xml:space="preserve"> 3-4 AEs </w:t>
      </w:r>
      <w:r w:rsidR="004757C4" w:rsidRPr="00B42397">
        <w:rPr>
          <w:color w:val="000000" w:themeColor="text1"/>
        </w:rPr>
        <w:t>in the ELOQUENT</w:t>
      </w:r>
      <w:r w:rsidR="005955C7" w:rsidRPr="00B42397">
        <w:rPr>
          <w:color w:val="000000" w:themeColor="text1"/>
        </w:rPr>
        <w:t>-2</w:t>
      </w:r>
      <w:r w:rsidR="004757C4" w:rsidRPr="00B42397">
        <w:rPr>
          <w:color w:val="000000" w:themeColor="text1"/>
        </w:rPr>
        <w:t xml:space="preserve"> trial </w:t>
      </w:r>
      <w:r w:rsidRPr="00B42397">
        <w:rPr>
          <w:color w:val="000000" w:themeColor="text1"/>
        </w:rPr>
        <w:t>were neutropenia</w:t>
      </w:r>
      <w:r w:rsidR="00923B18" w:rsidRPr="00B42397">
        <w:rPr>
          <w:color w:val="000000" w:themeColor="text1"/>
        </w:rPr>
        <w:t xml:space="preserve">, </w:t>
      </w:r>
      <w:r w:rsidRPr="00B42397">
        <w:rPr>
          <w:color w:val="000000" w:themeColor="text1"/>
        </w:rPr>
        <w:t>anaemia</w:t>
      </w:r>
      <w:r w:rsidR="00923B18" w:rsidRPr="00B42397">
        <w:rPr>
          <w:color w:val="000000" w:themeColor="text1"/>
        </w:rPr>
        <w:t>, pneumonia, thrombocytopenia, fatigue</w:t>
      </w:r>
      <w:r w:rsidR="0065754C" w:rsidRPr="00B42397">
        <w:rPr>
          <w:color w:val="000000" w:themeColor="text1"/>
        </w:rPr>
        <w:t xml:space="preserve"> and</w:t>
      </w:r>
      <w:r w:rsidR="00923B18" w:rsidRPr="00B42397">
        <w:rPr>
          <w:color w:val="000000" w:themeColor="text1"/>
        </w:rPr>
        <w:t xml:space="preserve"> cataract</w:t>
      </w:r>
      <w:r w:rsidR="0059566A" w:rsidRPr="00B42397">
        <w:rPr>
          <w:color w:val="000000" w:themeColor="text1"/>
        </w:rPr>
        <w:t>s</w:t>
      </w:r>
      <w:r w:rsidR="004757C4" w:rsidRPr="00B42397">
        <w:rPr>
          <w:color w:val="000000" w:themeColor="text1"/>
        </w:rPr>
        <w:t>; however, the differences</w:t>
      </w:r>
      <w:r w:rsidR="00923B18" w:rsidRPr="00B42397">
        <w:rPr>
          <w:color w:val="000000" w:themeColor="text1"/>
        </w:rPr>
        <w:t xml:space="preserve"> </w:t>
      </w:r>
      <w:r w:rsidR="00791F97" w:rsidRPr="00B42397">
        <w:rPr>
          <w:color w:val="000000" w:themeColor="text1"/>
        </w:rPr>
        <w:t xml:space="preserve">were </w:t>
      </w:r>
      <w:r w:rsidR="00923B18" w:rsidRPr="00B42397">
        <w:rPr>
          <w:color w:val="000000" w:themeColor="text1"/>
        </w:rPr>
        <w:t>not</w:t>
      </w:r>
      <w:r w:rsidR="00C41697" w:rsidRPr="00B42397">
        <w:rPr>
          <w:color w:val="000000" w:themeColor="text1"/>
        </w:rPr>
        <w:t xml:space="preserve"> statistically</w:t>
      </w:r>
      <w:r w:rsidR="00923B18" w:rsidRPr="00B42397">
        <w:rPr>
          <w:color w:val="000000" w:themeColor="text1"/>
        </w:rPr>
        <w:t xml:space="preserve"> significantly </w:t>
      </w:r>
      <w:r w:rsidR="004757C4" w:rsidRPr="00B42397">
        <w:rPr>
          <w:color w:val="000000" w:themeColor="text1"/>
        </w:rPr>
        <w:t xml:space="preserve">between </w:t>
      </w:r>
      <w:r w:rsidR="00923B18" w:rsidRPr="00B42397">
        <w:rPr>
          <w:color w:val="000000" w:themeColor="text1"/>
        </w:rPr>
        <w:t xml:space="preserve">the </w:t>
      </w:r>
      <w:proofErr w:type="spellStart"/>
      <w:r w:rsidR="001F5659" w:rsidRPr="00B42397">
        <w:rPr>
          <w:color w:val="000000" w:themeColor="text1"/>
        </w:rPr>
        <w:t>ELd</w:t>
      </w:r>
      <w:proofErr w:type="spellEnd"/>
      <w:r w:rsidR="00923B18" w:rsidRPr="00B42397">
        <w:rPr>
          <w:color w:val="000000" w:themeColor="text1"/>
        </w:rPr>
        <w:t xml:space="preserve"> and </w:t>
      </w:r>
      <w:proofErr w:type="spellStart"/>
      <w:proofErr w:type="gramStart"/>
      <w:r w:rsidR="001F5659" w:rsidRPr="00B42397">
        <w:rPr>
          <w:color w:val="000000" w:themeColor="text1"/>
        </w:rPr>
        <w:t>Ld</w:t>
      </w:r>
      <w:proofErr w:type="spellEnd"/>
      <w:proofErr w:type="gramEnd"/>
      <w:r w:rsidR="00923B18" w:rsidRPr="00B42397">
        <w:rPr>
          <w:color w:val="000000" w:themeColor="text1"/>
        </w:rPr>
        <w:t xml:space="preserve"> arms. </w:t>
      </w:r>
      <w:r w:rsidR="004757C4" w:rsidRPr="00B42397">
        <w:rPr>
          <w:color w:val="000000" w:themeColor="text1"/>
        </w:rPr>
        <w:t>T</w:t>
      </w:r>
      <w:r w:rsidR="00923B18" w:rsidRPr="00B42397">
        <w:rPr>
          <w:color w:val="000000" w:themeColor="text1"/>
        </w:rPr>
        <w:t>he</w:t>
      </w:r>
      <w:r w:rsidR="005E7CB8" w:rsidRPr="00B42397">
        <w:rPr>
          <w:color w:val="000000" w:themeColor="text1"/>
        </w:rPr>
        <w:t xml:space="preserve"> ESC noted that the</w:t>
      </w:r>
      <w:r w:rsidR="00923B18" w:rsidRPr="00B42397">
        <w:rPr>
          <w:color w:val="000000" w:themeColor="text1"/>
        </w:rPr>
        <w:t xml:space="preserve">re was </w:t>
      </w:r>
      <w:r w:rsidR="004757C4" w:rsidRPr="00B42397">
        <w:rPr>
          <w:color w:val="000000" w:themeColor="text1"/>
        </w:rPr>
        <w:t xml:space="preserve">a statistically significant </w:t>
      </w:r>
      <w:r w:rsidR="00923B18" w:rsidRPr="00B42397">
        <w:rPr>
          <w:color w:val="000000" w:themeColor="text1"/>
        </w:rPr>
        <w:t xml:space="preserve">higher risk of </w:t>
      </w:r>
      <w:proofErr w:type="spellStart"/>
      <w:r w:rsidR="00923B18" w:rsidRPr="00B42397">
        <w:rPr>
          <w:color w:val="000000" w:themeColor="text1"/>
        </w:rPr>
        <w:t>lymphopenia</w:t>
      </w:r>
      <w:proofErr w:type="spellEnd"/>
      <w:r w:rsidR="00923B18" w:rsidRPr="00B42397">
        <w:rPr>
          <w:color w:val="000000" w:themeColor="text1"/>
        </w:rPr>
        <w:t xml:space="preserve"> (RR</w:t>
      </w:r>
      <w:r w:rsidR="004757C4" w:rsidRPr="00B42397">
        <w:rPr>
          <w:color w:val="000000" w:themeColor="text1"/>
        </w:rPr>
        <w:t xml:space="preserve"> =</w:t>
      </w:r>
      <w:r w:rsidR="00923B18" w:rsidRPr="00B42397">
        <w:rPr>
          <w:color w:val="000000" w:themeColor="text1"/>
        </w:rPr>
        <w:t>2.24; 95%</w:t>
      </w:r>
      <w:r w:rsidR="004757C4" w:rsidRPr="00B42397">
        <w:rPr>
          <w:color w:val="000000" w:themeColor="text1"/>
        </w:rPr>
        <w:t xml:space="preserve"> </w:t>
      </w:r>
      <w:r w:rsidR="00923B18" w:rsidRPr="00B42397">
        <w:rPr>
          <w:color w:val="000000" w:themeColor="text1"/>
        </w:rPr>
        <w:t>CI: 1.16,</w:t>
      </w:r>
      <w:r w:rsidR="00C41697" w:rsidRPr="00B42397">
        <w:rPr>
          <w:color w:val="000000" w:themeColor="text1"/>
        </w:rPr>
        <w:t xml:space="preserve"> </w:t>
      </w:r>
      <w:r w:rsidR="00923B18" w:rsidRPr="00B42397">
        <w:rPr>
          <w:color w:val="000000" w:themeColor="text1"/>
        </w:rPr>
        <w:t>4.35) and deep vein thrombosis (DVT</w:t>
      </w:r>
      <w:r w:rsidR="006940F2" w:rsidRPr="00B42397">
        <w:rPr>
          <w:color w:val="000000" w:themeColor="text1"/>
        </w:rPr>
        <w:t xml:space="preserve">; </w:t>
      </w:r>
      <w:r w:rsidR="00923B18" w:rsidRPr="00B42397">
        <w:rPr>
          <w:color w:val="000000" w:themeColor="text1"/>
        </w:rPr>
        <w:t>RR</w:t>
      </w:r>
      <w:r w:rsidR="004757C4" w:rsidRPr="00B42397">
        <w:rPr>
          <w:color w:val="000000" w:themeColor="text1"/>
        </w:rPr>
        <w:t xml:space="preserve"> = </w:t>
      </w:r>
      <w:r w:rsidR="00923B18" w:rsidRPr="00B42397">
        <w:rPr>
          <w:color w:val="000000" w:themeColor="text1"/>
        </w:rPr>
        <w:t>2.62; 95%</w:t>
      </w:r>
      <w:r w:rsidR="004757C4" w:rsidRPr="00B42397">
        <w:rPr>
          <w:color w:val="000000" w:themeColor="text1"/>
        </w:rPr>
        <w:t xml:space="preserve"> </w:t>
      </w:r>
      <w:r w:rsidR="00923B18" w:rsidRPr="00B42397">
        <w:rPr>
          <w:color w:val="000000" w:themeColor="text1"/>
        </w:rPr>
        <w:t>CI: 1.18, 5.82)</w:t>
      </w:r>
      <w:r w:rsidR="004757C4" w:rsidRPr="00B42397">
        <w:rPr>
          <w:color w:val="000000" w:themeColor="text1"/>
        </w:rPr>
        <w:t xml:space="preserve"> with </w:t>
      </w:r>
      <w:proofErr w:type="spellStart"/>
      <w:r w:rsidR="001F5659" w:rsidRPr="00B42397">
        <w:rPr>
          <w:color w:val="000000" w:themeColor="text1"/>
        </w:rPr>
        <w:t>ELd</w:t>
      </w:r>
      <w:proofErr w:type="spellEnd"/>
      <w:r w:rsidR="004757C4" w:rsidRPr="00B42397">
        <w:rPr>
          <w:color w:val="000000" w:themeColor="text1"/>
        </w:rPr>
        <w:t xml:space="preserve"> treatment compared to </w:t>
      </w:r>
      <w:r w:rsidR="001F5659" w:rsidRPr="00B42397">
        <w:rPr>
          <w:color w:val="000000" w:themeColor="text1"/>
        </w:rPr>
        <w:t>Ld</w:t>
      </w:r>
      <w:r w:rsidR="00923B18" w:rsidRPr="00B42397">
        <w:rPr>
          <w:color w:val="000000" w:themeColor="text1"/>
        </w:rPr>
        <w:t xml:space="preserve">. </w:t>
      </w:r>
      <w:r w:rsidR="00E23680" w:rsidRPr="00B42397">
        <w:rPr>
          <w:color w:val="000000" w:themeColor="text1"/>
        </w:rPr>
        <w:t xml:space="preserve">The submission stated that post-hoc analysis found no </w:t>
      </w:r>
      <w:r w:rsidR="00E23680" w:rsidRPr="00B42397">
        <w:t>significant differences in the incidence</w:t>
      </w:r>
      <w:r w:rsidR="00123B88" w:rsidRPr="00B42397">
        <w:t>s of</w:t>
      </w:r>
      <w:r w:rsidR="00E23680" w:rsidRPr="00B42397">
        <w:t xml:space="preserve"> any specified serious AE</w:t>
      </w:r>
      <w:r w:rsidR="00123B88" w:rsidRPr="00B42397">
        <w:t>s</w:t>
      </w:r>
      <w:r w:rsidR="00E23680" w:rsidRPr="00B42397">
        <w:t>.</w:t>
      </w:r>
      <w:r w:rsidR="008A0C4A" w:rsidRPr="00B42397">
        <w:t xml:space="preserve"> </w:t>
      </w:r>
      <w:r w:rsidR="009773A4" w:rsidRPr="00B42397">
        <w:rPr>
          <w:iCs/>
        </w:rPr>
        <w:t xml:space="preserve">Grade 3-4 DVTs were more likely to occur in patients treated with </w:t>
      </w:r>
      <w:proofErr w:type="spellStart"/>
      <w:r w:rsidR="001F5659" w:rsidRPr="00B42397">
        <w:rPr>
          <w:iCs/>
        </w:rPr>
        <w:t>ELd</w:t>
      </w:r>
      <w:proofErr w:type="spellEnd"/>
      <w:r w:rsidR="009773A4" w:rsidRPr="00B42397">
        <w:rPr>
          <w:iCs/>
        </w:rPr>
        <w:t xml:space="preserve">. As DVTs are a known side-effect of </w:t>
      </w:r>
      <w:proofErr w:type="spellStart"/>
      <w:proofErr w:type="gramStart"/>
      <w:r w:rsidR="001F5659" w:rsidRPr="00B42397">
        <w:rPr>
          <w:iCs/>
        </w:rPr>
        <w:t>Ld</w:t>
      </w:r>
      <w:proofErr w:type="spellEnd"/>
      <w:proofErr w:type="gramEnd"/>
      <w:r w:rsidR="009773A4" w:rsidRPr="00B42397">
        <w:rPr>
          <w:iCs/>
        </w:rPr>
        <w:t xml:space="preserve">, the increase in the risk for </w:t>
      </w:r>
      <w:proofErr w:type="spellStart"/>
      <w:r w:rsidR="001F5659" w:rsidRPr="00B42397">
        <w:rPr>
          <w:iCs/>
        </w:rPr>
        <w:t>ELd</w:t>
      </w:r>
      <w:proofErr w:type="spellEnd"/>
      <w:r w:rsidR="009773A4" w:rsidRPr="00B42397">
        <w:rPr>
          <w:iCs/>
        </w:rPr>
        <w:t xml:space="preserve"> relative to </w:t>
      </w:r>
      <w:proofErr w:type="spellStart"/>
      <w:r w:rsidR="001F5659" w:rsidRPr="00B42397">
        <w:rPr>
          <w:iCs/>
        </w:rPr>
        <w:t>Ld</w:t>
      </w:r>
      <w:proofErr w:type="spellEnd"/>
      <w:r w:rsidR="009773A4" w:rsidRPr="00B42397">
        <w:rPr>
          <w:iCs/>
        </w:rPr>
        <w:t xml:space="preserve"> may be due to the addition of elotuzumab.</w:t>
      </w:r>
      <w:r w:rsidR="009773A4" w:rsidRPr="00B42397">
        <w:rPr>
          <w:color w:val="000000" w:themeColor="text1"/>
        </w:rPr>
        <w:t xml:space="preserve"> </w:t>
      </w:r>
      <w:r w:rsidR="00807FCB" w:rsidRPr="00B42397">
        <w:rPr>
          <w:color w:val="000000" w:themeColor="text1"/>
        </w:rPr>
        <w:t xml:space="preserve">There was a significantly higher risk in the </w:t>
      </w:r>
      <w:proofErr w:type="spellStart"/>
      <w:r w:rsidR="001F5659" w:rsidRPr="00B42397">
        <w:rPr>
          <w:color w:val="000000" w:themeColor="text1"/>
        </w:rPr>
        <w:t>ELd</w:t>
      </w:r>
      <w:proofErr w:type="spellEnd"/>
      <w:r w:rsidR="00807FCB" w:rsidRPr="00B42397">
        <w:rPr>
          <w:color w:val="000000" w:themeColor="text1"/>
        </w:rPr>
        <w:t xml:space="preserve"> arm with respect to</w:t>
      </w:r>
      <w:r w:rsidR="0059566A" w:rsidRPr="00B42397">
        <w:rPr>
          <w:color w:val="000000" w:themeColor="text1"/>
        </w:rPr>
        <w:t xml:space="preserve"> </w:t>
      </w:r>
      <w:r w:rsidR="00807FCB" w:rsidRPr="00B42397">
        <w:rPr>
          <w:color w:val="000000" w:themeColor="text1"/>
        </w:rPr>
        <w:t xml:space="preserve">AEs and </w:t>
      </w:r>
      <w:r w:rsidR="00376A9D" w:rsidRPr="00B42397">
        <w:rPr>
          <w:color w:val="000000" w:themeColor="text1"/>
        </w:rPr>
        <w:t xml:space="preserve">serious </w:t>
      </w:r>
      <w:r w:rsidR="00807FCB" w:rsidRPr="00B42397">
        <w:rPr>
          <w:color w:val="000000" w:themeColor="text1"/>
        </w:rPr>
        <w:t>AEs</w:t>
      </w:r>
      <w:r w:rsidR="000A0228" w:rsidRPr="00B42397">
        <w:rPr>
          <w:color w:val="000000" w:themeColor="text1"/>
        </w:rPr>
        <w:t xml:space="preserve"> of special interest</w:t>
      </w:r>
      <w:r w:rsidR="00807FCB" w:rsidRPr="00B42397">
        <w:rPr>
          <w:color w:val="000000" w:themeColor="text1"/>
        </w:rPr>
        <w:t xml:space="preserve"> </w:t>
      </w:r>
      <w:r w:rsidR="0059566A" w:rsidRPr="00B42397">
        <w:rPr>
          <w:color w:val="000000" w:themeColor="text1"/>
        </w:rPr>
        <w:t>(</w:t>
      </w:r>
      <w:r w:rsidR="00807FCB" w:rsidRPr="00B42397">
        <w:rPr>
          <w:color w:val="000000" w:themeColor="text1"/>
        </w:rPr>
        <w:t>infections and infestations of any grade and Grade 3-4</w:t>
      </w:r>
      <w:r w:rsidR="0059566A" w:rsidRPr="00B42397">
        <w:rPr>
          <w:color w:val="000000" w:themeColor="text1"/>
        </w:rPr>
        <w:t>)</w:t>
      </w:r>
      <w:r w:rsidR="00807FCB" w:rsidRPr="00B42397">
        <w:rPr>
          <w:color w:val="000000" w:themeColor="text1"/>
        </w:rPr>
        <w:t xml:space="preserve"> compared to </w:t>
      </w:r>
      <w:r w:rsidR="001F5659" w:rsidRPr="00B42397">
        <w:rPr>
          <w:color w:val="000000" w:themeColor="text1"/>
        </w:rPr>
        <w:t>Ld</w:t>
      </w:r>
      <w:r w:rsidR="00807FCB" w:rsidRPr="00B42397">
        <w:rPr>
          <w:color w:val="000000" w:themeColor="text1"/>
        </w:rPr>
        <w:t xml:space="preserve">. </w:t>
      </w:r>
      <w:r w:rsidR="005E5144" w:rsidRPr="00B42397">
        <w:rPr>
          <w:color w:val="000000" w:themeColor="text1"/>
        </w:rPr>
        <w:t xml:space="preserve">The submission stated that </w:t>
      </w:r>
      <w:r w:rsidR="00E426DE" w:rsidRPr="00B42397">
        <w:rPr>
          <w:color w:val="000000" w:themeColor="text1"/>
        </w:rPr>
        <w:t>elotuzumab has the potential to affect immune cells and increase the risk of infection due to the expression</w:t>
      </w:r>
      <w:r w:rsidR="00836528" w:rsidRPr="00B42397">
        <w:rPr>
          <w:color w:val="000000" w:themeColor="text1"/>
        </w:rPr>
        <w:t xml:space="preserve"> pattern of SLAMF7.</w:t>
      </w:r>
    </w:p>
    <w:p w14:paraId="14FEDA08" w14:textId="77777777" w:rsidR="00923B18" w:rsidRPr="00B42397" w:rsidRDefault="00807FCB" w:rsidP="00807FCB">
      <w:pPr>
        <w:pStyle w:val="3-BodyText"/>
        <w:rPr>
          <w:color w:val="000000" w:themeColor="text1"/>
        </w:rPr>
      </w:pPr>
      <w:r w:rsidRPr="00B42397">
        <w:t>The c</w:t>
      </w:r>
      <w:r w:rsidR="005A160C" w:rsidRPr="00B42397">
        <w:t>ost</w:t>
      </w:r>
      <w:r w:rsidRPr="00B42397">
        <w:t>s</w:t>
      </w:r>
      <w:r w:rsidR="005A160C" w:rsidRPr="00B42397">
        <w:t xml:space="preserve"> of using growth-colony stimulating factors (G-CSF) associated with neutropenia were included in the CMA.</w:t>
      </w:r>
      <w:r w:rsidRPr="00B42397">
        <w:rPr>
          <w:color w:val="000000" w:themeColor="text1"/>
        </w:rPr>
        <w:t xml:space="preserve"> </w:t>
      </w:r>
      <w:r w:rsidR="009F749D" w:rsidRPr="00B42397">
        <w:rPr>
          <w:color w:val="000000" w:themeColor="text1"/>
        </w:rPr>
        <w:t xml:space="preserve">Cost of </w:t>
      </w:r>
      <w:r w:rsidR="00ED3970" w:rsidRPr="00B42397">
        <w:rPr>
          <w:color w:val="000000" w:themeColor="text1"/>
        </w:rPr>
        <w:t xml:space="preserve">aspirin </w:t>
      </w:r>
      <w:r w:rsidR="001B6270" w:rsidRPr="00B42397">
        <w:rPr>
          <w:color w:val="000000" w:themeColor="text1"/>
        </w:rPr>
        <w:t xml:space="preserve">and enoxaparin, and cost of </w:t>
      </w:r>
      <w:r w:rsidR="004A0BB7" w:rsidRPr="00B42397">
        <w:t>dexamethasone, diphenhydramine, ranitidine and paracetamol</w:t>
      </w:r>
      <w:r w:rsidR="00ED3970" w:rsidRPr="00B42397">
        <w:rPr>
          <w:color w:val="000000" w:themeColor="text1"/>
        </w:rPr>
        <w:t xml:space="preserve"> </w:t>
      </w:r>
      <w:r w:rsidR="009F749D" w:rsidRPr="00B42397">
        <w:t xml:space="preserve">to prevent thromboembolic events and infusion reactions, respectively, were </w:t>
      </w:r>
      <w:r w:rsidRPr="00B42397">
        <w:t xml:space="preserve">also </w:t>
      </w:r>
      <w:r w:rsidR="009F749D" w:rsidRPr="00B42397">
        <w:t>included in the CMA.</w:t>
      </w:r>
    </w:p>
    <w:p w14:paraId="0FFF2160" w14:textId="77777777" w:rsidR="00181021" w:rsidRPr="00B42397" w:rsidRDefault="00181021" w:rsidP="00181021">
      <w:pPr>
        <w:pStyle w:val="3-BodyText"/>
        <w:numPr>
          <w:ilvl w:val="0"/>
          <w:numId w:val="0"/>
        </w:numPr>
        <w:rPr>
          <w:color w:val="000000" w:themeColor="text1"/>
          <w:u w:val="single"/>
        </w:rPr>
      </w:pPr>
      <w:r w:rsidRPr="00B42397">
        <w:rPr>
          <w:u w:val="single"/>
        </w:rPr>
        <w:t>Cd versus Bd –</w:t>
      </w:r>
      <w:r w:rsidRPr="00B42397">
        <w:rPr>
          <w:color w:val="000000" w:themeColor="text1"/>
          <w:u w:val="single"/>
        </w:rPr>
        <w:t xml:space="preserve"> ENDEAVOR trial</w:t>
      </w:r>
    </w:p>
    <w:p w14:paraId="49B029C1" w14:textId="77777777" w:rsidR="00923B18" w:rsidRPr="00B42397" w:rsidRDefault="00923B18" w:rsidP="00D22226">
      <w:pPr>
        <w:pStyle w:val="3-BodyText"/>
        <w:rPr>
          <w:color w:val="000000" w:themeColor="text1"/>
        </w:rPr>
      </w:pPr>
      <w:r w:rsidRPr="00B42397">
        <w:rPr>
          <w:color w:val="000000" w:themeColor="text1"/>
        </w:rPr>
        <w:t xml:space="preserve">The summary of AEs reported in ENDEAVOR </w:t>
      </w:r>
      <w:r w:rsidR="0059566A" w:rsidRPr="00B42397">
        <w:rPr>
          <w:color w:val="000000" w:themeColor="text1"/>
        </w:rPr>
        <w:t xml:space="preserve">is </w:t>
      </w:r>
      <w:r w:rsidRPr="00B42397">
        <w:rPr>
          <w:color w:val="000000" w:themeColor="text1"/>
        </w:rPr>
        <w:t xml:space="preserve">presented in Table </w:t>
      </w:r>
      <w:r w:rsidR="00421BB2" w:rsidRPr="00B42397">
        <w:rPr>
          <w:color w:val="000000" w:themeColor="text1"/>
        </w:rPr>
        <w:t>10</w:t>
      </w:r>
      <w:r w:rsidRPr="00B42397">
        <w:rPr>
          <w:color w:val="000000" w:themeColor="text1"/>
        </w:rPr>
        <w:t xml:space="preserve">. Treatment with Cd was associated with more </w:t>
      </w:r>
      <w:r w:rsidR="00181021" w:rsidRPr="00B42397">
        <w:rPr>
          <w:color w:val="000000" w:themeColor="text1"/>
        </w:rPr>
        <w:t xml:space="preserve">Grade 3+ and </w:t>
      </w:r>
      <w:r w:rsidR="00376A9D" w:rsidRPr="00B42397">
        <w:rPr>
          <w:color w:val="000000" w:themeColor="text1"/>
        </w:rPr>
        <w:t xml:space="preserve">serious </w:t>
      </w:r>
      <w:r w:rsidR="00807FCB" w:rsidRPr="00B42397">
        <w:rPr>
          <w:color w:val="000000" w:themeColor="text1"/>
        </w:rPr>
        <w:t xml:space="preserve">AEs </w:t>
      </w:r>
      <w:r w:rsidRPr="00B42397">
        <w:rPr>
          <w:color w:val="000000" w:themeColor="text1"/>
        </w:rPr>
        <w:t>than Bd</w:t>
      </w:r>
      <w:r w:rsidR="00181021" w:rsidRPr="00B42397">
        <w:rPr>
          <w:color w:val="000000" w:themeColor="text1"/>
        </w:rPr>
        <w:t>; however, Bd was associated with more dose reductions</w:t>
      </w:r>
      <w:r w:rsidRPr="00B42397">
        <w:rPr>
          <w:color w:val="000000" w:themeColor="text1"/>
        </w:rPr>
        <w:t>.</w:t>
      </w:r>
    </w:p>
    <w:p w14:paraId="063EAEB4" w14:textId="77777777" w:rsidR="005A160C" w:rsidRPr="00B42397" w:rsidRDefault="005A160C" w:rsidP="00C80350">
      <w:pPr>
        <w:keepNext/>
        <w:rPr>
          <w:bCs/>
        </w:rPr>
      </w:pPr>
      <w:r w:rsidRPr="00B42397">
        <w:rPr>
          <w:rStyle w:val="CommentReference"/>
          <w:bCs/>
          <w:szCs w:val="24"/>
        </w:rPr>
        <w:lastRenderedPageBreak/>
        <w:t xml:space="preserve">Table </w:t>
      </w:r>
      <w:r w:rsidR="00421BB2" w:rsidRPr="00B42397">
        <w:rPr>
          <w:rStyle w:val="CommentReference"/>
          <w:bCs/>
          <w:szCs w:val="24"/>
        </w:rPr>
        <w:t>10</w:t>
      </w:r>
      <w:r w:rsidRPr="00B42397">
        <w:rPr>
          <w:rStyle w:val="CommentReference"/>
          <w:bCs/>
          <w:szCs w:val="24"/>
        </w:rPr>
        <w:t xml:space="preserve">: Summary of safety outcomes from </w:t>
      </w:r>
      <w:r w:rsidR="005118C8" w:rsidRPr="00B42397">
        <w:rPr>
          <w:rStyle w:val="CommentReference"/>
          <w:bCs/>
          <w:szCs w:val="24"/>
        </w:rPr>
        <w:t>ENDEAVOR (</w:t>
      </w:r>
      <w:r w:rsidR="00123B88" w:rsidRPr="00B42397">
        <w:rPr>
          <w:rStyle w:val="CommentReference"/>
          <w:bCs/>
          <w:szCs w:val="24"/>
        </w:rPr>
        <w:t xml:space="preserve">19 July 2017 data cut-off; </w:t>
      </w:r>
      <w:r w:rsidR="0079055B" w:rsidRPr="00B42397">
        <w:rPr>
          <w:rStyle w:val="CommentReference"/>
          <w:bCs/>
          <w:szCs w:val="24"/>
        </w:rPr>
        <w:t xml:space="preserve">median OS follow-up </w:t>
      </w:r>
      <w:r w:rsidR="00123B88" w:rsidRPr="00B42397">
        <w:rPr>
          <w:rStyle w:val="CommentReference"/>
          <w:bCs/>
          <w:szCs w:val="24"/>
        </w:rPr>
        <w:t xml:space="preserve">of </w:t>
      </w:r>
      <w:r w:rsidR="0079055B" w:rsidRPr="00B42397">
        <w:rPr>
          <w:rStyle w:val="CommentReference"/>
          <w:bCs/>
          <w:szCs w:val="24"/>
        </w:rPr>
        <w:t>37.2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701"/>
        <w:gridCol w:w="1508"/>
      </w:tblGrid>
      <w:tr w:rsidR="005A160C" w:rsidRPr="00B42397" w14:paraId="6AE545A6" w14:textId="77777777" w:rsidTr="001003E6">
        <w:trPr>
          <w:tblHeader/>
        </w:trPr>
        <w:tc>
          <w:tcPr>
            <w:tcW w:w="4106" w:type="dxa"/>
            <w:tcMar>
              <w:left w:w="28" w:type="dxa"/>
              <w:right w:w="28" w:type="dxa"/>
            </w:tcMar>
            <w:vAlign w:val="center"/>
          </w:tcPr>
          <w:p w14:paraId="2DC0DDD9" w14:textId="77777777" w:rsidR="005A160C" w:rsidRPr="00B42397" w:rsidRDefault="005A160C" w:rsidP="00C80350">
            <w:pPr>
              <w:pStyle w:val="Tabletext"/>
              <w:keepNext/>
              <w:rPr>
                <w:b/>
              </w:rPr>
            </w:pPr>
          </w:p>
        </w:tc>
        <w:tc>
          <w:tcPr>
            <w:tcW w:w="1701" w:type="dxa"/>
            <w:tcMar>
              <w:left w:w="28" w:type="dxa"/>
              <w:right w:w="28" w:type="dxa"/>
            </w:tcMar>
            <w:vAlign w:val="center"/>
          </w:tcPr>
          <w:p w14:paraId="5B0B98FC" w14:textId="77777777" w:rsidR="005A160C" w:rsidRPr="00B42397" w:rsidRDefault="005A160C" w:rsidP="00C80350">
            <w:pPr>
              <w:pStyle w:val="Tabletext"/>
              <w:keepNext/>
              <w:jc w:val="center"/>
              <w:rPr>
                <w:b/>
              </w:rPr>
            </w:pPr>
            <w:r w:rsidRPr="00B42397">
              <w:rPr>
                <w:b/>
              </w:rPr>
              <w:t>Cd</w:t>
            </w:r>
          </w:p>
          <w:p w14:paraId="66F8DC81" w14:textId="77777777" w:rsidR="005A160C" w:rsidRPr="00B42397" w:rsidRDefault="005A160C" w:rsidP="00C80350">
            <w:pPr>
              <w:pStyle w:val="Tabletext"/>
              <w:keepNext/>
              <w:jc w:val="center"/>
              <w:rPr>
                <w:b/>
              </w:rPr>
            </w:pPr>
            <w:proofErr w:type="gramStart"/>
            <w:r w:rsidRPr="00B42397">
              <w:rPr>
                <w:b/>
              </w:rPr>
              <w:t>n</w:t>
            </w:r>
            <w:proofErr w:type="gramEnd"/>
            <w:r w:rsidRPr="00B42397">
              <w:rPr>
                <w:b/>
              </w:rPr>
              <w:t xml:space="preserve"> with event/N (%)</w:t>
            </w:r>
          </w:p>
        </w:tc>
        <w:tc>
          <w:tcPr>
            <w:tcW w:w="1701" w:type="dxa"/>
            <w:tcMar>
              <w:left w:w="28" w:type="dxa"/>
              <w:right w:w="28" w:type="dxa"/>
            </w:tcMar>
            <w:vAlign w:val="center"/>
          </w:tcPr>
          <w:p w14:paraId="74301C59" w14:textId="77777777" w:rsidR="005A160C" w:rsidRPr="00B42397" w:rsidRDefault="005A160C" w:rsidP="00C80350">
            <w:pPr>
              <w:pStyle w:val="Tabletext"/>
              <w:keepNext/>
              <w:jc w:val="center"/>
              <w:rPr>
                <w:b/>
              </w:rPr>
            </w:pPr>
            <w:r w:rsidRPr="00B42397">
              <w:rPr>
                <w:b/>
              </w:rPr>
              <w:t>Bd</w:t>
            </w:r>
          </w:p>
          <w:p w14:paraId="74BC7A37" w14:textId="77777777" w:rsidR="005A160C" w:rsidRPr="00B42397" w:rsidRDefault="005A160C" w:rsidP="00C80350">
            <w:pPr>
              <w:pStyle w:val="Tabletext"/>
              <w:keepNext/>
              <w:jc w:val="center"/>
              <w:rPr>
                <w:b/>
              </w:rPr>
            </w:pPr>
            <w:proofErr w:type="gramStart"/>
            <w:r w:rsidRPr="00B42397">
              <w:rPr>
                <w:b/>
              </w:rPr>
              <w:t>n</w:t>
            </w:r>
            <w:proofErr w:type="gramEnd"/>
            <w:r w:rsidRPr="00B42397">
              <w:rPr>
                <w:b/>
              </w:rPr>
              <w:t xml:space="preserve"> with event/N (%)</w:t>
            </w:r>
          </w:p>
        </w:tc>
        <w:tc>
          <w:tcPr>
            <w:tcW w:w="1508" w:type="dxa"/>
            <w:tcMar>
              <w:left w:w="28" w:type="dxa"/>
              <w:right w:w="28" w:type="dxa"/>
            </w:tcMar>
            <w:vAlign w:val="center"/>
          </w:tcPr>
          <w:p w14:paraId="7DA981CB" w14:textId="77777777" w:rsidR="005A160C" w:rsidRPr="00B42397" w:rsidRDefault="005A160C" w:rsidP="00C80350">
            <w:pPr>
              <w:pStyle w:val="Tabletext"/>
              <w:keepNext/>
              <w:jc w:val="center"/>
              <w:rPr>
                <w:b/>
              </w:rPr>
            </w:pPr>
            <w:r w:rsidRPr="00B42397">
              <w:rPr>
                <w:b/>
              </w:rPr>
              <w:t>RR (95% CI)*</w:t>
            </w:r>
          </w:p>
        </w:tc>
      </w:tr>
      <w:tr w:rsidR="005A160C" w:rsidRPr="00B42397" w14:paraId="03FD03B4" w14:textId="77777777" w:rsidTr="001003E6">
        <w:tc>
          <w:tcPr>
            <w:tcW w:w="4106" w:type="dxa"/>
            <w:tcMar>
              <w:left w:w="28" w:type="dxa"/>
              <w:right w:w="28" w:type="dxa"/>
            </w:tcMar>
          </w:tcPr>
          <w:p w14:paraId="78ADE9B6" w14:textId="77777777" w:rsidR="005A160C" w:rsidRPr="00B42397" w:rsidRDefault="005A160C" w:rsidP="00C80350">
            <w:pPr>
              <w:pStyle w:val="Tabletext"/>
              <w:keepNext/>
            </w:pPr>
            <w:r w:rsidRPr="00B42397">
              <w:t>Patients with any AE</w:t>
            </w:r>
          </w:p>
        </w:tc>
        <w:tc>
          <w:tcPr>
            <w:tcW w:w="1701" w:type="dxa"/>
            <w:tcMar>
              <w:left w:w="28" w:type="dxa"/>
              <w:right w:w="28" w:type="dxa"/>
            </w:tcMar>
          </w:tcPr>
          <w:p w14:paraId="42EBE76C" w14:textId="77777777" w:rsidR="005A160C" w:rsidRPr="00B42397" w:rsidRDefault="005A160C" w:rsidP="00C80350">
            <w:pPr>
              <w:pStyle w:val="Tabletext"/>
              <w:keepNext/>
              <w:jc w:val="center"/>
            </w:pPr>
            <w:r w:rsidRPr="00B42397">
              <w:t>457</w:t>
            </w:r>
            <w:r w:rsidR="000064AD" w:rsidRPr="00B42397">
              <w:t>/463</w:t>
            </w:r>
            <w:r w:rsidRPr="00B42397">
              <w:t xml:space="preserve"> (98.7%)</w:t>
            </w:r>
          </w:p>
        </w:tc>
        <w:tc>
          <w:tcPr>
            <w:tcW w:w="1701" w:type="dxa"/>
            <w:tcMar>
              <w:left w:w="28" w:type="dxa"/>
              <w:right w:w="28" w:type="dxa"/>
            </w:tcMar>
          </w:tcPr>
          <w:p w14:paraId="6F1A0142" w14:textId="77777777" w:rsidR="005A160C" w:rsidRPr="00B42397" w:rsidRDefault="005A160C" w:rsidP="00C80350">
            <w:pPr>
              <w:pStyle w:val="Tabletext"/>
              <w:keepNext/>
              <w:jc w:val="center"/>
            </w:pPr>
            <w:r w:rsidRPr="00B42397">
              <w:t>451</w:t>
            </w:r>
            <w:r w:rsidR="000064AD" w:rsidRPr="00B42397">
              <w:t>/456</w:t>
            </w:r>
            <w:r w:rsidRPr="00B42397">
              <w:t xml:space="preserve"> (98.9%)</w:t>
            </w:r>
          </w:p>
        </w:tc>
        <w:tc>
          <w:tcPr>
            <w:tcW w:w="1508" w:type="dxa"/>
            <w:tcMar>
              <w:left w:w="28" w:type="dxa"/>
              <w:right w:w="28" w:type="dxa"/>
            </w:tcMar>
          </w:tcPr>
          <w:p w14:paraId="53AF37D0" w14:textId="77777777" w:rsidR="005A160C" w:rsidRPr="00B42397" w:rsidRDefault="005A160C" w:rsidP="00C80350">
            <w:pPr>
              <w:pStyle w:val="Tabletext"/>
              <w:keepNext/>
              <w:jc w:val="center"/>
            </w:pPr>
            <w:r w:rsidRPr="00B42397">
              <w:t>1.00 (0.98, 1.01)</w:t>
            </w:r>
          </w:p>
        </w:tc>
      </w:tr>
      <w:tr w:rsidR="005A160C" w:rsidRPr="00B42397" w14:paraId="3976783F" w14:textId="77777777" w:rsidTr="001003E6">
        <w:tc>
          <w:tcPr>
            <w:tcW w:w="4106" w:type="dxa"/>
            <w:tcMar>
              <w:left w:w="28" w:type="dxa"/>
              <w:right w:w="28" w:type="dxa"/>
            </w:tcMar>
          </w:tcPr>
          <w:p w14:paraId="1C83BB67" w14:textId="77777777" w:rsidR="005A160C" w:rsidRPr="00B42397" w:rsidRDefault="005A160C" w:rsidP="00C80350">
            <w:pPr>
              <w:pStyle w:val="Tabletext"/>
              <w:keepNext/>
            </w:pPr>
            <w:r w:rsidRPr="00B42397">
              <w:t>Patients with Grade 3+ AE</w:t>
            </w:r>
          </w:p>
        </w:tc>
        <w:tc>
          <w:tcPr>
            <w:tcW w:w="1701" w:type="dxa"/>
            <w:tcMar>
              <w:left w:w="28" w:type="dxa"/>
              <w:right w:w="28" w:type="dxa"/>
            </w:tcMar>
          </w:tcPr>
          <w:p w14:paraId="04B91BF0" w14:textId="77777777" w:rsidR="005A160C" w:rsidRPr="00B42397" w:rsidRDefault="005A160C" w:rsidP="00C80350">
            <w:pPr>
              <w:pStyle w:val="Tabletext"/>
              <w:keepNext/>
              <w:jc w:val="center"/>
            </w:pPr>
            <w:r w:rsidRPr="00B42397">
              <w:t>379</w:t>
            </w:r>
            <w:r w:rsidR="000064AD" w:rsidRPr="00B42397">
              <w:t>/463</w:t>
            </w:r>
            <w:r w:rsidRPr="00B42397">
              <w:t xml:space="preserve"> (81.9%)</w:t>
            </w:r>
          </w:p>
        </w:tc>
        <w:tc>
          <w:tcPr>
            <w:tcW w:w="1701" w:type="dxa"/>
            <w:tcMar>
              <w:left w:w="28" w:type="dxa"/>
              <w:right w:w="28" w:type="dxa"/>
            </w:tcMar>
          </w:tcPr>
          <w:p w14:paraId="4C717E88" w14:textId="77777777" w:rsidR="005A160C" w:rsidRPr="00B42397" w:rsidRDefault="005A160C" w:rsidP="00C80350">
            <w:pPr>
              <w:pStyle w:val="Tabletext"/>
              <w:keepNext/>
              <w:jc w:val="center"/>
            </w:pPr>
            <w:r w:rsidRPr="00B42397">
              <w:t>324</w:t>
            </w:r>
            <w:r w:rsidR="000064AD" w:rsidRPr="00B42397">
              <w:t>/456</w:t>
            </w:r>
            <w:r w:rsidRPr="00B42397">
              <w:t xml:space="preserve"> (71.1%)</w:t>
            </w:r>
          </w:p>
        </w:tc>
        <w:tc>
          <w:tcPr>
            <w:tcW w:w="1508" w:type="dxa"/>
            <w:tcMar>
              <w:left w:w="28" w:type="dxa"/>
              <w:right w:w="28" w:type="dxa"/>
            </w:tcMar>
          </w:tcPr>
          <w:p w14:paraId="39101806" w14:textId="77777777" w:rsidR="005A160C" w:rsidRPr="00B42397" w:rsidRDefault="005A160C" w:rsidP="00C80350">
            <w:pPr>
              <w:pStyle w:val="Tabletext"/>
              <w:keepNext/>
              <w:jc w:val="center"/>
              <w:rPr>
                <w:b/>
              </w:rPr>
            </w:pPr>
            <w:r w:rsidRPr="00B42397">
              <w:rPr>
                <w:b/>
                <w:bCs/>
              </w:rPr>
              <w:t>1.15 (1.07, 1.24)</w:t>
            </w:r>
          </w:p>
        </w:tc>
      </w:tr>
      <w:tr w:rsidR="005A160C" w:rsidRPr="00B42397" w14:paraId="41C5865A" w14:textId="77777777" w:rsidTr="001003E6">
        <w:tc>
          <w:tcPr>
            <w:tcW w:w="4106" w:type="dxa"/>
            <w:tcMar>
              <w:left w:w="28" w:type="dxa"/>
              <w:right w:w="28" w:type="dxa"/>
            </w:tcMar>
          </w:tcPr>
          <w:p w14:paraId="10EFC91A" w14:textId="77777777" w:rsidR="005A160C" w:rsidRPr="00B42397" w:rsidRDefault="005A160C" w:rsidP="00C80350">
            <w:pPr>
              <w:pStyle w:val="Tabletext"/>
              <w:keepNext/>
            </w:pPr>
            <w:r w:rsidRPr="00B42397">
              <w:t>Patients with serious AE</w:t>
            </w:r>
          </w:p>
        </w:tc>
        <w:tc>
          <w:tcPr>
            <w:tcW w:w="1701" w:type="dxa"/>
            <w:tcMar>
              <w:left w:w="28" w:type="dxa"/>
              <w:right w:w="28" w:type="dxa"/>
            </w:tcMar>
          </w:tcPr>
          <w:p w14:paraId="5A02B778" w14:textId="77777777" w:rsidR="005A160C" w:rsidRPr="00B42397" w:rsidRDefault="005A160C" w:rsidP="00C80350">
            <w:pPr>
              <w:pStyle w:val="Tabletext"/>
              <w:keepNext/>
              <w:jc w:val="center"/>
            </w:pPr>
            <w:r w:rsidRPr="00B42397">
              <w:t>279</w:t>
            </w:r>
            <w:r w:rsidR="000064AD" w:rsidRPr="00B42397">
              <w:t>/463</w:t>
            </w:r>
            <w:r w:rsidRPr="00B42397">
              <w:t xml:space="preserve"> (60.3%)</w:t>
            </w:r>
          </w:p>
        </w:tc>
        <w:tc>
          <w:tcPr>
            <w:tcW w:w="1701" w:type="dxa"/>
            <w:tcMar>
              <w:left w:w="28" w:type="dxa"/>
              <w:right w:w="28" w:type="dxa"/>
            </w:tcMar>
          </w:tcPr>
          <w:p w14:paraId="35456C4F" w14:textId="77777777" w:rsidR="005A160C" w:rsidRPr="00B42397" w:rsidRDefault="005A160C" w:rsidP="00C80350">
            <w:pPr>
              <w:pStyle w:val="Tabletext"/>
              <w:keepNext/>
              <w:jc w:val="center"/>
            </w:pPr>
            <w:r w:rsidRPr="00B42397">
              <w:t>183</w:t>
            </w:r>
            <w:r w:rsidR="000064AD" w:rsidRPr="00B42397">
              <w:t>/456</w:t>
            </w:r>
            <w:r w:rsidRPr="00B42397">
              <w:t xml:space="preserve"> (40.1%)</w:t>
            </w:r>
          </w:p>
        </w:tc>
        <w:tc>
          <w:tcPr>
            <w:tcW w:w="1508" w:type="dxa"/>
            <w:tcMar>
              <w:left w:w="28" w:type="dxa"/>
              <w:right w:w="28" w:type="dxa"/>
            </w:tcMar>
          </w:tcPr>
          <w:p w14:paraId="4358D3E3" w14:textId="77777777" w:rsidR="005A160C" w:rsidRPr="00B42397" w:rsidRDefault="005A160C" w:rsidP="00C80350">
            <w:pPr>
              <w:pStyle w:val="Tabletext"/>
              <w:keepNext/>
              <w:jc w:val="center"/>
              <w:rPr>
                <w:b/>
              </w:rPr>
            </w:pPr>
            <w:r w:rsidRPr="00B42397">
              <w:rPr>
                <w:b/>
                <w:bCs/>
              </w:rPr>
              <w:t>1.50 (1.31, 1.72)</w:t>
            </w:r>
          </w:p>
        </w:tc>
      </w:tr>
      <w:tr w:rsidR="005A160C" w:rsidRPr="00B42397" w14:paraId="2DB94EE8" w14:textId="77777777" w:rsidTr="001003E6">
        <w:tc>
          <w:tcPr>
            <w:tcW w:w="4106" w:type="dxa"/>
            <w:tcMar>
              <w:left w:w="28" w:type="dxa"/>
              <w:right w:w="28" w:type="dxa"/>
            </w:tcMar>
          </w:tcPr>
          <w:p w14:paraId="51C01132" w14:textId="77777777" w:rsidR="005A160C" w:rsidRPr="00B42397" w:rsidRDefault="005A160C" w:rsidP="00C80350">
            <w:pPr>
              <w:pStyle w:val="Tabletext"/>
              <w:keepNext/>
            </w:pPr>
            <w:r w:rsidRPr="00B42397">
              <w:t>Patients with AE leading to discontinuation</w:t>
            </w:r>
          </w:p>
        </w:tc>
        <w:tc>
          <w:tcPr>
            <w:tcW w:w="1701" w:type="dxa"/>
            <w:tcMar>
              <w:left w:w="28" w:type="dxa"/>
              <w:right w:w="28" w:type="dxa"/>
            </w:tcMar>
          </w:tcPr>
          <w:p w14:paraId="50609796" w14:textId="77777777" w:rsidR="005A160C" w:rsidRPr="00B42397" w:rsidRDefault="005A160C" w:rsidP="00C80350">
            <w:pPr>
              <w:pStyle w:val="Tabletext"/>
              <w:keepNext/>
              <w:jc w:val="center"/>
            </w:pPr>
            <w:r w:rsidRPr="00B42397">
              <w:t>137</w:t>
            </w:r>
            <w:r w:rsidR="000064AD" w:rsidRPr="00B42397">
              <w:t>/463</w:t>
            </w:r>
            <w:r w:rsidRPr="00B42397">
              <w:t xml:space="preserve"> (29.6%)</w:t>
            </w:r>
          </w:p>
        </w:tc>
        <w:tc>
          <w:tcPr>
            <w:tcW w:w="1701" w:type="dxa"/>
            <w:tcMar>
              <w:left w:w="28" w:type="dxa"/>
              <w:right w:w="28" w:type="dxa"/>
            </w:tcMar>
          </w:tcPr>
          <w:p w14:paraId="24A428F7" w14:textId="77777777" w:rsidR="005A160C" w:rsidRPr="00B42397" w:rsidRDefault="005A160C" w:rsidP="00C80350">
            <w:pPr>
              <w:pStyle w:val="Tabletext"/>
              <w:keepNext/>
              <w:jc w:val="center"/>
            </w:pPr>
            <w:r w:rsidRPr="00B42397">
              <w:t>121</w:t>
            </w:r>
            <w:r w:rsidR="000064AD" w:rsidRPr="00B42397">
              <w:t>/456</w:t>
            </w:r>
            <w:r w:rsidRPr="00B42397">
              <w:t xml:space="preserve"> (26.5%)</w:t>
            </w:r>
          </w:p>
        </w:tc>
        <w:tc>
          <w:tcPr>
            <w:tcW w:w="1508" w:type="dxa"/>
            <w:tcMar>
              <w:left w:w="28" w:type="dxa"/>
              <w:right w:w="28" w:type="dxa"/>
            </w:tcMar>
          </w:tcPr>
          <w:p w14:paraId="48C44C8B" w14:textId="77777777" w:rsidR="005A160C" w:rsidRPr="00B42397" w:rsidRDefault="005A160C" w:rsidP="00C80350">
            <w:pPr>
              <w:pStyle w:val="Tabletext"/>
              <w:keepNext/>
              <w:jc w:val="center"/>
              <w:rPr>
                <w:b/>
              </w:rPr>
            </w:pPr>
            <w:r w:rsidRPr="00B42397">
              <w:t>1.12 (0.91, 1.37)</w:t>
            </w:r>
          </w:p>
        </w:tc>
      </w:tr>
      <w:tr w:rsidR="005A160C" w:rsidRPr="00B42397" w14:paraId="6151BFC9" w14:textId="77777777" w:rsidTr="001003E6">
        <w:tc>
          <w:tcPr>
            <w:tcW w:w="4106" w:type="dxa"/>
            <w:tcMar>
              <w:left w:w="28" w:type="dxa"/>
              <w:right w:w="28" w:type="dxa"/>
            </w:tcMar>
          </w:tcPr>
          <w:p w14:paraId="3914EF07" w14:textId="77777777" w:rsidR="005A160C" w:rsidRPr="00B42397" w:rsidRDefault="005A160C" w:rsidP="00C80350">
            <w:pPr>
              <w:pStyle w:val="Tabletext"/>
              <w:keepNext/>
            </w:pPr>
            <w:r w:rsidRPr="00B42397">
              <w:t>Patients with AE leading to PI dose reduction</w:t>
            </w:r>
          </w:p>
        </w:tc>
        <w:tc>
          <w:tcPr>
            <w:tcW w:w="1701" w:type="dxa"/>
            <w:tcMar>
              <w:left w:w="28" w:type="dxa"/>
              <w:right w:w="28" w:type="dxa"/>
            </w:tcMar>
          </w:tcPr>
          <w:p w14:paraId="7322A3BA" w14:textId="77777777" w:rsidR="005A160C" w:rsidRPr="00B42397" w:rsidRDefault="005A160C" w:rsidP="00C80350">
            <w:pPr>
              <w:pStyle w:val="Tabletext"/>
              <w:keepNext/>
              <w:jc w:val="center"/>
            </w:pPr>
            <w:r w:rsidRPr="00B42397">
              <w:t>138</w:t>
            </w:r>
            <w:r w:rsidR="000064AD" w:rsidRPr="00B42397">
              <w:t>/463</w:t>
            </w:r>
            <w:r w:rsidRPr="00B42397">
              <w:t xml:space="preserve"> (29.8%)</w:t>
            </w:r>
          </w:p>
        </w:tc>
        <w:tc>
          <w:tcPr>
            <w:tcW w:w="1701" w:type="dxa"/>
            <w:tcMar>
              <w:left w:w="28" w:type="dxa"/>
              <w:right w:w="28" w:type="dxa"/>
            </w:tcMar>
          </w:tcPr>
          <w:p w14:paraId="12EFFBA7" w14:textId="77777777" w:rsidR="005A160C" w:rsidRPr="00B42397" w:rsidRDefault="005A160C" w:rsidP="00C80350">
            <w:pPr>
              <w:pStyle w:val="Tabletext"/>
              <w:keepNext/>
              <w:jc w:val="center"/>
            </w:pPr>
            <w:r w:rsidRPr="00B42397">
              <w:t>226</w:t>
            </w:r>
            <w:r w:rsidR="000064AD" w:rsidRPr="00B42397">
              <w:t>/456</w:t>
            </w:r>
            <w:r w:rsidRPr="00B42397">
              <w:t xml:space="preserve"> (49.6%)</w:t>
            </w:r>
          </w:p>
        </w:tc>
        <w:tc>
          <w:tcPr>
            <w:tcW w:w="1508" w:type="dxa"/>
            <w:tcMar>
              <w:left w:w="28" w:type="dxa"/>
              <w:right w:w="28" w:type="dxa"/>
            </w:tcMar>
          </w:tcPr>
          <w:p w14:paraId="1B95EA7F" w14:textId="77777777" w:rsidR="005A160C" w:rsidRPr="00B42397" w:rsidRDefault="005A160C" w:rsidP="00C80350">
            <w:pPr>
              <w:pStyle w:val="Tabletext"/>
              <w:keepNext/>
              <w:jc w:val="center"/>
              <w:rPr>
                <w:b/>
              </w:rPr>
            </w:pPr>
            <w:r w:rsidRPr="00B42397">
              <w:rPr>
                <w:b/>
                <w:bCs/>
              </w:rPr>
              <w:t>0.60 (0.51, 0.71)</w:t>
            </w:r>
          </w:p>
        </w:tc>
      </w:tr>
      <w:tr w:rsidR="005A160C" w:rsidRPr="00B42397" w14:paraId="6E935FA3" w14:textId="77777777" w:rsidTr="001003E6">
        <w:tc>
          <w:tcPr>
            <w:tcW w:w="4106" w:type="dxa"/>
            <w:tcMar>
              <w:left w:w="28" w:type="dxa"/>
              <w:right w:w="28" w:type="dxa"/>
            </w:tcMar>
          </w:tcPr>
          <w:p w14:paraId="18375DF6" w14:textId="77777777" w:rsidR="005A160C" w:rsidRPr="00B42397" w:rsidRDefault="005A160C" w:rsidP="00C80350">
            <w:pPr>
              <w:pStyle w:val="Tabletext"/>
              <w:keepNext/>
            </w:pPr>
            <w:r w:rsidRPr="00B42397">
              <w:t xml:space="preserve">Patients with AE leading to death </w:t>
            </w:r>
          </w:p>
        </w:tc>
        <w:tc>
          <w:tcPr>
            <w:tcW w:w="1701" w:type="dxa"/>
            <w:tcMar>
              <w:left w:w="28" w:type="dxa"/>
              <w:right w:w="28" w:type="dxa"/>
            </w:tcMar>
          </w:tcPr>
          <w:p w14:paraId="1F1C54FA" w14:textId="77777777" w:rsidR="005A160C" w:rsidRPr="00B42397" w:rsidRDefault="005A160C" w:rsidP="00C80350">
            <w:pPr>
              <w:pStyle w:val="Tabletext"/>
              <w:keepNext/>
              <w:jc w:val="center"/>
            </w:pPr>
            <w:r w:rsidRPr="00B42397">
              <w:t>32</w:t>
            </w:r>
            <w:r w:rsidR="000064AD" w:rsidRPr="00B42397">
              <w:t>/463</w:t>
            </w:r>
            <w:r w:rsidRPr="00B42397">
              <w:t xml:space="preserve"> (6.9%)</w:t>
            </w:r>
          </w:p>
        </w:tc>
        <w:tc>
          <w:tcPr>
            <w:tcW w:w="1701" w:type="dxa"/>
            <w:tcMar>
              <w:left w:w="28" w:type="dxa"/>
              <w:right w:w="28" w:type="dxa"/>
            </w:tcMar>
          </w:tcPr>
          <w:p w14:paraId="1CF4AD8D" w14:textId="77777777" w:rsidR="005A160C" w:rsidRPr="00B42397" w:rsidRDefault="005A160C" w:rsidP="00C80350">
            <w:pPr>
              <w:pStyle w:val="Tabletext"/>
              <w:keepNext/>
              <w:jc w:val="center"/>
            </w:pPr>
            <w:r w:rsidRPr="00B42397">
              <w:t>22</w:t>
            </w:r>
            <w:r w:rsidR="000064AD" w:rsidRPr="00B42397">
              <w:t>/456</w:t>
            </w:r>
            <w:r w:rsidRPr="00B42397">
              <w:t xml:space="preserve"> (4.8%)</w:t>
            </w:r>
          </w:p>
        </w:tc>
        <w:tc>
          <w:tcPr>
            <w:tcW w:w="1508" w:type="dxa"/>
            <w:tcMar>
              <w:left w:w="28" w:type="dxa"/>
              <w:right w:w="28" w:type="dxa"/>
            </w:tcMar>
          </w:tcPr>
          <w:p w14:paraId="71B2AC92" w14:textId="77777777" w:rsidR="005A160C" w:rsidRPr="00B42397" w:rsidRDefault="005A160C" w:rsidP="00C80350">
            <w:pPr>
              <w:pStyle w:val="Tabletext"/>
              <w:keepNext/>
              <w:jc w:val="center"/>
              <w:rPr>
                <w:b/>
              </w:rPr>
            </w:pPr>
            <w:r w:rsidRPr="00B42397">
              <w:t>1.43 (0.85, 2.43)</w:t>
            </w:r>
          </w:p>
        </w:tc>
      </w:tr>
      <w:tr w:rsidR="005A160C" w:rsidRPr="00B42397" w14:paraId="291C53FC" w14:textId="77777777" w:rsidTr="001003E6">
        <w:tc>
          <w:tcPr>
            <w:tcW w:w="4106" w:type="dxa"/>
            <w:tcBorders>
              <w:bottom w:val="single" w:sz="4" w:space="0" w:color="auto"/>
            </w:tcBorders>
            <w:tcMar>
              <w:left w:w="28" w:type="dxa"/>
              <w:right w:w="28" w:type="dxa"/>
            </w:tcMar>
          </w:tcPr>
          <w:p w14:paraId="26C8E122" w14:textId="77777777" w:rsidR="005A160C" w:rsidRPr="00B42397" w:rsidRDefault="005A160C" w:rsidP="00C80350">
            <w:pPr>
              <w:pStyle w:val="Tabletext"/>
              <w:keepNext/>
            </w:pPr>
            <w:r w:rsidRPr="00B42397">
              <w:t>Patients with any AE</w:t>
            </w:r>
          </w:p>
        </w:tc>
        <w:tc>
          <w:tcPr>
            <w:tcW w:w="1701" w:type="dxa"/>
            <w:tcMar>
              <w:left w:w="28" w:type="dxa"/>
              <w:right w:w="28" w:type="dxa"/>
            </w:tcMar>
          </w:tcPr>
          <w:p w14:paraId="0371A501" w14:textId="77777777" w:rsidR="005A160C" w:rsidRPr="00B42397" w:rsidRDefault="005A160C" w:rsidP="00C80350">
            <w:pPr>
              <w:pStyle w:val="Tabletext"/>
              <w:keepNext/>
              <w:jc w:val="center"/>
            </w:pPr>
            <w:r w:rsidRPr="00B42397">
              <w:t>457</w:t>
            </w:r>
            <w:r w:rsidR="000064AD" w:rsidRPr="00B42397">
              <w:t>/463</w:t>
            </w:r>
            <w:r w:rsidRPr="00B42397">
              <w:t xml:space="preserve"> (98.7%)</w:t>
            </w:r>
          </w:p>
        </w:tc>
        <w:tc>
          <w:tcPr>
            <w:tcW w:w="1701" w:type="dxa"/>
            <w:tcBorders>
              <w:bottom w:val="single" w:sz="4" w:space="0" w:color="auto"/>
            </w:tcBorders>
            <w:tcMar>
              <w:left w:w="28" w:type="dxa"/>
              <w:right w:w="28" w:type="dxa"/>
            </w:tcMar>
          </w:tcPr>
          <w:p w14:paraId="39D3CE10" w14:textId="77777777" w:rsidR="005A160C" w:rsidRPr="00B42397" w:rsidRDefault="005A160C" w:rsidP="00C80350">
            <w:pPr>
              <w:pStyle w:val="Tabletext"/>
              <w:keepNext/>
              <w:jc w:val="center"/>
            </w:pPr>
            <w:r w:rsidRPr="00B42397">
              <w:t>451</w:t>
            </w:r>
            <w:r w:rsidR="000064AD" w:rsidRPr="00B42397">
              <w:t>/456</w:t>
            </w:r>
            <w:r w:rsidRPr="00B42397">
              <w:t xml:space="preserve"> (98.9%)</w:t>
            </w:r>
          </w:p>
        </w:tc>
        <w:tc>
          <w:tcPr>
            <w:tcW w:w="1508" w:type="dxa"/>
            <w:tcBorders>
              <w:bottom w:val="single" w:sz="4" w:space="0" w:color="auto"/>
            </w:tcBorders>
            <w:tcMar>
              <w:left w:w="28" w:type="dxa"/>
              <w:right w:w="28" w:type="dxa"/>
            </w:tcMar>
          </w:tcPr>
          <w:p w14:paraId="0D950638" w14:textId="77777777" w:rsidR="005A160C" w:rsidRPr="00B42397" w:rsidRDefault="005A160C" w:rsidP="00C80350">
            <w:pPr>
              <w:pStyle w:val="Tabletext"/>
              <w:keepNext/>
              <w:jc w:val="center"/>
              <w:rPr>
                <w:b/>
              </w:rPr>
            </w:pPr>
            <w:r w:rsidRPr="00B42397">
              <w:t>1.00 (0.98, 1.01)</w:t>
            </w:r>
          </w:p>
        </w:tc>
      </w:tr>
    </w:tbl>
    <w:p w14:paraId="3ECEA285" w14:textId="77777777" w:rsidR="005A160C" w:rsidRPr="00B42397" w:rsidRDefault="005A160C" w:rsidP="005A160C">
      <w:pPr>
        <w:pStyle w:val="Tablenotes"/>
        <w:rPr>
          <w:rFonts w:ascii="Arial Narrow" w:hAnsi="Arial Narrow"/>
          <w:sz w:val="18"/>
          <w:szCs w:val="18"/>
        </w:rPr>
      </w:pPr>
      <w:r w:rsidRPr="00B42397">
        <w:rPr>
          <w:rFonts w:ascii="Arial Narrow" w:hAnsi="Arial Narrow"/>
          <w:sz w:val="18"/>
          <w:szCs w:val="18"/>
        </w:rPr>
        <w:t>Source: Table 2.5.9 of the submission.</w:t>
      </w:r>
      <w:r w:rsidR="00C75504" w:rsidRPr="00B42397">
        <w:rPr>
          <w:rFonts w:ascii="Arial Narrow" w:hAnsi="Arial Narrow"/>
          <w:sz w:val="18"/>
          <w:szCs w:val="18"/>
        </w:rPr>
        <w:t xml:space="preserve"> </w:t>
      </w:r>
    </w:p>
    <w:p w14:paraId="183D9618" w14:textId="77777777" w:rsidR="005A160C" w:rsidRPr="00B42397" w:rsidRDefault="005A160C" w:rsidP="005A160C">
      <w:pPr>
        <w:pStyle w:val="Tablenotes"/>
        <w:rPr>
          <w:rFonts w:ascii="Arial Narrow" w:hAnsi="Arial Narrow"/>
          <w:sz w:val="18"/>
          <w:szCs w:val="18"/>
        </w:rPr>
      </w:pPr>
      <w:r w:rsidRPr="00B42397">
        <w:rPr>
          <w:rFonts w:ascii="Arial Narrow" w:hAnsi="Arial Narrow"/>
          <w:sz w:val="18"/>
          <w:szCs w:val="18"/>
        </w:rPr>
        <w:t>Bd</w:t>
      </w:r>
      <w:r w:rsidR="00C75504" w:rsidRPr="00B42397">
        <w:rPr>
          <w:rFonts w:ascii="Arial Narrow" w:hAnsi="Arial Narrow"/>
          <w:sz w:val="18"/>
          <w:szCs w:val="18"/>
        </w:rPr>
        <w:t xml:space="preserve"> </w:t>
      </w:r>
      <w:r w:rsidRPr="00B42397">
        <w:rPr>
          <w:rFonts w:ascii="Arial Narrow" w:hAnsi="Arial Narrow"/>
          <w:sz w:val="18"/>
          <w:szCs w:val="18"/>
        </w:rPr>
        <w:t>= bortezomib + dexamethasone; Cd</w:t>
      </w:r>
      <w:r w:rsidR="00C75504" w:rsidRPr="00B42397">
        <w:rPr>
          <w:rFonts w:ascii="Arial Narrow" w:hAnsi="Arial Narrow"/>
          <w:sz w:val="18"/>
          <w:szCs w:val="18"/>
        </w:rPr>
        <w:t xml:space="preserve"> </w:t>
      </w:r>
      <w:r w:rsidRPr="00B42397">
        <w:rPr>
          <w:rFonts w:ascii="Arial Narrow" w:hAnsi="Arial Narrow"/>
          <w:sz w:val="18"/>
          <w:szCs w:val="18"/>
        </w:rPr>
        <w:t>= carfilzomib + dexamethasone; CI</w:t>
      </w:r>
      <w:r w:rsidR="00833A74" w:rsidRPr="00B42397">
        <w:rPr>
          <w:rFonts w:ascii="Arial Narrow" w:hAnsi="Arial Narrow"/>
          <w:sz w:val="18"/>
          <w:szCs w:val="18"/>
        </w:rPr>
        <w:t xml:space="preserve"> </w:t>
      </w:r>
      <w:r w:rsidRPr="00B42397">
        <w:rPr>
          <w:rFonts w:ascii="Arial Narrow" w:hAnsi="Arial Narrow"/>
          <w:sz w:val="18"/>
          <w:szCs w:val="18"/>
        </w:rPr>
        <w:t xml:space="preserve">= confidence interval; </w:t>
      </w:r>
      <w:r w:rsidR="00967B71">
        <w:rPr>
          <w:rFonts w:ascii="Arial Narrow" w:hAnsi="Arial Narrow"/>
          <w:sz w:val="18"/>
          <w:szCs w:val="18"/>
        </w:rPr>
        <w:t xml:space="preserve">PI = protease inhibitor; </w:t>
      </w:r>
      <w:r w:rsidRPr="00B42397">
        <w:rPr>
          <w:rFonts w:ascii="Arial Narrow" w:hAnsi="Arial Narrow"/>
          <w:sz w:val="18"/>
          <w:szCs w:val="18"/>
        </w:rPr>
        <w:t>RR</w:t>
      </w:r>
      <w:r w:rsidR="00833A74" w:rsidRPr="00B42397">
        <w:rPr>
          <w:rFonts w:ascii="Arial Narrow" w:hAnsi="Arial Narrow"/>
          <w:sz w:val="18"/>
          <w:szCs w:val="18"/>
        </w:rPr>
        <w:t xml:space="preserve"> </w:t>
      </w:r>
      <w:r w:rsidRPr="00B42397">
        <w:rPr>
          <w:rFonts w:ascii="Arial Narrow" w:hAnsi="Arial Narrow"/>
          <w:sz w:val="18"/>
          <w:szCs w:val="18"/>
        </w:rPr>
        <w:t xml:space="preserve">= risk ratio </w:t>
      </w:r>
    </w:p>
    <w:p w14:paraId="0DB3DF07" w14:textId="77777777" w:rsidR="005A160C" w:rsidRPr="00B42397" w:rsidRDefault="005A160C" w:rsidP="005A160C">
      <w:pPr>
        <w:pStyle w:val="Tablenotes"/>
        <w:rPr>
          <w:rFonts w:ascii="Arial Narrow" w:hAnsi="Arial Narrow"/>
          <w:sz w:val="18"/>
          <w:szCs w:val="18"/>
        </w:rPr>
      </w:pPr>
      <w:r w:rsidRPr="00B42397">
        <w:rPr>
          <w:rFonts w:ascii="Arial Narrow" w:hAnsi="Arial Narrow"/>
          <w:sz w:val="18"/>
          <w:szCs w:val="18"/>
        </w:rPr>
        <w:t>Bold values indicate statistically significant results.</w:t>
      </w:r>
    </w:p>
    <w:p w14:paraId="487FCDE2" w14:textId="77777777" w:rsidR="005A160C" w:rsidRPr="00B42397" w:rsidRDefault="005A160C" w:rsidP="00D22226">
      <w:pPr>
        <w:pStyle w:val="3-BodyText"/>
        <w:rPr>
          <w:color w:val="000000" w:themeColor="text1"/>
        </w:rPr>
      </w:pPr>
      <w:r w:rsidRPr="00B42397">
        <w:rPr>
          <w:color w:val="000000" w:themeColor="text1"/>
        </w:rPr>
        <w:t xml:space="preserve">The most frequently </w:t>
      </w:r>
      <w:r w:rsidR="00807FCB" w:rsidRPr="00B42397">
        <w:rPr>
          <w:color w:val="000000" w:themeColor="text1"/>
        </w:rPr>
        <w:t xml:space="preserve">reported Grade 3-4 AEs </w:t>
      </w:r>
      <w:r w:rsidRPr="00B42397">
        <w:rPr>
          <w:color w:val="000000" w:themeColor="text1"/>
        </w:rPr>
        <w:t xml:space="preserve">in ENDEAVOR were anaemia, hypertension, dyspnoea, diarrhoea and pyrexia. </w:t>
      </w:r>
      <w:r w:rsidR="00442C88" w:rsidRPr="00B42397">
        <w:rPr>
          <w:color w:val="000000" w:themeColor="text1"/>
        </w:rPr>
        <w:t>In terms of serious AEs, t</w:t>
      </w:r>
      <w:r w:rsidR="009F749D" w:rsidRPr="00B42397">
        <w:rPr>
          <w:color w:val="000000" w:themeColor="text1"/>
        </w:rPr>
        <w:t>he</w:t>
      </w:r>
      <w:r w:rsidR="00442C88" w:rsidRPr="00B42397">
        <w:rPr>
          <w:color w:val="000000" w:themeColor="text1"/>
        </w:rPr>
        <w:t xml:space="preserve">re was at least a 2% difference in the rates of </w:t>
      </w:r>
      <w:r w:rsidR="003C7564" w:rsidRPr="00B42397">
        <w:t>pyrexia (4.1% versus 0.7%; RR = 6.24, 94%</w:t>
      </w:r>
      <w:r w:rsidR="00442C88" w:rsidRPr="00B42397">
        <w:t xml:space="preserve"> </w:t>
      </w:r>
      <w:r w:rsidR="003C7564" w:rsidRPr="00B42397">
        <w:t>CI: 1.86, 20.93) and dyspnoea (3.9% versus 0.2%; RR = 17.73, 95%</w:t>
      </w:r>
      <w:r w:rsidR="00442C88" w:rsidRPr="00B42397">
        <w:t xml:space="preserve"> </w:t>
      </w:r>
      <w:r w:rsidR="003C7564" w:rsidRPr="00B42397">
        <w:t xml:space="preserve">CI: 2.38, 132.2) </w:t>
      </w:r>
      <w:r w:rsidR="00442C88" w:rsidRPr="00B42397">
        <w:t>in</w:t>
      </w:r>
      <w:r w:rsidR="003C7564" w:rsidRPr="00B42397">
        <w:t xml:space="preserve"> the Cd arm </w:t>
      </w:r>
      <w:r w:rsidR="00442C88" w:rsidRPr="00B42397">
        <w:t xml:space="preserve">as </w:t>
      </w:r>
      <w:r w:rsidR="003C7564" w:rsidRPr="00B42397">
        <w:t xml:space="preserve">compared </w:t>
      </w:r>
      <w:r w:rsidR="00442C88" w:rsidRPr="00B42397">
        <w:t xml:space="preserve">to </w:t>
      </w:r>
      <w:r w:rsidR="003C7564" w:rsidRPr="00B42397">
        <w:t>the Bd arm.</w:t>
      </w:r>
    </w:p>
    <w:p w14:paraId="6A0A35BC" w14:textId="77777777" w:rsidR="00DE16C1" w:rsidRPr="00B42397" w:rsidRDefault="00442C88" w:rsidP="008220C3">
      <w:pPr>
        <w:pStyle w:val="3-BodyText"/>
        <w:rPr>
          <w:color w:val="000000" w:themeColor="text1"/>
        </w:rPr>
      </w:pPr>
      <w:r w:rsidRPr="00B42397">
        <w:rPr>
          <w:color w:val="000000" w:themeColor="text1"/>
        </w:rPr>
        <w:t xml:space="preserve">At the </w:t>
      </w:r>
      <w:r w:rsidR="00D32C5B" w:rsidRPr="00B42397">
        <w:rPr>
          <w:color w:val="000000" w:themeColor="text1"/>
        </w:rPr>
        <w:t xml:space="preserve">latest data-cut </w:t>
      </w:r>
      <w:r w:rsidRPr="00B42397">
        <w:rPr>
          <w:color w:val="000000" w:themeColor="text1"/>
        </w:rPr>
        <w:t>(</w:t>
      </w:r>
      <w:r w:rsidR="00D32C5B" w:rsidRPr="00B42397">
        <w:rPr>
          <w:color w:val="000000" w:themeColor="text1"/>
        </w:rPr>
        <w:t>19 July 2017</w:t>
      </w:r>
      <w:r w:rsidRPr="00B42397">
        <w:rPr>
          <w:color w:val="000000" w:themeColor="text1"/>
        </w:rPr>
        <w:t>)</w:t>
      </w:r>
      <w:r w:rsidR="00D32C5B" w:rsidRPr="00B42397">
        <w:rPr>
          <w:color w:val="000000" w:themeColor="text1"/>
        </w:rPr>
        <w:t xml:space="preserve">, </w:t>
      </w:r>
      <w:r w:rsidR="005E44EC" w:rsidRPr="00B42397">
        <w:rPr>
          <w:color w:val="000000" w:themeColor="text1"/>
        </w:rPr>
        <w:t xml:space="preserve">AEs </w:t>
      </w:r>
      <w:r w:rsidR="005C6CDB" w:rsidRPr="00B42397">
        <w:rPr>
          <w:color w:val="000000" w:themeColor="text1"/>
        </w:rPr>
        <w:t>(</w:t>
      </w:r>
      <w:r w:rsidR="00080559" w:rsidRPr="00B42397">
        <w:rPr>
          <w:color w:val="000000" w:themeColor="text1"/>
        </w:rPr>
        <w:t>a</w:t>
      </w:r>
      <w:r w:rsidR="005C6CDB" w:rsidRPr="00B42397">
        <w:rPr>
          <w:color w:val="000000" w:themeColor="text1"/>
        </w:rPr>
        <w:t xml:space="preserve">ll </w:t>
      </w:r>
      <w:r w:rsidR="00080559" w:rsidRPr="00B42397">
        <w:rPr>
          <w:color w:val="000000" w:themeColor="text1"/>
        </w:rPr>
        <w:t>g</w:t>
      </w:r>
      <w:r w:rsidR="005C6CDB" w:rsidRPr="00B42397">
        <w:rPr>
          <w:color w:val="000000" w:themeColor="text1"/>
        </w:rPr>
        <w:t xml:space="preserve">rades) </w:t>
      </w:r>
      <w:r w:rsidR="005E44EC" w:rsidRPr="00B42397">
        <w:rPr>
          <w:color w:val="000000" w:themeColor="text1"/>
        </w:rPr>
        <w:t xml:space="preserve">of special interest which occurred in a statistically </w:t>
      </w:r>
      <w:r w:rsidR="0065754C" w:rsidRPr="00B42397">
        <w:rPr>
          <w:color w:val="000000" w:themeColor="text1"/>
        </w:rPr>
        <w:t xml:space="preserve">higher </w:t>
      </w:r>
      <w:r w:rsidR="005E44EC" w:rsidRPr="00B42397">
        <w:rPr>
          <w:color w:val="000000" w:themeColor="text1"/>
        </w:rPr>
        <w:t>proportion of patients in the Cd arm compared with Bd included:</w:t>
      </w:r>
      <w:r w:rsidR="008220C3" w:rsidRPr="00B42397">
        <w:rPr>
          <w:color w:val="000000" w:themeColor="text1"/>
        </w:rPr>
        <w:t xml:space="preserve"> hypertension (32.4% vs. 10.1%),</w:t>
      </w:r>
      <w:r w:rsidR="005E44EC" w:rsidRPr="00B42397">
        <w:rPr>
          <w:color w:val="000000" w:themeColor="text1"/>
        </w:rPr>
        <w:t xml:space="preserve"> ca</w:t>
      </w:r>
      <w:r w:rsidR="00833A74" w:rsidRPr="00B42397">
        <w:rPr>
          <w:color w:val="000000" w:themeColor="text1"/>
        </w:rPr>
        <w:t>r</w:t>
      </w:r>
      <w:r w:rsidR="001F5659" w:rsidRPr="00B42397">
        <w:rPr>
          <w:color w:val="000000" w:themeColor="text1"/>
        </w:rPr>
        <w:t>d</w:t>
      </w:r>
      <w:r w:rsidR="005E44EC" w:rsidRPr="00B42397">
        <w:rPr>
          <w:color w:val="000000" w:themeColor="text1"/>
        </w:rPr>
        <w:t xml:space="preserve">iac failure (11.0% vs. 3.5%); acute renal failure (10.8% vs. 6.4%) and infections and infestations (79.5% vs. 70.0%). Peripheral neuropathy was more common in the Bd arm compared with Cd (54.6% vs. 21.0%). </w:t>
      </w:r>
    </w:p>
    <w:p w14:paraId="24BC56F3" w14:textId="77777777" w:rsidR="009F749D" w:rsidRPr="00B42397" w:rsidRDefault="005E44EC" w:rsidP="00D22226">
      <w:pPr>
        <w:pStyle w:val="3-BodyText"/>
        <w:rPr>
          <w:color w:val="000000" w:themeColor="text1"/>
        </w:rPr>
      </w:pPr>
      <w:r w:rsidRPr="00B42397">
        <w:rPr>
          <w:iCs/>
          <w:color w:val="000000" w:themeColor="text1"/>
        </w:rPr>
        <w:t>The PBAC has previously accepted that Cd has a different safety profile compared with Bd (paragraph 7.7, carfilzomib PSD, November 2016 and paragraph 6.13, carfilzomib PSD, July 2017). The PBAC has also noted that based on the 3</w:t>
      </w:r>
      <w:r w:rsidR="00833A74" w:rsidRPr="00B42397">
        <w:rPr>
          <w:iCs/>
          <w:color w:val="000000" w:themeColor="text1"/>
          <w:vertAlign w:val="superscript"/>
        </w:rPr>
        <w:t>r</w:t>
      </w:r>
      <w:r w:rsidR="001F5659" w:rsidRPr="00B42397">
        <w:rPr>
          <w:iCs/>
          <w:color w:val="000000" w:themeColor="text1"/>
          <w:vertAlign w:val="superscript"/>
        </w:rPr>
        <w:t>d</w:t>
      </w:r>
      <w:r w:rsidR="0065754C" w:rsidRPr="00B42397">
        <w:rPr>
          <w:iCs/>
          <w:color w:val="000000" w:themeColor="text1"/>
        </w:rPr>
        <w:t xml:space="preserve"> </w:t>
      </w:r>
      <w:r w:rsidRPr="00B42397">
        <w:rPr>
          <w:iCs/>
          <w:color w:val="000000" w:themeColor="text1"/>
        </w:rPr>
        <w:t>Jan 2017 data cut-off the clinical data indicate a reduction in the rates of peripheral neuropathy, but an increase in serious ca</w:t>
      </w:r>
      <w:r w:rsidR="00833A74" w:rsidRPr="00B42397">
        <w:rPr>
          <w:iCs/>
          <w:color w:val="000000" w:themeColor="text1"/>
        </w:rPr>
        <w:t>r</w:t>
      </w:r>
      <w:r w:rsidR="001F5659" w:rsidRPr="00B42397">
        <w:rPr>
          <w:iCs/>
          <w:color w:val="000000" w:themeColor="text1"/>
        </w:rPr>
        <w:t>d</w:t>
      </w:r>
      <w:r w:rsidRPr="00B42397">
        <w:rPr>
          <w:iCs/>
          <w:color w:val="000000" w:themeColor="text1"/>
        </w:rPr>
        <w:t xml:space="preserve">iovascular AEs for </w:t>
      </w:r>
      <w:r w:rsidR="0065754C" w:rsidRPr="00B42397">
        <w:rPr>
          <w:iCs/>
          <w:color w:val="000000" w:themeColor="text1"/>
        </w:rPr>
        <w:t xml:space="preserve">Cd </w:t>
      </w:r>
      <w:r w:rsidRPr="00B42397">
        <w:rPr>
          <w:iCs/>
          <w:color w:val="000000" w:themeColor="text1"/>
        </w:rPr>
        <w:t>compared to Bd (paragr</w:t>
      </w:r>
      <w:r w:rsidR="00046855" w:rsidRPr="00B42397">
        <w:rPr>
          <w:iCs/>
          <w:color w:val="000000" w:themeColor="text1"/>
        </w:rPr>
        <w:t>aph 7.4, carfilzomib PSD, July 2</w:t>
      </w:r>
      <w:r w:rsidRPr="00B42397">
        <w:rPr>
          <w:iCs/>
          <w:color w:val="000000" w:themeColor="text1"/>
        </w:rPr>
        <w:t>017). This was supported by the 19</w:t>
      </w:r>
      <w:r w:rsidRPr="00B42397">
        <w:rPr>
          <w:iCs/>
          <w:color w:val="000000" w:themeColor="text1"/>
          <w:vertAlign w:val="superscript"/>
        </w:rPr>
        <w:t>th</w:t>
      </w:r>
      <w:r w:rsidR="0065754C" w:rsidRPr="00B42397">
        <w:rPr>
          <w:iCs/>
          <w:color w:val="000000" w:themeColor="text1"/>
        </w:rPr>
        <w:t xml:space="preserve"> </w:t>
      </w:r>
      <w:r w:rsidRPr="00B42397">
        <w:rPr>
          <w:iCs/>
          <w:color w:val="000000" w:themeColor="text1"/>
        </w:rPr>
        <w:t>July 2017 data cut-off.</w:t>
      </w:r>
    </w:p>
    <w:p w14:paraId="68606019" w14:textId="77777777" w:rsidR="000064AD" w:rsidRPr="00B42397" w:rsidRDefault="000C489D" w:rsidP="00376A9D">
      <w:pPr>
        <w:pStyle w:val="3-BodyText"/>
        <w:numPr>
          <w:ilvl w:val="0"/>
          <w:numId w:val="0"/>
        </w:numPr>
        <w:spacing w:after="0"/>
        <w:rPr>
          <w:color w:val="000000" w:themeColor="text1"/>
          <w:u w:val="single"/>
        </w:rPr>
      </w:pPr>
      <w:r w:rsidRPr="00B42397">
        <w:rPr>
          <w:color w:val="000000" w:themeColor="text1"/>
          <w:u w:val="single"/>
        </w:rPr>
        <w:t xml:space="preserve">Safety </w:t>
      </w:r>
      <w:r w:rsidR="000D4AB3" w:rsidRPr="00B42397">
        <w:rPr>
          <w:color w:val="000000" w:themeColor="text1"/>
          <w:u w:val="single"/>
        </w:rPr>
        <w:t xml:space="preserve">ITC – </w:t>
      </w:r>
      <w:proofErr w:type="spellStart"/>
      <w:r w:rsidR="001F5659" w:rsidRPr="00B42397">
        <w:rPr>
          <w:color w:val="000000" w:themeColor="text1"/>
          <w:u w:val="single"/>
        </w:rPr>
        <w:t>ELd</w:t>
      </w:r>
      <w:proofErr w:type="spellEnd"/>
      <w:r w:rsidR="000D4AB3" w:rsidRPr="00B42397">
        <w:rPr>
          <w:color w:val="000000" w:themeColor="text1"/>
          <w:u w:val="single"/>
        </w:rPr>
        <w:t xml:space="preserve"> versus Cd</w:t>
      </w:r>
    </w:p>
    <w:p w14:paraId="54538549" w14:textId="77777777" w:rsidR="000064AD" w:rsidRPr="00B42397" w:rsidRDefault="000064AD" w:rsidP="000064AD">
      <w:pPr>
        <w:pStyle w:val="3-BodyText"/>
        <w:rPr>
          <w:color w:val="000000" w:themeColor="text1"/>
        </w:rPr>
      </w:pPr>
      <w:r w:rsidRPr="00B42397">
        <w:rPr>
          <w:color w:val="000000" w:themeColor="text1"/>
        </w:rPr>
        <w:t xml:space="preserve">The submission presented a naïve ITC for the comparison of safety between </w:t>
      </w:r>
      <w:proofErr w:type="spellStart"/>
      <w:r w:rsidR="001F5659" w:rsidRPr="00B42397">
        <w:rPr>
          <w:color w:val="000000" w:themeColor="text1"/>
        </w:rPr>
        <w:t>ELd</w:t>
      </w:r>
      <w:proofErr w:type="spellEnd"/>
      <w:r w:rsidRPr="00B42397">
        <w:rPr>
          <w:color w:val="000000" w:themeColor="text1"/>
        </w:rPr>
        <w:t xml:space="preserve"> and Cd. </w:t>
      </w:r>
      <w:r w:rsidR="000D4AB3" w:rsidRPr="00B42397">
        <w:t xml:space="preserve">The safety was compared at the </w:t>
      </w:r>
      <w:r w:rsidR="006C5D99" w:rsidRPr="00B42397">
        <w:t xml:space="preserve">end of </w:t>
      </w:r>
      <w:r w:rsidR="000D4AB3" w:rsidRPr="00B42397">
        <w:t>follow-up of treatment</w:t>
      </w:r>
      <w:r w:rsidR="006C5D99" w:rsidRPr="00B42397">
        <w:t>, which</w:t>
      </w:r>
      <w:r w:rsidR="000D4AB3" w:rsidRPr="00B42397">
        <w:t xml:space="preserve"> for ELOQUENT-2 </w:t>
      </w:r>
      <w:r w:rsidR="006C5D99" w:rsidRPr="00B42397">
        <w:t>was</w:t>
      </w:r>
      <w:r w:rsidR="000D4AB3" w:rsidRPr="00B42397">
        <w:t xml:space="preserve"> 17 months</w:t>
      </w:r>
      <w:r w:rsidR="001C63FB" w:rsidRPr="00B42397">
        <w:t xml:space="preserve"> (73 weeks)</w:t>
      </w:r>
      <w:r w:rsidR="000D4AB3" w:rsidRPr="00B42397">
        <w:t xml:space="preserve">, and </w:t>
      </w:r>
      <w:r w:rsidR="006C5D99" w:rsidRPr="00B42397">
        <w:t xml:space="preserve">for ENDEAVOR, </w:t>
      </w:r>
      <w:r w:rsidR="000D4AB3" w:rsidRPr="00B42397">
        <w:t xml:space="preserve">48 weeks. </w:t>
      </w:r>
      <w:r w:rsidR="006C5D99" w:rsidRPr="00B42397">
        <w:t xml:space="preserve">In addition, </w:t>
      </w:r>
      <w:r w:rsidR="006C5D99" w:rsidRPr="00B42397">
        <w:rPr>
          <w:color w:val="000000" w:themeColor="text1"/>
        </w:rPr>
        <w:t xml:space="preserve">ELOQUENT-2 patients were followed for 60 days after the last study dose, and ENDEAVOR patients for 30 days after the last study dose. </w:t>
      </w:r>
      <w:r w:rsidR="000D4AB3" w:rsidRPr="00B42397">
        <w:rPr>
          <w:iCs/>
        </w:rPr>
        <w:t>Th</w:t>
      </w:r>
      <w:r w:rsidR="006C5D99" w:rsidRPr="00B42397">
        <w:rPr>
          <w:iCs/>
        </w:rPr>
        <w:t>us, th</w:t>
      </w:r>
      <w:r w:rsidR="000D4AB3" w:rsidRPr="00B42397">
        <w:rPr>
          <w:iCs/>
        </w:rPr>
        <w:t>e comparison</w:t>
      </w:r>
      <w:r w:rsidR="006C5D99" w:rsidRPr="00B42397">
        <w:rPr>
          <w:iCs/>
        </w:rPr>
        <w:t>s</w:t>
      </w:r>
      <w:r w:rsidR="000D4AB3" w:rsidRPr="00B42397">
        <w:rPr>
          <w:iCs/>
        </w:rPr>
        <w:t xml:space="preserve"> may favour Cd due to the longer duration of exposure, and hence potential to accumulate more toxicity events, for </w:t>
      </w:r>
      <w:proofErr w:type="spellStart"/>
      <w:r w:rsidR="001F5659" w:rsidRPr="00B42397">
        <w:rPr>
          <w:iCs/>
        </w:rPr>
        <w:t>ELd</w:t>
      </w:r>
      <w:proofErr w:type="spellEnd"/>
      <w:r w:rsidR="000D4AB3" w:rsidRPr="00B42397">
        <w:rPr>
          <w:iCs/>
        </w:rPr>
        <w:t xml:space="preserve"> within ELOQUENT-2.</w:t>
      </w:r>
    </w:p>
    <w:p w14:paraId="232D1212" w14:textId="77777777" w:rsidR="000064AD" w:rsidRPr="00B42397" w:rsidRDefault="000064AD" w:rsidP="000064AD">
      <w:pPr>
        <w:pStyle w:val="3-BodyText"/>
        <w:rPr>
          <w:color w:val="000000" w:themeColor="text1"/>
        </w:rPr>
      </w:pPr>
      <w:r w:rsidRPr="00B42397">
        <w:t xml:space="preserve">There was consistency between the </w:t>
      </w:r>
      <w:proofErr w:type="spellStart"/>
      <w:r w:rsidR="001F5659" w:rsidRPr="00B42397">
        <w:t>ELd</w:t>
      </w:r>
      <w:proofErr w:type="spellEnd"/>
      <w:r w:rsidRPr="00B42397">
        <w:t xml:space="preserve"> and Cd arms in terms of the incidence of patients experiencing at least one AE (99.4% vs. 98.7%); serious AE (65.4% vs. 60.3%); Grade 3-5 AE (87.4% vs. 81.9%) and AE leading to discontinuation (26.1% vs 29.6%). </w:t>
      </w:r>
    </w:p>
    <w:p w14:paraId="131AFA22" w14:textId="77777777" w:rsidR="000064AD" w:rsidRPr="00B42397" w:rsidRDefault="000064AD" w:rsidP="000064AD">
      <w:pPr>
        <w:pStyle w:val="3-BodyText"/>
        <w:rPr>
          <w:color w:val="000000" w:themeColor="text1"/>
        </w:rPr>
      </w:pPr>
      <w:r w:rsidRPr="00B42397">
        <w:lastRenderedPageBreak/>
        <w:t xml:space="preserve">The reported Grade 3-4 AEs that occurred in a higher proportion of </w:t>
      </w:r>
      <w:proofErr w:type="spellStart"/>
      <w:r w:rsidR="001F5659" w:rsidRPr="00B42397">
        <w:t>ELd</w:t>
      </w:r>
      <w:proofErr w:type="spellEnd"/>
      <w:r w:rsidR="006C5D99" w:rsidRPr="00B42397">
        <w:t xml:space="preserve"> </w:t>
      </w:r>
      <w:r w:rsidRPr="00B42397">
        <w:t xml:space="preserve">patients </w:t>
      </w:r>
      <w:r w:rsidR="00442C88" w:rsidRPr="00B42397">
        <w:t xml:space="preserve">compared with </w:t>
      </w:r>
      <w:r w:rsidRPr="00B42397">
        <w:t xml:space="preserve">Cd </w:t>
      </w:r>
      <w:r w:rsidR="006C5D99" w:rsidRPr="00B42397">
        <w:t xml:space="preserve">patients </w:t>
      </w:r>
      <w:r w:rsidRPr="00B42397">
        <w:t>(≥</w:t>
      </w:r>
      <w:r w:rsidR="006C5D99" w:rsidRPr="00B42397">
        <w:t xml:space="preserve"> </w:t>
      </w:r>
      <w:r w:rsidRPr="00B42397">
        <w:t>5% difference</w:t>
      </w:r>
      <w:r w:rsidR="00542BBE" w:rsidRPr="00B42397">
        <w:t xml:space="preserve"> in either treatment arm</w:t>
      </w:r>
      <w:r w:rsidRPr="00B42397">
        <w:t>)</w:t>
      </w:r>
      <w:r w:rsidR="00DE16C1" w:rsidRPr="00B42397">
        <w:t xml:space="preserve"> were</w:t>
      </w:r>
      <w:r w:rsidRPr="00B42397">
        <w:t>: neutropenia (27.0% vs 2.4%); pneumonia (15.1% vs. 8.4%); cataracts (10.1% vs 2.4%); and DVT (6.6% vs 0.9%)</w:t>
      </w:r>
      <w:r w:rsidR="001F0CCC" w:rsidRPr="00B42397">
        <w:t xml:space="preserve">, despite </w:t>
      </w:r>
      <w:proofErr w:type="spellStart"/>
      <w:r w:rsidR="001F0CCC" w:rsidRPr="00B42397">
        <w:t>ELd</w:t>
      </w:r>
      <w:proofErr w:type="spellEnd"/>
      <w:r w:rsidR="001F0CCC" w:rsidRPr="00B42397">
        <w:t xml:space="preserve"> patients receiving anti-thrombotic prophylaxis</w:t>
      </w:r>
      <w:r w:rsidRPr="00B42397">
        <w:t xml:space="preserve">. Conversely, the following Grade 3-4 AEs were reported in a higher proportion of </w:t>
      </w:r>
      <w:r w:rsidR="006C5D99" w:rsidRPr="00B42397">
        <w:t xml:space="preserve">Cd </w:t>
      </w:r>
      <w:r w:rsidRPr="00B42397">
        <w:t xml:space="preserve">patients compared with </w:t>
      </w:r>
      <w:proofErr w:type="spellStart"/>
      <w:r w:rsidR="001F5659" w:rsidRPr="00B42397">
        <w:t>ELd</w:t>
      </w:r>
      <w:proofErr w:type="spellEnd"/>
      <w:r w:rsidRPr="00B42397">
        <w:t xml:space="preserve"> </w:t>
      </w:r>
      <w:r w:rsidR="006C5D99" w:rsidRPr="00B42397">
        <w:t xml:space="preserve">patients </w:t>
      </w:r>
      <w:r w:rsidRPr="00B42397">
        <w:t>(≥</w:t>
      </w:r>
      <w:r w:rsidR="006C5D99" w:rsidRPr="00B42397">
        <w:t xml:space="preserve"> </w:t>
      </w:r>
      <w:r w:rsidRPr="00B42397">
        <w:t>5% difference</w:t>
      </w:r>
      <w:r w:rsidR="00D90BB7" w:rsidRPr="00B42397">
        <w:t xml:space="preserve"> in either treatment arm</w:t>
      </w:r>
      <w:r w:rsidRPr="00B42397">
        <w:t xml:space="preserve">): hypertension (14.5% vs 2.2%); </w:t>
      </w:r>
      <w:r w:rsidR="006C5D99" w:rsidRPr="00B42397">
        <w:t xml:space="preserve">and </w:t>
      </w:r>
      <w:r w:rsidRPr="00B42397">
        <w:t xml:space="preserve">decreased lymphocyte count (6.3% vs 0.3%). </w:t>
      </w:r>
    </w:p>
    <w:p w14:paraId="0CFAA9AB" w14:textId="77777777" w:rsidR="00A31211" w:rsidRPr="00B42397" w:rsidRDefault="00A31211" w:rsidP="000064AD">
      <w:pPr>
        <w:pStyle w:val="3-BodyText"/>
        <w:rPr>
          <w:color w:val="000000" w:themeColor="text1"/>
        </w:rPr>
      </w:pPr>
      <w:r w:rsidRPr="00B42397">
        <w:t xml:space="preserve">The pre-PBAC response acknowledged that </w:t>
      </w:r>
      <w:proofErr w:type="spellStart"/>
      <w:r w:rsidRPr="00B42397">
        <w:t>ELd</w:t>
      </w:r>
      <w:proofErr w:type="spellEnd"/>
      <w:r w:rsidRPr="00B42397">
        <w:t xml:space="preserve"> had a different safety profile to Cd, but stated that the similar rates of discontinuation due to AEs across the </w:t>
      </w:r>
      <w:proofErr w:type="spellStart"/>
      <w:r w:rsidRPr="00B42397">
        <w:t>ELd</w:t>
      </w:r>
      <w:proofErr w:type="spellEnd"/>
      <w:r w:rsidRPr="00B42397">
        <w:t xml:space="preserve"> and Cd treatment arms (26.1% vs 29.6%) suggested that the AE profile of </w:t>
      </w:r>
      <w:proofErr w:type="spellStart"/>
      <w:r w:rsidRPr="00B42397">
        <w:t>ELd</w:t>
      </w:r>
      <w:proofErr w:type="spellEnd"/>
      <w:r w:rsidRPr="00B42397">
        <w:t xml:space="preserve"> was manageable.</w:t>
      </w:r>
      <w:r w:rsidR="00E30F07" w:rsidRPr="00B42397">
        <w:t xml:space="preserve"> In addition, the pre-PBAC response stated that the difference in DVT incidence was not a reason to deny an otherwise effective treatment option, but rather a reason to adhere to DVT prophylactic guidelines.</w:t>
      </w:r>
    </w:p>
    <w:p w14:paraId="074BCB42" w14:textId="77777777" w:rsidR="000064AD" w:rsidRPr="00B42397" w:rsidRDefault="000064AD" w:rsidP="000064AD">
      <w:pPr>
        <w:pStyle w:val="Heading2"/>
      </w:pPr>
      <w:bookmarkStart w:id="16" w:name="_Toc9334490"/>
      <w:bookmarkStart w:id="17" w:name="_Toc49758144"/>
      <w:r w:rsidRPr="00B42397">
        <w:t>Benefits/harms</w:t>
      </w:r>
      <w:bookmarkEnd w:id="16"/>
      <w:bookmarkEnd w:id="17"/>
    </w:p>
    <w:p w14:paraId="01C1570E" w14:textId="77777777" w:rsidR="000064AD" w:rsidRPr="00B42397" w:rsidRDefault="000064AD" w:rsidP="000064AD">
      <w:pPr>
        <w:pStyle w:val="ListParagraph"/>
        <w:widowControl w:val="0"/>
        <w:numPr>
          <w:ilvl w:val="1"/>
          <w:numId w:val="1"/>
        </w:numPr>
        <w:spacing w:after="160"/>
      </w:pPr>
      <w:r w:rsidRPr="00B42397">
        <w:t>A summary of the benefits and harms was not presented given the non-inferiority nature of the claim.</w:t>
      </w:r>
    </w:p>
    <w:p w14:paraId="713570C6" w14:textId="77777777" w:rsidR="00B60939" w:rsidRPr="00B42397" w:rsidRDefault="00B60939" w:rsidP="00E9094A">
      <w:pPr>
        <w:pStyle w:val="4-SubsectionHeading"/>
      </w:pPr>
      <w:bookmarkStart w:id="18" w:name="_Toc22897644"/>
      <w:bookmarkStart w:id="19" w:name="_Toc49758145"/>
      <w:r w:rsidRPr="00B42397">
        <w:t>Clinical claim</w:t>
      </w:r>
      <w:bookmarkEnd w:id="18"/>
      <w:bookmarkEnd w:id="19"/>
    </w:p>
    <w:p w14:paraId="2A346115" w14:textId="77777777" w:rsidR="005F4CC7" w:rsidRPr="00B42397" w:rsidRDefault="006401AF" w:rsidP="00DD2847">
      <w:pPr>
        <w:pStyle w:val="3-BodyText"/>
        <w:rPr>
          <w:iCs/>
          <w:color w:val="000000" w:themeColor="text1"/>
        </w:rPr>
      </w:pPr>
      <w:r w:rsidRPr="00B42397">
        <w:rPr>
          <w:color w:val="000000" w:themeColor="text1"/>
        </w:rPr>
        <w:t xml:space="preserve">On the basis of the ITC, the submission claimed that </w:t>
      </w:r>
      <w:proofErr w:type="spellStart"/>
      <w:r w:rsidR="001F5659" w:rsidRPr="00B42397">
        <w:rPr>
          <w:color w:val="000000" w:themeColor="text1"/>
        </w:rPr>
        <w:t>ELd</w:t>
      </w:r>
      <w:proofErr w:type="spellEnd"/>
      <w:r w:rsidRPr="00B42397">
        <w:rPr>
          <w:color w:val="000000" w:themeColor="text1"/>
        </w:rPr>
        <w:t xml:space="preserve"> was non-inferior in terms of effectiveness compared to Cd. </w:t>
      </w:r>
    </w:p>
    <w:p w14:paraId="367D247E" w14:textId="77777777" w:rsidR="00DD2847" w:rsidRPr="00B42397" w:rsidRDefault="006401AF" w:rsidP="00DD2847">
      <w:pPr>
        <w:pStyle w:val="3-BodyText"/>
        <w:rPr>
          <w:iCs/>
          <w:color w:val="000000" w:themeColor="text1"/>
        </w:rPr>
      </w:pPr>
      <w:r w:rsidRPr="00B42397">
        <w:rPr>
          <w:color w:val="000000" w:themeColor="text1"/>
        </w:rPr>
        <w:t>The ITC assum</w:t>
      </w:r>
      <w:r w:rsidR="006940F2" w:rsidRPr="00B42397">
        <w:rPr>
          <w:color w:val="000000" w:themeColor="text1"/>
        </w:rPr>
        <w:t xml:space="preserve">ed that </w:t>
      </w:r>
      <w:proofErr w:type="spellStart"/>
      <w:proofErr w:type="gramStart"/>
      <w:r w:rsidR="001F5659" w:rsidRPr="00B42397">
        <w:rPr>
          <w:color w:val="000000" w:themeColor="text1"/>
        </w:rPr>
        <w:t>Ld</w:t>
      </w:r>
      <w:proofErr w:type="spellEnd"/>
      <w:proofErr w:type="gramEnd"/>
      <w:r w:rsidRPr="00B42397">
        <w:rPr>
          <w:color w:val="000000" w:themeColor="text1"/>
        </w:rPr>
        <w:t xml:space="preserve"> and Bd </w:t>
      </w:r>
      <w:r w:rsidR="006940F2" w:rsidRPr="00B42397">
        <w:rPr>
          <w:color w:val="000000" w:themeColor="text1"/>
        </w:rPr>
        <w:t xml:space="preserve">were </w:t>
      </w:r>
      <w:r w:rsidR="0052607E" w:rsidRPr="00B42397">
        <w:rPr>
          <w:color w:val="000000" w:themeColor="text1"/>
        </w:rPr>
        <w:t xml:space="preserve">the same in terms </w:t>
      </w:r>
      <w:r w:rsidR="006940F2" w:rsidRPr="00B42397">
        <w:rPr>
          <w:color w:val="000000" w:themeColor="text1"/>
        </w:rPr>
        <w:t>of efficacy</w:t>
      </w:r>
      <w:r w:rsidRPr="00B42397">
        <w:rPr>
          <w:color w:val="000000" w:themeColor="text1"/>
        </w:rPr>
        <w:t xml:space="preserve">. </w:t>
      </w:r>
      <w:r w:rsidR="00DD2847" w:rsidRPr="00B42397">
        <w:rPr>
          <w:iCs/>
          <w:color w:val="000000" w:themeColor="text1"/>
        </w:rPr>
        <w:t xml:space="preserve">The results of the ITC for both PFS and OS were not statistically </w:t>
      </w:r>
      <w:r w:rsidR="00DF60CA" w:rsidRPr="00B42397">
        <w:rPr>
          <w:iCs/>
          <w:color w:val="000000" w:themeColor="text1"/>
        </w:rPr>
        <w:t>significantly different</w:t>
      </w:r>
      <w:r w:rsidR="00DD2847" w:rsidRPr="00B42397">
        <w:rPr>
          <w:iCs/>
          <w:color w:val="000000" w:themeColor="text1"/>
        </w:rPr>
        <w:t xml:space="preserve">, </w:t>
      </w:r>
      <w:r w:rsidR="005E64EF" w:rsidRPr="00B42397">
        <w:rPr>
          <w:iCs/>
          <w:color w:val="000000" w:themeColor="text1"/>
        </w:rPr>
        <w:t>with</w:t>
      </w:r>
      <w:r w:rsidR="00DD2847" w:rsidRPr="00B42397">
        <w:rPr>
          <w:iCs/>
          <w:color w:val="000000" w:themeColor="text1"/>
        </w:rPr>
        <w:t xml:space="preserve"> PFS being numerically in favour of Cd (HR</w:t>
      </w:r>
      <w:r w:rsidR="00482512" w:rsidRPr="00B42397">
        <w:rPr>
          <w:iCs/>
          <w:color w:val="000000" w:themeColor="text1"/>
        </w:rPr>
        <w:t xml:space="preserve"> </w:t>
      </w:r>
      <w:r w:rsidR="00DA0FA1">
        <w:rPr>
          <w:iCs/>
          <w:color w:val="000000" w:themeColor="text1"/>
        </w:rPr>
        <w:t>=</w:t>
      </w:r>
      <w:r w:rsidR="00482512" w:rsidRPr="00B42397">
        <w:rPr>
          <w:iCs/>
          <w:color w:val="000000" w:themeColor="text1"/>
        </w:rPr>
        <w:t xml:space="preserve"> </w:t>
      </w:r>
      <w:r w:rsidR="00DD2847" w:rsidRPr="00B42397">
        <w:rPr>
          <w:iCs/>
          <w:color w:val="000000" w:themeColor="text1"/>
        </w:rPr>
        <w:t>1</w:t>
      </w:r>
      <w:r w:rsidR="00DA0FA1">
        <w:rPr>
          <w:iCs/>
          <w:color w:val="000000" w:themeColor="text1"/>
        </w:rPr>
        <w:t>.236; 95% CI: 0.95, 1.61</w:t>
      </w:r>
      <w:r w:rsidR="00DD2847" w:rsidRPr="00B42397">
        <w:rPr>
          <w:iCs/>
          <w:color w:val="000000" w:themeColor="text1"/>
        </w:rPr>
        <w:t>)</w:t>
      </w:r>
      <w:r w:rsidR="00482512" w:rsidRPr="00B42397">
        <w:rPr>
          <w:iCs/>
          <w:color w:val="000000" w:themeColor="text1"/>
        </w:rPr>
        <w:t xml:space="preserve"> and </w:t>
      </w:r>
      <w:r w:rsidR="00DD2847" w:rsidRPr="00B42397">
        <w:rPr>
          <w:iCs/>
          <w:color w:val="000000" w:themeColor="text1"/>
        </w:rPr>
        <w:t xml:space="preserve">OS </w:t>
      </w:r>
      <w:r w:rsidR="00482512" w:rsidRPr="00B42397">
        <w:rPr>
          <w:iCs/>
          <w:color w:val="000000" w:themeColor="text1"/>
        </w:rPr>
        <w:t xml:space="preserve">numerically in </w:t>
      </w:r>
      <w:r w:rsidR="00DD2847" w:rsidRPr="00B42397">
        <w:rPr>
          <w:iCs/>
          <w:color w:val="000000" w:themeColor="text1"/>
        </w:rPr>
        <w:t>favour</w:t>
      </w:r>
      <w:r w:rsidR="00482512" w:rsidRPr="00B42397">
        <w:rPr>
          <w:iCs/>
          <w:color w:val="000000" w:themeColor="text1"/>
        </w:rPr>
        <w:t xml:space="preserve"> of</w:t>
      </w:r>
      <w:r w:rsidR="00DD2847" w:rsidRPr="00B42397">
        <w:rPr>
          <w:iCs/>
          <w:color w:val="000000" w:themeColor="text1"/>
        </w:rPr>
        <w:t xml:space="preserve"> </w:t>
      </w:r>
      <w:proofErr w:type="spellStart"/>
      <w:r w:rsidR="001F5659" w:rsidRPr="00B42397">
        <w:rPr>
          <w:iCs/>
          <w:color w:val="000000" w:themeColor="text1"/>
        </w:rPr>
        <w:t>ELd</w:t>
      </w:r>
      <w:proofErr w:type="spellEnd"/>
      <w:r w:rsidR="00DD2847" w:rsidRPr="00B42397">
        <w:rPr>
          <w:iCs/>
          <w:color w:val="000000" w:themeColor="text1"/>
        </w:rPr>
        <w:t xml:space="preserve"> (HR</w:t>
      </w:r>
      <w:r w:rsidR="00482512" w:rsidRPr="00B42397">
        <w:rPr>
          <w:iCs/>
          <w:color w:val="000000" w:themeColor="text1"/>
        </w:rPr>
        <w:t xml:space="preserve"> </w:t>
      </w:r>
      <w:r w:rsidR="00DA0FA1">
        <w:rPr>
          <w:iCs/>
          <w:color w:val="000000" w:themeColor="text1"/>
        </w:rPr>
        <w:t>= 0.975; 95% CI: 0.72, 1.32</w:t>
      </w:r>
      <w:r w:rsidR="00DD2847" w:rsidRPr="00B42397">
        <w:rPr>
          <w:iCs/>
          <w:color w:val="000000" w:themeColor="text1"/>
        </w:rPr>
        <w:t xml:space="preserve">). </w:t>
      </w:r>
      <w:r w:rsidR="006940F2" w:rsidRPr="00B42397">
        <w:rPr>
          <w:iCs/>
          <w:color w:val="000000" w:themeColor="text1"/>
        </w:rPr>
        <w:t xml:space="preserve">However, </w:t>
      </w:r>
      <w:r w:rsidR="006940F2" w:rsidRPr="00B42397">
        <w:rPr>
          <w:iCs/>
        </w:rPr>
        <w:t>a lack of a statistically significant difference between the proposed medicine (</w:t>
      </w:r>
      <w:proofErr w:type="spellStart"/>
      <w:r w:rsidR="001F5659" w:rsidRPr="00B42397">
        <w:rPr>
          <w:iCs/>
        </w:rPr>
        <w:t>ELd</w:t>
      </w:r>
      <w:proofErr w:type="spellEnd"/>
      <w:r w:rsidR="006940F2" w:rsidRPr="00B42397">
        <w:rPr>
          <w:iCs/>
        </w:rPr>
        <w:t xml:space="preserve">) and the comparator (Cd) does not adequately establish non-inferiority; this would have required that the confidence limits of the difference in treatment effect do not include </w:t>
      </w:r>
      <w:r w:rsidR="005F64C5">
        <w:rPr>
          <w:iCs/>
        </w:rPr>
        <w:t>a</w:t>
      </w:r>
      <w:r w:rsidR="006940F2" w:rsidRPr="00B42397">
        <w:rPr>
          <w:iCs/>
        </w:rPr>
        <w:t xml:space="preserve"> clinically meaningful difference favouring the comparator</w:t>
      </w:r>
      <w:r w:rsidR="004C0F71" w:rsidRPr="00B42397">
        <w:rPr>
          <w:iCs/>
        </w:rPr>
        <w:t xml:space="preserve"> (PBAC Guidelines,</w:t>
      </w:r>
      <w:r w:rsidR="00DE2FE5" w:rsidRPr="00B42397">
        <w:rPr>
          <w:iCs/>
        </w:rPr>
        <w:t xml:space="preserve"> v5.0, 2016,</w:t>
      </w:r>
      <w:r w:rsidR="004C0F71" w:rsidRPr="00B42397">
        <w:rPr>
          <w:iCs/>
        </w:rPr>
        <w:t xml:space="preserve"> Section 2.4.5, p 39). </w:t>
      </w:r>
    </w:p>
    <w:p w14:paraId="79EDC2A6" w14:textId="77777777" w:rsidR="005F4CC7" w:rsidRPr="00B42397" w:rsidRDefault="005F4CC7" w:rsidP="005F4CC7">
      <w:pPr>
        <w:pStyle w:val="3-BodyText"/>
        <w:rPr>
          <w:color w:val="0066FF"/>
        </w:rPr>
      </w:pPr>
      <w:r w:rsidRPr="00B42397">
        <w:rPr>
          <w:iCs/>
        </w:rPr>
        <w:t xml:space="preserve">The ESC noted that it was difficult to assess the claim of non-inferior efficacy in terms of PFS </w:t>
      </w:r>
      <w:r w:rsidR="00606216" w:rsidRPr="00B42397">
        <w:rPr>
          <w:iCs/>
        </w:rPr>
        <w:t xml:space="preserve">and OS </w:t>
      </w:r>
      <w:r w:rsidRPr="00B42397">
        <w:rPr>
          <w:iCs/>
        </w:rPr>
        <w:t>due to the nature of the ITC, the lack of a stated non-inferiority margin and the trans</w:t>
      </w:r>
      <w:r w:rsidR="003966B0" w:rsidRPr="00B42397">
        <w:rPr>
          <w:iCs/>
        </w:rPr>
        <w:t>i</w:t>
      </w:r>
      <w:r w:rsidRPr="00B42397">
        <w:rPr>
          <w:iCs/>
        </w:rPr>
        <w:t xml:space="preserve">tivity issues between the trials. </w:t>
      </w:r>
    </w:p>
    <w:p w14:paraId="31514215" w14:textId="77777777" w:rsidR="00093A3A" w:rsidRPr="00B42397" w:rsidRDefault="00093A3A" w:rsidP="00093A3A">
      <w:pPr>
        <w:pStyle w:val="3-BodyText"/>
        <w:rPr>
          <w:rFonts w:eastAsia="Calibri"/>
          <w:iCs/>
        </w:rPr>
      </w:pPr>
      <w:r w:rsidRPr="00B42397">
        <w:rPr>
          <w:lang w:eastAsia="en-US"/>
        </w:rPr>
        <w:t>The PBAC considered that the claim of non-inferior comparative effectiveness was not adequately supported by the data.</w:t>
      </w:r>
    </w:p>
    <w:p w14:paraId="1560E923" w14:textId="77777777" w:rsidR="00131D3D" w:rsidRPr="00B42397" w:rsidRDefault="006401AF" w:rsidP="00131D3D">
      <w:pPr>
        <w:pStyle w:val="3-BodyText"/>
        <w:rPr>
          <w:rFonts w:eastAsia="Calibri"/>
          <w:iCs/>
        </w:rPr>
      </w:pPr>
      <w:r w:rsidRPr="00B42397">
        <w:rPr>
          <w:rFonts w:eastAsia="Calibri"/>
        </w:rPr>
        <w:t xml:space="preserve">The submission claimed that </w:t>
      </w:r>
      <w:r w:rsidR="00482512" w:rsidRPr="00B42397">
        <w:rPr>
          <w:rFonts w:eastAsia="Calibri"/>
        </w:rPr>
        <w:t>on the basis of a</w:t>
      </w:r>
      <w:r w:rsidRPr="00B42397">
        <w:rPr>
          <w:rFonts w:eastAsia="Calibri"/>
        </w:rPr>
        <w:t xml:space="preserve"> naïve ITC th</w:t>
      </w:r>
      <w:r w:rsidR="009E453A" w:rsidRPr="00B42397">
        <w:rPr>
          <w:rFonts w:eastAsia="Calibri"/>
        </w:rPr>
        <w:t>at</w:t>
      </w:r>
      <w:r w:rsidRPr="00B42397">
        <w:rPr>
          <w:rFonts w:eastAsia="Calibri"/>
        </w:rPr>
        <w:t xml:space="preserve"> </w:t>
      </w:r>
      <w:proofErr w:type="spellStart"/>
      <w:r w:rsidR="001F5659" w:rsidRPr="00B42397">
        <w:rPr>
          <w:rFonts w:eastAsia="Calibri"/>
        </w:rPr>
        <w:t>ELd</w:t>
      </w:r>
      <w:proofErr w:type="spellEnd"/>
      <w:r w:rsidRPr="00B42397">
        <w:rPr>
          <w:rFonts w:eastAsia="Calibri"/>
        </w:rPr>
        <w:t xml:space="preserve"> </w:t>
      </w:r>
      <w:r w:rsidR="0065754C" w:rsidRPr="00B42397">
        <w:rPr>
          <w:rFonts w:eastAsia="Calibri"/>
        </w:rPr>
        <w:t>has</w:t>
      </w:r>
      <w:r w:rsidRPr="00B42397">
        <w:rPr>
          <w:rFonts w:eastAsia="Calibri"/>
        </w:rPr>
        <w:t xml:space="preserve"> </w:t>
      </w:r>
      <w:r w:rsidR="009E453A" w:rsidRPr="00B42397">
        <w:rPr>
          <w:rFonts w:eastAsia="Calibri"/>
        </w:rPr>
        <w:t xml:space="preserve">a </w:t>
      </w:r>
      <w:r w:rsidRPr="00B42397">
        <w:rPr>
          <w:rFonts w:eastAsia="Calibri"/>
        </w:rPr>
        <w:t xml:space="preserve">different, yet non-inferior, safety profile relative to Cd. </w:t>
      </w:r>
      <w:r w:rsidR="00482512" w:rsidRPr="00B42397">
        <w:rPr>
          <w:rFonts w:eastAsia="Calibri"/>
        </w:rPr>
        <w:t>Although the durations of follow-up differed between the trials</w:t>
      </w:r>
      <w:r w:rsidR="0064730E" w:rsidRPr="00B42397">
        <w:rPr>
          <w:rFonts w:eastAsia="Calibri"/>
        </w:rPr>
        <w:t xml:space="preserve"> and may have favoured Cd, t</w:t>
      </w:r>
      <w:r w:rsidRPr="00B42397">
        <w:rPr>
          <w:rFonts w:eastAsia="Calibri"/>
          <w:iCs/>
        </w:rPr>
        <w:t xml:space="preserve">his claim </w:t>
      </w:r>
      <w:r w:rsidR="0064730E" w:rsidRPr="00B42397">
        <w:rPr>
          <w:rFonts w:eastAsia="Calibri"/>
          <w:iCs/>
        </w:rPr>
        <w:t xml:space="preserve">might </w:t>
      </w:r>
      <w:r w:rsidRPr="00B42397">
        <w:rPr>
          <w:rFonts w:eastAsia="Calibri"/>
          <w:iCs/>
        </w:rPr>
        <w:t xml:space="preserve">not be supported </w:t>
      </w:r>
      <w:r w:rsidR="0064730E" w:rsidRPr="00B42397">
        <w:rPr>
          <w:rFonts w:eastAsia="Calibri"/>
          <w:iCs/>
        </w:rPr>
        <w:t>as</w:t>
      </w:r>
      <w:r w:rsidR="000C489D" w:rsidRPr="00B42397">
        <w:rPr>
          <w:rFonts w:eastAsia="Calibri"/>
          <w:iCs/>
        </w:rPr>
        <w:t xml:space="preserve"> </w:t>
      </w:r>
      <w:proofErr w:type="spellStart"/>
      <w:r w:rsidR="001F5659" w:rsidRPr="00B42397">
        <w:rPr>
          <w:rFonts w:eastAsia="Calibri"/>
          <w:iCs/>
        </w:rPr>
        <w:t>ELd</w:t>
      </w:r>
      <w:proofErr w:type="spellEnd"/>
      <w:r w:rsidRPr="00B42397">
        <w:rPr>
          <w:rFonts w:eastAsia="Calibri"/>
          <w:iCs/>
        </w:rPr>
        <w:t xml:space="preserve"> </w:t>
      </w:r>
      <w:r w:rsidR="0064730E" w:rsidRPr="00B42397">
        <w:rPr>
          <w:rFonts w:eastAsia="Calibri"/>
          <w:iCs/>
        </w:rPr>
        <w:t>resulted in</w:t>
      </w:r>
      <w:r w:rsidRPr="00B42397">
        <w:rPr>
          <w:rFonts w:eastAsia="Calibri"/>
          <w:iCs/>
        </w:rPr>
        <w:t xml:space="preserve"> </w:t>
      </w:r>
      <w:r w:rsidR="00DE16C1" w:rsidRPr="00B42397">
        <w:rPr>
          <w:rFonts w:eastAsia="Calibri"/>
          <w:iCs/>
        </w:rPr>
        <w:t xml:space="preserve">a </w:t>
      </w:r>
      <w:r w:rsidRPr="00B42397">
        <w:rPr>
          <w:rFonts w:eastAsia="Calibri"/>
          <w:iCs/>
        </w:rPr>
        <w:t xml:space="preserve">higher frequency </w:t>
      </w:r>
      <w:r w:rsidR="00893D02" w:rsidRPr="00B42397">
        <w:rPr>
          <w:rFonts w:eastAsia="Calibri"/>
          <w:iCs/>
        </w:rPr>
        <w:t xml:space="preserve">of Grade 3-4 AEs </w:t>
      </w:r>
      <w:r w:rsidR="00C05A09" w:rsidRPr="00B42397">
        <w:rPr>
          <w:rFonts w:eastAsia="Calibri"/>
          <w:iCs/>
        </w:rPr>
        <w:t>(including</w:t>
      </w:r>
      <w:r w:rsidR="00893D02" w:rsidRPr="00B42397">
        <w:rPr>
          <w:rFonts w:eastAsia="Calibri"/>
          <w:iCs/>
        </w:rPr>
        <w:t xml:space="preserve"> neutropenia, pneumonia, thrombocytopenia, </w:t>
      </w:r>
      <w:proofErr w:type="spellStart"/>
      <w:r w:rsidR="00893D02" w:rsidRPr="00B42397">
        <w:rPr>
          <w:rFonts w:eastAsia="Calibri"/>
          <w:iCs/>
        </w:rPr>
        <w:t>lymphopenia</w:t>
      </w:r>
      <w:proofErr w:type="spellEnd"/>
      <w:r w:rsidR="00893D02" w:rsidRPr="00B42397">
        <w:rPr>
          <w:rFonts w:eastAsia="Calibri"/>
          <w:iCs/>
        </w:rPr>
        <w:t>, cataract</w:t>
      </w:r>
      <w:r w:rsidR="00DE16C1" w:rsidRPr="00B42397">
        <w:rPr>
          <w:rFonts w:eastAsia="Calibri"/>
          <w:iCs/>
        </w:rPr>
        <w:t>s</w:t>
      </w:r>
      <w:r w:rsidR="00893D02" w:rsidRPr="00B42397">
        <w:rPr>
          <w:rFonts w:eastAsia="Calibri"/>
          <w:iCs/>
        </w:rPr>
        <w:t xml:space="preserve"> and DVT</w:t>
      </w:r>
      <w:r w:rsidR="00C05A09" w:rsidRPr="00B42397">
        <w:rPr>
          <w:rFonts w:eastAsia="Calibri"/>
          <w:iCs/>
        </w:rPr>
        <w:t>)</w:t>
      </w:r>
      <w:r w:rsidR="00893D02" w:rsidRPr="00B42397">
        <w:rPr>
          <w:rFonts w:eastAsia="Calibri"/>
          <w:iCs/>
        </w:rPr>
        <w:t xml:space="preserve"> compared to Cd.</w:t>
      </w:r>
      <w:r w:rsidR="00DE16C1" w:rsidRPr="00B42397">
        <w:rPr>
          <w:rFonts w:eastAsia="Calibri"/>
          <w:iCs/>
        </w:rPr>
        <w:t xml:space="preserve"> </w:t>
      </w:r>
      <w:r w:rsidR="00DE16C1" w:rsidRPr="00B42397">
        <w:rPr>
          <w:rFonts w:eastAsia="Calibri"/>
          <w:iCs/>
        </w:rPr>
        <w:lastRenderedPageBreak/>
        <w:t xml:space="preserve">The </w:t>
      </w:r>
      <w:r w:rsidR="005F4CC7" w:rsidRPr="00B42397">
        <w:rPr>
          <w:rFonts w:eastAsia="Calibri"/>
          <w:iCs/>
        </w:rPr>
        <w:t xml:space="preserve">ESC considered that the </w:t>
      </w:r>
      <w:r w:rsidR="00DE16C1" w:rsidRPr="00B42397">
        <w:rPr>
          <w:rFonts w:eastAsia="Calibri"/>
          <w:iCs/>
        </w:rPr>
        <w:t xml:space="preserve">higher occurrence of DVTs </w:t>
      </w:r>
      <w:r w:rsidR="005F4CC7" w:rsidRPr="00B42397">
        <w:rPr>
          <w:rFonts w:eastAsia="Calibri"/>
          <w:iCs/>
        </w:rPr>
        <w:t xml:space="preserve">in </w:t>
      </w:r>
      <w:proofErr w:type="spellStart"/>
      <w:r w:rsidR="005F4CC7" w:rsidRPr="00B42397">
        <w:rPr>
          <w:rFonts w:eastAsia="Calibri"/>
          <w:iCs/>
        </w:rPr>
        <w:t>ELd</w:t>
      </w:r>
      <w:proofErr w:type="spellEnd"/>
      <w:r w:rsidR="005F4CC7" w:rsidRPr="00B42397">
        <w:rPr>
          <w:rFonts w:eastAsia="Calibri"/>
          <w:iCs/>
        </w:rPr>
        <w:t xml:space="preserve"> patients</w:t>
      </w:r>
      <w:r w:rsidR="001F0CCC" w:rsidRPr="00B42397">
        <w:rPr>
          <w:rFonts w:eastAsia="Calibri"/>
          <w:iCs/>
        </w:rPr>
        <w:t xml:space="preserve"> was a particular concern</w:t>
      </w:r>
      <w:r w:rsidR="005F4CC7" w:rsidRPr="00B42397">
        <w:rPr>
          <w:rFonts w:eastAsia="Calibri"/>
          <w:iCs/>
        </w:rPr>
        <w:t xml:space="preserve">, </w:t>
      </w:r>
      <w:r w:rsidR="001F0CCC" w:rsidRPr="00B42397">
        <w:rPr>
          <w:rFonts w:eastAsia="Calibri"/>
          <w:iCs/>
        </w:rPr>
        <w:t xml:space="preserve">considering </w:t>
      </w:r>
      <w:r w:rsidR="005F4CC7" w:rsidRPr="00B42397">
        <w:rPr>
          <w:rFonts w:eastAsia="Calibri"/>
          <w:iCs/>
        </w:rPr>
        <w:t xml:space="preserve">they </w:t>
      </w:r>
      <w:r w:rsidR="00DE16C1" w:rsidRPr="00B42397">
        <w:rPr>
          <w:rFonts w:eastAsia="Calibri"/>
          <w:iCs/>
        </w:rPr>
        <w:t xml:space="preserve">were </w:t>
      </w:r>
      <w:r w:rsidR="009E453A" w:rsidRPr="00B42397">
        <w:rPr>
          <w:rFonts w:eastAsia="Calibri"/>
          <w:iCs/>
        </w:rPr>
        <w:t>receiving</w:t>
      </w:r>
      <w:r w:rsidR="00DE16C1" w:rsidRPr="00B42397">
        <w:rPr>
          <w:rFonts w:eastAsia="Calibri"/>
          <w:iCs/>
        </w:rPr>
        <w:t xml:space="preserve"> anti-thrombotic prophylaxis</w:t>
      </w:r>
      <w:r w:rsidR="00EC5C31" w:rsidRPr="00B42397">
        <w:rPr>
          <w:rFonts w:eastAsia="Calibri"/>
          <w:iCs/>
        </w:rPr>
        <w:t xml:space="preserve">. The ESC </w:t>
      </w:r>
      <w:r w:rsidR="006548DD" w:rsidRPr="00B42397">
        <w:rPr>
          <w:rFonts w:eastAsia="Calibri"/>
          <w:iCs/>
        </w:rPr>
        <w:t xml:space="preserve">considered the data </w:t>
      </w:r>
      <w:r w:rsidR="005F4CC7" w:rsidRPr="00B42397">
        <w:rPr>
          <w:rFonts w:eastAsia="Calibri"/>
          <w:iCs/>
        </w:rPr>
        <w:t>did not support the claim of non-inferior safety</w:t>
      </w:r>
      <w:r w:rsidR="000C489D" w:rsidRPr="00B42397">
        <w:rPr>
          <w:rFonts w:eastAsia="Calibri"/>
          <w:iCs/>
        </w:rPr>
        <w:t>.</w:t>
      </w:r>
    </w:p>
    <w:p w14:paraId="41DC9E75" w14:textId="77777777" w:rsidR="00131D3D" w:rsidRPr="00B42397" w:rsidRDefault="00131D3D" w:rsidP="00131D3D">
      <w:pPr>
        <w:pStyle w:val="3-BodyText"/>
        <w:rPr>
          <w:rFonts w:eastAsia="Calibri"/>
          <w:iCs/>
        </w:rPr>
      </w:pPr>
      <w:r w:rsidRPr="00B42397">
        <w:rPr>
          <w:lang w:eastAsia="en-US"/>
        </w:rPr>
        <w:t xml:space="preserve">The PBAC considered that the claim of </w:t>
      </w:r>
      <w:r w:rsidR="00701787" w:rsidRPr="00B42397">
        <w:rPr>
          <w:lang w:eastAsia="en-US"/>
        </w:rPr>
        <w:t xml:space="preserve">different, yet </w:t>
      </w:r>
      <w:r w:rsidRPr="00B42397">
        <w:rPr>
          <w:lang w:eastAsia="en-US"/>
        </w:rPr>
        <w:t>non-inferior</w:t>
      </w:r>
      <w:r w:rsidR="00701787" w:rsidRPr="00B42397">
        <w:rPr>
          <w:lang w:eastAsia="en-US"/>
        </w:rPr>
        <w:t>,</w:t>
      </w:r>
      <w:r w:rsidRPr="00B42397">
        <w:rPr>
          <w:lang w:eastAsia="en-US"/>
        </w:rPr>
        <w:t xml:space="preserve"> comparative safety was not adequately supported by the data.</w:t>
      </w:r>
    </w:p>
    <w:p w14:paraId="47B7D7EE" w14:textId="77777777" w:rsidR="00B60939" w:rsidRPr="00B42397" w:rsidRDefault="00B60939" w:rsidP="00E9094A">
      <w:pPr>
        <w:pStyle w:val="4-SubsectionHeading"/>
      </w:pPr>
      <w:bookmarkStart w:id="20" w:name="_Toc22897645"/>
      <w:bookmarkStart w:id="21" w:name="_Toc49758147"/>
      <w:r w:rsidRPr="00B42397">
        <w:t>Economic analysis</w:t>
      </w:r>
      <w:bookmarkEnd w:id="20"/>
      <w:bookmarkEnd w:id="21"/>
      <w:r w:rsidR="00491B3A" w:rsidRPr="00B42397">
        <w:t xml:space="preserve"> </w:t>
      </w:r>
    </w:p>
    <w:p w14:paraId="72E38EBD" w14:textId="77777777" w:rsidR="00635F92" w:rsidRPr="00B42397" w:rsidRDefault="000064AD" w:rsidP="00A5041D">
      <w:pPr>
        <w:pStyle w:val="3-BodyText"/>
      </w:pPr>
      <w:r w:rsidRPr="00B42397">
        <w:t xml:space="preserve">The submission presented a CMA comparing </w:t>
      </w:r>
      <w:proofErr w:type="spellStart"/>
      <w:r w:rsidR="001F5659" w:rsidRPr="00B42397">
        <w:t>ELd</w:t>
      </w:r>
      <w:proofErr w:type="spellEnd"/>
      <w:r w:rsidRPr="00B42397">
        <w:t xml:space="preserve"> to Cd. </w:t>
      </w:r>
    </w:p>
    <w:p w14:paraId="1EE7DB3A" w14:textId="77777777" w:rsidR="00DF60CA" w:rsidRPr="00B42397" w:rsidRDefault="00A86E8B" w:rsidP="00351BD8">
      <w:pPr>
        <w:pStyle w:val="3-BodyText"/>
      </w:pPr>
      <w:r w:rsidRPr="00B42397">
        <w:t xml:space="preserve">The </w:t>
      </w:r>
      <w:r w:rsidR="00056EF0" w:rsidRPr="00B42397">
        <w:t>CMA applied a median dose intensity (DI</w:t>
      </w:r>
      <w:r w:rsidR="00AA2FD8" w:rsidRPr="00B42397">
        <w:t xml:space="preserve">; </w:t>
      </w:r>
      <w:r w:rsidR="00B9298F" w:rsidRPr="00B42397">
        <w:t>reported in mg/kg/week)</w:t>
      </w:r>
      <w:r w:rsidR="00056EF0" w:rsidRPr="00B42397">
        <w:t xml:space="preserve"> for </w:t>
      </w:r>
      <w:proofErr w:type="spellStart"/>
      <w:r w:rsidR="001F5659" w:rsidRPr="00B42397">
        <w:t>ELd</w:t>
      </w:r>
      <w:proofErr w:type="spellEnd"/>
      <w:r w:rsidR="00056EF0" w:rsidRPr="00B42397">
        <w:t xml:space="preserve"> from ELOQUENT-2 at 38.7 months median follow-up</w:t>
      </w:r>
      <w:r w:rsidR="00DF60CA" w:rsidRPr="00B42397">
        <w:t xml:space="preserve"> (29</w:t>
      </w:r>
      <w:r w:rsidR="00DF60CA" w:rsidRPr="00B42397">
        <w:rPr>
          <w:vertAlign w:val="superscript"/>
        </w:rPr>
        <w:t>th</w:t>
      </w:r>
      <w:r w:rsidR="00DF60CA" w:rsidRPr="00B42397">
        <w:t xml:space="preserve"> Oct 2015 data-cut)</w:t>
      </w:r>
      <w:r w:rsidR="00056EF0" w:rsidRPr="00B42397">
        <w:t>, and a median relative DI</w:t>
      </w:r>
      <w:r w:rsidR="00B9298F" w:rsidRPr="00B42397">
        <w:t xml:space="preserve"> (</w:t>
      </w:r>
      <w:r w:rsidR="00833A74" w:rsidRPr="00B42397">
        <w:t>R</w:t>
      </w:r>
      <w:r w:rsidR="001F5659" w:rsidRPr="00B42397">
        <w:t>D</w:t>
      </w:r>
      <w:r w:rsidR="00E61941" w:rsidRPr="00B42397">
        <w:t xml:space="preserve">I; </w:t>
      </w:r>
      <w:r w:rsidR="00B9298F" w:rsidRPr="00B42397">
        <w:t>reported as a percentage)</w:t>
      </w:r>
      <w:r w:rsidR="00056EF0" w:rsidRPr="00B42397">
        <w:t xml:space="preserve"> for Cd from ENDEAVOR at 37.</w:t>
      </w:r>
      <w:r w:rsidR="00970594" w:rsidRPr="00B42397">
        <w:t>2</w:t>
      </w:r>
      <w:r w:rsidR="00056EF0" w:rsidRPr="00B42397">
        <w:t xml:space="preserve"> months median follow up</w:t>
      </w:r>
      <w:r w:rsidR="00DF60CA" w:rsidRPr="00B42397">
        <w:t xml:space="preserve"> (3</w:t>
      </w:r>
      <w:r w:rsidR="00833A74" w:rsidRPr="00B42397">
        <w:rPr>
          <w:vertAlign w:val="superscript"/>
        </w:rPr>
        <w:t>r</w:t>
      </w:r>
      <w:r w:rsidR="001F5659" w:rsidRPr="00B42397">
        <w:rPr>
          <w:vertAlign w:val="superscript"/>
        </w:rPr>
        <w:t>d</w:t>
      </w:r>
      <w:r w:rsidR="00DF60CA" w:rsidRPr="00B42397">
        <w:t xml:space="preserve"> Jan 2017 data cut)</w:t>
      </w:r>
      <w:r w:rsidR="00056EF0" w:rsidRPr="00B42397">
        <w:t xml:space="preserve">. </w:t>
      </w:r>
      <w:r w:rsidR="00056EF0" w:rsidRPr="00B42397">
        <w:rPr>
          <w:iCs/>
        </w:rPr>
        <w:t>The use of these data w</w:t>
      </w:r>
      <w:r w:rsidR="000C489D" w:rsidRPr="00B42397">
        <w:rPr>
          <w:iCs/>
        </w:rPr>
        <w:t>as</w:t>
      </w:r>
      <w:r w:rsidR="00056EF0" w:rsidRPr="00B42397">
        <w:rPr>
          <w:iCs/>
        </w:rPr>
        <w:t xml:space="preserve"> appropriate given that the ITC for OS was based on these data cuts.</w:t>
      </w:r>
      <w:r w:rsidR="00DF60CA" w:rsidRPr="00B42397">
        <w:rPr>
          <w:iCs/>
        </w:rPr>
        <w:t xml:space="preserve"> </w:t>
      </w:r>
    </w:p>
    <w:p w14:paraId="3FD20F92" w14:textId="77777777" w:rsidR="00E61941" w:rsidRPr="00B42397" w:rsidRDefault="00E61941" w:rsidP="00E61941">
      <w:pPr>
        <w:pStyle w:val="3-BodyText"/>
      </w:pPr>
      <w:r w:rsidRPr="00B42397">
        <w:t xml:space="preserve">The submission stated that the ‘steady state’ for </w:t>
      </w:r>
      <w:proofErr w:type="spellStart"/>
      <w:r w:rsidR="001F5659" w:rsidRPr="00B42397">
        <w:t>ELd</w:t>
      </w:r>
      <w:proofErr w:type="spellEnd"/>
      <w:r w:rsidRPr="00B42397">
        <w:t xml:space="preserve"> was assumed from Cycle 3 of the ELOQUENT-2 trial and for Cd from Cycle 2 of the ENDEAVOR trial. However, a</w:t>
      </w:r>
      <w:r w:rsidRPr="00B42397">
        <w:rPr>
          <w:iCs/>
        </w:rPr>
        <w:t xml:space="preserve">s the DI for Cd in the ‘steady state’ was not available, the submission applied the dose intensity </w:t>
      </w:r>
      <w:r w:rsidR="00D751D2" w:rsidRPr="00B42397">
        <w:rPr>
          <w:iCs/>
        </w:rPr>
        <w:t xml:space="preserve">calculated over all cycles to the </w:t>
      </w:r>
      <w:r w:rsidRPr="00B42397">
        <w:rPr>
          <w:iCs/>
        </w:rPr>
        <w:t>Cd</w:t>
      </w:r>
      <w:r w:rsidR="00D751D2" w:rsidRPr="00B42397">
        <w:rPr>
          <w:iCs/>
        </w:rPr>
        <w:t xml:space="preserve"> arm of the CMA</w:t>
      </w:r>
      <w:r w:rsidRPr="00B42397">
        <w:rPr>
          <w:iCs/>
        </w:rPr>
        <w:t>.</w:t>
      </w:r>
      <w:r w:rsidRPr="00B42397">
        <w:t xml:space="preserve"> </w:t>
      </w:r>
      <w:r w:rsidRPr="00B42397">
        <w:rPr>
          <w:iCs/>
        </w:rPr>
        <w:t xml:space="preserve">This is likely to have biased the analysis in favour of </w:t>
      </w:r>
      <w:proofErr w:type="spellStart"/>
      <w:r w:rsidR="001F5659" w:rsidRPr="00B42397">
        <w:rPr>
          <w:iCs/>
        </w:rPr>
        <w:t>ELd</w:t>
      </w:r>
      <w:proofErr w:type="spellEnd"/>
      <w:r w:rsidRPr="00B42397">
        <w:rPr>
          <w:iCs/>
        </w:rPr>
        <w:t xml:space="preserve"> </w:t>
      </w:r>
      <w:r w:rsidR="00473FCD" w:rsidRPr="00B42397">
        <w:rPr>
          <w:iCs/>
        </w:rPr>
        <w:t xml:space="preserve">as </w:t>
      </w:r>
      <w:r w:rsidR="00D751D2" w:rsidRPr="00B42397">
        <w:rPr>
          <w:iCs/>
        </w:rPr>
        <w:t xml:space="preserve">the higher </w:t>
      </w:r>
      <w:r w:rsidRPr="00B42397">
        <w:rPr>
          <w:iCs/>
        </w:rPr>
        <w:t xml:space="preserve">exposure (and dose intensity) during the </w:t>
      </w:r>
      <w:r w:rsidR="00D751D2" w:rsidRPr="00B42397">
        <w:rPr>
          <w:iCs/>
        </w:rPr>
        <w:t>first two</w:t>
      </w:r>
      <w:r w:rsidRPr="00B42397">
        <w:rPr>
          <w:iCs/>
        </w:rPr>
        <w:t xml:space="preserve"> cycles of </w:t>
      </w:r>
      <w:proofErr w:type="spellStart"/>
      <w:r w:rsidR="001F5659" w:rsidRPr="00B42397">
        <w:rPr>
          <w:iCs/>
        </w:rPr>
        <w:t>ELd</w:t>
      </w:r>
      <w:proofErr w:type="spellEnd"/>
      <w:r w:rsidRPr="00B42397">
        <w:rPr>
          <w:iCs/>
        </w:rPr>
        <w:t xml:space="preserve"> </w:t>
      </w:r>
      <w:r w:rsidR="00D751D2" w:rsidRPr="00B42397">
        <w:rPr>
          <w:iCs/>
        </w:rPr>
        <w:t xml:space="preserve">(elotuzumab was given once per week in Cycles 1 and 2, and once per fortnight in Cycles 3+) </w:t>
      </w:r>
      <w:r w:rsidRPr="00B42397">
        <w:rPr>
          <w:iCs/>
        </w:rPr>
        <w:t>was excluded.</w:t>
      </w:r>
      <w:r w:rsidR="00B83C93" w:rsidRPr="00B42397">
        <w:rPr>
          <w:iCs/>
        </w:rPr>
        <w:t xml:space="preserve"> </w:t>
      </w:r>
      <w:r w:rsidR="007F00AC" w:rsidRPr="00B42397">
        <w:rPr>
          <w:iCs/>
        </w:rPr>
        <w:t xml:space="preserve">The PSCR </w:t>
      </w:r>
      <w:r w:rsidR="00B83C93" w:rsidRPr="00B42397">
        <w:rPr>
          <w:iCs/>
        </w:rPr>
        <w:t xml:space="preserve">stated </w:t>
      </w:r>
      <w:r w:rsidR="007F00AC" w:rsidRPr="00B42397">
        <w:rPr>
          <w:iCs/>
        </w:rPr>
        <w:t>that the PBAC Guidelines, v5.0, 2016 advise that dose intensity from the ‘steady state’ is applied to ensure all potential confounders including, but not limited to, different discontinuation rates and different titration (or loading) schedules do not impact on the potential pricing.</w:t>
      </w:r>
      <w:r w:rsidR="00B83C93" w:rsidRPr="00B42397">
        <w:rPr>
          <w:iCs/>
        </w:rPr>
        <w:t xml:space="preserve"> The ESC noted that the Guidelines state that ‘</w:t>
      </w:r>
      <w:r w:rsidR="00B83C93" w:rsidRPr="00B42397">
        <w:t>For medicines that are ongoing, the ‘steady state’ dose comparison is generally most relevant. Calculate equi-effective doses at steady state (</w:t>
      </w:r>
      <w:proofErr w:type="spellStart"/>
      <w:r w:rsidR="00B83C93" w:rsidRPr="00B42397">
        <w:t>ie</w:t>
      </w:r>
      <w:proofErr w:type="spellEnd"/>
      <w:r w:rsidR="00B83C93" w:rsidRPr="00B42397">
        <w:t xml:space="preserve"> the average dose after dose titrations are complete and after excluding participants who discontinue the medicine).’ The ESC noted that the Guidelines do not make reference to loading doses and considered that </w:t>
      </w:r>
      <w:proofErr w:type="spellStart"/>
      <w:r w:rsidR="00B83C93" w:rsidRPr="00B42397">
        <w:t>ELd</w:t>
      </w:r>
      <w:proofErr w:type="spellEnd"/>
      <w:r w:rsidR="00B83C93" w:rsidRPr="00B42397">
        <w:t xml:space="preserve"> is not an ongoing treatment, as patients cease treatment when they progress. Therefore, the ESC considered that it would be appropriate to compare the total cost per patient, including loading doses, for </w:t>
      </w:r>
      <w:proofErr w:type="spellStart"/>
      <w:r w:rsidR="00B83C93" w:rsidRPr="00B42397">
        <w:t>ELd</w:t>
      </w:r>
      <w:proofErr w:type="spellEnd"/>
      <w:r w:rsidR="00B83C93" w:rsidRPr="00B42397">
        <w:t xml:space="preserve"> and Cd.</w:t>
      </w:r>
    </w:p>
    <w:p w14:paraId="78AC2329" w14:textId="77777777" w:rsidR="00E61941" w:rsidRPr="00B42397" w:rsidRDefault="00D751D2" w:rsidP="00E61941">
      <w:pPr>
        <w:pStyle w:val="3-BodyText"/>
        <w:rPr>
          <w:iCs/>
        </w:rPr>
      </w:pPr>
      <w:r w:rsidRPr="00B42397">
        <w:rPr>
          <w:iCs/>
        </w:rPr>
        <w:t>T</w:t>
      </w:r>
      <w:r w:rsidR="00E61941" w:rsidRPr="00B42397">
        <w:rPr>
          <w:iCs/>
        </w:rPr>
        <w:t xml:space="preserve">he DIs reported in ELOQUENT-2 </w:t>
      </w:r>
      <w:r w:rsidRPr="00B42397">
        <w:rPr>
          <w:iCs/>
        </w:rPr>
        <w:t xml:space="preserve">excluded </w:t>
      </w:r>
      <w:r w:rsidR="00E61941" w:rsidRPr="00B42397">
        <w:rPr>
          <w:iCs/>
        </w:rPr>
        <w:t xml:space="preserve">exposure in patients who discontinued treatment. Thus, the estimated DIs did not reflect the mean dose exposure for </w:t>
      </w:r>
      <w:proofErr w:type="spellStart"/>
      <w:r w:rsidR="001F5659" w:rsidRPr="00B42397">
        <w:rPr>
          <w:iCs/>
        </w:rPr>
        <w:t>ELd</w:t>
      </w:r>
      <w:proofErr w:type="spellEnd"/>
      <w:r w:rsidR="00E61941" w:rsidRPr="00B42397">
        <w:rPr>
          <w:iCs/>
        </w:rPr>
        <w:t xml:space="preserve"> and may </w:t>
      </w:r>
      <w:r w:rsidRPr="00B42397">
        <w:rPr>
          <w:iCs/>
        </w:rPr>
        <w:t>have led</w:t>
      </w:r>
      <w:r w:rsidR="00E61941" w:rsidRPr="00B42397">
        <w:rPr>
          <w:iCs/>
        </w:rPr>
        <w:t xml:space="preserve"> to an overestimation of the equi-effective doses (see the sensitivity analysis below).</w:t>
      </w:r>
      <w:r w:rsidR="00E61941" w:rsidRPr="00B42397">
        <w:t xml:space="preserve"> The DI for dexamethasone in ENDEAVOR was not available, therefore the carfilzomib </w:t>
      </w:r>
      <w:r w:rsidR="00833A74" w:rsidRPr="00B42397">
        <w:t>R</w:t>
      </w:r>
      <w:r w:rsidR="001F5659" w:rsidRPr="00B42397">
        <w:t>D</w:t>
      </w:r>
      <w:r w:rsidR="00E61941" w:rsidRPr="00B42397">
        <w:t>I was applied to both carfilzomib and dexamethasone in the Cd regimen.</w:t>
      </w:r>
    </w:p>
    <w:p w14:paraId="7ECDD4E6" w14:textId="77777777" w:rsidR="00E61941" w:rsidRPr="00B42397" w:rsidRDefault="00DF60CA" w:rsidP="00351BD8">
      <w:pPr>
        <w:pStyle w:val="3-BodyText"/>
      </w:pPr>
      <w:r w:rsidRPr="00B42397">
        <w:rPr>
          <w:iCs/>
        </w:rPr>
        <w:t xml:space="preserve">The submission assumed a ‘steady state’ dose intensity and a wastage estimate for both elotuzumab and carfilzomib. </w:t>
      </w:r>
      <w:r w:rsidRPr="00B42397">
        <w:t xml:space="preserve">The median weekly DIs were applied for </w:t>
      </w:r>
      <w:proofErr w:type="spellStart"/>
      <w:r w:rsidR="001F5659" w:rsidRPr="00B42397">
        <w:t>ELd</w:t>
      </w:r>
      <w:proofErr w:type="spellEnd"/>
      <w:r w:rsidRPr="00B42397">
        <w:t xml:space="preserve"> (4.81 mg/kg/week for elotuzumab; 114.84 mg/week if the starting dose was 25 mg/day or </w:t>
      </w:r>
      <w:r w:rsidRPr="00B42397">
        <w:lastRenderedPageBreak/>
        <w:t xml:space="preserve">49.71 mg/week if the starting dose was less than 25 mg/day for lenalidomide; and 33.82 mg/week of dexamethasone). The median DI applied for Cd was </w:t>
      </w:r>
      <w:r w:rsidR="00E61941" w:rsidRPr="00B42397">
        <w:t xml:space="preserve">based on an </w:t>
      </w:r>
      <w:r w:rsidR="00833A74" w:rsidRPr="00B42397">
        <w:t>R</w:t>
      </w:r>
      <w:r w:rsidR="001F5659" w:rsidRPr="00B42397">
        <w:t>D</w:t>
      </w:r>
      <w:r w:rsidR="00E61941" w:rsidRPr="00B42397">
        <w:t>I of 91% (</w:t>
      </w:r>
      <w:r w:rsidRPr="00B42397">
        <w:t>50.69 mg/m</w:t>
      </w:r>
      <w:r w:rsidRPr="00B42397">
        <w:rPr>
          <w:vertAlign w:val="superscript"/>
        </w:rPr>
        <w:t>2</w:t>
      </w:r>
      <w:r w:rsidRPr="00B42397">
        <w:t xml:space="preserve"> for carfilzomib and 18.2 mg for dexamethasone</w:t>
      </w:r>
      <w:r w:rsidR="00E61941" w:rsidRPr="00B42397">
        <w:t>)</w:t>
      </w:r>
      <w:r w:rsidRPr="00B42397">
        <w:t xml:space="preserve">. </w:t>
      </w:r>
    </w:p>
    <w:p w14:paraId="396D893F" w14:textId="77777777" w:rsidR="00ED3EAD" w:rsidRPr="00B42397" w:rsidRDefault="00DF60CA" w:rsidP="00096193">
      <w:pPr>
        <w:pStyle w:val="3-BodyText"/>
      </w:pPr>
      <w:r w:rsidRPr="00B42397">
        <w:t xml:space="preserve">The </w:t>
      </w:r>
      <w:r w:rsidR="00E61941" w:rsidRPr="00B42397">
        <w:t xml:space="preserve">resultant </w:t>
      </w:r>
      <w:r w:rsidRPr="00B42397">
        <w:t>equi-effective doses per cycle, as estimated by the submission, were:</w:t>
      </w:r>
      <w:r w:rsidR="00096193" w:rsidRPr="00B42397">
        <w:t xml:space="preserve"> </w:t>
      </w:r>
    </w:p>
    <w:p w14:paraId="3A36FBF2" w14:textId="77777777" w:rsidR="00A5041D" w:rsidRPr="00B42397" w:rsidRDefault="00A5041D" w:rsidP="00ED3EAD">
      <w:pPr>
        <w:pStyle w:val="3-BodyText"/>
        <w:numPr>
          <w:ilvl w:val="0"/>
          <w:numId w:val="0"/>
        </w:numPr>
        <w:ind w:left="720"/>
      </w:pPr>
      <w:r w:rsidRPr="00B42397">
        <w:t xml:space="preserve">1,544 mg of elotuzumab, 416 mg of lenalidomide and 135 mg of dexamethasone </w:t>
      </w:r>
      <w:r w:rsidR="00635F92" w:rsidRPr="00B42397">
        <w:t>=</w:t>
      </w:r>
      <w:r w:rsidRPr="00B42397">
        <w:t xml:space="preserve"> 601 mg of carfilzomib and 146 mg of dexamethasone </w:t>
      </w:r>
    </w:p>
    <w:p w14:paraId="6A6C4662" w14:textId="77777777" w:rsidR="00053032" w:rsidRPr="00B42397" w:rsidRDefault="00473FCD" w:rsidP="00053032">
      <w:pPr>
        <w:pStyle w:val="3-BodyText"/>
      </w:pPr>
      <w:r w:rsidRPr="00B42397">
        <w:t>T</w:t>
      </w:r>
      <w:r w:rsidR="00053032" w:rsidRPr="00B42397">
        <w:t>he submission did not incorporate the length of treatment for each regimen into the estimation of the equi</w:t>
      </w:r>
      <w:r w:rsidRPr="00B42397">
        <w:t>-</w:t>
      </w:r>
      <w:r w:rsidR="00053032" w:rsidRPr="00B42397">
        <w:t xml:space="preserve">effective doses. </w:t>
      </w:r>
      <w:r w:rsidRPr="00B42397">
        <w:rPr>
          <w:iCs/>
        </w:rPr>
        <w:t>Although t</w:t>
      </w:r>
      <w:r w:rsidR="00053032" w:rsidRPr="00B42397">
        <w:t xml:space="preserve">he mean duration of treatment (DOT) for </w:t>
      </w:r>
      <w:proofErr w:type="spellStart"/>
      <w:r w:rsidR="001F5659" w:rsidRPr="00B42397">
        <w:t>ELd</w:t>
      </w:r>
      <w:proofErr w:type="spellEnd"/>
      <w:r w:rsidR="00053032" w:rsidRPr="00B42397">
        <w:t xml:space="preserve"> was not reported </w:t>
      </w:r>
      <w:r w:rsidRPr="00B42397">
        <w:t xml:space="preserve">in </w:t>
      </w:r>
      <w:r w:rsidR="00053032" w:rsidRPr="00B42397">
        <w:t xml:space="preserve"> ELOQUENT-2</w:t>
      </w:r>
      <w:r w:rsidR="00EC1B9E" w:rsidRPr="00B42397">
        <w:t xml:space="preserve"> at </w:t>
      </w:r>
      <w:r w:rsidRPr="00B42397">
        <w:t xml:space="preserve">the </w:t>
      </w:r>
      <w:r w:rsidR="006A5EA3" w:rsidRPr="00B42397">
        <w:t>29 Oct 2015 data-cut</w:t>
      </w:r>
      <w:r w:rsidR="00DB14BC" w:rsidRPr="00B42397">
        <w:t xml:space="preserve"> (median duration of follow-up 38.7 months)</w:t>
      </w:r>
      <w:r w:rsidR="00053032" w:rsidRPr="00B42397">
        <w:t xml:space="preserve">, the mean </w:t>
      </w:r>
      <w:r w:rsidRPr="00B42397">
        <w:t xml:space="preserve">and median </w:t>
      </w:r>
      <w:r w:rsidR="00053032" w:rsidRPr="00B42397">
        <w:t xml:space="preserve">number of cycles </w:t>
      </w:r>
      <w:r w:rsidRPr="00B42397">
        <w:t xml:space="preserve">received at this </w:t>
      </w:r>
      <w:r w:rsidR="00053032" w:rsidRPr="00B42397">
        <w:t>data-cut w</w:t>
      </w:r>
      <w:r w:rsidRPr="00B42397">
        <w:t>ere</w:t>
      </w:r>
      <w:r w:rsidR="00053032" w:rsidRPr="00B42397">
        <w:t xml:space="preserve"> 22.3 cycles</w:t>
      </w:r>
      <w:r w:rsidRPr="00B42397">
        <w:t xml:space="preserve"> (22.3*28/(365/12) = 20.5 months</w:t>
      </w:r>
      <w:r w:rsidR="00A107D0" w:rsidRPr="00B42397">
        <w:t xml:space="preserve"> treatment</w:t>
      </w:r>
      <w:r w:rsidRPr="00B42397">
        <w:t xml:space="preserve">) and 19 cycles </w:t>
      </w:r>
      <w:r w:rsidR="00655FA0" w:rsidRPr="00B42397">
        <w:t>(19</w:t>
      </w:r>
      <w:r w:rsidR="00010DE9" w:rsidRPr="00B42397">
        <w:t>*28/(365/12)</w:t>
      </w:r>
      <w:r w:rsidRPr="00B42397">
        <w:t xml:space="preserve"> = 17.5 months</w:t>
      </w:r>
      <w:r w:rsidR="00A107D0" w:rsidRPr="00B42397">
        <w:t xml:space="preserve"> treatment</w:t>
      </w:r>
      <w:r w:rsidR="00010DE9" w:rsidRPr="00B42397">
        <w:t>)</w:t>
      </w:r>
      <w:r w:rsidR="00376A9D" w:rsidRPr="00B42397">
        <w:t xml:space="preserve"> respectively</w:t>
      </w:r>
      <w:r w:rsidR="00053032" w:rsidRPr="00B42397">
        <w:t xml:space="preserve">. The mean DOT </w:t>
      </w:r>
      <w:r w:rsidRPr="00B42397">
        <w:t xml:space="preserve">for Cd </w:t>
      </w:r>
      <w:r w:rsidR="00053032" w:rsidRPr="00B42397">
        <w:t xml:space="preserve">was not reported </w:t>
      </w:r>
      <w:r w:rsidRPr="00B42397">
        <w:t>in the</w:t>
      </w:r>
      <w:r w:rsidR="00053032" w:rsidRPr="00B42397">
        <w:t xml:space="preserve"> ENDEAVOR</w:t>
      </w:r>
      <w:r w:rsidRPr="00B42397">
        <w:t xml:space="preserve"> tr</w:t>
      </w:r>
      <w:r w:rsidR="00A107D0" w:rsidRPr="00B42397">
        <w:t>i</w:t>
      </w:r>
      <w:r w:rsidRPr="00B42397">
        <w:t>al</w:t>
      </w:r>
      <w:r w:rsidR="00053032" w:rsidRPr="00B42397">
        <w:t xml:space="preserve">, but the median DOT was 48 weeks </w:t>
      </w:r>
      <w:r w:rsidR="00A107D0" w:rsidRPr="00B42397">
        <w:t xml:space="preserve">or 12 cycles </w:t>
      </w:r>
      <w:r w:rsidR="00053032" w:rsidRPr="00B42397">
        <w:t>(</w:t>
      </w:r>
      <w:r w:rsidR="00A107D0" w:rsidRPr="00B42397">
        <w:t>12*28</w:t>
      </w:r>
      <w:proofErr w:type="gramStart"/>
      <w:r w:rsidR="00A107D0" w:rsidRPr="00B42397">
        <w:t>/(</w:t>
      </w:r>
      <w:proofErr w:type="gramEnd"/>
      <w:r w:rsidR="00A107D0" w:rsidRPr="00B42397">
        <w:t>365/12) = 11.0 months treatment)</w:t>
      </w:r>
      <w:r w:rsidR="00833A74" w:rsidRPr="00B42397">
        <w:t xml:space="preserve"> at the 3</w:t>
      </w:r>
      <w:r w:rsidR="00833A74" w:rsidRPr="00B42397">
        <w:rPr>
          <w:vertAlign w:val="superscript"/>
        </w:rPr>
        <w:t>r</w:t>
      </w:r>
      <w:r w:rsidR="001F5659" w:rsidRPr="00B42397">
        <w:rPr>
          <w:vertAlign w:val="superscript"/>
        </w:rPr>
        <w:t>d</w:t>
      </w:r>
      <w:r w:rsidR="00DB14BC" w:rsidRPr="00B42397">
        <w:t xml:space="preserve"> Jan 2017 data-cut (median duration of follow-up 37.2 months)</w:t>
      </w:r>
      <w:r w:rsidR="00A107D0" w:rsidRPr="00B42397">
        <w:t xml:space="preserve">. </w:t>
      </w:r>
      <w:r w:rsidR="00BF43CE" w:rsidRPr="00B42397">
        <w:rPr>
          <w:iCs/>
        </w:rPr>
        <w:t xml:space="preserve">Thus, the </w:t>
      </w:r>
      <w:r w:rsidR="00A107D0" w:rsidRPr="00B42397">
        <w:rPr>
          <w:iCs/>
        </w:rPr>
        <w:t xml:space="preserve">comparable median </w:t>
      </w:r>
      <w:r w:rsidR="00BF43CE" w:rsidRPr="00B42397">
        <w:rPr>
          <w:iCs/>
        </w:rPr>
        <w:t>duration</w:t>
      </w:r>
      <w:r w:rsidR="00A107D0" w:rsidRPr="00B42397">
        <w:rPr>
          <w:iCs/>
        </w:rPr>
        <w:t>s</w:t>
      </w:r>
      <w:r w:rsidR="00BF43CE" w:rsidRPr="00B42397">
        <w:rPr>
          <w:iCs/>
        </w:rPr>
        <w:t xml:space="preserve"> of </w:t>
      </w:r>
      <w:r w:rsidR="00A107D0" w:rsidRPr="00B42397">
        <w:rPr>
          <w:iCs/>
        </w:rPr>
        <w:t>treatment</w:t>
      </w:r>
      <w:r w:rsidR="00BF43CE" w:rsidRPr="00B42397">
        <w:rPr>
          <w:iCs/>
        </w:rPr>
        <w:t xml:space="preserve">, </w:t>
      </w:r>
      <w:r w:rsidR="00A107D0" w:rsidRPr="00B42397">
        <w:rPr>
          <w:iCs/>
        </w:rPr>
        <w:t>based upon the data</w:t>
      </w:r>
      <w:r w:rsidR="00392E05" w:rsidRPr="00B42397">
        <w:rPr>
          <w:iCs/>
        </w:rPr>
        <w:t xml:space="preserve"> cuts</w:t>
      </w:r>
      <w:r w:rsidR="00A107D0" w:rsidRPr="00B42397">
        <w:rPr>
          <w:iCs/>
        </w:rPr>
        <w:t xml:space="preserve"> which w</w:t>
      </w:r>
      <w:r w:rsidR="00392E05" w:rsidRPr="00B42397">
        <w:rPr>
          <w:iCs/>
        </w:rPr>
        <w:t>ere</w:t>
      </w:r>
      <w:r w:rsidR="00A107D0" w:rsidRPr="00B42397">
        <w:rPr>
          <w:iCs/>
        </w:rPr>
        <w:t xml:space="preserve"> used to inform the </w:t>
      </w:r>
      <w:r w:rsidR="001B19D2" w:rsidRPr="00B42397">
        <w:rPr>
          <w:iCs/>
        </w:rPr>
        <w:t xml:space="preserve">ITC and the </w:t>
      </w:r>
      <w:r w:rsidR="00A107D0" w:rsidRPr="00B42397">
        <w:rPr>
          <w:iCs/>
        </w:rPr>
        <w:t xml:space="preserve">claim </w:t>
      </w:r>
      <w:r w:rsidR="006B0838" w:rsidRPr="00B42397">
        <w:rPr>
          <w:iCs/>
        </w:rPr>
        <w:t xml:space="preserve">of </w:t>
      </w:r>
      <w:r w:rsidR="00A107D0" w:rsidRPr="00B42397">
        <w:rPr>
          <w:iCs/>
        </w:rPr>
        <w:t>non-inferiority</w:t>
      </w:r>
      <w:r w:rsidR="00BF43CE" w:rsidRPr="00B42397">
        <w:rPr>
          <w:iCs/>
        </w:rPr>
        <w:t xml:space="preserve">, were 19 cycles </w:t>
      </w:r>
      <w:r w:rsidR="00A107D0" w:rsidRPr="00B42397">
        <w:rPr>
          <w:iCs/>
        </w:rPr>
        <w:t>(17.5 months treatment) of</w:t>
      </w:r>
      <w:r w:rsidR="00BF43CE" w:rsidRPr="00B42397">
        <w:rPr>
          <w:iCs/>
        </w:rPr>
        <w:t xml:space="preserve"> </w:t>
      </w:r>
      <w:proofErr w:type="spellStart"/>
      <w:r w:rsidR="001F5659" w:rsidRPr="00B42397">
        <w:rPr>
          <w:iCs/>
        </w:rPr>
        <w:t>ELd</w:t>
      </w:r>
      <w:proofErr w:type="spellEnd"/>
      <w:r w:rsidR="00BF43CE" w:rsidRPr="00B42397">
        <w:rPr>
          <w:iCs/>
        </w:rPr>
        <w:t xml:space="preserve"> and 12 cycles </w:t>
      </w:r>
      <w:r w:rsidR="00A107D0" w:rsidRPr="00B42397">
        <w:rPr>
          <w:iCs/>
        </w:rPr>
        <w:t>(11.0 months treatment) of</w:t>
      </w:r>
      <w:r w:rsidR="00BF43CE" w:rsidRPr="00B42397">
        <w:rPr>
          <w:iCs/>
        </w:rPr>
        <w:t xml:space="preserve"> Cd.</w:t>
      </w:r>
      <w:r w:rsidR="00A107D0" w:rsidRPr="00B42397">
        <w:rPr>
          <w:iCs/>
        </w:rPr>
        <w:t xml:space="preserve"> </w:t>
      </w:r>
      <w:r w:rsidR="00096193" w:rsidRPr="00B42397">
        <w:rPr>
          <w:iCs/>
          <w:color w:val="000000" w:themeColor="text1"/>
        </w:rPr>
        <w:t>The difference in duration of therapy appear</w:t>
      </w:r>
      <w:r w:rsidR="008310F5" w:rsidRPr="00B42397">
        <w:rPr>
          <w:iCs/>
          <w:color w:val="000000" w:themeColor="text1"/>
        </w:rPr>
        <w:t>s</w:t>
      </w:r>
      <w:r w:rsidR="00096193" w:rsidRPr="00B42397">
        <w:rPr>
          <w:iCs/>
          <w:color w:val="000000" w:themeColor="text1"/>
        </w:rPr>
        <w:t xml:space="preserve"> to reflect differences in the distribution over time of patient discontinuations; </w:t>
      </w:r>
      <w:r w:rsidR="008310F5" w:rsidRPr="00B42397">
        <w:rPr>
          <w:iCs/>
          <w:color w:val="000000" w:themeColor="text1"/>
        </w:rPr>
        <w:t>at</w:t>
      </w:r>
      <w:r w:rsidR="00096193" w:rsidRPr="00B42397">
        <w:rPr>
          <w:iCs/>
          <w:color w:val="000000" w:themeColor="text1"/>
        </w:rPr>
        <w:t xml:space="preserve"> 38.7 months follow-up, 74.0% of patients </w:t>
      </w:r>
      <w:r w:rsidR="008310F5" w:rsidRPr="00B42397">
        <w:rPr>
          <w:iCs/>
          <w:color w:val="000000" w:themeColor="text1"/>
        </w:rPr>
        <w:t xml:space="preserve">in the ELOQUENT-2 trial </w:t>
      </w:r>
      <w:r w:rsidR="00096193" w:rsidRPr="00B42397">
        <w:rPr>
          <w:iCs/>
          <w:color w:val="000000" w:themeColor="text1"/>
        </w:rPr>
        <w:t xml:space="preserve">had discontinued </w:t>
      </w:r>
      <w:proofErr w:type="spellStart"/>
      <w:r w:rsidR="001F5659" w:rsidRPr="00B42397">
        <w:rPr>
          <w:iCs/>
          <w:color w:val="000000" w:themeColor="text1"/>
        </w:rPr>
        <w:t>ELd</w:t>
      </w:r>
      <w:proofErr w:type="spellEnd"/>
      <w:r w:rsidR="001B19D2" w:rsidRPr="00B42397">
        <w:rPr>
          <w:iCs/>
          <w:color w:val="000000" w:themeColor="text1"/>
        </w:rPr>
        <w:t>,</w:t>
      </w:r>
      <w:r w:rsidR="008310F5" w:rsidRPr="00B42397">
        <w:rPr>
          <w:iCs/>
          <w:color w:val="000000" w:themeColor="text1"/>
        </w:rPr>
        <w:t xml:space="preserve"> whereas</w:t>
      </w:r>
      <w:r w:rsidR="00096193" w:rsidRPr="00B42397">
        <w:rPr>
          <w:iCs/>
          <w:color w:val="000000" w:themeColor="text1"/>
        </w:rPr>
        <w:t xml:space="preserve"> 89.4% </w:t>
      </w:r>
      <w:r w:rsidR="008310F5" w:rsidRPr="00B42397">
        <w:rPr>
          <w:iCs/>
          <w:color w:val="000000" w:themeColor="text1"/>
        </w:rPr>
        <w:t xml:space="preserve">of patients in ENDEAVOR </w:t>
      </w:r>
      <w:r w:rsidR="00096193" w:rsidRPr="00B42397">
        <w:rPr>
          <w:iCs/>
          <w:color w:val="000000" w:themeColor="text1"/>
        </w:rPr>
        <w:t>had discontinued Cd at the comparable 37.2 months follow-up.</w:t>
      </w:r>
      <w:r w:rsidR="00ED3EAD" w:rsidRPr="00B42397">
        <w:rPr>
          <w:iCs/>
          <w:color w:val="000000" w:themeColor="text1"/>
        </w:rPr>
        <w:t xml:space="preserve"> </w:t>
      </w:r>
      <w:r w:rsidR="00ED3EAD" w:rsidRPr="00B42397">
        <w:rPr>
          <w:iCs/>
        </w:rPr>
        <w:t xml:space="preserve">As the median duration of </w:t>
      </w:r>
      <w:proofErr w:type="spellStart"/>
      <w:r w:rsidR="001F5659" w:rsidRPr="00B42397">
        <w:rPr>
          <w:iCs/>
        </w:rPr>
        <w:t>ELd</w:t>
      </w:r>
      <w:proofErr w:type="spellEnd"/>
      <w:r w:rsidR="00ED3EAD" w:rsidRPr="00B42397">
        <w:rPr>
          <w:iCs/>
        </w:rPr>
        <w:t xml:space="preserve"> treatment in the ELOQUENT-2 was longer than the median duration of Cd treatment in the ENDEAVOR trial, this favoured </w:t>
      </w:r>
      <w:proofErr w:type="spellStart"/>
      <w:r w:rsidR="001F5659" w:rsidRPr="00B42397">
        <w:rPr>
          <w:iCs/>
        </w:rPr>
        <w:t>ELd</w:t>
      </w:r>
      <w:proofErr w:type="spellEnd"/>
      <w:r w:rsidR="00ED3EAD" w:rsidRPr="00B42397">
        <w:rPr>
          <w:iCs/>
        </w:rPr>
        <w:t>.</w:t>
      </w:r>
      <w:r w:rsidR="00392E05" w:rsidRPr="00B42397">
        <w:rPr>
          <w:iCs/>
        </w:rPr>
        <w:t xml:space="preserve"> The effects of including median DOT in the CMA is tested in the sensitivity analyses.</w:t>
      </w:r>
      <w:r w:rsidR="00360024" w:rsidRPr="00B42397">
        <w:rPr>
          <w:iCs/>
        </w:rPr>
        <w:t xml:space="preserve"> The PSCR stated that if the differences in treatment duration were considered to be real effects, as opposed to naïve comparisons, then the difference in progression free survival would result in a claim of superior efficacy for </w:t>
      </w:r>
      <w:proofErr w:type="spellStart"/>
      <w:r w:rsidR="00360024" w:rsidRPr="00B42397">
        <w:rPr>
          <w:iCs/>
        </w:rPr>
        <w:t>ELd</w:t>
      </w:r>
      <w:proofErr w:type="spellEnd"/>
      <w:r w:rsidR="00360024" w:rsidRPr="00B42397">
        <w:rPr>
          <w:iCs/>
        </w:rPr>
        <w:t xml:space="preserve"> over Cd. Rather, the differences were likely due to differences in the patient populations and/or the conduct and follow-up of the respective trials. The PSCR stated that for consistency with the clinical claim of non-inferiority, the CMA therefore assumes the same duration of treatment for the two regimens.</w:t>
      </w:r>
    </w:p>
    <w:p w14:paraId="56D504C7" w14:textId="77777777" w:rsidR="00090BE2" w:rsidRPr="00B42397" w:rsidRDefault="00090BE2" w:rsidP="00053032">
      <w:pPr>
        <w:pStyle w:val="3-BodyText"/>
      </w:pPr>
      <w:r w:rsidRPr="00B42397">
        <w:t xml:space="preserve">The </w:t>
      </w:r>
      <w:r w:rsidRPr="00B42397">
        <w:rPr>
          <w:bCs/>
        </w:rPr>
        <w:t xml:space="preserve">ESC considered that if the claim of non-inferiority was accepted, then the length of PFS, and thus the treatment durations applied in the CMA, should be similar. The ESC noted that the median </w:t>
      </w:r>
      <w:r w:rsidR="00B83C93" w:rsidRPr="00B42397">
        <w:rPr>
          <w:bCs/>
        </w:rPr>
        <w:t>treatment durations for</w:t>
      </w:r>
      <w:r w:rsidRPr="00B42397">
        <w:rPr>
          <w:bCs/>
        </w:rPr>
        <w:t xml:space="preserve"> </w:t>
      </w:r>
      <w:proofErr w:type="spellStart"/>
      <w:r w:rsidRPr="00B42397">
        <w:rPr>
          <w:bCs/>
        </w:rPr>
        <w:t>ELd</w:t>
      </w:r>
      <w:proofErr w:type="spellEnd"/>
      <w:r w:rsidRPr="00B42397">
        <w:rPr>
          <w:bCs/>
        </w:rPr>
        <w:t xml:space="preserve"> (19 cycles/17.5 months) and Cd (12 cycles/11.0 months) in the trials differed and that there was also a difference in the number of discontinuations, with </w:t>
      </w:r>
      <w:proofErr w:type="spellStart"/>
      <w:r w:rsidRPr="00B42397">
        <w:rPr>
          <w:bCs/>
        </w:rPr>
        <w:t>ELd</w:t>
      </w:r>
      <w:proofErr w:type="spellEnd"/>
      <w:r w:rsidRPr="00B42397">
        <w:rPr>
          <w:bCs/>
        </w:rPr>
        <w:t xml:space="preserve"> appearing to be better tolerated than Cd.</w:t>
      </w:r>
      <w:r w:rsidR="00606216" w:rsidRPr="00B42397">
        <w:rPr>
          <w:bCs/>
        </w:rPr>
        <w:t xml:space="preserve"> Overall, the ESC considered the uncertainties associated with the non-inferiority </w:t>
      </w:r>
      <w:r w:rsidR="003966B0" w:rsidRPr="00B42397">
        <w:rPr>
          <w:bCs/>
        </w:rPr>
        <w:t>claim</w:t>
      </w:r>
      <w:r w:rsidR="00606216" w:rsidRPr="00B42397">
        <w:rPr>
          <w:bCs/>
        </w:rPr>
        <w:t xml:space="preserve"> impacted on the CMA.</w:t>
      </w:r>
    </w:p>
    <w:p w14:paraId="452524B4" w14:textId="77777777" w:rsidR="00C82F31" w:rsidRPr="00B42397" w:rsidRDefault="00C82F31" w:rsidP="00A5041D">
      <w:pPr>
        <w:pStyle w:val="3-BodyText"/>
        <w:rPr>
          <w:iCs/>
        </w:rPr>
      </w:pPr>
      <w:r w:rsidRPr="00B42397">
        <w:t>The submission</w:t>
      </w:r>
      <w:r w:rsidR="003F00E3" w:rsidRPr="00B42397">
        <w:t xml:space="preserve"> included additional cost</w:t>
      </w:r>
      <w:r w:rsidR="008E4A1A" w:rsidRPr="00B42397">
        <w:t>s</w:t>
      </w:r>
      <w:r w:rsidR="003F00E3" w:rsidRPr="00B42397">
        <w:t xml:space="preserve"> and</w:t>
      </w:r>
      <w:r w:rsidR="003F00E3" w:rsidRPr="000A5CA8">
        <w:t xml:space="preserve">/or cost offsets associated with differences </w:t>
      </w:r>
      <w:r w:rsidR="002162D7" w:rsidRPr="000A5CA8">
        <w:t xml:space="preserve">per cycle </w:t>
      </w:r>
      <w:r w:rsidR="003F00E3" w:rsidRPr="000A5CA8">
        <w:t xml:space="preserve">in the administration of </w:t>
      </w:r>
      <w:proofErr w:type="spellStart"/>
      <w:r w:rsidR="001F5659" w:rsidRPr="000A5CA8">
        <w:t>ELd</w:t>
      </w:r>
      <w:proofErr w:type="spellEnd"/>
      <w:r w:rsidR="00D76006" w:rsidRPr="000A5CA8">
        <w:t xml:space="preserve"> ($</w:t>
      </w:r>
      <w:r w:rsidR="00B51893">
        <w:rPr>
          <w:noProof/>
          <w:color w:val="000000"/>
          <w:highlight w:val="black"/>
        </w:rPr>
        <w:t>''''''''''''''</w:t>
      </w:r>
      <w:r w:rsidR="00D76006" w:rsidRPr="000A5CA8">
        <w:t>)</w:t>
      </w:r>
      <w:r w:rsidR="003F00E3" w:rsidRPr="000A5CA8">
        <w:t xml:space="preserve"> and Cd</w:t>
      </w:r>
      <w:r w:rsidR="00D76006" w:rsidRPr="000A5CA8">
        <w:t xml:space="preserve"> (</w:t>
      </w:r>
      <w:r w:rsidR="00E81961" w:rsidRPr="000A5CA8">
        <w:t>$</w:t>
      </w:r>
      <w:r w:rsidR="00B51893">
        <w:rPr>
          <w:noProof/>
          <w:color w:val="000000"/>
          <w:highlight w:val="black"/>
        </w:rPr>
        <w:t>''''''''''''</w:t>
      </w:r>
      <w:r w:rsidR="00D76006" w:rsidRPr="000A5CA8">
        <w:t>)</w:t>
      </w:r>
      <w:r w:rsidR="00A107D0" w:rsidRPr="000A5CA8">
        <w:t xml:space="preserve"> </w:t>
      </w:r>
      <w:proofErr w:type="gramStart"/>
      <w:r w:rsidR="00A107D0" w:rsidRPr="000A5CA8">
        <w:t xml:space="preserve">and </w:t>
      </w:r>
      <w:r w:rsidR="003F00E3" w:rsidRPr="000A5CA8">
        <w:t xml:space="preserve"> </w:t>
      </w:r>
      <w:r w:rsidR="003F00E3" w:rsidRPr="000A5CA8">
        <w:lastRenderedPageBreak/>
        <w:t>management</w:t>
      </w:r>
      <w:proofErr w:type="gramEnd"/>
      <w:r w:rsidR="003F00E3" w:rsidRPr="000A5CA8">
        <w:t xml:space="preserve"> of AEs</w:t>
      </w:r>
      <w:r w:rsidR="002162D7" w:rsidRPr="000A5CA8">
        <w:t xml:space="preserve"> </w:t>
      </w:r>
      <w:r w:rsidR="003F00E3" w:rsidRPr="000A5CA8">
        <w:t xml:space="preserve">and the use of </w:t>
      </w:r>
      <w:r w:rsidR="00556B0C" w:rsidRPr="000A5CA8">
        <w:t>pro</w:t>
      </w:r>
      <w:r w:rsidR="003F00E3" w:rsidRPr="000A5CA8">
        <w:t>phylactic medications</w:t>
      </w:r>
      <w:r w:rsidR="009F715F" w:rsidRPr="000A5CA8">
        <w:t xml:space="preserve"> ($</w:t>
      </w:r>
      <w:r w:rsidR="00B51893">
        <w:rPr>
          <w:noProof/>
          <w:color w:val="000000"/>
          <w:highlight w:val="black"/>
        </w:rPr>
        <w:t>''''''''''</w:t>
      </w:r>
      <w:r w:rsidR="009F715F" w:rsidRPr="000A5CA8">
        <w:t xml:space="preserve"> for </w:t>
      </w:r>
      <w:proofErr w:type="spellStart"/>
      <w:r w:rsidR="001F5659" w:rsidRPr="000A5CA8">
        <w:t>ELd</w:t>
      </w:r>
      <w:proofErr w:type="spellEnd"/>
      <w:r w:rsidR="00E81961" w:rsidRPr="000A5CA8">
        <w:t xml:space="preserve"> vs $</w:t>
      </w:r>
      <w:r w:rsidR="00B51893">
        <w:rPr>
          <w:noProof/>
          <w:color w:val="000000"/>
          <w:highlight w:val="black"/>
        </w:rPr>
        <w:t>''''''''''</w:t>
      </w:r>
      <w:r w:rsidR="00E81961" w:rsidRPr="00B42397">
        <w:t xml:space="preserve"> for Cd)</w:t>
      </w:r>
      <w:r w:rsidR="003F00E3" w:rsidRPr="00B42397">
        <w:t xml:space="preserve">. </w:t>
      </w:r>
      <w:r w:rsidR="003F00E3" w:rsidRPr="00B42397">
        <w:rPr>
          <w:iCs/>
        </w:rPr>
        <w:t>Th</w:t>
      </w:r>
      <w:r w:rsidR="008F6259" w:rsidRPr="00B42397">
        <w:rPr>
          <w:iCs/>
        </w:rPr>
        <w:t xml:space="preserve">e </w:t>
      </w:r>
      <w:r w:rsidR="00090BE2" w:rsidRPr="00B42397">
        <w:rPr>
          <w:iCs/>
        </w:rPr>
        <w:t xml:space="preserve">ESC noted that the </w:t>
      </w:r>
      <w:r w:rsidR="008F6259" w:rsidRPr="00B42397">
        <w:rPr>
          <w:iCs/>
        </w:rPr>
        <w:t xml:space="preserve">inclusion of </w:t>
      </w:r>
      <w:r w:rsidR="00351FF6" w:rsidRPr="00B42397">
        <w:rPr>
          <w:iCs/>
        </w:rPr>
        <w:t xml:space="preserve">these </w:t>
      </w:r>
      <w:r w:rsidR="008F6259" w:rsidRPr="00B42397">
        <w:rPr>
          <w:iCs/>
        </w:rPr>
        <w:t>costs</w:t>
      </w:r>
      <w:r w:rsidR="00351FF6" w:rsidRPr="00B42397">
        <w:rPr>
          <w:iCs/>
        </w:rPr>
        <w:t xml:space="preserve"> and/or cost offsets </w:t>
      </w:r>
      <w:r w:rsidR="008F6259" w:rsidRPr="00B42397">
        <w:rPr>
          <w:iCs/>
        </w:rPr>
        <w:t>was appropriate</w:t>
      </w:r>
      <w:r w:rsidR="003F00E3" w:rsidRPr="00B42397">
        <w:rPr>
          <w:iCs/>
        </w:rPr>
        <w:t>.</w:t>
      </w:r>
    </w:p>
    <w:p w14:paraId="3CFDE223" w14:textId="77777777" w:rsidR="001A3C2C" w:rsidRPr="00B42397" w:rsidRDefault="00CC5A9C" w:rsidP="001B3E98">
      <w:pPr>
        <w:pStyle w:val="3-BodyText"/>
      </w:pPr>
      <w:r w:rsidRPr="00B42397">
        <w:t xml:space="preserve">The </w:t>
      </w:r>
      <w:r w:rsidR="00056EF0" w:rsidRPr="00B42397">
        <w:t xml:space="preserve">CMA presented by the </w:t>
      </w:r>
      <w:r w:rsidRPr="00B42397">
        <w:t xml:space="preserve">submission </w:t>
      </w:r>
      <w:r w:rsidR="00056EF0" w:rsidRPr="00B42397">
        <w:t>was</w:t>
      </w:r>
      <w:r w:rsidRPr="00B42397">
        <w:t xml:space="preserve"> </w:t>
      </w:r>
      <w:r w:rsidR="00351FF6" w:rsidRPr="00B42397">
        <w:t xml:space="preserve">inappropriately </w:t>
      </w:r>
      <w:r w:rsidRPr="00B42397">
        <w:t xml:space="preserve">based on </w:t>
      </w:r>
      <w:r w:rsidR="00056EF0" w:rsidRPr="00B42397">
        <w:t>the effective DPMQs</w:t>
      </w:r>
      <w:r w:rsidR="007F407A" w:rsidRPr="00B42397">
        <w:t>/DPMAs</w:t>
      </w:r>
      <w:r w:rsidR="00056EF0" w:rsidRPr="00B42397">
        <w:t xml:space="preserve"> </w:t>
      </w:r>
      <w:r w:rsidRPr="00B42397">
        <w:t xml:space="preserve">for lenalidomide, carfilzomib and dexamethasone. </w:t>
      </w:r>
      <w:r w:rsidR="008F6259" w:rsidRPr="00B42397">
        <w:t xml:space="preserve">The Sponsor noted that it was aware of the effective prices for the comparator therapies and applied those values in its estimates. </w:t>
      </w:r>
      <w:r w:rsidR="00090BE2" w:rsidRPr="00B42397">
        <w:rPr>
          <w:iCs/>
        </w:rPr>
        <w:t>R</w:t>
      </w:r>
      <w:r w:rsidR="001A3C2C" w:rsidRPr="00B42397">
        <w:rPr>
          <w:iCs/>
        </w:rPr>
        <w:t xml:space="preserve">esults based on the </w:t>
      </w:r>
      <w:r w:rsidR="00351FF6" w:rsidRPr="00B42397">
        <w:rPr>
          <w:iCs/>
        </w:rPr>
        <w:t>effective AEMPs</w:t>
      </w:r>
      <w:r w:rsidR="001A3C2C" w:rsidRPr="00B42397">
        <w:rPr>
          <w:iCs/>
        </w:rPr>
        <w:t xml:space="preserve"> </w:t>
      </w:r>
      <w:r w:rsidR="00090BE2" w:rsidRPr="00B42397">
        <w:rPr>
          <w:iCs/>
        </w:rPr>
        <w:t>are presented below</w:t>
      </w:r>
      <w:r w:rsidR="001A3C2C" w:rsidRPr="00B42397">
        <w:rPr>
          <w:iCs/>
        </w:rPr>
        <w:t xml:space="preserve">. </w:t>
      </w:r>
    </w:p>
    <w:p w14:paraId="7E0C5577" w14:textId="60068866" w:rsidR="00CB0CCB" w:rsidRDefault="00CB0CCB">
      <w:pPr>
        <w:jc w:val="left"/>
        <w:rPr>
          <w:rFonts w:ascii="Arial Narrow" w:eastAsiaTheme="minorHAnsi" w:hAnsi="Arial Narrow" w:cstheme="minorBidi"/>
          <w:b/>
          <w:sz w:val="20"/>
          <w:szCs w:val="22"/>
          <w:lang w:eastAsia="en-US"/>
        </w:rPr>
      </w:pPr>
    </w:p>
    <w:p w14:paraId="72D91CE6" w14:textId="5A2CA6EA" w:rsidR="005D1318" w:rsidRPr="00B42397" w:rsidRDefault="005D1318" w:rsidP="000E4C25">
      <w:pPr>
        <w:pStyle w:val="TableHeading0"/>
      </w:pPr>
      <w:r w:rsidRPr="00B42397">
        <w:t>Table 11: Cost-minimised price of elotuzumab re-estimated using AEMP prices for carfilzomib and lenalidomide</w:t>
      </w:r>
    </w:p>
    <w:tbl>
      <w:tblPr>
        <w:tblStyle w:val="TableGrid"/>
        <w:tblW w:w="0" w:type="auto"/>
        <w:tblLook w:val="04A0" w:firstRow="1" w:lastRow="0" w:firstColumn="1" w:lastColumn="0" w:noHBand="0" w:noVBand="1"/>
        <w:tblCaption w:val="Table 11: Cost-minimised price of elotuzumab re-estimated using AEMP prices for carfilzomib and lenalidomide"/>
      </w:tblPr>
      <w:tblGrid>
        <w:gridCol w:w="564"/>
        <w:gridCol w:w="4023"/>
        <w:gridCol w:w="1645"/>
        <w:gridCol w:w="2785"/>
      </w:tblGrid>
      <w:tr w:rsidR="005D1318" w:rsidRPr="00B42397" w14:paraId="63EED2B5" w14:textId="77777777" w:rsidTr="00351FF6">
        <w:trPr>
          <w:tblHeader/>
        </w:trPr>
        <w:tc>
          <w:tcPr>
            <w:tcW w:w="564" w:type="dxa"/>
            <w:hideMark/>
          </w:tcPr>
          <w:p w14:paraId="0E3688A3" w14:textId="77777777" w:rsidR="005D1318" w:rsidRPr="00B42397" w:rsidRDefault="005D1318" w:rsidP="000E4C25">
            <w:pPr>
              <w:pStyle w:val="Tabletext"/>
              <w:keepNext/>
              <w:jc w:val="center"/>
              <w:rPr>
                <w:b/>
              </w:rPr>
            </w:pPr>
            <w:r w:rsidRPr="00B42397">
              <w:rPr>
                <w:b/>
                <w:bCs/>
              </w:rPr>
              <w:t>Row</w:t>
            </w:r>
          </w:p>
        </w:tc>
        <w:tc>
          <w:tcPr>
            <w:tcW w:w="4023" w:type="dxa"/>
            <w:hideMark/>
          </w:tcPr>
          <w:p w14:paraId="5D248A0A" w14:textId="77777777" w:rsidR="005D1318" w:rsidRPr="00B42397" w:rsidRDefault="005D1318" w:rsidP="000E4C25">
            <w:pPr>
              <w:pStyle w:val="Tabletext"/>
              <w:keepNext/>
              <w:rPr>
                <w:b/>
                <w:bCs/>
              </w:rPr>
            </w:pPr>
            <w:r w:rsidRPr="00B42397">
              <w:rPr>
                <w:b/>
                <w:bCs/>
              </w:rPr>
              <w:t>Parameter</w:t>
            </w:r>
          </w:p>
        </w:tc>
        <w:tc>
          <w:tcPr>
            <w:tcW w:w="1645" w:type="dxa"/>
            <w:hideMark/>
          </w:tcPr>
          <w:p w14:paraId="5DD07DA5" w14:textId="77777777" w:rsidR="005D1318" w:rsidRPr="00B42397" w:rsidRDefault="005D1318" w:rsidP="000E4C25">
            <w:pPr>
              <w:pStyle w:val="Tabletext"/>
              <w:keepNext/>
              <w:jc w:val="center"/>
              <w:rPr>
                <w:b/>
                <w:bCs/>
              </w:rPr>
            </w:pPr>
            <w:r w:rsidRPr="00B42397">
              <w:rPr>
                <w:b/>
                <w:bCs/>
              </w:rPr>
              <w:t>Inputs</w:t>
            </w:r>
          </w:p>
        </w:tc>
        <w:tc>
          <w:tcPr>
            <w:tcW w:w="2785" w:type="dxa"/>
            <w:hideMark/>
          </w:tcPr>
          <w:p w14:paraId="2270FEE1" w14:textId="77777777" w:rsidR="005D1318" w:rsidRPr="00B42397" w:rsidRDefault="005D1318" w:rsidP="000E4C25">
            <w:pPr>
              <w:pStyle w:val="Tabletext"/>
              <w:keepNext/>
              <w:rPr>
                <w:b/>
                <w:bCs/>
              </w:rPr>
            </w:pPr>
            <w:r w:rsidRPr="00B42397">
              <w:rPr>
                <w:b/>
                <w:bCs/>
              </w:rPr>
              <w:t>Source/calculation</w:t>
            </w:r>
          </w:p>
        </w:tc>
      </w:tr>
      <w:tr w:rsidR="005D1318" w:rsidRPr="00B42397" w14:paraId="2CED8BA9" w14:textId="77777777" w:rsidTr="00351FF6">
        <w:tc>
          <w:tcPr>
            <w:tcW w:w="564" w:type="dxa"/>
            <w:hideMark/>
          </w:tcPr>
          <w:p w14:paraId="5C1642D8" w14:textId="77777777" w:rsidR="005D1318" w:rsidRPr="00B42397" w:rsidRDefault="005D1318" w:rsidP="000E4C25">
            <w:pPr>
              <w:pStyle w:val="Tabletext"/>
              <w:keepNext/>
              <w:jc w:val="center"/>
              <w:rPr>
                <w:bCs/>
              </w:rPr>
            </w:pPr>
            <w:r w:rsidRPr="00B42397">
              <w:t>A</w:t>
            </w:r>
          </w:p>
        </w:tc>
        <w:tc>
          <w:tcPr>
            <w:tcW w:w="4023" w:type="dxa"/>
            <w:hideMark/>
          </w:tcPr>
          <w:p w14:paraId="5D0F312F" w14:textId="77777777" w:rsidR="005D1318" w:rsidRPr="00B42397" w:rsidRDefault="005D1318" w:rsidP="000E4C25">
            <w:pPr>
              <w:pStyle w:val="Tabletext"/>
              <w:keepNext/>
            </w:pPr>
            <w:r w:rsidRPr="00B42397">
              <w:t>Cd drug costs per cycle (ex-man)</w:t>
            </w:r>
          </w:p>
        </w:tc>
        <w:tc>
          <w:tcPr>
            <w:tcW w:w="1645" w:type="dxa"/>
            <w:hideMark/>
          </w:tcPr>
          <w:p w14:paraId="2ADEB450" w14:textId="77777777" w:rsidR="005D1318" w:rsidRPr="00B42397" w:rsidRDefault="005D1318" w:rsidP="000E4C25">
            <w:pPr>
              <w:pStyle w:val="Tabletext"/>
              <w:keepNext/>
              <w:jc w:val="center"/>
              <w:rPr>
                <w:i/>
                <w:iCs/>
              </w:rPr>
            </w:pPr>
            <w:r w:rsidRPr="00B42397">
              <w:rPr>
                <w:i/>
                <w:iCs/>
              </w:rPr>
              <w:t>$</w:t>
            </w:r>
            <w:r w:rsidR="00B51893">
              <w:rPr>
                <w:i/>
                <w:iCs/>
                <w:noProof/>
                <w:color w:val="000000"/>
                <w:highlight w:val="black"/>
              </w:rPr>
              <w:t>'''''''''''''''''''''</w:t>
            </w:r>
          </w:p>
          <w:p w14:paraId="3CB82B8B" w14:textId="77777777" w:rsidR="005D1318" w:rsidRPr="00B42397" w:rsidRDefault="005D1318" w:rsidP="000E4C25">
            <w:pPr>
              <w:pStyle w:val="Tabletext"/>
              <w:keepNext/>
              <w:jc w:val="center"/>
              <w:rPr>
                <w:i/>
                <w:iCs/>
              </w:rPr>
            </w:pPr>
          </w:p>
        </w:tc>
        <w:tc>
          <w:tcPr>
            <w:tcW w:w="2785" w:type="dxa"/>
          </w:tcPr>
          <w:p w14:paraId="006B3C1B" w14:textId="77777777" w:rsidR="005D1318" w:rsidRPr="00B42397" w:rsidRDefault="005D1318" w:rsidP="000E4C25">
            <w:pPr>
              <w:pStyle w:val="Tabletext"/>
              <w:keepNext/>
            </w:pPr>
            <w:r w:rsidRPr="00B42397">
              <w:t xml:space="preserve">Carfilzomib ex-man </w:t>
            </w:r>
            <w:r w:rsidR="00351FF6" w:rsidRPr="00B42397">
              <w:t xml:space="preserve">$ </w:t>
            </w:r>
            <w:r w:rsidRPr="00B42397">
              <w:t xml:space="preserve">* 6 doses per cycle + dexamethasone ex-man </w:t>
            </w:r>
            <w:r w:rsidR="00351FF6" w:rsidRPr="00B42397">
              <w:t xml:space="preserve">$ </w:t>
            </w:r>
            <w:r w:rsidRPr="00B42397">
              <w:t>* 1.2133 packs per cycle</w:t>
            </w:r>
          </w:p>
        </w:tc>
      </w:tr>
      <w:tr w:rsidR="005D1318" w:rsidRPr="00B42397" w14:paraId="4073390D" w14:textId="77777777" w:rsidTr="00351FF6">
        <w:tc>
          <w:tcPr>
            <w:tcW w:w="564" w:type="dxa"/>
            <w:hideMark/>
          </w:tcPr>
          <w:p w14:paraId="3013A08C" w14:textId="77777777" w:rsidR="005D1318" w:rsidRPr="00B42397" w:rsidRDefault="005D1318" w:rsidP="000E4C25">
            <w:pPr>
              <w:pStyle w:val="Tabletext"/>
              <w:keepNext/>
              <w:jc w:val="center"/>
            </w:pPr>
            <w:r w:rsidRPr="00B42397">
              <w:t>B</w:t>
            </w:r>
          </w:p>
        </w:tc>
        <w:tc>
          <w:tcPr>
            <w:tcW w:w="4023" w:type="dxa"/>
            <w:hideMark/>
          </w:tcPr>
          <w:p w14:paraId="7C02EB24" w14:textId="77777777" w:rsidR="005D1318" w:rsidRPr="00B42397" w:rsidRDefault="005D1318" w:rsidP="000E4C25">
            <w:pPr>
              <w:pStyle w:val="Tabletext"/>
              <w:keepNext/>
            </w:pPr>
            <w:r w:rsidRPr="00B42397">
              <w:t>Lenalidomide and dexamethasone drug costs per cycle (ex-man)</w:t>
            </w:r>
          </w:p>
        </w:tc>
        <w:tc>
          <w:tcPr>
            <w:tcW w:w="1645" w:type="dxa"/>
            <w:hideMark/>
          </w:tcPr>
          <w:p w14:paraId="1703C931" w14:textId="77777777" w:rsidR="005D1318" w:rsidRPr="00B42397" w:rsidRDefault="00D20BED" w:rsidP="000E4C25">
            <w:pPr>
              <w:pStyle w:val="Tabletext"/>
              <w:keepNext/>
              <w:jc w:val="center"/>
              <w:rPr>
                <w:i/>
                <w:iCs/>
              </w:rPr>
            </w:pPr>
            <w:r w:rsidRPr="00B42397">
              <w:rPr>
                <w:i/>
                <w:iCs/>
              </w:rPr>
              <w:t>$</w:t>
            </w:r>
            <w:r w:rsidR="00B51893">
              <w:rPr>
                <w:i/>
                <w:iCs/>
                <w:noProof/>
                <w:color w:val="000000"/>
                <w:highlight w:val="black"/>
              </w:rPr>
              <w:t>'''''''''''''''''''''''</w:t>
            </w:r>
          </w:p>
        </w:tc>
        <w:tc>
          <w:tcPr>
            <w:tcW w:w="2785" w:type="dxa"/>
          </w:tcPr>
          <w:p w14:paraId="074A1779" w14:textId="77777777" w:rsidR="005D1318" w:rsidRPr="00B42397" w:rsidRDefault="00351FF6" w:rsidP="000E4C25">
            <w:pPr>
              <w:pStyle w:val="Tabletext"/>
              <w:keepNext/>
            </w:pPr>
            <w:r w:rsidRPr="00B42397">
              <w:t>L</w:t>
            </w:r>
            <w:r w:rsidR="005D1318" w:rsidRPr="00B42397">
              <w:t xml:space="preserve">enalidomide ex-man </w:t>
            </w:r>
            <w:r w:rsidRPr="00B42397">
              <w:t xml:space="preserve">$ </w:t>
            </w:r>
            <w:r w:rsidR="005D1318" w:rsidRPr="00B42397">
              <w:t>* 0.79 packs per cycle + dexamethasone ex-man</w:t>
            </w:r>
            <w:r w:rsidRPr="00B42397">
              <w:t xml:space="preserve"> $</w:t>
            </w:r>
            <w:r w:rsidR="005D1318" w:rsidRPr="00B42397">
              <w:t xml:space="preserve"> (oral and IV)</w:t>
            </w:r>
          </w:p>
        </w:tc>
      </w:tr>
      <w:tr w:rsidR="00351FF6" w:rsidRPr="00B42397" w14:paraId="3FF35E02" w14:textId="77777777" w:rsidTr="00351FF6">
        <w:tc>
          <w:tcPr>
            <w:tcW w:w="564" w:type="dxa"/>
            <w:vMerge w:val="restart"/>
            <w:hideMark/>
          </w:tcPr>
          <w:p w14:paraId="1F607520" w14:textId="77777777" w:rsidR="00351FF6" w:rsidRPr="00B42397" w:rsidRDefault="00351FF6" w:rsidP="000E4C25">
            <w:pPr>
              <w:pStyle w:val="Tabletext"/>
              <w:keepNext/>
              <w:jc w:val="center"/>
            </w:pPr>
            <w:r w:rsidRPr="00B42397">
              <w:t>C</w:t>
            </w:r>
          </w:p>
        </w:tc>
        <w:tc>
          <w:tcPr>
            <w:tcW w:w="4023" w:type="dxa"/>
            <w:hideMark/>
          </w:tcPr>
          <w:p w14:paraId="527A1874" w14:textId="77777777" w:rsidR="00351FF6" w:rsidRPr="000A5CA8" w:rsidRDefault="00351FF6" w:rsidP="000E4C25">
            <w:pPr>
              <w:pStyle w:val="Tabletext"/>
              <w:keepNext/>
            </w:pPr>
            <w:r w:rsidRPr="000A5CA8">
              <w:t>Difference in prescribing and administration costs</w:t>
            </w:r>
          </w:p>
        </w:tc>
        <w:tc>
          <w:tcPr>
            <w:tcW w:w="1645" w:type="dxa"/>
            <w:hideMark/>
          </w:tcPr>
          <w:p w14:paraId="3108ED16" w14:textId="77777777" w:rsidR="00351FF6" w:rsidRPr="000A5CA8" w:rsidRDefault="00351FF6" w:rsidP="000E4C25">
            <w:pPr>
              <w:pStyle w:val="Tabletext"/>
              <w:keepNext/>
              <w:jc w:val="center"/>
            </w:pPr>
            <w:r w:rsidRPr="000A5CA8">
              <w:t>-$</w:t>
            </w:r>
            <w:r w:rsidR="00B51893">
              <w:rPr>
                <w:noProof/>
                <w:color w:val="000000"/>
                <w:highlight w:val="black"/>
              </w:rPr>
              <w:t>'''''''''''''''''</w:t>
            </w:r>
          </w:p>
        </w:tc>
        <w:tc>
          <w:tcPr>
            <w:tcW w:w="2785" w:type="dxa"/>
          </w:tcPr>
          <w:p w14:paraId="3E7C41C1" w14:textId="77777777" w:rsidR="00351FF6" w:rsidRPr="00B42397" w:rsidRDefault="00351FF6" w:rsidP="000E4C25">
            <w:pPr>
              <w:pStyle w:val="Tabletext"/>
              <w:keepNext/>
            </w:pPr>
          </w:p>
        </w:tc>
      </w:tr>
      <w:tr w:rsidR="00351FF6" w:rsidRPr="00B42397" w14:paraId="481AEAF6" w14:textId="77777777" w:rsidTr="00351FF6">
        <w:tc>
          <w:tcPr>
            <w:tcW w:w="564" w:type="dxa"/>
            <w:vMerge/>
          </w:tcPr>
          <w:p w14:paraId="766A44D8" w14:textId="77777777" w:rsidR="00351FF6" w:rsidRPr="00B42397" w:rsidRDefault="00351FF6" w:rsidP="000E4C25">
            <w:pPr>
              <w:pStyle w:val="Tabletext"/>
              <w:keepNext/>
              <w:ind w:left="170"/>
              <w:jc w:val="center"/>
              <w:rPr>
                <w:i/>
                <w:iCs/>
              </w:rPr>
            </w:pPr>
          </w:p>
        </w:tc>
        <w:tc>
          <w:tcPr>
            <w:tcW w:w="4023" w:type="dxa"/>
            <w:hideMark/>
          </w:tcPr>
          <w:p w14:paraId="65E015AB" w14:textId="77777777" w:rsidR="00351FF6" w:rsidRPr="000A5CA8" w:rsidRDefault="00351FF6" w:rsidP="000E4C25">
            <w:pPr>
              <w:pStyle w:val="Tabletext"/>
              <w:keepNext/>
              <w:ind w:left="170"/>
            </w:pPr>
            <w:r w:rsidRPr="000A5CA8">
              <w:t xml:space="preserve">Prescribing and administration costs: </w:t>
            </w:r>
            <w:proofErr w:type="spellStart"/>
            <w:r w:rsidR="001F5659" w:rsidRPr="000A5CA8">
              <w:t>ELd</w:t>
            </w:r>
            <w:proofErr w:type="spellEnd"/>
          </w:p>
        </w:tc>
        <w:tc>
          <w:tcPr>
            <w:tcW w:w="1645" w:type="dxa"/>
            <w:hideMark/>
          </w:tcPr>
          <w:p w14:paraId="60AC1D0E" w14:textId="77777777" w:rsidR="00351FF6" w:rsidRPr="000A5CA8" w:rsidRDefault="00351FF6" w:rsidP="000E4C25">
            <w:pPr>
              <w:pStyle w:val="Tabletext"/>
              <w:keepNext/>
              <w:jc w:val="center"/>
            </w:pPr>
            <w:r w:rsidRPr="000A5CA8">
              <w:t>$</w:t>
            </w:r>
            <w:r w:rsidR="00B51893">
              <w:rPr>
                <w:noProof/>
                <w:color w:val="000000"/>
                <w:highlight w:val="black"/>
              </w:rPr>
              <w:t>'''''''''''''''''</w:t>
            </w:r>
          </w:p>
        </w:tc>
        <w:tc>
          <w:tcPr>
            <w:tcW w:w="2785" w:type="dxa"/>
          </w:tcPr>
          <w:p w14:paraId="45E39D6B" w14:textId="77777777" w:rsidR="00351FF6" w:rsidRPr="00B42397" w:rsidRDefault="00351FF6" w:rsidP="000E4C25">
            <w:pPr>
              <w:pStyle w:val="Tabletext"/>
              <w:keepNext/>
              <w:ind w:left="170"/>
              <w:rPr>
                <w:i/>
                <w:iCs/>
              </w:rPr>
            </w:pPr>
          </w:p>
        </w:tc>
      </w:tr>
      <w:tr w:rsidR="00351FF6" w:rsidRPr="00B42397" w14:paraId="7B1CF73F" w14:textId="77777777" w:rsidTr="00351FF6">
        <w:tc>
          <w:tcPr>
            <w:tcW w:w="564" w:type="dxa"/>
            <w:vMerge/>
          </w:tcPr>
          <w:p w14:paraId="4BB4B815" w14:textId="77777777" w:rsidR="00351FF6" w:rsidRPr="00B42397" w:rsidRDefault="00351FF6" w:rsidP="000E4C25">
            <w:pPr>
              <w:pStyle w:val="Tabletext"/>
              <w:keepNext/>
              <w:ind w:left="170"/>
              <w:jc w:val="center"/>
              <w:rPr>
                <w:i/>
                <w:iCs/>
              </w:rPr>
            </w:pPr>
          </w:p>
        </w:tc>
        <w:tc>
          <w:tcPr>
            <w:tcW w:w="4023" w:type="dxa"/>
            <w:hideMark/>
          </w:tcPr>
          <w:p w14:paraId="6F06D9DD" w14:textId="77777777" w:rsidR="00351FF6" w:rsidRPr="000A5CA8" w:rsidRDefault="00351FF6" w:rsidP="000E4C25">
            <w:pPr>
              <w:pStyle w:val="Tabletext"/>
              <w:keepNext/>
              <w:ind w:left="170"/>
            </w:pPr>
            <w:r w:rsidRPr="000A5CA8">
              <w:t>Prescribing and administration costs: Cd</w:t>
            </w:r>
          </w:p>
        </w:tc>
        <w:tc>
          <w:tcPr>
            <w:tcW w:w="1645" w:type="dxa"/>
            <w:hideMark/>
          </w:tcPr>
          <w:p w14:paraId="74E0E420" w14:textId="77777777" w:rsidR="00351FF6" w:rsidRPr="000A5CA8" w:rsidRDefault="00351FF6" w:rsidP="000E4C25">
            <w:pPr>
              <w:pStyle w:val="Tabletext"/>
              <w:keepNext/>
              <w:jc w:val="center"/>
            </w:pPr>
            <w:r w:rsidRPr="000A5CA8">
              <w:t>$</w:t>
            </w:r>
            <w:r w:rsidR="00B51893">
              <w:rPr>
                <w:noProof/>
                <w:color w:val="000000"/>
                <w:highlight w:val="black"/>
              </w:rPr>
              <w:t>''''''''''''''''''</w:t>
            </w:r>
          </w:p>
        </w:tc>
        <w:tc>
          <w:tcPr>
            <w:tcW w:w="2785" w:type="dxa"/>
          </w:tcPr>
          <w:p w14:paraId="729C8EBE" w14:textId="77777777" w:rsidR="00351FF6" w:rsidRPr="00B42397" w:rsidRDefault="00351FF6" w:rsidP="000E4C25">
            <w:pPr>
              <w:pStyle w:val="Tabletext"/>
              <w:keepNext/>
              <w:ind w:left="170"/>
              <w:rPr>
                <w:i/>
                <w:iCs/>
              </w:rPr>
            </w:pPr>
          </w:p>
        </w:tc>
      </w:tr>
      <w:tr w:rsidR="00351FF6" w:rsidRPr="00B42397" w14:paraId="4BF72B36" w14:textId="77777777" w:rsidTr="00351FF6">
        <w:tc>
          <w:tcPr>
            <w:tcW w:w="564" w:type="dxa"/>
            <w:vMerge w:val="restart"/>
            <w:hideMark/>
          </w:tcPr>
          <w:p w14:paraId="21461F34" w14:textId="77777777" w:rsidR="00351FF6" w:rsidRPr="00B42397" w:rsidRDefault="00351FF6" w:rsidP="000E4C25">
            <w:pPr>
              <w:pStyle w:val="Tabletext"/>
              <w:keepNext/>
              <w:jc w:val="center"/>
            </w:pPr>
            <w:r w:rsidRPr="00B42397">
              <w:t>D</w:t>
            </w:r>
          </w:p>
        </w:tc>
        <w:tc>
          <w:tcPr>
            <w:tcW w:w="4023" w:type="dxa"/>
            <w:hideMark/>
          </w:tcPr>
          <w:p w14:paraId="1A27D659" w14:textId="77777777" w:rsidR="00351FF6" w:rsidRPr="000A5CA8" w:rsidRDefault="00351FF6" w:rsidP="000E4C25">
            <w:pPr>
              <w:pStyle w:val="Tabletext"/>
              <w:keepNext/>
            </w:pPr>
            <w:r w:rsidRPr="000A5CA8">
              <w:t>Difference in safety management costs</w:t>
            </w:r>
          </w:p>
        </w:tc>
        <w:tc>
          <w:tcPr>
            <w:tcW w:w="1645" w:type="dxa"/>
            <w:hideMark/>
          </w:tcPr>
          <w:p w14:paraId="0556E09D" w14:textId="77777777" w:rsidR="00351FF6" w:rsidRPr="000A5CA8" w:rsidRDefault="00351FF6" w:rsidP="000E4C25">
            <w:pPr>
              <w:pStyle w:val="Tabletext"/>
              <w:keepNext/>
              <w:jc w:val="center"/>
              <w:rPr>
                <w:i/>
                <w:iCs/>
              </w:rPr>
            </w:pPr>
            <w:r w:rsidRPr="000A5CA8">
              <w:rPr>
                <w:i/>
                <w:iCs/>
              </w:rPr>
              <w:t>$</w:t>
            </w:r>
            <w:r w:rsidR="00B51893">
              <w:rPr>
                <w:i/>
                <w:iCs/>
                <w:noProof/>
                <w:color w:val="000000"/>
                <w:highlight w:val="black"/>
              </w:rPr>
              <w:t>''''''''''</w:t>
            </w:r>
          </w:p>
        </w:tc>
        <w:tc>
          <w:tcPr>
            <w:tcW w:w="2785" w:type="dxa"/>
          </w:tcPr>
          <w:p w14:paraId="70F39710" w14:textId="77777777" w:rsidR="00351FF6" w:rsidRPr="00B42397" w:rsidRDefault="00351FF6" w:rsidP="000E4C25">
            <w:pPr>
              <w:pStyle w:val="Tabletext"/>
              <w:keepNext/>
            </w:pPr>
          </w:p>
        </w:tc>
      </w:tr>
      <w:tr w:rsidR="00351FF6" w:rsidRPr="00B42397" w14:paraId="2D7C07EF" w14:textId="77777777" w:rsidTr="00351FF6">
        <w:tc>
          <w:tcPr>
            <w:tcW w:w="564" w:type="dxa"/>
            <w:vMerge/>
          </w:tcPr>
          <w:p w14:paraId="64418DC2" w14:textId="77777777" w:rsidR="00351FF6" w:rsidRPr="00B42397" w:rsidRDefault="00351FF6" w:rsidP="000E4C25">
            <w:pPr>
              <w:pStyle w:val="Tabletext"/>
              <w:keepNext/>
              <w:jc w:val="center"/>
              <w:rPr>
                <w:i/>
                <w:iCs/>
              </w:rPr>
            </w:pPr>
          </w:p>
        </w:tc>
        <w:tc>
          <w:tcPr>
            <w:tcW w:w="4023" w:type="dxa"/>
            <w:hideMark/>
          </w:tcPr>
          <w:p w14:paraId="41E82ED5" w14:textId="77777777" w:rsidR="00351FF6" w:rsidRPr="000A5CA8" w:rsidRDefault="00351FF6" w:rsidP="000E4C25">
            <w:pPr>
              <w:pStyle w:val="Tabletext"/>
              <w:keepNext/>
              <w:ind w:left="170"/>
            </w:pPr>
            <w:r w:rsidRPr="000A5CA8">
              <w:t xml:space="preserve">Safety management costs: </w:t>
            </w:r>
            <w:proofErr w:type="spellStart"/>
            <w:r w:rsidR="001F5659" w:rsidRPr="000A5CA8">
              <w:t>ELd</w:t>
            </w:r>
            <w:proofErr w:type="spellEnd"/>
          </w:p>
        </w:tc>
        <w:tc>
          <w:tcPr>
            <w:tcW w:w="1645" w:type="dxa"/>
            <w:hideMark/>
          </w:tcPr>
          <w:p w14:paraId="035975AD" w14:textId="77777777" w:rsidR="00351FF6" w:rsidRPr="000A5CA8" w:rsidRDefault="00351FF6" w:rsidP="000E4C25">
            <w:pPr>
              <w:pStyle w:val="Tabletext"/>
              <w:keepNext/>
              <w:jc w:val="center"/>
              <w:rPr>
                <w:i/>
                <w:iCs/>
              </w:rPr>
            </w:pPr>
            <w:r w:rsidRPr="000A5CA8">
              <w:rPr>
                <w:i/>
                <w:iCs/>
              </w:rPr>
              <w:t>$</w:t>
            </w:r>
            <w:r w:rsidR="00B51893">
              <w:rPr>
                <w:i/>
                <w:iCs/>
                <w:noProof/>
                <w:color w:val="000000"/>
                <w:highlight w:val="black"/>
              </w:rPr>
              <w:t>''''''''''</w:t>
            </w:r>
          </w:p>
        </w:tc>
        <w:tc>
          <w:tcPr>
            <w:tcW w:w="2785" w:type="dxa"/>
          </w:tcPr>
          <w:p w14:paraId="1A042E97" w14:textId="77777777" w:rsidR="00351FF6" w:rsidRPr="00B42397" w:rsidRDefault="00351FF6" w:rsidP="000E4C25">
            <w:pPr>
              <w:pStyle w:val="Tabletext"/>
              <w:keepNext/>
              <w:rPr>
                <w:i/>
                <w:iCs/>
              </w:rPr>
            </w:pPr>
          </w:p>
        </w:tc>
      </w:tr>
      <w:tr w:rsidR="00351FF6" w:rsidRPr="00B42397" w14:paraId="1EC594B1" w14:textId="77777777" w:rsidTr="00351FF6">
        <w:tc>
          <w:tcPr>
            <w:tcW w:w="564" w:type="dxa"/>
            <w:vMerge/>
          </w:tcPr>
          <w:p w14:paraId="0A4934B1" w14:textId="77777777" w:rsidR="00351FF6" w:rsidRPr="00B42397" w:rsidRDefault="00351FF6" w:rsidP="000E4C25">
            <w:pPr>
              <w:pStyle w:val="Tabletext"/>
              <w:keepNext/>
              <w:jc w:val="center"/>
              <w:rPr>
                <w:i/>
                <w:iCs/>
              </w:rPr>
            </w:pPr>
          </w:p>
        </w:tc>
        <w:tc>
          <w:tcPr>
            <w:tcW w:w="4023" w:type="dxa"/>
            <w:hideMark/>
          </w:tcPr>
          <w:p w14:paraId="35772E1D" w14:textId="77777777" w:rsidR="00351FF6" w:rsidRPr="000A5CA8" w:rsidRDefault="00351FF6" w:rsidP="000E4C25">
            <w:pPr>
              <w:pStyle w:val="Tabletext"/>
              <w:keepNext/>
              <w:ind w:left="170"/>
            </w:pPr>
            <w:r w:rsidRPr="000A5CA8">
              <w:t>Safety management costs: Cd</w:t>
            </w:r>
          </w:p>
        </w:tc>
        <w:tc>
          <w:tcPr>
            <w:tcW w:w="1645" w:type="dxa"/>
            <w:hideMark/>
          </w:tcPr>
          <w:p w14:paraId="3830D0C6" w14:textId="77777777" w:rsidR="00351FF6" w:rsidRPr="000A5CA8" w:rsidRDefault="00351FF6" w:rsidP="000E4C25">
            <w:pPr>
              <w:pStyle w:val="Tabletext"/>
              <w:keepNext/>
              <w:jc w:val="center"/>
              <w:rPr>
                <w:i/>
                <w:iCs/>
              </w:rPr>
            </w:pPr>
            <w:r w:rsidRPr="000A5CA8">
              <w:rPr>
                <w:i/>
                <w:iCs/>
              </w:rPr>
              <w:t>$</w:t>
            </w:r>
            <w:r w:rsidR="00B51893">
              <w:rPr>
                <w:i/>
                <w:iCs/>
                <w:noProof/>
                <w:color w:val="000000"/>
                <w:highlight w:val="black"/>
              </w:rPr>
              <w:t>''''''''''</w:t>
            </w:r>
          </w:p>
        </w:tc>
        <w:tc>
          <w:tcPr>
            <w:tcW w:w="2785" w:type="dxa"/>
          </w:tcPr>
          <w:p w14:paraId="43C60549" w14:textId="77777777" w:rsidR="00351FF6" w:rsidRPr="00B42397" w:rsidRDefault="00351FF6" w:rsidP="000E4C25">
            <w:pPr>
              <w:pStyle w:val="Tabletext"/>
              <w:keepNext/>
              <w:rPr>
                <w:i/>
                <w:iCs/>
              </w:rPr>
            </w:pPr>
          </w:p>
        </w:tc>
      </w:tr>
      <w:tr w:rsidR="00351FF6" w:rsidRPr="00B42397" w14:paraId="415F1681" w14:textId="77777777" w:rsidTr="00351FF6">
        <w:tc>
          <w:tcPr>
            <w:tcW w:w="564" w:type="dxa"/>
            <w:vMerge w:val="restart"/>
          </w:tcPr>
          <w:p w14:paraId="1CE6159B" w14:textId="77777777" w:rsidR="00351FF6" w:rsidRPr="00B42397" w:rsidRDefault="00351FF6" w:rsidP="000E4C25">
            <w:pPr>
              <w:pStyle w:val="Tabletext"/>
              <w:keepNext/>
              <w:jc w:val="center"/>
              <w:rPr>
                <w:iCs/>
              </w:rPr>
            </w:pPr>
            <w:r w:rsidRPr="00B42397">
              <w:rPr>
                <w:iCs/>
              </w:rPr>
              <w:t>E</w:t>
            </w:r>
          </w:p>
        </w:tc>
        <w:tc>
          <w:tcPr>
            <w:tcW w:w="4023" w:type="dxa"/>
          </w:tcPr>
          <w:p w14:paraId="41D7A3D7" w14:textId="77777777" w:rsidR="00351FF6" w:rsidRPr="000A5CA8" w:rsidRDefault="00351FF6" w:rsidP="000E4C25">
            <w:pPr>
              <w:pStyle w:val="Tabletext"/>
              <w:keepNext/>
            </w:pPr>
            <w:r w:rsidRPr="000A5CA8">
              <w:t>Difference concomitant treatment costs</w:t>
            </w:r>
          </w:p>
        </w:tc>
        <w:tc>
          <w:tcPr>
            <w:tcW w:w="1645" w:type="dxa"/>
          </w:tcPr>
          <w:p w14:paraId="08B5425B" w14:textId="77777777" w:rsidR="00351FF6" w:rsidRPr="000A5CA8" w:rsidRDefault="00351FF6" w:rsidP="000E4C25">
            <w:pPr>
              <w:pStyle w:val="Tabletext"/>
              <w:keepNext/>
              <w:jc w:val="center"/>
              <w:rPr>
                <w:i/>
                <w:iCs/>
              </w:rPr>
            </w:pPr>
            <w:r w:rsidRPr="000A5CA8">
              <w:rPr>
                <w:i/>
                <w:iCs/>
              </w:rPr>
              <w:t>$</w:t>
            </w:r>
            <w:r w:rsidR="00B51893">
              <w:rPr>
                <w:i/>
                <w:iCs/>
                <w:noProof/>
                <w:color w:val="000000"/>
                <w:highlight w:val="black"/>
              </w:rPr>
              <w:t>''''''''''''''</w:t>
            </w:r>
          </w:p>
        </w:tc>
        <w:tc>
          <w:tcPr>
            <w:tcW w:w="2785" w:type="dxa"/>
          </w:tcPr>
          <w:p w14:paraId="2CBF48F8" w14:textId="77777777" w:rsidR="00351FF6" w:rsidRPr="00B42397" w:rsidRDefault="00351FF6" w:rsidP="000E4C25">
            <w:pPr>
              <w:pStyle w:val="Tabletext"/>
              <w:keepNext/>
              <w:rPr>
                <w:i/>
                <w:iCs/>
              </w:rPr>
            </w:pPr>
          </w:p>
        </w:tc>
      </w:tr>
      <w:tr w:rsidR="00351FF6" w:rsidRPr="00B42397" w14:paraId="5E34CFEA" w14:textId="77777777" w:rsidTr="00351FF6">
        <w:tc>
          <w:tcPr>
            <w:tcW w:w="564" w:type="dxa"/>
            <w:vMerge/>
          </w:tcPr>
          <w:p w14:paraId="77EF267B" w14:textId="77777777" w:rsidR="00351FF6" w:rsidRPr="00B42397" w:rsidRDefault="00351FF6" w:rsidP="000E4C25">
            <w:pPr>
              <w:pStyle w:val="Tabletext"/>
              <w:keepNext/>
              <w:jc w:val="center"/>
              <w:rPr>
                <w:i/>
                <w:iCs/>
              </w:rPr>
            </w:pPr>
          </w:p>
        </w:tc>
        <w:tc>
          <w:tcPr>
            <w:tcW w:w="4023" w:type="dxa"/>
          </w:tcPr>
          <w:p w14:paraId="2CA431CC" w14:textId="77777777" w:rsidR="00351FF6" w:rsidRPr="000A5CA8" w:rsidRDefault="00351FF6" w:rsidP="000E4C25">
            <w:pPr>
              <w:pStyle w:val="Tabletext"/>
              <w:keepNext/>
              <w:ind w:left="170"/>
            </w:pPr>
            <w:r w:rsidRPr="000A5CA8">
              <w:t xml:space="preserve">Concomitant treatment costs: </w:t>
            </w:r>
            <w:proofErr w:type="spellStart"/>
            <w:r w:rsidR="001F5659" w:rsidRPr="000A5CA8">
              <w:t>ELd</w:t>
            </w:r>
            <w:proofErr w:type="spellEnd"/>
          </w:p>
        </w:tc>
        <w:tc>
          <w:tcPr>
            <w:tcW w:w="1645" w:type="dxa"/>
          </w:tcPr>
          <w:p w14:paraId="3217355A" w14:textId="77777777" w:rsidR="00351FF6" w:rsidRPr="000A5CA8" w:rsidRDefault="00351FF6" w:rsidP="000E4C25">
            <w:pPr>
              <w:pStyle w:val="Tabletext"/>
              <w:keepNext/>
              <w:jc w:val="center"/>
              <w:rPr>
                <w:i/>
                <w:iCs/>
              </w:rPr>
            </w:pPr>
            <w:r w:rsidRPr="000A5CA8">
              <w:rPr>
                <w:i/>
                <w:iCs/>
              </w:rPr>
              <w:t>$</w:t>
            </w:r>
            <w:r w:rsidR="00B51893">
              <w:rPr>
                <w:i/>
                <w:iCs/>
                <w:noProof/>
                <w:color w:val="000000"/>
                <w:highlight w:val="black"/>
              </w:rPr>
              <w:t>'''''''''''''</w:t>
            </w:r>
          </w:p>
        </w:tc>
        <w:tc>
          <w:tcPr>
            <w:tcW w:w="2785" w:type="dxa"/>
          </w:tcPr>
          <w:p w14:paraId="3F669A28" w14:textId="77777777" w:rsidR="00351FF6" w:rsidRPr="00B42397" w:rsidRDefault="00351FF6" w:rsidP="000E4C25">
            <w:pPr>
              <w:pStyle w:val="Tabletext"/>
              <w:keepNext/>
              <w:rPr>
                <w:i/>
                <w:iCs/>
              </w:rPr>
            </w:pPr>
          </w:p>
        </w:tc>
      </w:tr>
      <w:tr w:rsidR="00351FF6" w:rsidRPr="00B42397" w14:paraId="720029C5" w14:textId="77777777" w:rsidTr="00351FF6">
        <w:tc>
          <w:tcPr>
            <w:tcW w:w="564" w:type="dxa"/>
            <w:vMerge/>
          </w:tcPr>
          <w:p w14:paraId="2B19269D" w14:textId="77777777" w:rsidR="00351FF6" w:rsidRPr="00B42397" w:rsidRDefault="00351FF6" w:rsidP="000E4C25">
            <w:pPr>
              <w:pStyle w:val="Tabletext"/>
              <w:keepNext/>
              <w:jc w:val="center"/>
              <w:rPr>
                <w:i/>
                <w:iCs/>
              </w:rPr>
            </w:pPr>
          </w:p>
        </w:tc>
        <w:tc>
          <w:tcPr>
            <w:tcW w:w="4023" w:type="dxa"/>
          </w:tcPr>
          <w:p w14:paraId="7EEB305F" w14:textId="77777777" w:rsidR="00351FF6" w:rsidRPr="000A5CA8" w:rsidRDefault="00351FF6" w:rsidP="000E4C25">
            <w:pPr>
              <w:pStyle w:val="Tabletext"/>
              <w:keepNext/>
              <w:ind w:left="170"/>
            </w:pPr>
            <w:r w:rsidRPr="000A5CA8">
              <w:t>Concomitant treatment costs: Cd</w:t>
            </w:r>
          </w:p>
        </w:tc>
        <w:tc>
          <w:tcPr>
            <w:tcW w:w="1645" w:type="dxa"/>
          </w:tcPr>
          <w:p w14:paraId="1FAB9676" w14:textId="77777777" w:rsidR="00351FF6" w:rsidRPr="000A5CA8" w:rsidRDefault="00351FF6" w:rsidP="000E4C25">
            <w:pPr>
              <w:pStyle w:val="Tabletext"/>
              <w:keepNext/>
              <w:jc w:val="center"/>
              <w:rPr>
                <w:i/>
                <w:iCs/>
              </w:rPr>
            </w:pPr>
            <w:r w:rsidRPr="000A5CA8">
              <w:rPr>
                <w:i/>
                <w:iCs/>
              </w:rPr>
              <w:t>$</w:t>
            </w:r>
            <w:r w:rsidR="00B51893">
              <w:rPr>
                <w:i/>
                <w:iCs/>
                <w:noProof/>
                <w:color w:val="000000"/>
                <w:highlight w:val="black"/>
              </w:rPr>
              <w:t>'''''''''''''</w:t>
            </w:r>
          </w:p>
        </w:tc>
        <w:tc>
          <w:tcPr>
            <w:tcW w:w="2785" w:type="dxa"/>
          </w:tcPr>
          <w:p w14:paraId="14B800B7" w14:textId="77777777" w:rsidR="00351FF6" w:rsidRPr="00B42397" w:rsidRDefault="00351FF6" w:rsidP="000E4C25">
            <w:pPr>
              <w:pStyle w:val="Tabletext"/>
              <w:keepNext/>
              <w:rPr>
                <w:i/>
                <w:iCs/>
              </w:rPr>
            </w:pPr>
          </w:p>
        </w:tc>
      </w:tr>
      <w:tr w:rsidR="005D1D64" w:rsidRPr="00B42397" w14:paraId="7C1803C4" w14:textId="77777777" w:rsidTr="00351FF6">
        <w:tc>
          <w:tcPr>
            <w:tcW w:w="564" w:type="dxa"/>
            <w:hideMark/>
          </w:tcPr>
          <w:p w14:paraId="0B4F5ABD" w14:textId="77777777" w:rsidR="005D1D64" w:rsidRPr="00B42397" w:rsidRDefault="00B95D81" w:rsidP="000E4C25">
            <w:pPr>
              <w:pStyle w:val="Tabletext"/>
              <w:keepNext/>
              <w:jc w:val="center"/>
            </w:pPr>
            <w:r w:rsidRPr="00B42397">
              <w:t>F</w:t>
            </w:r>
          </w:p>
        </w:tc>
        <w:tc>
          <w:tcPr>
            <w:tcW w:w="4023" w:type="dxa"/>
            <w:hideMark/>
          </w:tcPr>
          <w:p w14:paraId="7E58B4FC" w14:textId="77777777" w:rsidR="005D1D64" w:rsidRPr="00B42397" w:rsidRDefault="00A81D05" w:rsidP="000E4C25">
            <w:pPr>
              <w:pStyle w:val="Tabletext"/>
              <w:keepNext/>
            </w:pPr>
            <w:r w:rsidRPr="00B42397">
              <w:t>C</w:t>
            </w:r>
            <w:r w:rsidR="005D1D64" w:rsidRPr="00B42397">
              <w:t>ost of elotuzumab per cycle (</w:t>
            </w:r>
            <w:r w:rsidRPr="00B42397">
              <w:t>AEMP</w:t>
            </w:r>
            <w:r w:rsidR="005D1D64" w:rsidRPr="00B42397">
              <w:t>)</w:t>
            </w:r>
          </w:p>
        </w:tc>
        <w:tc>
          <w:tcPr>
            <w:tcW w:w="1645" w:type="dxa"/>
            <w:hideMark/>
          </w:tcPr>
          <w:p w14:paraId="2C242DD2" w14:textId="77777777" w:rsidR="005D1D64" w:rsidRPr="00B42397" w:rsidRDefault="005D1D64" w:rsidP="000E4C25">
            <w:pPr>
              <w:pStyle w:val="Tabletext"/>
              <w:keepNext/>
              <w:jc w:val="center"/>
            </w:pPr>
            <w:r w:rsidRPr="00B42397">
              <w:t>$</w:t>
            </w:r>
            <w:r w:rsidR="00B51893">
              <w:rPr>
                <w:i/>
                <w:iCs/>
                <w:noProof/>
                <w:color w:val="000000"/>
                <w:highlight w:val="black"/>
              </w:rPr>
              <w:t>'''''''''''''''''''''''</w:t>
            </w:r>
          </w:p>
        </w:tc>
        <w:tc>
          <w:tcPr>
            <w:tcW w:w="2785" w:type="dxa"/>
            <w:hideMark/>
          </w:tcPr>
          <w:p w14:paraId="02FE97F3" w14:textId="77777777" w:rsidR="005D1D64" w:rsidRPr="00B42397" w:rsidRDefault="005D1D64" w:rsidP="000E4C25">
            <w:pPr>
              <w:pStyle w:val="Tabletext"/>
              <w:keepNext/>
            </w:pPr>
            <w:r w:rsidRPr="00B42397">
              <w:t>A</w:t>
            </w:r>
            <w:r w:rsidR="003830A9" w:rsidRPr="00B42397">
              <w:t>-</w:t>
            </w:r>
            <w:r w:rsidRPr="00B42397">
              <w:t>B-C-D</w:t>
            </w:r>
            <w:r w:rsidR="00B95D81" w:rsidRPr="00B42397">
              <w:t>-E</w:t>
            </w:r>
          </w:p>
        </w:tc>
      </w:tr>
      <w:tr w:rsidR="005D1D64" w:rsidRPr="00B42397" w14:paraId="75A59540" w14:textId="77777777" w:rsidTr="00351FF6">
        <w:tc>
          <w:tcPr>
            <w:tcW w:w="564" w:type="dxa"/>
            <w:hideMark/>
          </w:tcPr>
          <w:p w14:paraId="405562C7" w14:textId="77777777" w:rsidR="005D1D64" w:rsidRPr="00B42397" w:rsidRDefault="00B95D81" w:rsidP="000E4C25">
            <w:pPr>
              <w:pStyle w:val="Tabletext"/>
              <w:keepNext/>
              <w:jc w:val="center"/>
            </w:pPr>
            <w:r w:rsidRPr="00B42397">
              <w:t>G</w:t>
            </w:r>
          </w:p>
        </w:tc>
        <w:tc>
          <w:tcPr>
            <w:tcW w:w="4023" w:type="dxa"/>
            <w:hideMark/>
          </w:tcPr>
          <w:p w14:paraId="26BB3E57" w14:textId="77777777" w:rsidR="005D1D64" w:rsidRPr="00B42397" w:rsidRDefault="005D1D64" w:rsidP="000E4C25">
            <w:pPr>
              <w:pStyle w:val="Tabletext"/>
              <w:keepNext/>
            </w:pPr>
            <w:r w:rsidRPr="00B42397">
              <w:t>‘Steady state’ doses per cycle</w:t>
            </w:r>
          </w:p>
        </w:tc>
        <w:tc>
          <w:tcPr>
            <w:tcW w:w="1645" w:type="dxa"/>
            <w:hideMark/>
          </w:tcPr>
          <w:p w14:paraId="78536578" w14:textId="77777777" w:rsidR="005D1D64" w:rsidRPr="00B42397" w:rsidRDefault="005D1D64" w:rsidP="000E4C25">
            <w:pPr>
              <w:pStyle w:val="Tabletext"/>
              <w:keepNext/>
              <w:jc w:val="center"/>
            </w:pPr>
            <w:r w:rsidRPr="00B42397">
              <w:t>2</w:t>
            </w:r>
          </w:p>
        </w:tc>
        <w:tc>
          <w:tcPr>
            <w:tcW w:w="2785" w:type="dxa"/>
            <w:hideMark/>
          </w:tcPr>
          <w:p w14:paraId="3268B2F1" w14:textId="77777777" w:rsidR="005D1D64" w:rsidRPr="00B42397" w:rsidRDefault="005D1D64" w:rsidP="000E4C25">
            <w:pPr>
              <w:pStyle w:val="Tabletext"/>
              <w:keepNext/>
            </w:pPr>
            <w:r w:rsidRPr="00B42397">
              <w:t>TGA PI elotuzumab</w:t>
            </w:r>
          </w:p>
        </w:tc>
      </w:tr>
      <w:tr w:rsidR="005D1D64" w:rsidRPr="00B42397" w14:paraId="1DBFE1A2" w14:textId="77777777" w:rsidTr="00351FF6">
        <w:tc>
          <w:tcPr>
            <w:tcW w:w="564" w:type="dxa"/>
            <w:hideMark/>
          </w:tcPr>
          <w:p w14:paraId="6C5B9FF3" w14:textId="77777777" w:rsidR="005D1D64" w:rsidRPr="00B42397" w:rsidRDefault="00B95D81" w:rsidP="000E4C25">
            <w:pPr>
              <w:pStyle w:val="Tabletext"/>
              <w:keepNext/>
              <w:jc w:val="center"/>
            </w:pPr>
            <w:r w:rsidRPr="00B42397">
              <w:t>H</w:t>
            </w:r>
          </w:p>
        </w:tc>
        <w:tc>
          <w:tcPr>
            <w:tcW w:w="4023" w:type="dxa"/>
            <w:hideMark/>
          </w:tcPr>
          <w:p w14:paraId="1214161B" w14:textId="77777777" w:rsidR="005D1D64" w:rsidRPr="00B42397" w:rsidRDefault="00A81D05" w:rsidP="000E4C25">
            <w:pPr>
              <w:pStyle w:val="Tabletext"/>
              <w:keepNext/>
            </w:pPr>
            <w:r w:rsidRPr="00B42397">
              <w:t>C</w:t>
            </w:r>
            <w:r w:rsidR="005D1D64" w:rsidRPr="00B42397">
              <w:t>ost of elotuzumab per dose</w:t>
            </w:r>
          </w:p>
        </w:tc>
        <w:tc>
          <w:tcPr>
            <w:tcW w:w="1645" w:type="dxa"/>
            <w:hideMark/>
          </w:tcPr>
          <w:p w14:paraId="27A0C1C8" w14:textId="77777777" w:rsidR="005D1D64" w:rsidRPr="00B42397" w:rsidRDefault="005D1D64" w:rsidP="000E4C25">
            <w:pPr>
              <w:pStyle w:val="Tabletext"/>
              <w:keepNext/>
              <w:jc w:val="center"/>
              <w:rPr>
                <w:i/>
                <w:iCs/>
              </w:rPr>
            </w:pPr>
            <w:r w:rsidRPr="00B42397">
              <w:rPr>
                <w:i/>
                <w:iCs/>
              </w:rPr>
              <w:t>$</w:t>
            </w:r>
            <w:r w:rsidR="00B51893">
              <w:rPr>
                <w:i/>
                <w:iCs/>
                <w:noProof/>
                <w:color w:val="000000"/>
                <w:highlight w:val="black"/>
              </w:rPr>
              <w:t>'''''''''''''''''''''''</w:t>
            </w:r>
          </w:p>
        </w:tc>
        <w:tc>
          <w:tcPr>
            <w:tcW w:w="2785" w:type="dxa"/>
            <w:hideMark/>
          </w:tcPr>
          <w:p w14:paraId="5D36E36E" w14:textId="77777777" w:rsidR="005D1D64" w:rsidRPr="00B42397" w:rsidRDefault="005D1D64" w:rsidP="000E4C25">
            <w:pPr>
              <w:pStyle w:val="Tabletext"/>
              <w:keepNext/>
            </w:pPr>
            <w:r w:rsidRPr="00B42397">
              <w:t>F</w:t>
            </w:r>
            <w:r w:rsidR="003830A9" w:rsidRPr="00B42397">
              <w:t>/G</w:t>
            </w:r>
          </w:p>
        </w:tc>
      </w:tr>
      <w:tr w:rsidR="005D1D64" w:rsidRPr="00B42397" w14:paraId="21B5C2C8" w14:textId="77777777" w:rsidTr="00351FF6">
        <w:tc>
          <w:tcPr>
            <w:tcW w:w="564" w:type="dxa"/>
            <w:hideMark/>
          </w:tcPr>
          <w:p w14:paraId="653FC231" w14:textId="77777777" w:rsidR="005D1D64" w:rsidRPr="00B42397" w:rsidRDefault="00B95D81" w:rsidP="000E4C25">
            <w:pPr>
              <w:pStyle w:val="Tabletext"/>
              <w:keepNext/>
              <w:jc w:val="center"/>
            </w:pPr>
            <w:r w:rsidRPr="00B42397">
              <w:t>I</w:t>
            </w:r>
          </w:p>
        </w:tc>
        <w:tc>
          <w:tcPr>
            <w:tcW w:w="4023" w:type="dxa"/>
            <w:hideMark/>
          </w:tcPr>
          <w:p w14:paraId="5A09B06F" w14:textId="77777777" w:rsidR="005D1D64" w:rsidRPr="00B42397" w:rsidRDefault="005D1D64" w:rsidP="000E4C25">
            <w:pPr>
              <w:pStyle w:val="Tabletext"/>
              <w:keepNext/>
            </w:pPr>
            <w:r w:rsidRPr="00B42397">
              <w:t>Actual volume per dose, mg</w:t>
            </w:r>
          </w:p>
        </w:tc>
        <w:tc>
          <w:tcPr>
            <w:tcW w:w="1645" w:type="dxa"/>
            <w:hideMark/>
          </w:tcPr>
          <w:p w14:paraId="40C27BF9" w14:textId="77777777" w:rsidR="005D1D64" w:rsidRPr="00704563" w:rsidRDefault="005D1D64" w:rsidP="000E4C25">
            <w:pPr>
              <w:pStyle w:val="Tabletext"/>
              <w:keepNext/>
              <w:jc w:val="center"/>
            </w:pPr>
            <w:r w:rsidRPr="00704563">
              <w:t>771.8</w:t>
            </w:r>
          </w:p>
        </w:tc>
        <w:tc>
          <w:tcPr>
            <w:tcW w:w="2785" w:type="dxa"/>
            <w:hideMark/>
          </w:tcPr>
          <w:p w14:paraId="001ADDA5" w14:textId="77777777" w:rsidR="005D1D64" w:rsidRPr="00B42397" w:rsidRDefault="005D1D64" w:rsidP="00AF074C">
            <w:pPr>
              <w:pStyle w:val="Tabletext"/>
              <w:keepNext/>
              <w:rPr>
                <w:i/>
                <w:iCs/>
              </w:rPr>
            </w:pPr>
            <w:r w:rsidRPr="00B42397">
              <w:rPr>
                <w:i/>
                <w:iCs/>
              </w:rPr>
              <w:t xml:space="preserve">Estimated </w:t>
            </w:r>
            <w:r w:rsidR="00AF074C" w:rsidRPr="00B42397">
              <w:rPr>
                <w:i/>
                <w:iCs/>
              </w:rPr>
              <w:t>by submission using patient weight from ELOQUENT-2</w:t>
            </w:r>
            <w:r w:rsidRPr="00B42397">
              <w:rPr>
                <w:i/>
                <w:iCs/>
              </w:rPr>
              <w:t xml:space="preserve"> </w:t>
            </w:r>
          </w:p>
        </w:tc>
      </w:tr>
      <w:tr w:rsidR="005D1D64" w:rsidRPr="00B42397" w14:paraId="4F6BB08E" w14:textId="77777777" w:rsidTr="00351FF6">
        <w:tc>
          <w:tcPr>
            <w:tcW w:w="564" w:type="dxa"/>
            <w:hideMark/>
          </w:tcPr>
          <w:p w14:paraId="54FE4334" w14:textId="77777777" w:rsidR="005D1D64" w:rsidRPr="00B42397" w:rsidRDefault="00B95D81" w:rsidP="000E4C25">
            <w:pPr>
              <w:pStyle w:val="Tabletext"/>
              <w:keepNext/>
              <w:jc w:val="center"/>
            </w:pPr>
            <w:r w:rsidRPr="00B42397">
              <w:t>J</w:t>
            </w:r>
          </w:p>
        </w:tc>
        <w:tc>
          <w:tcPr>
            <w:tcW w:w="4023" w:type="dxa"/>
            <w:hideMark/>
          </w:tcPr>
          <w:p w14:paraId="3965143B" w14:textId="77777777" w:rsidR="005D1D64" w:rsidRPr="00B42397" w:rsidRDefault="005D1D64" w:rsidP="000E4C25">
            <w:pPr>
              <w:pStyle w:val="Tabletext"/>
              <w:keepNext/>
            </w:pPr>
            <w:r w:rsidRPr="00B42397">
              <w:t>300 mg vials per dose</w:t>
            </w:r>
          </w:p>
        </w:tc>
        <w:tc>
          <w:tcPr>
            <w:tcW w:w="1645" w:type="dxa"/>
            <w:hideMark/>
          </w:tcPr>
          <w:p w14:paraId="75C5FC50" w14:textId="77777777" w:rsidR="005D1D64" w:rsidRPr="00704563" w:rsidRDefault="005D1D64" w:rsidP="000E4C25">
            <w:pPr>
              <w:pStyle w:val="Tabletext"/>
              <w:keepNext/>
              <w:jc w:val="center"/>
            </w:pPr>
            <w:r w:rsidRPr="00704563">
              <w:t>1.35</w:t>
            </w:r>
          </w:p>
        </w:tc>
        <w:tc>
          <w:tcPr>
            <w:tcW w:w="2785" w:type="dxa"/>
          </w:tcPr>
          <w:p w14:paraId="476D83F2" w14:textId="77777777" w:rsidR="005D1D64" w:rsidRPr="00B42397" w:rsidRDefault="00AF074C" w:rsidP="000E4C25">
            <w:pPr>
              <w:pStyle w:val="Tabletext"/>
              <w:keepNext/>
              <w:rPr>
                <w:i/>
                <w:iCs/>
              </w:rPr>
            </w:pPr>
            <w:r w:rsidRPr="00B42397">
              <w:rPr>
                <w:i/>
                <w:iCs/>
              </w:rPr>
              <w:t>Estimated by submission using patient weight from ELOQUENT-2</w:t>
            </w:r>
          </w:p>
        </w:tc>
      </w:tr>
      <w:tr w:rsidR="005D1D64" w:rsidRPr="00B42397" w14:paraId="70E5CECF" w14:textId="77777777" w:rsidTr="00351FF6">
        <w:tc>
          <w:tcPr>
            <w:tcW w:w="564" w:type="dxa"/>
            <w:hideMark/>
          </w:tcPr>
          <w:p w14:paraId="71612906" w14:textId="77777777" w:rsidR="005D1D64" w:rsidRPr="00B42397" w:rsidRDefault="00B95D81" w:rsidP="000E4C25">
            <w:pPr>
              <w:pStyle w:val="Tabletext"/>
              <w:keepNext/>
              <w:jc w:val="center"/>
            </w:pPr>
            <w:r w:rsidRPr="00B42397">
              <w:t>K</w:t>
            </w:r>
          </w:p>
        </w:tc>
        <w:tc>
          <w:tcPr>
            <w:tcW w:w="4023" w:type="dxa"/>
            <w:hideMark/>
          </w:tcPr>
          <w:p w14:paraId="376FCB88" w14:textId="77777777" w:rsidR="005D1D64" w:rsidRPr="00B42397" w:rsidRDefault="005D1D64" w:rsidP="000E4C25">
            <w:pPr>
              <w:pStyle w:val="Tabletext"/>
              <w:keepNext/>
            </w:pPr>
            <w:r w:rsidRPr="00B42397">
              <w:t>400 mg vials per dose</w:t>
            </w:r>
          </w:p>
        </w:tc>
        <w:tc>
          <w:tcPr>
            <w:tcW w:w="1645" w:type="dxa"/>
            <w:hideMark/>
          </w:tcPr>
          <w:p w14:paraId="56E00017" w14:textId="77777777" w:rsidR="005D1D64" w:rsidRPr="00704563" w:rsidRDefault="005D1D64" w:rsidP="000E4C25">
            <w:pPr>
              <w:pStyle w:val="Tabletext"/>
              <w:keepNext/>
              <w:jc w:val="center"/>
            </w:pPr>
            <w:r w:rsidRPr="00704563">
              <w:t>0.92</w:t>
            </w:r>
          </w:p>
        </w:tc>
        <w:tc>
          <w:tcPr>
            <w:tcW w:w="2785" w:type="dxa"/>
          </w:tcPr>
          <w:p w14:paraId="6A704A78" w14:textId="77777777" w:rsidR="005D1D64" w:rsidRPr="00B42397" w:rsidRDefault="00AF074C" w:rsidP="000E4C25">
            <w:pPr>
              <w:pStyle w:val="Tabletext"/>
              <w:keepNext/>
              <w:rPr>
                <w:i/>
                <w:iCs/>
              </w:rPr>
            </w:pPr>
            <w:r w:rsidRPr="00B42397">
              <w:rPr>
                <w:i/>
                <w:iCs/>
              </w:rPr>
              <w:t>Estimated by submission using patient weight from ELOQUENT-2</w:t>
            </w:r>
          </w:p>
        </w:tc>
      </w:tr>
      <w:tr w:rsidR="005D1D64" w:rsidRPr="00B42397" w14:paraId="346E35CC" w14:textId="77777777" w:rsidTr="00351FF6">
        <w:tc>
          <w:tcPr>
            <w:tcW w:w="564" w:type="dxa"/>
          </w:tcPr>
          <w:p w14:paraId="3B3BC6A6" w14:textId="77777777" w:rsidR="005D1D64" w:rsidRPr="00B42397" w:rsidRDefault="00B95D81" w:rsidP="000E4C25">
            <w:pPr>
              <w:pStyle w:val="Tabletext"/>
              <w:keepNext/>
              <w:jc w:val="center"/>
            </w:pPr>
            <w:r w:rsidRPr="00B42397">
              <w:t>L</w:t>
            </w:r>
          </w:p>
        </w:tc>
        <w:tc>
          <w:tcPr>
            <w:tcW w:w="4023" w:type="dxa"/>
          </w:tcPr>
          <w:p w14:paraId="7F40940F" w14:textId="77777777" w:rsidR="005D1D64" w:rsidRPr="00B42397" w:rsidRDefault="005D1D64" w:rsidP="000E4C25">
            <w:pPr>
              <w:pStyle w:val="Tabletext"/>
              <w:keepNext/>
            </w:pPr>
            <w:r w:rsidRPr="00B42397">
              <w:t>Cost-min weighted AEMP: 300 mg vial</w:t>
            </w:r>
          </w:p>
        </w:tc>
        <w:tc>
          <w:tcPr>
            <w:tcW w:w="1645" w:type="dxa"/>
          </w:tcPr>
          <w:p w14:paraId="6B7D07C5" w14:textId="77777777" w:rsidR="005D1D64" w:rsidRPr="00B42397" w:rsidRDefault="005D1D64" w:rsidP="000E4C25">
            <w:pPr>
              <w:pStyle w:val="Tabletext"/>
              <w:keepNext/>
              <w:jc w:val="center"/>
            </w:pPr>
            <w:r w:rsidRPr="00B42397">
              <w:rPr>
                <w:i/>
                <w:iCs/>
              </w:rPr>
              <w:t>$</w:t>
            </w:r>
            <w:r w:rsidR="00B51893">
              <w:rPr>
                <w:i/>
                <w:iCs/>
                <w:noProof/>
                <w:color w:val="000000"/>
                <w:highlight w:val="black"/>
              </w:rPr>
              <w:t>''''''''''''''''</w:t>
            </w:r>
          </w:p>
        </w:tc>
        <w:tc>
          <w:tcPr>
            <w:tcW w:w="2785" w:type="dxa"/>
          </w:tcPr>
          <w:p w14:paraId="36A00861" w14:textId="77777777" w:rsidR="005D1D64" w:rsidRPr="00B42397" w:rsidRDefault="005D1D64" w:rsidP="000E4C25">
            <w:pPr>
              <w:pStyle w:val="Tabletext"/>
              <w:keepNext/>
              <w:rPr>
                <w:i/>
                <w:iCs/>
              </w:rPr>
            </w:pPr>
            <w:r w:rsidRPr="00B42397">
              <w:t>Calculated (H</w:t>
            </w:r>
            <w:r w:rsidR="003830A9" w:rsidRPr="00B42397">
              <w:t>/I</w:t>
            </w:r>
            <w:r w:rsidRPr="00B42397">
              <w:t>) x 300</w:t>
            </w:r>
          </w:p>
        </w:tc>
      </w:tr>
      <w:tr w:rsidR="00A81D05" w:rsidRPr="00B42397" w14:paraId="34354543" w14:textId="77777777" w:rsidTr="00351FF6">
        <w:tc>
          <w:tcPr>
            <w:tcW w:w="564" w:type="dxa"/>
            <w:vMerge w:val="restart"/>
          </w:tcPr>
          <w:p w14:paraId="0312B4AC" w14:textId="77777777" w:rsidR="00A81D05" w:rsidRPr="00B42397" w:rsidRDefault="00A81D05" w:rsidP="000E4C25">
            <w:pPr>
              <w:pStyle w:val="Tabletext"/>
              <w:keepNext/>
              <w:jc w:val="center"/>
              <w:rPr>
                <w:bCs/>
              </w:rPr>
            </w:pPr>
            <w:r w:rsidRPr="00B42397">
              <w:rPr>
                <w:bCs/>
              </w:rPr>
              <w:t>M</w:t>
            </w:r>
          </w:p>
        </w:tc>
        <w:tc>
          <w:tcPr>
            <w:tcW w:w="4023" w:type="dxa"/>
            <w:hideMark/>
          </w:tcPr>
          <w:p w14:paraId="7FA9CAA0" w14:textId="77777777" w:rsidR="00A81D05" w:rsidRPr="00B42397" w:rsidRDefault="00A81D05" w:rsidP="000E4C25">
            <w:pPr>
              <w:pStyle w:val="Tabletext"/>
              <w:keepNext/>
            </w:pPr>
            <w:r w:rsidRPr="00B42397">
              <w:t>Cost-min weighted AEMP: 400 mg vial</w:t>
            </w:r>
          </w:p>
        </w:tc>
        <w:tc>
          <w:tcPr>
            <w:tcW w:w="1645" w:type="dxa"/>
            <w:hideMark/>
          </w:tcPr>
          <w:p w14:paraId="2FCF5969" w14:textId="77777777" w:rsidR="00A81D05" w:rsidRPr="00B42397" w:rsidRDefault="00A81D05" w:rsidP="000E4C25">
            <w:pPr>
              <w:pStyle w:val="Tabletext"/>
              <w:keepNext/>
              <w:jc w:val="center"/>
              <w:rPr>
                <w:i/>
                <w:iCs/>
              </w:rPr>
            </w:pPr>
            <w:r w:rsidRPr="00B42397">
              <w:rPr>
                <w:i/>
                <w:iCs/>
              </w:rPr>
              <w:t>$</w:t>
            </w:r>
            <w:r w:rsidR="00B51893">
              <w:rPr>
                <w:i/>
                <w:iCs/>
                <w:noProof/>
                <w:color w:val="000000"/>
                <w:highlight w:val="black"/>
              </w:rPr>
              <w:t>''''''''''''''''</w:t>
            </w:r>
          </w:p>
        </w:tc>
        <w:tc>
          <w:tcPr>
            <w:tcW w:w="2785" w:type="dxa"/>
            <w:hideMark/>
          </w:tcPr>
          <w:p w14:paraId="40A5D04F" w14:textId="77777777" w:rsidR="00A81D05" w:rsidRPr="00B42397" w:rsidRDefault="00A81D05" w:rsidP="000E4C25">
            <w:pPr>
              <w:pStyle w:val="Tabletext"/>
              <w:keepNext/>
            </w:pPr>
            <w:r w:rsidRPr="00B42397">
              <w:t>Calculated (H/I) x 400</w:t>
            </w:r>
          </w:p>
        </w:tc>
      </w:tr>
      <w:tr w:rsidR="00A81D05" w:rsidRPr="00B42397" w14:paraId="07048406" w14:textId="77777777" w:rsidTr="00351FF6">
        <w:tc>
          <w:tcPr>
            <w:tcW w:w="564" w:type="dxa"/>
            <w:vMerge/>
          </w:tcPr>
          <w:p w14:paraId="7AAED7A7" w14:textId="77777777" w:rsidR="00A81D05" w:rsidRPr="00B42397" w:rsidRDefault="00A81D05" w:rsidP="000E4C25">
            <w:pPr>
              <w:pStyle w:val="Tabletext"/>
              <w:keepNext/>
              <w:jc w:val="center"/>
              <w:rPr>
                <w:b/>
                <w:bCs/>
              </w:rPr>
            </w:pPr>
          </w:p>
        </w:tc>
        <w:tc>
          <w:tcPr>
            <w:tcW w:w="4023" w:type="dxa"/>
            <w:hideMark/>
          </w:tcPr>
          <w:p w14:paraId="20942A57" w14:textId="77777777" w:rsidR="00A81D05" w:rsidRPr="00B42397" w:rsidRDefault="00A81D05" w:rsidP="000E4C25">
            <w:pPr>
              <w:pStyle w:val="Tabletext"/>
              <w:keepNext/>
            </w:pPr>
            <w:r w:rsidRPr="00B42397">
              <w:t>Cost-min AEMP: 1,200 mg</w:t>
            </w:r>
          </w:p>
        </w:tc>
        <w:tc>
          <w:tcPr>
            <w:tcW w:w="1645" w:type="dxa"/>
            <w:hideMark/>
          </w:tcPr>
          <w:p w14:paraId="6F290B11" w14:textId="77777777" w:rsidR="00A81D05" w:rsidRPr="00B42397" w:rsidRDefault="00A81D05" w:rsidP="000E4C25">
            <w:pPr>
              <w:pStyle w:val="Tabletext"/>
              <w:keepNext/>
              <w:jc w:val="center"/>
              <w:rPr>
                <w:i/>
                <w:iCs/>
              </w:rPr>
            </w:pPr>
            <w:r w:rsidRPr="00B42397">
              <w:rPr>
                <w:i/>
                <w:iCs/>
              </w:rPr>
              <w:t>$</w:t>
            </w:r>
            <w:r w:rsidR="00B51893">
              <w:rPr>
                <w:i/>
                <w:iCs/>
                <w:noProof/>
                <w:color w:val="000000"/>
                <w:highlight w:val="black"/>
              </w:rPr>
              <w:t>'''''''''''''''''''</w:t>
            </w:r>
          </w:p>
        </w:tc>
        <w:tc>
          <w:tcPr>
            <w:tcW w:w="2785" w:type="dxa"/>
          </w:tcPr>
          <w:p w14:paraId="149A859D" w14:textId="77777777" w:rsidR="00A81D05" w:rsidRPr="00B42397" w:rsidRDefault="00A81D05" w:rsidP="000E4C25">
            <w:pPr>
              <w:pStyle w:val="Tabletext"/>
              <w:keepNext/>
            </w:pPr>
            <w:r w:rsidRPr="00B42397">
              <w:t>= J*4 vials or K*3 vials</w:t>
            </w:r>
          </w:p>
        </w:tc>
      </w:tr>
      <w:tr w:rsidR="00A81D05" w:rsidRPr="00B42397" w14:paraId="011D2EA4" w14:textId="77777777" w:rsidTr="00351FF6">
        <w:tc>
          <w:tcPr>
            <w:tcW w:w="564" w:type="dxa"/>
            <w:vMerge/>
          </w:tcPr>
          <w:p w14:paraId="53497F32" w14:textId="77777777" w:rsidR="00A81D05" w:rsidRPr="00B42397" w:rsidRDefault="00A81D05" w:rsidP="000E4C25">
            <w:pPr>
              <w:pStyle w:val="Tabletext"/>
              <w:keepNext/>
              <w:jc w:val="center"/>
              <w:rPr>
                <w:b/>
                <w:bCs/>
              </w:rPr>
            </w:pPr>
          </w:p>
        </w:tc>
        <w:tc>
          <w:tcPr>
            <w:tcW w:w="4023" w:type="dxa"/>
          </w:tcPr>
          <w:p w14:paraId="45A170AA" w14:textId="77777777" w:rsidR="00A81D05" w:rsidRPr="00B42397" w:rsidRDefault="00A81D05" w:rsidP="000E4C25">
            <w:pPr>
              <w:pStyle w:val="Tabletext"/>
              <w:keepNext/>
            </w:pPr>
            <w:r w:rsidRPr="00B42397">
              <w:t>Cost -min weighted DPMA: 1,200 mg</w:t>
            </w:r>
          </w:p>
        </w:tc>
        <w:tc>
          <w:tcPr>
            <w:tcW w:w="1645" w:type="dxa"/>
          </w:tcPr>
          <w:p w14:paraId="5D6BF8E1" w14:textId="77777777" w:rsidR="00A81D05" w:rsidRPr="00B42397" w:rsidRDefault="00A81D05" w:rsidP="000E4C25">
            <w:pPr>
              <w:pStyle w:val="Tabletext"/>
              <w:keepNext/>
              <w:jc w:val="center"/>
              <w:rPr>
                <w:i/>
                <w:iCs/>
              </w:rPr>
            </w:pPr>
            <w:r w:rsidRPr="00B42397">
              <w:rPr>
                <w:i/>
                <w:iCs/>
              </w:rPr>
              <w:t>$</w:t>
            </w:r>
            <w:r w:rsidR="00B51893">
              <w:rPr>
                <w:i/>
                <w:iCs/>
                <w:noProof/>
                <w:color w:val="000000"/>
                <w:highlight w:val="black"/>
              </w:rPr>
              <w:t>'''''''''''''''''''</w:t>
            </w:r>
          </w:p>
        </w:tc>
        <w:tc>
          <w:tcPr>
            <w:tcW w:w="2785" w:type="dxa"/>
          </w:tcPr>
          <w:p w14:paraId="1237C8C0" w14:textId="77777777" w:rsidR="00A81D05" w:rsidRPr="00B42397" w:rsidRDefault="00A81D05" w:rsidP="000E4C25">
            <w:pPr>
              <w:pStyle w:val="Tabletext"/>
              <w:keepNext/>
            </w:pPr>
            <w:r w:rsidRPr="00B42397">
              <w:t>Private/public</w:t>
            </w:r>
          </w:p>
        </w:tc>
      </w:tr>
      <w:tr w:rsidR="00A81D05" w:rsidRPr="00B42397" w14:paraId="20BC613A" w14:textId="77777777" w:rsidTr="00351FF6">
        <w:tc>
          <w:tcPr>
            <w:tcW w:w="564" w:type="dxa"/>
            <w:vMerge/>
          </w:tcPr>
          <w:p w14:paraId="57930897" w14:textId="77777777" w:rsidR="00A81D05" w:rsidRPr="00B42397" w:rsidRDefault="00A81D05" w:rsidP="000E4C25">
            <w:pPr>
              <w:pStyle w:val="Tabletext"/>
              <w:keepNext/>
              <w:jc w:val="center"/>
              <w:rPr>
                <w:b/>
                <w:bCs/>
              </w:rPr>
            </w:pPr>
          </w:p>
        </w:tc>
        <w:tc>
          <w:tcPr>
            <w:tcW w:w="4023" w:type="dxa"/>
          </w:tcPr>
          <w:p w14:paraId="3EBD7FD8" w14:textId="77777777" w:rsidR="00A81D05" w:rsidRPr="00B42397" w:rsidRDefault="00A81D05" w:rsidP="000E4C25">
            <w:pPr>
              <w:pStyle w:val="Tabletext"/>
              <w:keepNext/>
            </w:pPr>
            <w:r w:rsidRPr="00B42397">
              <w:t>Cost-min private DPMA: 1,200 mg</w:t>
            </w:r>
          </w:p>
        </w:tc>
        <w:tc>
          <w:tcPr>
            <w:tcW w:w="1645" w:type="dxa"/>
          </w:tcPr>
          <w:p w14:paraId="06DE517F" w14:textId="77777777" w:rsidR="00A81D05" w:rsidRPr="00B42397" w:rsidRDefault="00A81D05" w:rsidP="000E4C25">
            <w:pPr>
              <w:pStyle w:val="Tabletext"/>
              <w:keepNext/>
              <w:jc w:val="center"/>
              <w:rPr>
                <w:i/>
                <w:iCs/>
              </w:rPr>
            </w:pPr>
            <w:r w:rsidRPr="00B42397">
              <w:rPr>
                <w:i/>
                <w:iCs/>
              </w:rPr>
              <w:t>$</w:t>
            </w:r>
            <w:r w:rsidR="00B51893">
              <w:rPr>
                <w:i/>
                <w:iCs/>
                <w:noProof/>
                <w:color w:val="000000"/>
                <w:highlight w:val="black"/>
              </w:rPr>
              <w:t>''''''''''''''''''''''</w:t>
            </w:r>
          </w:p>
        </w:tc>
        <w:tc>
          <w:tcPr>
            <w:tcW w:w="2785" w:type="dxa"/>
          </w:tcPr>
          <w:p w14:paraId="19E92851" w14:textId="77777777" w:rsidR="00A81D05" w:rsidRPr="00B42397" w:rsidRDefault="00A81D05" w:rsidP="000E4C25">
            <w:pPr>
              <w:pStyle w:val="Tabletext"/>
              <w:keepNext/>
            </w:pPr>
            <w:r w:rsidRPr="00B42397">
              <w:t>70% private hospital</w:t>
            </w:r>
          </w:p>
        </w:tc>
      </w:tr>
      <w:tr w:rsidR="00A81D05" w:rsidRPr="00B42397" w14:paraId="6DD58EF5" w14:textId="77777777" w:rsidTr="00A81D05">
        <w:trPr>
          <w:trHeight w:val="64"/>
        </w:trPr>
        <w:tc>
          <w:tcPr>
            <w:tcW w:w="564" w:type="dxa"/>
            <w:vMerge/>
          </w:tcPr>
          <w:p w14:paraId="75EAB194" w14:textId="77777777" w:rsidR="00A81D05" w:rsidRPr="00B42397" w:rsidRDefault="00A81D05" w:rsidP="000E4C25">
            <w:pPr>
              <w:pStyle w:val="Tabletext"/>
              <w:keepNext/>
              <w:jc w:val="center"/>
              <w:rPr>
                <w:b/>
                <w:bCs/>
              </w:rPr>
            </w:pPr>
          </w:p>
        </w:tc>
        <w:tc>
          <w:tcPr>
            <w:tcW w:w="4023" w:type="dxa"/>
          </w:tcPr>
          <w:p w14:paraId="47AB6DDB" w14:textId="77777777" w:rsidR="00A81D05" w:rsidRPr="00B42397" w:rsidRDefault="00A81D05" w:rsidP="000E4C25">
            <w:pPr>
              <w:pStyle w:val="Tabletext"/>
              <w:keepNext/>
            </w:pPr>
            <w:r w:rsidRPr="00B42397">
              <w:t>Cost-min public DPMA: 1,200 mg</w:t>
            </w:r>
          </w:p>
        </w:tc>
        <w:tc>
          <w:tcPr>
            <w:tcW w:w="1645" w:type="dxa"/>
          </w:tcPr>
          <w:p w14:paraId="16A24467" w14:textId="77777777" w:rsidR="00A81D05" w:rsidRPr="00B42397" w:rsidRDefault="00A81D05" w:rsidP="000E4C25">
            <w:pPr>
              <w:pStyle w:val="Tabletext"/>
              <w:keepNext/>
              <w:jc w:val="center"/>
              <w:rPr>
                <w:i/>
                <w:iCs/>
              </w:rPr>
            </w:pPr>
            <w:r w:rsidRPr="00B42397">
              <w:rPr>
                <w:i/>
                <w:iCs/>
              </w:rPr>
              <w:t>$</w:t>
            </w:r>
            <w:r w:rsidR="00B51893">
              <w:rPr>
                <w:i/>
                <w:iCs/>
                <w:noProof/>
                <w:color w:val="000000"/>
                <w:highlight w:val="black"/>
              </w:rPr>
              <w:t>''''''''''''''''''''</w:t>
            </w:r>
          </w:p>
        </w:tc>
        <w:tc>
          <w:tcPr>
            <w:tcW w:w="2785" w:type="dxa"/>
          </w:tcPr>
          <w:p w14:paraId="6A26CEB9" w14:textId="77777777" w:rsidR="00A81D05" w:rsidRPr="00B42397" w:rsidRDefault="00A81D05" w:rsidP="000E4C25">
            <w:pPr>
              <w:pStyle w:val="Tabletext"/>
              <w:keepNext/>
            </w:pPr>
            <w:r w:rsidRPr="00B42397">
              <w:t>30% public hospital</w:t>
            </w:r>
          </w:p>
        </w:tc>
      </w:tr>
    </w:tbl>
    <w:p w14:paraId="34DA4198" w14:textId="77777777" w:rsidR="005D1318" w:rsidRPr="00B42397" w:rsidRDefault="005D1318" w:rsidP="005D1318">
      <w:pPr>
        <w:pStyle w:val="Tablenotes"/>
        <w:rPr>
          <w:rFonts w:ascii="Arial Narrow" w:hAnsi="Arial Narrow"/>
          <w:i/>
          <w:iCs/>
          <w:sz w:val="18"/>
          <w:szCs w:val="18"/>
        </w:rPr>
      </w:pPr>
      <w:r w:rsidRPr="00B42397">
        <w:rPr>
          <w:rFonts w:ascii="Arial Narrow" w:hAnsi="Arial Narrow"/>
          <w:sz w:val="18"/>
          <w:szCs w:val="18"/>
        </w:rPr>
        <w:t xml:space="preserve">Source: Table 3.4.4 of the submission. </w:t>
      </w:r>
      <w:r w:rsidRPr="00B42397">
        <w:rPr>
          <w:rFonts w:ascii="Arial Narrow" w:hAnsi="Arial Narrow"/>
          <w:i/>
          <w:iCs/>
          <w:sz w:val="18"/>
          <w:szCs w:val="18"/>
        </w:rPr>
        <w:t>Cost in italics was re-estimated based on the updated AHI, preparation fees, MBS item fees and PBS (DPMQ/DPMA) prices for July 2020.</w:t>
      </w:r>
    </w:p>
    <w:p w14:paraId="34132FF9" w14:textId="77777777" w:rsidR="005D1318" w:rsidRPr="00B42397" w:rsidRDefault="005D1318" w:rsidP="00AA2FD8">
      <w:pPr>
        <w:pStyle w:val="Tablenotes"/>
      </w:pPr>
      <w:r w:rsidRPr="00B42397">
        <w:rPr>
          <w:rFonts w:ascii="Arial Narrow" w:hAnsi="Arial Narrow"/>
          <w:iCs/>
          <w:sz w:val="18"/>
          <w:szCs w:val="18"/>
        </w:rPr>
        <w:t xml:space="preserve">AEMP = </w:t>
      </w:r>
      <w:r w:rsidRPr="00B42397">
        <w:rPr>
          <w:rFonts w:ascii="Arial Narrow" w:hAnsi="Arial Narrow"/>
          <w:sz w:val="18"/>
          <w:szCs w:val="18"/>
        </w:rPr>
        <w:t>approved ex-manufacturer’s price</w:t>
      </w:r>
      <w:r w:rsidRPr="00B42397">
        <w:rPr>
          <w:rFonts w:ascii="Arial Narrow" w:hAnsi="Arial Narrow"/>
          <w:iCs/>
          <w:sz w:val="18"/>
          <w:szCs w:val="18"/>
        </w:rPr>
        <w:t xml:space="preserve">; Cd = carfilzomib + dexamethasone; DPMA = dispensed price per maximum amount; </w:t>
      </w:r>
      <w:proofErr w:type="spellStart"/>
      <w:r w:rsidR="00833A74" w:rsidRPr="00B42397">
        <w:rPr>
          <w:rFonts w:ascii="Arial Narrow" w:hAnsi="Arial Narrow"/>
          <w:iCs/>
          <w:sz w:val="18"/>
          <w:szCs w:val="18"/>
        </w:rPr>
        <w:t>ELd</w:t>
      </w:r>
      <w:proofErr w:type="spellEnd"/>
      <w:r w:rsidR="00833A74" w:rsidRPr="00B42397">
        <w:rPr>
          <w:rFonts w:ascii="Arial Narrow" w:hAnsi="Arial Narrow"/>
          <w:iCs/>
          <w:sz w:val="18"/>
          <w:szCs w:val="18"/>
        </w:rPr>
        <w:t xml:space="preserve"> = elotuzumab + lenalidomide + dexamethasone; </w:t>
      </w:r>
      <w:r w:rsidRPr="00B42397">
        <w:rPr>
          <w:rFonts w:ascii="Arial Narrow" w:hAnsi="Arial Narrow"/>
          <w:iCs/>
          <w:sz w:val="18"/>
          <w:szCs w:val="18"/>
        </w:rPr>
        <w:t xml:space="preserve">ex-man = ex-manufacturers price; </w:t>
      </w:r>
      <w:r w:rsidRPr="00B42397">
        <w:rPr>
          <w:rFonts w:ascii="Arial Narrow" w:hAnsi="Arial Narrow"/>
          <w:sz w:val="18"/>
          <w:szCs w:val="18"/>
        </w:rPr>
        <w:t>IV = intravenous infusion; PI</w:t>
      </w:r>
      <w:r w:rsidR="00C75504" w:rsidRPr="00B42397">
        <w:rPr>
          <w:rFonts w:ascii="Arial Narrow" w:hAnsi="Arial Narrow"/>
          <w:sz w:val="18"/>
          <w:szCs w:val="18"/>
        </w:rPr>
        <w:t xml:space="preserve"> </w:t>
      </w:r>
      <w:r w:rsidRPr="00B42397">
        <w:rPr>
          <w:rFonts w:ascii="Arial Narrow" w:hAnsi="Arial Narrow"/>
          <w:sz w:val="18"/>
          <w:szCs w:val="18"/>
        </w:rPr>
        <w:t xml:space="preserve">= product information; TGA = </w:t>
      </w:r>
      <w:r w:rsidR="00C75504" w:rsidRPr="00B42397">
        <w:rPr>
          <w:rFonts w:ascii="Arial Narrow" w:hAnsi="Arial Narrow"/>
          <w:sz w:val="18"/>
          <w:szCs w:val="18"/>
        </w:rPr>
        <w:t>T</w:t>
      </w:r>
      <w:r w:rsidRPr="00B42397">
        <w:rPr>
          <w:rFonts w:ascii="Arial Narrow" w:hAnsi="Arial Narrow"/>
          <w:sz w:val="18"/>
          <w:szCs w:val="18"/>
        </w:rPr>
        <w:t xml:space="preserve">herapeutic </w:t>
      </w:r>
      <w:r w:rsidR="00C75504" w:rsidRPr="00B42397">
        <w:rPr>
          <w:rFonts w:ascii="Arial Narrow" w:hAnsi="Arial Narrow"/>
          <w:sz w:val="18"/>
          <w:szCs w:val="18"/>
        </w:rPr>
        <w:t>G</w:t>
      </w:r>
      <w:r w:rsidRPr="00B42397">
        <w:rPr>
          <w:rFonts w:ascii="Arial Narrow" w:hAnsi="Arial Narrow"/>
          <w:sz w:val="18"/>
          <w:szCs w:val="18"/>
        </w:rPr>
        <w:t xml:space="preserve">oods </w:t>
      </w:r>
      <w:r w:rsidR="00C75504" w:rsidRPr="00B42397">
        <w:rPr>
          <w:rFonts w:ascii="Arial Narrow" w:hAnsi="Arial Narrow"/>
          <w:sz w:val="18"/>
          <w:szCs w:val="18"/>
        </w:rPr>
        <w:t>A</w:t>
      </w:r>
      <w:r w:rsidRPr="00B42397">
        <w:rPr>
          <w:rFonts w:ascii="Arial Narrow" w:hAnsi="Arial Narrow"/>
          <w:sz w:val="18"/>
          <w:szCs w:val="18"/>
        </w:rPr>
        <w:t>dministration.</w:t>
      </w:r>
    </w:p>
    <w:p w14:paraId="5F242F6F" w14:textId="77777777" w:rsidR="00351FF6" w:rsidRPr="00B42397" w:rsidRDefault="00351FF6" w:rsidP="00351BD8">
      <w:pPr>
        <w:pStyle w:val="3-BodyText"/>
        <w:rPr>
          <w:iCs/>
        </w:rPr>
      </w:pPr>
      <w:r w:rsidRPr="00B42397">
        <w:rPr>
          <w:iCs/>
        </w:rPr>
        <w:lastRenderedPageBreak/>
        <w:t>Applying the effective AEMPs of the comparators as the basis for the cost-minimisation, the AEMP for elotuzumab was $</w:t>
      </w:r>
      <w:r w:rsidR="00B51893">
        <w:rPr>
          <w:iCs/>
          <w:noProof/>
          <w:color w:val="000000"/>
          <w:highlight w:val="black"/>
        </w:rPr>
        <w:t>'''''''''''''''</w:t>
      </w:r>
      <w:r w:rsidRPr="00B42397">
        <w:rPr>
          <w:iCs/>
        </w:rPr>
        <w:t xml:space="preserve"> per 1,200 mg, with DPMA of $</w:t>
      </w:r>
      <w:r w:rsidR="00B51893">
        <w:rPr>
          <w:iCs/>
          <w:noProof/>
          <w:color w:val="000000"/>
          <w:highlight w:val="black"/>
        </w:rPr>
        <w:t>'''''''''''''''</w:t>
      </w:r>
      <w:r w:rsidRPr="00B42397">
        <w:rPr>
          <w:iCs/>
        </w:rPr>
        <w:t xml:space="preserve"> (private) and $</w:t>
      </w:r>
      <w:r w:rsidR="00B51893">
        <w:rPr>
          <w:iCs/>
          <w:noProof/>
          <w:color w:val="000000"/>
          <w:highlight w:val="black"/>
        </w:rPr>
        <w:t>''''''''''''''''''</w:t>
      </w:r>
      <w:r w:rsidRPr="00B42397">
        <w:rPr>
          <w:iCs/>
        </w:rPr>
        <w:t xml:space="preserve"> (public). </w:t>
      </w:r>
    </w:p>
    <w:p w14:paraId="0A3C9636" w14:textId="77777777" w:rsidR="008E4A1A" w:rsidRPr="00B42397" w:rsidRDefault="00C45BDA" w:rsidP="008E4A1A">
      <w:pPr>
        <w:pStyle w:val="3-BodyText"/>
        <w:rPr>
          <w:iCs/>
        </w:rPr>
      </w:pPr>
      <w:r w:rsidRPr="00B42397">
        <w:rPr>
          <w:iCs/>
        </w:rPr>
        <w:t xml:space="preserve">The results of </w:t>
      </w:r>
      <w:r w:rsidR="008E4A1A" w:rsidRPr="00B42397">
        <w:rPr>
          <w:iCs/>
        </w:rPr>
        <w:t xml:space="preserve">sensitivity analyses </w:t>
      </w:r>
      <w:r w:rsidRPr="00B42397">
        <w:rPr>
          <w:iCs/>
        </w:rPr>
        <w:t>are pr</w:t>
      </w:r>
      <w:r w:rsidR="00A81D05" w:rsidRPr="00B42397">
        <w:rPr>
          <w:iCs/>
        </w:rPr>
        <w:t>esented</w:t>
      </w:r>
      <w:r w:rsidRPr="00B42397">
        <w:rPr>
          <w:iCs/>
        </w:rPr>
        <w:t xml:space="preserve"> in </w:t>
      </w:r>
      <w:r w:rsidR="008E4A1A" w:rsidRPr="00B42397">
        <w:rPr>
          <w:iCs/>
        </w:rPr>
        <w:t>Table 1</w:t>
      </w:r>
      <w:r w:rsidR="005D1318" w:rsidRPr="00B42397">
        <w:rPr>
          <w:iCs/>
        </w:rPr>
        <w:t>2</w:t>
      </w:r>
      <w:r w:rsidR="008E4A1A" w:rsidRPr="00B42397">
        <w:rPr>
          <w:iCs/>
        </w:rPr>
        <w:t>.</w:t>
      </w:r>
      <w:r w:rsidR="00BF43CE" w:rsidRPr="00B42397">
        <w:rPr>
          <w:iCs/>
        </w:rPr>
        <w:t xml:space="preserve"> </w:t>
      </w:r>
    </w:p>
    <w:p w14:paraId="515B43C6" w14:textId="77777777" w:rsidR="008E4A1A" w:rsidRPr="00B42397" w:rsidRDefault="008E4A1A" w:rsidP="000E4C25">
      <w:pPr>
        <w:keepNext/>
        <w:rPr>
          <w:rFonts w:ascii="Arial Narrow" w:hAnsi="Arial Narrow"/>
          <w:b/>
          <w:bCs/>
          <w:sz w:val="20"/>
          <w:szCs w:val="20"/>
        </w:rPr>
      </w:pPr>
      <w:r w:rsidRPr="00B42397">
        <w:rPr>
          <w:rFonts w:ascii="Arial Narrow" w:hAnsi="Arial Narrow"/>
          <w:b/>
          <w:bCs/>
          <w:sz w:val="20"/>
          <w:szCs w:val="20"/>
        </w:rPr>
        <w:t>Table 1</w:t>
      </w:r>
      <w:r w:rsidR="005D1318" w:rsidRPr="00B42397">
        <w:rPr>
          <w:rFonts w:ascii="Arial Narrow" w:hAnsi="Arial Narrow"/>
          <w:b/>
          <w:bCs/>
          <w:sz w:val="20"/>
          <w:szCs w:val="20"/>
        </w:rPr>
        <w:t>2</w:t>
      </w:r>
      <w:r w:rsidRPr="00B42397">
        <w:rPr>
          <w:rFonts w:ascii="Arial Narrow" w:hAnsi="Arial Narrow"/>
          <w:b/>
          <w:bCs/>
          <w:sz w:val="20"/>
          <w:szCs w:val="20"/>
        </w:rPr>
        <w:t>:</w:t>
      </w:r>
      <w:r w:rsidR="009F1C54" w:rsidRPr="00B42397">
        <w:rPr>
          <w:rFonts w:ascii="Arial Narrow" w:hAnsi="Arial Narrow"/>
          <w:b/>
          <w:bCs/>
          <w:sz w:val="20"/>
          <w:szCs w:val="20"/>
        </w:rPr>
        <w:t xml:space="preserve"> Sensitivity analyse</w:t>
      </w:r>
      <w:r w:rsidRPr="00B42397">
        <w:rPr>
          <w:rFonts w:ascii="Arial Narrow" w:hAnsi="Arial Narrow"/>
          <w:b/>
          <w:bCs/>
          <w:sz w:val="20"/>
          <w:szCs w:val="20"/>
        </w:rPr>
        <w:t xml:space="preserve">s </w:t>
      </w:r>
      <w:r w:rsidR="009F1C54" w:rsidRPr="00B42397">
        <w:rPr>
          <w:rFonts w:ascii="Arial Narrow" w:hAnsi="Arial Narrow"/>
          <w:b/>
          <w:bCs/>
          <w:sz w:val="20"/>
          <w:szCs w:val="20"/>
        </w:rPr>
        <w:t xml:space="preserve">(based on CMA using the effective AEMPs of lenalidomide, carfilzomib and dexamethasone) </w:t>
      </w:r>
    </w:p>
    <w:tbl>
      <w:tblPr>
        <w:tblStyle w:val="TableGrid"/>
        <w:tblW w:w="5000" w:type="pct"/>
        <w:tblLook w:val="04A0" w:firstRow="1" w:lastRow="0" w:firstColumn="1" w:lastColumn="0" w:noHBand="0" w:noVBand="1"/>
        <w:tblCaption w:val="Table 12: Sensitivity analyses (based on CMA using the effective AEMPs of lenalidomide, carfilzomib and dexamethasone) "/>
      </w:tblPr>
      <w:tblGrid>
        <w:gridCol w:w="6373"/>
        <w:gridCol w:w="2644"/>
      </w:tblGrid>
      <w:tr w:rsidR="00AA7B4C" w:rsidRPr="00B42397" w14:paraId="32AE2AAC" w14:textId="77777777" w:rsidTr="009F1C54">
        <w:trPr>
          <w:tblHeader/>
        </w:trPr>
        <w:tc>
          <w:tcPr>
            <w:tcW w:w="3534" w:type="pct"/>
            <w:hideMark/>
          </w:tcPr>
          <w:p w14:paraId="3543D893" w14:textId="77777777" w:rsidR="00AA7B4C" w:rsidRPr="00B42397" w:rsidRDefault="00AA7B4C" w:rsidP="000E4C25">
            <w:pPr>
              <w:pStyle w:val="Tabletext"/>
              <w:keepNext/>
              <w:rPr>
                <w:b/>
                <w:bCs/>
                <w:szCs w:val="20"/>
              </w:rPr>
            </w:pPr>
            <w:r w:rsidRPr="00B42397">
              <w:rPr>
                <w:b/>
                <w:bCs/>
                <w:szCs w:val="20"/>
              </w:rPr>
              <w:t>Parameter</w:t>
            </w:r>
          </w:p>
        </w:tc>
        <w:tc>
          <w:tcPr>
            <w:tcW w:w="1466" w:type="pct"/>
            <w:hideMark/>
          </w:tcPr>
          <w:p w14:paraId="06D84A7C" w14:textId="77777777" w:rsidR="00AA7B4C" w:rsidRPr="00B42397" w:rsidRDefault="009F1C54" w:rsidP="000E4C25">
            <w:pPr>
              <w:pStyle w:val="Tabletext"/>
              <w:keepNext/>
              <w:jc w:val="center"/>
              <w:rPr>
                <w:b/>
                <w:bCs/>
                <w:szCs w:val="20"/>
              </w:rPr>
            </w:pPr>
            <w:r w:rsidRPr="00B42397">
              <w:rPr>
                <w:b/>
                <w:bCs/>
                <w:szCs w:val="20"/>
              </w:rPr>
              <w:t>AEMP for 1,200 mg elotuzumab</w:t>
            </w:r>
          </w:p>
        </w:tc>
      </w:tr>
      <w:tr w:rsidR="00AA7B4C" w:rsidRPr="00B42397" w14:paraId="3FD760A0" w14:textId="77777777" w:rsidTr="009F1C54">
        <w:tc>
          <w:tcPr>
            <w:tcW w:w="3534" w:type="pct"/>
          </w:tcPr>
          <w:p w14:paraId="5EA7E817" w14:textId="77777777" w:rsidR="00AA7B4C" w:rsidRPr="00B42397" w:rsidRDefault="00AA7B4C" w:rsidP="000E4C25">
            <w:pPr>
              <w:pStyle w:val="Tabletext"/>
              <w:keepNext/>
              <w:rPr>
                <w:szCs w:val="20"/>
              </w:rPr>
            </w:pPr>
            <w:r w:rsidRPr="00B42397">
              <w:rPr>
                <w:szCs w:val="20"/>
              </w:rPr>
              <w:t>Base case</w:t>
            </w:r>
            <w:r w:rsidR="00A81D05" w:rsidRPr="00B42397">
              <w:rPr>
                <w:szCs w:val="20"/>
              </w:rPr>
              <w:t xml:space="preserve">: </w:t>
            </w:r>
          </w:p>
        </w:tc>
        <w:tc>
          <w:tcPr>
            <w:tcW w:w="1466" w:type="pct"/>
          </w:tcPr>
          <w:p w14:paraId="6A7FB1DD" w14:textId="77777777" w:rsidR="00AA7B4C" w:rsidRPr="00B51893" w:rsidRDefault="00B51893" w:rsidP="000E4C25">
            <w:pPr>
              <w:pStyle w:val="Tabletext"/>
              <w:keepNext/>
              <w:jc w:val="center"/>
              <w:rPr>
                <w:iCs/>
                <w:szCs w:val="20"/>
                <w:highlight w:val="black"/>
              </w:rPr>
            </w:pPr>
            <w:r>
              <w:rPr>
                <w:iCs/>
                <w:noProof/>
                <w:color w:val="000000"/>
                <w:szCs w:val="20"/>
                <w:highlight w:val="black"/>
              </w:rPr>
              <w:t>''''''''''''''''''''''''</w:t>
            </w:r>
          </w:p>
        </w:tc>
      </w:tr>
      <w:tr w:rsidR="009F1C54" w:rsidRPr="00B42397" w14:paraId="2DB440E0" w14:textId="77777777" w:rsidTr="009F1C54">
        <w:tc>
          <w:tcPr>
            <w:tcW w:w="5000" w:type="pct"/>
            <w:gridSpan w:val="2"/>
          </w:tcPr>
          <w:p w14:paraId="44A29ED6" w14:textId="77777777" w:rsidR="009F1C54" w:rsidRPr="00B42397" w:rsidRDefault="009F1C54" w:rsidP="000E4C25">
            <w:pPr>
              <w:pStyle w:val="Tabletext"/>
              <w:keepNext/>
              <w:rPr>
                <w:iCs/>
                <w:szCs w:val="20"/>
              </w:rPr>
            </w:pPr>
            <w:r w:rsidRPr="00B42397">
              <w:rPr>
                <w:szCs w:val="20"/>
              </w:rPr>
              <w:t xml:space="preserve">Altering DIs for </w:t>
            </w:r>
            <w:proofErr w:type="spellStart"/>
            <w:r w:rsidR="001F5659" w:rsidRPr="00B42397">
              <w:rPr>
                <w:szCs w:val="20"/>
              </w:rPr>
              <w:t>ELd</w:t>
            </w:r>
            <w:proofErr w:type="spellEnd"/>
            <w:r w:rsidRPr="00B42397">
              <w:rPr>
                <w:szCs w:val="20"/>
              </w:rPr>
              <w:t xml:space="preserve"> (base case: based on median doses from Cycle 3 onwa</w:t>
            </w:r>
            <w:r w:rsidR="00833A74" w:rsidRPr="00B42397">
              <w:rPr>
                <w:szCs w:val="20"/>
              </w:rPr>
              <w:t>r</w:t>
            </w:r>
            <w:r w:rsidR="001F5659" w:rsidRPr="00B42397">
              <w:rPr>
                <w:szCs w:val="20"/>
              </w:rPr>
              <w:t>d</w:t>
            </w:r>
            <w:r w:rsidRPr="00B42397">
              <w:rPr>
                <w:szCs w:val="20"/>
              </w:rPr>
              <w:t>s)</w:t>
            </w:r>
          </w:p>
        </w:tc>
      </w:tr>
      <w:tr w:rsidR="00AA7B4C" w:rsidRPr="00B42397" w14:paraId="74C45E71" w14:textId="77777777" w:rsidTr="009F1C54">
        <w:tc>
          <w:tcPr>
            <w:tcW w:w="3534" w:type="pct"/>
          </w:tcPr>
          <w:p w14:paraId="77298FA3" w14:textId="77777777" w:rsidR="00AA7B4C" w:rsidRPr="00B42397" w:rsidRDefault="00A81D05" w:rsidP="000E4C25">
            <w:pPr>
              <w:pStyle w:val="Tabletext"/>
              <w:keepNext/>
              <w:rPr>
                <w:szCs w:val="20"/>
              </w:rPr>
            </w:pPr>
            <w:r w:rsidRPr="00B42397">
              <w:rPr>
                <w:szCs w:val="20"/>
              </w:rPr>
              <w:t xml:space="preserve">   DIs for </w:t>
            </w:r>
            <w:proofErr w:type="spellStart"/>
            <w:r w:rsidR="001F5659" w:rsidRPr="00B42397">
              <w:rPr>
                <w:szCs w:val="20"/>
              </w:rPr>
              <w:t>ELd</w:t>
            </w:r>
            <w:proofErr w:type="spellEnd"/>
            <w:r w:rsidRPr="00B42397">
              <w:rPr>
                <w:szCs w:val="20"/>
              </w:rPr>
              <w:t xml:space="preserve"> based on mean</w:t>
            </w:r>
            <w:r w:rsidR="009F1C54" w:rsidRPr="00B42397">
              <w:rPr>
                <w:szCs w:val="20"/>
              </w:rPr>
              <w:t xml:space="preserve"> doses</w:t>
            </w:r>
            <w:r w:rsidRPr="00B42397">
              <w:rPr>
                <w:szCs w:val="20"/>
              </w:rPr>
              <w:t xml:space="preserve"> from Cycle 3 </w:t>
            </w:r>
            <w:r w:rsidR="008B5E0D" w:rsidRPr="00B42397">
              <w:rPr>
                <w:szCs w:val="20"/>
              </w:rPr>
              <w:t>onwards</w:t>
            </w:r>
          </w:p>
        </w:tc>
        <w:tc>
          <w:tcPr>
            <w:tcW w:w="1466" w:type="pct"/>
          </w:tcPr>
          <w:p w14:paraId="10785E3F" w14:textId="77777777" w:rsidR="00AA7B4C" w:rsidRPr="00B51893" w:rsidRDefault="00B51893" w:rsidP="000E4C25">
            <w:pPr>
              <w:pStyle w:val="Tabletext"/>
              <w:keepNext/>
              <w:jc w:val="center"/>
              <w:rPr>
                <w:iCs/>
                <w:szCs w:val="20"/>
                <w:highlight w:val="black"/>
              </w:rPr>
            </w:pPr>
            <w:r>
              <w:rPr>
                <w:iCs/>
                <w:noProof/>
                <w:color w:val="000000"/>
                <w:szCs w:val="20"/>
                <w:highlight w:val="black"/>
              </w:rPr>
              <w:t>'''''''''''''''''''''''''</w:t>
            </w:r>
          </w:p>
        </w:tc>
      </w:tr>
      <w:tr w:rsidR="00AA7B4C" w:rsidRPr="00B42397" w14:paraId="12AC0D81" w14:textId="77777777" w:rsidTr="009F1C54">
        <w:tc>
          <w:tcPr>
            <w:tcW w:w="3534" w:type="pct"/>
          </w:tcPr>
          <w:p w14:paraId="2C6800CD" w14:textId="77777777" w:rsidR="00AA7B4C" w:rsidRPr="00B42397" w:rsidRDefault="00A81D05" w:rsidP="000E4C25">
            <w:pPr>
              <w:pStyle w:val="Tabletext"/>
              <w:keepNext/>
              <w:rPr>
                <w:szCs w:val="20"/>
              </w:rPr>
            </w:pPr>
            <w:r w:rsidRPr="00B42397">
              <w:rPr>
                <w:szCs w:val="20"/>
              </w:rPr>
              <w:t xml:space="preserve">   DIs for </w:t>
            </w:r>
            <w:proofErr w:type="spellStart"/>
            <w:r w:rsidR="001F5659" w:rsidRPr="00B42397">
              <w:rPr>
                <w:szCs w:val="20"/>
              </w:rPr>
              <w:t>ELd</w:t>
            </w:r>
            <w:proofErr w:type="spellEnd"/>
            <w:r w:rsidRPr="00B42397">
              <w:rPr>
                <w:szCs w:val="20"/>
              </w:rPr>
              <w:t xml:space="preserve"> based on me</w:t>
            </w:r>
            <w:r w:rsidR="00AA7B4C" w:rsidRPr="00B42397">
              <w:rPr>
                <w:szCs w:val="20"/>
              </w:rPr>
              <w:t>dian</w:t>
            </w:r>
            <w:r w:rsidR="009F1C54" w:rsidRPr="00B42397">
              <w:rPr>
                <w:szCs w:val="20"/>
              </w:rPr>
              <w:t xml:space="preserve"> dose</w:t>
            </w:r>
            <w:r w:rsidRPr="00B42397">
              <w:rPr>
                <w:szCs w:val="20"/>
              </w:rPr>
              <w:t>s from</w:t>
            </w:r>
            <w:r w:rsidR="00AA7B4C" w:rsidRPr="00B42397">
              <w:rPr>
                <w:szCs w:val="20"/>
              </w:rPr>
              <w:t xml:space="preserve"> all </w:t>
            </w:r>
            <w:proofErr w:type="spellStart"/>
            <w:r w:rsidR="00AA7B4C" w:rsidRPr="00B42397">
              <w:rPr>
                <w:szCs w:val="20"/>
              </w:rPr>
              <w:t>cycles</w:t>
            </w:r>
            <w:r w:rsidR="00CD2157" w:rsidRPr="00B42397">
              <w:rPr>
                <w:szCs w:val="20"/>
                <w:vertAlign w:val="superscript"/>
              </w:rPr>
              <w:t>b</w:t>
            </w:r>
            <w:proofErr w:type="spellEnd"/>
          </w:p>
        </w:tc>
        <w:tc>
          <w:tcPr>
            <w:tcW w:w="1466" w:type="pct"/>
          </w:tcPr>
          <w:p w14:paraId="2CF373BE" w14:textId="77777777" w:rsidR="00AA7B4C" w:rsidRPr="00B51893" w:rsidRDefault="00B51893" w:rsidP="000E4C25">
            <w:pPr>
              <w:pStyle w:val="Tabletext"/>
              <w:keepNext/>
              <w:jc w:val="center"/>
              <w:rPr>
                <w:iCs/>
                <w:szCs w:val="20"/>
                <w:highlight w:val="black"/>
              </w:rPr>
            </w:pPr>
            <w:r>
              <w:rPr>
                <w:iCs/>
                <w:noProof/>
                <w:color w:val="000000"/>
                <w:szCs w:val="20"/>
                <w:highlight w:val="black"/>
              </w:rPr>
              <w:t>'''''''''''''''''''''''</w:t>
            </w:r>
          </w:p>
        </w:tc>
      </w:tr>
      <w:tr w:rsidR="00AA7B4C" w:rsidRPr="00B42397" w14:paraId="34B5B376" w14:textId="77777777" w:rsidTr="009F1C54">
        <w:tc>
          <w:tcPr>
            <w:tcW w:w="3534" w:type="pct"/>
          </w:tcPr>
          <w:p w14:paraId="6D8EBA4B" w14:textId="77777777" w:rsidR="00AA7B4C" w:rsidRPr="00B42397" w:rsidRDefault="00A81D05" w:rsidP="000E4C25">
            <w:pPr>
              <w:pStyle w:val="Tabletext"/>
              <w:keepNext/>
              <w:rPr>
                <w:szCs w:val="20"/>
              </w:rPr>
            </w:pPr>
            <w:r w:rsidRPr="00B42397">
              <w:rPr>
                <w:szCs w:val="20"/>
              </w:rPr>
              <w:t xml:space="preserve">   DIs for </w:t>
            </w:r>
            <w:proofErr w:type="spellStart"/>
            <w:r w:rsidR="001F5659" w:rsidRPr="00B42397">
              <w:rPr>
                <w:szCs w:val="20"/>
              </w:rPr>
              <w:t>ELd</w:t>
            </w:r>
            <w:proofErr w:type="spellEnd"/>
            <w:r w:rsidRPr="00B42397">
              <w:rPr>
                <w:szCs w:val="20"/>
              </w:rPr>
              <w:t xml:space="preserve"> based on mean</w:t>
            </w:r>
            <w:r w:rsidR="009F1C54" w:rsidRPr="00B42397">
              <w:rPr>
                <w:szCs w:val="20"/>
              </w:rPr>
              <w:t xml:space="preserve"> dose</w:t>
            </w:r>
            <w:r w:rsidRPr="00B42397">
              <w:rPr>
                <w:szCs w:val="20"/>
              </w:rPr>
              <w:t>s from a</w:t>
            </w:r>
            <w:r w:rsidR="00AA7B4C" w:rsidRPr="00B42397">
              <w:rPr>
                <w:szCs w:val="20"/>
              </w:rPr>
              <w:t xml:space="preserve">ll </w:t>
            </w:r>
            <w:proofErr w:type="spellStart"/>
            <w:r w:rsidR="00AA7B4C" w:rsidRPr="00B42397">
              <w:rPr>
                <w:szCs w:val="20"/>
              </w:rPr>
              <w:t>cycle</w:t>
            </w:r>
            <w:r w:rsidR="00CD2157" w:rsidRPr="00B42397">
              <w:rPr>
                <w:szCs w:val="20"/>
              </w:rPr>
              <w:t>s</w:t>
            </w:r>
            <w:r w:rsidR="00CD2157" w:rsidRPr="00B42397">
              <w:rPr>
                <w:szCs w:val="20"/>
                <w:vertAlign w:val="superscript"/>
              </w:rPr>
              <w:t>c</w:t>
            </w:r>
            <w:proofErr w:type="spellEnd"/>
          </w:p>
        </w:tc>
        <w:tc>
          <w:tcPr>
            <w:tcW w:w="1466" w:type="pct"/>
          </w:tcPr>
          <w:p w14:paraId="178DC470" w14:textId="77777777" w:rsidR="00AA7B4C" w:rsidRPr="00B51893" w:rsidRDefault="00B51893" w:rsidP="000E4C25">
            <w:pPr>
              <w:pStyle w:val="Tabletext"/>
              <w:keepNext/>
              <w:jc w:val="center"/>
              <w:rPr>
                <w:iCs/>
                <w:szCs w:val="20"/>
                <w:highlight w:val="black"/>
              </w:rPr>
            </w:pPr>
            <w:r>
              <w:rPr>
                <w:iCs/>
                <w:noProof/>
                <w:color w:val="000000"/>
                <w:szCs w:val="20"/>
                <w:highlight w:val="black"/>
              </w:rPr>
              <w:t>'''''''''''''''''''''''</w:t>
            </w:r>
          </w:p>
        </w:tc>
      </w:tr>
      <w:tr w:rsidR="000E4C25" w:rsidRPr="00B42397" w14:paraId="10FB130B" w14:textId="77777777" w:rsidTr="000E4C25">
        <w:tc>
          <w:tcPr>
            <w:tcW w:w="5000" w:type="pct"/>
            <w:gridSpan w:val="2"/>
          </w:tcPr>
          <w:p w14:paraId="39B2873D" w14:textId="77777777" w:rsidR="000E4C25" w:rsidRPr="00B42397" w:rsidRDefault="000E4C25" w:rsidP="000E4C25">
            <w:pPr>
              <w:pStyle w:val="Tabletext"/>
              <w:keepNext/>
              <w:rPr>
                <w:iCs/>
                <w:szCs w:val="20"/>
              </w:rPr>
            </w:pPr>
            <w:r w:rsidRPr="00B42397">
              <w:rPr>
                <w:szCs w:val="20"/>
              </w:rPr>
              <w:t xml:space="preserve">Altering </w:t>
            </w:r>
            <w:r w:rsidR="00833A74" w:rsidRPr="00B42397">
              <w:rPr>
                <w:szCs w:val="20"/>
              </w:rPr>
              <w:t>R</w:t>
            </w:r>
            <w:r w:rsidR="001F5659" w:rsidRPr="00B42397">
              <w:rPr>
                <w:szCs w:val="20"/>
              </w:rPr>
              <w:t>D</w:t>
            </w:r>
            <w:r w:rsidRPr="00B42397">
              <w:rPr>
                <w:szCs w:val="20"/>
              </w:rPr>
              <w:t>Is for Cd (base case = 91%)</w:t>
            </w:r>
          </w:p>
        </w:tc>
      </w:tr>
      <w:tr w:rsidR="00AA7B4C" w:rsidRPr="00B42397" w14:paraId="6F0E63C5" w14:textId="77777777" w:rsidTr="000E4C25">
        <w:tc>
          <w:tcPr>
            <w:tcW w:w="3534" w:type="pct"/>
          </w:tcPr>
          <w:p w14:paraId="0B164559" w14:textId="77777777" w:rsidR="00AA7B4C" w:rsidRPr="00B42397" w:rsidRDefault="009F1C54" w:rsidP="000E4C25">
            <w:pPr>
              <w:pStyle w:val="Tabletext"/>
              <w:keepNext/>
              <w:rPr>
                <w:szCs w:val="20"/>
              </w:rPr>
            </w:pPr>
            <w:r w:rsidRPr="00B42397">
              <w:rPr>
                <w:szCs w:val="20"/>
              </w:rPr>
              <w:t xml:space="preserve">   </w:t>
            </w:r>
            <w:r w:rsidR="00833A74" w:rsidRPr="00B42397">
              <w:rPr>
                <w:szCs w:val="20"/>
              </w:rPr>
              <w:t>R</w:t>
            </w:r>
            <w:r w:rsidR="001F5659" w:rsidRPr="00B42397">
              <w:rPr>
                <w:szCs w:val="20"/>
              </w:rPr>
              <w:t>D</w:t>
            </w:r>
            <w:r w:rsidR="00AA7B4C" w:rsidRPr="00B42397">
              <w:rPr>
                <w:szCs w:val="20"/>
              </w:rPr>
              <w:t>I for Cd</w:t>
            </w:r>
            <w:r w:rsidRPr="00B42397">
              <w:rPr>
                <w:szCs w:val="20"/>
              </w:rPr>
              <w:t xml:space="preserve"> = 93%</w:t>
            </w:r>
            <w:r w:rsidR="00CD2157" w:rsidRPr="00B42397">
              <w:rPr>
                <w:szCs w:val="20"/>
                <w:vertAlign w:val="superscript"/>
              </w:rPr>
              <w:t>d</w:t>
            </w:r>
            <w:r w:rsidR="00AA7B4C" w:rsidRPr="00B42397">
              <w:rPr>
                <w:szCs w:val="20"/>
              </w:rPr>
              <w:t xml:space="preserve"> (from earlier data cut with OS median follow up of 12.5 months</w:t>
            </w:r>
            <w:r w:rsidRPr="00B42397">
              <w:rPr>
                <w:szCs w:val="20"/>
              </w:rPr>
              <w:t xml:space="preserve">; </w:t>
            </w:r>
            <w:r w:rsidRPr="00B42397">
              <w:rPr>
                <w:szCs w:val="20"/>
              </w:rPr>
              <w:br/>
              <w:t xml:space="preserve">   m</w:t>
            </w:r>
            <w:r w:rsidR="00AA7B4C" w:rsidRPr="00B42397">
              <w:rPr>
                <w:szCs w:val="20"/>
              </w:rPr>
              <w:t xml:space="preserve">edian </w:t>
            </w:r>
            <w:r w:rsidRPr="00B42397">
              <w:rPr>
                <w:szCs w:val="20"/>
              </w:rPr>
              <w:t>DOT of</w:t>
            </w:r>
            <w:r w:rsidR="00AA7B4C" w:rsidRPr="00B42397">
              <w:rPr>
                <w:szCs w:val="20"/>
              </w:rPr>
              <w:t xml:space="preserve"> 39.9 weeks)</w:t>
            </w:r>
          </w:p>
        </w:tc>
        <w:tc>
          <w:tcPr>
            <w:tcW w:w="1466" w:type="pct"/>
            <w:vAlign w:val="center"/>
          </w:tcPr>
          <w:p w14:paraId="706F0B38" w14:textId="77777777" w:rsidR="00AA7B4C" w:rsidRPr="00B51893" w:rsidRDefault="00B51893" w:rsidP="000E4C25">
            <w:pPr>
              <w:pStyle w:val="Tabletext"/>
              <w:keepNext/>
              <w:jc w:val="center"/>
              <w:rPr>
                <w:iCs/>
                <w:szCs w:val="20"/>
                <w:highlight w:val="black"/>
              </w:rPr>
            </w:pPr>
            <w:r>
              <w:rPr>
                <w:iCs/>
                <w:noProof/>
                <w:color w:val="000000"/>
                <w:szCs w:val="20"/>
                <w:highlight w:val="black"/>
              </w:rPr>
              <w:t>'''''''''''''''''''''</w:t>
            </w:r>
          </w:p>
        </w:tc>
      </w:tr>
      <w:tr w:rsidR="00AA7B4C" w:rsidRPr="00B42397" w14:paraId="42133198" w14:textId="77777777" w:rsidTr="009F1C54">
        <w:tc>
          <w:tcPr>
            <w:tcW w:w="3534" w:type="pct"/>
          </w:tcPr>
          <w:p w14:paraId="1616634C" w14:textId="77777777" w:rsidR="00AA7B4C" w:rsidRPr="00B42397" w:rsidRDefault="00AA7B4C" w:rsidP="000E4C25">
            <w:pPr>
              <w:pStyle w:val="Tabletext"/>
              <w:keepNext/>
              <w:rPr>
                <w:szCs w:val="20"/>
              </w:rPr>
            </w:pPr>
            <w:r w:rsidRPr="00B42397">
              <w:rPr>
                <w:szCs w:val="20"/>
              </w:rPr>
              <w:t xml:space="preserve">Excluding cost offsets </w:t>
            </w:r>
            <w:r w:rsidR="00A070C1" w:rsidRPr="00B42397">
              <w:rPr>
                <w:szCs w:val="20"/>
              </w:rPr>
              <w:t>(</w:t>
            </w:r>
            <w:r w:rsidR="0083519D" w:rsidRPr="00B42397">
              <w:rPr>
                <w:szCs w:val="20"/>
              </w:rPr>
              <w:t>safety and concomitant treatment)</w:t>
            </w:r>
          </w:p>
        </w:tc>
        <w:tc>
          <w:tcPr>
            <w:tcW w:w="1466" w:type="pct"/>
          </w:tcPr>
          <w:p w14:paraId="73EC0F48" w14:textId="77777777" w:rsidR="00AA7B4C" w:rsidRPr="00B51893" w:rsidRDefault="00B51893" w:rsidP="000E4C25">
            <w:pPr>
              <w:pStyle w:val="Tabletext"/>
              <w:keepNext/>
              <w:jc w:val="center"/>
              <w:rPr>
                <w:iCs/>
                <w:szCs w:val="20"/>
                <w:highlight w:val="black"/>
              </w:rPr>
            </w:pPr>
            <w:r>
              <w:rPr>
                <w:iCs/>
                <w:noProof/>
                <w:color w:val="000000"/>
                <w:szCs w:val="20"/>
                <w:highlight w:val="black"/>
              </w:rPr>
              <w:t>'''''''''''''''''''''</w:t>
            </w:r>
          </w:p>
        </w:tc>
      </w:tr>
      <w:tr w:rsidR="00597FE5" w:rsidRPr="00B42397" w14:paraId="6210F27E" w14:textId="77777777" w:rsidTr="009F1C54">
        <w:tc>
          <w:tcPr>
            <w:tcW w:w="3534" w:type="pct"/>
          </w:tcPr>
          <w:p w14:paraId="7562788B" w14:textId="77777777" w:rsidR="00597FE5" w:rsidRPr="00B42397" w:rsidRDefault="00597FE5" w:rsidP="000E4C25">
            <w:pPr>
              <w:pStyle w:val="Tabletext"/>
              <w:keepNext/>
              <w:rPr>
                <w:szCs w:val="20"/>
              </w:rPr>
            </w:pPr>
            <w:r w:rsidRPr="00B42397">
              <w:rPr>
                <w:szCs w:val="20"/>
              </w:rPr>
              <w:t xml:space="preserve">Incorporating </w:t>
            </w:r>
            <w:r w:rsidR="009F1C54" w:rsidRPr="00B42397">
              <w:rPr>
                <w:szCs w:val="20"/>
              </w:rPr>
              <w:t xml:space="preserve">DOT of </w:t>
            </w:r>
            <w:proofErr w:type="spellStart"/>
            <w:r w:rsidR="001F5659" w:rsidRPr="00B42397">
              <w:rPr>
                <w:szCs w:val="20"/>
              </w:rPr>
              <w:t>ELd</w:t>
            </w:r>
            <w:proofErr w:type="spellEnd"/>
            <w:r w:rsidRPr="00B42397">
              <w:rPr>
                <w:szCs w:val="20"/>
              </w:rPr>
              <w:t xml:space="preserve"> and </w:t>
            </w:r>
            <w:proofErr w:type="spellStart"/>
            <w:r w:rsidRPr="00B42397">
              <w:rPr>
                <w:szCs w:val="20"/>
              </w:rPr>
              <w:t>Cd</w:t>
            </w:r>
            <w:r w:rsidRPr="00B42397">
              <w:rPr>
                <w:szCs w:val="20"/>
                <w:vertAlign w:val="superscript"/>
              </w:rPr>
              <w:t>e</w:t>
            </w:r>
            <w:proofErr w:type="spellEnd"/>
          </w:p>
        </w:tc>
        <w:tc>
          <w:tcPr>
            <w:tcW w:w="1466" w:type="pct"/>
          </w:tcPr>
          <w:p w14:paraId="5DB77504" w14:textId="77777777" w:rsidR="003F4F65" w:rsidRPr="00B51893" w:rsidRDefault="00B51893" w:rsidP="000E4C25">
            <w:pPr>
              <w:pStyle w:val="Tabletext"/>
              <w:keepNext/>
              <w:jc w:val="center"/>
              <w:rPr>
                <w:iCs/>
                <w:szCs w:val="20"/>
                <w:highlight w:val="black"/>
              </w:rPr>
            </w:pPr>
            <w:r>
              <w:rPr>
                <w:iCs/>
                <w:noProof/>
                <w:color w:val="000000"/>
                <w:szCs w:val="20"/>
                <w:highlight w:val="black"/>
              </w:rPr>
              <w:t>''''''''''''''''''''</w:t>
            </w:r>
          </w:p>
        </w:tc>
      </w:tr>
    </w:tbl>
    <w:p w14:paraId="3F33B606" w14:textId="77777777" w:rsidR="008E4A1A" w:rsidRPr="00B42397" w:rsidRDefault="008E4A1A" w:rsidP="008E4A1A">
      <w:pPr>
        <w:rPr>
          <w:rFonts w:ascii="Arial Narrow" w:hAnsi="Arial Narrow"/>
          <w:sz w:val="18"/>
          <w:szCs w:val="18"/>
        </w:rPr>
      </w:pPr>
      <w:r w:rsidRPr="00B42397">
        <w:rPr>
          <w:rFonts w:ascii="Arial Narrow" w:hAnsi="Arial Narrow"/>
          <w:iCs/>
          <w:sz w:val="18"/>
          <w:szCs w:val="18"/>
        </w:rPr>
        <w:t>AEMP</w:t>
      </w:r>
      <w:r w:rsidRPr="00B42397">
        <w:rPr>
          <w:rFonts w:ascii="Arial Narrow" w:hAnsi="Arial Narrow"/>
          <w:i/>
          <w:iCs/>
          <w:sz w:val="18"/>
          <w:szCs w:val="18"/>
        </w:rPr>
        <w:t xml:space="preserve"> = </w:t>
      </w:r>
      <w:r w:rsidRPr="00B42397">
        <w:rPr>
          <w:rFonts w:ascii="Arial Narrow" w:hAnsi="Arial Narrow"/>
          <w:sz w:val="18"/>
          <w:szCs w:val="18"/>
        </w:rPr>
        <w:t>approved ex-manufacturer’s price</w:t>
      </w:r>
      <w:r w:rsidRPr="00B42397">
        <w:rPr>
          <w:rFonts w:ascii="Arial Narrow" w:hAnsi="Arial Narrow"/>
          <w:i/>
          <w:iCs/>
          <w:sz w:val="18"/>
          <w:szCs w:val="18"/>
        </w:rPr>
        <w:t>;</w:t>
      </w:r>
      <w:r w:rsidR="00EC5368" w:rsidRPr="00B42397">
        <w:rPr>
          <w:rFonts w:ascii="Arial Narrow" w:hAnsi="Arial Narrow"/>
          <w:i/>
          <w:iCs/>
          <w:sz w:val="18"/>
          <w:szCs w:val="18"/>
        </w:rPr>
        <w:t xml:space="preserve"> </w:t>
      </w:r>
      <w:r w:rsidR="00EC5368" w:rsidRPr="00B42397">
        <w:rPr>
          <w:rFonts w:ascii="Arial Narrow" w:hAnsi="Arial Narrow"/>
          <w:iCs/>
          <w:sz w:val="18"/>
          <w:szCs w:val="18"/>
        </w:rPr>
        <w:t>Cd = carfilzomib + dexamethasone;</w:t>
      </w:r>
      <w:r w:rsidR="00597FE5" w:rsidRPr="00B42397">
        <w:rPr>
          <w:rFonts w:ascii="Arial Narrow" w:hAnsi="Arial Narrow"/>
          <w:iCs/>
          <w:sz w:val="18"/>
          <w:szCs w:val="18"/>
        </w:rPr>
        <w:t xml:space="preserve"> CMA = cost minimisation analysis;</w:t>
      </w:r>
      <w:r w:rsidRPr="00B42397">
        <w:rPr>
          <w:rFonts w:ascii="Arial Narrow" w:hAnsi="Arial Narrow"/>
          <w:iCs/>
          <w:sz w:val="18"/>
          <w:szCs w:val="18"/>
        </w:rPr>
        <w:t xml:space="preserve"> </w:t>
      </w:r>
      <w:r w:rsidRPr="00B42397">
        <w:rPr>
          <w:rFonts w:ascii="Arial Narrow" w:hAnsi="Arial Narrow"/>
          <w:sz w:val="18"/>
          <w:szCs w:val="18"/>
        </w:rPr>
        <w:t>DI = dose intensity</w:t>
      </w:r>
      <w:r w:rsidR="00D2719D" w:rsidRPr="00B42397">
        <w:rPr>
          <w:rFonts w:ascii="Arial Narrow" w:hAnsi="Arial Narrow"/>
          <w:sz w:val="18"/>
          <w:szCs w:val="18"/>
        </w:rPr>
        <w:t xml:space="preserve">; </w:t>
      </w:r>
      <w:r w:rsidR="009F1C54" w:rsidRPr="00B42397">
        <w:rPr>
          <w:rFonts w:ascii="Arial Narrow" w:hAnsi="Arial Narrow"/>
          <w:sz w:val="18"/>
          <w:szCs w:val="18"/>
        </w:rPr>
        <w:t xml:space="preserve">DOT = duration of treatment; </w:t>
      </w:r>
      <w:r w:rsidR="006C3A6C" w:rsidRPr="00B42397">
        <w:rPr>
          <w:rFonts w:ascii="Arial Narrow" w:hAnsi="Arial Narrow"/>
          <w:sz w:val="18"/>
          <w:szCs w:val="18"/>
        </w:rPr>
        <w:t xml:space="preserve">OS = overall survival; </w:t>
      </w:r>
      <w:r w:rsidR="00833A74" w:rsidRPr="00B42397">
        <w:rPr>
          <w:rFonts w:ascii="Arial Narrow" w:hAnsi="Arial Narrow"/>
          <w:sz w:val="18"/>
          <w:szCs w:val="18"/>
        </w:rPr>
        <w:t>R</w:t>
      </w:r>
      <w:r w:rsidR="001F5659" w:rsidRPr="00B42397">
        <w:rPr>
          <w:rFonts w:ascii="Arial Narrow" w:hAnsi="Arial Narrow"/>
          <w:sz w:val="18"/>
          <w:szCs w:val="18"/>
        </w:rPr>
        <w:t>D</w:t>
      </w:r>
      <w:r w:rsidR="00D2719D" w:rsidRPr="00B42397">
        <w:rPr>
          <w:rFonts w:ascii="Arial Narrow" w:hAnsi="Arial Narrow"/>
          <w:sz w:val="18"/>
          <w:szCs w:val="18"/>
        </w:rPr>
        <w:t>I = relative dose intensity</w:t>
      </w:r>
      <w:r w:rsidR="004E26FF" w:rsidRPr="00B42397">
        <w:rPr>
          <w:rFonts w:ascii="Arial Narrow" w:hAnsi="Arial Narrow"/>
          <w:sz w:val="18"/>
          <w:szCs w:val="18"/>
        </w:rPr>
        <w:t>; SA = sensitivity analyses.</w:t>
      </w:r>
    </w:p>
    <w:p w14:paraId="3DDACD63" w14:textId="77777777" w:rsidR="002A08AD" w:rsidRPr="00B42397" w:rsidRDefault="00437119" w:rsidP="00086BA2">
      <w:pPr>
        <w:pStyle w:val="3-BodyText"/>
        <w:numPr>
          <w:ilvl w:val="0"/>
          <w:numId w:val="0"/>
        </w:numPr>
        <w:spacing w:after="0"/>
        <w:rPr>
          <w:rFonts w:ascii="Arial Narrow" w:hAnsi="Arial Narrow"/>
          <w:sz w:val="18"/>
          <w:szCs w:val="18"/>
        </w:rPr>
      </w:pPr>
      <w:r w:rsidRPr="00B42397">
        <w:rPr>
          <w:rFonts w:ascii="Arial Narrow" w:hAnsi="Arial Narrow"/>
          <w:sz w:val="18"/>
          <w:szCs w:val="18"/>
        </w:rPr>
        <w:t xml:space="preserve">Note: </w:t>
      </w:r>
    </w:p>
    <w:p w14:paraId="0E061434" w14:textId="77777777" w:rsidR="008E4A1A" w:rsidRPr="00B42397" w:rsidRDefault="00CD2157" w:rsidP="00086BA2">
      <w:pPr>
        <w:pStyle w:val="3-BodyText"/>
        <w:numPr>
          <w:ilvl w:val="0"/>
          <w:numId w:val="0"/>
        </w:numPr>
        <w:spacing w:after="0"/>
        <w:rPr>
          <w:rFonts w:ascii="Arial Narrow" w:hAnsi="Arial Narrow"/>
          <w:sz w:val="18"/>
          <w:szCs w:val="18"/>
        </w:rPr>
      </w:pPr>
      <w:proofErr w:type="gramStart"/>
      <w:r w:rsidRPr="00B42397">
        <w:rPr>
          <w:rFonts w:ascii="Arial Narrow" w:hAnsi="Arial Narrow"/>
          <w:sz w:val="18"/>
          <w:szCs w:val="18"/>
          <w:vertAlign w:val="superscript"/>
        </w:rPr>
        <w:t>a</w:t>
      </w:r>
      <w:proofErr w:type="gramEnd"/>
      <w:r w:rsidR="00E6258C" w:rsidRPr="00B42397">
        <w:rPr>
          <w:rFonts w:ascii="Arial Narrow" w:hAnsi="Arial Narrow"/>
          <w:sz w:val="18"/>
          <w:szCs w:val="18"/>
          <w:vertAlign w:val="superscript"/>
        </w:rPr>
        <w:t xml:space="preserve"> </w:t>
      </w:r>
      <w:r w:rsidR="002A08AD" w:rsidRPr="00B42397">
        <w:rPr>
          <w:rFonts w:ascii="Arial Narrow" w:hAnsi="Arial Narrow"/>
          <w:sz w:val="18"/>
          <w:szCs w:val="18"/>
        </w:rPr>
        <w:t>Based on mean 3+ cycles</w:t>
      </w:r>
      <w:r w:rsidR="002438D2" w:rsidRPr="00B42397">
        <w:rPr>
          <w:rFonts w:ascii="Arial Narrow" w:hAnsi="Arial Narrow"/>
          <w:sz w:val="18"/>
          <w:szCs w:val="18"/>
        </w:rPr>
        <w:t xml:space="preserve"> DIs</w:t>
      </w:r>
      <w:r w:rsidR="002A08AD" w:rsidRPr="00B42397">
        <w:rPr>
          <w:rFonts w:ascii="Arial Narrow" w:hAnsi="Arial Narrow"/>
          <w:sz w:val="18"/>
          <w:szCs w:val="18"/>
        </w:rPr>
        <w:t xml:space="preserve"> the revised equi-effective doses are:</w:t>
      </w:r>
      <w:r w:rsidR="0054191C" w:rsidRPr="00B42397">
        <w:rPr>
          <w:rFonts w:ascii="Arial Narrow" w:hAnsi="Arial Narrow"/>
          <w:sz w:val="18"/>
          <w:szCs w:val="18"/>
        </w:rPr>
        <w:t xml:space="preserve"> 1</w:t>
      </w:r>
      <w:r w:rsidR="004E0494" w:rsidRPr="00B42397">
        <w:rPr>
          <w:rFonts w:ascii="Arial Narrow" w:hAnsi="Arial Narrow"/>
          <w:sz w:val="18"/>
          <w:szCs w:val="18"/>
        </w:rPr>
        <w:t xml:space="preserve">,516 </w:t>
      </w:r>
      <w:r w:rsidR="0054191C" w:rsidRPr="00B42397">
        <w:rPr>
          <w:rFonts w:ascii="Arial Narrow" w:hAnsi="Arial Narrow"/>
          <w:sz w:val="18"/>
          <w:szCs w:val="18"/>
        </w:rPr>
        <w:t xml:space="preserve">mg of elotuzumab, </w:t>
      </w:r>
      <w:r w:rsidR="004E0494" w:rsidRPr="00B42397">
        <w:rPr>
          <w:rFonts w:ascii="Arial Narrow" w:hAnsi="Arial Narrow"/>
          <w:sz w:val="18"/>
          <w:szCs w:val="18"/>
        </w:rPr>
        <w:t>383</w:t>
      </w:r>
      <w:r w:rsidR="0054191C" w:rsidRPr="00B42397">
        <w:rPr>
          <w:rFonts w:ascii="Arial Narrow" w:hAnsi="Arial Narrow"/>
          <w:sz w:val="18"/>
          <w:szCs w:val="18"/>
        </w:rPr>
        <w:t xml:space="preserve"> mg of lenalidomide and </w:t>
      </w:r>
      <w:r w:rsidR="004E0494" w:rsidRPr="00B42397">
        <w:rPr>
          <w:rFonts w:ascii="Arial Narrow" w:hAnsi="Arial Narrow"/>
          <w:sz w:val="18"/>
          <w:szCs w:val="18"/>
        </w:rPr>
        <w:t>122</w:t>
      </w:r>
      <w:r w:rsidR="0054191C" w:rsidRPr="00B42397">
        <w:rPr>
          <w:rFonts w:ascii="Arial Narrow" w:hAnsi="Arial Narrow"/>
          <w:sz w:val="18"/>
          <w:szCs w:val="18"/>
        </w:rPr>
        <w:t xml:space="preserve"> mg of dexamethasone = 601 mg of carfilzomib and 146 mg of dexamethasone</w:t>
      </w:r>
    </w:p>
    <w:p w14:paraId="1A41BC13" w14:textId="77777777" w:rsidR="002A08AD" w:rsidRPr="00B42397" w:rsidRDefault="00CD2157" w:rsidP="00086BA2">
      <w:pPr>
        <w:pStyle w:val="3-BodyText"/>
        <w:numPr>
          <w:ilvl w:val="0"/>
          <w:numId w:val="0"/>
        </w:numPr>
        <w:spacing w:after="0"/>
        <w:rPr>
          <w:rFonts w:ascii="Arial Narrow" w:hAnsi="Arial Narrow"/>
          <w:sz w:val="18"/>
          <w:szCs w:val="18"/>
        </w:rPr>
      </w:pPr>
      <w:proofErr w:type="gramStart"/>
      <w:r w:rsidRPr="00B42397">
        <w:rPr>
          <w:rFonts w:ascii="Arial Narrow" w:hAnsi="Arial Narrow"/>
          <w:sz w:val="18"/>
          <w:szCs w:val="18"/>
          <w:vertAlign w:val="superscript"/>
        </w:rPr>
        <w:t>b</w:t>
      </w:r>
      <w:proofErr w:type="gramEnd"/>
      <w:r w:rsidR="00E6258C" w:rsidRPr="00B42397">
        <w:rPr>
          <w:rFonts w:ascii="Arial Narrow" w:hAnsi="Arial Narrow"/>
          <w:sz w:val="18"/>
          <w:szCs w:val="18"/>
        </w:rPr>
        <w:t xml:space="preserve"> </w:t>
      </w:r>
      <w:r w:rsidR="002A08AD" w:rsidRPr="00B42397">
        <w:rPr>
          <w:rFonts w:ascii="Arial Narrow" w:hAnsi="Arial Narrow"/>
          <w:sz w:val="18"/>
          <w:szCs w:val="18"/>
        </w:rPr>
        <w:t xml:space="preserve">Based on median all cycles DIs the </w:t>
      </w:r>
      <w:r w:rsidR="00580FA7" w:rsidRPr="00B42397">
        <w:rPr>
          <w:rFonts w:ascii="Arial Narrow" w:hAnsi="Arial Narrow"/>
          <w:sz w:val="18"/>
          <w:szCs w:val="18"/>
        </w:rPr>
        <w:t>revised</w:t>
      </w:r>
      <w:r w:rsidR="002A08AD" w:rsidRPr="00B42397">
        <w:rPr>
          <w:rFonts w:ascii="Arial Narrow" w:hAnsi="Arial Narrow"/>
          <w:sz w:val="18"/>
          <w:szCs w:val="18"/>
        </w:rPr>
        <w:t xml:space="preserve"> equi-effective doses are:</w:t>
      </w:r>
      <w:r w:rsidR="0054191C" w:rsidRPr="00B42397">
        <w:rPr>
          <w:rFonts w:ascii="Arial Narrow" w:hAnsi="Arial Narrow"/>
          <w:sz w:val="18"/>
          <w:szCs w:val="18"/>
        </w:rPr>
        <w:t xml:space="preserve"> 1,</w:t>
      </w:r>
      <w:r w:rsidR="00580FA7" w:rsidRPr="00B42397">
        <w:rPr>
          <w:rFonts w:ascii="Arial Narrow" w:hAnsi="Arial Narrow"/>
          <w:sz w:val="18"/>
          <w:szCs w:val="18"/>
        </w:rPr>
        <w:t>676</w:t>
      </w:r>
      <w:r w:rsidR="0054191C" w:rsidRPr="00B42397">
        <w:rPr>
          <w:rFonts w:ascii="Arial Narrow" w:hAnsi="Arial Narrow"/>
          <w:sz w:val="18"/>
          <w:szCs w:val="18"/>
        </w:rPr>
        <w:t xml:space="preserve"> mg of elotuzumab, 416 mg of lenalidomide and 13</w:t>
      </w:r>
      <w:r w:rsidR="00580FA7" w:rsidRPr="00B42397">
        <w:rPr>
          <w:rFonts w:ascii="Arial Narrow" w:hAnsi="Arial Narrow"/>
          <w:sz w:val="18"/>
          <w:szCs w:val="18"/>
        </w:rPr>
        <w:t>7</w:t>
      </w:r>
      <w:r w:rsidR="0054191C" w:rsidRPr="00B42397">
        <w:rPr>
          <w:rFonts w:ascii="Arial Narrow" w:hAnsi="Arial Narrow"/>
          <w:sz w:val="18"/>
          <w:szCs w:val="18"/>
        </w:rPr>
        <w:t xml:space="preserve"> mg of dexamethasone = 601 mg of carfilzomib and 146 mg of dexamethasone</w:t>
      </w:r>
    </w:p>
    <w:p w14:paraId="66D8ECAE" w14:textId="77777777" w:rsidR="002A08AD" w:rsidRPr="00B42397" w:rsidRDefault="00CD2157" w:rsidP="00086BA2">
      <w:pPr>
        <w:pStyle w:val="3-BodyText"/>
        <w:numPr>
          <w:ilvl w:val="0"/>
          <w:numId w:val="0"/>
        </w:numPr>
        <w:spacing w:after="0"/>
        <w:rPr>
          <w:rFonts w:ascii="Arial Narrow" w:hAnsi="Arial Narrow"/>
          <w:sz w:val="18"/>
          <w:szCs w:val="18"/>
        </w:rPr>
      </w:pPr>
      <w:proofErr w:type="gramStart"/>
      <w:r w:rsidRPr="00B42397">
        <w:rPr>
          <w:rFonts w:ascii="Arial Narrow" w:hAnsi="Arial Narrow"/>
          <w:sz w:val="18"/>
          <w:szCs w:val="18"/>
          <w:vertAlign w:val="superscript"/>
        </w:rPr>
        <w:t>c</w:t>
      </w:r>
      <w:proofErr w:type="gramEnd"/>
      <w:r w:rsidR="00E6258C" w:rsidRPr="00B42397">
        <w:rPr>
          <w:rFonts w:ascii="Arial Narrow" w:hAnsi="Arial Narrow"/>
          <w:sz w:val="18"/>
          <w:szCs w:val="18"/>
        </w:rPr>
        <w:t xml:space="preserve"> </w:t>
      </w:r>
      <w:r w:rsidR="002A08AD" w:rsidRPr="00B42397">
        <w:rPr>
          <w:rFonts w:ascii="Arial Narrow" w:hAnsi="Arial Narrow"/>
          <w:sz w:val="18"/>
          <w:szCs w:val="18"/>
        </w:rPr>
        <w:t>Based on the mean all cycles DIs the revised equi-effective doses are:</w:t>
      </w:r>
      <w:r w:rsidR="0054191C" w:rsidRPr="00B42397">
        <w:rPr>
          <w:rFonts w:ascii="Arial Narrow" w:hAnsi="Arial Narrow"/>
          <w:sz w:val="18"/>
          <w:szCs w:val="18"/>
        </w:rPr>
        <w:t xml:space="preserve"> 1,</w:t>
      </w:r>
      <w:r w:rsidR="00086BA2" w:rsidRPr="00B42397">
        <w:rPr>
          <w:rFonts w:ascii="Arial Narrow" w:hAnsi="Arial Narrow"/>
          <w:sz w:val="18"/>
          <w:szCs w:val="18"/>
        </w:rPr>
        <w:t>637</w:t>
      </w:r>
      <w:r w:rsidR="0054191C" w:rsidRPr="00B42397">
        <w:rPr>
          <w:rFonts w:ascii="Arial Narrow" w:hAnsi="Arial Narrow"/>
          <w:sz w:val="18"/>
          <w:szCs w:val="18"/>
        </w:rPr>
        <w:t xml:space="preserve"> mg of elotuzumab, </w:t>
      </w:r>
      <w:r w:rsidR="00086BA2" w:rsidRPr="00B42397">
        <w:rPr>
          <w:rFonts w:ascii="Arial Narrow" w:hAnsi="Arial Narrow"/>
          <w:sz w:val="18"/>
          <w:szCs w:val="18"/>
        </w:rPr>
        <w:t>383</w:t>
      </w:r>
      <w:r w:rsidR="0054191C" w:rsidRPr="00B42397">
        <w:rPr>
          <w:rFonts w:ascii="Arial Narrow" w:hAnsi="Arial Narrow"/>
          <w:sz w:val="18"/>
          <w:szCs w:val="18"/>
        </w:rPr>
        <w:t xml:space="preserve"> mg of lenalidomide and 1</w:t>
      </w:r>
      <w:r w:rsidR="00086BA2" w:rsidRPr="00B42397">
        <w:rPr>
          <w:rFonts w:ascii="Arial Narrow" w:hAnsi="Arial Narrow"/>
          <w:sz w:val="18"/>
          <w:szCs w:val="18"/>
        </w:rPr>
        <w:t>24</w:t>
      </w:r>
      <w:r w:rsidR="0054191C" w:rsidRPr="00B42397">
        <w:rPr>
          <w:rFonts w:ascii="Arial Narrow" w:hAnsi="Arial Narrow"/>
          <w:sz w:val="18"/>
          <w:szCs w:val="18"/>
        </w:rPr>
        <w:t xml:space="preserve"> mg of dexamethasone = 601 mg of carfilzomib and 146 mg of dexamethasone</w:t>
      </w:r>
    </w:p>
    <w:p w14:paraId="2AFCCFDD" w14:textId="77777777" w:rsidR="00086BA2" w:rsidRPr="00B42397" w:rsidRDefault="00CD2157" w:rsidP="00086BA2">
      <w:pPr>
        <w:pStyle w:val="3-BodyText"/>
        <w:numPr>
          <w:ilvl w:val="0"/>
          <w:numId w:val="0"/>
        </w:numPr>
        <w:spacing w:after="0"/>
        <w:rPr>
          <w:rFonts w:ascii="Arial Narrow" w:hAnsi="Arial Narrow"/>
          <w:sz w:val="18"/>
          <w:szCs w:val="18"/>
        </w:rPr>
      </w:pPr>
      <w:proofErr w:type="gramStart"/>
      <w:r w:rsidRPr="00B42397">
        <w:rPr>
          <w:rFonts w:ascii="Arial Narrow" w:hAnsi="Arial Narrow"/>
          <w:sz w:val="18"/>
          <w:szCs w:val="18"/>
          <w:vertAlign w:val="superscript"/>
        </w:rPr>
        <w:t>d</w:t>
      </w:r>
      <w:proofErr w:type="gramEnd"/>
      <w:r w:rsidR="00E6258C" w:rsidRPr="00B42397">
        <w:rPr>
          <w:rFonts w:ascii="Arial Narrow" w:hAnsi="Arial Narrow"/>
          <w:sz w:val="18"/>
          <w:szCs w:val="18"/>
        </w:rPr>
        <w:t xml:space="preserve"> </w:t>
      </w:r>
      <w:r w:rsidR="0054191C" w:rsidRPr="00B42397">
        <w:rPr>
          <w:rFonts w:ascii="Arial Narrow" w:hAnsi="Arial Narrow"/>
          <w:sz w:val="18"/>
          <w:szCs w:val="18"/>
        </w:rPr>
        <w:t xml:space="preserve">Based on </w:t>
      </w:r>
      <w:r w:rsidR="009B65A2" w:rsidRPr="00B42397">
        <w:rPr>
          <w:rFonts w:ascii="Arial Narrow" w:hAnsi="Arial Narrow"/>
          <w:sz w:val="18"/>
          <w:szCs w:val="18"/>
        </w:rPr>
        <w:t>R</w:t>
      </w:r>
      <w:r w:rsidR="001F5659" w:rsidRPr="00B42397">
        <w:rPr>
          <w:rFonts w:ascii="Arial Narrow" w:hAnsi="Arial Narrow"/>
          <w:sz w:val="18"/>
          <w:szCs w:val="18"/>
        </w:rPr>
        <w:t>D</w:t>
      </w:r>
      <w:r w:rsidR="0054191C" w:rsidRPr="00B42397">
        <w:rPr>
          <w:rFonts w:ascii="Arial Narrow" w:hAnsi="Arial Narrow"/>
          <w:sz w:val="18"/>
          <w:szCs w:val="18"/>
        </w:rPr>
        <w:t>I</w:t>
      </w:r>
      <w:r w:rsidR="00A27C11" w:rsidRPr="00B42397">
        <w:rPr>
          <w:rFonts w:ascii="Arial Narrow" w:hAnsi="Arial Narrow"/>
          <w:sz w:val="18"/>
          <w:szCs w:val="18"/>
        </w:rPr>
        <w:t xml:space="preserve"> of 93%</w:t>
      </w:r>
      <w:r w:rsidR="0054191C" w:rsidRPr="00B42397">
        <w:rPr>
          <w:rFonts w:ascii="Arial Narrow" w:hAnsi="Arial Narrow"/>
          <w:sz w:val="18"/>
          <w:szCs w:val="18"/>
        </w:rPr>
        <w:t xml:space="preserve"> for C</w:t>
      </w:r>
      <w:r w:rsidR="00A27C11" w:rsidRPr="00B42397">
        <w:rPr>
          <w:rFonts w:ascii="Arial Narrow" w:hAnsi="Arial Narrow"/>
          <w:sz w:val="18"/>
          <w:szCs w:val="18"/>
        </w:rPr>
        <w:t xml:space="preserve">d the revised equi-effective doses are: </w:t>
      </w:r>
      <w:r w:rsidR="00086BA2" w:rsidRPr="00B42397">
        <w:rPr>
          <w:rFonts w:ascii="Arial Narrow" w:hAnsi="Arial Narrow"/>
          <w:sz w:val="18"/>
          <w:szCs w:val="18"/>
        </w:rPr>
        <w:t>1,544 mg of elotuzumab, 416 mg of lenalidomide and 135 mg of dexamethasone = 612 mg of carfilzomib and 149 mg of dexamethasone</w:t>
      </w:r>
      <w:r w:rsidR="00597FE5" w:rsidRPr="00B42397">
        <w:rPr>
          <w:rFonts w:ascii="Arial Narrow" w:hAnsi="Arial Narrow"/>
          <w:sz w:val="18"/>
          <w:szCs w:val="18"/>
        </w:rPr>
        <w:t>.</w:t>
      </w:r>
    </w:p>
    <w:p w14:paraId="3FBF2667" w14:textId="77777777" w:rsidR="00597FE5" w:rsidRPr="00B42397" w:rsidRDefault="00597FE5" w:rsidP="00086BA2">
      <w:pPr>
        <w:pStyle w:val="3-BodyText"/>
        <w:numPr>
          <w:ilvl w:val="0"/>
          <w:numId w:val="0"/>
        </w:numPr>
        <w:spacing w:after="0"/>
        <w:rPr>
          <w:rFonts w:ascii="Arial Narrow" w:hAnsi="Arial Narrow"/>
          <w:sz w:val="18"/>
          <w:szCs w:val="18"/>
        </w:rPr>
      </w:pPr>
      <w:proofErr w:type="gramStart"/>
      <w:r w:rsidRPr="00B42397">
        <w:rPr>
          <w:rFonts w:ascii="Arial Narrow" w:hAnsi="Arial Narrow"/>
          <w:sz w:val="18"/>
          <w:szCs w:val="18"/>
          <w:vertAlign w:val="superscript"/>
        </w:rPr>
        <w:t>e</w:t>
      </w:r>
      <w:proofErr w:type="gramEnd"/>
      <w:r w:rsidRPr="00B42397">
        <w:rPr>
          <w:rFonts w:ascii="Arial Narrow" w:hAnsi="Arial Narrow"/>
          <w:sz w:val="18"/>
          <w:szCs w:val="18"/>
        </w:rPr>
        <w:t xml:space="preserve"> </w:t>
      </w:r>
      <w:r w:rsidR="001B19D2" w:rsidRPr="00B42397">
        <w:rPr>
          <w:rFonts w:ascii="Arial Narrow" w:hAnsi="Arial Narrow"/>
          <w:sz w:val="18"/>
          <w:szCs w:val="18"/>
        </w:rPr>
        <w:t>D</w:t>
      </w:r>
      <w:r w:rsidRPr="00B42397">
        <w:rPr>
          <w:rFonts w:ascii="Arial Narrow" w:hAnsi="Arial Narrow"/>
          <w:sz w:val="18"/>
          <w:szCs w:val="18"/>
        </w:rPr>
        <w:t xml:space="preserve">uration of treatment for </w:t>
      </w:r>
      <w:proofErr w:type="spellStart"/>
      <w:r w:rsidR="001F5659" w:rsidRPr="00B42397">
        <w:rPr>
          <w:rFonts w:ascii="Arial Narrow" w:hAnsi="Arial Narrow"/>
          <w:sz w:val="18"/>
          <w:szCs w:val="18"/>
        </w:rPr>
        <w:t>ELd</w:t>
      </w:r>
      <w:proofErr w:type="spellEnd"/>
      <w:r w:rsidRPr="00B42397">
        <w:rPr>
          <w:rFonts w:ascii="Arial Narrow" w:hAnsi="Arial Narrow"/>
          <w:sz w:val="18"/>
          <w:szCs w:val="18"/>
        </w:rPr>
        <w:t xml:space="preserve"> was based on median 19 cycles (29 Oct 2015 data cut) and median of 12 cycles for Cd (3 Jan 2017 data-cut)</w:t>
      </w:r>
    </w:p>
    <w:p w14:paraId="23312472" w14:textId="77777777" w:rsidR="002A08AD" w:rsidRPr="00B42397" w:rsidRDefault="002A08AD" w:rsidP="001B19D2">
      <w:pPr>
        <w:pStyle w:val="3-BodyText"/>
        <w:numPr>
          <w:ilvl w:val="0"/>
          <w:numId w:val="0"/>
        </w:numPr>
        <w:spacing w:after="0"/>
      </w:pPr>
    </w:p>
    <w:p w14:paraId="2F4FF9E3" w14:textId="77777777" w:rsidR="00A81D05" w:rsidRPr="00B42397" w:rsidRDefault="00FD03AC" w:rsidP="00333621">
      <w:pPr>
        <w:pStyle w:val="3-BodyText"/>
        <w:rPr>
          <w:iCs/>
        </w:rPr>
      </w:pPr>
      <w:r w:rsidRPr="00B42397">
        <w:rPr>
          <w:iCs/>
        </w:rPr>
        <w:t xml:space="preserve">Incorporating the median DOTs for </w:t>
      </w:r>
      <w:proofErr w:type="spellStart"/>
      <w:r w:rsidR="001F5659" w:rsidRPr="00B42397">
        <w:rPr>
          <w:iCs/>
        </w:rPr>
        <w:t>ELd</w:t>
      </w:r>
      <w:proofErr w:type="spellEnd"/>
      <w:r w:rsidRPr="00B42397">
        <w:rPr>
          <w:iCs/>
        </w:rPr>
        <w:t xml:space="preserve"> and Cd into the CMA has t</w:t>
      </w:r>
      <w:r w:rsidR="00A81D05" w:rsidRPr="00B42397">
        <w:rPr>
          <w:iCs/>
        </w:rPr>
        <w:t xml:space="preserve">he largest impact on the proposed cost-minimised price </w:t>
      </w:r>
      <w:r w:rsidR="009F1C54" w:rsidRPr="00B42397">
        <w:rPr>
          <w:iCs/>
        </w:rPr>
        <w:t>of elotuzumab</w:t>
      </w:r>
      <w:r w:rsidR="00A81D05" w:rsidRPr="00B42397">
        <w:rPr>
          <w:iCs/>
        </w:rPr>
        <w:t xml:space="preserve">. This is </w:t>
      </w:r>
      <w:r w:rsidRPr="00B42397">
        <w:rPr>
          <w:iCs/>
        </w:rPr>
        <w:t>primarily</w:t>
      </w:r>
      <w:r w:rsidR="00A81D05" w:rsidRPr="00B42397">
        <w:rPr>
          <w:iCs/>
        </w:rPr>
        <w:t xml:space="preserve"> because, over the longer </w:t>
      </w:r>
      <w:r w:rsidR="00376A9D" w:rsidRPr="00B42397">
        <w:rPr>
          <w:iCs/>
        </w:rPr>
        <w:t>DOT</w:t>
      </w:r>
      <w:r w:rsidR="00A81D05" w:rsidRPr="00B42397">
        <w:rPr>
          <w:iCs/>
        </w:rPr>
        <w:t xml:space="preserve"> for </w:t>
      </w:r>
      <w:proofErr w:type="spellStart"/>
      <w:r w:rsidR="001F5659" w:rsidRPr="00B42397">
        <w:rPr>
          <w:iCs/>
        </w:rPr>
        <w:t>ELd</w:t>
      </w:r>
      <w:proofErr w:type="spellEnd"/>
      <w:r w:rsidR="00A81D05" w:rsidRPr="00B42397">
        <w:rPr>
          <w:iCs/>
        </w:rPr>
        <w:t xml:space="preserve"> (19 cycles), </w:t>
      </w:r>
      <w:proofErr w:type="spellStart"/>
      <w:proofErr w:type="gramStart"/>
      <w:r w:rsidR="001F5659" w:rsidRPr="00B42397">
        <w:rPr>
          <w:iCs/>
        </w:rPr>
        <w:t>Ld</w:t>
      </w:r>
      <w:proofErr w:type="spellEnd"/>
      <w:proofErr w:type="gramEnd"/>
      <w:r w:rsidR="00A81D05" w:rsidRPr="00B42397">
        <w:rPr>
          <w:iCs/>
        </w:rPr>
        <w:t xml:space="preserve"> accounts for 88.5% of the comparative cost of Cd (from the shorter 12 cycles). This leaves only 11.5% of the Cd drug cost to allocate to the elotuzumab component, resulting in a substantially lower estimate of the price for elotuzumab (all other cost offsets for treatment administration, prophylactic medications and safety were also adjusted for the difference in the duration of therapy).</w:t>
      </w:r>
    </w:p>
    <w:p w14:paraId="2A325674" w14:textId="77777777" w:rsidR="00A81D05" w:rsidRPr="00B42397" w:rsidRDefault="00A81D05" w:rsidP="00A81D05">
      <w:pPr>
        <w:pStyle w:val="4-SubsectionHeading"/>
      </w:pPr>
      <w:bookmarkStart w:id="22" w:name="_Toc22897646"/>
      <w:bookmarkStart w:id="23" w:name="_Toc49758148"/>
      <w:r w:rsidRPr="00B42397">
        <w:t>Drug cost/patient</w:t>
      </w:r>
      <w:bookmarkEnd w:id="22"/>
      <w:r w:rsidRPr="00B42397">
        <w:t>/cycle</w:t>
      </w:r>
      <w:bookmarkEnd w:id="23"/>
    </w:p>
    <w:p w14:paraId="682B6393" w14:textId="77777777" w:rsidR="00333621" w:rsidRPr="00B42397" w:rsidRDefault="00FD03AC" w:rsidP="00333621">
      <w:pPr>
        <w:pStyle w:val="3-BodyText"/>
        <w:rPr>
          <w:iCs/>
        </w:rPr>
      </w:pPr>
      <w:r w:rsidRPr="00B42397">
        <w:t>Appl</w:t>
      </w:r>
      <w:r w:rsidR="00E83F27" w:rsidRPr="00B42397">
        <w:t>y</w:t>
      </w:r>
      <w:r w:rsidRPr="00B42397">
        <w:t>ing the e</w:t>
      </w:r>
      <w:r w:rsidR="00333621" w:rsidRPr="00B42397">
        <w:t>qui-effective dos</w:t>
      </w:r>
      <w:r w:rsidRPr="00B42397">
        <w:t>es</w:t>
      </w:r>
      <w:r w:rsidR="00E348ED" w:rsidRPr="00B42397">
        <w:t xml:space="preserve"> estimated </w:t>
      </w:r>
      <w:r w:rsidRPr="00B42397">
        <w:t>in</w:t>
      </w:r>
      <w:r w:rsidR="00E348ED" w:rsidRPr="00B42397">
        <w:t xml:space="preserve"> the submission</w:t>
      </w:r>
      <w:r w:rsidR="00333621" w:rsidRPr="00B42397">
        <w:t xml:space="preserve">, </w:t>
      </w:r>
      <w:r w:rsidRPr="00B42397">
        <w:t xml:space="preserve">the cost of </w:t>
      </w:r>
      <w:proofErr w:type="spellStart"/>
      <w:r w:rsidR="001F5659" w:rsidRPr="00B42397">
        <w:t>ELd</w:t>
      </w:r>
      <w:proofErr w:type="spellEnd"/>
      <w:r w:rsidRPr="00B42397">
        <w:t xml:space="preserve"> per cycle was estimated to be $</w:t>
      </w:r>
      <w:r w:rsidR="00B51893">
        <w:rPr>
          <w:noProof/>
          <w:color w:val="000000"/>
          <w:highlight w:val="black"/>
        </w:rPr>
        <w:t>''''''''''''''''</w:t>
      </w:r>
      <w:r w:rsidRPr="00B42397">
        <w:t>, with the cost of elotuzumab equalling $</w:t>
      </w:r>
      <w:r w:rsidR="00B51893">
        <w:rPr>
          <w:noProof/>
          <w:color w:val="000000"/>
          <w:highlight w:val="black"/>
        </w:rPr>
        <w:t>'''''''''''''''</w:t>
      </w:r>
      <w:r w:rsidR="005F2EB3" w:rsidRPr="00B42397">
        <w:t xml:space="preserve">. </w:t>
      </w:r>
      <w:r w:rsidR="00333621" w:rsidRPr="00B42397">
        <w:t xml:space="preserve">This was based on </w:t>
      </w:r>
      <w:r w:rsidR="00A769F9" w:rsidRPr="00B42397">
        <w:t>an estimated AEMP of $</w:t>
      </w:r>
      <w:r w:rsidR="00B51893">
        <w:rPr>
          <w:noProof/>
          <w:color w:val="000000"/>
          <w:highlight w:val="black"/>
        </w:rPr>
        <w:t>'''''''''''''''</w:t>
      </w:r>
      <w:r w:rsidR="00A769F9" w:rsidRPr="0088200B">
        <w:t xml:space="preserve"> </w:t>
      </w:r>
      <w:r w:rsidR="00A769F9" w:rsidRPr="00B42397">
        <w:t>per 1,200 mg</w:t>
      </w:r>
      <w:r w:rsidR="00C25A81" w:rsidRPr="00B42397">
        <w:t xml:space="preserve">, </w:t>
      </w:r>
      <w:r w:rsidR="00D31442" w:rsidRPr="00B42397">
        <w:t>reflecting</w:t>
      </w:r>
      <w:r w:rsidR="00A769F9" w:rsidRPr="00B42397">
        <w:t xml:space="preserve"> the </w:t>
      </w:r>
      <w:r w:rsidR="005E284E" w:rsidRPr="00B42397">
        <w:t xml:space="preserve">AEMP prices for </w:t>
      </w:r>
      <w:r w:rsidR="00F85A7D" w:rsidRPr="00B42397">
        <w:t xml:space="preserve">carfilzomib, lenalidomide and </w:t>
      </w:r>
      <w:r w:rsidR="00AD0D91" w:rsidRPr="00B42397">
        <w:t>dexamethasone</w:t>
      </w:r>
      <w:r w:rsidR="00D82317" w:rsidRPr="00B42397">
        <w:t xml:space="preserve"> and </w:t>
      </w:r>
      <w:r w:rsidR="00D82317" w:rsidRPr="00B42397">
        <w:rPr>
          <w:iCs/>
        </w:rPr>
        <w:t>updated for AHI, preparation fees, MBS items and PBS (DPMQ) prices for July 2020</w:t>
      </w:r>
      <w:r w:rsidR="00B42397">
        <w:rPr>
          <w:iCs/>
        </w:rPr>
        <w:t xml:space="preserve">. </w:t>
      </w:r>
    </w:p>
    <w:p w14:paraId="6397EA86" w14:textId="77777777" w:rsidR="00494207" w:rsidRPr="00B42397" w:rsidRDefault="00494207" w:rsidP="00421BB2">
      <w:pPr>
        <w:pStyle w:val="TableFigureHeading"/>
        <w:rPr>
          <w:rStyle w:val="CommentReference"/>
          <w:b/>
          <w:szCs w:val="24"/>
        </w:rPr>
      </w:pPr>
      <w:r w:rsidRPr="00B42397">
        <w:rPr>
          <w:rStyle w:val="CommentReference"/>
          <w:b/>
          <w:szCs w:val="24"/>
        </w:rPr>
        <w:lastRenderedPageBreak/>
        <w:t xml:space="preserve">Table </w:t>
      </w:r>
      <w:r w:rsidR="002B6CD1" w:rsidRPr="00B42397">
        <w:rPr>
          <w:rStyle w:val="CommentReference"/>
          <w:b/>
          <w:szCs w:val="24"/>
        </w:rPr>
        <w:t>1</w:t>
      </w:r>
      <w:r w:rsidR="005D1318" w:rsidRPr="00B42397">
        <w:rPr>
          <w:rStyle w:val="CommentReference"/>
          <w:b/>
          <w:szCs w:val="24"/>
        </w:rPr>
        <w:t>3</w:t>
      </w:r>
      <w:r w:rsidRPr="00B42397">
        <w:rPr>
          <w:rStyle w:val="CommentReference"/>
          <w:b/>
          <w:szCs w:val="24"/>
        </w:rPr>
        <w:t xml:space="preserve">: Drug cost per patient for </w:t>
      </w:r>
      <w:proofErr w:type="spellStart"/>
      <w:r w:rsidR="001F5659" w:rsidRPr="00B42397">
        <w:rPr>
          <w:rStyle w:val="CommentReference"/>
          <w:b/>
          <w:szCs w:val="24"/>
        </w:rPr>
        <w:t>ELd</w:t>
      </w:r>
      <w:proofErr w:type="spellEnd"/>
      <w:r w:rsidR="001003E6" w:rsidRPr="00B42397">
        <w:rPr>
          <w:rStyle w:val="CommentReference"/>
          <w:b/>
          <w:szCs w:val="24"/>
        </w:rPr>
        <w:t xml:space="preserve"> and Cd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80" w:firstRow="0" w:lastRow="0" w:firstColumn="1" w:lastColumn="0" w:noHBand="1" w:noVBand="1"/>
      </w:tblPr>
      <w:tblGrid>
        <w:gridCol w:w="1471"/>
        <w:gridCol w:w="1360"/>
        <w:gridCol w:w="1417"/>
        <w:gridCol w:w="1353"/>
        <w:gridCol w:w="1140"/>
        <w:gridCol w:w="1051"/>
        <w:gridCol w:w="1225"/>
      </w:tblGrid>
      <w:tr w:rsidR="00FD03AC" w:rsidRPr="00B42397" w14:paraId="4F5A1159" w14:textId="77777777" w:rsidTr="002B6CD1">
        <w:trPr>
          <w:cantSplit/>
          <w:tblHeader/>
          <w:jc w:val="center"/>
        </w:trPr>
        <w:tc>
          <w:tcPr>
            <w:tcW w:w="816" w:type="pct"/>
            <w:vMerge w:val="restart"/>
            <w:shd w:val="clear" w:color="auto" w:fill="auto"/>
            <w:vAlign w:val="center"/>
          </w:tcPr>
          <w:p w14:paraId="560CF4A4" w14:textId="77777777" w:rsidR="00FD03AC" w:rsidRPr="00B42397" w:rsidRDefault="00FD03AC" w:rsidP="008E4A1A">
            <w:pPr>
              <w:pStyle w:val="In-tableHeading"/>
              <w:keepNext w:val="0"/>
              <w:widowControl w:val="0"/>
              <w:jc w:val="center"/>
              <w:rPr>
                <w:szCs w:val="20"/>
                <w:lang w:val="en-AU"/>
              </w:rPr>
            </w:pPr>
          </w:p>
        </w:tc>
        <w:tc>
          <w:tcPr>
            <w:tcW w:w="2290" w:type="pct"/>
            <w:gridSpan w:val="3"/>
            <w:shd w:val="clear" w:color="auto" w:fill="auto"/>
            <w:vAlign w:val="center"/>
          </w:tcPr>
          <w:p w14:paraId="4A1208E0" w14:textId="77777777" w:rsidR="00FD03AC" w:rsidRPr="00B42397" w:rsidRDefault="001F5659" w:rsidP="008E4A1A">
            <w:pPr>
              <w:pStyle w:val="In-tableHeading"/>
              <w:keepNext w:val="0"/>
              <w:widowControl w:val="0"/>
              <w:jc w:val="center"/>
              <w:rPr>
                <w:szCs w:val="20"/>
                <w:lang w:val="en-AU"/>
              </w:rPr>
            </w:pPr>
            <w:proofErr w:type="spellStart"/>
            <w:r w:rsidRPr="00B42397">
              <w:rPr>
                <w:szCs w:val="20"/>
                <w:lang w:val="en-AU"/>
              </w:rPr>
              <w:t>ELd</w:t>
            </w:r>
            <w:proofErr w:type="spellEnd"/>
          </w:p>
        </w:tc>
        <w:tc>
          <w:tcPr>
            <w:tcW w:w="1894" w:type="pct"/>
            <w:gridSpan w:val="3"/>
            <w:shd w:val="clear" w:color="auto" w:fill="FFFFFF" w:themeFill="background1"/>
            <w:vAlign w:val="center"/>
          </w:tcPr>
          <w:p w14:paraId="30EB564A" w14:textId="77777777" w:rsidR="00FD03AC" w:rsidRPr="00B42397" w:rsidRDefault="00FD03AC" w:rsidP="008E4A1A">
            <w:pPr>
              <w:pStyle w:val="In-tableHeading"/>
              <w:keepNext w:val="0"/>
              <w:widowControl w:val="0"/>
              <w:jc w:val="center"/>
              <w:rPr>
                <w:szCs w:val="20"/>
                <w:lang w:val="en-AU"/>
              </w:rPr>
            </w:pPr>
            <w:r w:rsidRPr="00B42397">
              <w:rPr>
                <w:szCs w:val="20"/>
                <w:lang w:val="en-AU"/>
              </w:rPr>
              <w:t>Cd</w:t>
            </w:r>
          </w:p>
        </w:tc>
      </w:tr>
      <w:tr w:rsidR="00FD03AC" w:rsidRPr="00B42397" w14:paraId="47916E0B" w14:textId="77777777" w:rsidTr="00DC46B8">
        <w:trPr>
          <w:cantSplit/>
          <w:tblHeader/>
          <w:jc w:val="center"/>
        </w:trPr>
        <w:tc>
          <w:tcPr>
            <w:tcW w:w="816" w:type="pct"/>
            <w:vMerge/>
            <w:shd w:val="clear" w:color="auto" w:fill="auto"/>
            <w:vAlign w:val="center"/>
          </w:tcPr>
          <w:p w14:paraId="4D587393" w14:textId="77777777" w:rsidR="00FD03AC" w:rsidRPr="00B42397" w:rsidRDefault="00FD03AC" w:rsidP="008E4A1A">
            <w:pPr>
              <w:pStyle w:val="In-tableHeading"/>
              <w:keepNext w:val="0"/>
              <w:widowControl w:val="0"/>
              <w:jc w:val="center"/>
              <w:rPr>
                <w:szCs w:val="20"/>
                <w:lang w:val="en-AU"/>
              </w:rPr>
            </w:pPr>
          </w:p>
        </w:tc>
        <w:tc>
          <w:tcPr>
            <w:tcW w:w="754" w:type="pct"/>
            <w:shd w:val="clear" w:color="auto" w:fill="auto"/>
            <w:vAlign w:val="center"/>
          </w:tcPr>
          <w:p w14:paraId="5556ABFD" w14:textId="77777777" w:rsidR="00FD03AC" w:rsidRPr="00B42397" w:rsidRDefault="00FD03AC" w:rsidP="008E4A1A">
            <w:pPr>
              <w:pStyle w:val="In-tableHeading"/>
              <w:keepNext w:val="0"/>
              <w:widowControl w:val="0"/>
              <w:jc w:val="center"/>
              <w:rPr>
                <w:szCs w:val="20"/>
                <w:lang w:val="en-AU"/>
              </w:rPr>
            </w:pPr>
            <w:r w:rsidRPr="00B42397">
              <w:rPr>
                <w:szCs w:val="20"/>
                <w:lang w:val="en-AU"/>
              </w:rPr>
              <w:t>Trial dose and duration</w:t>
            </w:r>
          </w:p>
        </w:tc>
        <w:tc>
          <w:tcPr>
            <w:tcW w:w="786" w:type="pct"/>
            <w:shd w:val="clear" w:color="auto" w:fill="auto"/>
            <w:vAlign w:val="center"/>
          </w:tcPr>
          <w:p w14:paraId="7910DDBA" w14:textId="77777777" w:rsidR="00FD03AC" w:rsidRPr="00B42397" w:rsidRDefault="00FD03AC" w:rsidP="008E4A1A">
            <w:pPr>
              <w:pStyle w:val="In-tableHeading"/>
              <w:keepNext w:val="0"/>
              <w:widowControl w:val="0"/>
              <w:jc w:val="center"/>
              <w:rPr>
                <w:szCs w:val="20"/>
                <w:lang w:val="en-AU"/>
              </w:rPr>
            </w:pPr>
            <w:r w:rsidRPr="00B42397">
              <w:rPr>
                <w:szCs w:val="20"/>
                <w:lang w:val="en-AU"/>
              </w:rPr>
              <w:t>CMA</w:t>
            </w:r>
          </w:p>
        </w:tc>
        <w:tc>
          <w:tcPr>
            <w:tcW w:w="750" w:type="pct"/>
            <w:shd w:val="clear" w:color="auto" w:fill="auto"/>
            <w:vAlign w:val="center"/>
          </w:tcPr>
          <w:p w14:paraId="17171A17" w14:textId="77777777" w:rsidR="00FD03AC" w:rsidRPr="00B42397" w:rsidRDefault="00FD03AC" w:rsidP="008E4A1A">
            <w:pPr>
              <w:pStyle w:val="In-tableHeading"/>
              <w:keepNext w:val="0"/>
              <w:widowControl w:val="0"/>
              <w:jc w:val="center"/>
              <w:rPr>
                <w:szCs w:val="20"/>
                <w:lang w:val="en-AU"/>
              </w:rPr>
            </w:pPr>
            <w:r w:rsidRPr="00B42397">
              <w:rPr>
                <w:szCs w:val="20"/>
                <w:lang w:val="en-AU"/>
              </w:rPr>
              <w:t>Financial estimates</w:t>
            </w:r>
          </w:p>
        </w:tc>
        <w:tc>
          <w:tcPr>
            <w:tcW w:w="632" w:type="pct"/>
            <w:shd w:val="clear" w:color="auto" w:fill="FFFFFF" w:themeFill="background1"/>
            <w:vAlign w:val="center"/>
          </w:tcPr>
          <w:p w14:paraId="6C509F06" w14:textId="77777777" w:rsidR="00FD03AC" w:rsidRPr="00B42397" w:rsidRDefault="00FD03AC" w:rsidP="008E4A1A">
            <w:pPr>
              <w:pStyle w:val="In-tableHeading"/>
              <w:keepNext w:val="0"/>
              <w:widowControl w:val="0"/>
              <w:jc w:val="center"/>
              <w:rPr>
                <w:szCs w:val="20"/>
                <w:lang w:val="en-AU"/>
              </w:rPr>
            </w:pPr>
            <w:r w:rsidRPr="00B42397">
              <w:rPr>
                <w:szCs w:val="20"/>
                <w:lang w:val="en-AU"/>
              </w:rPr>
              <w:t>Trial dose and duration</w:t>
            </w:r>
          </w:p>
        </w:tc>
        <w:tc>
          <w:tcPr>
            <w:tcW w:w="583" w:type="pct"/>
            <w:shd w:val="clear" w:color="auto" w:fill="FFFFFF" w:themeFill="background1"/>
            <w:vAlign w:val="center"/>
          </w:tcPr>
          <w:p w14:paraId="6BF18BA2" w14:textId="77777777" w:rsidR="00FD03AC" w:rsidRPr="00B42397" w:rsidRDefault="00FD03AC" w:rsidP="008E4A1A">
            <w:pPr>
              <w:pStyle w:val="In-tableHeading"/>
              <w:keepNext w:val="0"/>
              <w:widowControl w:val="0"/>
              <w:jc w:val="center"/>
              <w:rPr>
                <w:szCs w:val="20"/>
                <w:lang w:val="en-AU"/>
              </w:rPr>
            </w:pPr>
            <w:r w:rsidRPr="00B42397">
              <w:rPr>
                <w:szCs w:val="20"/>
                <w:lang w:val="en-AU"/>
              </w:rPr>
              <w:t>CMA</w:t>
            </w:r>
          </w:p>
        </w:tc>
        <w:tc>
          <w:tcPr>
            <w:tcW w:w="679" w:type="pct"/>
            <w:shd w:val="clear" w:color="auto" w:fill="FFFFFF" w:themeFill="background1"/>
          </w:tcPr>
          <w:p w14:paraId="2C86B9C4" w14:textId="77777777" w:rsidR="00FD03AC" w:rsidRPr="00B42397" w:rsidRDefault="00FD03AC" w:rsidP="008E4A1A">
            <w:pPr>
              <w:pStyle w:val="In-tableHeading"/>
              <w:keepNext w:val="0"/>
              <w:widowControl w:val="0"/>
              <w:jc w:val="center"/>
              <w:rPr>
                <w:szCs w:val="20"/>
                <w:lang w:val="en-AU"/>
              </w:rPr>
            </w:pPr>
            <w:r w:rsidRPr="00B42397">
              <w:rPr>
                <w:szCs w:val="20"/>
                <w:lang w:val="en-AU"/>
              </w:rPr>
              <w:t>Financial estimates</w:t>
            </w:r>
          </w:p>
        </w:tc>
      </w:tr>
      <w:tr w:rsidR="001003E6" w:rsidRPr="00B42397" w14:paraId="397B036D" w14:textId="77777777" w:rsidTr="00DC46B8">
        <w:trPr>
          <w:cantSplit/>
          <w:jc w:val="center"/>
        </w:trPr>
        <w:tc>
          <w:tcPr>
            <w:tcW w:w="816" w:type="pct"/>
            <w:shd w:val="clear" w:color="auto" w:fill="auto"/>
            <w:vAlign w:val="center"/>
          </w:tcPr>
          <w:p w14:paraId="31376DAB" w14:textId="77777777" w:rsidR="001003E6" w:rsidRPr="00B42397" w:rsidRDefault="00FD03AC" w:rsidP="008E4A1A">
            <w:pPr>
              <w:pStyle w:val="In-tableHeading"/>
              <w:keepNext w:val="0"/>
              <w:widowControl w:val="0"/>
              <w:rPr>
                <w:b w:val="0"/>
                <w:bCs/>
                <w:szCs w:val="20"/>
                <w:lang w:val="en-AU"/>
              </w:rPr>
            </w:pPr>
            <w:r w:rsidRPr="00B42397">
              <w:rPr>
                <w:b w:val="0"/>
                <w:bCs/>
                <w:szCs w:val="20"/>
                <w:lang w:val="en-AU"/>
              </w:rPr>
              <w:t>Dose/cycle</w:t>
            </w:r>
          </w:p>
          <w:p w14:paraId="36771283" w14:textId="77777777" w:rsidR="00530FFA" w:rsidRPr="00B42397" w:rsidRDefault="00FD03AC" w:rsidP="00FD03AC">
            <w:pPr>
              <w:pStyle w:val="In-tableHeading"/>
              <w:keepNext w:val="0"/>
              <w:widowControl w:val="0"/>
              <w:rPr>
                <w:b w:val="0"/>
                <w:bCs/>
                <w:szCs w:val="20"/>
                <w:lang w:val="en-AU"/>
              </w:rPr>
            </w:pPr>
            <w:r w:rsidRPr="00B42397">
              <w:rPr>
                <w:b w:val="0"/>
                <w:bCs/>
                <w:szCs w:val="20"/>
                <w:lang w:val="en-AU"/>
              </w:rPr>
              <w:t>(based on m</w:t>
            </w:r>
            <w:r w:rsidR="00530FFA" w:rsidRPr="00B42397">
              <w:rPr>
                <w:b w:val="0"/>
                <w:bCs/>
                <w:szCs w:val="20"/>
                <w:lang w:val="en-AU"/>
              </w:rPr>
              <w:t xml:space="preserve">edian DI/ </w:t>
            </w:r>
            <w:r w:rsidR="00833A74" w:rsidRPr="00B42397">
              <w:rPr>
                <w:b w:val="0"/>
                <w:bCs/>
                <w:szCs w:val="20"/>
                <w:lang w:val="en-AU"/>
              </w:rPr>
              <w:t>R</w:t>
            </w:r>
            <w:r w:rsidR="001F5659" w:rsidRPr="00B42397">
              <w:rPr>
                <w:b w:val="0"/>
                <w:bCs/>
                <w:szCs w:val="20"/>
                <w:lang w:val="en-AU"/>
              </w:rPr>
              <w:t>D</w:t>
            </w:r>
            <w:r w:rsidR="00530FFA" w:rsidRPr="00B42397">
              <w:rPr>
                <w:b w:val="0"/>
                <w:bCs/>
                <w:szCs w:val="20"/>
                <w:lang w:val="en-AU"/>
              </w:rPr>
              <w:t>I</w:t>
            </w:r>
            <w:r w:rsidRPr="00B42397">
              <w:rPr>
                <w:b w:val="0"/>
                <w:bCs/>
                <w:szCs w:val="20"/>
                <w:lang w:val="en-AU"/>
              </w:rPr>
              <w:t>)</w:t>
            </w:r>
          </w:p>
        </w:tc>
        <w:tc>
          <w:tcPr>
            <w:tcW w:w="754" w:type="pct"/>
            <w:shd w:val="clear" w:color="auto" w:fill="auto"/>
            <w:vAlign w:val="center"/>
          </w:tcPr>
          <w:p w14:paraId="110DF9D1" w14:textId="77777777" w:rsidR="001003E6" w:rsidRPr="00B42397" w:rsidRDefault="00F85A7D" w:rsidP="00FD03AC">
            <w:pPr>
              <w:pStyle w:val="In-tableHeading"/>
              <w:keepNext w:val="0"/>
              <w:widowControl w:val="0"/>
              <w:jc w:val="center"/>
              <w:rPr>
                <w:b w:val="0"/>
                <w:bCs/>
                <w:szCs w:val="20"/>
                <w:lang w:val="en-AU"/>
              </w:rPr>
            </w:pPr>
            <w:proofErr w:type="spellStart"/>
            <w:r w:rsidRPr="00B42397">
              <w:rPr>
                <w:b w:val="0"/>
                <w:bCs/>
                <w:szCs w:val="20"/>
                <w:lang w:val="en-AU"/>
              </w:rPr>
              <w:t>E</w:t>
            </w:r>
            <w:r w:rsidR="00FD03AC" w:rsidRPr="00B42397">
              <w:rPr>
                <w:b w:val="0"/>
                <w:bCs/>
                <w:szCs w:val="20"/>
                <w:lang w:val="en-AU"/>
              </w:rPr>
              <w:t>lo</w:t>
            </w:r>
            <w:proofErr w:type="spellEnd"/>
            <w:r w:rsidRPr="00B42397">
              <w:rPr>
                <w:b w:val="0"/>
                <w:bCs/>
                <w:szCs w:val="20"/>
                <w:lang w:val="en-AU"/>
              </w:rPr>
              <w:t>:</w:t>
            </w:r>
            <w:r w:rsidR="00C924C3" w:rsidRPr="00B42397">
              <w:rPr>
                <w:b w:val="0"/>
                <w:bCs/>
                <w:szCs w:val="20"/>
                <w:lang w:val="en-AU"/>
              </w:rPr>
              <w:t xml:space="preserve"> 1,676 </w:t>
            </w:r>
            <w:proofErr w:type="spellStart"/>
            <w:r w:rsidR="00C924C3" w:rsidRPr="00B42397">
              <w:rPr>
                <w:b w:val="0"/>
                <w:bCs/>
                <w:szCs w:val="20"/>
                <w:lang w:val="en-AU"/>
              </w:rPr>
              <w:t>mg</w:t>
            </w:r>
            <w:r w:rsidR="002F6FFF" w:rsidRPr="00B42397">
              <w:rPr>
                <w:b w:val="0"/>
                <w:bCs/>
                <w:szCs w:val="20"/>
                <w:vertAlign w:val="superscript"/>
                <w:lang w:val="en-AU"/>
              </w:rPr>
              <w:t>a</w:t>
            </w:r>
            <w:proofErr w:type="spellEnd"/>
          </w:p>
          <w:p w14:paraId="603592AD" w14:textId="77777777" w:rsidR="00C924C3" w:rsidRPr="00B42397" w:rsidRDefault="00C924C3" w:rsidP="00FD03AC">
            <w:pPr>
              <w:pStyle w:val="In-tableHeading"/>
              <w:keepNext w:val="0"/>
              <w:widowControl w:val="0"/>
              <w:jc w:val="center"/>
              <w:rPr>
                <w:b w:val="0"/>
                <w:bCs/>
                <w:szCs w:val="20"/>
                <w:lang w:val="en-AU"/>
              </w:rPr>
            </w:pPr>
            <w:r w:rsidRPr="00B42397">
              <w:rPr>
                <w:b w:val="0"/>
                <w:bCs/>
                <w:szCs w:val="20"/>
                <w:lang w:val="en-AU"/>
              </w:rPr>
              <w:t xml:space="preserve">Len: 416 </w:t>
            </w:r>
            <w:proofErr w:type="spellStart"/>
            <w:r w:rsidRPr="00B42397">
              <w:rPr>
                <w:b w:val="0"/>
                <w:bCs/>
                <w:szCs w:val="20"/>
                <w:lang w:val="en-AU"/>
              </w:rPr>
              <w:t>mg</w:t>
            </w:r>
            <w:r w:rsidR="002F6FFF" w:rsidRPr="00B42397">
              <w:rPr>
                <w:b w:val="0"/>
                <w:bCs/>
                <w:szCs w:val="20"/>
                <w:vertAlign w:val="superscript"/>
                <w:lang w:val="en-AU"/>
              </w:rPr>
              <w:t>b</w:t>
            </w:r>
            <w:proofErr w:type="spellEnd"/>
          </w:p>
          <w:p w14:paraId="0248E931" w14:textId="77777777" w:rsidR="000E2C9D" w:rsidRPr="00B42397" w:rsidRDefault="00C924C3" w:rsidP="00FD03AC">
            <w:pPr>
              <w:pStyle w:val="In-tableHeading"/>
              <w:keepNext w:val="0"/>
              <w:widowControl w:val="0"/>
              <w:jc w:val="center"/>
              <w:rPr>
                <w:b w:val="0"/>
                <w:bCs/>
                <w:szCs w:val="20"/>
                <w:lang w:val="en-AU"/>
              </w:rPr>
            </w:pPr>
            <w:proofErr w:type="spellStart"/>
            <w:r w:rsidRPr="00B42397">
              <w:rPr>
                <w:b w:val="0"/>
                <w:bCs/>
                <w:szCs w:val="20"/>
                <w:lang w:val="en-AU"/>
              </w:rPr>
              <w:t>Dex</w:t>
            </w:r>
            <w:proofErr w:type="spellEnd"/>
            <w:r w:rsidRPr="00B42397">
              <w:rPr>
                <w:b w:val="0"/>
                <w:bCs/>
                <w:szCs w:val="20"/>
                <w:lang w:val="en-AU"/>
              </w:rPr>
              <w:t xml:space="preserve">: </w:t>
            </w:r>
            <w:r w:rsidR="000E2C9D" w:rsidRPr="00B42397">
              <w:rPr>
                <w:b w:val="0"/>
                <w:bCs/>
                <w:szCs w:val="20"/>
                <w:lang w:val="en-AU"/>
              </w:rPr>
              <w:t xml:space="preserve">137 </w:t>
            </w:r>
            <w:proofErr w:type="spellStart"/>
            <w:r w:rsidR="000E2C9D" w:rsidRPr="00B42397">
              <w:rPr>
                <w:b w:val="0"/>
                <w:bCs/>
                <w:szCs w:val="20"/>
                <w:lang w:val="en-AU"/>
              </w:rPr>
              <w:t>mg</w:t>
            </w:r>
            <w:r w:rsidR="002F6FFF" w:rsidRPr="00B42397">
              <w:rPr>
                <w:b w:val="0"/>
                <w:bCs/>
                <w:szCs w:val="20"/>
                <w:vertAlign w:val="superscript"/>
                <w:lang w:val="en-AU"/>
              </w:rPr>
              <w:t>a</w:t>
            </w:r>
            <w:proofErr w:type="spellEnd"/>
          </w:p>
        </w:tc>
        <w:tc>
          <w:tcPr>
            <w:tcW w:w="786" w:type="pct"/>
            <w:shd w:val="clear" w:color="auto" w:fill="auto"/>
            <w:vAlign w:val="center"/>
          </w:tcPr>
          <w:p w14:paraId="4226B752" w14:textId="77777777" w:rsidR="00530FFA" w:rsidRPr="00B42397" w:rsidRDefault="00530FFA" w:rsidP="008E4A1A">
            <w:pPr>
              <w:pStyle w:val="In-tableHeading"/>
              <w:keepNext w:val="0"/>
              <w:widowControl w:val="0"/>
              <w:jc w:val="center"/>
              <w:rPr>
                <w:b w:val="0"/>
                <w:bCs/>
                <w:szCs w:val="20"/>
                <w:lang w:val="en-AU"/>
              </w:rPr>
            </w:pPr>
            <w:proofErr w:type="spellStart"/>
            <w:r w:rsidRPr="00B42397">
              <w:rPr>
                <w:b w:val="0"/>
                <w:bCs/>
                <w:szCs w:val="20"/>
                <w:lang w:val="en-AU"/>
              </w:rPr>
              <w:t>E</w:t>
            </w:r>
            <w:r w:rsidR="00FD03AC" w:rsidRPr="00B42397">
              <w:rPr>
                <w:b w:val="0"/>
                <w:bCs/>
                <w:szCs w:val="20"/>
                <w:lang w:val="en-AU"/>
              </w:rPr>
              <w:t>lo</w:t>
            </w:r>
            <w:proofErr w:type="spellEnd"/>
            <w:r w:rsidRPr="00B42397">
              <w:rPr>
                <w:b w:val="0"/>
                <w:bCs/>
                <w:szCs w:val="20"/>
                <w:lang w:val="en-AU"/>
              </w:rPr>
              <w:t xml:space="preserve">: </w:t>
            </w:r>
            <w:r w:rsidR="00C17AA9" w:rsidRPr="00B42397">
              <w:rPr>
                <w:b w:val="0"/>
                <w:bCs/>
                <w:szCs w:val="20"/>
                <w:lang w:val="en-AU"/>
              </w:rPr>
              <w:t>1,</w:t>
            </w:r>
            <w:r w:rsidR="001003E6" w:rsidRPr="00B42397">
              <w:rPr>
                <w:b w:val="0"/>
                <w:bCs/>
                <w:szCs w:val="20"/>
                <w:lang w:val="en-AU"/>
              </w:rPr>
              <w:t xml:space="preserve">544 </w:t>
            </w:r>
            <w:proofErr w:type="spellStart"/>
            <w:r w:rsidR="001003E6" w:rsidRPr="00B42397">
              <w:rPr>
                <w:b w:val="0"/>
                <w:bCs/>
                <w:szCs w:val="20"/>
                <w:lang w:val="en-AU"/>
              </w:rPr>
              <w:t>mg</w:t>
            </w:r>
            <w:r w:rsidR="002F6FFF" w:rsidRPr="00B42397">
              <w:rPr>
                <w:b w:val="0"/>
                <w:bCs/>
                <w:szCs w:val="20"/>
                <w:vertAlign w:val="superscript"/>
                <w:lang w:val="en-AU"/>
              </w:rPr>
              <w:t>c</w:t>
            </w:r>
            <w:proofErr w:type="spellEnd"/>
          </w:p>
          <w:p w14:paraId="6253994F" w14:textId="77777777" w:rsidR="00530FFA" w:rsidRPr="00B42397" w:rsidRDefault="00530FFA" w:rsidP="008E4A1A">
            <w:pPr>
              <w:pStyle w:val="In-tableHeading"/>
              <w:keepNext w:val="0"/>
              <w:widowControl w:val="0"/>
              <w:jc w:val="center"/>
              <w:rPr>
                <w:b w:val="0"/>
                <w:bCs/>
                <w:szCs w:val="20"/>
                <w:lang w:val="en-AU"/>
              </w:rPr>
            </w:pPr>
            <w:r w:rsidRPr="00B42397">
              <w:rPr>
                <w:b w:val="0"/>
                <w:bCs/>
                <w:szCs w:val="20"/>
                <w:lang w:val="en-AU"/>
              </w:rPr>
              <w:t xml:space="preserve">Len: </w:t>
            </w:r>
            <w:r w:rsidR="001003E6" w:rsidRPr="00B42397">
              <w:rPr>
                <w:b w:val="0"/>
                <w:bCs/>
                <w:szCs w:val="20"/>
                <w:lang w:val="en-AU"/>
              </w:rPr>
              <w:t xml:space="preserve">416 </w:t>
            </w:r>
            <w:proofErr w:type="spellStart"/>
            <w:r w:rsidR="001003E6" w:rsidRPr="00B42397">
              <w:rPr>
                <w:b w:val="0"/>
                <w:bCs/>
                <w:szCs w:val="20"/>
                <w:lang w:val="en-AU"/>
              </w:rPr>
              <w:t>mg</w:t>
            </w:r>
            <w:r w:rsidR="002F6FFF" w:rsidRPr="00B42397">
              <w:rPr>
                <w:b w:val="0"/>
                <w:bCs/>
                <w:szCs w:val="20"/>
                <w:vertAlign w:val="superscript"/>
                <w:lang w:val="en-AU"/>
              </w:rPr>
              <w:t>b</w:t>
            </w:r>
            <w:proofErr w:type="spellEnd"/>
            <w:r w:rsidR="001003E6" w:rsidRPr="00B42397">
              <w:rPr>
                <w:b w:val="0"/>
                <w:bCs/>
                <w:szCs w:val="20"/>
                <w:lang w:val="en-AU"/>
              </w:rPr>
              <w:t xml:space="preserve"> </w:t>
            </w:r>
          </w:p>
          <w:p w14:paraId="3C2D5859" w14:textId="77777777" w:rsidR="001003E6" w:rsidRPr="00B42397" w:rsidRDefault="00530FFA" w:rsidP="008E4A1A">
            <w:pPr>
              <w:pStyle w:val="In-tableHeading"/>
              <w:keepNext w:val="0"/>
              <w:widowControl w:val="0"/>
              <w:jc w:val="center"/>
              <w:rPr>
                <w:b w:val="0"/>
                <w:bCs/>
                <w:szCs w:val="20"/>
                <w:lang w:val="en-AU"/>
              </w:rPr>
            </w:pPr>
            <w:proofErr w:type="spellStart"/>
            <w:r w:rsidRPr="00B42397">
              <w:rPr>
                <w:b w:val="0"/>
                <w:bCs/>
                <w:szCs w:val="20"/>
                <w:lang w:val="en-AU"/>
              </w:rPr>
              <w:t>Dex</w:t>
            </w:r>
            <w:proofErr w:type="spellEnd"/>
            <w:r w:rsidRPr="00B42397">
              <w:rPr>
                <w:b w:val="0"/>
                <w:bCs/>
                <w:szCs w:val="20"/>
                <w:lang w:val="en-AU"/>
              </w:rPr>
              <w:t xml:space="preserve">: </w:t>
            </w:r>
            <w:r w:rsidR="002F6FFF" w:rsidRPr="00B42397">
              <w:rPr>
                <w:b w:val="0"/>
                <w:bCs/>
                <w:szCs w:val="20"/>
                <w:lang w:val="en-AU"/>
              </w:rPr>
              <w:t xml:space="preserve">135 </w:t>
            </w:r>
            <w:proofErr w:type="spellStart"/>
            <w:r w:rsidR="002F6FFF" w:rsidRPr="00B42397">
              <w:rPr>
                <w:b w:val="0"/>
                <w:bCs/>
                <w:szCs w:val="20"/>
                <w:lang w:val="en-AU"/>
              </w:rPr>
              <w:t>mg</w:t>
            </w:r>
            <w:r w:rsidR="002F6FFF" w:rsidRPr="00B42397">
              <w:rPr>
                <w:b w:val="0"/>
                <w:bCs/>
                <w:szCs w:val="20"/>
                <w:vertAlign w:val="superscript"/>
                <w:lang w:val="en-AU"/>
              </w:rPr>
              <w:t>c</w:t>
            </w:r>
            <w:proofErr w:type="spellEnd"/>
          </w:p>
        </w:tc>
        <w:tc>
          <w:tcPr>
            <w:tcW w:w="750" w:type="pct"/>
            <w:shd w:val="clear" w:color="auto" w:fill="auto"/>
            <w:vAlign w:val="center"/>
          </w:tcPr>
          <w:p w14:paraId="32A31058" w14:textId="77777777" w:rsidR="00333621" w:rsidRPr="00B42397" w:rsidRDefault="00333621" w:rsidP="008E4A1A">
            <w:pPr>
              <w:pStyle w:val="In-tableHeading"/>
              <w:keepNext w:val="0"/>
              <w:widowControl w:val="0"/>
              <w:jc w:val="center"/>
              <w:rPr>
                <w:b w:val="0"/>
                <w:bCs/>
                <w:szCs w:val="20"/>
                <w:lang w:val="en-AU"/>
              </w:rPr>
            </w:pPr>
            <w:proofErr w:type="spellStart"/>
            <w:r w:rsidRPr="00B42397">
              <w:rPr>
                <w:b w:val="0"/>
                <w:bCs/>
                <w:szCs w:val="20"/>
                <w:lang w:val="en-AU"/>
              </w:rPr>
              <w:t>E</w:t>
            </w:r>
            <w:r w:rsidR="00FD03AC" w:rsidRPr="00B42397">
              <w:rPr>
                <w:b w:val="0"/>
                <w:bCs/>
                <w:szCs w:val="20"/>
                <w:lang w:val="en-AU"/>
              </w:rPr>
              <w:t>lo</w:t>
            </w:r>
            <w:proofErr w:type="spellEnd"/>
            <w:r w:rsidRPr="00B42397">
              <w:rPr>
                <w:b w:val="0"/>
                <w:bCs/>
                <w:szCs w:val="20"/>
                <w:lang w:val="en-AU"/>
              </w:rPr>
              <w:t xml:space="preserve">: 1,544 </w:t>
            </w:r>
            <w:proofErr w:type="spellStart"/>
            <w:r w:rsidRPr="00B42397">
              <w:rPr>
                <w:b w:val="0"/>
                <w:bCs/>
                <w:szCs w:val="20"/>
                <w:lang w:val="en-AU"/>
              </w:rPr>
              <w:t>mg</w:t>
            </w:r>
            <w:r w:rsidR="002F6FFF" w:rsidRPr="00B42397">
              <w:rPr>
                <w:b w:val="0"/>
                <w:bCs/>
                <w:szCs w:val="20"/>
                <w:vertAlign w:val="superscript"/>
                <w:lang w:val="en-AU"/>
              </w:rPr>
              <w:t>c</w:t>
            </w:r>
            <w:proofErr w:type="spellEnd"/>
          </w:p>
          <w:p w14:paraId="34B6DAC8" w14:textId="77777777" w:rsidR="00333621" w:rsidRPr="00B42397" w:rsidRDefault="00333621" w:rsidP="008E4A1A">
            <w:pPr>
              <w:pStyle w:val="In-tableHeading"/>
              <w:keepNext w:val="0"/>
              <w:widowControl w:val="0"/>
              <w:jc w:val="center"/>
              <w:rPr>
                <w:b w:val="0"/>
                <w:bCs/>
                <w:szCs w:val="20"/>
                <w:lang w:val="en-AU"/>
              </w:rPr>
            </w:pPr>
            <w:r w:rsidRPr="00B42397">
              <w:rPr>
                <w:b w:val="0"/>
                <w:bCs/>
                <w:szCs w:val="20"/>
                <w:lang w:val="en-AU"/>
              </w:rPr>
              <w:t xml:space="preserve">Len: 416 </w:t>
            </w:r>
            <w:proofErr w:type="spellStart"/>
            <w:r w:rsidRPr="00B42397">
              <w:rPr>
                <w:b w:val="0"/>
                <w:bCs/>
                <w:szCs w:val="20"/>
                <w:lang w:val="en-AU"/>
              </w:rPr>
              <w:t>mg</w:t>
            </w:r>
            <w:r w:rsidR="002F6FFF" w:rsidRPr="00B42397">
              <w:rPr>
                <w:b w:val="0"/>
                <w:bCs/>
                <w:szCs w:val="20"/>
                <w:vertAlign w:val="superscript"/>
                <w:lang w:val="en-AU"/>
              </w:rPr>
              <w:t>b</w:t>
            </w:r>
            <w:proofErr w:type="spellEnd"/>
            <w:r w:rsidRPr="00B42397">
              <w:rPr>
                <w:b w:val="0"/>
                <w:bCs/>
                <w:szCs w:val="20"/>
                <w:lang w:val="en-AU"/>
              </w:rPr>
              <w:t xml:space="preserve"> </w:t>
            </w:r>
          </w:p>
          <w:p w14:paraId="65F40A30" w14:textId="77777777" w:rsidR="00274C26" w:rsidRPr="00B42397" w:rsidRDefault="00333621" w:rsidP="008E4A1A">
            <w:pPr>
              <w:pStyle w:val="In-tableHeading"/>
              <w:keepNext w:val="0"/>
              <w:widowControl w:val="0"/>
              <w:jc w:val="center"/>
              <w:rPr>
                <w:b w:val="0"/>
                <w:bCs/>
                <w:szCs w:val="20"/>
                <w:lang w:val="en-AU"/>
              </w:rPr>
            </w:pPr>
            <w:proofErr w:type="spellStart"/>
            <w:r w:rsidRPr="00B42397">
              <w:rPr>
                <w:b w:val="0"/>
                <w:bCs/>
                <w:szCs w:val="20"/>
                <w:lang w:val="en-AU"/>
              </w:rPr>
              <w:t>Dex</w:t>
            </w:r>
            <w:proofErr w:type="spellEnd"/>
            <w:r w:rsidRPr="00B42397">
              <w:rPr>
                <w:b w:val="0"/>
                <w:bCs/>
                <w:szCs w:val="20"/>
                <w:lang w:val="en-AU"/>
              </w:rPr>
              <w:t xml:space="preserve">: 135 </w:t>
            </w:r>
            <w:proofErr w:type="spellStart"/>
            <w:r w:rsidRPr="00B42397">
              <w:rPr>
                <w:b w:val="0"/>
                <w:bCs/>
                <w:szCs w:val="20"/>
                <w:lang w:val="en-AU"/>
              </w:rPr>
              <w:t>mg</w:t>
            </w:r>
            <w:r w:rsidR="002F6FFF" w:rsidRPr="00B42397">
              <w:rPr>
                <w:b w:val="0"/>
                <w:bCs/>
                <w:szCs w:val="20"/>
                <w:vertAlign w:val="superscript"/>
                <w:lang w:val="en-AU"/>
              </w:rPr>
              <w:t>c</w:t>
            </w:r>
            <w:proofErr w:type="spellEnd"/>
          </w:p>
        </w:tc>
        <w:tc>
          <w:tcPr>
            <w:tcW w:w="632" w:type="pct"/>
            <w:shd w:val="clear" w:color="auto" w:fill="FFFFFF" w:themeFill="background1"/>
            <w:vAlign w:val="center"/>
          </w:tcPr>
          <w:p w14:paraId="5E37C3FA" w14:textId="77777777" w:rsidR="007A566B" w:rsidRPr="00B42397" w:rsidRDefault="007A566B" w:rsidP="00FD03AC">
            <w:pPr>
              <w:pStyle w:val="In-tableHeading"/>
              <w:keepNext w:val="0"/>
              <w:widowControl w:val="0"/>
              <w:jc w:val="center"/>
              <w:rPr>
                <w:b w:val="0"/>
                <w:bCs/>
                <w:szCs w:val="20"/>
                <w:lang w:val="en-AU"/>
              </w:rPr>
            </w:pPr>
            <w:proofErr w:type="spellStart"/>
            <w:r w:rsidRPr="00B42397">
              <w:rPr>
                <w:b w:val="0"/>
                <w:bCs/>
                <w:szCs w:val="20"/>
                <w:lang w:val="en-AU"/>
              </w:rPr>
              <w:t>Carf</w:t>
            </w:r>
            <w:proofErr w:type="spellEnd"/>
            <w:r w:rsidRPr="00B42397">
              <w:rPr>
                <w:b w:val="0"/>
                <w:bCs/>
                <w:szCs w:val="20"/>
                <w:lang w:val="en-AU"/>
              </w:rPr>
              <w:t>: 601 mg Dex:146 mg</w:t>
            </w:r>
          </w:p>
        </w:tc>
        <w:tc>
          <w:tcPr>
            <w:tcW w:w="583" w:type="pct"/>
            <w:shd w:val="clear" w:color="auto" w:fill="FFFFFF" w:themeFill="background1"/>
            <w:vAlign w:val="center"/>
          </w:tcPr>
          <w:p w14:paraId="1C664748" w14:textId="77777777" w:rsidR="001003E6" w:rsidRPr="00B42397" w:rsidRDefault="000D242D" w:rsidP="00FD03AC">
            <w:pPr>
              <w:pStyle w:val="In-tableHeading"/>
              <w:keepNext w:val="0"/>
              <w:widowControl w:val="0"/>
              <w:jc w:val="center"/>
              <w:rPr>
                <w:b w:val="0"/>
                <w:bCs/>
                <w:szCs w:val="20"/>
                <w:lang w:val="en-AU"/>
              </w:rPr>
            </w:pPr>
            <w:proofErr w:type="spellStart"/>
            <w:r w:rsidRPr="00B42397">
              <w:rPr>
                <w:b w:val="0"/>
                <w:bCs/>
                <w:szCs w:val="20"/>
                <w:lang w:val="en-AU"/>
              </w:rPr>
              <w:t>Carf</w:t>
            </w:r>
            <w:proofErr w:type="spellEnd"/>
            <w:r w:rsidR="00FD03AC" w:rsidRPr="00B42397">
              <w:rPr>
                <w:b w:val="0"/>
                <w:bCs/>
                <w:szCs w:val="20"/>
                <w:lang w:val="en-AU"/>
              </w:rPr>
              <w:t>:</w:t>
            </w:r>
            <w:r w:rsidRPr="00B42397">
              <w:rPr>
                <w:b w:val="0"/>
                <w:bCs/>
                <w:szCs w:val="20"/>
                <w:lang w:val="en-AU"/>
              </w:rPr>
              <w:t xml:space="preserve"> 601 mg Dex:146 mg</w:t>
            </w:r>
          </w:p>
        </w:tc>
        <w:tc>
          <w:tcPr>
            <w:tcW w:w="679" w:type="pct"/>
            <w:shd w:val="clear" w:color="auto" w:fill="FFFFFF" w:themeFill="background1"/>
            <w:vAlign w:val="center"/>
          </w:tcPr>
          <w:p w14:paraId="1AC9597E" w14:textId="77777777" w:rsidR="001003E6" w:rsidRPr="00B42397" w:rsidRDefault="000D242D" w:rsidP="00FD03AC">
            <w:pPr>
              <w:pStyle w:val="In-tableHeading"/>
              <w:keepNext w:val="0"/>
              <w:widowControl w:val="0"/>
              <w:jc w:val="center"/>
              <w:rPr>
                <w:b w:val="0"/>
                <w:bCs/>
                <w:szCs w:val="20"/>
                <w:lang w:val="en-AU"/>
              </w:rPr>
            </w:pPr>
            <w:proofErr w:type="spellStart"/>
            <w:r w:rsidRPr="00B42397">
              <w:rPr>
                <w:b w:val="0"/>
                <w:bCs/>
                <w:szCs w:val="20"/>
                <w:lang w:val="en-AU"/>
              </w:rPr>
              <w:t>C</w:t>
            </w:r>
            <w:r w:rsidR="00FD03AC" w:rsidRPr="00B42397">
              <w:rPr>
                <w:b w:val="0"/>
                <w:bCs/>
                <w:szCs w:val="20"/>
                <w:lang w:val="en-AU"/>
              </w:rPr>
              <w:t>arf</w:t>
            </w:r>
            <w:proofErr w:type="spellEnd"/>
            <w:r w:rsidR="00333621" w:rsidRPr="00B42397">
              <w:rPr>
                <w:b w:val="0"/>
                <w:bCs/>
                <w:szCs w:val="20"/>
                <w:lang w:val="en-AU"/>
              </w:rPr>
              <w:t>: 601 mg Dex:146 mg</w:t>
            </w:r>
          </w:p>
        </w:tc>
      </w:tr>
      <w:tr w:rsidR="002B6CD1" w:rsidRPr="00B42397" w14:paraId="470CA160" w14:textId="77777777" w:rsidTr="002B6CD1">
        <w:trPr>
          <w:cantSplit/>
          <w:jc w:val="center"/>
        </w:trPr>
        <w:tc>
          <w:tcPr>
            <w:tcW w:w="816" w:type="pct"/>
            <w:shd w:val="clear" w:color="auto" w:fill="auto"/>
            <w:vAlign w:val="center"/>
          </w:tcPr>
          <w:p w14:paraId="3F3F3F78" w14:textId="77777777" w:rsidR="002B6CD1" w:rsidRPr="00B42397" w:rsidRDefault="002B6CD1" w:rsidP="008E4A1A">
            <w:pPr>
              <w:pStyle w:val="In-tableHeading"/>
              <w:keepNext w:val="0"/>
              <w:widowControl w:val="0"/>
              <w:rPr>
                <w:b w:val="0"/>
                <w:bCs/>
                <w:szCs w:val="20"/>
                <w:lang w:val="en-AU"/>
              </w:rPr>
            </w:pPr>
            <w:r w:rsidRPr="00B42397">
              <w:rPr>
                <w:b w:val="0"/>
                <w:bCs/>
                <w:szCs w:val="20"/>
                <w:lang w:val="en-AU"/>
              </w:rPr>
              <w:t>Frequency/cycle</w:t>
            </w:r>
          </w:p>
        </w:tc>
        <w:tc>
          <w:tcPr>
            <w:tcW w:w="2290" w:type="pct"/>
            <w:gridSpan w:val="3"/>
            <w:shd w:val="clear" w:color="auto" w:fill="auto"/>
          </w:tcPr>
          <w:p w14:paraId="7872B462" w14:textId="77777777" w:rsidR="00351BD8" w:rsidRPr="00B42397" w:rsidRDefault="002B6CD1" w:rsidP="008E4A1A">
            <w:pPr>
              <w:pStyle w:val="In-tableHeading"/>
              <w:keepNext w:val="0"/>
              <w:widowControl w:val="0"/>
              <w:rPr>
                <w:b w:val="0"/>
                <w:bCs/>
                <w:szCs w:val="20"/>
                <w:lang w:val="en-AU"/>
              </w:rPr>
            </w:pPr>
            <w:proofErr w:type="spellStart"/>
            <w:r w:rsidRPr="00B42397">
              <w:rPr>
                <w:b w:val="0"/>
                <w:bCs/>
                <w:szCs w:val="20"/>
                <w:lang w:val="en-AU"/>
              </w:rPr>
              <w:t>Elo</w:t>
            </w:r>
            <w:proofErr w:type="spellEnd"/>
            <w:r w:rsidRPr="00B42397">
              <w:rPr>
                <w:b w:val="0"/>
                <w:bCs/>
                <w:szCs w:val="20"/>
                <w:lang w:val="en-AU"/>
              </w:rPr>
              <w:t xml:space="preserve">: </w:t>
            </w:r>
            <w:r w:rsidR="00ED4027" w:rsidRPr="00B42397">
              <w:rPr>
                <w:b w:val="0"/>
                <w:bCs/>
                <w:szCs w:val="20"/>
                <w:lang w:val="en-AU"/>
              </w:rPr>
              <w:t xml:space="preserve">Cycles 1 and 2: </w:t>
            </w:r>
            <w:r w:rsidRPr="00B42397">
              <w:rPr>
                <w:b w:val="0"/>
                <w:bCs/>
                <w:szCs w:val="20"/>
                <w:lang w:val="en-AU"/>
              </w:rPr>
              <w:t>10 mg/kg once per week</w:t>
            </w:r>
            <w:r w:rsidR="00351BD8" w:rsidRPr="00B42397">
              <w:rPr>
                <w:b w:val="0"/>
                <w:bCs/>
                <w:szCs w:val="20"/>
                <w:lang w:val="en-AU"/>
              </w:rPr>
              <w:t xml:space="preserve">; </w:t>
            </w:r>
          </w:p>
          <w:p w14:paraId="637F12FA" w14:textId="77777777" w:rsidR="002B6CD1" w:rsidRPr="00B42397" w:rsidRDefault="00351BD8" w:rsidP="008E4A1A">
            <w:pPr>
              <w:pStyle w:val="In-tableHeading"/>
              <w:keepNext w:val="0"/>
              <w:widowControl w:val="0"/>
              <w:rPr>
                <w:b w:val="0"/>
                <w:bCs/>
                <w:szCs w:val="20"/>
                <w:lang w:val="en-AU"/>
              </w:rPr>
            </w:pPr>
            <w:r w:rsidRPr="00B42397">
              <w:rPr>
                <w:b w:val="0"/>
                <w:bCs/>
                <w:szCs w:val="20"/>
                <w:lang w:val="en-AU"/>
              </w:rPr>
              <w:t xml:space="preserve">       </w:t>
            </w:r>
            <w:r w:rsidR="002B6CD1" w:rsidRPr="00B42397">
              <w:rPr>
                <w:b w:val="0"/>
                <w:bCs/>
                <w:szCs w:val="20"/>
                <w:lang w:val="en-AU"/>
              </w:rPr>
              <w:t>Cycle</w:t>
            </w:r>
            <w:r w:rsidR="00ED4027" w:rsidRPr="00B42397">
              <w:rPr>
                <w:b w:val="0"/>
                <w:bCs/>
                <w:szCs w:val="20"/>
                <w:lang w:val="en-AU"/>
              </w:rPr>
              <w:t>s</w:t>
            </w:r>
            <w:r w:rsidR="002B6CD1" w:rsidRPr="00B42397">
              <w:rPr>
                <w:b w:val="0"/>
                <w:bCs/>
                <w:szCs w:val="20"/>
                <w:lang w:val="en-AU"/>
              </w:rPr>
              <w:t xml:space="preserve"> 3+: </w:t>
            </w:r>
            <w:r w:rsidR="00ED4027" w:rsidRPr="00B42397">
              <w:rPr>
                <w:b w:val="0"/>
                <w:bCs/>
                <w:szCs w:val="20"/>
                <w:lang w:val="en-AU"/>
              </w:rPr>
              <w:t>10 mg/kg</w:t>
            </w:r>
            <w:r w:rsidR="002B6CD1" w:rsidRPr="00B42397">
              <w:rPr>
                <w:b w:val="0"/>
                <w:bCs/>
                <w:szCs w:val="20"/>
                <w:lang w:val="en-AU"/>
              </w:rPr>
              <w:t xml:space="preserve"> once every two weeks.</w:t>
            </w:r>
          </w:p>
          <w:p w14:paraId="1D07F8EF" w14:textId="77777777" w:rsidR="002B6CD1" w:rsidRPr="00B42397" w:rsidRDefault="002B6CD1" w:rsidP="008E4A1A">
            <w:pPr>
              <w:pStyle w:val="In-tableHeading"/>
              <w:keepNext w:val="0"/>
              <w:widowControl w:val="0"/>
              <w:rPr>
                <w:b w:val="0"/>
                <w:bCs/>
                <w:szCs w:val="20"/>
                <w:lang w:val="en-AU"/>
              </w:rPr>
            </w:pPr>
            <w:r w:rsidRPr="00B42397">
              <w:rPr>
                <w:b w:val="0"/>
                <w:bCs/>
                <w:szCs w:val="20"/>
                <w:lang w:val="en-AU"/>
              </w:rPr>
              <w:t>Len: 25 mg daily (Days 1-21)</w:t>
            </w:r>
          </w:p>
          <w:p w14:paraId="55E5A2D1" w14:textId="77777777" w:rsidR="002B6CD1" w:rsidRPr="00B42397" w:rsidRDefault="002B6CD1" w:rsidP="008E4A1A">
            <w:pPr>
              <w:pStyle w:val="In-tableHeading"/>
              <w:keepNext w:val="0"/>
              <w:widowControl w:val="0"/>
              <w:rPr>
                <w:b w:val="0"/>
                <w:bCs/>
                <w:szCs w:val="20"/>
                <w:lang w:val="en-AU"/>
              </w:rPr>
            </w:pPr>
            <w:proofErr w:type="spellStart"/>
            <w:r w:rsidRPr="00B42397">
              <w:rPr>
                <w:b w:val="0"/>
                <w:bCs/>
                <w:szCs w:val="20"/>
                <w:lang w:val="en-AU"/>
              </w:rPr>
              <w:t>Dex</w:t>
            </w:r>
            <w:proofErr w:type="spellEnd"/>
            <w:r w:rsidRPr="00B42397">
              <w:rPr>
                <w:b w:val="0"/>
                <w:bCs/>
                <w:szCs w:val="20"/>
                <w:lang w:val="en-AU"/>
              </w:rPr>
              <w:t>: on days w</w:t>
            </w:r>
            <w:r w:rsidR="00351BD8" w:rsidRPr="00B42397">
              <w:rPr>
                <w:b w:val="0"/>
                <w:bCs/>
                <w:szCs w:val="20"/>
                <w:lang w:val="en-AU"/>
              </w:rPr>
              <w:t>ithout</w:t>
            </w:r>
            <w:r w:rsidRPr="00B42397">
              <w:rPr>
                <w:b w:val="0"/>
                <w:bCs/>
                <w:szCs w:val="20"/>
                <w:lang w:val="en-AU"/>
              </w:rPr>
              <w:t xml:space="preserve"> </w:t>
            </w:r>
            <w:proofErr w:type="spellStart"/>
            <w:r w:rsidRPr="00B42397">
              <w:rPr>
                <w:b w:val="0"/>
                <w:bCs/>
                <w:szCs w:val="20"/>
                <w:lang w:val="en-AU"/>
              </w:rPr>
              <w:t>E</w:t>
            </w:r>
            <w:r w:rsidR="00351BD8" w:rsidRPr="00B42397">
              <w:rPr>
                <w:b w:val="0"/>
                <w:bCs/>
                <w:szCs w:val="20"/>
                <w:lang w:val="en-AU"/>
              </w:rPr>
              <w:t>lo</w:t>
            </w:r>
            <w:proofErr w:type="spellEnd"/>
            <w:r w:rsidRPr="00B42397">
              <w:rPr>
                <w:b w:val="0"/>
                <w:bCs/>
                <w:szCs w:val="20"/>
                <w:lang w:val="en-AU"/>
              </w:rPr>
              <w:t xml:space="preserve"> 40 mg orally once per week;</w:t>
            </w:r>
          </w:p>
          <w:p w14:paraId="65A41C64" w14:textId="77777777" w:rsidR="002B6CD1" w:rsidRPr="00B42397" w:rsidRDefault="00351BD8" w:rsidP="008E4A1A">
            <w:pPr>
              <w:pStyle w:val="In-tableHeading"/>
              <w:keepNext w:val="0"/>
              <w:widowControl w:val="0"/>
              <w:rPr>
                <w:b w:val="0"/>
                <w:bCs/>
                <w:szCs w:val="20"/>
                <w:lang w:val="en-AU"/>
              </w:rPr>
            </w:pPr>
            <w:r w:rsidRPr="00B42397">
              <w:rPr>
                <w:b w:val="0"/>
                <w:bCs/>
                <w:szCs w:val="20"/>
                <w:lang w:val="en-AU"/>
              </w:rPr>
              <w:t xml:space="preserve">        </w:t>
            </w:r>
            <w:proofErr w:type="gramStart"/>
            <w:r w:rsidR="002B6CD1" w:rsidRPr="00B42397">
              <w:rPr>
                <w:b w:val="0"/>
                <w:bCs/>
                <w:szCs w:val="20"/>
                <w:lang w:val="en-AU"/>
              </w:rPr>
              <w:t>on</w:t>
            </w:r>
            <w:proofErr w:type="gramEnd"/>
            <w:r w:rsidR="002B6CD1" w:rsidRPr="00B42397">
              <w:rPr>
                <w:b w:val="0"/>
                <w:bCs/>
                <w:szCs w:val="20"/>
                <w:lang w:val="en-AU"/>
              </w:rPr>
              <w:t xml:space="preserve"> days with </w:t>
            </w:r>
            <w:proofErr w:type="spellStart"/>
            <w:r w:rsidR="002B6CD1" w:rsidRPr="00B42397">
              <w:rPr>
                <w:b w:val="0"/>
                <w:bCs/>
                <w:szCs w:val="20"/>
                <w:lang w:val="en-AU"/>
              </w:rPr>
              <w:t>E</w:t>
            </w:r>
            <w:r w:rsidRPr="00B42397">
              <w:rPr>
                <w:b w:val="0"/>
                <w:bCs/>
                <w:szCs w:val="20"/>
                <w:lang w:val="en-AU"/>
              </w:rPr>
              <w:t>lo</w:t>
            </w:r>
            <w:proofErr w:type="spellEnd"/>
            <w:r w:rsidR="002B6CD1" w:rsidRPr="00B42397">
              <w:rPr>
                <w:b w:val="0"/>
                <w:bCs/>
                <w:szCs w:val="20"/>
                <w:lang w:val="en-AU"/>
              </w:rPr>
              <w:t xml:space="preserve"> 28 mg orally plus 8 mg IV.</w:t>
            </w:r>
          </w:p>
          <w:p w14:paraId="63E21AD1" w14:textId="77777777" w:rsidR="002B6CD1" w:rsidRPr="00B42397" w:rsidRDefault="002B6CD1" w:rsidP="008E4A1A">
            <w:pPr>
              <w:pStyle w:val="In-tableHeading"/>
              <w:keepNext w:val="0"/>
              <w:widowControl w:val="0"/>
              <w:rPr>
                <w:b w:val="0"/>
                <w:bCs/>
                <w:szCs w:val="20"/>
                <w:lang w:val="en-AU"/>
              </w:rPr>
            </w:pPr>
          </w:p>
          <w:p w14:paraId="742BB2BE" w14:textId="77777777" w:rsidR="002B6CD1" w:rsidRPr="00B42397" w:rsidRDefault="002B6CD1" w:rsidP="008E4A1A">
            <w:pPr>
              <w:pStyle w:val="In-tableHeading"/>
              <w:keepNext w:val="0"/>
              <w:widowControl w:val="0"/>
              <w:rPr>
                <w:b w:val="0"/>
                <w:bCs/>
                <w:szCs w:val="20"/>
                <w:lang w:val="en-AU"/>
              </w:rPr>
            </w:pPr>
            <w:r w:rsidRPr="00B42397">
              <w:rPr>
                <w:b w:val="0"/>
                <w:bCs/>
                <w:szCs w:val="20"/>
                <w:lang w:val="en-AU"/>
              </w:rPr>
              <w:t>28-day cycle</w:t>
            </w:r>
          </w:p>
        </w:tc>
        <w:tc>
          <w:tcPr>
            <w:tcW w:w="1894" w:type="pct"/>
            <w:gridSpan w:val="3"/>
            <w:shd w:val="clear" w:color="auto" w:fill="FFFFFF" w:themeFill="background1"/>
          </w:tcPr>
          <w:p w14:paraId="4B7515AA" w14:textId="77777777" w:rsidR="00351BD8" w:rsidRPr="00B42397" w:rsidRDefault="002B6CD1" w:rsidP="008E4A1A">
            <w:pPr>
              <w:pStyle w:val="In-tableHeading"/>
              <w:keepNext w:val="0"/>
              <w:widowControl w:val="0"/>
              <w:rPr>
                <w:b w:val="0"/>
                <w:bCs/>
                <w:szCs w:val="20"/>
                <w:lang w:val="en-AU"/>
              </w:rPr>
            </w:pPr>
            <w:proofErr w:type="spellStart"/>
            <w:r w:rsidRPr="00B42397">
              <w:rPr>
                <w:b w:val="0"/>
                <w:bCs/>
                <w:szCs w:val="20"/>
                <w:lang w:val="en-AU"/>
              </w:rPr>
              <w:t>Carf</w:t>
            </w:r>
            <w:proofErr w:type="spellEnd"/>
            <w:r w:rsidRPr="00B42397">
              <w:rPr>
                <w:b w:val="0"/>
                <w:bCs/>
                <w:szCs w:val="20"/>
                <w:lang w:val="en-AU"/>
              </w:rPr>
              <w:t>:</w:t>
            </w:r>
            <w:r w:rsidR="00FD03AC" w:rsidRPr="00B42397">
              <w:rPr>
                <w:b w:val="0"/>
                <w:bCs/>
                <w:szCs w:val="20"/>
                <w:lang w:val="en-AU"/>
              </w:rPr>
              <w:t xml:space="preserve"> </w:t>
            </w:r>
            <w:r w:rsidRPr="00B42397">
              <w:rPr>
                <w:b w:val="0"/>
                <w:bCs/>
                <w:szCs w:val="20"/>
                <w:lang w:val="en-AU"/>
              </w:rPr>
              <w:t>Cycle 1: 20 mg/m</w:t>
            </w:r>
            <w:r w:rsidRPr="00B42397">
              <w:rPr>
                <w:b w:val="0"/>
                <w:bCs/>
                <w:szCs w:val="20"/>
                <w:vertAlign w:val="superscript"/>
                <w:lang w:val="en-AU"/>
              </w:rPr>
              <w:t>2</w:t>
            </w:r>
            <w:r w:rsidRPr="00B42397">
              <w:rPr>
                <w:b w:val="0"/>
                <w:bCs/>
                <w:szCs w:val="20"/>
                <w:lang w:val="en-AU"/>
              </w:rPr>
              <w:t xml:space="preserve"> (</w:t>
            </w:r>
            <w:r w:rsidR="00ED4027" w:rsidRPr="00B42397">
              <w:rPr>
                <w:b w:val="0"/>
                <w:bCs/>
                <w:szCs w:val="20"/>
                <w:lang w:val="en-AU"/>
              </w:rPr>
              <w:t>on d</w:t>
            </w:r>
            <w:r w:rsidRPr="00B42397">
              <w:rPr>
                <w:b w:val="0"/>
                <w:bCs/>
                <w:szCs w:val="20"/>
                <w:lang w:val="en-AU"/>
              </w:rPr>
              <w:t xml:space="preserve">ays 1 and 2) </w:t>
            </w:r>
            <w:r w:rsidR="00351BD8" w:rsidRPr="00B42397">
              <w:rPr>
                <w:b w:val="0"/>
                <w:bCs/>
                <w:szCs w:val="20"/>
                <w:lang w:val="en-AU"/>
              </w:rPr>
              <w:br/>
              <w:t xml:space="preserve">         </w:t>
            </w:r>
            <w:r w:rsidR="00ED4027" w:rsidRPr="00B42397">
              <w:rPr>
                <w:b w:val="0"/>
                <w:bCs/>
                <w:szCs w:val="20"/>
                <w:lang w:val="en-AU"/>
              </w:rPr>
              <w:t>and</w:t>
            </w:r>
            <w:r w:rsidRPr="00B42397">
              <w:rPr>
                <w:b w:val="0"/>
                <w:bCs/>
                <w:szCs w:val="20"/>
                <w:lang w:val="en-AU"/>
              </w:rPr>
              <w:t xml:space="preserve"> 56 mg/m</w:t>
            </w:r>
            <w:r w:rsidRPr="00B42397">
              <w:rPr>
                <w:b w:val="0"/>
                <w:bCs/>
                <w:szCs w:val="20"/>
                <w:vertAlign w:val="superscript"/>
                <w:lang w:val="en-AU"/>
              </w:rPr>
              <w:t>2</w:t>
            </w:r>
            <w:r w:rsidR="00ED4027" w:rsidRPr="00B42397">
              <w:rPr>
                <w:b w:val="0"/>
                <w:bCs/>
                <w:szCs w:val="20"/>
                <w:lang w:val="en-AU"/>
              </w:rPr>
              <w:t xml:space="preserve"> (on d</w:t>
            </w:r>
            <w:r w:rsidRPr="00B42397">
              <w:rPr>
                <w:b w:val="0"/>
                <w:bCs/>
                <w:szCs w:val="20"/>
                <w:lang w:val="en-AU"/>
              </w:rPr>
              <w:t>ays 8,</w:t>
            </w:r>
            <w:r w:rsidR="00ED4027" w:rsidRPr="00B42397">
              <w:rPr>
                <w:b w:val="0"/>
                <w:bCs/>
                <w:szCs w:val="20"/>
                <w:lang w:val="en-AU"/>
              </w:rPr>
              <w:t xml:space="preserve"> </w:t>
            </w:r>
            <w:r w:rsidRPr="00B42397">
              <w:rPr>
                <w:b w:val="0"/>
                <w:bCs/>
                <w:szCs w:val="20"/>
                <w:lang w:val="en-AU"/>
              </w:rPr>
              <w:t>9, 15, 16)</w:t>
            </w:r>
            <w:r w:rsidR="00351BD8" w:rsidRPr="00B42397">
              <w:rPr>
                <w:b w:val="0"/>
                <w:bCs/>
                <w:szCs w:val="20"/>
                <w:lang w:val="en-AU"/>
              </w:rPr>
              <w:t xml:space="preserve">; </w:t>
            </w:r>
          </w:p>
          <w:p w14:paraId="65CCF14C" w14:textId="77777777" w:rsidR="002B6CD1" w:rsidRPr="00B42397" w:rsidRDefault="00351BD8" w:rsidP="008E4A1A">
            <w:pPr>
              <w:pStyle w:val="In-tableHeading"/>
              <w:keepNext w:val="0"/>
              <w:widowControl w:val="0"/>
              <w:rPr>
                <w:b w:val="0"/>
                <w:bCs/>
                <w:szCs w:val="20"/>
                <w:lang w:val="en-AU"/>
              </w:rPr>
            </w:pPr>
            <w:r w:rsidRPr="00B42397">
              <w:rPr>
                <w:b w:val="0"/>
                <w:bCs/>
                <w:szCs w:val="20"/>
                <w:lang w:val="en-AU"/>
              </w:rPr>
              <w:t xml:space="preserve">         </w:t>
            </w:r>
            <w:r w:rsidR="002B6CD1" w:rsidRPr="00B42397">
              <w:rPr>
                <w:b w:val="0"/>
                <w:bCs/>
                <w:szCs w:val="20"/>
                <w:lang w:val="en-AU"/>
              </w:rPr>
              <w:t>Cycle</w:t>
            </w:r>
            <w:r w:rsidR="00ED4027" w:rsidRPr="00B42397">
              <w:rPr>
                <w:b w:val="0"/>
                <w:bCs/>
                <w:szCs w:val="20"/>
                <w:lang w:val="en-AU"/>
              </w:rPr>
              <w:t>s</w:t>
            </w:r>
            <w:r w:rsidR="002B6CD1" w:rsidRPr="00B42397">
              <w:rPr>
                <w:b w:val="0"/>
                <w:bCs/>
                <w:szCs w:val="20"/>
                <w:lang w:val="en-AU"/>
              </w:rPr>
              <w:t xml:space="preserve"> 2+: 56 mg/m</w:t>
            </w:r>
            <w:r w:rsidR="002B6CD1" w:rsidRPr="00B42397">
              <w:rPr>
                <w:b w:val="0"/>
                <w:bCs/>
                <w:szCs w:val="20"/>
                <w:vertAlign w:val="superscript"/>
                <w:lang w:val="en-AU"/>
              </w:rPr>
              <w:t>2</w:t>
            </w:r>
            <w:r w:rsidR="002B6CD1" w:rsidRPr="00B42397">
              <w:rPr>
                <w:b w:val="0"/>
                <w:bCs/>
                <w:szCs w:val="20"/>
                <w:lang w:val="en-AU"/>
              </w:rPr>
              <w:t xml:space="preserve"> (</w:t>
            </w:r>
            <w:r w:rsidR="00ED4027" w:rsidRPr="00B42397">
              <w:rPr>
                <w:b w:val="0"/>
                <w:bCs/>
                <w:szCs w:val="20"/>
                <w:lang w:val="en-AU"/>
              </w:rPr>
              <w:t>on d</w:t>
            </w:r>
            <w:r w:rsidR="002B6CD1" w:rsidRPr="00B42397">
              <w:rPr>
                <w:b w:val="0"/>
                <w:bCs/>
                <w:szCs w:val="20"/>
                <w:lang w:val="en-AU"/>
              </w:rPr>
              <w:t>ays 1,2, 8,</w:t>
            </w:r>
            <w:r w:rsidR="00ED4027" w:rsidRPr="00B42397">
              <w:rPr>
                <w:b w:val="0"/>
                <w:bCs/>
                <w:szCs w:val="20"/>
                <w:lang w:val="en-AU"/>
              </w:rPr>
              <w:t xml:space="preserve"> </w:t>
            </w:r>
            <w:r w:rsidR="002B6CD1" w:rsidRPr="00B42397">
              <w:rPr>
                <w:b w:val="0"/>
                <w:bCs/>
                <w:szCs w:val="20"/>
                <w:lang w:val="en-AU"/>
              </w:rPr>
              <w:t xml:space="preserve">9, </w:t>
            </w:r>
            <w:r w:rsidRPr="00B42397">
              <w:rPr>
                <w:b w:val="0"/>
                <w:bCs/>
                <w:szCs w:val="20"/>
                <w:lang w:val="en-AU"/>
              </w:rPr>
              <w:t xml:space="preserve">  </w:t>
            </w:r>
            <w:r w:rsidRPr="00B42397">
              <w:rPr>
                <w:b w:val="0"/>
                <w:bCs/>
                <w:szCs w:val="20"/>
                <w:lang w:val="en-AU"/>
              </w:rPr>
              <w:br/>
              <w:t xml:space="preserve">         </w:t>
            </w:r>
            <w:r w:rsidR="002B6CD1" w:rsidRPr="00B42397">
              <w:rPr>
                <w:b w:val="0"/>
                <w:bCs/>
                <w:szCs w:val="20"/>
                <w:lang w:val="en-AU"/>
              </w:rPr>
              <w:t>15, 16)</w:t>
            </w:r>
          </w:p>
          <w:p w14:paraId="0251E8F3" w14:textId="77777777" w:rsidR="002B6CD1" w:rsidRPr="00B42397" w:rsidRDefault="002B6CD1" w:rsidP="008E4A1A">
            <w:pPr>
              <w:pStyle w:val="In-tableHeading"/>
              <w:keepNext w:val="0"/>
              <w:widowControl w:val="0"/>
              <w:rPr>
                <w:b w:val="0"/>
                <w:bCs/>
                <w:szCs w:val="20"/>
                <w:lang w:val="en-AU"/>
              </w:rPr>
            </w:pPr>
            <w:proofErr w:type="spellStart"/>
            <w:r w:rsidRPr="00B42397">
              <w:rPr>
                <w:b w:val="0"/>
                <w:bCs/>
                <w:szCs w:val="20"/>
                <w:lang w:val="en-AU"/>
              </w:rPr>
              <w:t>D</w:t>
            </w:r>
            <w:r w:rsidR="00ED4027" w:rsidRPr="00B42397">
              <w:rPr>
                <w:b w:val="0"/>
                <w:bCs/>
                <w:szCs w:val="20"/>
                <w:lang w:val="en-AU"/>
              </w:rPr>
              <w:t>ex</w:t>
            </w:r>
            <w:proofErr w:type="spellEnd"/>
            <w:r w:rsidRPr="00B42397">
              <w:rPr>
                <w:b w:val="0"/>
                <w:bCs/>
                <w:szCs w:val="20"/>
                <w:lang w:val="en-AU"/>
              </w:rPr>
              <w:t>: 8 times per cycle</w:t>
            </w:r>
          </w:p>
          <w:p w14:paraId="1B625AD1" w14:textId="77777777" w:rsidR="002B6CD1" w:rsidRPr="00B42397" w:rsidRDefault="002B6CD1" w:rsidP="008E4A1A">
            <w:pPr>
              <w:pStyle w:val="In-tableHeading"/>
              <w:keepNext w:val="0"/>
              <w:widowControl w:val="0"/>
              <w:rPr>
                <w:b w:val="0"/>
                <w:bCs/>
                <w:szCs w:val="20"/>
                <w:lang w:val="en-AU"/>
              </w:rPr>
            </w:pPr>
          </w:p>
          <w:p w14:paraId="2742C1AC" w14:textId="77777777" w:rsidR="002B6CD1" w:rsidRPr="00B42397" w:rsidRDefault="002B6CD1" w:rsidP="008E4A1A">
            <w:pPr>
              <w:pStyle w:val="In-tableHeading"/>
              <w:keepNext w:val="0"/>
              <w:widowControl w:val="0"/>
              <w:rPr>
                <w:b w:val="0"/>
                <w:bCs/>
                <w:szCs w:val="20"/>
                <w:lang w:val="en-AU"/>
              </w:rPr>
            </w:pPr>
            <w:r w:rsidRPr="00B42397">
              <w:rPr>
                <w:b w:val="0"/>
                <w:bCs/>
                <w:szCs w:val="20"/>
                <w:lang w:val="en-AU"/>
              </w:rPr>
              <w:t>28-day cycle</w:t>
            </w:r>
          </w:p>
        </w:tc>
      </w:tr>
      <w:tr w:rsidR="000B3BF3" w:rsidRPr="00B42397" w14:paraId="3C4C0B09" w14:textId="77777777" w:rsidTr="00DC46B8">
        <w:trPr>
          <w:cantSplit/>
          <w:jc w:val="center"/>
        </w:trPr>
        <w:tc>
          <w:tcPr>
            <w:tcW w:w="816" w:type="pct"/>
            <w:shd w:val="clear" w:color="auto" w:fill="auto"/>
            <w:vAlign w:val="center"/>
          </w:tcPr>
          <w:p w14:paraId="4A97BB10" w14:textId="77777777" w:rsidR="000B3BF3" w:rsidRPr="00B42397" w:rsidRDefault="0017548B" w:rsidP="00ED4027">
            <w:pPr>
              <w:pStyle w:val="In-tableHeading"/>
              <w:keepNext w:val="0"/>
              <w:widowControl w:val="0"/>
              <w:rPr>
                <w:b w:val="0"/>
                <w:bCs/>
                <w:szCs w:val="20"/>
                <w:lang w:val="en-AU"/>
              </w:rPr>
            </w:pPr>
            <w:r w:rsidRPr="00B42397">
              <w:rPr>
                <w:b w:val="0"/>
                <w:bCs/>
                <w:szCs w:val="20"/>
                <w:lang w:val="en-AU"/>
              </w:rPr>
              <w:t>M</w:t>
            </w:r>
            <w:r w:rsidR="000B3BF3" w:rsidRPr="00B42397">
              <w:rPr>
                <w:b w:val="0"/>
                <w:bCs/>
                <w:szCs w:val="20"/>
                <w:lang w:val="en-AU"/>
              </w:rPr>
              <w:t xml:space="preserve">edian </w:t>
            </w:r>
            <w:r w:rsidR="00ED4027" w:rsidRPr="00B42397">
              <w:rPr>
                <w:b w:val="0"/>
                <w:bCs/>
                <w:szCs w:val="20"/>
                <w:lang w:val="en-AU"/>
              </w:rPr>
              <w:t>DOT</w:t>
            </w:r>
          </w:p>
        </w:tc>
        <w:tc>
          <w:tcPr>
            <w:tcW w:w="754" w:type="pct"/>
            <w:shd w:val="clear" w:color="auto" w:fill="auto"/>
            <w:vAlign w:val="center"/>
          </w:tcPr>
          <w:p w14:paraId="39F030D3" w14:textId="77777777" w:rsidR="00287A66" w:rsidRPr="00B42397" w:rsidRDefault="00FD6DAD" w:rsidP="00351BD8">
            <w:pPr>
              <w:pStyle w:val="In-tableHeading"/>
              <w:keepNext w:val="0"/>
              <w:widowControl w:val="0"/>
              <w:jc w:val="center"/>
              <w:rPr>
                <w:b w:val="0"/>
                <w:bCs/>
                <w:szCs w:val="20"/>
                <w:lang w:val="en-AU"/>
              </w:rPr>
            </w:pPr>
            <w:r w:rsidRPr="00B42397">
              <w:rPr>
                <w:b w:val="0"/>
                <w:bCs/>
                <w:szCs w:val="20"/>
                <w:lang w:val="en-AU"/>
              </w:rPr>
              <w:t>19</w:t>
            </w:r>
            <w:r w:rsidR="000B3BF3" w:rsidRPr="00B42397">
              <w:rPr>
                <w:b w:val="0"/>
                <w:bCs/>
                <w:szCs w:val="20"/>
                <w:lang w:val="en-AU"/>
              </w:rPr>
              <w:t xml:space="preserve"> </w:t>
            </w:r>
            <w:proofErr w:type="spellStart"/>
            <w:r w:rsidR="000B3BF3" w:rsidRPr="00B42397">
              <w:rPr>
                <w:b w:val="0"/>
                <w:bCs/>
                <w:szCs w:val="20"/>
                <w:lang w:val="en-AU"/>
              </w:rPr>
              <w:t>cycles</w:t>
            </w:r>
            <w:r w:rsidR="002F6FFF" w:rsidRPr="00B42397">
              <w:rPr>
                <w:b w:val="0"/>
                <w:bCs/>
                <w:szCs w:val="20"/>
                <w:vertAlign w:val="superscript"/>
                <w:lang w:val="en-AU"/>
              </w:rPr>
              <w:t>d</w:t>
            </w:r>
            <w:proofErr w:type="spellEnd"/>
          </w:p>
        </w:tc>
        <w:tc>
          <w:tcPr>
            <w:tcW w:w="786" w:type="pct"/>
            <w:shd w:val="clear" w:color="auto" w:fill="auto"/>
            <w:vAlign w:val="center"/>
          </w:tcPr>
          <w:p w14:paraId="4E8DEA97" w14:textId="77777777" w:rsidR="000B3BF3" w:rsidRPr="00B42397" w:rsidRDefault="005C49E5" w:rsidP="00351BD8">
            <w:pPr>
              <w:pStyle w:val="In-tableHeading"/>
              <w:keepNext w:val="0"/>
              <w:widowControl w:val="0"/>
              <w:jc w:val="center"/>
              <w:rPr>
                <w:b w:val="0"/>
                <w:bCs/>
                <w:szCs w:val="20"/>
                <w:lang w:val="en-AU"/>
              </w:rPr>
            </w:pPr>
            <w:r w:rsidRPr="00B42397">
              <w:rPr>
                <w:b w:val="0"/>
                <w:bCs/>
                <w:szCs w:val="20"/>
                <w:lang w:val="en-AU"/>
              </w:rPr>
              <w:t>1</w:t>
            </w:r>
            <w:r w:rsidR="000B3BF3" w:rsidRPr="00B42397">
              <w:rPr>
                <w:b w:val="0"/>
                <w:bCs/>
                <w:szCs w:val="20"/>
                <w:lang w:val="en-AU"/>
              </w:rPr>
              <w:t xml:space="preserve"> cycle</w:t>
            </w:r>
          </w:p>
        </w:tc>
        <w:tc>
          <w:tcPr>
            <w:tcW w:w="750" w:type="pct"/>
            <w:shd w:val="clear" w:color="auto" w:fill="auto"/>
            <w:vAlign w:val="center"/>
          </w:tcPr>
          <w:p w14:paraId="356D77D3" w14:textId="77777777" w:rsidR="000B3BF3" w:rsidRPr="00B42397" w:rsidRDefault="000B3BF3" w:rsidP="00351BD8">
            <w:pPr>
              <w:pStyle w:val="In-tableHeading"/>
              <w:keepNext w:val="0"/>
              <w:widowControl w:val="0"/>
              <w:jc w:val="center"/>
              <w:rPr>
                <w:b w:val="0"/>
                <w:bCs/>
                <w:szCs w:val="20"/>
                <w:lang w:val="en-AU"/>
              </w:rPr>
            </w:pPr>
            <w:r w:rsidRPr="00B42397">
              <w:rPr>
                <w:b w:val="0"/>
                <w:bCs/>
                <w:szCs w:val="20"/>
                <w:lang w:val="en-AU"/>
              </w:rPr>
              <w:t xml:space="preserve">28.6 </w:t>
            </w:r>
            <w:proofErr w:type="spellStart"/>
            <w:r w:rsidRPr="00B42397">
              <w:rPr>
                <w:b w:val="0"/>
                <w:bCs/>
                <w:szCs w:val="20"/>
                <w:lang w:val="en-AU"/>
              </w:rPr>
              <w:t>cycles</w:t>
            </w:r>
            <w:r w:rsidR="002F6FFF" w:rsidRPr="00B42397">
              <w:rPr>
                <w:b w:val="0"/>
                <w:bCs/>
                <w:szCs w:val="20"/>
                <w:vertAlign w:val="superscript"/>
                <w:lang w:val="en-AU"/>
              </w:rPr>
              <w:t>e</w:t>
            </w:r>
            <w:proofErr w:type="spellEnd"/>
            <w:r w:rsidR="00ED4027" w:rsidRPr="00B42397">
              <w:rPr>
                <w:b w:val="0"/>
                <w:bCs/>
                <w:szCs w:val="20"/>
                <w:lang w:val="en-AU"/>
              </w:rPr>
              <w:t xml:space="preserve"> (mean</w:t>
            </w:r>
            <w:r w:rsidR="00966C8C" w:rsidRPr="00B42397">
              <w:rPr>
                <w:b w:val="0"/>
                <w:bCs/>
                <w:szCs w:val="20"/>
                <w:lang w:val="en-AU"/>
              </w:rPr>
              <w:t>)</w:t>
            </w:r>
          </w:p>
        </w:tc>
        <w:tc>
          <w:tcPr>
            <w:tcW w:w="632" w:type="pct"/>
            <w:shd w:val="clear" w:color="auto" w:fill="FFFFFF" w:themeFill="background1"/>
            <w:vAlign w:val="center"/>
          </w:tcPr>
          <w:p w14:paraId="439AB2BE" w14:textId="77777777" w:rsidR="00E81FA7" w:rsidRPr="00B42397" w:rsidRDefault="00CA3554" w:rsidP="00351BD8">
            <w:pPr>
              <w:pStyle w:val="In-tableHeading"/>
              <w:keepNext w:val="0"/>
              <w:widowControl w:val="0"/>
              <w:jc w:val="center"/>
              <w:rPr>
                <w:b w:val="0"/>
                <w:bCs/>
                <w:szCs w:val="20"/>
                <w:vertAlign w:val="superscript"/>
                <w:lang w:val="en-AU"/>
              </w:rPr>
            </w:pPr>
            <w:r w:rsidRPr="00B42397">
              <w:rPr>
                <w:b w:val="0"/>
                <w:bCs/>
                <w:szCs w:val="20"/>
                <w:lang w:val="en-AU"/>
              </w:rPr>
              <w:t>12</w:t>
            </w:r>
            <w:r w:rsidR="0058154B" w:rsidRPr="00B42397">
              <w:rPr>
                <w:b w:val="0"/>
                <w:bCs/>
                <w:szCs w:val="20"/>
                <w:lang w:val="en-AU"/>
              </w:rPr>
              <w:t xml:space="preserve"> </w:t>
            </w:r>
            <w:proofErr w:type="spellStart"/>
            <w:r w:rsidR="000B3BF3" w:rsidRPr="00B42397">
              <w:rPr>
                <w:b w:val="0"/>
                <w:bCs/>
                <w:szCs w:val="20"/>
                <w:lang w:val="en-AU"/>
              </w:rPr>
              <w:t>cycles</w:t>
            </w:r>
            <w:r w:rsidR="002F6FFF" w:rsidRPr="00B42397">
              <w:rPr>
                <w:b w:val="0"/>
                <w:bCs/>
                <w:szCs w:val="20"/>
                <w:vertAlign w:val="superscript"/>
                <w:lang w:val="en-AU"/>
              </w:rPr>
              <w:t>f</w:t>
            </w:r>
            <w:proofErr w:type="spellEnd"/>
          </w:p>
        </w:tc>
        <w:tc>
          <w:tcPr>
            <w:tcW w:w="583" w:type="pct"/>
            <w:shd w:val="clear" w:color="auto" w:fill="FFFFFF" w:themeFill="background1"/>
            <w:vAlign w:val="center"/>
          </w:tcPr>
          <w:p w14:paraId="20C7FBBE" w14:textId="77777777" w:rsidR="000B3BF3" w:rsidRPr="00B42397" w:rsidRDefault="005C49E5" w:rsidP="00351BD8">
            <w:pPr>
              <w:pStyle w:val="In-tableHeading"/>
              <w:keepNext w:val="0"/>
              <w:widowControl w:val="0"/>
              <w:jc w:val="center"/>
              <w:rPr>
                <w:b w:val="0"/>
                <w:bCs/>
                <w:szCs w:val="20"/>
                <w:lang w:val="en-AU"/>
              </w:rPr>
            </w:pPr>
            <w:r w:rsidRPr="00B42397">
              <w:rPr>
                <w:b w:val="0"/>
                <w:bCs/>
                <w:szCs w:val="20"/>
                <w:lang w:val="en-AU"/>
              </w:rPr>
              <w:t>1</w:t>
            </w:r>
            <w:r w:rsidR="00690BD7" w:rsidRPr="00B42397">
              <w:rPr>
                <w:b w:val="0"/>
                <w:bCs/>
                <w:szCs w:val="20"/>
                <w:lang w:val="en-AU"/>
              </w:rPr>
              <w:t xml:space="preserve"> </w:t>
            </w:r>
            <w:r w:rsidR="000B3BF3" w:rsidRPr="00B42397">
              <w:rPr>
                <w:b w:val="0"/>
                <w:bCs/>
                <w:szCs w:val="20"/>
                <w:lang w:val="en-AU"/>
              </w:rPr>
              <w:t>cycle</w:t>
            </w:r>
          </w:p>
        </w:tc>
        <w:tc>
          <w:tcPr>
            <w:tcW w:w="679" w:type="pct"/>
            <w:shd w:val="clear" w:color="auto" w:fill="FFFFFF" w:themeFill="background1"/>
            <w:vAlign w:val="center"/>
          </w:tcPr>
          <w:p w14:paraId="33115DE6" w14:textId="77777777" w:rsidR="000B3BF3" w:rsidRPr="00B42397" w:rsidRDefault="000B3BF3" w:rsidP="00351BD8">
            <w:pPr>
              <w:pStyle w:val="In-tableHeading"/>
              <w:keepNext w:val="0"/>
              <w:widowControl w:val="0"/>
              <w:jc w:val="center"/>
              <w:rPr>
                <w:b w:val="0"/>
                <w:bCs/>
                <w:szCs w:val="20"/>
                <w:lang w:val="en-AU"/>
              </w:rPr>
            </w:pPr>
            <w:r w:rsidRPr="00B42397">
              <w:rPr>
                <w:b w:val="0"/>
                <w:bCs/>
                <w:szCs w:val="20"/>
                <w:lang w:val="en-AU"/>
              </w:rPr>
              <w:t xml:space="preserve">28.6 </w:t>
            </w:r>
            <w:proofErr w:type="spellStart"/>
            <w:r w:rsidRPr="00B42397">
              <w:rPr>
                <w:b w:val="0"/>
                <w:bCs/>
                <w:szCs w:val="20"/>
                <w:lang w:val="en-AU"/>
              </w:rPr>
              <w:t>cycles</w:t>
            </w:r>
            <w:r w:rsidR="002F6FFF" w:rsidRPr="00B42397">
              <w:rPr>
                <w:b w:val="0"/>
                <w:bCs/>
                <w:szCs w:val="20"/>
                <w:vertAlign w:val="superscript"/>
                <w:lang w:val="en-AU"/>
              </w:rPr>
              <w:t>e</w:t>
            </w:r>
            <w:proofErr w:type="spellEnd"/>
            <w:r w:rsidR="00966C8C" w:rsidRPr="00B42397">
              <w:rPr>
                <w:b w:val="0"/>
                <w:bCs/>
                <w:szCs w:val="20"/>
                <w:lang w:val="en-AU"/>
              </w:rPr>
              <w:t xml:space="preserve"> (mean)</w:t>
            </w:r>
          </w:p>
        </w:tc>
      </w:tr>
      <w:tr w:rsidR="00A00892" w:rsidRPr="00B42397" w14:paraId="5E3428BE" w14:textId="77777777" w:rsidTr="00DC46B8">
        <w:trPr>
          <w:cantSplit/>
          <w:jc w:val="center"/>
        </w:trPr>
        <w:tc>
          <w:tcPr>
            <w:tcW w:w="816" w:type="pct"/>
            <w:shd w:val="clear" w:color="auto" w:fill="auto"/>
            <w:vAlign w:val="center"/>
          </w:tcPr>
          <w:p w14:paraId="4C5020E0" w14:textId="77777777" w:rsidR="00A00892" w:rsidRPr="00B42397" w:rsidRDefault="00A00892" w:rsidP="008E4A1A">
            <w:pPr>
              <w:pStyle w:val="TableText0"/>
              <w:keepNext w:val="0"/>
              <w:widowControl w:val="0"/>
              <w:rPr>
                <w:szCs w:val="20"/>
              </w:rPr>
            </w:pPr>
            <w:r w:rsidRPr="00B42397">
              <w:rPr>
                <w:szCs w:val="20"/>
              </w:rPr>
              <w:t>Cost/patient/cycle</w:t>
            </w:r>
          </w:p>
        </w:tc>
        <w:tc>
          <w:tcPr>
            <w:tcW w:w="754" w:type="pct"/>
            <w:shd w:val="clear" w:color="auto" w:fill="auto"/>
            <w:vAlign w:val="center"/>
          </w:tcPr>
          <w:p w14:paraId="390A0B97" w14:textId="77777777" w:rsidR="002F6FFF" w:rsidRPr="00B42397" w:rsidRDefault="001F5659" w:rsidP="002F6FFF">
            <w:pPr>
              <w:pStyle w:val="TableText0"/>
              <w:keepNext w:val="0"/>
              <w:widowControl w:val="0"/>
              <w:jc w:val="center"/>
              <w:rPr>
                <w:iCs/>
                <w:szCs w:val="20"/>
              </w:rPr>
            </w:pPr>
            <w:proofErr w:type="spellStart"/>
            <w:r w:rsidRPr="00B42397">
              <w:rPr>
                <w:iCs/>
                <w:szCs w:val="20"/>
              </w:rPr>
              <w:t>ELd</w:t>
            </w:r>
            <w:proofErr w:type="spellEnd"/>
            <w:r w:rsidR="002F6FFF" w:rsidRPr="00B42397">
              <w:rPr>
                <w:iCs/>
                <w:szCs w:val="20"/>
              </w:rPr>
              <w:t>: $</w:t>
            </w:r>
            <w:r w:rsidR="00B51893">
              <w:rPr>
                <w:iCs/>
                <w:noProof/>
                <w:color w:val="000000"/>
                <w:szCs w:val="20"/>
                <w:highlight w:val="black"/>
              </w:rPr>
              <w:t>''''''''''''''</w:t>
            </w:r>
          </w:p>
          <w:p w14:paraId="516B6E01" w14:textId="77777777" w:rsidR="002F6FFF" w:rsidRPr="00B42397" w:rsidRDefault="002F6FFF" w:rsidP="002F6FFF">
            <w:pPr>
              <w:pStyle w:val="TableText0"/>
              <w:keepNext w:val="0"/>
              <w:widowControl w:val="0"/>
              <w:jc w:val="center"/>
              <w:rPr>
                <w:iCs/>
                <w:szCs w:val="20"/>
              </w:rPr>
            </w:pPr>
          </w:p>
          <w:p w14:paraId="21680783" w14:textId="77777777" w:rsidR="00011C90" w:rsidRPr="00B51893" w:rsidRDefault="00E91357" w:rsidP="002F6FFF">
            <w:pPr>
              <w:pStyle w:val="TableText0"/>
              <w:keepNext w:val="0"/>
              <w:widowControl w:val="0"/>
              <w:jc w:val="center"/>
              <w:rPr>
                <w:iCs/>
                <w:szCs w:val="20"/>
              </w:rPr>
            </w:pPr>
            <w:proofErr w:type="spellStart"/>
            <w:r w:rsidRPr="00B42397">
              <w:rPr>
                <w:iCs/>
                <w:szCs w:val="20"/>
              </w:rPr>
              <w:t>E</w:t>
            </w:r>
            <w:r w:rsidR="00ED4027" w:rsidRPr="00B42397">
              <w:rPr>
                <w:iCs/>
                <w:szCs w:val="20"/>
              </w:rPr>
              <w:t>lo</w:t>
            </w:r>
            <w:proofErr w:type="spellEnd"/>
            <w:r w:rsidRPr="00B42397">
              <w:rPr>
                <w:iCs/>
                <w:szCs w:val="20"/>
              </w:rPr>
              <w:t>:</w:t>
            </w:r>
            <w:r w:rsidR="002B5E8A" w:rsidRPr="00B42397">
              <w:rPr>
                <w:iCs/>
                <w:szCs w:val="20"/>
              </w:rPr>
              <w:t xml:space="preserve"> $</w:t>
            </w:r>
            <w:r w:rsidR="00B51893">
              <w:rPr>
                <w:iCs/>
                <w:noProof/>
                <w:color w:val="000000"/>
                <w:szCs w:val="20"/>
                <w:highlight w:val="black"/>
              </w:rPr>
              <w:t>''''''''''''''</w:t>
            </w:r>
          </w:p>
          <w:p w14:paraId="2EF4FCB1" w14:textId="77777777" w:rsidR="002B5E8A" w:rsidRPr="00B51893" w:rsidRDefault="002B5E8A" w:rsidP="002F6FFF">
            <w:pPr>
              <w:pStyle w:val="TableText0"/>
              <w:keepNext w:val="0"/>
              <w:widowControl w:val="0"/>
              <w:jc w:val="center"/>
              <w:rPr>
                <w:iCs/>
                <w:szCs w:val="20"/>
              </w:rPr>
            </w:pPr>
            <w:r w:rsidRPr="00B42397">
              <w:rPr>
                <w:iCs/>
                <w:szCs w:val="20"/>
              </w:rPr>
              <w:t xml:space="preserve">Len: </w:t>
            </w:r>
            <w:r w:rsidR="00F61F85" w:rsidRPr="00B42397">
              <w:rPr>
                <w:iCs/>
                <w:szCs w:val="20"/>
              </w:rPr>
              <w:t>$</w:t>
            </w:r>
            <w:r w:rsidR="00B51893">
              <w:rPr>
                <w:iCs/>
                <w:noProof/>
                <w:color w:val="000000"/>
                <w:szCs w:val="20"/>
                <w:highlight w:val="black"/>
              </w:rPr>
              <w:t>''''''''''''''</w:t>
            </w:r>
          </w:p>
          <w:p w14:paraId="078ECC73" w14:textId="77777777" w:rsidR="0044258A" w:rsidRPr="00B42397" w:rsidRDefault="0044258A" w:rsidP="002F6FFF">
            <w:pPr>
              <w:pStyle w:val="TableText0"/>
              <w:keepNext w:val="0"/>
              <w:widowControl w:val="0"/>
              <w:jc w:val="center"/>
              <w:rPr>
                <w:iCs/>
                <w:szCs w:val="20"/>
              </w:rPr>
            </w:pPr>
            <w:proofErr w:type="spellStart"/>
            <w:r w:rsidRPr="00B42397">
              <w:rPr>
                <w:iCs/>
                <w:szCs w:val="20"/>
              </w:rPr>
              <w:t>Dex</w:t>
            </w:r>
            <w:proofErr w:type="spellEnd"/>
            <w:r w:rsidR="006E2083" w:rsidRPr="00B42397">
              <w:rPr>
                <w:iCs/>
                <w:szCs w:val="20"/>
              </w:rPr>
              <w:t xml:space="preserve"> 4mg: </w:t>
            </w:r>
            <w:r w:rsidR="00285B44" w:rsidRPr="00B42397">
              <w:rPr>
                <w:iCs/>
                <w:szCs w:val="20"/>
              </w:rPr>
              <w:t>$</w:t>
            </w:r>
            <w:r w:rsidR="009A1C13" w:rsidRPr="00B42397">
              <w:rPr>
                <w:iCs/>
                <w:szCs w:val="20"/>
              </w:rPr>
              <w:t>4.</w:t>
            </w:r>
            <w:r w:rsidR="002F6FFF" w:rsidRPr="00B42397">
              <w:rPr>
                <w:iCs/>
                <w:szCs w:val="20"/>
              </w:rPr>
              <w:t>7</w:t>
            </w:r>
            <w:r w:rsidR="00351BD8" w:rsidRPr="00B42397">
              <w:rPr>
                <w:iCs/>
                <w:szCs w:val="20"/>
              </w:rPr>
              <w:t>0</w:t>
            </w:r>
          </w:p>
          <w:p w14:paraId="0C460975" w14:textId="77777777" w:rsidR="003F5C97" w:rsidRPr="00B42397" w:rsidRDefault="006E2083" w:rsidP="002F6FFF">
            <w:pPr>
              <w:pStyle w:val="TableText0"/>
              <w:keepNext w:val="0"/>
              <w:widowControl w:val="0"/>
              <w:jc w:val="center"/>
              <w:rPr>
                <w:iCs/>
                <w:szCs w:val="20"/>
              </w:rPr>
            </w:pPr>
            <w:proofErr w:type="spellStart"/>
            <w:r w:rsidRPr="00B42397">
              <w:rPr>
                <w:iCs/>
                <w:szCs w:val="20"/>
              </w:rPr>
              <w:t>Dex</w:t>
            </w:r>
            <w:proofErr w:type="spellEnd"/>
            <w:r w:rsidRPr="00B42397">
              <w:rPr>
                <w:iCs/>
                <w:szCs w:val="20"/>
              </w:rPr>
              <w:t xml:space="preserve"> 8 mg: </w:t>
            </w:r>
            <w:r w:rsidR="00285B44" w:rsidRPr="00B42397">
              <w:rPr>
                <w:iCs/>
                <w:szCs w:val="20"/>
              </w:rPr>
              <w:t>$</w:t>
            </w:r>
            <w:r w:rsidR="002F6FFF" w:rsidRPr="00B42397">
              <w:rPr>
                <w:iCs/>
                <w:szCs w:val="20"/>
              </w:rPr>
              <w:t>2.95</w:t>
            </w:r>
          </w:p>
        </w:tc>
        <w:tc>
          <w:tcPr>
            <w:tcW w:w="786" w:type="pct"/>
            <w:shd w:val="clear" w:color="auto" w:fill="auto"/>
            <w:vAlign w:val="center"/>
          </w:tcPr>
          <w:p w14:paraId="75E59163" w14:textId="77777777" w:rsidR="002F6FFF" w:rsidRPr="00B42397" w:rsidRDefault="001F5659" w:rsidP="002F6FFF">
            <w:pPr>
              <w:pStyle w:val="TableText0"/>
              <w:keepNext w:val="0"/>
              <w:widowControl w:val="0"/>
              <w:jc w:val="center"/>
              <w:rPr>
                <w:iCs/>
                <w:szCs w:val="20"/>
              </w:rPr>
            </w:pPr>
            <w:proofErr w:type="spellStart"/>
            <w:r w:rsidRPr="00B42397">
              <w:rPr>
                <w:iCs/>
                <w:szCs w:val="20"/>
              </w:rPr>
              <w:t>ELd</w:t>
            </w:r>
            <w:proofErr w:type="spellEnd"/>
            <w:r w:rsidR="002F6FFF" w:rsidRPr="00B42397">
              <w:rPr>
                <w:iCs/>
                <w:szCs w:val="20"/>
              </w:rPr>
              <w:t>: $</w:t>
            </w:r>
            <w:r w:rsidR="00B51893">
              <w:rPr>
                <w:iCs/>
                <w:noProof/>
                <w:color w:val="000000"/>
                <w:szCs w:val="20"/>
                <w:highlight w:val="black"/>
              </w:rPr>
              <w:t>'''''''''''''</w:t>
            </w:r>
          </w:p>
          <w:p w14:paraId="0307728A" w14:textId="77777777" w:rsidR="002F6FFF" w:rsidRPr="00B42397" w:rsidRDefault="002F6FFF" w:rsidP="002F6FFF">
            <w:pPr>
              <w:pStyle w:val="TableText0"/>
              <w:keepNext w:val="0"/>
              <w:widowControl w:val="0"/>
              <w:jc w:val="center"/>
              <w:rPr>
                <w:iCs/>
                <w:szCs w:val="20"/>
              </w:rPr>
            </w:pPr>
          </w:p>
          <w:p w14:paraId="4FC1B714" w14:textId="77777777" w:rsidR="00A00892" w:rsidRPr="00B42397" w:rsidRDefault="00A00892" w:rsidP="002F6FFF">
            <w:pPr>
              <w:pStyle w:val="TableText0"/>
              <w:keepNext w:val="0"/>
              <w:widowControl w:val="0"/>
              <w:jc w:val="center"/>
              <w:rPr>
                <w:iCs/>
                <w:szCs w:val="20"/>
              </w:rPr>
            </w:pPr>
            <w:proofErr w:type="spellStart"/>
            <w:r w:rsidRPr="00B42397">
              <w:rPr>
                <w:iCs/>
                <w:szCs w:val="20"/>
              </w:rPr>
              <w:t>E</w:t>
            </w:r>
            <w:r w:rsidR="00ED4027" w:rsidRPr="00B42397">
              <w:rPr>
                <w:iCs/>
                <w:szCs w:val="20"/>
              </w:rPr>
              <w:t>lo</w:t>
            </w:r>
            <w:proofErr w:type="spellEnd"/>
            <w:r w:rsidRPr="00B42397">
              <w:rPr>
                <w:iCs/>
                <w:szCs w:val="20"/>
              </w:rPr>
              <w:t xml:space="preserve">: </w:t>
            </w:r>
            <w:bookmarkStart w:id="24" w:name="_Hlk48339957"/>
            <w:r w:rsidRPr="00B42397">
              <w:rPr>
                <w:rFonts w:cs="Calibri"/>
                <w:iCs/>
                <w:color w:val="000000"/>
                <w:szCs w:val="20"/>
              </w:rPr>
              <w:t>$</w:t>
            </w:r>
            <w:bookmarkEnd w:id="24"/>
            <w:r w:rsidR="00B51893">
              <w:rPr>
                <w:rFonts w:cs="Calibri"/>
                <w:iCs/>
                <w:noProof/>
                <w:color w:val="000000"/>
                <w:szCs w:val="20"/>
                <w:highlight w:val="black"/>
              </w:rPr>
              <w:t>'''''''''''''</w:t>
            </w:r>
          </w:p>
          <w:p w14:paraId="559954C8" w14:textId="77777777" w:rsidR="005219F0" w:rsidRPr="00B42397" w:rsidRDefault="00A00892" w:rsidP="002F6FFF">
            <w:pPr>
              <w:pStyle w:val="TableText0"/>
              <w:keepNext w:val="0"/>
              <w:widowControl w:val="0"/>
              <w:jc w:val="center"/>
              <w:rPr>
                <w:iCs/>
                <w:szCs w:val="20"/>
              </w:rPr>
            </w:pPr>
            <w:r w:rsidRPr="00B42397">
              <w:rPr>
                <w:iCs/>
                <w:szCs w:val="20"/>
              </w:rPr>
              <w:t>Len: $</w:t>
            </w:r>
            <w:r w:rsidR="00B51893">
              <w:rPr>
                <w:iCs/>
                <w:noProof/>
                <w:color w:val="000000"/>
                <w:szCs w:val="20"/>
                <w:highlight w:val="black"/>
              </w:rPr>
              <w:t>'''''''''''''''</w:t>
            </w:r>
          </w:p>
          <w:p w14:paraId="76565751" w14:textId="77777777" w:rsidR="001C779C" w:rsidRPr="00B42397" w:rsidRDefault="00A00892" w:rsidP="002F6FFF">
            <w:pPr>
              <w:pStyle w:val="TableText0"/>
              <w:keepNext w:val="0"/>
              <w:widowControl w:val="0"/>
              <w:jc w:val="center"/>
              <w:rPr>
                <w:iCs/>
                <w:szCs w:val="20"/>
              </w:rPr>
            </w:pPr>
            <w:proofErr w:type="spellStart"/>
            <w:r w:rsidRPr="00B42397">
              <w:rPr>
                <w:iCs/>
                <w:szCs w:val="20"/>
              </w:rPr>
              <w:t>Dex</w:t>
            </w:r>
            <w:proofErr w:type="spellEnd"/>
            <w:r w:rsidR="001C779C" w:rsidRPr="00B42397">
              <w:rPr>
                <w:iCs/>
                <w:szCs w:val="20"/>
              </w:rPr>
              <w:t xml:space="preserve"> 4 mg</w:t>
            </w:r>
            <w:r w:rsidRPr="00B42397">
              <w:rPr>
                <w:iCs/>
                <w:szCs w:val="20"/>
              </w:rPr>
              <w:t>:</w:t>
            </w:r>
            <w:r w:rsidR="001C779C" w:rsidRPr="00B42397">
              <w:rPr>
                <w:iCs/>
                <w:szCs w:val="20"/>
              </w:rPr>
              <w:t xml:space="preserve"> $</w:t>
            </w:r>
            <w:r w:rsidR="00912135" w:rsidRPr="00B42397">
              <w:rPr>
                <w:iCs/>
                <w:szCs w:val="20"/>
              </w:rPr>
              <w:t>4.7</w:t>
            </w:r>
            <w:r w:rsidR="00351BD8" w:rsidRPr="00B42397">
              <w:rPr>
                <w:iCs/>
                <w:szCs w:val="20"/>
              </w:rPr>
              <w:t>0</w:t>
            </w:r>
          </w:p>
          <w:p w14:paraId="6960B662" w14:textId="77777777" w:rsidR="00A00892" w:rsidRPr="00B42397" w:rsidRDefault="001C779C" w:rsidP="002F6FFF">
            <w:pPr>
              <w:pStyle w:val="TableText0"/>
              <w:keepNext w:val="0"/>
              <w:widowControl w:val="0"/>
              <w:jc w:val="center"/>
              <w:rPr>
                <w:iCs/>
                <w:szCs w:val="20"/>
              </w:rPr>
            </w:pPr>
            <w:proofErr w:type="spellStart"/>
            <w:r w:rsidRPr="00B42397">
              <w:rPr>
                <w:iCs/>
                <w:szCs w:val="20"/>
              </w:rPr>
              <w:t>Dex</w:t>
            </w:r>
            <w:proofErr w:type="spellEnd"/>
            <w:r w:rsidRPr="00B42397">
              <w:rPr>
                <w:iCs/>
                <w:szCs w:val="20"/>
              </w:rPr>
              <w:t xml:space="preserve"> 8 mg: $</w:t>
            </w:r>
            <w:r w:rsidR="00351BD8" w:rsidRPr="00B42397">
              <w:rPr>
                <w:iCs/>
                <w:szCs w:val="20"/>
              </w:rPr>
              <w:t>2.95</w:t>
            </w:r>
          </w:p>
        </w:tc>
        <w:tc>
          <w:tcPr>
            <w:tcW w:w="750" w:type="pct"/>
            <w:shd w:val="clear" w:color="auto" w:fill="auto"/>
            <w:vAlign w:val="center"/>
          </w:tcPr>
          <w:p w14:paraId="3E41C676" w14:textId="77777777" w:rsidR="002F6FFF" w:rsidRPr="00B42397" w:rsidRDefault="001F5659" w:rsidP="002F6FFF">
            <w:pPr>
              <w:pStyle w:val="TableText0"/>
              <w:keepNext w:val="0"/>
              <w:widowControl w:val="0"/>
              <w:jc w:val="center"/>
              <w:rPr>
                <w:iCs/>
                <w:szCs w:val="20"/>
              </w:rPr>
            </w:pPr>
            <w:proofErr w:type="spellStart"/>
            <w:r w:rsidRPr="00B42397">
              <w:rPr>
                <w:iCs/>
                <w:szCs w:val="20"/>
              </w:rPr>
              <w:t>ELd</w:t>
            </w:r>
            <w:proofErr w:type="spellEnd"/>
            <w:r w:rsidR="002F6FFF" w:rsidRPr="00B42397">
              <w:rPr>
                <w:iCs/>
                <w:szCs w:val="20"/>
              </w:rPr>
              <w:t>: $</w:t>
            </w:r>
            <w:r w:rsidR="00B51893">
              <w:rPr>
                <w:iCs/>
                <w:noProof/>
                <w:color w:val="000000"/>
                <w:szCs w:val="20"/>
                <w:highlight w:val="black"/>
              </w:rPr>
              <w:t>''''''''''''</w:t>
            </w:r>
          </w:p>
          <w:p w14:paraId="7C67762E" w14:textId="77777777" w:rsidR="002F6FFF" w:rsidRPr="00B42397" w:rsidRDefault="002F6FFF" w:rsidP="002F6FFF">
            <w:pPr>
              <w:pStyle w:val="TableText0"/>
              <w:keepNext w:val="0"/>
              <w:widowControl w:val="0"/>
              <w:jc w:val="center"/>
              <w:rPr>
                <w:iCs/>
                <w:szCs w:val="20"/>
              </w:rPr>
            </w:pPr>
          </w:p>
          <w:p w14:paraId="282DB055" w14:textId="77777777" w:rsidR="00225A85" w:rsidRPr="00B42397" w:rsidRDefault="00225A85" w:rsidP="002F6FFF">
            <w:pPr>
              <w:pStyle w:val="TableText0"/>
              <w:keepNext w:val="0"/>
              <w:widowControl w:val="0"/>
              <w:jc w:val="center"/>
              <w:rPr>
                <w:iCs/>
                <w:szCs w:val="20"/>
              </w:rPr>
            </w:pPr>
            <w:proofErr w:type="spellStart"/>
            <w:r w:rsidRPr="00B42397">
              <w:rPr>
                <w:iCs/>
                <w:szCs w:val="20"/>
              </w:rPr>
              <w:t>E</w:t>
            </w:r>
            <w:r w:rsidR="00ED4027" w:rsidRPr="00B42397">
              <w:rPr>
                <w:iCs/>
                <w:szCs w:val="20"/>
              </w:rPr>
              <w:t>lo</w:t>
            </w:r>
            <w:proofErr w:type="spellEnd"/>
            <w:r w:rsidRPr="00B42397">
              <w:rPr>
                <w:iCs/>
                <w:szCs w:val="20"/>
              </w:rPr>
              <w:t xml:space="preserve">: </w:t>
            </w:r>
            <w:r w:rsidRPr="00B42397">
              <w:rPr>
                <w:rFonts w:cs="Calibri"/>
                <w:iCs/>
                <w:color w:val="000000"/>
                <w:szCs w:val="20"/>
              </w:rPr>
              <w:t>$</w:t>
            </w:r>
            <w:r w:rsidR="00B51893">
              <w:rPr>
                <w:rFonts w:cs="Calibri"/>
                <w:iCs/>
                <w:noProof/>
                <w:color w:val="000000"/>
                <w:szCs w:val="20"/>
                <w:highlight w:val="black"/>
              </w:rPr>
              <w:t>''''''''''''''</w:t>
            </w:r>
          </w:p>
          <w:p w14:paraId="7BD27CD3" w14:textId="77777777" w:rsidR="00225A85" w:rsidRPr="00B42397" w:rsidRDefault="00225A85" w:rsidP="002F6FFF">
            <w:pPr>
              <w:pStyle w:val="TableText0"/>
              <w:keepNext w:val="0"/>
              <w:widowControl w:val="0"/>
              <w:jc w:val="center"/>
              <w:rPr>
                <w:iCs/>
                <w:szCs w:val="20"/>
              </w:rPr>
            </w:pPr>
            <w:r w:rsidRPr="00B42397">
              <w:rPr>
                <w:iCs/>
                <w:szCs w:val="20"/>
              </w:rPr>
              <w:t>Len: $</w:t>
            </w:r>
            <w:r w:rsidR="00B51893">
              <w:rPr>
                <w:iCs/>
                <w:noProof/>
                <w:color w:val="000000"/>
                <w:szCs w:val="20"/>
                <w:highlight w:val="black"/>
              </w:rPr>
              <w:t>'''''''''''''</w:t>
            </w:r>
          </w:p>
          <w:p w14:paraId="550BA396" w14:textId="77777777" w:rsidR="00225A85" w:rsidRPr="00B42397" w:rsidRDefault="00225A85" w:rsidP="002F6FFF">
            <w:pPr>
              <w:pStyle w:val="TableText0"/>
              <w:keepNext w:val="0"/>
              <w:widowControl w:val="0"/>
              <w:jc w:val="center"/>
              <w:rPr>
                <w:iCs/>
                <w:szCs w:val="20"/>
              </w:rPr>
            </w:pPr>
            <w:proofErr w:type="spellStart"/>
            <w:r w:rsidRPr="00B42397">
              <w:rPr>
                <w:iCs/>
                <w:szCs w:val="20"/>
              </w:rPr>
              <w:t>Dex</w:t>
            </w:r>
            <w:proofErr w:type="spellEnd"/>
            <w:r w:rsidRPr="00B42397">
              <w:rPr>
                <w:iCs/>
                <w:szCs w:val="20"/>
              </w:rPr>
              <w:t xml:space="preserve"> 4 mg: $4.7</w:t>
            </w:r>
            <w:r w:rsidR="00351BD8" w:rsidRPr="00B42397">
              <w:rPr>
                <w:iCs/>
                <w:szCs w:val="20"/>
              </w:rPr>
              <w:t>0</w:t>
            </w:r>
          </w:p>
          <w:p w14:paraId="3A8F91ED" w14:textId="77777777" w:rsidR="00225A85" w:rsidRPr="00B42397" w:rsidRDefault="00225A85" w:rsidP="002F6FFF">
            <w:pPr>
              <w:pStyle w:val="TableText0"/>
              <w:keepNext w:val="0"/>
              <w:widowControl w:val="0"/>
              <w:jc w:val="center"/>
              <w:rPr>
                <w:iCs/>
                <w:szCs w:val="20"/>
              </w:rPr>
            </w:pPr>
            <w:proofErr w:type="spellStart"/>
            <w:r w:rsidRPr="00B42397">
              <w:rPr>
                <w:iCs/>
                <w:szCs w:val="20"/>
              </w:rPr>
              <w:t>Dex</w:t>
            </w:r>
            <w:proofErr w:type="spellEnd"/>
            <w:r w:rsidRPr="00B42397">
              <w:rPr>
                <w:iCs/>
                <w:szCs w:val="20"/>
              </w:rPr>
              <w:t xml:space="preserve"> 8 mg: $2.9</w:t>
            </w:r>
            <w:r w:rsidR="00351BD8" w:rsidRPr="00B42397">
              <w:rPr>
                <w:iCs/>
                <w:szCs w:val="20"/>
              </w:rPr>
              <w:t>5</w:t>
            </w:r>
          </w:p>
        </w:tc>
        <w:tc>
          <w:tcPr>
            <w:tcW w:w="632" w:type="pct"/>
            <w:shd w:val="clear" w:color="auto" w:fill="FFFFFF" w:themeFill="background1"/>
            <w:vAlign w:val="center"/>
          </w:tcPr>
          <w:p w14:paraId="30DE022C" w14:textId="77777777" w:rsidR="002F6FFF" w:rsidRPr="00B42397" w:rsidRDefault="002F6FFF" w:rsidP="002F6FFF">
            <w:pPr>
              <w:pStyle w:val="TableText0"/>
              <w:keepNext w:val="0"/>
              <w:widowControl w:val="0"/>
              <w:jc w:val="center"/>
              <w:rPr>
                <w:szCs w:val="20"/>
              </w:rPr>
            </w:pPr>
            <w:r w:rsidRPr="00B42397">
              <w:rPr>
                <w:szCs w:val="20"/>
              </w:rPr>
              <w:t>Cd: $</w:t>
            </w:r>
            <w:r w:rsidR="00B51893">
              <w:rPr>
                <w:noProof/>
                <w:color w:val="000000"/>
                <w:szCs w:val="20"/>
                <w:highlight w:val="black"/>
              </w:rPr>
              <w:t>'''''''''''''''</w:t>
            </w:r>
          </w:p>
          <w:p w14:paraId="500619FD" w14:textId="77777777" w:rsidR="002F6FFF" w:rsidRPr="00B42397" w:rsidRDefault="002F6FFF" w:rsidP="002F6FFF">
            <w:pPr>
              <w:pStyle w:val="TableText0"/>
              <w:keepNext w:val="0"/>
              <w:widowControl w:val="0"/>
              <w:jc w:val="center"/>
              <w:rPr>
                <w:szCs w:val="20"/>
              </w:rPr>
            </w:pPr>
          </w:p>
          <w:p w14:paraId="151FEE1B" w14:textId="77777777" w:rsidR="00D33B5C" w:rsidRPr="00B42397" w:rsidRDefault="00D33B5C" w:rsidP="002F6FFF">
            <w:pPr>
              <w:pStyle w:val="TableText0"/>
              <w:keepNext w:val="0"/>
              <w:widowControl w:val="0"/>
              <w:jc w:val="center"/>
              <w:rPr>
                <w:szCs w:val="20"/>
              </w:rPr>
            </w:pPr>
            <w:proofErr w:type="spellStart"/>
            <w:r w:rsidRPr="00B42397">
              <w:rPr>
                <w:szCs w:val="20"/>
              </w:rPr>
              <w:t>Carf</w:t>
            </w:r>
            <w:proofErr w:type="spellEnd"/>
            <w:r w:rsidRPr="00B42397">
              <w:rPr>
                <w:szCs w:val="20"/>
              </w:rPr>
              <w:t xml:space="preserve"> $</w:t>
            </w:r>
            <w:r w:rsidR="00B51893">
              <w:rPr>
                <w:noProof/>
                <w:color w:val="000000"/>
                <w:szCs w:val="20"/>
                <w:highlight w:val="black"/>
              </w:rPr>
              <w:t>''''''''''''''</w:t>
            </w:r>
          </w:p>
          <w:p w14:paraId="04FE4A91" w14:textId="77777777" w:rsidR="00125DDE" w:rsidRPr="00B42397" w:rsidRDefault="00D33B5C" w:rsidP="002F6FFF">
            <w:pPr>
              <w:pStyle w:val="TableText0"/>
              <w:keepNext w:val="0"/>
              <w:widowControl w:val="0"/>
              <w:jc w:val="center"/>
              <w:rPr>
                <w:szCs w:val="20"/>
              </w:rPr>
            </w:pPr>
            <w:proofErr w:type="spellStart"/>
            <w:r w:rsidRPr="00B42397">
              <w:rPr>
                <w:szCs w:val="20"/>
              </w:rPr>
              <w:t>Dex</w:t>
            </w:r>
            <w:proofErr w:type="spellEnd"/>
            <w:r w:rsidRPr="00B42397">
              <w:rPr>
                <w:szCs w:val="20"/>
              </w:rPr>
              <w:t>: $5.</w:t>
            </w:r>
            <w:r w:rsidR="00DC46B8" w:rsidRPr="00B42397">
              <w:rPr>
                <w:szCs w:val="20"/>
              </w:rPr>
              <w:t>90</w:t>
            </w:r>
          </w:p>
        </w:tc>
        <w:tc>
          <w:tcPr>
            <w:tcW w:w="583" w:type="pct"/>
            <w:shd w:val="clear" w:color="auto" w:fill="FFFFFF" w:themeFill="background1"/>
            <w:vAlign w:val="center"/>
          </w:tcPr>
          <w:p w14:paraId="2A7F5E77" w14:textId="77777777" w:rsidR="002F6FFF" w:rsidRPr="00B42397" w:rsidRDefault="002F6FFF" w:rsidP="002F6FFF">
            <w:pPr>
              <w:pStyle w:val="TableText0"/>
              <w:keepNext w:val="0"/>
              <w:widowControl w:val="0"/>
              <w:jc w:val="center"/>
              <w:rPr>
                <w:szCs w:val="20"/>
              </w:rPr>
            </w:pPr>
            <w:r w:rsidRPr="00B42397">
              <w:rPr>
                <w:szCs w:val="20"/>
              </w:rPr>
              <w:t>Cd: $</w:t>
            </w:r>
            <w:r w:rsidR="00B51893">
              <w:rPr>
                <w:noProof/>
                <w:color w:val="000000"/>
                <w:szCs w:val="20"/>
                <w:highlight w:val="black"/>
              </w:rPr>
              <w:t>''''''''''''''</w:t>
            </w:r>
          </w:p>
          <w:p w14:paraId="7357C123" w14:textId="77777777" w:rsidR="002F6FFF" w:rsidRPr="00B42397" w:rsidRDefault="002F6FFF" w:rsidP="002F6FFF">
            <w:pPr>
              <w:pStyle w:val="TableText0"/>
              <w:keepNext w:val="0"/>
              <w:widowControl w:val="0"/>
              <w:jc w:val="center"/>
              <w:rPr>
                <w:szCs w:val="20"/>
              </w:rPr>
            </w:pPr>
          </w:p>
          <w:p w14:paraId="0899479E" w14:textId="77777777" w:rsidR="00A00892" w:rsidRPr="00B42397" w:rsidRDefault="00A00892" w:rsidP="002F6FFF">
            <w:pPr>
              <w:pStyle w:val="TableText0"/>
              <w:keepNext w:val="0"/>
              <w:widowControl w:val="0"/>
              <w:jc w:val="center"/>
              <w:rPr>
                <w:szCs w:val="20"/>
              </w:rPr>
            </w:pPr>
            <w:proofErr w:type="spellStart"/>
            <w:r w:rsidRPr="00B42397">
              <w:rPr>
                <w:szCs w:val="20"/>
              </w:rPr>
              <w:t>Carf</w:t>
            </w:r>
            <w:proofErr w:type="spellEnd"/>
            <w:r w:rsidRPr="00B42397">
              <w:rPr>
                <w:szCs w:val="20"/>
              </w:rPr>
              <w:t xml:space="preserve"> $</w:t>
            </w:r>
            <w:r w:rsidR="00B51893">
              <w:rPr>
                <w:noProof/>
                <w:color w:val="000000"/>
                <w:szCs w:val="20"/>
                <w:highlight w:val="black"/>
              </w:rPr>
              <w:t>'''''''''''''''</w:t>
            </w:r>
          </w:p>
          <w:p w14:paraId="7B5D1B16" w14:textId="77777777" w:rsidR="000B3BF3" w:rsidRPr="00B42397" w:rsidRDefault="00A00892" w:rsidP="002F6FFF">
            <w:pPr>
              <w:pStyle w:val="TableText0"/>
              <w:keepNext w:val="0"/>
              <w:widowControl w:val="0"/>
              <w:jc w:val="center"/>
              <w:rPr>
                <w:szCs w:val="20"/>
              </w:rPr>
            </w:pPr>
            <w:proofErr w:type="spellStart"/>
            <w:r w:rsidRPr="00B42397">
              <w:rPr>
                <w:szCs w:val="20"/>
              </w:rPr>
              <w:t>Dex</w:t>
            </w:r>
            <w:proofErr w:type="spellEnd"/>
            <w:r w:rsidRPr="00B42397">
              <w:rPr>
                <w:szCs w:val="20"/>
              </w:rPr>
              <w:t>: $</w:t>
            </w:r>
            <w:r w:rsidR="002F3A07" w:rsidRPr="00B42397">
              <w:rPr>
                <w:szCs w:val="20"/>
              </w:rPr>
              <w:t>5.</w:t>
            </w:r>
            <w:r w:rsidR="00DC46B8" w:rsidRPr="00B42397">
              <w:rPr>
                <w:szCs w:val="20"/>
              </w:rPr>
              <w:t>90</w:t>
            </w:r>
          </w:p>
        </w:tc>
        <w:tc>
          <w:tcPr>
            <w:tcW w:w="679" w:type="pct"/>
            <w:shd w:val="clear" w:color="auto" w:fill="FFFFFF" w:themeFill="background1"/>
            <w:vAlign w:val="center"/>
          </w:tcPr>
          <w:p w14:paraId="3DE51F04" w14:textId="77777777" w:rsidR="002F6FFF" w:rsidRPr="00B42397" w:rsidRDefault="002F6FFF" w:rsidP="002F6FFF">
            <w:pPr>
              <w:pStyle w:val="TableText0"/>
              <w:keepNext w:val="0"/>
              <w:widowControl w:val="0"/>
              <w:jc w:val="center"/>
              <w:rPr>
                <w:szCs w:val="20"/>
              </w:rPr>
            </w:pPr>
            <w:r w:rsidRPr="00B42397">
              <w:rPr>
                <w:szCs w:val="20"/>
              </w:rPr>
              <w:t>Cd: $</w:t>
            </w:r>
            <w:r w:rsidR="00B51893">
              <w:rPr>
                <w:noProof/>
                <w:color w:val="000000"/>
                <w:szCs w:val="20"/>
                <w:highlight w:val="black"/>
              </w:rPr>
              <w:t>'''''''''''''</w:t>
            </w:r>
          </w:p>
          <w:p w14:paraId="19E3B865" w14:textId="77777777" w:rsidR="002F6FFF" w:rsidRPr="00B42397" w:rsidRDefault="002F6FFF" w:rsidP="002F6FFF">
            <w:pPr>
              <w:pStyle w:val="TableText0"/>
              <w:keepNext w:val="0"/>
              <w:widowControl w:val="0"/>
              <w:jc w:val="center"/>
              <w:rPr>
                <w:szCs w:val="20"/>
              </w:rPr>
            </w:pPr>
          </w:p>
          <w:p w14:paraId="5025A94C" w14:textId="77777777" w:rsidR="00D33B5C" w:rsidRPr="00B42397" w:rsidRDefault="00D33B5C" w:rsidP="002F6FFF">
            <w:pPr>
              <w:pStyle w:val="TableText0"/>
              <w:keepNext w:val="0"/>
              <w:widowControl w:val="0"/>
              <w:jc w:val="center"/>
              <w:rPr>
                <w:szCs w:val="20"/>
              </w:rPr>
            </w:pPr>
            <w:proofErr w:type="spellStart"/>
            <w:r w:rsidRPr="00B42397">
              <w:rPr>
                <w:szCs w:val="20"/>
              </w:rPr>
              <w:t>Carf</w:t>
            </w:r>
            <w:proofErr w:type="spellEnd"/>
            <w:r w:rsidRPr="00B42397">
              <w:rPr>
                <w:szCs w:val="20"/>
              </w:rPr>
              <w:t>: $</w:t>
            </w:r>
            <w:r w:rsidR="00B51893">
              <w:rPr>
                <w:noProof/>
                <w:color w:val="000000"/>
                <w:szCs w:val="20"/>
                <w:highlight w:val="black"/>
              </w:rPr>
              <w:t>''''''''''''''</w:t>
            </w:r>
          </w:p>
          <w:p w14:paraId="4FDCA1B3" w14:textId="77777777" w:rsidR="00A00892" w:rsidRPr="00B42397" w:rsidRDefault="00D33B5C" w:rsidP="002F6FFF">
            <w:pPr>
              <w:pStyle w:val="TableText0"/>
              <w:keepNext w:val="0"/>
              <w:widowControl w:val="0"/>
              <w:jc w:val="center"/>
              <w:rPr>
                <w:szCs w:val="20"/>
              </w:rPr>
            </w:pPr>
            <w:proofErr w:type="spellStart"/>
            <w:r w:rsidRPr="00B42397">
              <w:rPr>
                <w:szCs w:val="20"/>
              </w:rPr>
              <w:t>Dex</w:t>
            </w:r>
            <w:proofErr w:type="spellEnd"/>
            <w:r w:rsidRPr="00B42397">
              <w:rPr>
                <w:szCs w:val="20"/>
              </w:rPr>
              <w:t>: $5.</w:t>
            </w:r>
            <w:r w:rsidR="00DC46B8" w:rsidRPr="00B42397">
              <w:rPr>
                <w:szCs w:val="20"/>
              </w:rPr>
              <w:t>90</w:t>
            </w:r>
          </w:p>
        </w:tc>
      </w:tr>
      <w:tr w:rsidR="001D68F9" w:rsidRPr="00B42397" w14:paraId="665B1DC6" w14:textId="77777777" w:rsidTr="00DC46B8">
        <w:trPr>
          <w:cantSplit/>
          <w:trHeight w:val="503"/>
          <w:jc w:val="center"/>
        </w:trPr>
        <w:tc>
          <w:tcPr>
            <w:tcW w:w="816" w:type="pct"/>
            <w:shd w:val="clear" w:color="auto" w:fill="auto"/>
            <w:vAlign w:val="center"/>
          </w:tcPr>
          <w:p w14:paraId="120BDD43" w14:textId="77777777" w:rsidR="001D68F9" w:rsidRPr="00B42397" w:rsidRDefault="001D68F9" w:rsidP="008E4A1A">
            <w:pPr>
              <w:pStyle w:val="TableText0"/>
              <w:keepNext w:val="0"/>
              <w:widowControl w:val="0"/>
              <w:rPr>
                <w:szCs w:val="20"/>
              </w:rPr>
            </w:pPr>
            <w:r w:rsidRPr="00B42397">
              <w:rPr>
                <w:szCs w:val="20"/>
              </w:rPr>
              <w:t>Cost/patient/course</w:t>
            </w:r>
          </w:p>
        </w:tc>
        <w:tc>
          <w:tcPr>
            <w:tcW w:w="754" w:type="pct"/>
            <w:shd w:val="clear" w:color="auto" w:fill="auto"/>
            <w:vAlign w:val="center"/>
          </w:tcPr>
          <w:p w14:paraId="6C341DD1" w14:textId="77777777" w:rsidR="00CE0B85" w:rsidRPr="00B51893" w:rsidRDefault="001F5659" w:rsidP="002F6FFF">
            <w:pPr>
              <w:pStyle w:val="TableText0"/>
              <w:keepNext w:val="0"/>
              <w:widowControl w:val="0"/>
              <w:jc w:val="center"/>
              <w:rPr>
                <w:iCs/>
                <w:szCs w:val="20"/>
              </w:rPr>
            </w:pPr>
            <w:proofErr w:type="spellStart"/>
            <w:r w:rsidRPr="00B42397">
              <w:rPr>
                <w:iCs/>
                <w:szCs w:val="20"/>
              </w:rPr>
              <w:t>ELd</w:t>
            </w:r>
            <w:proofErr w:type="spellEnd"/>
            <w:r w:rsidR="001D68F9" w:rsidRPr="00B42397">
              <w:rPr>
                <w:iCs/>
                <w:szCs w:val="20"/>
              </w:rPr>
              <w:t xml:space="preserve">: </w:t>
            </w:r>
            <w:r w:rsidR="00CE0B85" w:rsidRPr="00B42397">
              <w:rPr>
                <w:iCs/>
                <w:szCs w:val="20"/>
              </w:rPr>
              <w:t>$</w:t>
            </w:r>
            <w:r w:rsidR="00B51893">
              <w:rPr>
                <w:iCs/>
                <w:noProof/>
                <w:color w:val="000000"/>
                <w:szCs w:val="20"/>
                <w:highlight w:val="black"/>
              </w:rPr>
              <w:t>''''''''''''''''''</w:t>
            </w:r>
          </w:p>
          <w:p w14:paraId="2668C9E5" w14:textId="77777777" w:rsidR="002F6FFF" w:rsidRPr="00B42397" w:rsidRDefault="002F6FFF" w:rsidP="002F6FFF">
            <w:pPr>
              <w:pStyle w:val="TableText0"/>
              <w:keepNext w:val="0"/>
              <w:widowControl w:val="0"/>
              <w:jc w:val="center"/>
              <w:rPr>
                <w:iCs/>
                <w:szCs w:val="20"/>
              </w:rPr>
            </w:pPr>
          </w:p>
          <w:p w14:paraId="1D16307C" w14:textId="77777777" w:rsidR="00BA5947" w:rsidRPr="00B42397" w:rsidRDefault="00CE0B85" w:rsidP="002F6FFF">
            <w:pPr>
              <w:pStyle w:val="TableText0"/>
              <w:keepNext w:val="0"/>
              <w:widowControl w:val="0"/>
              <w:jc w:val="center"/>
              <w:rPr>
                <w:iCs/>
                <w:szCs w:val="20"/>
              </w:rPr>
            </w:pPr>
            <w:proofErr w:type="spellStart"/>
            <w:r w:rsidRPr="00B42397">
              <w:rPr>
                <w:iCs/>
                <w:szCs w:val="20"/>
              </w:rPr>
              <w:t>E</w:t>
            </w:r>
            <w:r w:rsidR="00ED4027" w:rsidRPr="00B42397">
              <w:rPr>
                <w:iCs/>
                <w:szCs w:val="20"/>
              </w:rPr>
              <w:t>lo</w:t>
            </w:r>
            <w:proofErr w:type="spellEnd"/>
            <w:r w:rsidRPr="00B42397">
              <w:rPr>
                <w:iCs/>
                <w:szCs w:val="20"/>
              </w:rPr>
              <w:t>:</w:t>
            </w:r>
            <w:r w:rsidR="00004C5D" w:rsidRPr="00B42397">
              <w:rPr>
                <w:iCs/>
                <w:szCs w:val="20"/>
              </w:rPr>
              <w:t xml:space="preserve">$ </w:t>
            </w:r>
            <w:r w:rsidR="00B51893">
              <w:rPr>
                <w:iCs/>
                <w:noProof/>
                <w:color w:val="000000"/>
                <w:szCs w:val="20"/>
                <w:highlight w:val="black"/>
              </w:rPr>
              <w:t>''''''''''''''''''</w:t>
            </w:r>
          </w:p>
          <w:p w14:paraId="774EB3CD" w14:textId="77777777" w:rsidR="001D68F9" w:rsidRPr="00B42397" w:rsidRDefault="00BA5947" w:rsidP="002F6FFF">
            <w:pPr>
              <w:pStyle w:val="TableText0"/>
              <w:keepNext w:val="0"/>
              <w:widowControl w:val="0"/>
              <w:jc w:val="center"/>
              <w:rPr>
                <w:iCs/>
                <w:szCs w:val="20"/>
              </w:rPr>
            </w:pPr>
            <w:r w:rsidRPr="00B42397">
              <w:rPr>
                <w:iCs/>
                <w:szCs w:val="20"/>
              </w:rPr>
              <w:t>Len:</w:t>
            </w:r>
            <w:r w:rsidR="0039243C" w:rsidRPr="00B42397">
              <w:rPr>
                <w:iCs/>
                <w:szCs w:val="20"/>
              </w:rPr>
              <w:t xml:space="preserve"> </w:t>
            </w:r>
            <w:r w:rsidRPr="00B42397">
              <w:rPr>
                <w:iCs/>
                <w:szCs w:val="20"/>
              </w:rPr>
              <w:t>$</w:t>
            </w:r>
            <w:r w:rsidR="00B51893">
              <w:rPr>
                <w:iCs/>
                <w:noProof/>
                <w:color w:val="000000"/>
                <w:szCs w:val="20"/>
                <w:highlight w:val="black"/>
              </w:rPr>
              <w:t>''''''''''''''''''</w:t>
            </w:r>
            <w:r w:rsidR="00ED4027" w:rsidRPr="00B42397">
              <w:rPr>
                <w:iCs/>
                <w:szCs w:val="20"/>
              </w:rPr>
              <w:t xml:space="preserve"> </w:t>
            </w:r>
            <w:proofErr w:type="spellStart"/>
            <w:r w:rsidRPr="00B42397">
              <w:rPr>
                <w:iCs/>
                <w:szCs w:val="20"/>
              </w:rPr>
              <w:t>Dex</w:t>
            </w:r>
            <w:proofErr w:type="spellEnd"/>
            <w:r w:rsidR="00EB5613" w:rsidRPr="00B42397">
              <w:rPr>
                <w:iCs/>
                <w:szCs w:val="20"/>
              </w:rPr>
              <w:t>: $</w:t>
            </w:r>
            <w:r w:rsidR="004B2DF6" w:rsidRPr="00B42397">
              <w:rPr>
                <w:iCs/>
                <w:szCs w:val="20"/>
              </w:rPr>
              <w:t>14</w:t>
            </w:r>
            <w:r w:rsidR="00351BD8" w:rsidRPr="00B42397">
              <w:rPr>
                <w:iCs/>
                <w:szCs w:val="20"/>
              </w:rPr>
              <w:t>8</w:t>
            </w:r>
          </w:p>
        </w:tc>
        <w:tc>
          <w:tcPr>
            <w:tcW w:w="786" w:type="pct"/>
            <w:shd w:val="clear" w:color="auto" w:fill="auto"/>
            <w:vAlign w:val="center"/>
          </w:tcPr>
          <w:p w14:paraId="2154A680" w14:textId="77777777" w:rsidR="001D68F9" w:rsidRPr="00B42397" w:rsidRDefault="001F5659" w:rsidP="002F6FFF">
            <w:pPr>
              <w:pStyle w:val="TableText0"/>
              <w:keepNext w:val="0"/>
              <w:widowControl w:val="0"/>
              <w:jc w:val="center"/>
              <w:rPr>
                <w:iCs/>
                <w:szCs w:val="20"/>
              </w:rPr>
            </w:pPr>
            <w:proofErr w:type="spellStart"/>
            <w:r w:rsidRPr="00B42397">
              <w:rPr>
                <w:iCs/>
                <w:szCs w:val="20"/>
              </w:rPr>
              <w:t>ELd</w:t>
            </w:r>
            <w:proofErr w:type="spellEnd"/>
            <w:r w:rsidR="001D68F9" w:rsidRPr="00B42397">
              <w:rPr>
                <w:iCs/>
                <w:szCs w:val="20"/>
              </w:rPr>
              <w:t>: $</w:t>
            </w:r>
            <w:r w:rsidR="00B51893">
              <w:rPr>
                <w:iCs/>
                <w:noProof/>
                <w:color w:val="000000"/>
                <w:szCs w:val="20"/>
                <w:highlight w:val="black"/>
              </w:rPr>
              <w:t>''''''''''''''</w:t>
            </w:r>
          </w:p>
        </w:tc>
        <w:tc>
          <w:tcPr>
            <w:tcW w:w="750" w:type="pct"/>
            <w:shd w:val="clear" w:color="auto" w:fill="auto"/>
            <w:vAlign w:val="center"/>
          </w:tcPr>
          <w:p w14:paraId="47844D0C" w14:textId="77777777" w:rsidR="00225A85" w:rsidRPr="00B42397" w:rsidRDefault="001F5659" w:rsidP="002F6FFF">
            <w:pPr>
              <w:pStyle w:val="TableText0"/>
              <w:keepNext w:val="0"/>
              <w:widowControl w:val="0"/>
              <w:jc w:val="center"/>
              <w:rPr>
                <w:iCs/>
                <w:szCs w:val="20"/>
              </w:rPr>
            </w:pPr>
            <w:proofErr w:type="spellStart"/>
            <w:r w:rsidRPr="00B42397">
              <w:rPr>
                <w:iCs/>
                <w:szCs w:val="20"/>
              </w:rPr>
              <w:t>ELd</w:t>
            </w:r>
            <w:proofErr w:type="spellEnd"/>
            <w:r w:rsidR="00225A85" w:rsidRPr="00B42397">
              <w:rPr>
                <w:iCs/>
                <w:szCs w:val="20"/>
              </w:rPr>
              <w:t>: $</w:t>
            </w:r>
            <w:r w:rsidR="00B51893">
              <w:rPr>
                <w:iCs/>
                <w:noProof/>
                <w:color w:val="000000"/>
                <w:szCs w:val="20"/>
                <w:highlight w:val="black"/>
              </w:rPr>
              <w:t>'''''''''''''''''''</w:t>
            </w:r>
          </w:p>
          <w:p w14:paraId="398CA950" w14:textId="77777777" w:rsidR="002F6FFF" w:rsidRPr="00B42397" w:rsidRDefault="002F6FFF" w:rsidP="002F6FFF">
            <w:pPr>
              <w:pStyle w:val="TableText0"/>
              <w:keepNext w:val="0"/>
              <w:widowControl w:val="0"/>
              <w:jc w:val="center"/>
              <w:rPr>
                <w:iCs/>
                <w:szCs w:val="20"/>
              </w:rPr>
            </w:pPr>
          </w:p>
          <w:p w14:paraId="644847BD" w14:textId="77777777" w:rsidR="00351BD8" w:rsidRPr="00B42397" w:rsidRDefault="00225A85" w:rsidP="002F6FFF">
            <w:pPr>
              <w:pStyle w:val="TableText0"/>
              <w:keepNext w:val="0"/>
              <w:widowControl w:val="0"/>
              <w:jc w:val="center"/>
              <w:rPr>
                <w:iCs/>
                <w:szCs w:val="20"/>
              </w:rPr>
            </w:pPr>
            <w:proofErr w:type="spellStart"/>
            <w:r w:rsidRPr="00B42397">
              <w:rPr>
                <w:iCs/>
                <w:szCs w:val="20"/>
              </w:rPr>
              <w:t>E</w:t>
            </w:r>
            <w:r w:rsidR="00ED4027" w:rsidRPr="00B42397">
              <w:rPr>
                <w:iCs/>
                <w:szCs w:val="20"/>
              </w:rPr>
              <w:t>lo</w:t>
            </w:r>
            <w:proofErr w:type="spellEnd"/>
            <w:r w:rsidRPr="00B42397">
              <w:rPr>
                <w:iCs/>
                <w:szCs w:val="20"/>
              </w:rPr>
              <w:t>: $</w:t>
            </w:r>
            <w:r w:rsidR="00B51893">
              <w:rPr>
                <w:iCs/>
                <w:noProof/>
                <w:color w:val="000000"/>
                <w:szCs w:val="20"/>
                <w:highlight w:val="black"/>
              </w:rPr>
              <w:t>''''''''''''''''''</w:t>
            </w:r>
          </w:p>
          <w:p w14:paraId="43F50A28" w14:textId="77777777" w:rsidR="00225A85" w:rsidRPr="00B42397" w:rsidRDefault="00225A85" w:rsidP="002F6FFF">
            <w:pPr>
              <w:pStyle w:val="TableText0"/>
              <w:keepNext w:val="0"/>
              <w:widowControl w:val="0"/>
              <w:jc w:val="center"/>
              <w:rPr>
                <w:iCs/>
                <w:szCs w:val="20"/>
              </w:rPr>
            </w:pPr>
            <w:r w:rsidRPr="00B42397">
              <w:rPr>
                <w:iCs/>
                <w:szCs w:val="20"/>
              </w:rPr>
              <w:t>Len: $</w:t>
            </w:r>
            <w:r w:rsidR="00B51893">
              <w:rPr>
                <w:iCs/>
                <w:noProof/>
                <w:color w:val="000000"/>
                <w:szCs w:val="20"/>
                <w:highlight w:val="black"/>
              </w:rPr>
              <w:t>''''''''''''''''</w:t>
            </w:r>
          </w:p>
          <w:p w14:paraId="2A937AF9" w14:textId="77777777" w:rsidR="00225A85" w:rsidRPr="00B42397" w:rsidRDefault="00225A85" w:rsidP="002F6FFF">
            <w:pPr>
              <w:pStyle w:val="TableText0"/>
              <w:keepNext w:val="0"/>
              <w:widowControl w:val="0"/>
              <w:jc w:val="center"/>
              <w:rPr>
                <w:iCs/>
                <w:szCs w:val="20"/>
              </w:rPr>
            </w:pPr>
            <w:proofErr w:type="spellStart"/>
            <w:r w:rsidRPr="00B42397">
              <w:rPr>
                <w:iCs/>
                <w:szCs w:val="20"/>
              </w:rPr>
              <w:t>Dex</w:t>
            </w:r>
            <w:proofErr w:type="spellEnd"/>
            <w:r w:rsidRPr="00B42397">
              <w:rPr>
                <w:iCs/>
                <w:szCs w:val="20"/>
              </w:rPr>
              <w:t>:</w:t>
            </w:r>
            <w:r w:rsidR="00ED4027" w:rsidRPr="00B42397">
              <w:rPr>
                <w:iCs/>
                <w:szCs w:val="20"/>
              </w:rPr>
              <w:t xml:space="preserve"> $</w:t>
            </w:r>
            <w:r w:rsidRPr="00B42397">
              <w:rPr>
                <w:iCs/>
                <w:szCs w:val="20"/>
              </w:rPr>
              <w:t>2</w:t>
            </w:r>
            <w:r w:rsidR="00351BD8" w:rsidRPr="00B42397">
              <w:rPr>
                <w:iCs/>
                <w:szCs w:val="20"/>
              </w:rPr>
              <w:t>20</w:t>
            </w:r>
          </w:p>
        </w:tc>
        <w:tc>
          <w:tcPr>
            <w:tcW w:w="632" w:type="pct"/>
            <w:shd w:val="clear" w:color="auto" w:fill="FFFFFF" w:themeFill="background1"/>
            <w:vAlign w:val="center"/>
          </w:tcPr>
          <w:p w14:paraId="76E15F25" w14:textId="77777777" w:rsidR="0081448B" w:rsidRPr="00B42397" w:rsidRDefault="0044543A" w:rsidP="002F6FFF">
            <w:pPr>
              <w:pStyle w:val="TableText0"/>
              <w:keepNext w:val="0"/>
              <w:widowControl w:val="0"/>
              <w:jc w:val="center"/>
              <w:rPr>
                <w:szCs w:val="20"/>
              </w:rPr>
            </w:pPr>
            <w:r w:rsidRPr="00B42397">
              <w:rPr>
                <w:szCs w:val="20"/>
              </w:rPr>
              <w:t>Cd: $</w:t>
            </w:r>
            <w:r w:rsidR="00B51893">
              <w:rPr>
                <w:noProof/>
                <w:color w:val="000000"/>
                <w:szCs w:val="20"/>
                <w:highlight w:val="black"/>
              </w:rPr>
              <w:t>''''''''''''''''</w:t>
            </w:r>
          </w:p>
          <w:p w14:paraId="3F0C1397" w14:textId="77777777" w:rsidR="002F6FFF" w:rsidRPr="00B42397" w:rsidRDefault="002F6FFF" w:rsidP="002F6FFF">
            <w:pPr>
              <w:pStyle w:val="TableText0"/>
              <w:keepNext w:val="0"/>
              <w:widowControl w:val="0"/>
              <w:jc w:val="center"/>
              <w:rPr>
                <w:szCs w:val="20"/>
              </w:rPr>
            </w:pPr>
          </w:p>
          <w:p w14:paraId="4D585927" w14:textId="77777777" w:rsidR="00ED4027" w:rsidRPr="00B42397" w:rsidRDefault="0041317C" w:rsidP="002F6FFF">
            <w:pPr>
              <w:pStyle w:val="TableText0"/>
              <w:keepNext w:val="0"/>
              <w:widowControl w:val="0"/>
              <w:jc w:val="center"/>
              <w:rPr>
                <w:szCs w:val="20"/>
              </w:rPr>
            </w:pPr>
            <w:proofErr w:type="spellStart"/>
            <w:r w:rsidRPr="00B42397">
              <w:rPr>
                <w:szCs w:val="20"/>
              </w:rPr>
              <w:t>Carf</w:t>
            </w:r>
            <w:proofErr w:type="spellEnd"/>
            <w:r w:rsidRPr="00B42397">
              <w:rPr>
                <w:szCs w:val="20"/>
              </w:rPr>
              <w:t xml:space="preserve">: </w:t>
            </w:r>
            <w:r w:rsidR="00ED4027" w:rsidRPr="00B42397">
              <w:rPr>
                <w:szCs w:val="20"/>
              </w:rPr>
              <w:t>$</w:t>
            </w:r>
            <w:r w:rsidR="00B51893">
              <w:rPr>
                <w:noProof/>
                <w:color w:val="000000"/>
                <w:szCs w:val="20"/>
                <w:highlight w:val="black"/>
              </w:rPr>
              <w:t>'''''''''''''''</w:t>
            </w:r>
          </w:p>
          <w:p w14:paraId="51610A14" w14:textId="77777777" w:rsidR="0041317C" w:rsidRPr="00B42397" w:rsidRDefault="00ED4027" w:rsidP="002F6FFF">
            <w:pPr>
              <w:pStyle w:val="TableText0"/>
              <w:keepNext w:val="0"/>
              <w:widowControl w:val="0"/>
              <w:jc w:val="center"/>
              <w:rPr>
                <w:szCs w:val="20"/>
              </w:rPr>
            </w:pPr>
            <w:proofErr w:type="spellStart"/>
            <w:r w:rsidRPr="00B42397">
              <w:rPr>
                <w:szCs w:val="20"/>
              </w:rPr>
              <w:t>Dex</w:t>
            </w:r>
            <w:proofErr w:type="spellEnd"/>
            <w:r w:rsidRPr="00B42397">
              <w:rPr>
                <w:szCs w:val="20"/>
              </w:rPr>
              <w:t xml:space="preserve">: </w:t>
            </w:r>
            <w:r w:rsidR="0041317C" w:rsidRPr="00B42397">
              <w:rPr>
                <w:szCs w:val="20"/>
              </w:rPr>
              <w:t>$</w:t>
            </w:r>
            <w:r w:rsidR="000F7BAE" w:rsidRPr="00B42397">
              <w:rPr>
                <w:szCs w:val="20"/>
              </w:rPr>
              <w:t>70</w:t>
            </w:r>
          </w:p>
        </w:tc>
        <w:tc>
          <w:tcPr>
            <w:tcW w:w="583" w:type="pct"/>
            <w:shd w:val="clear" w:color="auto" w:fill="FFFFFF" w:themeFill="background1"/>
            <w:vAlign w:val="center"/>
          </w:tcPr>
          <w:p w14:paraId="12CC8419" w14:textId="77777777" w:rsidR="001D68F9" w:rsidRPr="00B42397" w:rsidRDefault="001D68F9" w:rsidP="002F6FFF">
            <w:pPr>
              <w:pStyle w:val="TableText0"/>
              <w:keepNext w:val="0"/>
              <w:widowControl w:val="0"/>
              <w:jc w:val="center"/>
              <w:rPr>
                <w:szCs w:val="20"/>
              </w:rPr>
            </w:pPr>
            <w:r w:rsidRPr="00B42397">
              <w:rPr>
                <w:szCs w:val="20"/>
              </w:rPr>
              <w:t>Cd:</w:t>
            </w:r>
            <w:r w:rsidR="00FE6A02" w:rsidRPr="00B42397">
              <w:rPr>
                <w:szCs w:val="20"/>
              </w:rPr>
              <w:t xml:space="preserve"> </w:t>
            </w:r>
            <w:r w:rsidR="00C65E98" w:rsidRPr="00B42397">
              <w:rPr>
                <w:szCs w:val="20"/>
              </w:rPr>
              <w:t>$</w:t>
            </w:r>
            <w:r w:rsidR="00B51893">
              <w:rPr>
                <w:noProof/>
                <w:color w:val="000000"/>
                <w:szCs w:val="20"/>
                <w:highlight w:val="black"/>
              </w:rPr>
              <w:t>'''''''''''''</w:t>
            </w:r>
          </w:p>
        </w:tc>
        <w:tc>
          <w:tcPr>
            <w:tcW w:w="679" w:type="pct"/>
            <w:shd w:val="clear" w:color="auto" w:fill="FFFFFF" w:themeFill="background1"/>
            <w:vAlign w:val="center"/>
          </w:tcPr>
          <w:p w14:paraId="4AF47CF6" w14:textId="77777777" w:rsidR="00D33B5C" w:rsidRPr="00B42397" w:rsidRDefault="00D33B5C" w:rsidP="002F6FFF">
            <w:pPr>
              <w:pStyle w:val="TableText0"/>
              <w:keepNext w:val="0"/>
              <w:widowControl w:val="0"/>
              <w:jc w:val="center"/>
              <w:rPr>
                <w:szCs w:val="20"/>
              </w:rPr>
            </w:pPr>
            <w:r w:rsidRPr="00B42397">
              <w:rPr>
                <w:szCs w:val="20"/>
              </w:rPr>
              <w:t>Cd: $</w:t>
            </w:r>
            <w:r w:rsidR="00B51893">
              <w:rPr>
                <w:noProof/>
                <w:color w:val="000000"/>
                <w:szCs w:val="20"/>
                <w:highlight w:val="black"/>
              </w:rPr>
              <w:t>''''''''''''''''''''</w:t>
            </w:r>
          </w:p>
          <w:p w14:paraId="206AC6F4" w14:textId="77777777" w:rsidR="002F6FFF" w:rsidRPr="00B42397" w:rsidRDefault="002F6FFF" w:rsidP="002F6FFF">
            <w:pPr>
              <w:pStyle w:val="TableText0"/>
              <w:keepNext w:val="0"/>
              <w:widowControl w:val="0"/>
              <w:jc w:val="center"/>
              <w:rPr>
                <w:szCs w:val="20"/>
              </w:rPr>
            </w:pPr>
          </w:p>
          <w:p w14:paraId="3B5F5376" w14:textId="77777777" w:rsidR="00D33B5C" w:rsidRPr="00B42397" w:rsidRDefault="00D33B5C" w:rsidP="002F6FFF">
            <w:pPr>
              <w:pStyle w:val="TableText0"/>
              <w:keepNext w:val="0"/>
              <w:widowControl w:val="0"/>
              <w:jc w:val="center"/>
              <w:rPr>
                <w:szCs w:val="20"/>
              </w:rPr>
            </w:pPr>
            <w:proofErr w:type="spellStart"/>
            <w:r w:rsidRPr="00B42397">
              <w:rPr>
                <w:szCs w:val="20"/>
              </w:rPr>
              <w:t>Carf</w:t>
            </w:r>
            <w:proofErr w:type="spellEnd"/>
            <w:r w:rsidRPr="00B42397">
              <w:rPr>
                <w:szCs w:val="20"/>
              </w:rPr>
              <w:t>: $</w:t>
            </w:r>
            <w:r w:rsidR="00B51893">
              <w:rPr>
                <w:noProof/>
                <w:color w:val="000000"/>
                <w:szCs w:val="20"/>
                <w:highlight w:val="black"/>
              </w:rPr>
              <w:t>'''''''''''''''''''</w:t>
            </w:r>
          </w:p>
          <w:p w14:paraId="5311A105" w14:textId="77777777" w:rsidR="00D33B5C" w:rsidRPr="00B42397" w:rsidRDefault="00D33B5C" w:rsidP="002F6FFF">
            <w:pPr>
              <w:pStyle w:val="TableText0"/>
              <w:keepNext w:val="0"/>
              <w:widowControl w:val="0"/>
              <w:jc w:val="center"/>
              <w:rPr>
                <w:szCs w:val="20"/>
              </w:rPr>
            </w:pPr>
            <w:proofErr w:type="spellStart"/>
            <w:r w:rsidRPr="00B42397">
              <w:rPr>
                <w:szCs w:val="20"/>
              </w:rPr>
              <w:t>Dex</w:t>
            </w:r>
            <w:proofErr w:type="spellEnd"/>
            <w:r w:rsidRPr="00B42397">
              <w:rPr>
                <w:szCs w:val="20"/>
              </w:rPr>
              <w:t>: $16</w:t>
            </w:r>
            <w:r w:rsidR="00351BD8" w:rsidRPr="00B42397">
              <w:rPr>
                <w:szCs w:val="20"/>
              </w:rPr>
              <w:t>8</w:t>
            </w:r>
          </w:p>
        </w:tc>
      </w:tr>
    </w:tbl>
    <w:p w14:paraId="5092106B" w14:textId="77777777" w:rsidR="00494207" w:rsidRPr="00B42397" w:rsidRDefault="00494207" w:rsidP="00C94053">
      <w:pPr>
        <w:pStyle w:val="TableFigureFooter"/>
      </w:pPr>
      <w:r w:rsidRPr="00B42397">
        <w:t>Source: Section 3 workbook, sheet 3a of the utilisation-and-cost-model. Italicised values have been calculated.</w:t>
      </w:r>
      <w:r w:rsidR="0017621B" w:rsidRPr="00B42397">
        <w:t xml:space="preserve"> </w:t>
      </w:r>
    </w:p>
    <w:p w14:paraId="0E8CAA65" w14:textId="77777777" w:rsidR="00530FFA" w:rsidRPr="00B42397" w:rsidRDefault="00351BD8" w:rsidP="00C94053">
      <w:pPr>
        <w:pStyle w:val="TableFigureFooter"/>
      </w:pPr>
      <w:proofErr w:type="spellStart"/>
      <w:r w:rsidRPr="00B42397">
        <w:t>Carf</w:t>
      </w:r>
      <w:proofErr w:type="spellEnd"/>
      <w:r w:rsidRPr="00B42397">
        <w:t xml:space="preserve"> = carfilzomib; </w:t>
      </w:r>
      <w:r w:rsidR="00530FFA" w:rsidRPr="00B42397">
        <w:t>Cd =</w:t>
      </w:r>
      <w:r w:rsidR="00C75504" w:rsidRPr="00B42397">
        <w:t xml:space="preserve"> </w:t>
      </w:r>
      <w:r w:rsidR="00011C90" w:rsidRPr="00B42397">
        <w:t>carfilzomib + dexamethasone;</w:t>
      </w:r>
      <w:r w:rsidR="00530FFA" w:rsidRPr="00B42397">
        <w:t xml:space="preserve"> </w:t>
      </w:r>
      <w:r w:rsidRPr="00B42397">
        <w:t xml:space="preserve">CMA = cost-minimisation analysis; </w:t>
      </w:r>
      <w:proofErr w:type="spellStart"/>
      <w:r w:rsidR="00011C90" w:rsidRPr="00B42397">
        <w:t>Dex</w:t>
      </w:r>
      <w:proofErr w:type="spellEnd"/>
      <w:r w:rsidR="00011C90" w:rsidRPr="00B42397">
        <w:t xml:space="preserve"> = </w:t>
      </w:r>
      <w:r w:rsidR="00AB2CBF" w:rsidRPr="00B42397">
        <w:t>d</w:t>
      </w:r>
      <w:r w:rsidR="00011C90" w:rsidRPr="00B42397">
        <w:t xml:space="preserve">examethasone; </w:t>
      </w:r>
      <w:r w:rsidRPr="00B42397">
        <w:t xml:space="preserve">DI = dose intensity; DOT = duration of treatment; </w:t>
      </w:r>
      <w:proofErr w:type="spellStart"/>
      <w:r w:rsidRPr="00B42397">
        <w:t>Elo</w:t>
      </w:r>
      <w:proofErr w:type="spellEnd"/>
      <w:r w:rsidR="00011C90" w:rsidRPr="00B42397">
        <w:t xml:space="preserve"> = elotuzumab; </w:t>
      </w:r>
      <w:proofErr w:type="spellStart"/>
      <w:r w:rsidR="001F5659" w:rsidRPr="00B42397">
        <w:t>ELd</w:t>
      </w:r>
      <w:proofErr w:type="spellEnd"/>
      <w:r w:rsidR="00530FFA" w:rsidRPr="00B42397">
        <w:t xml:space="preserve"> =</w:t>
      </w:r>
      <w:r w:rsidR="00C75504" w:rsidRPr="00B42397">
        <w:t xml:space="preserve"> </w:t>
      </w:r>
      <w:r w:rsidR="00011C90" w:rsidRPr="00B42397">
        <w:t>elotuzumab + lenalidomide + dexamethasone;</w:t>
      </w:r>
      <w:r w:rsidR="00530FFA" w:rsidRPr="00B42397">
        <w:t xml:space="preserve"> </w:t>
      </w:r>
      <w:r w:rsidRPr="00B42397">
        <w:t xml:space="preserve">IV = intravenous; </w:t>
      </w:r>
      <w:r w:rsidR="00530FFA" w:rsidRPr="00B42397">
        <w:t>Len</w:t>
      </w:r>
      <w:r w:rsidR="002F6FFF" w:rsidRPr="00B42397">
        <w:t xml:space="preserve"> </w:t>
      </w:r>
      <w:r w:rsidR="00530FFA" w:rsidRPr="00B42397">
        <w:t>=</w:t>
      </w:r>
      <w:r w:rsidR="00011C90" w:rsidRPr="00B42397">
        <w:t xml:space="preserve"> lenalidomide</w:t>
      </w:r>
      <w:r w:rsidRPr="00B42397">
        <w:t>; R</w:t>
      </w:r>
      <w:r w:rsidR="00833A74" w:rsidRPr="00B42397">
        <w:t>DI</w:t>
      </w:r>
      <w:r w:rsidRPr="00B42397">
        <w:t xml:space="preserve"> = relative dose intensity</w:t>
      </w:r>
    </w:p>
    <w:p w14:paraId="4571B025" w14:textId="77777777" w:rsidR="00A253CB" w:rsidRPr="00B42397" w:rsidRDefault="002F6FFF" w:rsidP="00A253CB">
      <w:pPr>
        <w:pStyle w:val="TableFigureFooter"/>
        <w:rPr>
          <w:szCs w:val="18"/>
        </w:rPr>
      </w:pPr>
      <w:proofErr w:type="gramStart"/>
      <w:r w:rsidRPr="00B42397">
        <w:rPr>
          <w:szCs w:val="18"/>
          <w:vertAlign w:val="superscript"/>
        </w:rPr>
        <w:t>a</w:t>
      </w:r>
      <w:proofErr w:type="gramEnd"/>
      <w:r w:rsidR="00A253CB" w:rsidRPr="00B42397">
        <w:rPr>
          <w:szCs w:val="18"/>
          <w:vertAlign w:val="superscript"/>
        </w:rPr>
        <w:t xml:space="preserve"> </w:t>
      </w:r>
      <w:r w:rsidR="00C75504" w:rsidRPr="00B42397">
        <w:rPr>
          <w:szCs w:val="18"/>
        </w:rPr>
        <w:t>B</w:t>
      </w:r>
      <w:r w:rsidR="00A253CB" w:rsidRPr="00B42397">
        <w:rPr>
          <w:szCs w:val="18"/>
        </w:rPr>
        <w:t>ased</w:t>
      </w:r>
      <w:r w:rsidR="00A253CB" w:rsidRPr="00B42397">
        <w:rPr>
          <w:szCs w:val="18"/>
          <w:vertAlign w:val="superscript"/>
        </w:rPr>
        <w:t xml:space="preserve"> </w:t>
      </w:r>
      <w:r w:rsidR="00A253CB" w:rsidRPr="00B42397">
        <w:rPr>
          <w:szCs w:val="18"/>
        </w:rPr>
        <w:t>on median DI for all cycles of treatment and AEMP prices for carfilzomib, lenalidomide and dexamethasone.</w:t>
      </w:r>
    </w:p>
    <w:p w14:paraId="357F51E9" w14:textId="77777777" w:rsidR="002F6FFF" w:rsidRPr="00B42397" w:rsidRDefault="002F6FFF" w:rsidP="002F6FFF">
      <w:pPr>
        <w:pStyle w:val="TableFigureFooter"/>
        <w:rPr>
          <w:szCs w:val="18"/>
        </w:rPr>
      </w:pPr>
      <w:proofErr w:type="gramStart"/>
      <w:r w:rsidRPr="00B42397">
        <w:rPr>
          <w:szCs w:val="18"/>
          <w:vertAlign w:val="superscript"/>
        </w:rPr>
        <w:t>b</w:t>
      </w:r>
      <w:proofErr w:type="gramEnd"/>
      <w:r w:rsidRPr="00B42397">
        <w:rPr>
          <w:szCs w:val="18"/>
        </w:rPr>
        <w:t xml:space="preserve"> DI for lenalidomide was based on weighted average of two starting doses (25 mg/day or &lt;25 mg/day) which was irrespective of the cycle</w:t>
      </w:r>
    </w:p>
    <w:p w14:paraId="707622A5" w14:textId="77777777" w:rsidR="002F6FFF" w:rsidRPr="00B42397" w:rsidRDefault="002F6FFF" w:rsidP="002F6FFF">
      <w:pPr>
        <w:pStyle w:val="TableFigureFooter"/>
        <w:rPr>
          <w:szCs w:val="18"/>
        </w:rPr>
      </w:pPr>
      <w:proofErr w:type="gramStart"/>
      <w:r w:rsidRPr="00B42397">
        <w:rPr>
          <w:szCs w:val="18"/>
          <w:vertAlign w:val="superscript"/>
        </w:rPr>
        <w:t>c</w:t>
      </w:r>
      <w:proofErr w:type="gramEnd"/>
      <w:r w:rsidRPr="00B42397">
        <w:rPr>
          <w:szCs w:val="18"/>
        </w:rPr>
        <w:t xml:space="preserve"> </w:t>
      </w:r>
      <w:r w:rsidR="00C75504" w:rsidRPr="00B42397">
        <w:rPr>
          <w:szCs w:val="18"/>
        </w:rPr>
        <w:t>B</w:t>
      </w:r>
      <w:r w:rsidRPr="00B42397">
        <w:rPr>
          <w:szCs w:val="18"/>
        </w:rPr>
        <w:t>ased on median DI for cycle 3+ of treatment and AEMP prices for carfilzomib, lenalidomide and dexamethasone.</w:t>
      </w:r>
    </w:p>
    <w:p w14:paraId="7F1C0D52" w14:textId="77777777" w:rsidR="00BD5161" w:rsidRPr="00B42397" w:rsidRDefault="002F6FFF" w:rsidP="00C94053">
      <w:pPr>
        <w:pStyle w:val="TableFigureFooter"/>
        <w:rPr>
          <w:vertAlign w:val="superscript"/>
        </w:rPr>
      </w:pPr>
      <w:proofErr w:type="gramStart"/>
      <w:r w:rsidRPr="00B42397">
        <w:rPr>
          <w:vertAlign w:val="superscript"/>
        </w:rPr>
        <w:t>d</w:t>
      </w:r>
      <w:proofErr w:type="gramEnd"/>
      <w:r w:rsidR="00494207" w:rsidRPr="00B42397">
        <w:rPr>
          <w:vertAlign w:val="superscript"/>
        </w:rPr>
        <w:t xml:space="preserve"> </w:t>
      </w:r>
      <w:r w:rsidR="00C75504" w:rsidRPr="00B42397">
        <w:t>Me</w:t>
      </w:r>
      <w:r w:rsidR="00B24CCA" w:rsidRPr="00B42397">
        <w:t>dian</w:t>
      </w:r>
      <w:r w:rsidR="00BD5161" w:rsidRPr="00B42397">
        <w:t xml:space="preserve"> number of cycles in ELOQUENT</w:t>
      </w:r>
      <w:r w:rsidR="00B24CCA" w:rsidRPr="00B42397">
        <w:t>-2 (</w:t>
      </w:r>
      <w:r w:rsidR="003830A9" w:rsidRPr="00B42397">
        <w:t>29 Oct 2015</w:t>
      </w:r>
      <w:r w:rsidR="00B24CCA" w:rsidRPr="00B42397">
        <w:t xml:space="preserve"> data-cut)</w:t>
      </w:r>
    </w:p>
    <w:p w14:paraId="72380CE1" w14:textId="77777777" w:rsidR="00267AAF" w:rsidRPr="00B42397" w:rsidRDefault="002F6FFF" w:rsidP="00C94053">
      <w:pPr>
        <w:pStyle w:val="TableFigureFooter"/>
        <w:rPr>
          <w:vertAlign w:val="superscript"/>
        </w:rPr>
      </w:pPr>
      <w:proofErr w:type="spellStart"/>
      <w:proofErr w:type="gramStart"/>
      <w:r w:rsidRPr="00B42397">
        <w:rPr>
          <w:vertAlign w:val="superscript"/>
        </w:rPr>
        <w:t>e</w:t>
      </w:r>
      <w:proofErr w:type="spellEnd"/>
      <w:proofErr w:type="gramEnd"/>
      <w:r w:rsidR="00267AAF" w:rsidRPr="00B42397">
        <w:rPr>
          <w:vertAlign w:val="superscript"/>
        </w:rPr>
        <w:t xml:space="preserve"> </w:t>
      </w:r>
      <w:r w:rsidR="00C75504" w:rsidRPr="00B42397">
        <w:t>M</w:t>
      </w:r>
      <w:r w:rsidR="00267AAF" w:rsidRPr="00B42397">
        <w:t>ean number of cycles in ELOQUENT-2 (3 Oct 2018 data-cut)</w:t>
      </w:r>
    </w:p>
    <w:p w14:paraId="6B530AF2" w14:textId="77777777" w:rsidR="00B24CCA" w:rsidRPr="00B42397" w:rsidRDefault="002F6FFF" w:rsidP="00C94053">
      <w:pPr>
        <w:pStyle w:val="TableFigureFooter"/>
        <w:rPr>
          <w:szCs w:val="18"/>
          <w:vertAlign w:val="superscript"/>
        </w:rPr>
      </w:pPr>
      <w:proofErr w:type="gramStart"/>
      <w:r w:rsidRPr="00B42397">
        <w:rPr>
          <w:szCs w:val="18"/>
          <w:vertAlign w:val="superscript"/>
        </w:rPr>
        <w:t>f</w:t>
      </w:r>
      <w:proofErr w:type="gramEnd"/>
      <w:r w:rsidR="00B24CCA" w:rsidRPr="00B42397">
        <w:rPr>
          <w:szCs w:val="18"/>
        </w:rPr>
        <w:t xml:space="preserve"> </w:t>
      </w:r>
      <w:r w:rsidR="00C75504" w:rsidRPr="00B42397">
        <w:rPr>
          <w:szCs w:val="18"/>
        </w:rPr>
        <w:t>B</w:t>
      </w:r>
      <w:r w:rsidR="00BC77A1" w:rsidRPr="00B42397">
        <w:rPr>
          <w:szCs w:val="18"/>
        </w:rPr>
        <w:t xml:space="preserve">ased on </w:t>
      </w:r>
      <w:r w:rsidR="00B24CCA" w:rsidRPr="00B42397">
        <w:rPr>
          <w:szCs w:val="18"/>
        </w:rPr>
        <w:t>median number of cycles in the ENDEAVOR trial</w:t>
      </w:r>
      <w:r w:rsidR="00EE0EFE" w:rsidRPr="00B42397">
        <w:rPr>
          <w:szCs w:val="18"/>
        </w:rPr>
        <w:t xml:space="preserve"> (Dimopoulous et al., 2017)</w:t>
      </w:r>
    </w:p>
    <w:p w14:paraId="6BD7E5D0" w14:textId="77777777" w:rsidR="009A3F8D" w:rsidRPr="00B42397" w:rsidRDefault="009A3F8D" w:rsidP="00C94053">
      <w:pPr>
        <w:pStyle w:val="TableFigureFooter"/>
        <w:rPr>
          <w:szCs w:val="18"/>
        </w:rPr>
      </w:pPr>
    </w:p>
    <w:p w14:paraId="54985F29" w14:textId="77777777" w:rsidR="00B60939" w:rsidRPr="00B42397" w:rsidRDefault="00B60939" w:rsidP="002B05A1">
      <w:pPr>
        <w:pStyle w:val="4-SubsectionHeading"/>
      </w:pPr>
      <w:bookmarkStart w:id="25" w:name="_Toc22897647"/>
      <w:bookmarkStart w:id="26" w:name="_Toc49758149"/>
      <w:r w:rsidRPr="00B42397">
        <w:t>Estimated PBS usage &amp; financial implications</w:t>
      </w:r>
      <w:bookmarkEnd w:id="25"/>
      <w:bookmarkEnd w:id="26"/>
    </w:p>
    <w:p w14:paraId="748798CF" w14:textId="77777777" w:rsidR="000E3D50" w:rsidRPr="00B42397" w:rsidRDefault="00C25D9C" w:rsidP="005F2EB3">
      <w:pPr>
        <w:pStyle w:val="3-BodyText"/>
        <w:rPr>
          <w:color w:val="0066FF"/>
        </w:rPr>
      </w:pPr>
      <w:r w:rsidRPr="00B42397">
        <w:t xml:space="preserve">This submission </w:t>
      </w:r>
      <w:r w:rsidR="00580CCF" w:rsidRPr="00B42397">
        <w:t>w</w:t>
      </w:r>
      <w:r w:rsidR="00580CCF">
        <w:t>as</w:t>
      </w:r>
      <w:r w:rsidR="00580CCF" w:rsidRPr="00B42397">
        <w:t xml:space="preserve"> </w:t>
      </w:r>
      <w:r w:rsidRPr="00B42397">
        <w:t>not considered by DUSC</w:t>
      </w:r>
      <w:r w:rsidRPr="00B42397">
        <w:rPr>
          <w:color w:val="0070C0"/>
        </w:rPr>
        <w:t>.</w:t>
      </w:r>
    </w:p>
    <w:p w14:paraId="10FE3324" w14:textId="77777777" w:rsidR="000E3D50" w:rsidRPr="00B42397" w:rsidRDefault="000E3D50" w:rsidP="005F2EB3">
      <w:pPr>
        <w:pStyle w:val="3-BodyText"/>
        <w:rPr>
          <w:color w:val="000000" w:themeColor="text1"/>
        </w:rPr>
      </w:pPr>
      <w:r w:rsidRPr="00B42397">
        <w:rPr>
          <w:color w:val="000000" w:themeColor="text1"/>
        </w:rPr>
        <w:t xml:space="preserve">The submission presented a mixed model approach combining epidemiology and market share data to estimate the financial implications of the proposed listing. </w:t>
      </w:r>
      <w:r w:rsidRPr="00B42397">
        <w:rPr>
          <w:iCs/>
          <w:color w:val="000000" w:themeColor="text1"/>
        </w:rPr>
        <w:t xml:space="preserve">This was reasonable given that the submission </w:t>
      </w:r>
      <w:r w:rsidR="002B6CD1" w:rsidRPr="00B42397">
        <w:rPr>
          <w:iCs/>
          <w:color w:val="000000" w:themeColor="text1"/>
        </w:rPr>
        <w:t xml:space="preserve">presented </w:t>
      </w:r>
      <w:r w:rsidRPr="00B42397">
        <w:rPr>
          <w:iCs/>
          <w:color w:val="000000" w:themeColor="text1"/>
        </w:rPr>
        <w:t xml:space="preserve">a </w:t>
      </w:r>
      <w:r w:rsidR="002B6CD1" w:rsidRPr="00B42397">
        <w:rPr>
          <w:iCs/>
          <w:color w:val="000000" w:themeColor="text1"/>
        </w:rPr>
        <w:t>CMA</w:t>
      </w:r>
      <w:r w:rsidRPr="00B42397">
        <w:rPr>
          <w:iCs/>
          <w:color w:val="000000" w:themeColor="text1"/>
        </w:rPr>
        <w:t>.</w:t>
      </w:r>
    </w:p>
    <w:p w14:paraId="02FC9BF6" w14:textId="77777777" w:rsidR="00354095" w:rsidRPr="00B42397" w:rsidRDefault="000E3D50" w:rsidP="005F2EB3">
      <w:pPr>
        <w:pStyle w:val="3-BodyText"/>
        <w:rPr>
          <w:color w:val="000000" w:themeColor="text1"/>
        </w:rPr>
      </w:pPr>
      <w:bookmarkStart w:id="27" w:name="_Hlk49537571"/>
      <w:r w:rsidRPr="00B42397">
        <w:rPr>
          <w:color w:val="000000" w:themeColor="text1"/>
        </w:rPr>
        <w:t xml:space="preserve">The estimated </w:t>
      </w:r>
      <w:proofErr w:type="spellStart"/>
      <w:r w:rsidR="001F5659" w:rsidRPr="00B42397">
        <w:rPr>
          <w:color w:val="000000" w:themeColor="text1"/>
        </w:rPr>
        <w:t>ELd</w:t>
      </w:r>
      <w:proofErr w:type="spellEnd"/>
      <w:r w:rsidRPr="00B42397">
        <w:rPr>
          <w:color w:val="000000" w:themeColor="text1"/>
        </w:rPr>
        <w:t xml:space="preserve"> eligible population was based on historical PBS utilisation of carfilzomib</w:t>
      </w:r>
      <w:r w:rsidR="00DC46B8" w:rsidRPr="00B42397">
        <w:rPr>
          <w:color w:val="000000" w:themeColor="text1"/>
        </w:rPr>
        <w:t xml:space="preserve">. This may not be reasonable as it is likely that </w:t>
      </w:r>
      <w:proofErr w:type="spellStart"/>
      <w:r w:rsidR="001F5659" w:rsidRPr="00B42397">
        <w:rPr>
          <w:color w:val="000000" w:themeColor="text1"/>
        </w:rPr>
        <w:t>ELd</w:t>
      </w:r>
      <w:proofErr w:type="spellEnd"/>
      <w:r w:rsidR="00DC46B8" w:rsidRPr="00B42397">
        <w:rPr>
          <w:color w:val="000000" w:themeColor="text1"/>
        </w:rPr>
        <w:t xml:space="preserve"> would also be used in patients </w:t>
      </w:r>
      <w:r w:rsidR="00022F16" w:rsidRPr="00B42397">
        <w:rPr>
          <w:color w:val="000000" w:themeColor="text1"/>
        </w:rPr>
        <w:t xml:space="preserve">currently receiving </w:t>
      </w:r>
      <w:r w:rsidR="001F5659" w:rsidRPr="00B42397">
        <w:rPr>
          <w:color w:val="000000" w:themeColor="text1"/>
        </w:rPr>
        <w:t>Ld</w:t>
      </w:r>
      <w:r w:rsidR="00DC46B8" w:rsidRPr="00B42397">
        <w:rPr>
          <w:color w:val="000000" w:themeColor="text1"/>
        </w:rPr>
        <w:t>.</w:t>
      </w:r>
      <w:r w:rsidRPr="00B42397">
        <w:rPr>
          <w:color w:val="000000" w:themeColor="text1"/>
        </w:rPr>
        <w:t xml:space="preserve"> </w:t>
      </w:r>
      <w:proofErr w:type="gramStart"/>
      <w:r w:rsidR="00354095" w:rsidRPr="00B42397">
        <w:rPr>
          <w:iCs/>
        </w:rPr>
        <w:t>The</w:t>
      </w:r>
      <w:proofErr w:type="gramEnd"/>
      <w:r w:rsidR="00354095" w:rsidRPr="00B42397">
        <w:rPr>
          <w:iCs/>
        </w:rPr>
        <w:t xml:space="preserve"> ESC considered that the market shares of Cd and </w:t>
      </w:r>
      <w:proofErr w:type="spellStart"/>
      <w:r w:rsidR="00354095" w:rsidRPr="00B42397">
        <w:rPr>
          <w:iCs/>
        </w:rPr>
        <w:t>Ld</w:t>
      </w:r>
      <w:proofErr w:type="spellEnd"/>
      <w:r w:rsidR="00354095" w:rsidRPr="00B42397">
        <w:rPr>
          <w:iCs/>
        </w:rPr>
        <w:t xml:space="preserve"> would be difficult to estimate considering the recent PBS listings of lenalidomide and the recent PBAC recommendation for second-line DBd. The ESC did consider that Cd would likely be displaced, rather than replaced in the treatment algorithm, though </w:t>
      </w:r>
      <w:r w:rsidR="00354095" w:rsidRPr="00B42397">
        <w:rPr>
          <w:iCs/>
        </w:rPr>
        <w:lastRenderedPageBreak/>
        <w:t>due to the number of lines of therapy available, estimating the patient numbers would also be difficult.</w:t>
      </w:r>
    </w:p>
    <w:p w14:paraId="2FF7E277" w14:textId="77777777" w:rsidR="0072416F" w:rsidRPr="00B42397" w:rsidRDefault="00DC46B8" w:rsidP="005F2EB3">
      <w:pPr>
        <w:pStyle w:val="3-BodyText"/>
        <w:rPr>
          <w:color w:val="000000" w:themeColor="text1"/>
        </w:rPr>
      </w:pPr>
      <w:r w:rsidRPr="00B42397">
        <w:rPr>
          <w:color w:val="000000" w:themeColor="text1"/>
        </w:rPr>
        <w:t xml:space="preserve">The </w:t>
      </w:r>
      <w:r w:rsidR="000E3D50" w:rsidRPr="00B42397">
        <w:rPr>
          <w:color w:val="000000" w:themeColor="text1"/>
        </w:rPr>
        <w:t xml:space="preserve">estimated treatment durations </w:t>
      </w:r>
      <w:r w:rsidRPr="00B42397">
        <w:rPr>
          <w:color w:val="000000" w:themeColor="text1"/>
        </w:rPr>
        <w:t xml:space="preserve">of </w:t>
      </w:r>
      <w:proofErr w:type="spellStart"/>
      <w:r w:rsidR="001F5659" w:rsidRPr="00B42397">
        <w:rPr>
          <w:color w:val="000000" w:themeColor="text1"/>
        </w:rPr>
        <w:t>ELd</w:t>
      </w:r>
      <w:proofErr w:type="spellEnd"/>
      <w:r w:rsidRPr="00B42397">
        <w:rPr>
          <w:color w:val="000000" w:themeColor="text1"/>
        </w:rPr>
        <w:t xml:space="preserve"> and Cd were assumed to be equal and were based on the mean number of </w:t>
      </w:r>
      <w:proofErr w:type="spellStart"/>
      <w:r w:rsidR="001F5659" w:rsidRPr="00B42397">
        <w:rPr>
          <w:color w:val="000000" w:themeColor="text1"/>
        </w:rPr>
        <w:t>ELd</w:t>
      </w:r>
      <w:proofErr w:type="spellEnd"/>
      <w:r w:rsidRPr="00B42397">
        <w:rPr>
          <w:color w:val="000000" w:themeColor="text1"/>
        </w:rPr>
        <w:t xml:space="preserve"> cycles re</w:t>
      </w:r>
      <w:r w:rsidR="003A7755" w:rsidRPr="00B42397">
        <w:rPr>
          <w:color w:val="000000" w:themeColor="text1"/>
        </w:rPr>
        <w:t>ported</w:t>
      </w:r>
      <w:r w:rsidRPr="00B42397">
        <w:rPr>
          <w:color w:val="000000" w:themeColor="text1"/>
        </w:rPr>
        <w:t xml:space="preserve"> in </w:t>
      </w:r>
      <w:r w:rsidR="000E3D50" w:rsidRPr="00B42397">
        <w:rPr>
          <w:color w:val="000000" w:themeColor="text1"/>
        </w:rPr>
        <w:t>ELOQUENT-2</w:t>
      </w:r>
      <w:r w:rsidRPr="00B42397">
        <w:rPr>
          <w:color w:val="000000" w:themeColor="text1"/>
        </w:rPr>
        <w:t xml:space="preserve"> </w:t>
      </w:r>
      <w:r w:rsidR="003A7755" w:rsidRPr="00B42397">
        <w:rPr>
          <w:color w:val="000000" w:themeColor="text1"/>
        </w:rPr>
        <w:t>at the latest data-cut, 3</w:t>
      </w:r>
      <w:r w:rsidR="00833A74" w:rsidRPr="00B42397">
        <w:rPr>
          <w:color w:val="000000" w:themeColor="text1"/>
          <w:vertAlign w:val="superscript"/>
        </w:rPr>
        <w:t>r</w:t>
      </w:r>
      <w:r w:rsidR="001F5659" w:rsidRPr="00B42397">
        <w:rPr>
          <w:color w:val="000000" w:themeColor="text1"/>
          <w:vertAlign w:val="superscript"/>
        </w:rPr>
        <w:t>d</w:t>
      </w:r>
      <w:r w:rsidR="003A7755" w:rsidRPr="00B42397">
        <w:rPr>
          <w:color w:val="000000" w:themeColor="text1"/>
        </w:rPr>
        <w:t xml:space="preserve"> October 2018, median follow-up of 70.9 months </w:t>
      </w:r>
      <w:r w:rsidRPr="00B42397">
        <w:rPr>
          <w:color w:val="000000" w:themeColor="text1"/>
        </w:rPr>
        <w:t xml:space="preserve">(i.e. 28.6 cycles). This </w:t>
      </w:r>
      <w:r w:rsidR="00FF3E63" w:rsidRPr="00B42397">
        <w:rPr>
          <w:color w:val="000000" w:themeColor="text1"/>
        </w:rPr>
        <w:t xml:space="preserve">likely overestimates Cd use. </w:t>
      </w:r>
      <w:r w:rsidR="00022F16" w:rsidRPr="00B42397">
        <w:rPr>
          <w:color w:val="000000" w:themeColor="text1"/>
        </w:rPr>
        <w:t>T</w:t>
      </w:r>
      <w:r w:rsidR="000E3D50" w:rsidRPr="00B42397">
        <w:rPr>
          <w:color w:val="000000" w:themeColor="text1"/>
        </w:rPr>
        <w:t xml:space="preserve">he equi-effective doses </w:t>
      </w:r>
      <w:r w:rsidR="00022F16" w:rsidRPr="00B42397">
        <w:rPr>
          <w:color w:val="000000" w:themeColor="text1"/>
        </w:rPr>
        <w:t xml:space="preserve">of </w:t>
      </w:r>
      <w:proofErr w:type="spellStart"/>
      <w:r w:rsidR="001F5659" w:rsidRPr="00B42397">
        <w:rPr>
          <w:color w:val="000000" w:themeColor="text1"/>
        </w:rPr>
        <w:t>ELd</w:t>
      </w:r>
      <w:proofErr w:type="spellEnd"/>
      <w:r w:rsidR="00022F16" w:rsidRPr="00B42397">
        <w:rPr>
          <w:color w:val="000000" w:themeColor="text1"/>
        </w:rPr>
        <w:t xml:space="preserve"> and Cd were </w:t>
      </w:r>
      <w:r w:rsidR="000E3D50" w:rsidRPr="00B42397">
        <w:rPr>
          <w:color w:val="000000" w:themeColor="text1"/>
        </w:rPr>
        <w:t xml:space="preserve">based on ELOQUENT-2 and ENDEAVOR presented </w:t>
      </w:r>
      <w:r w:rsidR="002B6CD1" w:rsidRPr="00B42397">
        <w:rPr>
          <w:color w:val="000000" w:themeColor="text1"/>
        </w:rPr>
        <w:t xml:space="preserve">in the </w:t>
      </w:r>
      <w:r w:rsidR="000E3D50" w:rsidRPr="00B42397">
        <w:rPr>
          <w:color w:val="000000" w:themeColor="text1"/>
        </w:rPr>
        <w:t xml:space="preserve">CMA. </w:t>
      </w:r>
      <w:r w:rsidR="00022F16" w:rsidRPr="00B42397">
        <w:rPr>
          <w:iCs/>
          <w:color w:val="000000" w:themeColor="text1"/>
        </w:rPr>
        <w:t xml:space="preserve">As stated above, </w:t>
      </w:r>
      <w:r w:rsidR="002B6CD1" w:rsidRPr="00B42397">
        <w:rPr>
          <w:iCs/>
          <w:color w:val="000000" w:themeColor="text1"/>
        </w:rPr>
        <w:t>the</w:t>
      </w:r>
      <w:r w:rsidR="00D31442" w:rsidRPr="00B42397">
        <w:rPr>
          <w:iCs/>
          <w:color w:val="000000" w:themeColor="text1"/>
        </w:rPr>
        <w:t xml:space="preserve"> calculation of the</w:t>
      </w:r>
      <w:r w:rsidR="002B6CD1" w:rsidRPr="00B42397">
        <w:rPr>
          <w:iCs/>
          <w:color w:val="000000" w:themeColor="text1"/>
        </w:rPr>
        <w:t xml:space="preserve"> equi-effective dose</w:t>
      </w:r>
      <w:r w:rsidR="00022F16" w:rsidRPr="00B42397">
        <w:rPr>
          <w:iCs/>
          <w:color w:val="000000" w:themeColor="text1"/>
        </w:rPr>
        <w:t>s</w:t>
      </w:r>
      <w:r w:rsidR="002B6CD1" w:rsidRPr="00B42397">
        <w:rPr>
          <w:iCs/>
          <w:color w:val="000000" w:themeColor="text1"/>
        </w:rPr>
        <w:t xml:space="preserve"> may have favoured elotuzumab as</w:t>
      </w:r>
      <w:r w:rsidR="00D31442" w:rsidRPr="00B42397">
        <w:rPr>
          <w:iCs/>
          <w:color w:val="000000" w:themeColor="text1"/>
        </w:rPr>
        <w:t xml:space="preserve"> it</w:t>
      </w:r>
      <w:r w:rsidR="002B6CD1" w:rsidRPr="00B42397">
        <w:rPr>
          <w:iCs/>
          <w:color w:val="000000" w:themeColor="text1"/>
        </w:rPr>
        <w:t xml:space="preserve"> exclud</w:t>
      </w:r>
      <w:r w:rsidR="00D31442" w:rsidRPr="00B42397">
        <w:rPr>
          <w:iCs/>
          <w:color w:val="000000" w:themeColor="text1"/>
        </w:rPr>
        <w:t xml:space="preserve">ed </w:t>
      </w:r>
      <w:r w:rsidR="002B6CD1" w:rsidRPr="00B42397">
        <w:rPr>
          <w:iCs/>
          <w:color w:val="000000" w:themeColor="text1"/>
        </w:rPr>
        <w:t>the first two cycles of high-intensity therapy</w:t>
      </w:r>
      <w:r w:rsidR="00D31442" w:rsidRPr="00B42397">
        <w:rPr>
          <w:iCs/>
          <w:color w:val="000000" w:themeColor="text1"/>
        </w:rPr>
        <w:t xml:space="preserve"> for </w:t>
      </w:r>
      <w:proofErr w:type="spellStart"/>
      <w:r w:rsidR="001F5659" w:rsidRPr="00B42397">
        <w:rPr>
          <w:iCs/>
          <w:color w:val="000000" w:themeColor="text1"/>
        </w:rPr>
        <w:t>ELd</w:t>
      </w:r>
      <w:proofErr w:type="spellEnd"/>
      <w:r w:rsidR="002B6CD1" w:rsidRPr="00B42397">
        <w:rPr>
          <w:iCs/>
          <w:color w:val="000000" w:themeColor="text1"/>
        </w:rPr>
        <w:t xml:space="preserve">, </w:t>
      </w:r>
      <w:r w:rsidR="00D31442" w:rsidRPr="00B42397">
        <w:rPr>
          <w:iCs/>
          <w:color w:val="000000" w:themeColor="text1"/>
        </w:rPr>
        <w:t xml:space="preserve">resulting in a higher cost-minimised price </w:t>
      </w:r>
      <w:r w:rsidR="002B6CD1" w:rsidRPr="00B42397">
        <w:rPr>
          <w:iCs/>
          <w:color w:val="000000" w:themeColor="text1"/>
        </w:rPr>
        <w:t>relative to Cd</w:t>
      </w:r>
      <w:r w:rsidR="00D31442" w:rsidRPr="00B42397">
        <w:rPr>
          <w:iCs/>
          <w:color w:val="000000" w:themeColor="text1"/>
        </w:rPr>
        <w:t xml:space="preserve"> (for which all cycles of therapy were included)</w:t>
      </w:r>
      <w:r w:rsidR="000E3D50" w:rsidRPr="00B42397">
        <w:rPr>
          <w:iCs/>
          <w:color w:val="000000" w:themeColor="text1"/>
        </w:rPr>
        <w:t>.</w:t>
      </w:r>
    </w:p>
    <w:bookmarkEnd w:id="27"/>
    <w:p w14:paraId="53B7CE9E" w14:textId="77777777" w:rsidR="000E3D50" w:rsidRPr="00B42397" w:rsidRDefault="000E3D50" w:rsidP="005F2EB3">
      <w:pPr>
        <w:pStyle w:val="3-BodyText"/>
        <w:rPr>
          <w:color w:val="000000" w:themeColor="text1"/>
        </w:rPr>
      </w:pPr>
      <w:r w:rsidRPr="00B42397">
        <w:rPr>
          <w:color w:val="000000" w:themeColor="text1"/>
        </w:rPr>
        <w:t xml:space="preserve">The submission presented financial estimates for the use of </w:t>
      </w:r>
      <w:proofErr w:type="spellStart"/>
      <w:r w:rsidR="001F5659" w:rsidRPr="00B42397">
        <w:rPr>
          <w:color w:val="000000" w:themeColor="text1"/>
        </w:rPr>
        <w:t>ELd</w:t>
      </w:r>
      <w:proofErr w:type="spellEnd"/>
      <w:r w:rsidRPr="00B42397">
        <w:rPr>
          <w:color w:val="000000" w:themeColor="text1"/>
        </w:rPr>
        <w:t xml:space="preserve"> </w:t>
      </w:r>
      <w:r w:rsidR="00560637" w:rsidRPr="00B42397">
        <w:rPr>
          <w:color w:val="000000" w:themeColor="text1"/>
        </w:rPr>
        <w:t xml:space="preserve">as only the first treatment in the </w:t>
      </w:r>
      <w:r w:rsidRPr="00B42397">
        <w:rPr>
          <w:color w:val="000000" w:themeColor="text1"/>
        </w:rPr>
        <w:t xml:space="preserve">RRMM </w:t>
      </w:r>
      <w:r w:rsidR="00560637" w:rsidRPr="00B42397">
        <w:rPr>
          <w:color w:val="000000" w:themeColor="text1"/>
        </w:rPr>
        <w:t>setting</w:t>
      </w:r>
      <w:r w:rsidRPr="00B42397">
        <w:rPr>
          <w:color w:val="000000" w:themeColor="text1"/>
        </w:rPr>
        <w:t xml:space="preserve">. </w:t>
      </w:r>
      <w:r w:rsidRPr="00B42397">
        <w:rPr>
          <w:iCs/>
          <w:color w:val="000000" w:themeColor="text1"/>
        </w:rPr>
        <w:t xml:space="preserve">This may lead to an underestimate of the utilisation of </w:t>
      </w:r>
      <w:proofErr w:type="spellStart"/>
      <w:r w:rsidR="001F5659" w:rsidRPr="00B42397">
        <w:rPr>
          <w:iCs/>
          <w:color w:val="000000" w:themeColor="text1"/>
        </w:rPr>
        <w:t>ELd</w:t>
      </w:r>
      <w:proofErr w:type="spellEnd"/>
      <w:r w:rsidRPr="00B42397">
        <w:rPr>
          <w:iCs/>
          <w:color w:val="000000" w:themeColor="text1"/>
        </w:rPr>
        <w:t xml:space="preserve"> in Australia, </w:t>
      </w:r>
      <w:r w:rsidR="00022F16" w:rsidRPr="00B42397">
        <w:rPr>
          <w:iCs/>
          <w:color w:val="000000" w:themeColor="text1"/>
        </w:rPr>
        <w:t>as</w:t>
      </w:r>
      <w:r w:rsidRPr="00B42397">
        <w:rPr>
          <w:iCs/>
          <w:color w:val="000000" w:themeColor="text1"/>
        </w:rPr>
        <w:t xml:space="preserve"> the requested listing and the TGA approved usage is for MM after at least one prior therapy. The patients in ELOQUENT-2 were not restricted to one prior line of therapy, with the median number of prior regime</w:t>
      </w:r>
      <w:r w:rsidR="00122AB1" w:rsidRPr="00B42397">
        <w:rPr>
          <w:iCs/>
          <w:color w:val="000000" w:themeColor="text1"/>
        </w:rPr>
        <w:t>n</w:t>
      </w:r>
      <w:r w:rsidRPr="00B42397">
        <w:rPr>
          <w:iCs/>
          <w:color w:val="000000" w:themeColor="text1"/>
        </w:rPr>
        <w:t>s being 2 (range 1-4).</w:t>
      </w:r>
      <w:r w:rsidR="00690C83" w:rsidRPr="00B42397">
        <w:rPr>
          <w:iCs/>
          <w:color w:val="000000" w:themeColor="text1"/>
        </w:rPr>
        <w:t xml:space="preserve"> </w:t>
      </w:r>
      <w:bookmarkStart w:id="28" w:name="_Hlk49537677"/>
    </w:p>
    <w:bookmarkEnd w:id="28"/>
    <w:p w14:paraId="4D7E56A5" w14:textId="77777777" w:rsidR="000E3D50" w:rsidRPr="00B42397" w:rsidRDefault="000E3D50" w:rsidP="005F2EB3">
      <w:pPr>
        <w:pStyle w:val="3-BodyText"/>
        <w:rPr>
          <w:color w:val="000000" w:themeColor="text1"/>
        </w:rPr>
      </w:pPr>
      <w:r w:rsidRPr="00B42397">
        <w:rPr>
          <w:color w:val="000000" w:themeColor="text1"/>
        </w:rPr>
        <w:t xml:space="preserve">The key inputs for </w:t>
      </w:r>
      <w:r w:rsidR="002B6CD1" w:rsidRPr="00B42397">
        <w:rPr>
          <w:color w:val="000000" w:themeColor="text1"/>
        </w:rPr>
        <w:t xml:space="preserve">the </w:t>
      </w:r>
      <w:r w:rsidRPr="00B42397">
        <w:rPr>
          <w:color w:val="000000" w:themeColor="text1"/>
        </w:rPr>
        <w:t>financial estimat</w:t>
      </w:r>
      <w:r w:rsidR="002B6CD1" w:rsidRPr="00B42397">
        <w:rPr>
          <w:color w:val="000000" w:themeColor="text1"/>
        </w:rPr>
        <w:t>e</w:t>
      </w:r>
      <w:r w:rsidRPr="00B42397">
        <w:rPr>
          <w:color w:val="000000" w:themeColor="text1"/>
        </w:rPr>
        <w:t xml:space="preserve">s are presented in Table </w:t>
      </w:r>
      <w:r w:rsidR="00421BB2" w:rsidRPr="00B42397">
        <w:rPr>
          <w:color w:val="000000" w:themeColor="text1"/>
        </w:rPr>
        <w:t>1</w:t>
      </w:r>
      <w:r w:rsidR="005D1318" w:rsidRPr="00B42397">
        <w:rPr>
          <w:color w:val="000000" w:themeColor="text1"/>
        </w:rPr>
        <w:t>4</w:t>
      </w:r>
      <w:r w:rsidRPr="00B42397">
        <w:rPr>
          <w:color w:val="000000" w:themeColor="text1"/>
        </w:rPr>
        <w:t>.</w:t>
      </w:r>
    </w:p>
    <w:p w14:paraId="02CECA37" w14:textId="77777777" w:rsidR="00E42F73" w:rsidRPr="00B42397" w:rsidRDefault="00E42F73" w:rsidP="000E4C25">
      <w:pPr>
        <w:pStyle w:val="TableFigureHeading"/>
        <w:rPr>
          <w:rStyle w:val="CommentReference"/>
          <w:b/>
          <w:szCs w:val="24"/>
        </w:rPr>
      </w:pPr>
      <w:r w:rsidRPr="00B42397">
        <w:rPr>
          <w:rStyle w:val="CommentReference"/>
          <w:b/>
          <w:szCs w:val="24"/>
        </w:rPr>
        <w:lastRenderedPageBreak/>
        <w:t xml:space="preserve">Table </w:t>
      </w:r>
      <w:r w:rsidR="002B6CD1" w:rsidRPr="00B42397">
        <w:rPr>
          <w:rStyle w:val="CommentReference"/>
          <w:b/>
          <w:szCs w:val="24"/>
        </w:rPr>
        <w:t>1</w:t>
      </w:r>
      <w:r w:rsidR="005D1318" w:rsidRPr="00B42397">
        <w:rPr>
          <w:rStyle w:val="CommentReference"/>
          <w:b/>
          <w:szCs w:val="24"/>
        </w:rPr>
        <w:t>4</w:t>
      </w:r>
      <w:r w:rsidR="002B6CD1" w:rsidRPr="00B42397">
        <w:rPr>
          <w:rStyle w:val="CommentReference"/>
          <w:b/>
          <w:szCs w:val="24"/>
        </w:rPr>
        <w:t xml:space="preserve">: </w:t>
      </w:r>
      <w:r w:rsidRPr="00B42397">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236"/>
        <w:gridCol w:w="3068"/>
      </w:tblGrid>
      <w:tr w:rsidR="00E42F73" w:rsidRPr="00B42397" w14:paraId="64928B01" w14:textId="77777777" w:rsidTr="003A7755">
        <w:trPr>
          <w:tblHeader/>
        </w:trPr>
        <w:tc>
          <w:tcPr>
            <w:tcW w:w="950" w:type="pct"/>
            <w:shd w:val="clear" w:color="auto" w:fill="auto"/>
            <w:vAlign w:val="center"/>
          </w:tcPr>
          <w:p w14:paraId="52306464" w14:textId="77777777" w:rsidR="00E42F73" w:rsidRPr="00B42397" w:rsidRDefault="004658B5" w:rsidP="000E4C25">
            <w:pPr>
              <w:pStyle w:val="In-tableHeading"/>
              <w:widowControl w:val="0"/>
              <w:rPr>
                <w:lang w:val="en-AU"/>
              </w:rPr>
            </w:pPr>
            <w:r w:rsidRPr="00B42397">
              <w:rPr>
                <w:lang w:val="en-AU"/>
              </w:rPr>
              <w:t>Parameter</w:t>
            </w:r>
          </w:p>
        </w:tc>
        <w:tc>
          <w:tcPr>
            <w:tcW w:w="2349" w:type="pct"/>
            <w:shd w:val="clear" w:color="auto" w:fill="auto"/>
            <w:vAlign w:val="center"/>
          </w:tcPr>
          <w:p w14:paraId="258823F4" w14:textId="77777777" w:rsidR="00E42F73" w:rsidRPr="00B42397" w:rsidRDefault="004658B5" w:rsidP="000E4C25">
            <w:pPr>
              <w:pStyle w:val="In-tableHeading"/>
              <w:widowControl w:val="0"/>
              <w:rPr>
                <w:lang w:val="en-AU"/>
              </w:rPr>
            </w:pPr>
            <w:r w:rsidRPr="00B42397">
              <w:rPr>
                <w:lang w:val="en-AU"/>
              </w:rPr>
              <w:t>Value applied and source</w:t>
            </w:r>
          </w:p>
        </w:tc>
        <w:tc>
          <w:tcPr>
            <w:tcW w:w="1701" w:type="pct"/>
            <w:shd w:val="clear" w:color="auto" w:fill="auto"/>
            <w:vAlign w:val="center"/>
          </w:tcPr>
          <w:p w14:paraId="72D80707" w14:textId="77777777" w:rsidR="00E42F73" w:rsidRPr="00B42397" w:rsidRDefault="004658B5" w:rsidP="000E4C25">
            <w:pPr>
              <w:pStyle w:val="In-tableHeading"/>
              <w:widowControl w:val="0"/>
              <w:rPr>
                <w:lang w:val="en-AU"/>
              </w:rPr>
            </w:pPr>
            <w:r w:rsidRPr="00B42397">
              <w:rPr>
                <w:lang w:val="en-AU"/>
              </w:rPr>
              <w:t>Comment</w:t>
            </w:r>
          </w:p>
        </w:tc>
      </w:tr>
      <w:tr w:rsidR="00E42F73" w:rsidRPr="00B42397" w14:paraId="360D1E1B" w14:textId="77777777" w:rsidTr="003A7755">
        <w:tc>
          <w:tcPr>
            <w:tcW w:w="950" w:type="pct"/>
            <w:shd w:val="clear" w:color="auto" w:fill="auto"/>
            <w:vAlign w:val="center"/>
          </w:tcPr>
          <w:p w14:paraId="64EBA21E" w14:textId="77777777" w:rsidR="00E42F73" w:rsidRPr="00B42397" w:rsidRDefault="00D31442" w:rsidP="000E4C25">
            <w:pPr>
              <w:pStyle w:val="TableText0"/>
              <w:widowControl w:val="0"/>
            </w:pPr>
            <w:r w:rsidRPr="00B42397">
              <w:t>Eligible patients (Cd treated patients)</w:t>
            </w:r>
          </w:p>
        </w:tc>
        <w:tc>
          <w:tcPr>
            <w:tcW w:w="2349" w:type="pct"/>
            <w:shd w:val="clear" w:color="auto" w:fill="auto"/>
            <w:vAlign w:val="center"/>
          </w:tcPr>
          <w:p w14:paraId="3EB7434C" w14:textId="77777777" w:rsidR="00F73B5C" w:rsidRPr="00B42397" w:rsidRDefault="00F73B5C" w:rsidP="000E4C25">
            <w:pPr>
              <w:pStyle w:val="TableText0"/>
              <w:widowControl w:val="0"/>
              <w:rPr>
                <w:szCs w:val="20"/>
              </w:rPr>
            </w:pPr>
            <w:r w:rsidRPr="00B42397">
              <w:rPr>
                <w:szCs w:val="20"/>
              </w:rPr>
              <w:t>Year 1: 1</w:t>
            </w:r>
            <w:r w:rsidR="00F563F7" w:rsidRPr="00B42397">
              <w:rPr>
                <w:szCs w:val="20"/>
              </w:rPr>
              <w:t>,</w:t>
            </w:r>
            <w:r w:rsidRPr="00B42397">
              <w:rPr>
                <w:szCs w:val="20"/>
              </w:rPr>
              <w:t>07</w:t>
            </w:r>
            <w:r w:rsidR="00F563F7" w:rsidRPr="00B42397">
              <w:rPr>
                <w:szCs w:val="20"/>
              </w:rPr>
              <w:t>2</w:t>
            </w:r>
            <w:r w:rsidRPr="00B42397">
              <w:rPr>
                <w:szCs w:val="20"/>
              </w:rPr>
              <w:t xml:space="preserve"> to Year 6: </w:t>
            </w:r>
            <w:r w:rsidR="0055130F" w:rsidRPr="00B42397">
              <w:rPr>
                <w:szCs w:val="20"/>
              </w:rPr>
              <w:t>1,208</w:t>
            </w:r>
          </w:p>
          <w:p w14:paraId="179D91C1" w14:textId="77777777" w:rsidR="00E42F73" w:rsidRPr="00B42397" w:rsidRDefault="00F73B5C" w:rsidP="000E4C25">
            <w:pPr>
              <w:pStyle w:val="TableText0"/>
              <w:widowControl w:val="0"/>
            </w:pPr>
            <w:r w:rsidRPr="00B42397">
              <w:rPr>
                <w:szCs w:val="20"/>
              </w:rPr>
              <w:t xml:space="preserve">Estimated </w:t>
            </w:r>
            <w:r w:rsidR="0055130F" w:rsidRPr="00B42397">
              <w:rPr>
                <w:szCs w:val="20"/>
              </w:rPr>
              <w:t>patients treated with</w:t>
            </w:r>
            <w:r w:rsidRPr="00B42397">
              <w:rPr>
                <w:szCs w:val="20"/>
              </w:rPr>
              <w:t xml:space="preserve"> carfilzomib scripts from 10% PBS sample (2018), assumed 22 scripts per patients, estimated number of Cd patients in 2019 (10% PBS sample (Prospection </w:t>
            </w:r>
            <w:proofErr w:type="spellStart"/>
            <w:r w:rsidRPr="00B42397">
              <w:rPr>
                <w:szCs w:val="20"/>
              </w:rPr>
              <w:t>Pharmdash</w:t>
            </w:r>
            <w:proofErr w:type="spellEnd"/>
            <w:r w:rsidRPr="00B42397">
              <w:rPr>
                <w:szCs w:val="20"/>
              </w:rPr>
              <w:t xml:space="preserve">)); an assumed population growth for 2020-2026 to estimate </w:t>
            </w:r>
          </w:p>
        </w:tc>
        <w:tc>
          <w:tcPr>
            <w:tcW w:w="1701" w:type="pct"/>
            <w:shd w:val="clear" w:color="auto" w:fill="auto"/>
            <w:vAlign w:val="center"/>
          </w:tcPr>
          <w:p w14:paraId="12ED561C" w14:textId="77777777" w:rsidR="00E42F73" w:rsidRPr="00B42397" w:rsidRDefault="00022F16" w:rsidP="000E4C25">
            <w:pPr>
              <w:pStyle w:val="TableText0"/>
              <w:widowControl w:val="0"/>
            </w:pPr>
            <w:r w:rsidRPr="00B42397">
              <w:rPr>
                <w:iCs/>
                <w:szCs w:val="20"/>
              </w:rPr>
              <w:t xml:space="preserve">Eligible patient population may be larger as it is likely that </w:t>
            </w:r>
            <w:proofErr w:type="spellStart"/>
            <w:r w:rsidR="001F5659" w:rsidRPr="00B42397">
              <w:rPr>
                <w:iCs/>
                <w:szCs w:val="20"/>
              </w:rPr>
              <w:t>ELd</w:t>
            </w:r>
            <w:proofErr w:type="spellEnd"/>
            <w:r w:rsidRPr="00B42397">
              <w:rPr>
                <w:iCs/>
                <w:szCs w:val="20"/>
              </w:rPr>
              <w:t xml:space="preserve"> would also be used in patients currently receiving </w:t>
            </w:r>
            <w:r w:rsidR="001F5659" w:rsidRPr="00B42397">
              <w:rPr>
                <w:iCs/>
                <w:szCs w:val="20"/>
              </w:rPr>
              <w:t>Ld</w:t>
            </w:r>
            <w:r w:rsidR="00F73B5C" w:rsidRPr="00B42397">
              <w:rPr>
                <w:iCs/>
                <w:szCs w:val="20"/>
              </w:rPr>
              <w:t xml:space="preserve">. </w:t>
            </w:r>
          </w:p>
        </w:tc>
      </w:tr>
      <w:tr w:rsidR="00A05C32" w:rsidRPr="00B42397" w14:paraId="77A7F210" w14:textId="77777777" w:rsidTr="003A7755">
        <w:tc>
          <w:tcPr>
            <w:tcW w:w="950" w:type="pct"/>
            <w:shd w:val="clear" w:color="auto" w:fill="auto"/>
            <w:vAlign w:val="center"/>
          </w:tcPr>
          <w:p w14:paraId="3048B28C" w14:textId="77777777" w:rsidR="00A05C32" w:rsidRPr="00B42397" w:rsidRDefault="00F73B5C" w:rsidP="000E4C25">
            <w:pPr>
              <w:pStyle w:val="TableText0"/>
              <w:widowControl w:val="0"/>
            </w:pPr>
            <w:r w:rsidRPr="00B42397">
              <w:t>Assumed substitution rate</w:t>
            </w:r>
          </w:p>
        </w:tc>
        <w:tc>
          <w:tcPr>
            <w:tcW w:w="2349" w:type="pct"/>
            <w:shd w:val="clear" w:color="auto" w:fill="auto"/>
            <w:vAlign w:val="center"/>
          </w:tcPr>
          <w:p w14:paraId="6FF67C4C" w14:textId="77777777" w:rsidR="00A05C32" w:rsidRPr="00B42397" w:rsidRDefault="00F73B5C" w:rsidP="000E4C25">
            <w:pPr>
              <w:pStyle w:val="TableText0"/>
              <w:widowControl w:val="0"/>
            </w:pPr>
            <w:r w:rsidRPr="00B42397">
              <w:t>10% (Year 1) – 22% (Year 2)</w:t>
            </w:r>
          </w:p>
        </w:tc>
        <w:tc>
          <w:tcPr>
            <w:tcW w:w="1701" w:type="pct"/>
            <w:shd w:val="clear" w:color="auto" w:fill="auto"/>
            <w:vAlign w:val="center"/>
          </w:tcPr>
          <w:p w14:paraId="5E0B6ED6" w14:textId="77777777" w:rsidR="00A05C32" w:rsidRPr="00B42397" w:rsidRDefault="00F73B5C" w:rsidP="00354095">
            <w:pPr>
              <w:pStyle w:val="TableText0"/>
              <w:widowControl w:val="0"/>
            </w:pPr>
            <w:r w:rsidRPr="00B42397">
              <w:rPr>
                <w:iCs/>
                <w:szCs w:val="20"/>
              </w:rPr>
              <w:t>The proposed substitution rate is unsupported</w:t>
            </w:r>
            <w:r w:rsidR="006D7EFC" w:rsidRPr="00B42397">
              <w:rPr>
                <w:iCs/>
                <w:szCs w:val="20"/>
              </w:rPr>
              <w:t xml:space="preserve">, the </w:t>
            </w:r>
            <w:r w:rsidR="00354095" w:rsidRPr="00B42397">
              <w:rPr>
                <w:iCs/>
                <w:szCs w:val="20"/>
              </w:rPr>
              <w:t>ESC considered the rates to be highly uncertain.</w:t>
            </w:r>
          </w:p>
        </w:tc>
      </w:tr>
      <w:tr w:rsidR="006D7EFC" w:rsidRPr="00B42397" w14:paraId="600C60C4" w14:textId="77777777" w:rsidTr="003A7755">
        <w:tc>
          <w:tcPr>
            <w:tcW w:w="950" w:type="pct"/>
            <w:shd w:val="clear" w:color="auto" w:fill="auto"/>
            <w:vAlign w:val="center"/>
          </w:tcPr>
          <w:p w14:paraId="00FE465A" w14:textId="77777777" w:rsidR="006D7EFC" w:rsidRPr="00B42397" w:rsidRDefault="006D7EFC" w:rsidP="000E4C25">
            <w:pPr>
              <w:pStyle w:val="TableText0"/>
              <w:widowControl w:val="0"/>
            </w:pPr>
            <w:r w:rsidRPr="00B42397">
              <w:t>Market growth</w:t>
            </w:r>
          </w:p>
        </w:tc>
        <w:tc>
          <w:tcPr>
            <w:tcW w:w="2349" w:type="pct"/>
            <w:shd w:val="clear" w:color="auto" w:fill="auto"/>
            <w:vAlign w:val="center"/>
          </w:tcPr>
          <w:p w14:paraId="35DDABF5" w14:textId="77777777" w:rsidR="006D7EFC" w:rsidRPr="00B42397" w:rsidRDefault="006D7EFC" w:rsidP="000E4C25">
            <w:pPr>
              <w:pStyle w:val="TableText0"/>
              <w:widowControl w:val="0"/>
            </w:pPr>
            <w:r w:rsidRPr="00B42397">
              <w:t>0% due to listing of elotuzumab</w:t>
            </w:r>
          </w:p>
        </w:tc>
        <w:tc>
          <w:tcPr>
            <w:tcW w:w="1701" w:type="pct"/>
            <w:shd w:val="clear" w:color="auto" w:fill="auto"/>
            <w:vAlign w:val="center"/>
          </w:tcPr>
          <w:p w14:paraId="141AB7DD" w14:textId="77777777" w:rsidR="006D7EFC" w:rsidRPr="00B42397" w:rsidRDefault="006D7EFC" w:rsidP="000E4C25">
            <w:pPr>
              <w:pStyle w:val="TableText0"/>
              <w:widowControl w:val="0"/>
              <w:rPr>
                <w:iCs/>
                <w:szCs w:val="20"/>
              </w:rPr>
            </w:pPr>
            <w:r w:rsidRPr="00B42397">
              <w:rPr>
                <w:iCs/>
                <w:szCs w:val="20"/>
              </w:rPr>
              <w:t>Appropriate.</w:t>
            </w:r>
          </w:p>
        </w:tc>
      </w:tr>
      <w:tr w:rsidR="00766D88" w:rsidRPr="00B42397" w14:paraId="28E20E7F" w14:textId="77777777" w:rsidTr="003A7755">
        <w:tc>
          <w:tcPr>
            <w:tcW w:w="950" w:type="pct"/>
            <w:shd w:val="clear" w:color="auto" w:fill="auto"/>
            <w:vAlign w:val="center"/>
          </w:tcPr>
          <w:p w14:paraId="55E923FB" w14:textId="77777777" w:rsidR="00766D88" w:rsidRPr="00B42397" w:rsidRDefault="00CB4DDE" w:rsidP="000E4C25">
            <w:pPr>
              <w:pStyle w:val="TableText0"/>
              <w:widowControl w:val="0"/>
            </w:pPr>
            <w:r w:rsidRPr="00B42397">
              <w:t xml:space="preserve">Patients treated with </w:t>
            </w:r>
            <w:proofErr w:type="spellStart"/>
            <w:r w:rsidR="001F5659" w:rsidRPr="00B42397">
              <w:t>ELd</w:t>
            </w:r>
            <w:proofErr w:type="spellEnd"/>
          </w:p>
        </w:tc>
        <w:tc>
          <w:tcPr>
            <w:tcW w:w="2349" w:type="pct"/>
            <w:shd w:val="clear" w:color="auto" w:fill="auto"/>
            <w:vAlign w:val="center"/>
          </w:tcPr>
          <w:p w14:paraId="6C1639C9" w14:textId="77777777" w:rsidR="00766D88" w:rsidRPr="00B42397" w:rsidRDefault="00CB4DDE" w:rsidP="000E4C25">
            <w:pPr>
              <w:pStyle w:val="TableText0"/>
              <w:widowControl w:val="0"/>
            </w:pPr>
            <w:r w:rsidRPr="00B42397">
              <w:t xml:space="preserve">Year 1: </w:t>
            </w:r>
            <w:r w:rsidR="00F3470F">
              <w:t>&lt;500</w:t>
            </w:r>
            <w:r w:rsidRPr="00B42397">
              <w:t xml:space="preserve"> to Year 6: </w:t>
            </w:r>
            <w:r w:rsidR="00F3470F">
              <w:t>&lt;500</w:t>
            </w:r>
          </w:p>
        </w:tc>
        <w:tc>
          <w:tcPr>
            <w:tcW w:w="1701" w:type="pct"/>
            <w:shd w:val="clear" w:color="auto" w:fill="auto"/>
            <w:vAlign w:val="center"/>
          </w:tcPr>
          <w:p w14:paraId="2BB3B98D" w14:textId="77777777" w:rsidR="00766D88" w:rsidRPr="00B42397" w:rsidRDefault="00022F16" w:rsidP="000E4C25">
            <w:pPr>
              <w:pStyle w:val="TableText0"/>
              <w:widowControl w:val="0"/>
              <w:rPr>
                <w:iCs/>
                <w:szCs w:val="20"/>
              </w:rPr>
            </w:pPr>
            <w:r w:rsidRPr="00B42397">
              <w:rPr>
                <w:iCs/>
                <w:szCs w:val="20"/>
              </w:rPr>
              <w:t>-</w:t>
            </w:r>
          </w:p>
        </w:tc>
      </w:tr>
      <w:tr w:rsidR="00F73B5C" w:rsidRPr="00B42397" w14:paraId="5D6B962D" w14:textId="77777777" w:rsidTr="003A7755">
        <w:tc>
          <w:tcPr>
            <w:tcW w:w="950" w:type="pct"/>
            <w:shd w:val="clear" w:color="auto" w:fill="auto"/>
            <w:vAlign w:val="center"/>
          </w:tcPr>
          <w:p w14:paraId="0352E16D" w14:textId="77777777" w:rsidR="00F73B5C" w:rsidRPr="00B42397" w:rsidRDefault="00F73B5C" w:rsidP="000E4C25">
            <w:pPr>
              <w:pStyle w:val="TableText0"/>
              <w:widowControl w:val="0"/>
            </w:pPr>
            <w:r w:rsidRPr="00B42397">
              <w:t>D</w:t>
            </w:r>
            <w:r w:rsidR="00022F16" w:rsidRPr="00B42397">
              <w:t>OT</w:t>
            </w:r>
          </w:p>
        </w:tc>
        <w:tc>
          <w:tcPr>
            <w:tcW w:w="2349" w:type="pct"/>
            <w:shd w:val="clear" w:color="auto" w:fill="auto"/>
            <w:vAlign w:val="center"/>
          </w:tcPr>
          <w:p w14:paraId="1D9ECA6C" w14:textId="77777777" w:rsidR="00F73B5C" w:rsidRPr="00B42397" w:rsidRDefault="00F73B5C" w:rsidP="000E4C25">
            <w:pPr>
              <w:pStyle w:val="TableText0"/>
              <w:widowControl w:val="0"/>
            </w:pPr>
            <w:r w:rsidRPr="00B42397">
              <w:t>28.6 cycles</w:t>
            </w:r>
            <w:r w:rsidR="00022F16" w:rsidRPr="00B42397">
              <w:t xml:space="preserve"> for both </w:t>
            </w:r>
            <w:proofErr w:type="spellStart"/>
            <w:r w:rsidR="001F5659" w:rsidRPr="00B42397">
              <w:t>ELd</w:t>
            </w:r>
            <w:proofErr w:type="spellEnd"/>
            <w:r w:rsidR="00022F16" w:rsidRPr="00B42397">
              <w:t xml:space="preserve"> and Cd</w:t>
            </w:r>
            <w:r w:rsidRPr="00B42397">
              <w:t>.</w:t>
            </w:r>
          </w:p>
          <w:p w14:paraId="6FC85113" w14:textId="77777777" w:rsidR="00F73B5C" w:rsidRPr="00B42397" w:rsidRDefault="00F73B5C" w:rsidP="000E4C25">
            <w:pPr>
              <w:pStyle w:val="TableText0"/>
              <w:widowControl w:val="0"/>
            </w:pPr>
            <w:r w:rsidRPr="00B42397">
              <w:t xml:space="preserve">Based on </w:t>
            </w:r>
            <w:r w:rsidR="00022F16" w:rsidRPr="00B42397">
              <w:t xml:space="preserve">mean number of cycles in </w:t>
            </w:r>
            <w:r w:rsidRPr="00B42397">
              <w:t xml:space="preserve">ELOQUENT-2 </w:t>
            </w:r>
            <w:r w:rsidR="003A7755" w:rsidRPr="00B42397">
              <w:t>at 3 October 2018 data-cut (median follow-up = 70.9 months)</w:t>
            </w:r>
          </w:p>
        </w:tc>
        <w:tc>
          <w:tcPr>
            <w:tcW w:w="1701" w:type="pct"/>
            <w:shd w:val="clear" w:color="auto" w:fill="auto"/>
            <w:vAlign w:val="center"/>
          </w:tcPr>
          <w:p w14:paraId="72DB2D73" w14:textId="77777777" w:rsidR="00F73B5C" w:rsidRPr="00B42397" w:rsidRDefault="00CA47BB" w:rsidP="000E4C25">
            <w:pPr>
              <w:pStyle w:val="TableText0"/>
              <w:widowControl w:val="0"/>
            </w:pPr>
            <w:r w:rsidRPr="00B42397">
              <w:t>Equal DOTs likely overestimates Cd use</w:t>
            </w:r>
            <w:r w:rsidR="00FF3E63" w:rsidRPr="00B42397">
              <w:t xml:space="preserve">. </w:t>
            </w:r>
          </w:p>
        </w:tc>
      </w:tr>
      <w:tr w:rsidR="00F73B5C" w:rsidRPr="00B42397" w14:paraId="083DC8A4" w14:textId="77777777" w:rsidTr="003A7755">
        <w:tc>
          <w:tcPr>
            <w:tcW w:w="950" w:type="pct"/>
            <w:shd w:val="clear" w:color="auto" w:fill="auto"/>
            <w:vAlign w:val="center"/>
          </w:tcPr>
          <w:p w14:paraId="036D30DD" w14:textId="77777777" w:rsidR="00F73B5C" w:rsidRPr="00B42397" w:rsidRDefault="00F73B5C" w:rsidP="000E4C25">
            <w:pPr>
              <w:pStyle w:val="TableText0"/>
              <w:widowControl w:val="0"/>
            </w:pPr>
            <w:r w:rsidRPr="00B42397">
              <w:rPr>
                <w:szCs w:val="20"/>
              </w:rPr>
              <w:t>Scripts per course of treatment</w:t>
            </w:r>
          </w:p>
        </w:tc>
        <w:tc>
          <w:tcPr>
            <w:tcW w:w="2349" w:type="pct"/>
            <w:shd w:val="clear" w:color="auto" w:fill="auto"/>
            <w:vAlign w:val="center"/>
          </w:tcPr>
          <w:p w14:paraId="0EF85313" w14:textId="77777777" w:rsidR="00F73B5C" w:rsidRPr="00B42397" w:rsidRDefault="001F5659" w:rsidP="000E4C25">
            <w:pPr>
              <w:pStyle w:val="TableText0"/>
              <w:widowControl w:val="0"/>
              <w:rPr>
                <w:szCs w:val="20"/>
              </w:rPr>
            </w:pPr>
            <w:proofErr w:type="spellStart"/>
            <w:r w:rsidRPr="00B42397">
              <w:rPr>
                <w:szCs w:val="20"/>
              </w:rPr>
              <w:t>ELd</w:t>
            </w:r>
            <w:proofErr w:type="spellEnd"/>
          </w:p>
          <w:p w14:paraId="6797A9A3" w14:textId="77777777" w:rsidR="00F73B5C" w:rsidRPr="00B42397" w:rsidRDefault="00F73B5C" w:rsidP="000E4C25">
            <w:pPr>
              <w:pStyle w:val="TableText0"/>
              <w:widowControl w:val="0"/>
              <w:rPr>
                <w:szCs w:val="20"/>
              </w:rPr>
            </w:pPr>
            <w:r w:rsidRPr="00B42397">
              <w:rPr>
                <w:szCs w:val="20"/>
              </w:rPr>
              <w:t>ELO = 61.2, LEN = 22.7, DEX (4mg) = 27.1, DEX (8mg) = 10.3</w:t>
            </w:r>
          </w:p>
          <w:p w14:paraId="4053B2B9" w14:textId="77777777" w:rsidR="00F73B5C" w:rsidRPr="00B42397" w:rsidRDefault="00F73B5C" w:rsidP="000E4C25">
            <w:pPr>
              <w:pStyle w:val="TableText0"/>
              <w:widowControl w:val="0"/>
              <w:rPr>
                <w:szCs w:val="20"/>
              </w:rPr>
            </w:pPr>
            <w:r w:rsidRPr="00B42397">
              <w:rPr>
                <w:szCs w:val="20"/>
              </w:rPr>
              <w:t>Cd</w:t>
            </w:r>
          </w:p>
          <w:p w14:paraId="65FC3B3F" w14:textId="77777777" w:rsidR="00F73B5C" w:rsidRPr="00B42397" w:rsidRDefault="00F73B5C" w:rsidP="000E4C25">
            <w:pPr>
              <w:pStyle w:val="TableText0"/>
              <w:widowControl w:val="0"/>
              <w:rPr>
                <w:szCs w:val="20"/>
              </w:rPr>
            </w:pPr>
            <w:r w:rsidRPr="00B42397">
              <w:rPr>
                <w:szCs w:val="20"/>
              </w:rPr>
              <w:t>CAR = 171.6, DEX (4mg) = 34.7</w:t>
            </w:r>
          </w:p>
          <w:p w14:paraId="1879CA23" w14:textId="77777777" w:rsidR="00893615" w:rsidRPr="00B42397" w:rsidRDefault="00893615" w:rsidP="000E4C25">
            <w:pPr>
              <w:pStyle w:val="TableText0"/>
              <w:widowControl w:val="0"/>
            </w:pPr>
          </w:p>
          <w:p w14:paraId="134C69EC" w14:textId="77777777" w:rsidR="00893615" w:rsidRPr="00B42397" w:rsidRDefault="00893615" w:rsidP="000E4C25">
            <w:pPr>
              <w:pStyle w:val="TableText0"/>
              <w:widowControl w:val="0"/>
            </w:pPr>
            <w:r w:rsidRPr="00B42397">
              <w:t>Based on ELOQUENT- 2 and ENDEAVOR.</w:t>
            </w:r>
          </w:p>
        </w:tc>
        <w:tc>
          <w:tcPr>
            <w:tcW w:w="1701" w:type="pct"/>
            <w:shd w:val="clear" w:color="auto" w:fill="auto"/>
            <w:vAlign w:val="center"/>
          </w:tcPr>
          <w:p w14:paraId="758847F7" w14:textId="77777777" w:rsidR="00F73B5C" w:rsidRPr="00B42397" w:rsidRDefault="00CA47BB" w:rsidP="000E4C25">
            <w:pPr>
              <w:pStyle w:val="TableText0"/>
              <w:widowControl w:val="0"/>
            </w:pPr>
            <w:r w:rsidRPr="00B42397">
              <w:rPr>
                <w:iCs/>
                <w:szCs w:val="20"/>
              </w:rPr>
              <w:t xml:space="preserve">Likely overestimates Cd use compared to </w:t>
            </w:r>
            <w:proofErr w:type="spellStart"/>
            <w:r w:rsidR="001F5659" w:rsidRPr="00B42397">
              <w:rPr>
                <w:iCs/>
                <w:szCs w:val="20"/>
              </w:rPr>
              <w:t>ELd</w:t>
            </w:r>
            <w:proofErr w:type="spellEnd"/>
            <w:r w:rsidRPr="00B42397">
              <w:rPr>
                <w:iCs/>
                <w:szCs w:val="20"/>
              </w:rPr>
              <w:t xml:space="preserve"> use.</w:t>
            </w:r>
          </w:p>
        </w:tc>
      </w:tr>
      <w:tr w:rsidR="00893615" w:rsidRPr="00B42397" w14:paraId="7D10EF7E" w14:textId="77777777" w:rsidTr="003A7755">
        <w:tc>
          <w:tcPr>
            <w:tcW w:w="950" w:type="pct"/>
            <w:shd w:val="clear" w:color="auto" w:fill="auto"/>
            <w:vAlign w:val="center"/>
          </w:tcPr>
          <w:p w14:paraId="4547036F" w14:textId="77777777" w:rsidR="00893615" w:rsidRPr="00B42397" w:rsidRDefault="009A68C9" w:rsidP="000E4C25">
            <w:pPr>
              <w:pStyle w:val="TableText0"/>
              <w:widowControl w:val="0"/>
            </w:pPr>
            <w:r w:rsidRPr="00B42397">
              <w:t>Elotuzumab</w:t>
            </w:r>
          </w:p>
        </w:tc>
        <w:tc>
          <w:tcPr>
            <w:tcW w:w="2349" w:type="pct"/>
            <w:shd w:val="clear" w:color="auto" w:fill="auto"/>
            <w:vAlign w:val="center"/>
          </w:tcPr>
          <w:p w14:paraId="505B9A95" w14:textId="77777777" w:rsidR="00893615" w:rsidRPr="00B42397" w:rsidRDefault="00CA47BB" w:rsidP="000E4C25">
            <w:pPr>
              <w:pStyle w:val="TableText0"/>
              <w:widowControl w:val="0"/>
              <w:rPr>
                <w:i/>
                <w:iCs/>
                <w:szCs w:val="20"/>
              </w:rPr>
            </w:pPr>
            <w:r w:rsidRPr="00B42397">
              <w:rPr>
                <w:szCs w:val="20"/>
              </w:rPr>
              <w:t xml:space="preserve">Elotuzumab 400 mg </w:t>
            </w:r>
            <w:r w:rsidR="003E69CB" w:rsidRPr="00B42397">
              <w:rPr>
                <w:szCs w:val="20"/>
              </w:rPr>
              <w:t xml:space="preserve">- </w:t>
            </w:r>
            <w:r w:rsidR="00893615" w:rsidRPr="00B42397">
              <w:rPr>
                <w:szCs w:val="20"/>
              </w:rPr>
              <w:t xml:space="preserve">Published: </w:t>
            </w:r>
            <w:r w:rsidR="00893615" w:rsidRPr="00B42397">
              <w:rPr>
                <w:i/>
                <w:iCs/>
                <w:szCs w:val="20"/>
              </w:rPr>
              <w:t>$1,650.01</w:t>
            </w:r>
            <w:r w:rsidR="003E69CB" w:rsidRPr="00B42397">
              <w:rPr>
                <w:i/>
                <w:iCs/>
                <w:szCs w:val="20"/>
              </w:rPr>
              <w:br/>
            </w:r>
            <w:r w:rsidR="003E69CB" w:rsidRPr="00B42397">
              <w:rPr>
                <w:szCs w:val="20"/>
              </w:rPr>
              <w:t xml:space="preserve">                                   </w:t>
            </w:r>
            <w:r w:rsidR="00893615" w:rsidRPr="00B42397">
              <w:rPr>
                <w:szCs w:val="20"/>
              </w:rPr>
              <w:t xml:space="preserve">Effective: </w:t>
            </w:r>
            <w:r w:rsidR="00893615" w:rsidRPr="00B42397">
              <w:rPr>
                <w:i/>
                <w:iCs/>
                <w:szCs w:val="20"/>
              </w:rPr>
              <w:t>$</w:t>
            </w:r>
            <w:r w:rsidR="00B51893">
              <w:rPr>
                <w:i/>
                <w:iCs/>
                <w:noProof/>
                <w:color w:val="000000"/>
                <w:szCs w:val="20"/>
                <w:highlight w:val="black"/>
              </w:rPr>
              <w:t>'''''''''''''''</w:t>
            </w:r>
          </w:p>
        </w:tc>
        <w:tc>
          <w:tcPr>
            <w:tcW w:w="1701" w:type="pct"/>
            <w:vMerge w:val="restart"/>
            <w:shd w:val="clear" w:color="auto" w:fill="auto"/>
            <w:vAlign w:val="center"/>
          </w:tcPr>
          <w:p w14:paraId="65461720" w14:textId="77777777" w:rsidR="006D7EFC" w:rsidRPr="00B42397" w:rsidRDefault="006D7EFC" w:rsidP="000E4C25">
            <w:pPr>
              <w:pStyle w:val="TableText0"/>
              <w:widowControl w:val="0"/>
            </w:pPr>
            <w:r w:rsidRPr="00B42397">
              <w:t>AEMP for carfilzomib and lenalidomide were known to the sponsor.</w:t>
            </w:r>
          </w:p>
          <w:p w14:paraId="4CF20E07" w14:textId="77777777" w:rsidR="00CB7249" w:rsidRPr="00B42397" w:rsidRDefault="00CB7249" w:rsidP="000E4C25">
            <w:pPr>
              <w:pStyle w:val="TableText0"/>
              <w:widowControl w:val="0"/>
            </w:pPr>
            <w:r w:rsidRPr="00B42397">
              <w:t>However, the CMA has incorrectly estimated the cost-minimised price for elotuzumab by applying DMPA/DPMQ prices for carfilzomib, lenalidomide and dexamethasone.</w:t>
            </w:r>
          </w:p>
        </w:tc>
      </w:tr>
      <w:tr w:rsidR="00893615" w:rsidRPr="00B42397" w14:paraId="21C99958" w14:textId="77777777" w:rsidTr="003A7755">
        <w:tc>
          <w:tcPr>
            <w:tcW w:w="950" w:type="pct"/>
            <w:shd w:val="clear" w:color="auto" w:fill="auto"/>
            <w:vAlign w:val="center"/>
          </w:tcPr>
          <w:p w14:paraId="0DC0A385" w14:textId="77777777" w:rsidR="00893615" w:rsidRPr="00B42397" w:rsidRDefault="00893615" w:rsidP="000E4C25">
            <w:pPr>
              <w:pStyle w:val="TableText0"/>
              <w:widowControl w:val="0"/>
            </w:pPr>
            <w:r w:rsidRPr="00B42397">
              <w:rPr>
                <w:szCs w:val="20"/>
              </w:rPr>
              <w:t>Other medicine included in therapy</w:t>
            </w:r>
          </w:p>
        </w:tc>
        <w:tc>
          <w:tcPr>
            <w:tcW w:w="2349" w:type="pct"/>
            <w:shd w:val="clear" w:color="auto" w:fill="auto"/>
            <w:vAlign w:val="center"/>
          </w:tcPr>
          <w:p w14:paraId="324DEAC7" w14:textId="77777777" w:rsidR="00893615" w:rsidRPr="00B42397" w:rsidRDefault="00CA47BB" w:rsidP="000E4C25">
            <w:pPr>
              <w:pStyle w:val="TableText0"/>
              <w:widowControl w:val="0"/>
              <w:rPr>
                <w:szCs w:val="20"/>
              </w:rPr>
            </w:pPr>
            <w:r w:rsidRPr="00B42397">
              <w:t>Lenalidomide 25 mg</w:t>
            </w:r>
            <w:r w:rsidR="003E69CB" w:rsidRPr="00B42397">
              <w:t xml:space="preserve"> - </w:t>
            </w:r>
            <w:r w:rsidR="00893615" w:rsidRPr="00B42397">
              <w:rPr>
                <w:szCs w:val="20"/>
              </w:rPr>
              <w:t>Published</w:t>
            </w:r>
            <w:r w:rsidRPr="00B42397">
              <w:rPr>
                <w:szCs w:val="20"/>
              </w:rPr>
              <w:t>:</w:t>
            </w:r>
            <w:r w:rsidR="00893615" w:rsidRPr="00B42397">
              <w:rPr>
                <w:szCs w:val="20"/>
              </w:rPr>
              <w:t xml:space="preserve"> </w:t>
            </w:r>
            <w:r w:rsidR="00893615" w:rsidRPr="00B42397">
              <w:rPr>
                <w:i/>
                <w:iCs/>
                <w:szCs w:val="20"/>
              </w:rPr>
              <w:t>$5,961.70</w:t>
            </w:r>
          </w:p>
          <w:p w14:paraId="72349661" w14:textId="77777777" w:rsidR="00893615" w:rsidRPr="00B51893" w:rsidRDefault="003E69CB" w:rsidP="000E4C25">
            <w:pPr>
              <w:pStyle w:val="TableText0"/>
              <w:widowControl w:val="0"/>
              <w:rPr>
                <w:i/>
                <w:iCs/>
                <w:szCs w:val="20"/>
              </w:rPr>
            </w:pPr>
            <w:r w:rsidRPr="00B42397">
              <w:rPr>
                <w:szCs w:val="20"/>
              </w:rPr>
              <w:t xml:space="preserve">                                   </w:t>
            </w:r>
            <w:r w:rsidR="00893615" w:rsidRPr="00B42397">
              <w:rPr>
                <w:szCs w:val="20"/>
              </w:rPr>
              <w:t>Effective</w:t>
            </w:r>
            <w:r w:rsidR="00CA47BB" w:rsidRPr="00B42397">
              <w:rPr>
                <w:szCs w:val="20"/>
              </w:rPr>
              <w:t xml:space="preserve">: </w:t>
            </w:r>
            <w:r w:rsidR="00893615" w:rsidRPr="00B42397">
              <w:rPr>
                <w:i/>
                <w:iCs/>
                <w:szCs w:val="20"/>
              </w:rPr>
              <w:t>$</w:t>
            </w:r>
            <w:r w:rsidR="00B51893">
              <w:rPr>
                <w:i/>
                <w:iCs/>
                <w:noProof/>
                <w:color w:val="000000"/>
                <w:szCs w:val="20"/>
                <w:highlight w:val="black"/>
              </w:rPr>
              <w:t>'''''''''''''''''''''''</w:t>
            </w:r>
          </w:p>
          <w:p w14:paraId="6679E905" w14:textId="77777777" w:rsidR="00893615" w:rsidRPr="00B42397" w:rsidRDefault="00893615" w:rsidP="000E4C25">
            <w:pPr>
              <w:pStyle w:val="TableText0"/>
              <w:widowControl w:val="0"/>
            </w:pPr>
          </w:p>
          <w:p w14:paraId="6DED404D" w14:textId="77777777" w:rsidR="00893615" w:rsidRPr="00B42397" w:rsidRDefault="00893615" w:rsidP="000E4C25">
            <w:pPr>
              <w:pStyle w:val="TableText0"/>
              <w:widowControl w:val="0"/>
            </w:pPr>
            <w:r w:rsidRPr="00B42397">
              <w:t>Dexamethasone 4</w:t>
            </w:r>
            <w:r w:rsidR="00122AB1" w:rsidRPr="00B42397">
              <w:t xml:space="preserve"> </w:t>
            </w:r>
            <w:r w:rsidRPr="00B42397">
              <w:t>mg: $4.84</w:t>
            </w:r>
          </w:p>
          <w:p w14:paraId="41C8C1DC" w14:textId="77777777" w:rsidR="00893615" w:rsidRPr="00B42397" w:rsidRDefault="00893615" w:rsidP="000E4C25">
            <w:pPr>
              <w:pStyle w:val="TableText0"/>
              <w:widowControl w:val="0"/>
            </w:pPr>
            <w:r w:rsidRPr="00B42397">
              <w:t>Dexamethasone 8 mg: $8.60</w:t>
            </w:r>
          </w:p>
        </w:tc>
        <w:tc>
          <w:tcPr>
            <w:tcW w:w="1701" w:type="pct"/>
            <w:vMerge/>
            <w:shd w:val="clear" w:color="auto" w:fill="auto"/>
            <w:vAlign w:val="center"/>
          </w:tcPr>
          <w:p w14:paraId="4DC1E060" w14:textId="77777777" w:rsidR="00893615" w:rsidRPr="00B42397" w:rsidRDefault="00893615" w:rsidP="000E4C25">
            <w:pPr>
              <w:pStyle w:val="TableText0"/>
              <w:widowControl w:val="0"/>
            </w:pPr>
          </w:p>
        </w:tc>
      </w:tr>
      <w:tr w:rsidR="00893615" w:rsidRPr="00B42397" w14:paraId="4F951BE1" w14:textId="77777777" w:rsidTr="003A7755">
        <w:tc>
          <w:tcPr>
            <w:tcW w:w="950" w:type="pct"/>
            <w:shd w:val="clear" w:color="auto" w:fill="auto"/>
            <w:vAlign w:val="center"/>
          </w:tcPr>
          <w:p w14:paraId="4E0C8FF9" w14:textId="77777777" w:rsidR="00893615" w:rsidRPr="00B42397" w:rsidRDefault="00893615" w:rsidP="000E4C25">
            <w:pPr>
              <w:pStyle w:val="TableText0"/>
              <w:widowControl w:val="0"/>
            </w:pPr>
            <w:r w:rsidRPr="00B42397">
              <w:rPr>
                <w:szCs w:val="20"/>
              </w:rPr>
              <w:t>Comparator</w:t>
            </w:r>
          </w:p>
        </w:tc>
        <w:tc>
          <w:tcPr>
            <w:tcW w:w="2349" w:type="pct"/>
            <w:shd w:val="clear" w:color="auto" w:fill="auto"/>
            <w:vAlign w:val="center"/>
          </w:tcPr>
          <w:p w14:paraId="52FC167A" w14:textId="77777777" w:rsidR="00893615" w:rsidRPr="00B42397" w:rsidRDefault="00893615" w:rsidP="000E4C25">
            <w:pPr>
              <w:pStyle w:val="TableText0"/>
              <w:widowControl w:val="0"/>
              <w:rPr>
                <w:i/>
                <w:iCs/>
                <w:szCs w:val="20"/>
              </w:rPr>
            </w:pPr>
            <w:r w:rsidRPr="00B42397">
              <w:rPr>
                <w:szCs w:val="20"/>
              </w:rPr>
              <w:t>Carfilzomib (10mg)</w:t>
            </w:r>
            <w:r w:rsidR="003E69CB" w:rsidRPr="00B42397">
              <w:rPr>
                <w:szCs w:val="20"/>
              </w:rPr>
              <w:t xml:space="preserve"> - </w:t>
            </w:r>
            <w:r w:rsidRPr="00B42397">
              <w:rPr>
                <w:szCs w:val="20"/>
              </w:rPr>
              <w:t>Published</w:t>
            </w:r>
            <w:r w:rsidR="003E69CB" w:rsidRPr="00B42397">
              <w:rPr>
                <w:szCs w:val="20"/>
              </w:rPr>
              <w:t xml:space="preserve">: </w:t>
            </w:r>
            <w:r w:rsidRPr="00B42397">
              <w:rPr>
                <w:i/>
                <w:iCs/>
                <w:szCs w:val="20"/>
              </w:rPr>
              <w:t>$326.27</w:t>
            </w:r>
          </w:p>
          <w:p w14:paraId="2BF72A0D" w14:textId="77777777" w:rsidR="00893615" w:rsidRPr="00B42397" w:rsidRDefault="003E69CB" w:rsidP="000E4C25">
            <w:pPr>
              <w:pStyle w:val="TableText0"/>
              <w:widowControl w:val="0"/>
              <w:rPr>
                <w:i/>
                <w:iCs/>
                <w:szCs w:val="20"/>
              </w:rPr>
            </w:pPr>
            <w:r w:rsidRPr="00B42397">
              <w:rPr>
                <w:szCs w:val="20"/>
              </w:rPr>
              <w:t xml:space="preserve">                                 </w:t>
            </w:r>
            <w:r w:rsidR="00893615" w:rsidRPr="00B42397">
              <w:rPr>
                <w:szCs w:val="20"/>
              </w:rPr>
              <w:t>Effective</w:t>
            </w:r>
            <w:r w:rsidRPr="00B42397">
              <w:rPr>
                <w:szCs w:val="20"/>
              </w:rPr>
              <w:t xml:space="preserve">: </w:t>
            </w:r>
            <w:r w:rsidR="00893615" w:rsidRPr="00B42397">
              <w:rPr>
                <w:i/>
                <w:iCs/>
                <w:szCs w:val="20"/>
              </w:rPr>
              <w:t>$</w:t>
            </w:r>
            <w:r w:rsidR="00B51893">
              <w:rPr>
                <w:i/>
                <w:iCs/>
                <w:noProof/>
                <w:color w:val="000000"/>
                <w:szCs w:val="20"/>
                <w:highlight w:val="black"/>
              </w:rPr>
              <w:t>''''''''''''''''</w:t>
            </w:r>
          </w:p>
          <w:p w14:paraId="4415057F" w14:textId="77777777" w:rsidR="00893615" w:rsidRPr="00B42397" w:rsidRDefault="00893615" w:rsidP="000E4C25">
            <w:pPr>
              <w:pStyle w:val="TableText0"/>
              <w:widowControl w:val="0"/>
              <w:rPr>
                <w:szCs w:val="20"/>
              </w:rPr>
            </w:pPr>
          </w:p>
          <w:p w14:paraId="7580ABA1" w14:textId="77777777" w:rsidR="00893615" w:rsidRPr="00B42397" w:rsidRDefault="00893615" w:rsidP="000E4C25">
            <w:pPr>
              <w:pStyle w:val="TableText0"/>
              <w:widowControl w:val="0"/>
            </w:pPr>
            <w:r w:rsidRPr="00B42397">
              <w:rPr>
                <w:szCs w:val="20"/>
              </w:rPr>
              <w:t>Dexamethasone</w:t>
            </w:r>
            <w:r w:rsidR="003E69CB" w:rsidRPr="00B42397">
              <w:rPr>
                <w:szCs w:val="20"/>
              </w:rPr>
              <w:t xml:space="preserve"> </w:t>
            </w:r>
            <w:r w:rsidRPr="00B42397">
              <w:rPr>
                <w:szCs w:val="20"/>
              </w:rPr>
              <w:t>(4</w:t>
            </w:r>
            <w:r w:rsidR="009A68C9" w:rsidRPr="00B42397">
              <w:rPr>
                <w:szCs w:val="20"/>
              </w:rPr>
              <w:t xml:space="preserve"> </w:t>
            </w:r>
            <w:r w:rsidRPr="00B42397">
              <w:rPr>
                <w:szCs w:val="20"/>
              </w:rPr>
              <w:t>mg</w:t>
            </w:r>
            <w:r w:rsidR="003E69CB" w:rsidRPr="00B42397">
              <w:rPr>
                <w:szCs w:val="20"/>
              </w:rPr>
              <w:t xml:space="preserve">, </w:t>
            </w:r>
            <w:r w:rsidRPr="00B42397">
              <w:rPr>
                <w:szCs w:val="20"/>
              </w:rPr>
              <w:t>30)</w:t>
            </w:r>
            <w:r w:rsidR="003E69CB" w:rsidRPr="00B42397">
              <w:rPr>
                <w:szCs w:val="20"/>
              </w:rPr>
              <w:t xml:space="preserve">: </w:t>
            </w:r>
            <w:r w:rsidRPr="00B42397">
              <w:rPr>
                <w:i/>
                <w:iCs/>
                <w:szCs w:val="20"/>
              </w:rPr>
              <w:t>$16.68</w:t>
            </w:r>
          </w:p>
        </w:tc>
        <w:tc>
          <w:tcPr>
            <w:tcW w:w="1701" w:type="pct"/>
            <w:vMerge/>
            <w:shd w:val="clear" w:color="auto" w:fill="auto"/>
            <w:vAlign w:val="center"/>
          </w:tcPr>
          <w:p w14:paraId="64453F2A" w14:textId="77777777" w:rsidR="00893615" w:rsidRPr="00B42397" w:rsidRDefault="00893615" w:rsidP="000E4C25">
            <w:pPr>
              <w:pStyle w:val="TableText0"/>
              <w:widowControl w:val="0"/>
            </w:pPr>
          </w:p>
        </w:tc>
      </w:tr>
      <w:tr w:rsidR="00F73B5C" w:rsidRPr="00B42397" w14:paraId="16584B77" w14:textId="77777777" w:rsidTr="003A7755">
        <w:tc>
          <w:tcPr>
            <w:tcW w:w="950" w:type="pct"/>
            <w:shd w:val="clear" w:color="auto" w:fill="auto"/>
            <w:vAlign w:val="center"/>
          </w:tcPr>
          <w:p w14:paraId="265B569D" w14:textId="77777777" w:rsidR="00F73B5C" w:rsidRPr="00B42397" w:rsidRDefault="00F73B5C" w:rsidP="000E4C25">
            <w:pPr>
              <w:pStyle w:val="TableText0"/>
              <w:widowControl w:val="0"/>
            </w:pPr>
            <w:r w:rsidRPr="00B42397">
              <w:t>MBS item</w:t>
            </w:r>
            <w:r w:rsidR="00893615" w:rsidRPr="00B42397">
              <w:t>s</w:t>
            </w:r>
          </w:p>
        </w:tc>
        <w:tc>
          <w:tcPr>
            <w:tcW w:w="2349" w:type="pct"/>
            <w:shd w:val="clear" w:color="auto" w:fill="auto"/>
            <w:vAlign w:val="center"/>
          </w:tcPr>
          <w:p w14:paraId="191690A4" w14:textId="77777777" w:rsidR="00893615" w:rsidRPr="00B42397" w:rsidRDefault="00893615" w:rsidP="000E4C25">
            <w:pPr>
              <w:pStyle w:val="TableText0"/>
              <w:widowControl w:val="0"/>
              <w:rPr>
                <w:i/>
                <w:iCs/>
                <w:szCs w:val="20"/>
              </w:rPr>
            </w:pPr>
            <w:r w:rsidRPr="00B42397">
              <w:rPr>
                <w:iCs/>
                <w:szCs w:val="20"/>
              </w:rPr>
              <w:t>MBS Item 13915</w:t>
            </w:r>
            <w:r w:rsidR="003E69CB" w:rsidRPr="00B42397">
              <w:rPr>
                <w:iCs/>
                <w:szCs w:val="20"/>
              </w:rPr>
              <w:t xml:space="preserve"> (administration of cytotoxic chemotherapy): </w:t>
            </w:r>
            <w:r w:rsidR="003E69CB" w:rsidRPr="00B42397">
              <w:rPr>
                <w:i/>
                <w:iCs/>
                <w:szCs w:val="20"/>
              </w:rPr>
              <w:t>$67.10</w:t>
            </w:r>
          </w:p>
          <w:p w14:paraId="11B7A19F" w14:textId="77777777" w:rsidR="00F73B5C" w:rsidRPr="00B42397" w:rsidRDefault="00893615" w:rsidP="000E4C25">
            <w:pPr>
              <w:pStyle w:val="TableText0"/>
              <w:widowControl w:val="0"/>
              <w:rPr>
                <w:i/>
                <w:iCs/>
                <w:szCs w:val="20"/>
              </w:rPr>
            </w:pPr>
            <w:r w:rsidRPr="00B42397">
              <w:rPr>
                <w:iCs/>
                <w:szCs w:val="20"/>
              </w:rPr>
              <w:t>MBS Item 105</w:t>
            </w:r>
            <w:r w:rsidR="003E69CB" w:rsidRPr="00B42397">
              <w:rPr>
                <w:iCs/>
                <w:szCs w:val="20"/>
              </w:rPr>
              <w:t xml:space="preserve"> (professional attendance by a specialist</w:t>
            </w:r>
            <w:r w:rsidRPr="00B42397">
              <w:rPr>
                <w:iCs/>
                <w:szCs w:val="20"/>
              </w:rPr>
              <w:t>)</w:t>
            </w:r>
            <w:r w:rsidR="003E69CB" w:rsidRPr="00B42397">
              <w:rPr>
                <w:iCs/>
                <w:szCs w:val="20"/>
              </w:rPr>
              <w:t>:</w:t>
            </w:r>
            <w:r w:rsidR="003E69CB" w:rsidRPr="00B42397">
              <w:rPr>
                <w:i/>
                <w:iCs/>
                <w:szCs w:val="20"/>
              </w:rPr>
              <w:t xml:space="preserve"> $45.00</w:t>
            </w:r>
          </w:p>
          <w:p w14:paraId="4CC01386" w14:textId="77777777" w:rsidR="006D7EFC" w:rsidRPr="00B42397" w:rsidRDefault="006D7EFC" w:rsidP="000E4C25">
            <w:pPr>
              <w:pStyle w:val="TableText0"/>
              <w:widowControl w:val="0"/>
            </w:pPr>
            <w:r w:rsidRPr="00B42397">
              <w:rPr>
                <w:iCs/>
              </w:rPr>
              <w:t>An MBS benefit o</w:t>
            </w:r>
            <w:r w:rsidR="001B166F" w:rsidRPr="00B42397">
              <w:rPr>
                <w:iCs/>
              </w:rPr>
              <w:t>f</w:t>
            </w:r>
            <w:r w:rsidRPr="00B42397">
              <w:rPr>
                <w:iCs/>
              </w:rPr>
              <w:t xml:space="preserve"> 80% applied in the submission. </w:t>
            </w:r>
          </w:p>
        </w:tc>
        <w:tc>
          <w:tcPr>
            <w:tcW w:w="1701" w:type="pct"/>
            <w:shd w:val="clear" w:color="auto" w:fill="auto"/>
            <w:vAlign w:val="center"/>
          </w:tcPr>
          <w:p w14:paraId="7FB9CF72" w14:textId="77777777" w:rsidR="006D7EFC" w:rsidRPr="00B42397" w:rsidRDefault="006D7EFC" w:rsidP="000E4C25">
            <w:pPr>
              <w:pStyle w:val="TableText0"/>
              <w:widowControl w:val="0"/>
            </w:pPr>
            <w:r w:rsidRPr="00B42397">
              <w:t>MBS Items are a</w:t>
            </w:r>
            <w:r w:rsidR="00F73B5C" w:rsidRPr="00B42397">
              <w:t>ppropriate</w:t>
            </w:r>
            <w:r w:rsidRPr="00B42397">
              <w:t>.</w:t>
            </w:r>
          </w:p>
        </w:tc>
      </w:tr>
    </w:tbl>
    <w:p w14:paraId="5453E23B" w14:textId="77777777" w:rsidR="00893615" w:rsidRPr="00B42397" w:rsidRDefault="00893615" w:rsidP="00893615">
      <w:pPr>
        <w:rPr>
          <w:rFonts w:ascii="Arial Narrow" w:hAnsi="Arial Narrow"/>
          <w:snapToGrid w:val="0"/>
          <w:sz w:val="18"/>
          <w:szCs w:val="22"/>
        </w:rPr>
      </w:pPr>
      <w:r w:rsidRPr="00B42397">
        <w:rPr>
          <w:rFonts w:ascii="Arial Narrow" w:hAnsi="Arial Narrow"/>
          <w:snapToGrid w:val="0"/>
          <w:sz w:val="18"/>
          <w:szCs w:val="22"/>
        </w:rPr>
        <w:t>Source: Table 4.1.1 o the submission.</w:t>
      </w:r>
    </w:p>
    <w:p w14:paraId="311ACEA5" w14:textId="77777777" w:rsidR="00893615" w:rsidRPr="00B42397" w:rsidRDefault="00893615" w:rsidP="00893615">
      <w:pPr>
        <w:rPr>
          <w:rFonts w:ascii="Arial Narrow" w:hAnsi="Arial Narrow"/>
          <w:snapToGrid w:val="0"/>
          <w:sz w:val="18"/>
          <w:szCs w:val="22"/>
        </w:rPr>
      </w:pPr>
      <w:r w:rsidRPr="00B42397">
        <w:rPr>
          <w:rFonts w:ascii="Arial Narrow" w:hAnsi="Arial Narrow"/>
          <w:snapToGrid w:val="0"/>
          <w:sz w:val="18"/>
          <w:szCs w:val="22"/>
        </w:rPr>
        <w:t>CAR =</w:t>
      </w:r>
      <w:r w:rsidR="00C75504" w:rsidRPr="00B42397">
        <w:rPr>
          <w:rFonts w:ascii="Arial Narrow" w:hAnsi="Arial Narrow"/>
          <w:snapToGrid w:val="0"/>
          <w:sz w:val="18"/>
          <w:szCs w:val="22"/>
        </w:rPr>
        <w:t xml:space="preserve"> </w:t>
      </w:r>
      <w:r w:rsidRPr="00B42397">
        <w:rPr>
          <w:rFonts w:ascii="Arial Narrow" w:hAnsi="Arial Narrow"/>
          <w:snapToGrid w:val="0"/>
          <w:sz w:val="18"/>
          <w:szCs w:val="22"/>
        </w:rPr>
        <w:t>carfilzomib; Cd =</w:t>
      </w:r>
      <w:r w:rsidR="00C75504" w:rsidRPr="00B42397">
        <w:rPr>
          <w:rFonts w:ascii="Arial Narrow" w:hAnsi="Arial Narrow"/>
          <w:snapToGrid w:val="0"/>
          <w:sz w:val="18"/>
          <w:szCs w:val="22"/>
        </w:rPr>
        <w:t xml:space="preserve"> </w:t>
      </w:r>
      <w:r w:rsidRPr="00B42397">
        <w:rPr>
          <w:rFonts w:ascii="Arial Narrow" w:hAnsi="Arial Narrow"/>
          <w:snapToGrid w:val="0"/>
          <w:sz w:val="18"/>
          <w:szCs w:val="22"/>
        </w:rPr>
        <w:t xml:space="preserve">carfilzomib+ dexamethasone; </w:t>
      </w:r>
      <w:r w:rsidR="006D7EFC" w:rsidRPr="00B42397">
        <w:rPr>
          <w:rFonts w:ascii="Arial Narrow" w:hAnsi="Arial Narrow"/>
          <w:snapToGrid w:val="0"/>
          <w:sz w:val="18"/>
          <w:szCs w:val="22"/>
        </w:rPr>
        <w:t xml:space="preserve">CMA = cost minimisation analysis; </w:t>
      </w:r>
      <w:r w:rsidRPr="00B42397">
        <w:rPr>
          <w:rFonts w:ascii="Arial Narrow" w:hAnsi="Arial Narrow"/>
          <w:snapToGrid w:val="0"/>
          <w:sz w:val="18"/>
          <w:szCs w:val="22"/>
        </w:rPr>
        <w:t xml:space="preserve">DEX = dexamethasone; </w:t>
      </w:r>
      <w:r w:rsidR="00B42397" w:rsidRPr="00B42397">
        <w:rPr>
          <w:rFonts w:ascii="Arial Narrow" w:hAnsi="Arial Narrow"/>
          <w:snapToGrid w:val="0"/>
          <w:sz w:val="18"/>
          <w:szCs w:val="22"/>
        </w:rPr>
        <w:t>DPMA =</w:t>
      </w:r>
      <w:r w:rsidR="00C75504" w:rsidRPr="00B42397">
        <w:rPr>
          <w:rFonts w:ascii="Arial Narrow" w:hAnsi="Arial Narrow"/>
          <w:snapToGrid w:val="0"/>
          <w:sz w:val="18"/>
          <w:szCs w:val="22"/>
        </w:rPr>
        <w:t xml:space="preserve"> </w:t>
      </w:r>
      <w:r w:rsidRPr="00B42397">
        <w:rPr>
          <w:rFonts w:ascii="Arial Narrow" w:hAnsi="Arial Narrow"/>
          <w:snapToGrid w:val="0"/>
          <w:sz w:val="18"/>
          <w:szCs w:val="22"/>
        </w:rPr>
        <w:t>dispense</w:t>
      </w:r>
      <w:r w:rsidR="00D904C2">
        <w:rPr>
          <w:rFonts w:ascii="Arial Narrow" w:hAnsi="Arial Narrow"/>
          <w:snapToGrid w:val="0"/>
          <w:sz w:val="18"/>
          <w:szCs w:val="22"/>
        </w:rPr>
        <w:t>d</w:t>
      </w:r>
      <w:r w:rsidRPr="00B42397">
        <w:rPr>
          <w:rFonts w:ascii="Arial Narrow" w:hAnsi="Arial Narrow"/>
          <w:snapToGrid w:val="0"/>
          <w:sz w:val="18"/>
          <w:szCs w:val="22"/>
        </w:rPr>
        <w:t xml:space="preserve"> price per maximum amount; </w:t>
      </w:r>
      <w:proofErr w:type="spellStart"/>
      <w:r w:rsidR="00833A74" w:rsidRPr="00B42397">
        <w:rPr>
          <w:rFonts w:ascii="Arial Narrow" w:hAnsi="Arial Narrow"/>
          <w:snapToGrid w:val="0"/>
          <w:sz w:val="18"/>
          <w:szCs w:val="22"/>
        </w:rPr>
        <w:t>ELd</w:t>
      </w:r>
      <w:proofErr w:type="spellEnd"/>
      <w:r w:rsidR="00833A74" w:rsidRPr="00B42397">
        <w:rPr>
          <w:rFonts w:ascii="Arial Narrow" w:hAnsi="Arial Narrow"/>
          <w:snapToGrid w:val="0"/>
          <w:sz w:val="18"/>
          <w:szCs w:val="22"/>
        </w:rPr>
        <w:t xml:space="preserve"> = elotuzumab + lenalidomide + dexamethasone; </w:t>
      </w:r>
      <w:r w:rsidRPr="00B42397">
        <w:rPr>
          <w:rFonts w:ascii="Arial Narrow" w:hAnsi="Arial Narrow"/>
          <w:snapToGrid w:val="0"/>
          <w:sz w:val="18"/>
          <w:szCs w:val="22"/>
        </w:rPr>
        <w:t>ELO = elotuzumab; LEN =</w:t>
      </w:r>
      <w:r w:rsidR="00A253CB" w:rsidRPr="00B42397">
        <w:rPr>
          <w:rFonts w:ascii="Arial Narrow" w:hAnsi="Arial Narrow"/>
          <w:snapToGrid w:val="0"/>
          <w:sz w:val="18"/>
          <w:szCs w:val="22"/>
        </w:rPr>
        <w:t xml:space="preserve"> </w:t>
      </w:r>
      <w:r w:rsidRPr="00B42397">
        <w:rPr>
          <w:rFonts w:ascii="Arial Narrow" w:hAnsi="Arial Narrow"/>
          <w:snapToGrid w:val="0"/>
          <w:sz w:val="18"/>
          <w:szCs w:val="22"/>
        </w:rPr>
        <w:t>lenalidomide; MBS = Medicare Benefit Schedule</w:t>
      </w:r>
      <w:r w:rsidR="006D7EFC" w:rsidRPr="00B42397">
        <w:rPr>
          <w:rFonts w:ascii="Arial Narrow" w:hAnsi="Arial Narrow"/>
          <w:snapToGrid w:val="0"/>
          <w:sz w:val="18"/>
          <w:szCs w:val="22"/>
        </w:rPr>
        <w:t>.</w:t>
      </w:r>
    </w:p>
    <w:p w14:paraId="6C766848" w14:textId="77777777" w:rsidR="00893615" w:rsidRPr="00B42397" w:rsidRDefault="00893615" w:rsidP="00893615">
      <w:pPr>
        <w:rPr>
          <w:rFonts w:ascii="Arial Narrow" w:hAnsi="Arial Narrow"/>
          <w:i/>
          <w:snapToGrid w:val="0"/>
          <w:sz w:val="18"/>
          <w:szCs w:val="22"/>
        </w:rPr>
      </w:pPr>
      <w:r w:rsidRPr="00B42397">
        <w:rPr>
          <w:rFonts w:ascii="Arial Narrow" w:hAnsi="Arial Narrow"/>
          <w:i/>
          <w:snapToGrid w:val="0"/>
          <w:sz w:val="18"/>
          <w:szCs w:val="22"/>
        </w:rPr>
        <w:t>Values in italics were re-estimated based on the updated AHI</w:t>
      </w:r>
      <w:r w:rsidR="003E69CB" w:rsidRPr="00B42397">
        <w:rPr>
          <w:rFonts w:ascii="Arial Narrow" w:hAnsi="Arial Narrow"/>
          <w:i/>
          <w:snapToGrid w:val="0"/>
          <w:sz w:val="18"/>
          <w:szCs w:val="22"/>
        </w:rPr>
        <w:t xml:space="preserve"> </w:t>
      </w:r>
      <w:r w:rsidRPr="00B42397">
        <w:rPr>
          <w:rFonts w:ascii="Arial Narrow" w:hAnsi="Arial Narrow"/>
          <w:i/>
          <w:snapToGrid w:val="0"/>
          <w:sz w:val="18"/>
          <w:szCs w:val="22"/>
        </w:rPr>
        <w:t xml:space="preserve">preparation fees </w:t>
      </w:r>
      <w:r w:rsidR="00597EA8" w:rsidRPr="00B42397">
        <w:rPr>
          <w:rFonts w:ascii="Arial Narrow" w:hAnsi="Arial Narrow"/>
          <w:i/>
          <w:snapToGrid w:val="0"/>
          <w:sz w:val="18"/>
          <w:szCs w:val="22"/>
        </w:rPr>
        <w:t xml:space="preserve">and MBS item fees </w:t>
      </w:r>
      <w:r w:rsidRPr="00B42397">
        <w:rPr>
          <w:rFonts w:ascii="Arial Narrow" w:hAnsi="Arial Narrow"/>
          <w:i/>
          <w:snapToGrid w:val="0"/>
          <w:sz w:val="18"/>
          <w:szCs w:val="22"/>
        </w:rPr>
        <w:t>for July 2020.</w:t>
      </w:r>
    </w:p>
    <w:p w14:paraId="158B71EB" w14:textId="77777777" w:rsidR="007925DF" w:rsidRPr="00B42397" w:rsidRDefault="007925DF" w:rsidP="007925DF">
      <w:pPr>
        <w:rPr>
          <w:color w:val="3366FF"/>
        </w:rPr>
      </w:pPr>
    </w:p>
    <w:p w14:paraId="219DFD3E" w14:textId="77777777" w:rsidR="00B505C8" w:rsidRPr="00B42397" w:rsidRDefault="006D7EFC" w:rsidP="00421BB2">
      <w:pPr>
        <w:pStyle w:val="3-BodyText"/>
        <w:rPr>
          <w:color w:val="0066FF"/>
        </w:rPr>
      </w:pPr>
      <w:r w:rsidRPr="00B42397">
        <w:t xml:space="preserve">A summary of the estimated use and financial implications for </w:t>
      </w:r>
      <w:r w:rsidR="002B6CD1" w:rsidRPr="00B42397">
        <w:t xml:space="preserve">the proposed </w:t>
      </w:r>
      <w:r w:rsidRPr="00B42397">
        <w:t xml:space="preserve">listing </w:t>
      </w:r>
      <w:r w:rsidR="002B6CD1" w:rsidRPr="00B42397">
        <w:t xml:space="preserve">of </w:t>
      </w:r>
      <w:proofErr w:type="spellStart"/>
      <w:r w:rsidR="001F5659" w:rsidRPr="00B42397">
        <w:t>ELd</w:t>
      </w:r>
      <w:proofErr w:type="spellEnd"/>
      <w:r w:rsidRPr="00B42397">
        <w:t xml:space="preserve"> for the treatment of RRMM on the PBS is presented in</w:t>
      </w:r>
      <w:r w:rsidRPr="00B42397">
        <w:rPr>
          <w:color w:val="0066FF"/>
        </w:rPr>
        <w:t xml:space="preserve"> </w:t>
      </w:r>
      <w:r w:rsidRPr="00B42397">
        <w:rPr>
          <w:color w:val="000000" w:themeColor="text1"/>
        </w:rPr>
        <w:t xml:space="preserve">Table </w:t>
      </w:r>
      <w:r w:rsidR="00421BB2" w:rsidRPr="00B42397">
        <w:rPr>
          <w:color w:val="000000" w:themeColor="text1"/>
        </w:rPr>
        <w:t>1</w:t>
      </w:r>
      <w:r w:rsidR="005D1318" w:rsidRPr="00B42397">
        <w:rPr>
          <w:color w:val="000000" w:themeColor="text1"/>
        </w:rPr>
        <w:t>5</w:t>
      </w:r>
      <w:r w:rsidR="00421BB2" w:rsidRPr="00B42397">
        <w:rPr>
          <w:color w:val="000000" w:themeColor="text1"/>
        </w:rPr>
        <w:t>.</w:t>
      </w:r>
      <w:r w:rsidRPr="00B42397">
        <w:rPr>
          <w:color w:val="000000" w:themeColor="text1"/>
        </w:rPr>
        <w:t xml:space="preserve"> </w:t>
      </w:r>
    </w:p>
    <w:p w14:paraId="45090831" w14:textId="77777777" w:rsidR="00C25D9C" w:rsidRPr="00B42397" w:rsidRDefault="002A2F50" w:rsidP="00606FBA">
      <w:pPr>
        <w:pStyle w:val="TableFigureHeading"/>
      </w:pPr>
      <w:r w:rsidRPr="00B42397">
        <w:rPr>
          <w:rStyle w:val="CommentReference"/>
          <w:b/>
          <w:szCs w:val="24"/>
        </w:rPr>
        <w:lastRenderedPageBreak/>
        <w:t xml:space="preserve">Table </w:t>
      </w:r>
      <w:r w:rsidR="00421BB2" w:rsidRPr="00B42397">
        <w:rPr>
          <w:rStyle w:val="CommentReference"/>
          <w:b/>
          <w:szCs w:val="24"/>
        </w:rPr>
        <w:t>1</w:t>
      </w:r>
      <w:r w:rsidR="005D1318" w:rsidRPr="00B42397">
        <w:rPr>
          <w:rStyle w:val="CommentReference"/>
          <w:b/>
          <w:szCs w:val="24"/>
        </w:rPr>
        <w:t>5</w:t>
      </w:r>
      <w:r w:rsidRPr="00B42397">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385A9D" w:rsidRPr="00B42397" w14:paraId="534DB3DD" w14:textId="77777777" w:rsidTr="009A00B8">
        <w:trPr>
          <w:tblHeader/>
        </w:trPr>
        <w:tc>
          <w:tcPr>
            <w:tcW w:w="1116" w:type="pct"/>
            <w:shd w:val="clear" w:color="auto" w:fill="auto"/>
            <w:vAlign w:val="center"/>
          </w:tcPr>
          <w:p w14:paraId="068C2362" w14:textId="77777777" w:rsidR="00385A9D" w:rsidRPr="00B42397" w:rsidRDefault="00385A9D" w:rsidP="00606FBA">
            <w:pPr>
              <w:pStyle w:val="In-tableHeading"/>
              <w:jc w:val="center"/>
              <w:rPr>
                <w:szCs w:val="20"/>
                <w:lang w:val="en-AU"/>
              </w:rPr>
            </w:pPr>
          </w:p>
        </w:tc>
        <w:tc>
          <w:tcPr>
            <w:tcW w:w="647" w:type="pct"/>
            <w:shd w:val="clear" w:color="auto" w:fill="auto"/>
            <w:vAlign w:val="center"/>
          </w:tcPr>
          <w:p w14:paraId="49362970" w14:textId="77777777" w:rsidR="00385A9D" w:rsidRPr="00B42397" w:rsidRDefault="00385A9D" w:rsidP="00606FBA">
            <w:pPr>
              <w:pStyle w:val="In-tableHeading"/>
              <w:jc w:val="center"/>
              <w:rPr>
                <w:szCs w:val="20"/>
                <w:lang w:val="en-AU"/>
              </w:rPr>
            </w:pPr>
            <w:r w:rsidRPr="00B42397">
              <w:rPr>
                <w:szCs w:val="20"/>
                <w:lang w:val="en-AU"/>
              </w:rPr>
              <w:t>Year 1</w:t>
            </w:r>
          </w:p>
        </w:tc>
        <w:tc>
          <w:tcPr>
            <w:tcW w:w="647" w:type="pct"/>
            <w:shd w:val="clear" w:color="auto" w:fill="auto"/>
            <w:vAlign w:val="center"/>
          </w:tcPr>
          <w:p w14:paraId="3DE0886D" w14:textId="77777777" w:rsidR="00385A9D" w:rsidRPr="00B42397" w:rsidRDefault="00385A9D" w:rsidP="00606FBA">
            <w:pPr>
              <w:pStyle w:val="In-tableHeading"/>
              <w:jc w:val="center"/>
              <w:rPr>
                <w:szCs w:val="20"/>
                <w:lang w:val="en-AU"/>
              </w:rPr>
            </w:pPr>
            <w:r w:rsidRPr="00B42397">
              <w:rPr>
                <w:szCs w:val="20"/>
                <w:lang w:val="en-AU"/>
              </w:rPr>
              <w:t>Year 2</w:t>
            </w:r>
          </w:p>
        </w:tc>
        <w:tc>
          <w:tcPr>
            <w:tcW w:w="647" w:type="pct"/>
            <w:shd w:val="clear" w:color="auto" w:fill="auto"/>
            <w:vAlign w:val="center"/>
          </w:tcPr>
          <w:p w14:paraId="69DE9629" w14:textId="77777777" w:rsidR="00385A9D" w:rsidRPr="00B42397" w:rsidRDefault="00385A9D" w:rsidP="00606FBA">
            <w:pPr>
              <w:pStyle w:val="In-tableHeading"/>
              <w:jc w:val="center"/>
              <w:rPr>
                <w:szCs w:val="20"/>
                <w:lang w:val="en-AU"/>
              </w:rPr>
            </w:pPr>
            <w:r w:rsidRPr="00B42397">
              <w:rPr>
                <w:szCs w:val="20"/>
                <w:lang w:val="en-AU"/>
              </w:rPr>
              <w:t>Year 3</w:t>
            </w:r>
          </w:p>
        </w:tc>
        <w:tc>
          <w:tcPr>
            <w:tcW w:w="647" w:type="pct"/>
            <w:shd w:val="clear" w:color="auto" w:fill="auto"/>
            <w:vAlign w:val="center"/>
          </w:tcPr>
          <w:p w14:paraId="1B33978F" w14:textId="77777777" w:rsidR="00385A9D" w:rsidRPr="00B42397" w:rsidRDefault="00385A9D" w:rsidP="00606FBA">
            <w:pPr>
              <w:pStyle w:val="In-tableHeading"/>
              <w:jc w:val="center"/>
              <w:rPr>
                <w:szCs w:val="20"/>
                <w:lang w:val="en-AU"/>
              </w:rPr>
            </w:pPr>
            <w:r w:rsidRPr="00B42397">
              <w:rPr>
                <w:szCs w:val="20"/>
                <w:lang w:val="en-AU"/>
              </w:rPr>
              <w:t>Year 4</w:t>
            </w:r>
          </w:p>
        </w:tc>
        <w:tc>
          <w:tcPr>
            <w:tcW w:w="647" w:type="pct"/>
            <w:shd w:val="clear" w:color="auto" w:fill="auto"/>
            <w:vAlign w:val="center"/>
          </w:tcPr>
          <w:p w14:paraId="254A1BAC" w14:textId="77777777" w:rsidR="00385A9D" w:rsidRPr="00B42397" w:rsidRDefault="00385A9D" w:rsidP="00606FBA">
            <w:pPr>
              <w:pStyle w:val="In-tableHeading"/>
              <w:jc w:val="center"/>
              <w:rPr>
                <w:szCs w:val="20"/>
                <w:lang w:val="en-AU"/>
              </w:rPr>
            </w:pPr>
            <w:r w:rsidRPr="00B42397">
              <w:rPr>
                <w:szCs w:val="20"/>
                <w:lang w:val="en-AU"/>
              </w:rPr>
              <w:t>Year 5</w:t>
            </w:r>
          </w:p>
        </w:tc>
        <w:tc>
          <w:tcPr>
            <w:tcW w:w="649" w:type="pct"/>
          </w:tcPr>
          <w:p w14:paraId="27145D58" w14:textId="77777777" w:rsidR="00385A9D" w:rsidRPr="00B42397" w:rsidRDefault="00385A9D" w:rsidP="00606FBA">
            <w:pPr>
              <w:pStyle w:val="In-tableHeading"/>
              <w:jc w:val="center"/>
              <w:rPr>
                <w:szCs w:val="20"/>
                <w:lang w:val="en-AU"/>
              </w:rPr>
            </w:pPr>
            <w:r w:rsidRPr="00B42397">
              <w:rPr>
                <w:szCs w:val="20"/>
                <w:lang w:val="en-AU"/>
              </w:rPr>
              <w:t>Year 6</w:t>
            </w:r>
          </w:p>
        </w:tc>
      </w:tr>
      <w:tr w:rsidR="00385A9D" w:rsidRPr="00B42397" w14:paraId="1E6A0F8F" w14:textId="77777777" w:rsidTr="009C3A3A">
        <w:tc>
          <w:tcPr>
            <w:tcW w:w="5000" w:type="pct"/>
            <w:gridSpan w:val="7"/>
            <w:shd w:val="clear" w:color="auto" w:fill="auto"/>
            <w:vAlign w:val="center"/>
          </w:tcPr>
          <w:p w14:paraId="66F9F648" w14:textId="77777777" w:rsidR="00385A9D" w:rsidRPr="00B42397" w:rsidRDefault="00385A9D" w:rsidP="00606FBA">
            <w:pPr>
              <w:pStyle w:val="In-tableHeading"/>
              <w:rPr>
                <w:bCs/>
                <w:color w:val="000000"/>
                <w:szCs w:val="20"/>
                <w:lang w:val="en-AU"/>
              </w:rPr>
            </w:pPr>
            <w:r w:rsidRPr="00B42397">
              <w:rPr>
                <w:bCs/>
                <w:color w:val="000000"/>
                <w:szCs w:val="20"/>
                <w:lang w:val="en-AU"/>
              </w:rPr>
              <w:t>Estimated extent of use</w:t>
            </w:r>
          </w:p>
        </w:tc>
      </w:tr>
      <w:tr w:rsidR="00E27D57" w:rsidRPr="00B42397" w14:paraId="3B011118" w14:textId="77777777" w:rsidTr="009A00B8">
        <w:tc>
          <w:tcPr>
            <w:tcW w:w="1116" w:type="pct"/>
            <w:shd w:val="clear" w:color="auto" w:fill="auto"/>
            <w:vAlign w:val="center"/>
          </w:tcPr>
          <w:p w14:paraId="65E3ADE6" w14:textId="77777777" w:rsidR="00E27D57" w:rsidRPr="00B42397" w:rsidRDefault="00E27D57" w:rsidP="00E27D57">
            <w:pPr>
              <w:pStyle w:val="TableText0"/>
              <w:rPr>
                <w:rFonts w:ascii="Times" w:hAnsi="Times"/>
                <w:szCs w:val="20"/>
              </w:rPr>
            </w:pPr>
            <w:r w:rsidRPr="00B42397">
              <w:rPr>
                <w:szCs w:val="20"/>
              </w:rPr>
              <w:t>Number of patients treated</w:t>
            </w:r>
          </w:p>
        </w:tc>
        <w:tc>
          <w:tcPr>
            <w:tcW w:w="647" w:type="pct"/>
            <w:shd w:val="clear" w:color="auto" w:fill="auto"/>
          </w:tcPr>
          <w:p w14:paraId="6A933F4C" w14:textId="77777777" w:rsidR="00E27D57" w:rsidRPr="00A67289" w:rsidRDefault="00B51893" w:rsidP="00E27D57">
            <w:pPr>
              <w:pStyle w:val="TableText0"/>
              <w:jc w:val="center"/>
              <w:rPr>
                <w:color w:val="000000"/>
                <w:szCs w:val="20"/>
              </w:rPr>
            </w:pPr>
            <w:r>
              <w:rPr>
                <w:noProof/>
                <w:color w:val="000000"/>
                <w:szCs w:val="20"/>
                <w:highlight w:val="black"/>
              </w:rPr>
              <w:t>'''''''''</w:t>
            </w:r>
            <w:r w:rsidR="00A67289">
              <w:rPr>
                <w:szCs w:val="20"/>
                <w:vertAlign w:val="superscript"/>
              </w:rPr>
              <w:t>1</w:t>
            </w:r>
          </w:p>
        </w:tc>
        <w:tc>
          <w:tcPr>
            <w:tcW w:w="647" w:type="pct"/>
            <w:shd w:val="clear" w:color="auto" w:fill="auto"/>
          </w:tcPr>
          <w:p w14:paraId="2DF03248" w14:textId="77777777" w:rsidR="00E27D57" w:rsidRPr="00B42397" w:rsidRDefault="00B51893" w:rsidP="00E27D57">
            <w:pPr>
              <w:pStyle w:val="TableText0"/>
              <w:jc w:val="center"/>
              <w:rPr>
                <w:color w:val="000000"/>
                <w:szCs w:val="20"/>
              </w:rPr>
            </w:pPr>
            <w:r>
              <w:rPr>
                <w:noProof/>
                <w:color w:val="000000"/>
                <w:szCs w:val="20"/>
                <w:highlight w:val="black"/>
              </w:rPr>
              <w:t>''''''''</w:t>
            </w:r>
            <w:r w:rsidR="0046734A">
              <w:rPr>
                <w:szCs w:val="20"/>
                <w:vertAlign w:val="superscript"/>
              </w:rPr>
              <w:t>1</w:t>
            </w:r>
          </w:p>
        </w:tc>
        <w:tc>
          <w:tcPr>
            <w:tcW w:w="647" w:type="pct"/>
            <w:shd w:val="clear" w:color="auto" w:fill="auto"/>
          </w:tcPr>
          <w:p w14:paraId="72C5CEAB" w14:textId="77777777" w:rsidR="00E27D57" w:rsidRPr="00B42397" w:rsidRDefault="00B51893" w:rsidP="00E27D57">
            <w:pPr>
              <w:pStyle w:val="TableText0"/>
              <w:jc w:val="center"/>
              <w:rPr>
                <w:color w:val="000000"/>
                <w:szCs w:val="20"/>
              </w:rPr>
            </w:pPr>
            <w:r>
              <w:rPr>
                <w:noProof/>
                <w:color w:val="000000"/>
                <w:szCs w:val="20"/>
                <w:highlight w:val="black"/>
              </w:rPr>
              <w:t>'''''''''</w:t>
            </w:r>
            <w:r w:rsidR="0046734A">
              <w:rPr>
                <w:szCs w:val="20"/>
                <w:vertAlign w:val="superscript"/>
              </w:rPr>
              <w:t>1</w:t>
            </w:r>
          </w:p>
        </w:tc>
        <w:tc>
          <w:tcPr>
            <w:tcW w:w="647" w:type="pct"/>
            <w:shd w:val="clear" w:color="auto" w:fill="auto"/>
          </w:tcPr>
          <w:p w14:paraId="29966025" w14:textId="77777777" w:rsidR="00E27D57" w:rsidRPr="00B42397" w:rsidRDefault="00B51893" w:rsidP="00E27D57">
            <w:pPr>
              <w:pStyle w:val="TableText0"/>
              <w:jc w:val="center"/>
              <w:rPr>
                <w:color w:val="000000"/>
                <w:szCs w:val="20"/>
              </w:rPr>
            </w:pPr>
            <w:r>
              <w:rPr>
                <w:noProof/>
                <w:color w:val="000000"/>
                <w:szCs w:val="20"/>
                <w:highlight w:val="black"/>
              </w:rPr>
              <w:t>'''''''''</w:t>
            </w:r>
            <w:r w:rsidR="0046734A">
              <w:rPr>
                <w:szCs w:val="20"/>
                <w:vertAlign w:val="superscript"/>
              </w:rPr>
              <w:t>1</w:t>
            </w:r>
          </w:p>
        </w:tc>
        <w:tc>
          <w:tcPr>
            <w:tcW w:w="647" w:type="pct"/>
            <w:shd w:val="clear" w:color="auto" w:fill="auto"/>
          </w:tcPr>
          <w:p w14:paraId="08F3462F" w14:textId="77777777" w:rsidR="00E27D57" w:rsidRPr="00B42397" w:rsidRDefault="00B51893" w:rsidP="00E27D57">
            <w:pPr>
              <w:pStyle w:val="TableText0"/>
              <w:jc w:val="center"/>
              <w:rPr>
                <w:color w:val="000000"/>
                <w:szCs w:val="20"/>
              </w:rPr>
            </w:pPr>
            <w:r>
              <w:rPr>
                <w:noProof/>
                <w:color w:val="000000"/>
                <w:szCs w:val="20"/>
                <w:highlight w:val="black"/>
              </w:rPr>
              <w:t>'''''''''</w:t>
            </w:r>
            <w:r w:rsidR="0046734A">
              <w:rPr>
                <w:szCs w:val="20"/>
                <w:vertAlign w:val="superscript"/>
              </w:rPr>
              <w:t>1</w:t>
            </w:r>
          </w:p>
        </w:tc>
        <w:tc>
          <w:tcPr>
            <w:tcW w:w="649" w:type="pct"/>
          </w:tcPr>
          <w:p w14:paraId="77D82B46" w14:textId="77777777" w:rsidR="00E27D57" w:rsidRPr="00B42397" w:rsidRDefault="00B51893" w:rsidP="00E27D57">
            <w:pPr>
              <w:pStyle w:val="TableText0"/>
              <w:jc w:val="center"/>
              <w:rPr>
                <w:color w:val="000000"/>
                <w:szCs w:val="20"/>
              </w:rPr>
            </w:pPr>
            <w:r>
              <w:rPr>
                <w:noProof/>
                <w:color w:val="000000"/>
                <w:szCs w:val="20"/>
                <w:highlight w:val="black"/>
              </w:rPr>
              <w:t>''''''''</w:t>
            </w:r>
            <w:r w:rsidR="0046734A">
              <w:rPr>
                <w:szCs w:val="20"/>
                <w:vertAlign w:val="superscript"/>
              </w:rPr>
              <w:t>1</w:t>
            </w:r>
          </w:p>
        </w:tc>
      </w:tr>
      <w:tr w:rsidR="009A00B8" w:rsidRPr="00B42397" w14:paraId="35FE86C5" w14:textId="77777777" w:rsidTr="007714BC">
        <w:tc>
          <w:tcPr>
            <w:tcW w:w="1116" w:type="pct"/>
            <w:shd w:val="clear" w:color="auto" w:fill="auto"/>
            <w:vAlign w:val="center"/>
          </w:tcPr>
          <w:p w14:paraId="32F99884" w14:textId="77777777" w:rsidR="009A00B8" w:rsidRPr="00B42397" w:rsidRDefault="009A00B8" w:rsidP="009A00B8">
            <w:pPr>
              <w:pStyle w:val="TableText0"/>
              <w:rPr>
                <w:rFonts w:ascii="Times" w:hAnsi="Times"/>
                <w:szCs w:val="20"/>
              </w:rPr>
            </w:pPr>
            <w:r w:rsidRPr="00B42397">
              <w:rPr>
                <w:szCs w:val="20"/>
              </w:rPr>
              <w:t xml:space="preserve">Number of scripts </w:t>
            </w:r>
            <w:proofErr w:type="spellStart"/>
            <w:r w:rsidRPr="00B42397">
              <w:rPr>
                <w:szCs w:val="20"/>
              </w:rPr>
              <w:t>dispensed</w:t>
            </w:r>
            <w:r w:rsidRPr="00B42397">
              <w:rPr>
                <w:szCs w:val="20"/>
                <w:vertAlign w:val="superscript"/>
              </w:rPr>
              <w:t>a</w:t>
            </w:r>
            <w:proofErr w:type="spellEnd"/>
            <w:r w:rsidRPr="00B42397">
              <w:rPr>
                <w:szCs w:val="20"/>
              </w:rPr>
              <w:t xml:space="preserve"> - elotuzumab</w:t>
            </w:r>
          </w:p>
        </w:tc>
        <w:tc>
          <w:tcPr>
            <w:tcW w:w="647" w:type="pct"/>
            <w:shd w:val="clear" w:color="auto" w:fill="auto"/>
            <w:vAlign w:val="center"/>
          </w:tcPr>
          <w:p w14:paraId="2C5CCEC7" w14:textId="77777777" w:rsidR="009A00B8" w:rsidRPr="00A67289" w:rsidRDefault="00B51893" w:rsidP="009A00B8">
            <w:pPr>
              <w:pStyle w:val="TableText0"/>
              <w:jc w:val="center"/>
              <w:rPr>
                <w:color w:val="000000"/>
                <w:szCs w:val="20"/>
                <w:vertAlign w:val="superscript"/>
              </w:rPr>
            </w:pPr>
            <w:r>
              <w:rPr>
                <w:noProof/>
                <w:color w:val="000000"/>
                <w:szCs w:val="20"/>
                <w:highlight w:val="black"/>
              </w:rPr>
              <w:t>''''''''''''''</w:t>
            </w:r>
            <w:r w:rsidR="00A67289">
              <w:rPr>
                <w:szCs w:val="20"/>
                <w:vertAlign w:val="superscript"/>
              </w:rPr>
              <w:t>2</w:t>
            </w:r>
          </w:p>
        </w:tc>
        <w:tc>
          <w:tcPr>
            <w:tcW w:w="647" w:type="pct"/>
            <w:shd w:val="clear" w:color="auto" w:fill="auto"/>
            <w:vAlign w:val="center"/>
          </w:tcPr>
          <w:p w14:paraId="7F75856D" w14:textId="77777777" w:rsidR="009A00B8" w:rsidRPr="0046734A" w:rsidRDefault="00B51893" w:rsidP="009A00B8">
            <w:pPr>
              <w:pStyle w:val="TableText0"/>
              <w:jc w:val="center"/>
              <w:rPr>
                <w:color w:val="000000"/>
                <w:szCs w:val="20"/>
              </w:rPr>
            </w:pPr>
            <w:r>
              <w:rPr>
                <w:noProof/>
                <w:color w:val="000000"/>
                <w:szCs w:val="20"/>
                <w:highlight w:val="black"/>
              </w:rPr>
              <w:t>'''''''''''''</w:t>
            </w:r>
            <w:r w:rsidR="0046734A">
              <w:rPr>
                <w:szCs w:val="20"/>
                <w:vertAlign w:val="superscript"/>
              </w:rPr>
              <w:t>3</w:t>
            </w:r>
          </w:p>
        </w:tc>
        <w:tc>
          <w:tcPr>
            <w:tcW w:w="647" w:type="pct"/>
            <w:shd w:val="clear" w:color="auto" w:fill="auto"/>
            <w:vAlign w:val="center"/>
          </w:tcPr>
          <w:p w14:paraId="5A8C9E55" w14:textId="77777777" w:rsidR="009A00B8" w:rsidRPr="0046734A" w:rsidRDefault="00B51893" w:rsidP="009A00B8">
            <w:pPr>
              <w:pStyle w:val="TableText0"/>
              <w:jc w:val="center"/>
              <w:rPr>
                <w:color w:val="000000"/>
                <w:szCs w:val="20"/>
                <w:vertAlign w:val="superscript"/>
              </w:rPr>
            </w:pPr>
            <w:r>
              <w:rPr>
                <w:noProof/>
                <w:color w:val="000000"/>
                <w:szCs w:val="20"/>
                <w:highlight w:val="black"/>
              </w:rPr>
              <w:t>'''''''''''''''</w:t>
            </w:r>
            <w:r w:rsidR="0046734A">
              <w:rPr>
                <w:szCs w:val="20"/>
                <w:vertAlign w:val="superscript"/>
              </w:rPr>
              <w:t>4</w:t>
            </w:r>
          </w:p>
        </w:tc>
        <w:tc>
          <w:tcPr>
            <w:tcW w:w="647" w:type="pct"/>
            <w:shd w:val="clear" w:color="auto" w:fill="auto"/>
            <w:vAlign w:val="center"/>
          </w:tcPr>
          <w:p w14:paraId="5FA306E8" w14:textId="77777777" w:rsidR="009A00B8" w:rsidRPr="00B42397" w:rsidRDefault="00B51893" w:rsidP="009A00B8">
            <w:pPr>
              <w:pStyle w:val="TableText0"/>
              <w:jc w:val="center"/>
              <w:rPr>
                <w:color w:val="000000"/>
                <w:szCs w:val="20"/>
              </w:rPr>
            </w:pPr>
            <w:r>
              <w:rPr>
                <w:noProof/>
                <w:color w:val="000000"/>
                <w:szCs w:val="20"/>
                <w:highlight w:val="black"/>
              </w:rPr>
              <w:t>'''''''''''''''</w:t>
            </w:r>
            <w:r w:rsidR="008C702B">
              <w:rPr>
                <w:szCs w:val="20"/>
                <w:vertAlign w:val="superscript"/>
              </w:rPr>
              <w:t>4</w:t>
            </w:r>
          </w:p>
        </w:tc>
        <w:tc>
          <w:tcPr>
            <w:tcW w:w="647" w:type="pct"/>
            <w:shd w:val="clear" w:color="auto" w:fill="auto"/>
            <w:vAlign w:val="center"/>
          </w:tcPr>
          <w:p w14:paraId="0C4CDEEE" w14:textId="77777777" w:rsidR="009A00B8" w:rsidRPr="00B42397" w:rsidRDefault="00B51893" w:rsidP="009A00B8">
            <w:pPr>
              <w:pStyle w:val="TableText0"/>
              <w:jc w:val="center"/>
              <w:rPr>
                <w:color w:val="000000"/>
                <w:szCs w:val="20"/>
              </w:rPr>
            </w:pPr>
            <w:r>
              <w:rPr>
                <w:noProof/>
                <w:color w:val="000000"/>
                <w:szCs w:val="20"/>
                <w:highlight w:val="black"/>
              </w:rPr>
              <w:t>'''''''''''''''</w:t>
            </w:r>
            <w:r w:rsidR="008C702B">
              <w:rPr>
                <w:szCs w:val="20"/>
                <w:vertAlign w:val="superscript"/>
              </w:rPr>
              <w:t>4</w:t>
            </w:r>
          </w:p>
        </w:tc>
        <w:tc>
          <w:tcPr>
            <w:tcW w:w="649" w:type="pct"/>
            <w:vAlign w:val="center"/>
          </w:tcPr>
          <w:p w14:paraId="7C111278" w14:textId="77777777" w:rsidR="009A00B8" w:rsidRPr="00B42397" w:rsidRDefault="00B51893" w:rsidP="009A00B8">
            <w:pPr>
              <w:pStyle w:val="TableText0"/>
              <w:jc w:val="center"/>
              <w:rPr>
                <w:color w:val="000000"/>
                <w:szCs w:val="20"/>
              </w:rPr>
            </w:pPr>
            <w:r>
              <w:rPr>
                <w:noProof/>
                <w:color w:val="000000"/>
                <w:szCs w:val="20"/>
                <w:highlight w:val="black"/>
              </w:rPr>
              <w:t>''''''''''''''''''</w:t>
            </w:r>
            <w:r w:rsidR="008C702B">
              <w:rPr>
                <w:szCs w:val="20"/>
                <w:vertAlign w:val="superscript"/>
              </w:rPr>
              <w:t>4</w:t>
            </w:r>
          </w:p>
        </w:tc>
      </w:tr>
      <w:tr w:rsidR="009A00B8" w:rsidRPr="00B42397" w14:paraId="506FB022" w14:textId="77777777" w:rsidTr="007714BC">
        <w:tc>
          <w:tcPr>
            <w:tcW w:w="1116" w:type="pct"/>
            <w:shd w:val="clear" w:color="auto" w:fill="auto"/>
            <w:vAlign w:val="center"/>
          </w:tcPr>
          <w:p w14:paraId="0085131B" w14:textId="77777777" w:rsidR="009A00B8" w:rsidRPr="00B42397" w:rsidRDefault="009A00B8" w:rsidP="009A00B8">
            <w:pPr>
              <w:pStyle w:val="TableText0"/>
              <w:rPr>
                <w:szCs w:val="20"/>
              </w:rPr>
            </w:pPr>
            <w:r w:rsidRPr="00B42397">
              <w:rPr>
                <w:szCs w:val="20"/>
              </w:rPr>
              <w:t xml:space="preserve">Number of scripts </w:t>
            </w:r>
            <w:proofErr w:type="spellStart"/>
            <w:r w:rsidRPr="00B42397">
              <w:rPr>
                <w:szCs w:val="20"/>
              </w:rPr>
              <w:t>dispensed</w:t>
            </w:r>
            <w:r w:rsidRPr="00B42397">
              <w:rPr>
                <w:szCs w:val="20"/>
                <w:vertAlign w:val="superscript"/>
              </w:rPr>
              <w:t>a</w:t>
            </w:r>
            <w:proofErr w:type="spellEnd"/>
            <w:r w:rsidRPr="00B42397">
              <w:rPr>
                <w:szCs w:val="20"/>
              </w:rPr>
              <w:t xml:space="preserve"> - lenalidomide</w:t>
            </w:r>
          </w:p>
        </w:tc>
        <w:tc>
          <w:tcPr>
            <w:tcW w:w="647" w:type="pct"/>
            <w:shd w:val="clear" w:color="auto" w:fill="auto"/>
            <w:vAlign w:val="center"/>
          </w:tcPr>
          <w:p w14:paraId="0C3A96A1"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7" w:type="pct"/>
            <w:shd w:val="clear" w:color="auto" w:fill="auto"/>
            <w:vAlign w:val="center"/>
          </w:tcPr>
          <w:p w14:paraId="3EB14B39"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7" w:type="pct"/>
            <w:shd w:val="clear" w:color="auto" w:fill="auto"/>
            <w:vAlign w:val="center"/>
          </w:tcPr>
          <w:p w14:paraId="329F998B"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7" w:type="pct"/>
            <w:shd w:val="clear" w:color="auto" w:fill="auto"/>
            <w:vAlign w:val="center"/>
          </w:tcPr>
          <w:p w14:paraId="2FD244C3"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3</w:t>
            </w:r>
          </w:p>
        </w:tc>
        <w:tc>
          <w:tcPr>
            <w:tcW w:w="647" w:type="pct"/>
            <w:shd w:val="clear" w:color="auto" w:fill="auto"/>
            <w:vAlign w:val="center"/>
          </w:tcPr>
          <w:p w14:paraId="30A4A975"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3</w:t>
            </w:r>
          </w:p>
        </w:tc>
        <w:tc>
          <w:tcPr>
            <w:tcW w:w="649" w:type="pct"/>
            <w:vAlign w:val="center"/>
          </w:tcPr>
          <w:p w14:paraId="3805C552"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3</w:t>
            </w:r>
          </w:p>
        </w:tc>
      </w:tr>
      <w:tr w:rsidR="009A00B8" w:rsidRPr="00B42397" w14:paraId="59E659CF" w14:textId="77777777" w:rsidTr="007714BC">
        <w:tc>
          <w:tcPr>
            <w:tcW w:w="1116" w:type="pct"/>
            <w:shd w:val="clear" w:color="auto" w:fill="auto"/>
            <w:vAlign w:val="center"/>
          </w:tcPr>
          <w:p w14:paraId="67C4DDEB" w14:textId="77777777" w:rsidR="009A00B8" w:rsidRPr="00B42397" w:rsidRDefault="009A00B8" w:rsidP="00C75504">
            <w:pPr>
              <w:pStyle w:val="TableText0"/>
              <w:rPr>
                <w:szCs w:val="20"/>
              </w:rPr>
            </w:pPr>
            <w:r w:rsidRPr="00B42397">
              <w:rPr>
                <w:szCs w:val="20"/>
              </w:rPr>
              <w:t xml:space="preserve">Number of scripts </w:t>
            </w:r>
            <w:proofErr w:type="spellStart"/>
            <w:r w:rsidRPr="00B42397">
              <w:rPr>
                <w:szCs w:val="20"/>
              </w:rPr>
              <w:t>dispensed</w:t>
            </w:r>
            <w:r w:rsidRPr="00B42397">
              <w:rPr>
                <w:szCs w:val="20"/>
                <w:vertAlign w:val="superscript"/>
              </w:rPr>
              <w:t>a</w:t>
            </w:r>
            <w:proofErr w:type="spellEnd"/>
            <w:r w:rsidRPr="00B42397">
              <w:rPr>
                <w:szCs w:val="20"/>
              </w:rPr>
              <w:t xml:space="preserve"> – </w:t>
            </w:r>
            <w:proofErr w:type="spellStart"/>
            <w:r w:rsidR="00C75504" w:rsidRPr="00B42397">
              <w:rPr>
                <w:szCs w:val="20"/>
              </w:rPr>
              <w:t>Dex</w:t>
            </w:r>
            <w:proofErr w:type="spellEnd"/>
            <w:r w:rsidRPr="00B42397">
              <w:rPr>
                <w:szCs w:val="20"/>
              </w:rPr>
              <w:t xml:space="preserve"> 4 mg</w:t>
            </w:r>
            <w:r w:rsidR="00C75504" w:rsidRPr="00B42397">
              <w:rPr>
                <w:szCs w:val="20"/>
              </w:rPr>
              <w:t xml:space="preserve"> </w:t>
            </w:r>
            <w:r w:rsidRPr="00B42397">
              <w:rPr>
                <w:szCs w:val="20"/>
              </w:rPr>
              <w:t>(tablet)</w:t>
            </w:r>
          </w:p>
        </w:tc>
        <w:tc>
          <w:tcPr>
            <w:tcW w:w="647" w:type="pct"/>
            <w:shd w:val="clear" w:color="auto" w:fill="auto"/>
            <w:vAlign w:val="center"/>
          </w:tcPr>
          <w:p w14:paraId="06826AD9"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7" w:type="pct"/>
            <w:shd w:val="clear" w:color="auto" w:fill="auto"/>
            <w:vAlign w:val="center"/>
          </w:tcPr>
          <w:p w14:paraId="5449BE94"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7" w:type="pct"/>
            <w:shd w:val="clear" w:color="auto" w:fill="auto"/>
            <w:vAlign w:val="center"/>
          </w:tcPr>
          <w:p w14:paraId="2C211300"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7" w:type="pct"/>
            <w:shd w:val="clear" w:color="auto" w:fill="auto"/>
            <w:vAlign w:val="center"/>
          </w:tcPr>
          <w:p w14:paraId="0BE2BBAC"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3</w:t>
            </w:r>
          </w:p>
        </w:tc>
        <w:tc>
          <w:tcPr>
            <w:tcW w:w="647" w:type="pct"/>
            <w:shd w:val="clear" w:color="auto" w:fill="auto"/>
            <w:vAlign w:val="center"/>
          </w:tcPr>
          <w:p w14:paraId="144672B4"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3</w:t>
            </w:r>
          </w:p>
        </w:tc>
        <w:tc>
          <w:tcPr>
            <w:tcW w:w="649" w:type="pct"/>
            <w:vAlign w:val="center"/>
          </w:tcPr>
          <w:p w14:paraId="6DAB2639"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3</w:t>
            </w:r>
          </w:p>
        </w:tc>
      </w:tr>
      <w:tr w:rsidR="009A00B8" w:rsidRPr="00B42397" w14:paraId="616BA929" w14:textId="77777777" w:rsidTr="007714BC">
        <w:tc>
          <w:tcPr>
            <w:tcW w:w="1116" w:type="pct"/>
            <w:shd w:val="clear" w:color="auto" w:fill="auto"/>
            <w:vAlign w:val="center"/>
          </w:tcPr>
          <w:p w14:paraId="751032D6" w14:textId="77777777" w:rsidR="009A00B8" w:rsidRPr="00B42397" w:rsidRDefault="009A00B8" w:rsidP="00C75504">
            <w:pPr>
              <w:pStyle w:val="TableText0"/>
              <w:rPr>
                <w:szCs w:val="20"/>
              </w:rPr>
            </w:pPr>
            <w:r w:rsidRPr="00B42397">
              <w:rPr>
                <w:szCs w:val="20"/>
              </w:rPr>
              <w:t xml:space="preserve">Number of scripts </w:t>
            </w:r>
            <w:proofErr w:type="spellStart"/>
            <w:r w:rsidRPr="00B42397">
              <w:rPr>
                <w:szCs w:val="20"/>
              </w:rPr>
              <w:t>dispensed</w:t>
            </w:r>
            <w:r w:rsidRPr="00B42397">
              <w:rPr>
                <w:szCs w:val="20"/>
                <w:vertAlign w:val="superscript"/>
              </w:rPr>
              <w:t>a</w:t>
            </w:r>
            <w:proofErr w:type="spellEnd"/>
            <w:r w:rsidRPr="00B42397">
              <w:rPr>
                <w:szCs w:val="20"/>
              </w:rPr>
              <w:t xml:space="preserve"> – </w:t>
            </w:r>
            <w:proofErr w:type="spellStart"/>
            <w:r w:rsidR="00C75504" w:rsidRPr="00B42397">
              <w:rPr>
                <w:szCs w:val="20"/>
              </w:rPr>
              <w:t>Dex</w:t>
            </w:r>
            <w:proofErr w:type="spellEnd"/>
            <w:r w:rsidRPr="00B42397">
              <w:rPr>
                <w:szCs w:val="20"/>
              </w:rPr>
              <w:t xml:space="preserve"> 8 mg (IV)</w:t>
            </w:r>
          </w:p>
        </w:tc>
        <w:tc>
          <w:tcPr>
            <w:tcW w:w="647" w:type="pct"/>
            <w:shd w:val="clear" w:color="auto" w:fill="auto"/>
            <w:vAlign w:val="center"/>
          </w:tcPr>
          <w:p w14:paraId="097B3761"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1</w:t>
            </w:r>
          </w:p>
        </w:tc>
        <w:tc>
          <w:tcPr>
            <w:tcW w:w="647" w:type="pct"/>
            <w:shd w:val="clear" w:color="auto" w:fill="auto"/>
            <w:vAlign w:val="center"/>
          </w:tcPr>
          <w:p w14:paraId="57082CA0"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7" w:type="pct"/>
            <w:shd w:val="clear" w:color="auto" w:fill="auto"/>
            <w:vAlign w:val="center"/>
          </w:tcPr>
          <w:p w14:paraId="6FA4CC4A"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7" w:type="pct"/>
            <w:shd w:val="clear" w:color="auto" w:fill="auto"/>
            <w:vAlign w:val="center"/>
          </w:tcPr>
          <w:p w14:paraId="203E2EBE"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7" w:type="pct"/>
            <w:shd w:val="clear" w:color="auto" w:fill="auto"/>
            <w:vAlign w:val="center"/>
          </w:tcPr>
          <w:p w14:paraId="0C93EC3E"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c>
          <w:tcPr>
            <w:tcW w:w="649" w:type="pct"/>
            <w:vAlign w:val="center"/>
          </w:tcPr>
          <w:p w14:paraId="21DAC95D" w14:textId="77777777" w:rsidR="009A00B8" w:rsidRPr="00B42397" w:rsidRDefault="00B51893" w:rsidP="009A00B8">
            <w:pPr>
              <w:pStyle w:val="TableText0"/>
              <w:jc w:val="center"/>
              <w:rPr>
                <w:color w:val="000000"/>
                <w:szCs w:val="20"/>
              </w:rPr>
            </w:pPr>
            <w:r>
              <w:rPr>
                <w:noProof/>
                <w:color w:val="000000"/>
                <w:szCs w:val="20"/>
                <w:highlight w:val="black"/>
              </w:rPr>
              <w:t>'''''''''''''</w:t>
            </w:r>
            <w:r w:rsidR="0046734A">
              <w:rPr>
                <w:szCs w:val="20"/>
                <w:vertAlign w:val="superscript"/>
              </w:rPr>
              <w:t>2</w:t>
            </w:r>
          </w:p>
        </w:tc>
      </w:tr>
      <w:tr w:rsidR="00385A9D" w:rsidRPr="00B42397" w14:paraId="52DF172B" w14:textId="77777777" w:rsidTr="009C3A3A">
        <w:tc>
          <w:tcPr>
            <w:tcW w:w="5000" w:type="pct"/>
            <w:gridSpan w:val="7"/>
            <w:shd w:val="clear" w:color="auto" w:fill="auto"/>
            <w:vAlign w:val="center"/>
          </w:tcPr>
          <w:p w14:paraId="7A456275" w14:textId="77777777" w:rsidR="00385A9D" w:rsidRPr="00B42397" w:rsidRDefault="00385A9D" w:rsidP="00606FBA">
            <w:pPr>
              <w:pStyle w:val="In-tableHeading"/>
              <w:rPr>
                <w:szCs w:val="20"/>
                <w:lang w:val="en-AU"/>
              </w:rPr>
            </w:pPr>
            <w:r w:rsidRPr="00B42397">
              <w:rPr>
                <w:szCs w:val="20"/>
                <w:lang w:val="en-AU"/>
              </w:rPr>
              <w:t xml:space="preserve">Estimated financial implications of </w:t>
            </w:r>
            <w:proofErr w:type="spellStart"/>
            <w:r w:rsidR="001F5659" w:rsidRPr="00B42397">
              <w:rPr>
                <w:szCs w:val="20"/>
                <w:lang w:val="en-AU"/>
              </w:rPr>
              <w:t>ELd</w:t>
            </w:r>
            <w:proofErr w:type="spellEnd"/>
          </w:p>
        </w:tc>
      </w:tr>
      <w:tr w:rsidR="009152ED" w:rsidRPr="00B42397" w14:paraId="70C2C050" w14:textId="77777777" w:rsidTr="00817950">
        <w:tc>
          <w:tcPr>
            <w:tcW w:w="1116" w:type="pct"/>
            <w:shd w:val="clear" w:color="auto" w:fill="auto"/>
            <w:vAlign w:val="center"/>
          </w:tcPr>
          <w:p w14:paraId="53889F6A" w14:textId="77777777" w:rsidR="009152ED" w:rsidRPr="00B42397" w:rsidRDefault="009152ED" w:rsidP="009152ED">
            <w:pPr>
              <w:pStyle w:val="TableText0"/>
              <w:rPr>
                <w:szCs w:val="20"/>
              </w:rPr>
            </w:pPr>
            <w:r w:rsidRPr="00B42397">
              <w:rPr>
                <w:szCs w:val="20"/>
              </w:rPr>
              <w:t xml:space="preserve">Cost to PBS/RPBS less </w:t>
            </w:r>
            <w:proofErr w:type="spellStart"/>
            <w:r w:rsidRPr="00B42397">
              <w:rPr>
                <w:szCs w:val="20"/>
              </w:rPr>
              <w:t>copayments</w:t>
            </w:r>
            <w:proofErr w:type="spellEnd"/>
          </w:p>
        </w:tc>
        <w:tc>
          <w:tcPr>
            <w:tcW w:w="647" w:type="pct"/>
            <w:shd w:val="clear" w:color="auto" w:fill="auto"/>
            <w:vAlign w:val="center"/>
          </w:tcPr>
          <w:p w14:paraId="3B589AB2" w14:textId="77777777" w:rsidR="009152ED" w:rsidRPr="002B208F" w:rsidRDefault="009152ED" w:rsidP="009152ED">
            <w:pPr>
              <w:pStyle w:val="TableText0"/>
              <w:jc w:val="center"/>
              <w:rPr>
                <w:iCs/>
                <w:szCs w:val="20"/>
                <w:vertAlign w:val="superscript"/>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shd w:val="clear" w:color="auto" w:fill="auto"/>
            <w:vAlign w:val="center"/>
          </w:tcPr>
          <w:p w14:paraId="51337BCD" w14:textId="77777777" w:rsidR="009152ED" w:rsidRPr="00B42397" w:rsidRDefault="009152ED" w:rsidP="009152ED">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6</w:t>
            </w:r>
          </w:p>
        </w:tc>
        <w:tc>
          <w:tcPr>
            <w:tcW w:w="647" w:type="pct"/>
            <w:shd w:val="clear" w:color="auto" w:fill="auto"/>
            <w:vAlign w:val="center"/>
          </w:tcPr>
          <w:p w14:paraId="3F2138D8" w14:textId="77777777" w:rsidR="009152ED" w:rsidRPr="00B42397" w:rsidRDefault="009152ED" w:rsidP="009152ED">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7</w:t>
            </w:r>
          </w:p>
        </w:tc>
        <w:tc>
          <w:tcPr>
            <w:tcW w:w="647" w:type="pct"/>
            <w:shd w:val="clear" w:color="auto" w:fill="auto"/>
            <w:vAlign w:val="center"/>
          </w:tcPr>
          <w:p w14:paraId="788E9A58" w14:textId="77777777" w:rsidR="009152ED" w:rsidRPr="00B42397" w:rsidRDefault="009152ED" w:rsidP="009152ED">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8</w:t>
            </w:r>
          </w:p>
        </w:tc>
        <w:tc>
          <w:tcPr>
            <w:tcW w:w="647" w:type="pct"/>
            <w:shd w:val="clear" w:color="auto" w:fill="auto"/>
            <w:vAlign w:val="center"/>
          </w:tcPr>
          <w:p w14:paraId="11C4270B" w14:textId="77777777" w:rsidR="009152ED" w:rsidRPr="002B208F" w:rsidRDefault="009152ED" w:rsidP="009152ED">
            <w:pPr>
              <w:pStyle w:val="TableText0"/>
              <w:jc w:val="center"/>
              <w:rPr>
                <w:i/>
                <w:iCs/>
                <w:szCs w:val="20"/>
                <w:vertAlign w:val="superscript"/>
              </w:rPr>
            </w:pPr>
            <w:r w:rsidRPr="00B42397">
              <w:rPr>
                <w:rFonts w:cs="Arial"/>
                <w:i/>
                <w:iCs/>
                <w:color w:val="000000" w:themeColor="text1"/>
                <w:szCs w:val="20"/>
              </w:rPr>
              <w:t>$</w:t>
            </w:r>
            <w:r w:rsidR="00B51893">
              <w:rPr>
                <w:rFonts w:cs="Arial"/>
                <w:i/>
                <w:iCs/>
                <w:noProof/>
                <w:color w:val="000000"/>
                <w:szCs w:val="20"/>
                <w:highlight w:val="black"/>
              </w:rPr>
              <w:t>'''''''''''''''''''''''''''</w:t>
            </w:r>
            <w:r w:rsidR="002B208F" w:rsidRPr="002B208F">
              <w:rPr>
                <w:rFonts w:cs="Arial"/>
                <w:iCs/>
                <w:color w:val="000000" w:themeColor="text1"/>
                <w:szCs w:val="20"/>
                <w:vertAlign w:val="superscript"/>
              </w:rPr>
              <w:t>9</w:t>
            </w:r>
          </w:p>
        </w:tc>
        <w:tc>
          <w:tcPr>
            <w:tcW w:w="649" w:type="pct"/>
            <w:shd w:val="clear" w:color="auto" w:fill="auto"/>
            <w:vAlign w:val="center"/>
          </w:tcPr>
          <w:p w14:paraId="2D1A9B40" w14:textId="77777777" w:rsidR="009152ED" w:rsidRPr="00B42397" w:rsidRDefault="009152ED" w:rsidP="009152ED">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9</w:t>
            </w:r>
          </w:p>
        </w:tc>
      </w:tr>
      <w:tr w:rsidR="00385A9D" w:rsidRPr="00B42397" w14:paraId="358A97AE" w14:textId="77777777" w:rsidTr="009C3A3A">
        <w:tc>
          <w:tcPr>
            <w:tcW w:w="5000" w:type="pct"/>
            <w:gridSpan w:val="7"/>
            <w:shd w:val="clear" w:color="auto" w:fill="auto"/>
            <w:vAlign w:val="center"/>
          </w:tcPr>
          <w:p w14:paraId="7A58A3A3" w14:textId="77777777" w:rsidR="00385A9D" w:rsidRPr="00B42397" w:rsidRDefault="00385A9D" w:rsidP="00606FBA">
            <w:pPr>
              <w:pStyle w:val="TableText0"/>
              <w:rPr>
                <w:szCs w:val="20"/>
              </w:rPr>
            </w:pPr>
            <w:r w:rsidRPr="00B42397">
              <w:rPr>
                <w:szCs w:val="20"/>
              </w:rPr>
              <w:t xml:space="preserve">Estimated financial implications for </w:t>
            </w:r>
            <w:r w:rsidR="006D7EFC" w:rsidRPr="00B42397">
              <w:rPr>
                <w:szCs w:val="20"/>
              </w:rPr>
              <w:t>Cd</w:t>
            </w:r>
          </w:p>
        </w:tc>
      </w:tr>
      <w:tr w:rsidR="009152ED" w:rsidRPr="00B42397" w14:paraId="5721276A" w14:textId="77777777" w:rsidTr="00817950">
        <w:tc>
          <w:tcPr>
            <w:tcW w:w="1116" w:type="pct"/>
            <w:shd w:val="clear" w:color="auto" w:fill="auto"/>
            <w:vAlign w:val="center"/>
          </w:tcPr>
          <w:p w14:paraId="20E9C49B" w14:textId="77777777" w:rsidR="009152ED" w:rsidRPr="00B42397" w:rsidRDefault="009152ED" w:rsidP="009152ED">
            <w:pPr>
              <w:pStyle w:val="TableText0"/>
              <w:rPr>
                <w:szCs w:val="20"/>
              </w:rPr>
            </w:pPr>
            <w:r w:rsidRPr="00B42397">
              <w:rPr>
                <w:szCs w:val="20"/>
              </w:rPr>
              <w:t xml:space="preserve">Cost to PBS/RPBS less </w:t>
            </w:r>
            <w:proofErr w:type="spellStart"/>
            <w:r w:rsidRPr="00B42397">
              <w:rPr>
                <w:szCs w:val="20"/>
              </w:rPr>
              <w:t>copayments</w:t>
            </w:r>
            <w:proofErr w:type="spellEnd"/>
          </w:p>
        </w:tc>
        <w:tc>
          <w:tcPr>
            <w:tcW w:w="647" w:type="pct"/>
            <w:shd w:val="clear" w:color="auto" w:fill="auto"/>
            <w:vAlign w:val="center"/>
          </w:tcPr>
          <w:p w14:paraId="43283258" w14:textId="77777777" w:rsidR="009152ED" w:rsidRPr="002B208F" w:rsidRDefault="009152ED" w:rsidP="009152ED">
            <w:pPr>
              <w:pStyle w:val="TableText0"/>
              <w:jc w:val="center"/>
              <w:rPr>
                <w:bCs w:val="0"/>
                <w:iCs/>
                <w:szCs w:val="20"/>
              </w:rPr>
            </w:pPr>
            <w:r w:rsidRPr="00B42397">
              <w:rPr>
                <w:rFonts w:cs="Arial"/>
                <w:bCs w:val="0"/>
                <w:i/>
                <w:iCs/>
                <w:color w:val="000000" w:themeColor="text1"/>
                <w:szCs w:val="20"/>
              </w:rPr>
              <w:t>-$</w:t>
            </w:r>
            <w:r w:rsidR="00B51893">
              <w:rPr>
                <w:rFonts w:cs="Arial"/>
                <w:bCs w:val="0"/>
                <w:i/>
                <w:iCs/>
                <w:noProof/>
                <w:color w:val="000000"/>
                <w:szCs w:val="20"/>
                <w:highlight w:val="black"/>
              </w:rPr>
              <w:t>''''''''''''''''''''''''</w:t>
            </w:r>
            <w:r w:rsidR="002B208F">
              <w:rPr>
                <w:rFonts w:cs="Arial"/>
                <w:iCs/>
                <w:color w:val="000000" w:themeColor="text1"/>
                <w:szCs w:val="20"/>
                <w:vertAlign w:val="superscript"/>
              </w:rPr>
              <w:t>5</w:t>
            </w:r>
          </w:p>
        </w:tc>
        <w:tc>
          <w:tcPr>
            <w:tcW w:w="647" w:type="pct"/>
            <w:shd w:val="clear" w:color="auto" w:fill="auto"/>
            <w:vAlign w:val="center"/>
          </w:tcPr>
          <w:p w14:paraId="7820311B" w14:textId="77777777" w:rsidR="009152ED" w:rsidRPr="00B42397" w:rsidRDefault="009152ED" w:rsidP="009152ED">
            <w:pPr>
              <w:pStyle w:val="TableText0"/>
              <w:jc w:val="center"/>
              <w:rPr>
                <w:bCs w:val="0"/>
                <w:i/>
                <w:iCs/>
                <w:szCs w:val="20"/>
              </w:rPr>
            </w:pPr>
            <w:r w:rsidRPr="00B42397">
              <w:rPr>
                <w:rFonts w:cs="Arial"/>
                <w:bCs w:val="0"/>
                <w:i/>
                <w:iCs/>
                <w:color w:val="000000" w:themeColor="text1"/>
                <w:szCs w:val="20"/>
              </w:rPr>
              <w:t>-$</w:t>
            </w:r>
            <w:r w:rsidR="00B51893">
              <w:rPr>
                <w:rFonts w:cs="Arial"/>
                <w:bCs w:val="0"/>
                <w:i/>
                <w:iCs/>
                <w:noProof/>
                <w:color w:val="000000"/>
                <w:szCs w:val="20"/>
                <w:highlight w:val="black"/>
              </w:rPr>
              <w:t>'''''''''''''''''''''''''''</w:t>
            </w:r>
            <w:r w:rsidR="002B208F">
              <w:rPr>
                <w:rFonts w:cs="Arial"/>
                <w:iCs/>
                <w:color w:val="000000" w:themeColor="text1"/>
                <w:szCs w:val="20"/>
                <w:vertAlign w:val="superscript"/>
              </w:rPr>
              <w:t>6</w:t>
            </w:r>
          </w:p>
        </w:tc>
        <w:tc>
          <w:tcPr>
            <w:tcW w:w="647" w:type="pct"/>
            <w:shd w:val="clear" w:color="auto" w:fill="auto"/>
            <w:vAlign w:val="center"/>
          </w:tcPr>
          <w:p w14:paraId="0608E288" w14:textId="77777777" w:rsidR="009152ED" w:rsidRPr="00B42397" w:rsidRDefault="009152ED" w:rsidP="009152ED">
            <w:pPr>
              <w:pStyle w:val="TableText0"/>
              <w:jc w:val="center"/>
              <w:rPr>
                <w:bCs w:val="0"/>
                <w:i/>
                <w:iCs/>
                <w:szCs w:val="20"/>
              </w:rPr>
            </w:pPr>
            <w:r w:rsidRPr="00B42397">
              <w:rPr>
                <w:rFonts w:cs="Arial"/>
                <w:bCs w:val="0"/>
                <w:i/>
                <w:iCs/>
                <w:color w:val="000000" w:themeColor="text1"/>
                <w:szCs w:val="20"/>
              </w:rPr>
              <w:t>-$</w:t>
            </w:r>
            <w:r w:rsidR="00B51893">
              <w:rPr>
                <w:rFonts w:cs="Arial"/>
                <w:bCs w:val="0"/>
                <w:i/>
                <w:iCs/>
                <w:noProof/>
                <w:color w:val="000000"/>
                <w:szCs w:val="20"/>
                <w:highlight w:val="black"/>
              </w:rPr>
              <w:t>''''''''''''''''''''''''</w:t>
            </w:r>
            <w:r w:rsidR="002B208F">
              <w:rPr>
                <w:rFonts w:cs="Arial"/>
                <w:iCs/>
                <w:color w:val="000000" w:themeColor="text1"/>
                <w:szCs w:val="20"/>
                <w:vertAlign w:val="superscript"/>
              </w:rPr>
              <w:t>7</w:t>
            </w:r>
          </w:p>
        </w:tc>
        <w:tc>
          <w:tcPr>
            <w:tcW w:w="647" w:type="pct"/>
            <w:shd w:val="clear" w:color="auto" w:fill="auto"/>
            <w:vAlign w:val="center"/>
          </w:tcPr>
          <w:p w14:paraId="1DE7297D" w14:textId="77777777" w:rsidR="009152ED" w:rsidRPr="00B42397" w:rsidRDefault="009152ED" w:rsidP="009152ED">
            <w:pPr>
              <w:pStyle w:val="TableText0"/>
              <w:jc w:val="center"/>
              <w:rPr>
                <w:bCs w:val="0"/>
                <w:i/>
                <w:iCs/>
                <w:szCs w:val="20"/>
              </w:rPr>
            </w:pPr>
            <w:r w:rsidRPr="00B42397">
              <w:rPr>
                <w:rFonts w:cs="Arial"/>
                <w:bCs w:val="0"/>
                <w:i/>
                <w:iCs/>
                <w:color w:val="000000" w:themeColor="text1"/>
                <w:szCs w:val="20"/>
              </w:rPr>
              <w:t>-$</w:t>
            </w:r>
            <w:r w:rsidR="00B51893">
              <w:rPr>
                <w:rFonts w:cs="Arial"/>
                <w:bCs w:val="0"/>
                <w:i/>
                <w:iCs/>
                <w:noProof/>
                <w:color w:val="000000"/>
                <w:szCs w:val="20"/>
                <w:highlight w:val="black"/>
              </w:rPr>
              <w:t>'''''''''''''''''''''''''</w:t>
            </w:r>
            <w:r w:rsidR="002B208F">
              <w:rPr>
                <w:rFonts w:cs="Arial"/>
                <w:iCs/>
                <w:color w:val="000000" w:themeColor="text1"/>
                <w:szCs w:val="20"/>
                <w:vertAlign w:val="superscript"/>
              </w:rPr>
              <w:t>8</w:t>
            </w:r>
          </w:p>
        </w:tc>
        <w:tc>
          <w:tcPr>
            <w:tcW w:w="647" w:type="pct"/>
            <w:shd w:val="clear" w:color="auto" w:fill="auto"/>
            <w:vAlign w:val="center"/>
          </w:tcPr>
          <w:p w14:paraId="482F6F16" w14:textId="77777777" w:rsidR="009152ED" w:rsidRPr="00B42397" w:rsidRDefault="009152ED" w:rsidP="009152ED">
            <w:pPr>
              <w:pStyle w:val="TableText0"/>
              <w:jc w:val="center"/>
              <w:rPr>
                <w:bCs w:val="0"/>
                <w:i/>
                <w:iCs/>
                <w:szCs w:val="20"/>
              </w:rPr>
            </w:pPr>
            <w:r w:rsidRPr="00B42397">
              <w:rPr>
                <w:rFonts w:cs="Arial"/>
                <w:bCs w:val="0"/>
                <w:i/>
                <w:iCs/>
                <w:color w:val="000000" w:themeColor="text1"/>
                <w:szCs w:val="20"/>
              </w:rPr>
              <w:t>-$</w:t>
            </w:r>
            <w:r w:rsidR="00B51893">
              <w:rPr>
                <w:rFonts w:cs="Arial"/>
                <w:bCs w:val="0"/>
                <w:i/>
                <w:iCs/>
                <w:noProof/>
                <w:color w:val="000000"/>
                <w:szCs w:val="20"/>
                <w:highlight w:val="black"/>
              </w:rPr>
              <w:t>'''''''''''''''''''''''''</w:t>
            </w:r>
            <w:r w:rsidR="002B208F">
              <w:rPr>
                <w:rFonts w:cs="Arial"/>
                <w:iCs/>
                <w:color w:val="000000" w:themeColor="text1"/>
                <w:szCs w:val="20"/>
                <w:vertAlign w:val="superscript"/>
              </w:rPr>
              <w:t>8</w:t>
            </w:r>
          </w:p>
        </w:tc>
        <w:tc>
          <w:tcPr>
            <w:tcW w:w="649" w:type="pct"/>
            <w:vAlign w:val="center"/>
          </w:tcPr>
          <w:p w14:paraId="5EC56E31" w14:textId="77777777" w:rsidR="009152ED" w:rsidRPr="00B42397" w:rsidRDefault="009152ED" w:rsidP="009152ED">
            <w:pPr>
              <w:pStyle w:val="TableText0"/>
              <w:jc w:val="center"/>
              <w:rPr>
                <w:bCs w:val="0"/>
                <w:i/>
                <w:iCs/>
                <w:szCs w:val="20"/>
              </w:rPr>
            </w:pPr>
            <w:r w:rsidRPr="00B42397">
              <w:rPr>
                <w:rFonts w:cs="Arial"/>
                <w:bCs w:val="0"/>
                <w:i/>
                <w:iCs/>
                <w:color w:val="000000" w:themeColor="text1"/>
                <w:szCs w:val="20"/>
              </w:rPr>
              <w:t>-$</w:t>
            </w:r>
            <w:r w:rsidR="00B51893">
              <w:rPr>
                <w:rFonts w:cs="Arial"/>
                <w:bCs w:val="0"/>
                <w:i/>
                <w:iCs/>
                <w:noProof/>
                <w:color w:val="000000"/>
                <w:szCs w:val="20"/>
                <w:highlight w:val="black"/>
              </w:rPr>
              <w:t>''''''''''''''''''''''''''''</w:t>
            </w:r>
            <w:r w:rsidR="002B208F">
              <w:rPr>
                <w:rFonts w:cs="Arial"/>
                <w:iCs/>
                <w:color w:val="000000" w:themeColor="text1"/>
                <w:szCs w:val="20"/>
                <w:vertAlign w:val="superscript"/>
              </w:rPr>
              <w:t>8</w:t>
            </w:r>
          </w:p>
        </w:tc>
      </w:tr>
      <w:tr w:rsidR="00385A9D" w:rsidRPr="00B42397" w14:paraId="35A982F8" w14:textId="77777777" w:rsidTr="009C3A3A">
        <w:tc>
          <w:tcPr>
            <w:tcW w:w="5000" w:type="pct"/>
            <w:gridSpan w:val="7"/>
            <w:shd w:val="clear" w:color="auto" w:fill="auto"/>
            <w:vAlign w:val="center"/>
          </w:tcPr>
          <w:p w14:paraId="2DF1F0A4" w14:textId="77777777" w:rsidR="00385A9D" w:rsidRPr="00B42397" w:rsidRDefault="00385A9D" w:rsidP="00606FBA">
            <w:pPr>
              <w:pStyle w:val="In-tableHeading"/>
              <w:rPr>
                <w:szCs w:val="20"/>
                <w:lang w:val="en-AU"/>
              </w:rPr>
            </w:pPr>
            <w:r w:rsidRPr="00B42397">
              <w:rPr>
                <w:szCs w:val="20"/>
                <w:lang w:val="en-AU"/>
              </w:rPr>
              <w:t>Net financial implications</w:t>
            </w:r>
          </w:p>
        </w:tc>
      </w:tr>
      <w:tr w:rsidR="009152ED" w:rsidRPr="00B42397" w14:paraId="4FEC77D8" w14:textId="77777777" w:rsidTr="009152ED">
        <w:tc>
          <w:tcPr>
            <w:tcW w:w="1116" w:type="pct"/>
            <w:shd w:val="clear" w:color="auto" w:fill="auto"/>
            <w:vAlign w:val="center"/>
          </w:tcPr>
          <w:p w14:paraId="43123132" w14:textId="77777777" w:rsidR="009152ED" w:rsidRPr="00B42397" w:rsidRDefault="009152ED" w:rsidP="009152ED">
            <w:pPr>
              <w:pStyle w:val="TableText0"/>
              <w:rPr>
                <w:szCs w:val="20"/>
              </w:rPr>
            </w:pPr>
            <w:r w:rsidRPr="00B42397">
              <w:rPr>
                <w:szCs w:val="20"/>
              </w:rPr>
              <w:t>Net cost to PBS/RPBS</w:t>
            </w:r>
          </w:p>
        </w:tc>
        <w:tc>
          <w:tcPr>
            <w:tcW w:w="647" w:type="pct"/>
          </w:tcPr>
          <w:p w14:paraId="2BF6217C" w14:textId="77777777" w:rsidR="009152ED" w:rsidRPr="002B208F" w:rsidRDefault="009152ED" w:rsidP="009152ED">
            <w:pPr>
              <w:pStyle w:val="TableText0"/>
              <w:jc w:val="center"/>
              <w:rPr>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tcPr>
          <w:p w14:paraId="1C6F4F1E" w14:textId="77777777" w:rsidR="009152ED" w:rsidRPr="002B208F" w:rsidRDefault="009152ED" w:rsidP="009152ED">
            <w:pPr>
              <w:pStyle w:val="TableText0"/>
              <w:jc w:val="center"/>
              <w:rPr>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tcPr>
          <w:p w14:paraId="753AE6CB" w14:textId="77777777" w:rsidR="009152ED" w:rsidRPr="00B42397" w:rsidRDefault="009152ED" w:rsidP="009152ED">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tcPr>
          <w:p w14:paraId="6FB50316" w14:textId="77777777" w:rsidR="009152ED" w:rsidRPr="00B42397" w:rsidRDefault="009152ED" w:rsidP="009152ED">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tcPr>
          <w:p w14:paraId="0E446140" w14:textId="77777777" w:rsidR="009152ED" w:rsidRPr="00B42397" w:rsidRDefault="009152ED" w:rsidP="009152ED">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9" w:type="pct"/>
          </w:tcPr>
          <w:p w14:paraId="70538A45" w14:textId="77777777" w:rsidR="009152ED" w:rsidRPr="00B42397" w:rsidRDefault="009152ED" w:rsidP="009152ED">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r>
      <w:tr w:rsidR="006D7EFC" w:rsidRPr="00B42397" w14:paraId="6D2D32BC" w14:textId="77777777" w:rsidTr="006D7EFC">
        <w:tc>
          <w:tcPr>
            <w:tcW w:w="1116" w:type="pct"/>
            <w:shd w:val="clear" w:color="auto" w:fill="auto"/>
            <w:vAlign w:val="center"/>
          </w:tcPr>
          <w:p w14:paraId="3DBE8032" w14:textId="77777777" w:rsidR="006D7EFC" w:rsidRPr="00B42397" w:rsidRDefault="006D7EFC" w:rsidP="006D7EFC">
            <w:pPr>
              <w:pStyle w:val="TableText0"/>
              <w:rPr>
                <w:rFonts w:ascii="Times" w:hAnsi="Times"/>
                <w:szCs w:val="20"/>
              </w:rPr>
            </w:pPr>
            <w:r w:rsidRPr="00B42397">
              <w:rPr>
                <w:szCs w:val="20"/>
              </w:rPr>
              <w:t>Net cost to MBS</w:t>
            </w:r>
          </w:p>
        </w:tc>
        <w:tc>
          <w:tcPr>
            <w:tcW w:w="647" w:type="pct"/>
            <w:shd w:val="clear" w:color="auto" w:fill="auto"/>
          </w:tcPr>
          <w:p w14:paraId="5048D920" w14:textId="77777777" w:rsidR="006D7EFC" w:rsidRPr="002B208F" w:rsidRDefault="006D7EFC" w:rsidP="006D7EFC">
            <w:pPr>
              <w:pStyle w:val="TableText0"/>
              <w:jc w:val="center"/>
              <w:rPr>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shd w:val="clear" w:color="auto" w:fill="auto"/>
          </w:tcPr>
          <w:p w14:paraId="15BE8E19" w14:textId="77777777" w:rsidR="006D7EFC" w:rsidRPr="002B208F" w:rsidRDefault="006D7EFC" w:rsidP="006D7EFC">
            <w:pPr>
              <w:pStyle w:val="TableText0"/>
              <w:jc w:val="center"/>
              <w:rPr>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shd w:val="clear" w:color="auto" w:fill="auto"/>
          </w:tcPr>
          <w:p w14:paraId="4A5E1705" w14:textId="77777777" w:rsidR="006D7EFC" w:rsidRPr="00B42397" w:rsidRDefault="006D7EFC" w:rsidP="006D7EFC">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shd w:val="clear" w:color="auto" w:fill="auto"/>
          </w:tcPr>
          <w:p w14:paraId="16A5EEAA" w14:textId="77777777" w:rsidR="006D7EFC" w:rsidRPr="00B42397" w:rsidRDefault="006D7EFC" w:rsidP="006D7EFC">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shd w:val="clear" w:color="auto" w:fill="auto"/>
          </w:tcPr>
          <w:p w14:paraId="76C1AD0C" w14:textId="77777777" w:rsidR="006D7EFC" w:rsidRPr="00B42397" w:rsidRDefault="006D7EFC" w:rsidP="006D7EFC">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9" w:type="pct"/>
          </w:tcPr>
          <w:p w14:paraId="7F189586" w14:textId="77777777" w:rsidR="006D7EFC" w:rsidRPr="00B42397" w:rsidRDefault="006D7EFC" w:rsidP="006D7EFC">
            <w:pPr>
              <w:pStyle w:val="TableText0"/>
              <w:jc w:val="center"/>
              <w:rPr>
                <w:i/>
                <w:iCs/>
                <w:szCs w:val="20"/>
              </w:rPr>
            </w:pPr>
            <w:r w:rsidRPr="00B42397">
              <w:rPr>
                <w:rFonts w:cs="Arial"/>
                <w:i/>
                <w:iCs/>
                <w:color w:val="000000" w:themeColor="text1"/>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r>
      <w:tr w:rsidR="00777E8D" w:rsidRPr="00B42397" w14:paraId="6C702B66" w14:textId="77777777" w:rsidTr="009152ED">
        <w:tc>
          <w:tcPr>
            <w:tcW w:w="1116" w:type="pct"/>
            <w:shd w:val="clear" w:color="auto" w:fill="auto"/>
            <w:vAlign w:val="center"/>
          </w:tcPr>
          <w:p w14:paraId="7A003647" w14:textId="77777777" w:rsidR="00777E8D" w:rsidRPr="00B42397" w:rsidRDefault="00777E8D" w:rsidP="00777E8D">
            <w:pPr>
              <w:pStyle w:val="TableText0"/>
              <w:rPr>
                <w:szCs w:val="20"/>
              </w:rPr>
            </w:pPr>
            <w:r w:rsidRPr="00B42397">
              <w:rPr>
                <w:szCs w:val="20"/>
              </w:rPr>
              <w:t>Net cost to PBS/RPBS/MBS</w:t>
            </w:r>
          </w:p>
        </w:tc>
        <w:tc>
          <w:tcPr>
            <w:tcW w:w="647" w:type="pct"/>
            <w:tcBorders>
              <w:top w:val="single" w:sz="4" w:space="0" w:color="auto"/>
              <w:left w:val="nil"/>
              <w:bottom w:val="single" w:sz="4" w:space="0" w:color="auto"/>
              <w:right w:val="single" w:sz="4" w:space="0" w:color="auto"/>
            </w:tcBorders>
            <w:shd w:val="clear" w:color="auto" w:fill="auto"/>
            <w:vAlign w:val="center"/>
          </w:tcPr>
          <w:p w14:paraId="752F35DB" w14:textId="77777777" w:rsidR="00777E8D" w:rsidRPr="002B208F" w:rsidRDefault="00777E8D" w:rsidP="00777E8D">
            <w:pPr>
              <w:pStyle w:val="TableText0"/>
              <w:jc w:val="center"/>
              <w:rPr>
                <w:iCs/>
                <w:szCs w:val="20"/>
              </w:rPr>
            </w:pPr>
            <w:r w:rsidRPr="00B42397">
              <w:rPr>
                <w:rFonts w:cs="Arial"/>
                <w:i/>
                <w:iCs/>
                <w:color w:val="000000"/>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F31FA56" w14:textId="77777777" w:rsidR="00777E8D" w:rsidRPr="002B208F" w:rsidRDefault="00777E8D" w:rsidP="00777E8D">
            <w:pPr>
              <w:pStyle w:val="TableText0"/>
              <w:jc w:val="center"/>
              <w:rPr>
                <w:iCs/>
                <w:szCs w:val="20"/>
              </w:rPr>
            </w:pPr>
            <w:r w:rsidRPr="00B42397">
              <w:rPr>
                <w:rFonts w:cs="Arial"/>
                <w:i/>
                <w:iCs/>
                <w:color w:val="000000"/>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2B5D7EC0" w14:textId="77777777" w:rsidR="00777E8D" w:rsidRPr="00B42397" w:rsidRDefault="00777E8D" w:rsidP="00777E8D">
            <w:pPr>
              <w:pStyle w:val="TableText0"/>
              <w:jc w:val="center"/>
              <w:rPr>
                <w:i/>
                <w:iCs/>
                <w:szCs w:val="20"/>
              </w:rPr>
            </w:pPr>
            <w:r w:rsidRPr="00B42397">
              <w:rPr>
                <w:rFonts w:cs="Arial"/>
                <w:i/>
                <w:iCs/>
                <w:color w:val="000000"/>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CD4467F" w14:textId="77777777" w:rsidR="00777E8D" w:rsidRPr="00B42397" w:rsidRDefault="00777E8D" w:rsidP="00777E8D">
            <w:pPr>
              <w:pStyle w:val="TableText0"/>
              <w:jc w:val="center"/>
              <w:rPr>
                <w:i/>
                <w:iCs/>
                <w:szCs w:val="20"/>
              </w:rPr>
            </w:pPr>
            <w:r w:rsidRPr="00B42397">
              <w:rPr>
                <w:rFonts w:cs="Arial"/>
                <w:i/>
                <w:iCs/>
                <w:color w:val="000000"/>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6A13933" w14:textId="77777777" w:rsidR="00777E8D" w:rsidRPr="00B42397" w:rsidRDefault="00777E8D" w:rsidP="00777E8D">
            <w:pPr>
              <w:pStyle w:val="TableText0"/>
              <w:jc w:val="center"/>
              <w:rPr>
                <w:i/>
                <w:iCs/>
                <w:szCs w:val="20"/>
              </w:rPr>
            </w:pPr>
            <w:r w:rsidRPr="00B42397">
              <w:rPr>
                <w:rFonts w:cs="Arial"/>
                <w:i/>
                <w:iCs/>
                <w:color w:val="000000"/>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21C22CE" w14:textId="77777777" w:rsidR="00777E8D" w:rsidRPr="00B42397" w:rsidRDefault="00777E8D" w:rsidP="00777E8D">
            <w:pPr>
              <w:pStyle w:val="TableText0"/>
              <w:jc w:val="center"/>
              <w:rPr>
                <w:i/>
                <w:iCs/>
                <w:szCs w:val="20"/>
              </w:rPr>
            </w:pPr>
            <w:r w:rsidRPr="00B42397">
              <w:rPr>
                <w:rFonts w:cs="Arial"/>
                <w:i/>
                <w:iCs/>
                <w:color w:val="000000"/>
                <w:szCs w:val="20"/>
              </w:rPr>
              <w:t>$</w:t>
            </w:r>
            <w:r w:rsidR="00B51893">
              <w:rPr>
                <w:rFonts w:cs="Arial"/>
                <w:i/>
                <w:iCs/>
                <w:noProof/>
                <w:color w:val="000000"/>
                <w:szCs w:val="20"/>
                <w:highlight w:val="black"/>
              </w:rPr>
              <w:t>''''''''''''''''''''''</w:t>
            </w:r>
            <w:r w:rsidR="002B208F">
              <w:rPr>
                <w:rFonts w:cs="Arial"/>
                <w:iCs/>
                <w:color w:val="000000" w:themeColor="text1"/>
                <w:szCs w:val="20"/>
                <w:vertAlign w:val="superscript"/>
              </w:rPr>
              <w:t>5</w:t>
            </w:r>
          </w:p>
        </w:tc>
      </w:tr>
    </w:tbl>
    <w:p w14:paraId="263DDDD8" w14:textId="77777777" w:rsidR="00C75504" w:rsidRPr="00B42397" w:rsidRDefault="00620C25" w:rsidP="006D7EFC">
      <w:pPr>
        <w:pStyle w:val="Tablenotes"/>
        <w:rPr>
          <w:rFonts w:ascii="Arial Narrow" w:hAnsi="Arial Narrow"/>
          <w:sz w:val="18"/>
          <w:szCs w:val="18"/>
        </w:rPr>
      </w:pPr>
      <w:r w:rsidRPr="00B42397">
        <w:rPr>
          <w:rFonts w:ascii="Arial Narrow" w:hAnsi="Arial Narrow"/>
          <w:sz w:val="18"/>
          <w:szCs w:val="18"/>
        </w:rPr>
        <w:t xml:space="preserve">Source: </w:t>
      </w:r>
      <w:r w:rsidR="006D7EFC" w:rsidRPr="00B42397">
        <w:rPr>
          <w:rFonts w:ascii="Arial Narrow" w:hAnsi="Arial Narrow"/>
          <w:sz w:val="18"/>
          <w:szCs w:val="18"/>
        </w:rPr>
        <w:t>Source: Table 4.2.1, Table 4.2.2; Table 4.2.3; Table 4.2.4; Table 4.2.5</w:t>
      </w:r>
      <w:r w:rsidR="009152ED" w:rsidRPr="00B42397">
        <w:rPr>
          <w:rFonts w:ascii="Arial Narrow" w:hAnsi="Arial Narrow"/>
          <w:sz w:val="18"/>
          <w:szCs w:val="18"/>
        </w:rPr>
        <w:t xml:space="preserve">, </w:t>
      </w:r>
      <w:r w:rsidR="009A68C9" w:rsidRPr="00B42397">
        <w:rPr>
          <w:rFonts w:ascii="Arial Narrow" w:hAnsi="Arial Narrow"/>
          <w:sz w:val="18"/>
          <w:szCs w:val="18"/>
        </w:rPr>
        <w:t>Table 4.2.11</w:t>
      </w:r>
      <w:proofErr w:type="gramStart"/>
      <w:r w:rsidR="009A68C9" w:rsidRPr="00B42397">
        <w:rPr>
          <w:rFonts w:ascii="Arial Narrow" w:hAnsi="Arial Narrow"/>
          <w:sz w:val="18"/>
          <w:szCs w:val="18"/>
        </w:rPr>
        <w:t xml:space="preserve">,  </w:t>
      </w:r>
      <w:r w:rsidR="009152ED" w:rsidRPr="00B42397">
        <w:rPr>
          <w:rFonts w:ascii="Arial Narrow" w:hAnsi="Arial Narrow"/>
          <w:sz w:val="18"/>
          <w:szCs w:val="18"/>
        </w:rPr>
        <w:t>Table</w:t>
      </w:r>
      <w:proofErr w:type="gramEnd"/>
      <w:r w:rsidR="009152ED" w:rsidRPr="00B42397">
        <w:rPr>
          <w:rFonts w:ascii="Arial Narrow" w:hAnsi="Arial Narrow"/>
          <w:sz w:val="18"/>
          <w:szCs w:val="18"/>
        </w:rPr>
        <w:t xml:space="preserve"> 4.3.5</w:t>
      </w:r>
      <w:r w:rsidR="009A68C9" w:rsidRPr="00B42397">
        <w:rPr>
          <w:rFonts w:ascii="Arial Narrow" w:hAnsi="Arial Narrow"/>
          <w:sz w:val="18"/>
          <w:szCs w:val="18"/>
        </w:rPr>
        <w:t>,</w:t>
      </w:r>
      <w:r w:rsidR="006D7EFC" w:rsidRPr="00B42397">
        <w:rPr>
          <w:rFonts w:ascii="Arial Narrow" w:hAnsi="Arial Narrow"/>
          <w:sz w:val="18"/>
          <w:szCs w:val="18"/>
        </w:rPr>
        <w:t xml:space="preserve"> </w:t>
      </w:r>
      <w:r w:rsidR="009A68C9" w:rsidRPr="00B42397">
        <w:rPr>
          <w:rFonts w:ascii="Arial Narrow" w:hAnsi="Arial Narrow"/>
          <w:sz w:val="18"/>
          <w:szCs w:val="18"/>
        </w:rPr>
        <w:t>Table 4.5.2, Table 4.5.3 of the submission.</w:t>
      </w:r>
      <w:r w:rsidR="00947799" w:rsidRPr="00B42397">
        <w:rPr>
          <w:rFonts w:ascii="Arial Narrow" w:hAnsi="Arial Narrow"/>
          <w:sz w:val="18"/>
          <w:szCs w:val="18"/>
        </w:rPr>
        <w:t xml:space="preserve"> </w:t>
      </w:r>
    </w:p>
    <w:p w14:paraId="2E746FA0" w14:textId="77777777" w:rsidR="00620C25" w:rsidRPr="00B42397" w:rsidRDefault="00947799" w:rsidP="006D7EFC">
      <w:pPr>
        <w:pStyle w:val="Tablenotes"/>
        <w:rPr>
          <w:rFonts w:ascii="Arial Narrow" w:hAnsi="Arial Narrow"/>
          <w:sz w:val="18"/>
          <w:szCs w:val="18"/>
        </w:rPr>
      </w:pPr>
      <w:r w:rsidRPr="00B42397">
        <w:rPr>
          <w:rFonts w:ascii="Arial Narrow" w:hAnsi="Arial Narrow"/>
          <w:sz w:val="18"/>
          <w:szCs w:val="18"/>
        </w:rPr>
        <w:t>Values</w:t>
      </w:r>
      <w:r w:rsidRPr="00B42397">
        <w:rPr>
          <w:rFonts w:ascii="Arial Narrow" w:hAnsi="Arial Narrow"/>
          <w:i/>
          <w:iCs/>
          <w:sz w:val="18"/>
          <w:szCs w:val="18"/>
        </w:rPr>
        <w:t xml:space="preserve"> in italics were re-estimated based on the updated AHI and preparation fees,</w:t>
      </w:r>
      <w:r w:rsidR="006A00E0" w:rsidRPr="00B42397">
        <w:rPr>
          <w:rFonts w:ascii="Arial Narrow" w:hAnsi="Arial Narrow"/>
          <w:i/>
          <w:iCs/>
          <w:sz w:val="18"/>
          <w:szCs w:val="18"/>
        </w:rPr>
        <w:t xml:space="preserve"> and</w:t>
      </w:r>
      <w:r w:rsidRPr="00B42397">
        <w:rPr>
          <w:rFonts w:ascii="Arial Narrow" w:hAnsi="Arial Narrow"/>
          <w:i/>
          <w:iCs/>
          <w:sz w:val="18"/>
          <w:szCs w:val="18"/>
        </w:rPr>
        <w:t xml:space="preserve"> MBS</w:t>
      </w:r>
      <w:r w:rsidR="009B0CC6" w:rsidRPr="00B42397">
        <w:rPr>
          <w:rFonts w:ascii="Arial Narrow" w:hAnsi="Arial Narrow"/>
          <w:i/>
          <w:iCs/>
          <w:sz w:val="18"/>
          <w:szCs w:val="18"/>
        </w:rPr>
        <w:t xml:space="preserve"> item fees (where appropriate)</w:t>
      </w:r>
      <w:r w:rsidRPr="00B42397">
        <w:rPr>
          <w:rFonts w:ascii="Arial Narrow" w:hAnsi="Arial Narrow"/>
          <w:i/>
          <w:iCs/>
          <w:sz w:val="18"/>
          <w:szCs w:val="18"/>
        </w:rPr>
        <w:t xml:space="preserve"> for July 2020. </w:t>
      </w:r>
    </w:p>
    <w:p w14:paraId="43EB23E4" w14:textId="77777777" w:rsidR="009152ED" w:rsidRPr="00B42397" w:rsidRDefault="006D7EFC" w:rsidP="009152ED">
      <w:pPr>
        <w:pStyle w:val="Tablenotes"/>
        <w:rPr>
          <w:rFonts w:ascii="Arial Narrow" w:hAnsi="Arial Narrow"/>
          <w:sz w:val="18"/>
          <w:szCs w:val="18"/>
        </w:rPr>
      </w:pPr>
      <w:r w:rsidRPr="00B42397">
        <w:rPr>
          <w:rFonts w:ascii="Arial Narrow" w:hAnsi="Arial Narrow"/>
          <w:sz w:val="18"/>
          <w:szCs w:val="18"/>
        </w:rPr>
        <w:t>Cd</w:t>
      </w:r>
      <w:r w:rsidR="00C75504" w:rsidRPr="00B42397">
        <w:rPr>
          <w:rFonts w:ascii="Arial Narrow" w:hAnsi="Arial Narrow"/>
          <w:sz w:val="18"/>
          <w:szCs w:val="18"/>
        </w:rPr>
        <w:t xml:space="preserve"> </w:t>
      </w:r>
      <w:r w:rsidRPr="00B42397">
        <w:rPr>
          <w:rFonts w:ascii="Arial Narrow" w:hAnsi="Arial Narrow"/>
          <w:sz w:val="18"/>
          <w:szCs w:val="18"/>
        </w:rPr>
        <w:t xml:space="preserve">= carfilzomib + dexamethasone; </w:t>
      </w:r>
      <w:proofErr w:type="spellStart"/>
      <w:r w:rsidR="00C75504" w:rsidRPr="00B42397">
        <w:rPr>
          <w:rFonts w:ascii="Arial Narrow" w:hAnsi="Arial Narrow"/>
          <w:sz w:val="18"/>
          <w:szCs w:val="18"/>
        </w:rPr>
        <w:t>Dex</w:t>
      </w:r>
      <w:proofErr w:type="spellEnd"/>
      <w:r w:rsidR="00C75504" w:rsidRPr="00B42397">
        <w:rPr>
          <w:rFonts w:ascii="Arial Narrow" w:hAnsi="Arial Narrow"/>
          <w:sz w:val="18"/>
          <w:szCs w:val="18"/>
        </w:rPr>
        <w:t xml:space="preserve"> = </w:t>
      </w:r>
      <w:r w:rsidR="009B65A2" w:rsidRPr="00B42397">
        <w:rPr>
          <w:rFonts w:ascii="Arial Narrow" w:hAnsi="Arial Narrow"/>
          <w:sz w:val="18"/>
          <w:szCs w:val="18"/>
        </w:rPr>
        <w:t>dexamethasone</w:t>
      </w:r>
      <w:r w:rsidR="00C75504" w:rsidRPr="00B42397">
        <w:rPr>
          <w:rFonts w:ascii="Arial Narrow" w:hAnsi="Arial Narrow"/>
          <w:sz w:val="18"/>
          <w:szCs w:val="18"/>
        </w:rPr>
        <w:t xml:space="preserve">; </w:t>
      </w:r>
      <w:proofErr w:type="spellStart"/>
      <w:r w:rsidR="001F5659" w:rsidRPr="00B42397">
        <w:rPr>
          <w:rFonts w:ascii="Arial Narrow" w:hAnsi="Arial Narrow"/>
          <w:sz w:val="18"/>
          <w:szCs w:val="18"/>
        </w:rPr>
        <w:t>ELd</w:t>
      </w:r>
      <w:proofErr w:type="spellEnd"/>
      <w:r w:rsidR="00C75504" w:rsidRPr="00B42397">
        <w:rPr>
          <w:rFonts w:ascii="Arial Narrow" w:hAnsi="Arial Narrow"/>
          <w:sz w:val="18"/>
          <w:szCs w:val="18"/>
        </w:rPr>
        <w:t xml:space="preserve"> </w:t>
      </w:r>
      <w:r w:rsidRPr="00B42397">
        <w:rPr>
          <w:rFonts w:ascii="Arial Narrow" w:hAnsi="Arial Narrow"/>
          <w:sz w:val="18"/>
          <w:szCs w:val="18"/>
        </w:rPr>
        <w:t>= elotuzumab + lenalidomide + dexamethasone;</w:t>
      </w:r>
      <w:r w:rsidR="009A68C9" w:rsidRPr="00B42397">
        <w:rPr>
          <w:rFonts w:ascii="Arial Narrow" w:hAnsi="Arial Narrow"/>
          <w:sz w:val="18"/>
          <w:szCs w:val="18"/>
        </w:rPr>
        <w:t xml:space="preserve"> MBS</w:t>
      </w:r>
      <w:r w:rsidR="00C75504" w:rsidRPr="00B42397">
        <w:rPr>
          <w:rFonts w:ascii="Arial Narrow" w:hAnsi="Arial Narrow"/>
          <w:sz w:val="18"/>
          <w:szCs w:val="18"/>
        </w:rPr>
        <w:t xml:space="preserve"> </w:t>
      </w:r>
      <w:r w:rsidR="009A68C9" w:rsidRPr="00B42397">
        <w:rPr>
          <w:rFonts w:ascii="Arial Narrow" w:hAnsi="Arial Narrow"/>
          <w:sz w:val="18"/>
          <w:szCs w:val="18"/>
        </w:rPr>
        <w:t>= Medicare Benefits Schedule;</w:t>
      </w:r>
      <w:r w:rsidRPr="00B42397">
        <w:rPr>
          <w:rFonts w:ascii="Arial Narrow" w:hAnsi="Arial Narrow"/>
          <w:sz w:val="18"/>
          <w:szCs w:val="18"/>
        </w:rPr>
        <w:t xml:space="preserve"> PBS =</w:t>
      </w:r>
      <w:r w:rsidR="00C75504" w:rsidRPr="00B42397">
        <w:rPr>
          <w:rFonts w:ascii="Arial Narrow" w:hAnsi="Arial Narrow"/>
          <w:sz w:val="18"/>
          <w:szCs w:val="18"/>
        </w:rPr>
        <w:t xml:space="preserve"> </w:t>
      </w:r>
      <w:r w:rsidRPr="00B42397">
        <w:rPr>
          <w:rFonts w:ascii="Arial Narrow" w:hAnsi="Arial Narrow"/>
          <w:sz w:val="18"/>
          <w:szCs w:val="18"/>
        </w:rPr>
        <w:t>Pharmaceutical Benefits Scheme; RRMM</w:t>
      </w:r>
      <w:r w:rsidR="00C75504" w:rsidRPr="00B42397">
        <w:rPr>
          <w:rFonts w:ascii="Arial Narrow" w:hAnsi="Arial Narrow"/>
          <w:sz w:val="18"/>
          <w:szCs w:val="18"/>
        </w:rPr>
        <w:t xml:space="preserve"> </w:t>
      </w:r>
      <w:r w:rsidRPr="00B42397">
        <w:rPr>
          <w:rFonts w:ascii="Arial Narrow" w:hAnsi="Arial Narrow"/>
          <w:sz w:val="18"/>
          <w:szCs w:val="18"/>
        </w:rPr>
        <w:t>= relapsed refractory multiple myeloma</w:t>
      </w:r>
      <w:r w:rsidR="009152ED" w:rsidRPr="00B42397">
        <w:rPr>
          <w:rFonts w:ascii="Arial Narrow" w:hAnsi="Arial Narrow"/>
          <w:sz w:val="18"/>
          <w:szCs w:val="18"/>
        </w:rPr>
        <w:t>.</w:t>
      </w:r>
    </w:p>
    <w:p w14:paraId="2ECCC8B5" w14:textId="77777777" w:rsidR="00E466F3" w:rsidRDefault="00E466F3" w:rsidP="009152ED">
      <w:pPr>
        <w:pStyle w:val="Tablenotes"/>
        <w:rPr>
          <w:rFonts w:ascii="Arial Narrow" w:hAnsi="Arial Narrow"/>
          <w:sz w:val="18"/>
          <w:szCs w:val="18"/>
        </w:rPr>
      </w:pPr>
      <w:proofErr w:type="spellStart"/>
      <w:proofErr w:type="gramStart"/>
      <w:r w:rsidRPr="00B42397">
        <w:rPr>
          <w:rFonts w:ascii="Arial Narrow" w:hAnsi="Arial Narrow"/>
          <w:sz w:val="18"/>
          <w:szCs w:val="18"/>
          <w:vertAlign w:val="superscript"/>
        </w:rPr>
        <w:t>a</w:t>
      </w:r>
      <w:proofErr w:type="spellEnd"/>
      <w:proofErr w:type="gramEnd"/>
      <w:r w:rsidR="00606FBA" w:rsidRPr="00B42397">
        <w:rPr>
          <w:rFonts w:ascii="Arial Narrow" w:hAnsi="Arial Narrow"/>
          <w:sz w:val="18"/>
          <w:szCs w:val="18"/>
        </w:rPr>
        <w:t xml:space="preserve"> </w:t>
      </w:r>
      <w:r w:rsidRPr="00B42397">
        <w:rPr>
          <w:rFonts w:ascii="Arial Narrow" w:hAnsi="Arial Narrow"/>
          <w:sz w:val="18"/>
          <w:szCs w:val="18"/>
        </w:rPr>
        <w:t xml:space="preserve">Assuming </w:t>
      </w:r>
      <w:r w:rsidR="009152ED" w:rsidRPr="00B42397">
        <w:rPr>
          <w:rFonts w:ascii="Arial Narrow" w:hAnsi="Arial Narrow"/>
          <w:sz w:val="18"/>
          <w:szCs w:val="18"/>
        </w:rPr>
        <w:t>28.6 cycles</w:t>
      </w:r>
      <w:r w:rsidRPr="00B42397">
        <w:rPr>
          <w:rFonts w:ascii="Arial Narrow" w:hAnsi="Arial Narrow"/>
          <w:sz w:val="18"/>
          <w:szCs w:val="18"/>
        </w:rPr>
        <w:t xml:space="preserve"> per </w:t>
      </w:r>
      <w:r w:rsidR="009152ED" w:rsidRPr="00B42397">
        <w:rPr>
          <w:rFonts w:ascii="Arial Narrow" w:hAnsi="Arial Narrow"/>
          <w:sz w:val="18"/>
          <w:szCs w:val="18"/>
        </w:rPr>
        <w:t>patient</w:t>
      </w:r>
      <w:r w:rsidRPr="00B42397">
        <w:rPr>
          <w:rFonts w:ascii="Arial Narrow" w:hAnsi="Arial Narrow"/>
          <w:sz w:val="18"/>
          <w:szCs w:val="18"/>
        </w:rPr>
        <w:t xml:space="preserve"> as estimated by the submission</w:t>
      </w:r>
      <w:r w:rsidR="009152ED" w:rsidRPr="00B42397">
        <w:rPr>
          <w:rFonts w:ascii="Arial Narrow" w:hAnsi="Arial Narrow"/>
          <w:sz w:val="18"/>
          <w:szCs w:val="18"/>
        </w:rPr>
        <w:t xml:space="preserve"> (ELOQUENT-2)</w:t>
      </w:r>
      <w:r w:rsidRPr="00B42397">
        <w:rPr>
          <w:rFonts w:ascii="Arial Narrow" w:hAnsi="Arial Narrow"/>
          <w:sz w:val="18"/>
          <w:szCs w:val="18"/>
        </w:rPr>
        <w:t>.</w:t>
      </w:r>
    </w:p>
    <w:p w14:paraId="013C8A4B" w14:textId="77777777" w:rsidR="0046734A" w:rsidRPr="0046734A" w:rsidRDefault="0046734A" w:rsidP="009152ED">
      <w:pPr>
        <w:pStyle w:val="Tablenotes"/>
        <w:rPr>
          <w:rFonts w:ascii="Arial Narrow" w:hAnsi="Arial Narrow"/>
          <w:i/>
          <w:sz w:val="18"/>
          <w:szCs w:val="18"/>
        </w:rPr>
      </w:pPr>
      <w:r w:rsidRPr="0046734A">
        <w:rPr>
          <w:rFonts w:ascii="Arial Narrow" w:hAnsi="Arial Narrow"/>
          <w:i/>
          <w:sz w:val="18"/>
          <w:szCs w:val="18"/>
        </w:rPr>
        <w:t>The redacted values correspond to the following ranges:</w:t>
      </w:r>
    </w:p>
    <w:p w14:paraId="0A921E1D" w14:textId="77777777" w:rsidR="0046734A" w:rsidRPr="0046734A" w:rsidRDefault="0046734A" w:rsidP="009152ED">
      <w:pPr>
        <w:pStyle w:val="Tablenotes"/>
        <w:rPr>
          <w:rFonts w:ascii="Arial Narrow" w:hAnsi="Arial Narrow"/>
          <w:i/>
          <w:sz w:val="18"/>
          <w:szCs w:val="18"/>
        </w:rPr>
      </w:pPr>
      <w:r w:rsidRPr="0046734A">
        <w:rPr>
          <w:rFonts w:ascii="Arial Narrow" w:hAnsi="Arial Narrow"/>
          <w:i/>
          <w:sz w:val="18"/>
          <w:szCs w:val="18"/>
          <w:vertAlign w:val="superscript"/>
        </w:rPr>
        <w:t>1</w:t>
      </w:r>
      <w:r w:rsidRPr="0046734A">
        <w:rPr>
          <w:rFonts w:ascii="Arial Narrow" w:hAnsi="Arial Narrow"/>
          <w:i/>
          <w:sz w:val="18"/>
          <w:szCs w:val="18"/>
        </w:rPr>
        <w:t xml:space="preserve"> &lt;500</w:t>
      </w:r>
    </w:p>
    <w:p w14:paraId="229A013A" w14:textId="77777777" w:rsidR="0046734A" w:rsidRDefault="0046734A" w:rsidP="009152ED">
      <w:pPr>
        <w:pStyle w:val="Tablenotes"/>
        <w:rPr>
          <w:rFonts w:ascii="Arial Narrow" w:hAnsi="Arial Narrow"/>
          <w:i/>
          <w:sz w:val="18"/>
          <w:szCs w:val="18"/>
        </w:rPr>
      </w:pPr>
      <w:r w:rsidRPr="0046734A">
        <w:rPr>
          <w:rFonts w:ascii="Arial Narrow" w:hAnsi="Arial Narrow"/>
          <w:i/>
          <w:sz w:val="18"/>
          <w:szCs w:val="18"/>
          <w:vertAlign w:val="superscript"/>
        </w:rPr>
        <w:t>2</w:t>
      </w:r>
      <w:r w:rsidRPr="0046734A">
        <w:rPr>
          <w:rFonts w:ascii="Arial Narrow" w:hAnsi="Arial Narrow"/>
          <w:i/>
          <w:sz w:val="18"/>
          <w:szCs w:val="18"/>
        </w:rPr>
        <w:t xml:space="preserve"> 500 to &lt; 5,000</w:t>
      </w:r>
    </w:p>
    <w:p w14:paraId="092DC004" w14:textId="77777777" w:rsidR="0046734A" w:rsidRDefault="0046734A" w:rsidP="009152ED">
      <w:pPr>
        <w:pStyle w:val="Tablenotes"/>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5,000 to &lt; 10,000</w:t>
      </w:r>
    </w:p>
    <w:p w14:paraId="3B2BFC2F" w14:textId="77777777" w:rsidR="0046734A" w:rsidRDefault="0046734A" w:rsidP="009152ED">
      <w:pPr>
        <w:pStyle w:val="Tablenot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10,000 to &lt; 20,000</w:t>
      </w:r>
    </w:p>
    <w:p w14:paraId="2176650A" w14:textId="77777777" w:rsidR="008C702B" w:rsidRDefault="008C702B" w:rsidP="009152ED">
      <w:pPr>
        <w:pStyle w:val="Tablenot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$0 to &lt; $10 million</w:t>
      </w:r>
    </w:p>
    <w:p w14:paraId="560EF737" w14:textId="77777777" w:rsidR="008C702B" w:rsidRDefault="008C702B" w:rsidP="009152ED">
      <w:pPr>
        <w:pStyle w:val="Tablenot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$10 million to &lt; $20 million</w:t>
      </w:r>
    </w:p>
    <w:p w14:paraId="172ED6DE" w14:textId="77777777" w:rsidR="002B208F" w:rsidRDefault="002B208F" w:rsidP="009152ED">
      <w:pPr>
        <w:pStyle w:val="Tablenotes"/>
        <w:rPr>
          <w:rFonts w:ascii="Arial Narrow" w:hAnsi="Arial Narrow"/>
          <w:i/>
          <w:sz w:val="18"/>
          <w:szCs w:val="18"/>
          <w:vertAlign w:val="superscript"/>
        </w:rPr>
      </w:pPr>
      <w:r>
        <w:rPr>
          <w:rFonts w:ascii="Arial Narrow" w:hAnsi="Arial Narrow"/>
          <w:i/>
          <w:sz w:val="18"/>
          <w:szCs w:val="18"/>
          <w:vertAlign w:val="superscript"/>
        </w:rPr>
        <w:t>7</w:t>
      </w:r>
      <w:r w:rsidR="008C702B">
        <w:rPr>
          <w:rFonts w:ascii="Arial Narrow" w:hAnsi="Arial Narrow"/>
          <w:i/>
          <w:sz w:val="18"/>
          <w:szCs w:val="18"/>
        </w:rPr>
        <w:t xml:space="preserve"> $30 million to &lt; $40 million </w:t>
      </w:r>
    </w:p>
    <w:p w14:paraId="7AF5CCF9" w14:textId="77777777" w:rsidR="008C702B" w:rsidRDefault="002B208F" w:rsidP="009152ED">
      <w:pPr>
        <w:pStyle w:val="Tablenotes"/>
        <w:rPr>
          <w:rFonts w:ascii="Arial Narrow" w:hAnsi="Arial Narrow"/>
          <w:i/>
          <w:sz w:val="18"/>
          <w:szCs w:val="18"/>
        </w:rPr>
      </w:pPr>
      <w:r>
        <w:rPr>
          <w:rFonts w:ascii="Arial Narrow" w:hAnsi="Arial Narrow"/>
          <w:i/>
          <w:sz w:val="18"/>
          <w:szCs w:val="18"/>
          <w:vertAlign w:val="superscript"/>
        </w:rPr>
        <w:t>8</w:t>
      </w:r>
      <w:r w:rsidR="008C702B">
        <w:rPr>
          <w:rFonts w:ascii="Arial Narrow" w:hAnsi="Arial Narrow"/>
          <w:i/>
          <w:sz w:val="18"/>
          <w:szCs w:val="18"/>
        </w:rPr>
        <w:t xml:space="preserve"> $40 million to &lt; $50 million</w:t>
      </w:r>
    </w:p>
    <w:p w14:paraId="42C573DA" w14:textId="77777777" w:rsidR="002B208F" w:rsidRPr="002B208F" w:rsidRDefault="002B208F" w:rsidP="009152ED">
      <w:pPr>
        <w:pStyle w:val="Tablenotes"/>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$50 million to &lt; $60 million</w:t>
      </w:r>
    </w:p>
    <w:p w14:paraId="2BFA54BA" w14:textId="77777777" w:rsidR="009A68C9" w:rsidRPr="00B42397" w:rsidRDefault="000902D9" w:rsidP="00D244B6">
      <w:pPr>
        <w:pStyle w:val="3-BodyText"/>
      </w:pPr>
      <w:r w:rsidRPr="00B42397">
        <w:t xml:space="preserve">The total cost to the PBS/RPBS of listing </w:t>
      </w:r>
      <w:r w:rsidR="009A68C9" w:rsidRPr="00B42397">
        <w:t>elotuzumab</w:t>
      </w:r>
      <w:r w:rsidRPr="00B42397">
        <w:t xml:space="preserve"> was estimated </w:t>
      </w:r>
      <w:r w:rsidR="00A05C32" w:rsidRPr="00B42397">
        <w:t>to be</w:t>
      </w:r>
      <w:r w:rsidRPr="00B42397">
        <w:t xml:space="preserve"> </w:t>
      </w:r>
      <w:r w:rsidR="00166DFC">
        <w:t>$0 to &lt; $10 million</w:t>
      </w:r>
      <w:r w:rsidRPr="00B42397">
        <w:t xml:space="preserve"> in Year 6, </w:t>
      </w:r>
      <w:r w:rsidR="002B6CD1" w:rsidRPr="00B42397">
        <w:t xml:space="preserve">with </w:t>
      </w:r>
      <w:r w:rsidRPr="00B42397">
        <w:t xml:space="preserve">a total </w:t>
      </w:r>
      <w:r w:rsidR="0058154B" w:rsidRPr="00B42397">
        <w:t xml:space="preserve">cost </w:t>
      </w:r>
      <w:r w:rsidRPr="00B42397">
        <w:t xml:space="preserve">of </w:t>
      </w:r>
      <w:r w:rsidR="00166DFC">
        <w:t>$10 million to &lt; $20 million</w:t>
      </w:r>
      <w:r w:rsidRPr="00B42397">
        <w:t xml:space="preserve"> in the first 6 years of listing</w:t>
      </w:r>
      <w:r w:rsidRPr="00B42397">
        <w:rPr>
          <w:color w:val="3366FF"/>
        </w:rPr>
        <w:t>.</w:t>
      </w:r>
    </w:p>
    <w:p w14:paraId="3D9137F1" w14:textId="77777777" w:rsidR="00402530" w:rsidRPr="00B42397" w:rsidRDefault="00402530" w:rsidP="00D244B6">
      <w:pPr>
        <w:pStyle w:val="3-BodyText"/>
      </w:pPr>
      <w:r w:rsidRPr="00B42397">
        <w:rPr>
          <w:iCs/>
        </w:rPr>
        <w:t>The</w:t>
      </w:r>
      <w:r w:rsidR="00DE31EF" w:rsidRPr="00B42397">
        <w:rPr>
          <w:iCs/>
        </w:rPr>
        <w:t xml:space="preserve"> </w:t>
      </w:r>
      <w:r w:rsidR="003E1AE0" w:rsidRPr="00B42397">
        <w:rPr>
          <w:iCs/>
        </w:rPr>
        <w:t>estimated financial impact of listing elotuzumab on the PBS is likely to be underestimated as the submission assumed that the DOT</w:t>
      </w:r>
      <w:r w:rsidR="00E52141" w:rsidRPr="00B42397">
        <w:rPr>
          <w:iCs/>
        </w:rPr>
        <w:t>s</w:t>
      </w:r>
      <w:r w:rsidR="003E1AE0" w:rsidRPr="00B42397">
        <w:rPr>
          <w:iCs/>
        </w:rPr>
        <w:t xml:space="preserve"> of </w:t>
      </w:r>
      <w:proofErr w:type="spellStart"/>
      <w:r w:rsidR="001F5659" w:rsidRPr="00B42397">
        <w:rPr>
          <w:iCs/>
        </w:rPr>
        <w:t>ELd</w:t>
      </w:r>
      <w:proofErr w:type="spellEnd"/>
      <w:r w:rsidR="003E1AE0" w:rsidRPr="00B42397">
        <w:rPr>
          <w:iCs/>
        </w:rPr>
        <w:t xml:space="preserve"> and Cd were equal. In addition, the submission assumed that </w:t>
      </w:r>
      <w:proofErr w:type="spellStart"/>
      <w:r w:rsidR="001F5659" w:rsidRPr="00B42397">
        <w:rPr>
          <w:iCs/>
        </w:rPr>
        <w:t>ELd</w:t>
      </w:r>
      <w:proofErr w:type="spellEnd"/>
      <w:r w:rsidR="003E1AE0" w:rsidRPr="00B42397">
        <w:rPr>
          <w:iCs/>
        </w:rPr>
        <w:t xml:space="preserve"> would substitute for Cd only. In reality, it is likely that some patients currently receiving </w:t>
      </w:r>
      <w:proofErr w:type="spellStart"/>
      <w:proofErr w:type="gramStart"/>
      <w:r w:rsidR="001F5659" w:rsidRPr="00B42397">
        <w:rPr>
          <w:iCs/>
        </w:rPr>
        <w:t>Ld</w:t>
      </w:r>
      <w:proofErr w:type="spellEnd"/>
      <w:proofErr w:type="gramEnd"/>
      <w:r w:rsidR="003E1AE0" w:rsidRPr="00B42397">
        <w:rPr>
          <w:iCs/>
        </w:rPr>
        <w:t xml:space="preserve"> would receive </w:t>
      </w:r>
      <w:proofErr w:type="spellStart"/>
      <w:r w:rsidR="001F5659" w:rsidRPr="00B42397">
        <w:rPr>
          <w:iCs/>
        </w:rPr>
        <w:t>ELd</w:t>
      </w:r>
      <w:proofErr w:type="spellEnd"/>
      <w:r w:rsidR="001A3D17" w:rsidRPr="00B42397">
        <w:rPr>
          <w:iCs/>
        </w:rPr>
        <w:t xml:space="preserve">, though the ESC considered that calculating the market shares of Cd and </w:t>
      </w:r>
      <w:proofErr w:type="spellStart"/>
      <w:r w:rsidR="001A3D17" w:rsidRPr="00B42397">
        <w:rPr>
          <w:iCs/>
        </w:rPr>
        <w:t>Ld</w:t>
      </w:r>
      <w:proofErr w:type="spellEnd"/>
      <w:r w:rsidR="001A3D17" w:rsidRPr="00B42397">
        <w:rPr>
          <w:iCs/>
        </w:rPr>
        <w:t xml:space="preserve"> would be difficult</w:t>
      </w:r>
      <w:r w:rsidR="003E1AE0" w:rsidRPr="00B42397">
        <w:rPr>
          <w:iCs/>
        </w:rPr>
        <w:t xml:space="preserve">. </w:t>
      </w:r>
    </w:p>
    <w:p w14:paraId="071BE043" w14:textId="77777777" w:rsidR="007C052B" w:rsidRPr="00B42397" w:rsidRDefault="009A68C9" w:rsidP="002B6CD1">
      <w:pPr>
        <w:pStyle w:val="3-BodyText"/>
      </w:pPr>
      <w:r w:rsidRPr="00B42397">
        <w:lastRenderedPageBreak/>
        <w:t xml:space="preserve">The submission stated that the </w:t>
      </w:r>
      <w:r w:rsidR="007C052B" w:rsidRPr="00B42397">
        <w:t xml:space="preserve">positive </w:t>
      </w:r>
      <w:r w:rsidRPr="00B42397">
        <w:t xml:space="preserve">net cost to the PBS/RPBS can be explained by different administration profiles and different loading dose periods </w:t>
      </w:r>
      <w:r w:rsidR="002B6CD1" w:rsidRPr="00B42397">
        <w:t xml:space="preserve">for </w:t>
      </w:r>
      <w:proofErr w:type="spellStart"/>
      <w:r w:rsidR="001F5659" w:rsidRPr="00B42397">
        <w:t>ELd</w:t>
      </w:r>
      <w:proofErr w:type="spellEnd"/>
      <w:r w:rsidRPr="00B42397">
        <w:t xml:space="preserve"> and Cd.</w:t>
      </w:r>
      <w:r w:rsidR="002B6CD1" w:rsidRPr="00B42397">
        <w:t xml:space="preserve"> </w:t>
      </w:r>
      <w:r w:rsidR="007C052B" w:rsidRPr="00B42397">
        <w:rPr>
          <w:iCs/>
        </w:rPr>
        <w:t>The explanation provided by the submission did not appear to support the difference in the positive net-cost. Rather, t</w:t>
      </w:r>
      <w:r w:rsidR="009408F3" w:rsidRPr="00B42397">
        <w:rPr>
          <w:iCs/>
        </w:rPr>
        <w:t>he additional cos</w:t>
      </w:r>
      <w:r w:rsidR="00CF62B7" w:rsidRPr="00B42397">
        <w:rPr>
          <w:iCs/>
        </w:rPr>
        <w:t xml:space="preserve">t to PBS/RPBS </w:t>
      </w:r>
      <w:r w:rsidR="007C052B" w:rsidRPr="00B42397">
        <w:rPr>
          <w:iCs/>
        </w:rPr>
        <w:t>wa</w:t>
      </w:r>
      <w:r w:rsidR="00CF62B7" w:rsidRPr="00B42397">
        <w:rPr>
          <w:iCs/>
        </w:rPr>
        <w:t>s associated with t</w:t>
      </w:r>
      <w:r w:rsidRPr="00B42397">
        <w:rPr>
          <w:iCs/>
        </w:rPr>
        <w:t xml:space="preserve">he </w:t>
      </w:r>
      <w:r w:rsidR="007C052B" w:rsidRPr="00B42397">
        <w:rPr>
          <w:iCs/>
        </w:rPr>
        <w:t xml:space="preserve">approach </w:t>
      </w:r>
      <w:r w:rsidR="003E1AE0" w:rsidRPr="00B42397">
        <w:rPr>
          <w:iCs/>
        </w:rPr>
        <w:t xml:space="preserve">used in the </w:t>
      </w:r>
      <w:r w:rsidR="007C052B" w:rsidRPr="00B42397">
        <w:rPr>
          <w:iCs/>
        </w:rPr>
        <w:t xml:space="preserve">CMA </w:t>
      </w:r>
      <w:r w:rsidR="003E1AE0" w:rsidRPr="00B42397">
        <w:rPr>
          <w:iCs/>
        </w:rPr>
        <w:t>to calculate the equi-effective doses that</w:t>
      </w:r>
      <w:r w:rsidR="007C052B" w:rsidRPr="00B42397">
        <w:rPr>
          <w:iCs/>
        </w:rPr>
        <w:t xml:space="preserve"> excluded the </w:t>
      </w:r>
      <w:r w:rsidR="003E1AE0" w:rsidRPr="00B42397">
        <w:rPr>
          <w:iCs/>
        </w:rPr>
        <w:t>loading doses</w:t>
      </w:r>
      <w:r w:rsidR="007C052B" w:rsidRPr="00B42397">
        <w:rPr>
          <w:iCs/>
        </w:rPr>
        <w:t xml:space="preserve">, and </w:t>
      </w:r>
      <w:r w:rsidR="003E1AE0" w:rsidRPr="00B42397">
        <w:rPr>
          <w:iCs/>
        </w:rPr>
        <w:t xml:space="preserve">the associated </w:t>
      </w:r>
      <w:r w:rsidR="007C052B" w:rsidRPr="00B42397">
        <w:rPr>
          <w:iCs/>
        </w:rPr>
        <w:t>cost</w:t>
      </w:r>
      <w:r w:rsidR="003E1AE0" w:rsidRPr="00B42397">
        <w:rPr>
          <w:iCs/>
        </w:rPr>
        <w:t>s</w:t>
      </w:r>
      <w:r w:rsidR="007C052B" w:rsidRPr="00B42397">
        <w:rPr>
          <w:iCs/>
        </w:rPr>
        <w:t xml:space="preserve">, of </w:t>
      </w:r>
      <w:proofErr w:type="spellStart"/>
      <w:r w:rsidR="001F5659" w:rsidRPr="00B42397">
        <w:rPr>
          <w:iCs/>
        </w:rPr>
        <w:t>ELd</w:t>
      </w:r>
      <w:proofErr w:type="spellEnd"/>
      <w:r w:rsidR="007C052B" w:rsidRPr="00B42397">
        <w:rPr>
          <w:iCs/>
        </w:rPr>
        <w:t xml:space="preserve"> in Cycles 1 and 2. </w:t>
      </w:r>
      <w:r w:rsidR="00CF62B7" w:rsidRPr="00B42397">
        <w:rPr>
          <w:iCs/>
        </w:rPr>
        <w:t>A</w:t>
      </w:r>
      <w:r w:rsidRPr="00B42397">
        <w:rPr>
          <w:iCs/>
        </w:rPr>
        <w:t xml:space="preserve"> lower cost-minimising price for elotuzumab would result if the </w:t>
      </w:r>
      <w:r w:rsidR="00FF3E63" w:rsidRPr="00B42397">
        <w:rPr>
          <w:iCs/>
        </w:rPr>
        <w:t xml:space="preserve">equi-effective doses </w:t>
      </w:r>
      <w:r w:rsidRPr="00B42397">
        <w:rPr>
          <w:iCs/>
        </w:rPr>
        <w:t xml:space="preserve">included </w:t>
      </w:r>
      <w:proofErr w:type="spellStart"/>
      <w:r w:rsidR="001F5659" w:rsidRPr="00B42397">
        <w:rPr>
          <w:iCs/>
        </w:rPr>
        <w:t>ELd</w:t>
      </w:r>
      <w:proofErr w:type="spellEnd"/>
      <w:r w:rsidR="00FF3E63" w:rsidRPr="00B42397">
        <w:rPr>
          <w:iCs/>
        </w:rPr>
        <w:t xml:space="preserve"> </w:t>
      </w:r>
      <w:r w:rsidRPr="00B42397">
        <w:rPr>
          <w:iCs/>
        </w:rPr>
        <w:t>use</w:t>
      </w:r>
      <w:r w:rsidR="007C052B" w:rsidRPr="00B42397">
        <w:rPr>
          <w:iCs/>
        </w:rPr>
        <w:t xml:space="preserve"> </w:t>
      </w:r>
      <w:r w:rsidR="00FF3E63" w:rsidRPr="00B42397">
        <w:rPr>
          <w:iCs/>
        </w:rPr>
        <w:t>from C</w:t>
      </w:r>
      <w:r w:rsidRPr="00B42397">
        <w:rPr>
          <w:iCs/>
        </w:rPr>
        <w:t xml:space="preserve">ycles 1 and 2, </w:t>
      </w:r>
      <w:r w:rsidR="00FB6117" w:rsidRPr="00B42397">
        <w:rPr>
          <w:iCs/>
        </w:rPr>
        <w:t>decreasing</w:t>
      </w:r>
      <w:r w:rsidRPr="00B42397">
        <w:rPr>
          <w:iCs/>
        </w:rPr>
        <w:t xml:space="preserve"> the positive net-cost estimates contained in the submission.</w:t>
      </w:r>
    </w:p>
    <w:p w14:paraId="5377174C" w14:textId="77777777" w:rsidR="006E68DF" w:rsidRPr="00B42397" w:rsidRDefault="00F214C5" w:rsidP="001671A0">
      <w:pPr>
        <w:pStyle w:val="3-BodyText"/>
        <w:rPr>
          <w:rFonts w:eastAsiaTheme="majorEastAsia" w:cstheme="majorBidi"/>
          <w:b/>
          <w:snapToGrid/>
          <w:spacing w:val="5"/>
          <w:kern w:val="28"/>
          <w:sz w:val="28"/>
          <w:szCs w:val="36"/>
        </w:rPr>
      </w:pPr>
      <w:r w:rsidRPr="00B42397">
        <w:rPr>
          <w:color w:val="000000" w:themeColor="text1"/>
        </w:rPr>
        <w:t xml:space="preserve">The submission </w:t>
      </w:r>
      <w:r w:rsidR="001F6972" w:rsidRPr="00B42397">
        <w:rPr>
          <w:color w:val="000000" w:themeColor="text1"/>
        </w:rPr>
        <w:t xml:space="preserve">acknowledged the </w:t>
      </w:r>
      <w:r w:rsidR="0098227F" w:rsidRPr="00B42397">
        <w:rPr>
          <w:color w:val="000000" w:themeColor="text1"/>
        </w:rPr>
        <w:t xml:space="preserve">uncertainty associated </w:t>
      </w:r>
      <w:r w:rsidR="0098227F" w:rsidRPr="00B42397">
        <w:t xml:space="preserve">with the substitution rates of </w:t>
      </w:r>
      <w:proofErr w:type="spellStart"/>
      <w:r w:rsidR="001F5659" w:rsidRPr="00B42397">
        <w:t>ELd</w:t>
      </w:r>
      <w:proofErr w:type="spellEnd"/>
      <w:r w:rsidR="0098227F" w:rsidRPr="00B42397">
        <w:t xml:space="preserve"> for Cd and the average duration of treatment with Cd</w:t>
      </w:r>
      <w:r w:rsidR="00AC2F00" w:rsidRPr="00B42397">
        <w:t xml:space="preserve"> and conducted </w:t>
      </w:r>
      <w:r w:rsidR="0098227F" w:rsidRPr="00B42397">
        <w:t>sensitivity analyses</w:t>
      </w:r>
      <w:r w:rsidR="00AC2F00" w:rsidRPr="00B42397">
        <w:t xml:space="preserve"> in which the uptake rates were doubled/halved and which </w:t>
      </w:r>
      <w:r w:rsidR="00E52141" w:rsidRPr="00B42397">
        <w:t>reduced the</w:t>
      </w:r>
      <w:r w:rsidR="00AC2F00" w:rsidRPr="00B42397">
        <w:t xml:space="preserve"> duration of Cd treatment from ENDEAVOR</w:t>
      </w:r>
      <w:r w:rsidR="00E7737B" w:rsidRPr="00B42397">
        <w:t xml:space="preserve"> (Table 16)</w:t>
      </w:r>
      <w:r w:rsidR="00AC2F00" w:rsidRPr="00B42397">
        <w:t xml:space="preserve">. </w:t>
      </w:r>
      <w:r w:rsidR="009A68C9" w:rsidRPr="00B42397">
        <w:rPr>
          <w:color w:val="000000" w:themeColor="text1"/>
        </w:rPr>
        <w:t xml:space="preserve">The net cost </w:t>
      </w:r>
      <w:r w:rsidR="00122AB1" w:rsidRPr="00B42397">
        <w:rPr>
          <w:color w:val="000000" w:themeColor="text1"/>
        </w:rPr>
        <w:t xml:space="preserve">to the </w:t>
      </w:r>
      <w:r w:rsidR="009A68C9" w:rsidRPr="00B42397">
        <w:rPr>
          <w:color w:val="000000" w:themeColor="text1"/>
        </w:rPr>
        <w:t xml:space="preserve">PBS/RPBS </w:t>
      </w:r>
      <w:r w:rsidR="006F5B1E" w:rsidRPr="00B42397">
        <w:rPr>
          <w:color w:val="000000" w:themeColor="text1"/>
        </w:rPr>
        <w:t>was most sensitive to the estimated duration of Cd</w:t>
      </w:r>
      <w:r w:rsidR="00FF5149" w:rsidRPr="00B42397">
        <w:rPr>
          <w:color w:val="000000" w:themeColor="text1"/>
        </w:rPr>
        <w:t xml:space="preserve"> treatment</w:t>
      </w:r>
      <w:r w:rsidR="00122AB1" w:rsidRPr="00B42397">
        <w:rPr>
          <w:color w:val="000000" w:themeColor="text1"/>
        </w:rPr>
        <w:t>;</w:t>
      </w:r>
      <w:r w:rsidR="00FF5149" w:rsidRPr="00B42397">
        <w:rPr>
          <w:color w:val="000000" w:themeColor="text1"/>
        </w:rPr>
        <w:t xml:space="preserve"> </w:t>
      </w:r>
      <w:r w:rsidR="00C2303B" w:rsidRPr="00B42397">
        <w:rPr>
          <w:color w:val="000000" w:themeColor="text1"/>
        </w:rPr>
        <w:t>when</w:t>
      </w:r>
      <w:r w:rsidR="00B21F11" w:rsidRPr="00B42397">
        <w:rPr>
          <w:color w:val="000000" w:themeColor="text1"/>
        </w:rPr>
        <w:t xml:space="preserve"> </w:t>
      </w:r>
      <w:r w:rsidR="00E52141" w:rsidRPr="00B42397">
        <w:rPr>
          <w:color w:val="000000" w:themeColor="text1"/>
        </w:rPr>
        <w:t>DOT</w:t>
      </w:r>
      <w:r w:rsidR="0089007B" w:rsidRPr="00B42397">
        <w:rPr>
          <w:color w:val="000000" w:themeColor="text1"/>
        </w:rPr>
        <w:t xml:space="preserve"> with</w:t>
      </w:r>
      <w:r w:rsidR="00B21F11" w:rsidRPr="00B42397">
        <w:rPr>
          <w:color w:val="000000" w:themeColor="text1"/>
        </w:rPr>
        <w:t xml:space="preserve"> Cd</w:t>
      </w:r>
      <w:r w:rsidR="00E754CC" w:rsidRPr="00B42397">
        <w:rPr>
          <w:color w:val="000000" w:themeColor="text1"/>
        </w:rPr>
        <w:t xml:space="preserve"> </w:t>
      </w:r>
      <w:r w:rsidR="00122AB1" w:rsidRPr="00B42397">
        <w:rPr>
          <w:color w:val="000000" w:themeColor="text1"/>
        </w:rPr>
        <w:t>wa</w:t>
      </w:r>
      <w:r w:rsidR="00E754CC" w:rsidRPr="00B42397">
        <w:rPr>
          <w:color w:val="000000" w:themeColor="text1"/>
        </w:rPr>
        <w:t xml:space="preserve">s </w:t>
      </w:r>
      <w:r w:rsidR="00E52141" w:rsidRPr="00B42397">
        <w:rPr>
          <w:color w:val="000000" w:themeColor="text1"/>
        </w:rPr>
        <w:t>reduced</w:t>
      </w:r>
      <w:r w:rsidR="00122AB1" w:rsidRPr="00B42397">
        <w:rPr>
          <w:color w:val="000000" w:themeColor="text1"/>
        </w:rPr>
        <w:t xml:space="preserve"> </w:t>
      </w:r>
      <w:r w:rsidR="00271BD9" w:rsidRPr="00B42397">
        <w:rPr>
          <w:color w:val="000000" w:themeColor="text1"/>
        </w:rPr>
        <w:t xml:space="preserve">to </w:t>
      </w:r>
      <w:r w:rsidR="00122AB1" w:rsidRPr="00B42397">
        <w:rPr>
          <w:color w:val="000000" w:themeColor="text1"/>
        </w:rPr>
        <w:t>18.1 cycles</w:t>
      </w:r>
      <w:r w:rsidR="00E77BEF" w:rsidRPr="00B42397">
        <w:rPr>
          <w:color w:val="000000" w:themeColor="text1"/>
        </w:rPr>
        <w:t xml:space="preserve"> (estimated by the submission</w:t>
      </w:r>
      <w:r w:rsidR="001B19D2" w:rsidRPr="00B42397">
        <w:rPr>
          <w:color w:val="000000" w:themeColor="text1"/>
        </w:rPr>
        <w:t xml:space="preserve"> and based on comparative proportions from the ELOQUENT-2 trial</w:t>
      </w:r>
      <w:r w:rsidR="00E77BEF" w:rsidRPr="00B42397">
        <w:rPr>
          <w:color w:val="000000" w:themeColor="text1"/>
        </w:rPr>
        <w:t>)</w:t>
      </w:r>
      <w:r w:rsidR="00122AB1" w:rsidRPr="00B42397">
        <w:rPr>
          <w:color w:val="000000" w:themeColor="text1"/>
        </w:rPr>
        <w:t xml:space="preserve"> compared to the base case which assumed use as per </w:t>
      </w:r>
      <w:r w:rsidR="00167FD5" w:rsidRPr="00B42397">
        <w:rPr>
          <w:color w:val="000000" w:themeColor="text1"/>
        </w:rPr>
        <w:t xml:space="preserve">ELOQUENT-2 </w:t>
      </w:r>
      <w:r w:rsidR="00250DEB" w:rsidRPr="00B42397">
        <w:rPr>
          <w:color w:val="000000" w:themeColor="text1"/>
        </w:rPr>
        <w:t>(2</w:t>
      </w:r>
      <w:r w:rsidR="00FF3E63" w:rsidRPr="00B42397">
        <w:rPr>
          <w:color w:val="000000" w:themeColor="text1"/>
        </w:rPr>
        <w:t>8.6</w:t>
      </w:r>
      <w:r w:rsidR="00250DEB" w:rsidRPr="00B42397">
        <w:rPr>
          <w:color w:val="000000" w:themeColor="text1"/>
        </w:rPr>
        <w:t xml:space="preserve"> cycles)</w:t>
      </w:r>
      <w:r w:rsidR="00122AB1" w:rsidRPr="00B42397">
        <w:rPr>
          <w:color w:val="000000" w:themeColor="text1"/>
        </w:rPr>
        <w:t xml:space="preserve"> t</w:t>
      </w:r>
      <w:r w:rsidR="00B21F11" w:rsidRPr="00B42397">
        <w:rPr>
          <w:color w:val="000000" w:themeColor="text1"/>
        </w:rPr>
        <w:t xml:space="preserve">he net cost to </w:t>
      </w:r>
      <w:r w:rsidR="00122AB1" w:rsidRPr="00B42397">
        <w:rPr>
          <w:color w:val="000000" w:themeColor="text1"/>
        </w:rPr>
        <w:t>Government</w:t>
      </w:r>
      <w:r w:rsidR="00B21F11" w:rsidRPr="00B42397">
        <w:rPr>
          <w:color w:val="000000" w:themeColor="text1"/>
        </w:rPr>
        <w:t xml:space="preserve"> increased to </w:t>
      </w:r>
      <w:r w:rsidR="00115466">
        <w:rPr>
          <w:color w:val="000000" w:themeColor="text1"/>
        </w:rPr>
        <w:t>$20 million to &lt; $30 million</w:t>
      </w:r>
      <w:r w:rsidR="00B21F11" w:rsidRPr="00B42397">
        <w:rPr>
          <w:color w:val="000000" w:themeColor="text1"/>
        </w:rPr>
        <w:t xml:space="preserve"> in Year 6</w:t>
      </w:r>
      <w:r w:rsidR="00122AB1" w:rsidRPr="00B42397">
        <w:rPr>
          <w:color w:val="000000" w:themeColor="text1"/>
        </w:rPr>
        <w:t xml:space="preserve"> (due to fewer cost-offsets)</w:t>
      </w:r>
      <w:r w:rsidR="00B21F11" w:rsidRPr="00B42397">
        <w:rPr>
          <w:color w:val="000000" w:themeColor="text1"/>
        </w:rPr>
        <w:t>.</w:t>
      </w:r>
      <w:r w:rsidR="006F5B1E" w:rsidRPr="00B42397">
        <w:rPr>
          <w:color w:val="000000" w:themeColor="text1"/>
        </w:rPr>
        <w:t xml:space="preserve"> </w:t>
      </w:r>
    </w:p>
    <w:p w14:paraId="1AC597DA" w14:textId="77777777" w:rsidR="00C2303B" w:rsidRPr="00B42397" w:rsidRDefault="00C2303B" w:rsidP="00C2303B">
      <w:pPr>
        <w:rPr>
          <w:rFonts w:ascii="Arial Narrow" w:hAnsi="Arial Narrow"/>
          <w:b/>
          <w:bCs/>
          <w:sz w:val="20"/>
          <w:szCs w:val="20"/>
        </w:rPr>
      </w:pPr>
      <w:r w:rsidRPr="00B42397">
        <w:rPr>
          <w:rFonts w:ascii="Arial Narrow" w:hAnsi="Arial Narrow"/>
          <w:b/>
          <w:bCs/>
          <w:sz w:val="20"/>
          <w:szCs w:val="20"/>
        </w:rPr>
        <w:t>Table 1</w:t>
      </w:r>
      <w:r w:rsidR="005D1318" w:rsidRPr="00B42397">
        <w:rPr>
          <w:rFonts w:ascii="Arial Narrow" w:hAnsi="Arial Narrow"/>
          <w:b/>
          <w:bCs/>
          <w:sz w:val="20"/>
          <w:szCs w:val="20"/>
        </w:rPr>
        <w:t>6</w:t>
      </w:r>
      <w:r w:rsidRPr="00B42397">
        <w:rPr>
          <w:rFonts w:ascii="Arial Narrow" w:hAnsi="Arial Narrow"/>
          <w:b/>
          <w:bCs/>
          <w:sz w:val="20"/>
          <w:szCs w:val="20"/>
        </w:rPr>
        <w:t>: Sensitivity analyses results (Net Impact PBS/RPBS/MBS effective)</w:t>
      </w:r>
    </w:p>
    <w:tbl>
      <w:tblPr>
        <w:tblStyle w:val="TableGrid"/>
        <w:tblW w:w="0" w:type="auto"/>
        <w:tblLayout w:type="fixed"/>
        <w:tblLook w:val="04A0" w:firstRow="1" w:lastRow="0" w:firstColumn="1" w:lastColumn="0" w:noHBand="0" w:noVBand="1"/>
        <w:tblCaption w:val="Table 16: Sensitivity analyses results (Net Impact PBS/RPBS/MBS effective)"/>
      </w:tblPr>
      <w:tblGrid>
        <w:gridCol w:w="2515"/>
        <w:gridCol w:w="1080"/>
        <w:gridCol w:w="1080"/>
        <w:gridCol w:w="1080"/>
        <w:gridCol w:w="1080"/>
        <w:gridCol w:w="1098"/>
        <w:gridCol w:w="1084"/>
      </w:tblGrid>
      <w:tr w:rsidR="00AC2F00" w:rsidRPr="00B42397" w14:paraId="27047E5E" w14:textId="77777777" w:rsidTr="001F619B">
        <w:trPr>
          <w:tblHeader/>
        </w:trPr>
        <w:tc>
          <w:tcPr>
            <w:tcW w:w="2515" w:type="dxa"/>
            <w:tcMar>
              <w:left w:w="28" w:type="dxa"/>
              <w:right w:w="28" w:type="dxa"/>
            </w:tcMar>
          </w:tcPr>
          <w:p w14:paraId="295F467C" w14:textId="77777777" w:rsidR="00AC2F00" w:rsidRPr="00B42397" w:rsidRDefault="00AC2F00" w:rsidP="007D7A5C">
            <w:pPr>
              <w:pStyle w:val="Tabletext"/>
              <w:spacing w:line="256" w:lineRule="auto"/>
              <w:rPr>
                <w:b/>
                <w:i/>
                <w:iCs/>
              </w:rPr>
            </w:pPr>
          </w:p>
        </w:tc>
        <w:tc>
          <w:tcPr>
            <w:tcW w:w="1080" w:type="dxa"/>
            <w:tcMar>
              <w:left w:w="28" w:type="dxa"/>
              <w:right w:w="28" w:type="dxa"/>
            </w:tcMar>
            <w:hideMark/>
          </w:tcPr>
          <w:p w14:paraId="471FD70B" w14:textId="77777777" w:rsidR="00AC2F00" w:rsidRPr="00B42397" w:rsidRDefault="00AC2F00" w:rsidP="007D7A5C">
            <w:pPr>
              <w:pStyle w:val="Tabletext"/>
              <w:spacing w:line="256" w:lineRule="auto"/>
              <w:jc w:val="center"/>
              <w:rPr>
                <w:b/>
                <w:iCs/>
              </w:rPr>
            </w:pPr>
            <w:r w:rsidRPr="00B42397">
              <w:rPr>
                <w:b/>
                <w:iCs/>
              </w:rPr>
              <w:t>Year 1</w:t>
            </w:r>
          </w:p>
        </w:tc>
        <w:tc>
          <w:tcPr>
            <w:tcW w:w="1080" w:type="dxa"/>
            <w:tcMar>
              <w:left w:w="28" w:type="dxa"/>
              <w:right w:w="28" w:type="dxa"/>
            </w:tcMar>
            <w:hideMark/>
          </w:tcPr>
          <w:p w14:paraId="2B898C3A" w14:textId="77777777" w:rsidR="00AC2F00" w:rsidRPr="00B42397" w:rsidRDefault="00AC2F00" w:rsidP="007D7A5C">
            <w:pPr>
              <w:pStyle w:val="Tabletext"/>
              <w:spacing w:line="256" w:lineRule="auto"/>
              <w:jc w:val="center"/>
              <w:rPr>
                <w:b/>
                <w:iCs/>
              </w:rPr>
            </w:pPr>
            <w:r w:rsidRPr="00B42397">
              <w:rPr>
                <w:b/>
                <w:iCs/>
              </w:rPr>
              <w:t>Year 2</w:t>
            </w:r>
          </w:p>
        </w:tc>
        <w:tc>
          <w:tcPr>
            <w:tcW w:w="1080" w:type="dxa"/>
            <w:tcMar>
              <w:left w:w="28" w:type="dxa"/>
              <w:right w:w="28" w:type="dxa"/>
            </w:tcMar>
            <w:hideMark/>
          </w:tcPr>
          <w:p w14:paraId="56D54EA2" w14:textId="77777777" w:rsidR="00AC2F00" w:rsidRPr="00B42397" w:rsidRDefault="00AC2F00" w:rsidP="007D7A5C">
            <w:pPr>
              <w:pStyle w:val="Tabletext"/>
              <w:spacing w:line="256" w:lineRule="auto"/>
              <w:jc w:val="center"/>
              <w:rPr>
                <w:b/>
                <w:iCs/>
              </w:rPr>
            </w:pPr>
            <w:r w:rsidRPr="00B42397">
              <w:rPr>
                <w:b/>
                <w:iCs/>
              </w:rPr>
              <w:t>Year 3</w:t>
            </w:r>
          </w:p>
        </w:tc>
        <w:tc>
          <w:tcPr>
            <w:tcW w:w="1080" w:type="dxa"/>
            <w:tcMar>
              <w:left w:w="28" w:type="dxa"/>
              <w:right w:w="28" w:type="dxa"/>
            </w:tcMar>
            <w:hideMark/>
          </w:tcPr>
          <w:p w14:paraId="50367438" w14:textId="77777777" w:rsidR="00AC2F00" w:rsidRPr="00B42397" w:rsidRDefault="00AC2F00" w:rsidP="007D7A5C">
            <w:pPr>
              <w:pStyle w:val="Tabletext"/>
              <w:spacing w:line="256" w:lineRule="auto"/>
              <w:jc w:val="center"/>
              <w:rPr>
                <w:b/>
                <w:iCs/>
              </w:rPr>
            </w:pPr>
            <w:r w:rsidRPr="00B42397">
              <w:rPr>
                <w:b/>
                <w:iCs/>
              </w:rPr>
              <w:t>Year 4</w:t>
            </w:r>
          </w:p>
        </w:tc>
        <w:tc>
          <w:tcPr>
            <w:tcW w:w="1098" w:type="dxa"/>
            <w:tcMar>
              <w:left w:w="28" w:type="dxa"/>
              <w:right w:w="28" w:type="dxa"/>
            </w:tcMar>
            <w:hideMark/>
          </w:tcPr>
          <w:p w14:paraId="54155A3D" w14:textId="77777777" w:rsidR="00AC2F00" w:rsidRPr="00B42397" w:rsidRDefault="00AC2F00" w:rsidP="007D7A5C">
            <w:pPr>
              <w:pStyle w:val="Tabletext"/>
              <w:spacing w:line="256" w:lineRule="auto"/>
              <w:jc w:val="center"/>
              <w:rPr>
                <w:b/>
                <w:iCs/>
              </w:rPr>
            </w:pPr>
            <w:r w:rsidRPr="00B42397">
              <w:rPr>
                <w:b/>
                <w:iCs/>
              </w:rPr>
              <w:t>Year 5</w:t>
            </w:r>
          </w:p>
        </w:tc>
        <w:tc>
          <w:tcPr>
            <w:tcW w:w="1084" w:type="dxa"/>
            <w:tcMar>
              <w:left w:w="28" w:type="dxa"/>
              <w:right w:w="28" w:type="dxa"/>
            </w:tcMar>
            <w:hideMark/>
          </w:tcPr>
          <w:p w14:paraId="5233C474" w14:textId="77777777" w:rsidR="00AC2F00" w:rsidRPr="00B42397" w:rsidRDefault="00AC2F00" w:rsidP="007D7A5C">
            <w:pPr>
              <w:pStyle w:val="Tabletext"/>
              <w:spacing w:line="256" w:lineRule="auto"/>
              <w:jc w:val="center"/>
              <w:rPr>
                <w:b/>
                <w:iCs/>
              </w:rPr>
            </w:pPr>
            <w:r w:rsidRPr="00B42397">
              <w:rPr>
                <w:b/>
                <w:iCs/>
              </w:rPr>
              <w:t>Year 6</w:t>
            </w:r>
          </w:p>
        </w:tc>
      </w:tr>
      <w:tr w:rsidR="00FF3E63" w:rsidRPr="00B42397" w14:paraId="17A6955F" w14:textId="77777777" w:rsidTr="00046855">
        <w:tc>
          <w:tcPr>
            <w:tcW w:w="2515" w:type="dxa"/>
            <w:tcMar>
              <w:left w:w="28" w:type="dxa"/>
              <w:right w:w="28" w:type="dxa"/>
            </w:tcMar>
          </w:tcPr>
          <w:p w14:paraId="7270A906" w14:textId="77777777" w:rsidR="00FF3E63" w:rsidRPr="00B42397" w:rsidRDefault="00AC2F00" w:rsidP="007D7A5C">
            <w:pPr>
              <w:pStyle w:val="Tabletext"/>
              <w:spacing w:line="256" w:lineRule="auto"/>
              <w:rPr>
                <w:b/>
              </w:rPr>
            </w:pPr>
            <w:r w:rsidRPr="00B42397">
              <w:rPr>
                <w:b/>
              </w:rPr>
              <w:t>Base case</w:t>
            </w:r>
          </w:p>
        </w:tc>
        <w:tc>
          <w:tcPr>
            <w:tcW w:w="1080" w:type="dxa"/>
            <w:tcMar>
              <w:left w:w="28" w:type="dxa"/>
              <w:right w:w="28" w:type="dxa"/>
            </w:tcMar>
            <w:hideMark/>
          </w:tcPr>
          <w:p w14:paraId="671132F4" w14:textId="77777777" w:rsidR="00FF3E63" w:rsidRPr="00396170" w:rsidRDefault="00FF3E63" w:rsidP="007D7A5C">
            <w:pPr>
              <w:pStyle w:val="Tabletext"/>
              <w:spacing w:line="256" w:lineRule="auto"/>
              <w:jc w:val="center"/>
              <w:rPr>
                <w:b/>
                <w:iCs/>
                <w:vertAlign w:val="superscript"/>
              </w:rPr>
            </w:pPr>
            <w:r w:rsidRPr="00B42397">
              <w:rPr>
                <w:rFonts w:cs="Arial"/>
                <w:b/>
                <w:iCs/>
                <w:color w:val="000000"/>
                <w:szCs w:val="20"/>
              </w:rPr>
              <w:t>$</w:t>
            </w:r>
            <w:r w:rsidR="00B51893">
              <w:rPr>
                <w:rFonts w:cs="Arial"/>
                <w:b/>
                <w:iCs/>
                <w:noProof/>
                <w:color w:val="000000"/>
                <w:szCs w:val="20"/>
                <w:highlight w:val="black"/>
              </w:rPr>
              <w:t>'''''''''''''''''''''</w:t>
            </w:r>
            <w:r w:rsidR="00396170" w:rsidRPr="00396170">
              <w:rPr>
                <w:rFonts w:cs="Arial"/>
                <w:iCs/>
                <w:color w:val="000000"/>
                <w:szCs w:val="20"/>
                <w:vertAlign w:val="superscript"/>
              </w:rPr>
              <w:t>1</w:t>
            </w:r>
          </w:p>
        </w:tc>
        <w:tc>
          <w:tcPr>
            <w:tcW w:w="1080" w:type="dxa"/>
            <w:tcMar>
              <w:left w:w="28" w:type="dxa"/>
              <w:right w:w="28" w:type="dxa"/>
            </w:tcMar>
            <w:hideMark/>
          </w:tcPr>
          <w:p w14:paraId="19DCAA83" w14:textId="77777777" w:rsidR="00FF3E63" w:rsidRPr="00B42397" w:rsidRDefault="00FF3E63" w:rsidP="007D7A5C">
            <w:pPr>
              <w:pStyle w:val="Tabletext"/>
              <w:spacing w:line="256" w:lineRule="auto"/>
              <w:jc w:val="center"/>
              <w:rPr>
                <w:b/>
                <w:iCs/>
              </w:rPr>
            </w:pPr>
            <w:r w:rsidRPr="00B42397">
              <w:rPr>
                <w:rFonts w:cs="Arial"/>
                <w:b/>
                <w:iCs/>
                <w:color w:val="000000"/>
                <w:szCs w:val="20"/>
              </w:rPr>
              <w:t>$</w:t>
            </w:r>
            <w:r w:rsidR="00B51893">
              <w:rPr>
                <w:rFonts w:cs="Arial"/>
                <w:b/>
                <w:iCs/>
                <w:noProof/>
                <w:color w:val="000000"/>
                <w:szCs w:val="20"/>
                <w:highlight w:val="black"/>
              </w:rPr>
              <w:t>''''''''''''''''''</w:t>
            </w:r>
            <w:r w:rsidR="00396170" w:rsidRPr="00396170">
              <w:rPr>
                <w:rFonts w:cs="Arial"/>
                <w:iCs/>
                <w:color w:val="000000"/>
                <w:szCs w:val="20"/>
                <w:vertAlign w:val="superscript"/>
              </w:rPr>
              <w:t>1</w:t>
            </w:r>
          </w:p>
        </w:tc>
        <w:tc>
          <w:tcPr>
            <w:tcW w:w="1080" w:type="dxa"/>
            <w:tcMar>
              <w:left w:w="28" w:type="dxa"/>
              <w:right w:w="28" w:type="dxa"/>
            </w:tcMar>
            <w:hideMark/>
          </w:tcPr>
          <w:p w14:paraId="41861E55" w14:textId="77777777" w:rsidR="00FF3E63" w:rsidRPr="00B42397" w:rsidRDefault="00FF3E63" w:rsidP="007D7A5C">
            <w:pPr>
              <w:pStyle w:val="Tabletext"/>
              <w:spacing w:line="256" w:lineRule="auto"/>
              <w:jc w:val="center"/>
              <w:rPr>
                <w:b/>
                <w:iCs/>
              </w:rPr>
            </w:pPr>
            <w:r w:rsidRPr="00B42397">
              <w:rPr>
                <w:rFonts w:cs="Arial"/>
                <w:b/>
                <w:iCs/>
                <w:color w:val="000000"/>
                <w:szCs w:val="20"/>
              </w:rPr>
              <w:t>$</w:t>
            </w:r>
            <w:r w:rsidR="00B51893">
              <w:rPr>
                <w:rFonts w:cs="Arial"/>
                <w:b/>
                <w:iCs/>
                <w:noProof/>
                <w:color w:val="000000"/>
                <w:szCs w:val="20"/>
                <w:highlight w:val="black"/>
              </w:rPr>
              <w:t>'''''''''''''''''''</w:t>
            </w:r>
            <w:r w:rsidR="00396170" w:rsidRPr="00396170">
              <w:rPr>
                <w:rFonts w:cs="Arial"/>
                <w:iCs/>
                <w:color w:val="000000"/>
                <w:szCs w:val="20"/>
                <w:vertAlign w:val="superscript"/>
              </w:rPr>
              <w:t>1</w:t>
            </w:r>
          </w:p>
        </w:tc>
        <w:tc>
          <w:tcPr>
            <w:tcW w:w="1080" w:type="dxa"/>
            <w:tcMar>
              <w:left w:w="28" w:type="dxa"/>
              <w:right w:w="28" w:type="dxa"/>
            </w:tcMar>
            <w:hideMark/>
          </w:tcPr>
          <w:p w14:paraId="51468C4D" w14:textId="77777777" w:rsidR="00FF3E63" w:rsidRPr="00B42397" w:rsidRDefault="00FF3E63" w:rsidP="007D7A5C">
            <w:pPr>
              <w:pStyle w:val="Tabletext"/>
              <w:spacing w:line="256" w:lineRule="auto"/>
              <w:jc w:val="center"/>
              <w:rPr>
                <w:b/>
                <w:iCs/>
              </w:rPr>
            </w:pPr>
            <w:r w:rsidRPr="00B42397">
              <w:rPr>
                <w:rFonts w:cs="Arial"/>
                <w:b/>
                <w:iCs/>
                <w:color w:val="000000"/>
                <w:szCs w:val="20"/>
              </w:rPr>
              <w:t>$</w:t>
            </w:r>
            <w:r w:rsidR="00B51893">
              <w:rPr>
                <w:rFonts w:cs="Arial"/>
                <w:b/>
                <w:iCs/>
                <w:noProof/>
                <w:color w:val="000000"/>
                <w:szCs w:val="20"/>
                <w:highlight w:val="black"/>
              </w:rPr>
              <w:t>'''''''''''''''''''</w:t>
            </w:r>
            <w:r w:rsidR="00396170" w:rsidRPr="00396170">
              <w:rPr>
                <w:rFonts w:cs="Arial"/>
                <w:iCs/>
                <w:color w:val="000000"/>
                <w:szCs w:val="20"/>
                <w:vertAlign w:val="superscript"/>
              </w:rPr>
              <w:t>1</w:t>
            </w:r>
          </w:p>
        </w:tc>
        <w:tc>
          <w:tcPr>
            <w:tcW w:w="1098" w:type="dxa"/>
            <w:tcMar>
              <w:left w:w="28" w:type="dxa"/>
              <w:right w:w="28" w:type="dxa"/>
            </w:tcMar>
            <w:hideMark/>
          </w:tcPr>
          <w:p w14:paraId="1A81559E" w14:textId="77777777" w:rsidR="00FF3E63" w:rsidRPr="00B42397" w:rsidRDefault="00FF3E63" w:rsidP="007D7A5C">
            <w:pPr>
              <w:pStyle w:val="Tabletext"/>
              <w:spacing w:line="256" w:lineRule="auto"/>
              <w:jc w:val="center"/>
              <w:rPr>
                <w:b/>
                <w:iCs/>
              </w:rPr>
            </w:pPr>
            <w:r w:rsidRPr="00B42397">
              <w:rPr>
                <w:rFonts w:cs="Arial"/>
                <w:b/>
                <w:iCs/>
                <w:color w:val="000000"/>
                <w:szCs w:val="20"/>
              </w:rPr>
              <w:t>$</w:t>
            </w:r>
            <w:r w:rsidR="00B51893">
              <w:rPr>
                <w:rFonts w:cs="Arial"/>
                <w:b/>
                <w:iCs/>
                <w:noProof/>
                <w:color w:val="000000"/>
                <w:szCs w:val="20"/>
                <w:highlight w:val="black"/>
              </w:rPr>
              <w:t>''''''''''''''''''''</w:t>
            </w:r>
            <w:r w:rsidR="00396170" w:rsidRPr="00396170">
              <w:rPr>
                <w:rFonts w:cs="Arial"/>
                <w:iCs/>
                <w:color w:val="000000"/>
                <w:szCs w:val="20"/>
                <w:vertAlign w:val="superscript"/>
              </w:rPr>
              <w:t>1</w:t>
            </w:r>
          </w:p>
        </w:tc>
        <w:tc>
          <w:tcPr>
            <w:tcW w:w="1084" w:type="dxa"/>
            <w:tcMar>
              <w:left w:w="28" w:type="dxa"/>
              <w:right w:w="28" w:type="dxa"/>
            </w:tcMar>
            <w:hideMark/>
          </w:tcPr>
          <w:p w14:paraId="6EBE5A99" w14:textId="77777777" w:rsidR="00FF3E63" w:rsidRPr="00B42397" w:rsidRDefault="00FF3E63" w:rsidP="007D7A5C">
            <w:pPr>
              <w:pStyle w:val="Tabletext"/>
              <w:spacing w:line="256" w:lineRule="auto"/>
              <w:jc w:val="center"/>
              <w:rPr>
                <w:b/>
                <w:iCs/>
              </w:rPr>
            </w:pPr>
            <w:r w:rsidRPr="00B42397">
              <w:rPr>
                <w:rFonts w:cs="Arial"/>
                <w:b/>
                <w:iCs/>
                <w:color w:val="000000"/>
                <w:szCs w:val="20"/>
              </w:rPr>
              <w:t>$</w:t>
            </w:r>
            <w:r w:rsidR="00B51893">
              <w:rPr>
                <w:rFonts w:cs="Arial"/>
                <w:b/>
                <w:iCs/>
                <w:noProof/>
                <w:color w:val="000000"/>
                <w:szCs w:val="20"/>
                <w:highlight w:val="black"/>
              </w:rPr>
              <w:t>'''''''''''''''''''''</w:t>
            </w:r>
            <w:r w:rsidR="00396170" w:rsidRPr="00396170">
              <w:rPr>
                <w:rFonts w:cs="Arial"/>
                <w:iCs/>
                <w:color w:val="000000"/>
                <w:szCs w:val="20"/>
                <w:vertAlign w:val="superscript"/>
              </w:rPr>
              <w:t>1</w:t>
            </w:r>
          </w:p>
        </w:tc>
      </w:tr>
      <w:tr w:rsidR="00AC2F00" w:rsidRPr="00B42397" w14:paraId="1EE399C0" w14:textId="77777777" w:rsidTr="00046855">
        <w:tc>
          <w:tcPr>
            <w:tcW w:w="2515" w:type="dxa"/>
            <w:tcMar>
              <w:left w:w="28" w:type="dxa"/>
              <w:right w:w="28" w:type="dxa"/>
            </w:tcMar>
            <w:hideMark/>
          </w:tcPr>
          <w:p w14:paraId="6CBD25AA" w14:textId="77777777" w:rsidR="00AC2F00" w:rsidRPr="00B42397" w:rsidRDefault="00AC2F00" w:rsidP="00AC2F00">
            <w:pPr>
              <w:pStyle w:val="Tabletext"/>
              <w:spacing w:line="256" w:lineRule="auto"/>
            </w:pPr>
            <w:r w:rsidRPr="00B42397">
              <w:t>Increase uptake rate (double</w:t>
            </w:r>
            <w:r w:rsidR="00C75504" w:rsidRPr="00B42397">
              <w:t>d</w:t>
            </w:r>
            <w:r w:rsidRPr="00B42397">
              <w:t>)</w:t>
            </w:r>
          </w:p>
        </w:tc>
        <w:tc>
          <w:tcPr>
            <w:tcW w:w="1080" w:type="dxa"/>
            <w:tcMar>
              <w:left w:w="28" w:type="dxa"/>
              <w:right w:w="28" w:type="dxa"/>
            </w:tcMar>
            <w:hideMark/>
          </w:tcPr>
          <w:p w14:paraId="2F5AE7E4"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396170" w:rsidRPr="00396170">
              <w:rPr>
                <w:rFonts w:cs="Arial"/>
                <w:iCs/>
                <w:color w:val="000000"/>
                <w:szCs w:val="20"/>
                <w:vertAlign w:val="superscript"/>
              </w:rPr>
              <w:t>1</w:t>
            </w:r>
          </w:p>
        </w:tc>
        <w:tc>
          <w:tcPr>
            <w:tcW w:w="1080" w:type="dxa"/>
            <w:tcMar>
              <w:left w:w="28" w:type="dxa"/>
              <w:right w:w="28" w:type="dxa"/>
            </w:tcMar>
            <w:hideMark/>
          </w:tcPr>
          <w:p w14:paraId="4D7ED67E"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c>
          <w:tcPr>
            <w:tcW w:w="1080" w:type="dxa"/>
            <w:tcMar>
              <w:left w:w="28" w:type="dxa"/>
              <w:right w:w="28" w:type="dxa"/>
            </w:tcMar>
            <w:hideMark/>
          </w:tcPr>
          <w:p w14:paraId="15F77040"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c>
          <w:tcPr>
            <w:tcW w:w="1080" w:type="dxa"/>
            <w:tcMar>
              <w:left w:w="28" w:type="dxa"/>
              <w:right w:w="28" w:type="dxa"/>
            </w:tcMar>
            <w:hideMark/>
          </w:tcPr>
          <w:p w14:paraId="5099FDDF"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c>
          <w:tcPr>
            <w:tcW w:w="1098" w:type="dxa"/>
            <w:tcMar>
              <w:left w:w="28" w:type="dxa"/>
              <w:right w:w="28" w:type="dxa"/>
            </w:tcMar>
            <w:hideMark/>
          </w:tcPr>
          <w:p w14:paraId="3EAD3DD0"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c>
          <w:tcPr>
            <w:tcW w:w="1084" w:type="dxa"/>
            <w:tcMar>
              <w:left w:w="28" w:type="dxa"/>
              <w:right w:w="28" w:type="dxa"/>
            </w:tcMar>
            <w:hideMark/>
          </w:tcPr>
          <w:p w14:paraId="17291A53"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r>
      <w:tr w:rsidR="00AC2F00" w:rsidRPr="00B42397" w14:paraId="0FA07F74" w14:textId="77777777" w:rsidTr="00046855">
        <w:tc>
          <w:tcPr>
            <w:tcW w:w="2515" w:type="dxa"/>
            <w:tcMar>
              <w:left w:w="28" w:type="dxa"/>
              <w:right w:w="28" w:type="dxa"/>
            </w:tcMar>
            <w:hideMark/>
          </w:tcPr>
          <w:p w14:paraId="1C8E2C0D" w14:textId="77777777" w:rsidR="00AC2F00" w:rsidRPr="00B42397" w:rsidRDefault="00AC2F00" w:rsidP="00AC2F00">
            <w:pPr>
              <w:pStyle w:val="Tabletext"/>
              <w:spacing w:line="256" w:lineRule="auto"/>
            </w:pPr>
            <w:r w:rsidRPr="00B42397">
              <w:t>Reduce uptake rate (halve</w:t>
            </w:r>
            <w:r w:rsidR="00C75504" w:rsidRPr="00B42397">
              <w:t>d</w:t>
            </w:r>
            <w:r w:rsidRPr="00B42397">
              <w:t>)</w:t>
            </w:r>
          </w:p>
        </w:tc>
        <w:tc>
          <w:tcPr>
            <w:tcW w:w="1080" w:type="dxa"/>
            <w:tcMar>
              <w:left w:w="28" w:type="dxa"/>
              <w:right w:w="28" w:type="dxa"/>
            </w:tcMar>
            <w:hideMark/>
          </w:tcPr>
          <w:p w14:paraId="153CA546"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396170" w:rsidRPr="00396170">
              <w:rPr>
                <w:rFonts w:cs="Arial"/>
                <w:iCs/>
                <w:color w:val="000000"/>
                <w:szCs w:val="20"/>
                <w:vertAlign w:val="superscript"/>
              </w:rPr>
              <w:t>1</w:t>
            </w:r>
          </w:p>
        </w:tc>
        <w:tc>
          <w:tcPr>
            <w:tcW w:w="1080" w:type="dxa"/>
            <w:tcMar>
              <w:left w:w="28" w:type="dxa"/>
              <w:right w:w="28" w:type="dxa"/>
            </w:tcMar>
            <w:hideMark/>
          </w:tcPr>
          <w:p w14:paraId="529D2AE5"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c>
          <w:tcPr>
            <w:tcW w:w="1080" w:type="dxa"/>
            <w:tcMar>
              <w:left w:w="28" w:type="dxa"/>
              <w:right w:w="28" w:type="dxa"/>
            </w:tcMar>
            <w:hideMark/>
          </w:tcPr>
          <w:p w14:paraId="7283836E"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c>
          <w:tcPr>
            <w:tcW w:w="1080" w:type="dxa"/>
            <w:tcMar>
              <w:left w:w="28" w:type="dxa"/>
              <w:right w:w="28" w:type="dxa"/>
            </w:tcMar>
            <w:hideMark/>
          </w:tcPr>
          <w:p w14:paraId="3A5616E9"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c>
          <w:tcPr>
            <w:tcW w:w="1098" w:type="dxa"/>
            <w:tcMar>
              <w:left w:w="28" w:type="dxa"/>
              <w:right w:w="28" w:type="dxa"/>
            </w:tcMar>
            <w:hideMark/>
          </w:tcPr>
          <w:p w14:paraId="13B9BD8B"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c>
          <w:tcPr>
            <w:tcW w:w="1084" w:type="dxa"/>
            <w:tcMar>
              <w:left w:w="28" w:type="dxa"/>
              <w:right w:w="28" w:type="dxa"/>
            </w:tcMar>
            <w:hideMark/>
          </w:tcPr>
          <w:p w14:paraId="57A92941" w14:textId="77777777" w:rsidR="00AC2F00" w:rsidRPr="00B42397" w:rsidRDefault="00AC2F00" w:rsidP="007D7A5C">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r>
      <w:tr w:rsidR="00AC2F00" w:rsidRPr="00B42397" w14:paraId="49D2D14A" w14:textId="77777777" w:rsidTr="00046855">
        <w:tc>
          <w:tcPr>
            <w:tcW w:w="2515" w:type="dxa"/>
            <w:tcMar>
              <w:left w:w="28" w:type="dxa"/>
              <w:right w:w="28" w:type="dxa"/>
            </w:tcMar>
            <w:hideMark/>
          </w:tcPr>
          <w:p w14:paraId="1B463AA4" w14:textId="77777777" w:rsidR="00AC2F00" w:rsidRPr="00B42397" w:rsidRDefault="00AC2F00" w:rsidP="00AC2F00">
            <w:pPr>
              <w:pStyle w:val="Tabletext"/>
              <w:spacing w:line="256" w:lineRule="auto"/>
            </w:pPr>
            <w:r w:rsidRPr="00B42397">
              <w:t xml:space="preserve">DOT Cd = 18.1 </w:t>
            </w:r>
            <w:proofErr w:type="spellStart"/>
            <w:r w:rsidRPr="00B42397">
              <w:t>cycles</w:t>
            </w:r>
            <w:r w:rsidR="001B19D2" w:rsidRPr="00B42397">
              <w:rPr>
                <w:vertAlign w:val="superscript"/>
              </w:rPr>
              <w:t>a</w:t>
            </w:r>
            <w:proofErr w:type="spellEnd"/>
            <w:r w:rsidRPr="00B42397">
              <w:t xml:space="preserve"> (base case = 28.6 cycles)</w:t>
            </w:r>
          </w:p>
        </w:tc>
        <w:tc>
          <w:tcPr>
            <w:tcW w:w="1080" w:type="dxa"/>
            <w:shd w:val="clear" w:color="auto" w:fill="auto"/>
            <w:tcMar>
              <w:left w:w="28" w:type="dxa"/>
              <w:right w:w="28" w:type="dxa"/>
            </w:tcMar>
            <w:vAlign w:val="center"/>
          </w:tcPr>
          <w:p w14:paraId="70447393" w14:textId="77777777" w:rsidR="00AC2F00" w:rsidRPr="00B42397" w:rsidRDefault="00AC2F00" w:rsidP="00AC2F00">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396170" w:rsidRPr="00396170">
              <w:rPr>
                <w:rFonts w:cs="Arial"/>
                <w:iCs/>
                <w:color w:val="000000"/>
                <w:szCs w:val="20"/>
                <w:vertAlign w:val="superscript"/>
              </w:rPr>
              <w:t>1</w:t>
            </w:r>
          </w:p>
        </w:tc>
        <w:tc>
          <w:tcPr>
            <w:tcW w:w="1080" w:type="dxa"/>
            <w:shd w:val="clear" w:color="auto" w:fill="auto"/>
            <w:tcMar>
              <w:left w:w="28" w:type="dxa"/>
              <w:right w:w="28" w:type="dxa"/>
            </w:tcMar>
            <w:vAlign w:val="center"/>
          </w:tcPr>
          <w:p w14:paraId="0D12D1FB" w14:textId="77777777" w:rsidR="00AC2F00" w:rsidRPr="00B42397" w:rsidRDefault="00AC2F00" w:rsidP="00AC2F00">
            <w:pPr>
              <w:pStyle w:val="Tabletext"/>
              <w:spacing w:line="256" w:lineRule="auto"/>
              <w:jc w:val="center"/>
              <w:rPr>
                <w:iCs/>
              </w:rPr>
            </w:pPr>
            <w:r w:rsidRPr="00B42397">
              <w:rPr>
                <w:rFonts w:cs="Arial"/>
                <w:iCs/>
                <w:color w:val="000000"/>
                <w:szCs w:val="20"/>
              </w:rPr>
              <w:t>$</w:t>
            </w:r>
            <w:r w:rsidR="00B51893">
              <w:rPr>
                <w:rFonts w:cs="Arial"/>
                <w:iCs/>
                <w:noProof/>
                <w:color w:val="000000"/>
                <w:szCs w:val="20"/>
                <w:highlight w:val="black"/>
              </w:rPr>
              <w:t>'''''''''''''''''''''''</w:t>
            </w:r>
            <w:r w:rsidR="002B7C1C" w:rsidRPr="00396170">
              <w:rPr>
                <w:rFonts w:cs="Arial"/>
                <w:iCs/>
                <w:color w:val="000000"/>
                <w:szCs w:val="20"/>
                <w:vertAlign w:val="superscript"/>
              </w:rPr>
              <w:t>1</w:t>
            </w:r>
          </w:p>
        </w:tc>
        <w:tc>
          <w:tcPr>
            <w:tcW w:w="1080" w:type="dxa"/>
            <w:shd w:val="clear" w:color="auto" w:fill="auto"/>
            <w:tcMar>
              <w:left w:w="28" w:type="dxa"/>
              <w:right w:w="28" w:type="dxa"/>
            </w:tcMar>
            <w:vAlign w:val="center"/>
          </w:tcPr>
          <w:p w14:paraId="260E3C2A" w14:textId="77777777" w:rsidR="00AC2F00" w:rsidRPr="002B7C1C" w:rsidRDefault="00AC2F00" w:rsidP="00AC2F00">
            <w:pPr>
              <w:pStyle w:val="Tabletext"/>
              <w:spacing w:line="256" w:lineRule="auto"/>
              <w:jc w:val="center"/>
              <w:rPr>
                <w:iCs/>
                <w:vertAlign w:val="superscript"/>
              </w:rPr>
            </w:pPr>
            <w:r w:rsidRPr="00B42397">
              <w:rPr>
                <w:rFonts w:cs="Arial"/>
                <w:iCs/>
                <w:color w:val="000000"/>
                <w:szCs w:val="20"/>
              </w:rPr>
              <w:t>$</w:t>
            </w:r>
            <w:r w:rsidR="00B51893">
              <w:rPr>
                <w:rFonts w:cs="Arial"/>
                <w:iCs/>
                <w:noProof/>
                <w:color w:val="000000"/>
                <w:szCs w:val="20"/>
                <w:highlight w:val="black"/>
              </w:rPr>
              <w:t>''''''''''''''''''''''''''</w:t>
            </w:r>
            <w:r w:rsidR="002B7C1C">
              <w:rPr>
                <w:rFonts w:cs="Arial"/>
                <w:iCs/>
                <w:color w:val="000000"/>
                <w:szCs w:val="20"/>
                <w:vertAlign w:val="superscript"/>
              </w:rPr>
              <w:t>2</w:t>
            </w:r>
          </w:p>
        </w:tc>
        <w:tc>
          <w:tcPr>
            <w:tcW w:w="1080" w:type="dxa"/>
            <w:shd w:val="clear" w:color="auto" w:fill="auto"/>
            <w:tcMar>
              <w:left w:w="28" w:type="dxa"/>
              <w:right w:w="28" w:type="dxa"/>
            </w:tcMar>
            <w:vAlign w:val="center"/>
          </w:tcPr>
          <w:p w14:paraId="0B26D0A8" w14:textId="77777777" w:rsidR="00AC2F00" w:rsidRPr="002B7C1C" w:rsidRDefault="00AC2F00" w:rsidP="00AC2F00">
            <w:pPr>
              <w:pStyle w:val="Tabletext"/>
              <w:spacing w:line="256" w:lineRule="auto"/>
              <w:jc w:val="center"/>
              <w:rPr>
                <w:iCs/>
                <w:vertAlign w:val="superscript"/>
              </w:rPr>
            </w:pPr>
            <w:r w:rsidRPr="00B42397">
              <w:rPr>
                <w:rFonts w:cs="Arial"/>
                <w:iCs/>
                <w:color w:val="000000"/>
                <w:szCs w:val="20"/>
              </w:rPr>
              <w:t>$</w:t>
            </w:r>
            <w:r w:rsidR="00B51893">
              <w:rPr>
                <w:rFonts w:cs="Arial"/>
                <w:iCs/>
                <w:noProof/>
                <w:color w:val="000000"/>
                <w:szCs w:val="20"/>
                <w:highlight w:val="black"/>
              </w:rPr>
              <w:t>''''''''''''''''''''''''</w:t>
            </w:r>
            <w:r w:rsidR="002B7C1C">
              <w:rPr>
                <w:rFonts w:cs="Arial"/>
                <w:iCs/>
                <w:color w:val="000000"/>
                <w:szCs w:val="20"/>
                <w:vertAlign w:val="superscript"/>
              </w:rPr>
              <w:t>2</w:t>
            </w:r>
          </w:p>
        </w:tc>
        <w:tc>
          <w:tcPr>
            <w:tcW w:w="1098" w:type="dxa"/>
            <w:shd w:val="clear" w:color="auto" w:fill="auto"/>
            <w:tcMar>
              <w:left w:w="28" w:type="dxa"/>
              <w:right w:w="28" w:type="dxa"/>
            </w:tcMar>
            <w:vAlign w:val="center"/>
          </w:tcPr>
          <w:p w14:paraId="6B1F75C0" w14:textId="77777777" w:rsidR="00AC2F00" w:rsidRPr="002B7C1C" w:rsidRDefault="00AC2F00" w:rsidP="00AC2F00">
            <w:pPr>
              <w:pStyle w:val="Tabletext"/>
              <w:spacing w:line="256" w:lineRule="auto"/>
              <w:jc w:val="center"/>
              <w:rPr>
                <w:iCs/>
                <w:vertAlign w:val="superscript"/>
              </w:rPr>
            </w:pPr>
            <w:r w:rsidRPr="00B42397">
              <w:rPr>
                <w:rFonts w:cs="Arial"/>
                <w:iCs/>
                <w:color w:val="000000"/>
                <w:szCs w:val="20"/>
              </w:rPr>
              <w:t>$</w:t>
            </w:r>
            <w:r w:rsidR="00B51893">
              <w:rPr>
                <w:rFonts w:cs="Arial"/>
                <w:iCs/>
                <w:noProof/>
                <w:color w:val="000000"/>
                <w:szCs w:val="20"/>
                <w:highlight w:val="black"/>
              </w:rPr>
              <w:t>'''''''''''''''''''''''''</w:t>
            </w:r>
            <w:r w:rsidR="00022EDF">
              <w:rPr>
                <w:rFonts w:cs="Arial"/>
                <w:iCs/>
                <w:color w:val="000000"/>
                <w:szCs w:val="20"/>
                <w:vertAlign w:val="superscript"/>
              </w:rPr>
              <w:t>3</w:t>
            </w:r>
          </w:p>
        </w:tc>
        <w:tc>
          <w:tcPr>
            <w:tcW w:w="1084" w:type="dxa"/>
            <w:shd w:val="clear" w:color="auto" w:fill="auto"/>
            <w:tcMar>
              <w:left w:w="28" w:type="dxa"/>
              <w:right w:w="28" w:type="dxa"/>
            </w:tcMar>
            <w:vAlign w:val="center"/>
          </w:tcPr>
          <w:p w14:paraId="30F533D9" w14:textId="77777777" w:rsidR="00AC2F00" w:rsidRPr="002B7C1C" w:rsidRDefault="00AC2F00" w:rsidP="00AC2F00">
            <w:pPr>
              <w:pStyle w:val="Tabletext"/>
              <w:spacing w:line="256" w:lineRule="auto"/>
              <w:jc w:val="center"/>
              <w:rPr>
                <w:iCs/>
                <w:vertAlign w:val="superscript"/>
              </w:rPr>
            </w:pPr>
            <w:r w:rsidRPr="00B42397">
              <w:rPr>
                <w:rFonts w:cs="Arial"/>
                <w:iCs/>
                <w:color w:val="000000"/>
                <w:szCs w:val="20"/>
              </w:rPr>
              <w:t>$</w:t>
            </w:r>
            <w:r w:rsidR="00B51893">
              <w:rPr>
                <w:rFonts w:cs="Arial"/>
                <w:iCs/>
                <w:noProof/>
                <w:color w:val="000000"/>
                <w:szCs w:val="20"/>
                <w:highlight w:val="black"/>
              </w:rPr>
              <w:t>''''''''''''''''''''''''''</w:t>
            </w:r>
            <w:r w:rsidR="00022EDF">
              <w:rPr>
                <w:rFonts w:cs="Arial"/>
                <w:iCs/>
                <w:color w:val="000000"/>
                <w:szCs w:val="20"/>
                <w:vertAlign w:val="superscript"/>
              </w:rPr>
              <w:t>3</w:t>
            </w:r>
          </w:p>
        </w:tc>
      </w:tr>
      <w:tr w:rsidR="00AC2F00" w:rsidRPr="00B42397" w14:paraId="17910C76" w14:textId="77777777" w:rsidTr="00046855">
        <w:trPr>
          <w:trHeight w:val="494"/>
        </w:trPr>
        <w:tc>
          <w:tcPr>
            <w:tcW w:w="2515" w:type="dxa"/>
            <w:tcMar>
              <w:left w:w="28" w:type="dxa"/>
              <w:right w:w="28" w:type="dxa"/>
            </w:tcMar>
            <w:vAlign w:val="center"/>
          </w:tcPr>
          <w:p w14:paraId="37B3EC55" w14:textId="77777777" w:rsidR="00AC2F00" w:rsidRPr="00B42397" w:rsidRDefault="00AC2F00" w:rsidP="00E7737B">
            <w:pPr>
              <w:pStyle w:val="Tabletext"/>
              <w:spacing w:line="256" w:lineRule="auto"/>
              <w:rPr>
                <w:iCs/>
              </w:rPr>
            </w:pPr>
            <w:r w:rsidRPr="00B42397">
              <w:rPr>
                <w:iCs/>
              </w:rPr>
              <w:t xml:space="preserve">Elotuzumab AEMP (400 mg vial) </w:t>
            </w:r>
            <w:r w:rsidR="00E7737B" w:rsidRPr="00B42397">
              <w:rPr>
                <w:iCs/>
              </w:rPr>
              <w:t>=</w:t>
            </w:r>
            <w:r w:rsidRPr="00B42397">
              <w:rPr>
                <w:iCs/>
              </w:rPr>
              <w:t xml:space="preserve"> $809.62</w:t>
            </w:r>
            <w:r w:rsidR="001B19D2" w:rsidRPr="00B42397">
              <w:rPr>
                <w:iCs/>
                <w:vertAlign w:val="superscript"/>
              </w:rPr>
              <w:t>b</w:t>
            </w:r>
            <w:r w:rsidRPr="00B42397">
              <w:rPr>
                <w:iCs/>
              </w:rPr>
              <w:t xml:space="preserve"> (base case = $879.28)</w:t>
            </w:r>
          </w:p>
        </w:tc>
        <w:tc>
          <w:tcPr>
            <w:tcW w:w="1080" w:type="dxa"/>
            <w:shd w:val="clear" w:color="auto" w:fill="auto"/>
            <w:tcMar>
              <w:left w:w="28" w:type="dxa"/>
              <w:right w:w="28" w:type="dxa"/>
            </w:tcMar>
            <w:vAlign w:val="center"/>
          </w:tcPr>
          <w:p w14:paraId="0C7E5AAA" w14:textId="77777777" w:rsidR="00AC2F00" w:rsidRPr="00B42397" w:rsidRDefault="00AC2F00" w:rsidP="00FD198F">
            <w:pPr>
              <w:pStyle w:val="Tabletext"/>
              <w:spacing w:line="256" w:lineRule="auto"/>
              <w:jc w:val="center"/>
              <w:rPr>
                <w:rFonts w:cs="Arial"/>
                <w:iCs/>
                <w:color w:val="000000"/>
                <w:szCs w:val="20"/>
              </w:rPr>
            </w:pPr>
            <w:r w:rsidRPr="00B42397">
              <w:rPr>
                <w:rFonts w:cs="Arial"/>
                <w:iCs/>
                <w:color w:val="000000"/>
                <w:szCs w:val="20"/>
              </w:rPr>
              <w:t>$</w:t>
            </w:r>
            <w:r w:rsidR="00B51893">
              <w:rPr>
                <w:rFonts w:cs="Arial"/>
                <w:iCs/>
                <w:noProof/>
                <w:color w:val="000000"/>
                <w:szCs w:val="20"/>
                <w:highlight w:val="black"/>
              </w:rPr>
              <w:t>''''''''''''''''''''</w:t>
            </w:r>
            <w:r w:rsidR="00396170" w:rsidRPr="00396170">
              <w:rPr>
                <w:rFonts w:cs="Arial"/>
                <w:iCs/>
                <w:color w:val="000000"/>
                <w:szCs w:val="20"/>
                <w:vertAlign w:val="superscript"/>
              </w:rPr>
              <w:t>1</w:t>
            </w:r>
          </w:p>
        </w:tc>
        <w:tc>
          <w:tcPr>
            <w:tcW w:w="1080" w:type="dxa"/>
            <w:shd w:val="clear" w:color="auto" w:fill="auto"/>
            <w:tcMar>
              <w:left w:w="28" w:type="dxa"/>
              <w:right w:w="28" w:type="dxa"/>
            </w:tcMar>
            <w:vAlign w:val="center"/>
          </w:tcPr>
          <w:p w14:paraId="6668E0CE" w14:textId="77777777" w:rsidR="00AC2F00" w:rsidRPr="00B42397" w:rsidRDefault="00AC2F00" w:rsidP="00FD198F">
            <w:pPr>
              <w:pStyle w:val="Tabletext"/>
              <w:spacing w:line="256" w:lineRule="auto"/>
              <w:jc w:val="center"/>
              <w:rPr>
                <w:rFonts w:cs="Arial"/>
                <w:iCs/>
                <w:color w:val="000000"/>
                <w:szCs w:val="20"/>
              </w:rPr>
            </w:pPr>
            <w:r w:rsidRPr="00B42397">
              <w:rPr>
                <w:rFonts w:cs="Arial"/>
                <w:iCs/>
                <w:color w:val="000000"/>
                <w:szCs w:val="20"/>
              </w:rPr>
              <w:t>$</w:t>
            </w:r>
            <w:r w:rsidR="00B51893">
              <w:rPr>
                <w:rFonts w:cs="Arial"/>
                <w:iCs/>
                <w:noProof/>
                <w:color w:val="000000"/>
                <w:szCs w:val="20"/>
                <w:highlight w:val="black"/>
              </w:rPr>
              <w:t>'''''''''''''''''''</w:t>
            </w:r>
            <w:r w:rsidR="00396170" w:rsidRPr="00396170">
              <w:rPr>
                <w:rFonts w:cs="Arial"/>
                <w:iCs/>
                <w:color w:val="000000"/>
                <w:szCs w:val="20"/>
                <w:vertAlign w:val="superscript"/>
              </w:rPr>
              <w:t>1</w:t>
            </w:r>
          </w:p>
        </w:tc>
        <w:tc>
          <w:tcPr>
            <w:tcW w:w="1080" w:type="dxa"/>
            <w:shd w:val="clear" w:color="auto" w:fill="auto"/>
            <w:tcMar>
              <w:left w:w="28" w:type="dxa"/>
              <w:right w:w="28" w:type="dxa"/>
            </w:tcMar>
            <w:vAlign w:val="center"/>
          </w:tcPr>
          <w:p w14:paraId="60852FC0" w14:textId="77777777" w:rsidR="00AC2F00" w:rsidRPr="00B42397" w:rsidRDefault="00AC2F00" w:rsidP="00FD198F">
            <w:pPr>
              <w:pStyle w:val="Tabletext"/>
              <w:spacing w:line="256" w:lineRule="auto"/>
              <w:jc w:val="center"/>
              <w:rPr>
                <w:rFonts w:cs="Arial"/>
                <w:iCs/>
                <w:color w:val="000000"/>
                <w:szCs w:val="20"/>
              </w:rPr>
            </w:pPr>
            <w:r w:rsidRPr="00B42397">
              <w:rPr>
                <w:rFonts w:cs="Arial"/>
                <w:iCs/>
                <w:color w:val="000000"/>
                <w:szCs w:val="20"/>
              </w:rPr>
              <w:t>$</w:t>
            </w:r>
            <w:r w:rsidR="00B51893">
              <w:rPr>
                <w:rFonts w:cs="Arial"/>
                <w:iCs/>
                <w:noProof/>
                <w:color w:val="000000"/>
                <w:szCs w:val="20"/>
                <w:highlight w:val="black"/>
              </w:rPr>
              <w:t>''''''''''''''''''''''</w:t>
            </w:r>
            <w:r w:rsidR="00396170" w:rsidRPr="00396170">
              <w:rPr>
                <w:rFonts w:cs="Arial"/>
                <w:iCs/>
                <w:color w:val="000000"/>
                <w:szCs w:val="20"/>
                <w:vertAlign w:val="superscript"/>
              </w:rPr>
              <w:t>1</w:t>
            </w:r>
          </w:p>
        </w:tc>
        <w:tc>
          <w:tcPr>
            <w:tcW w:w="1080" w:type="dxa"/>
            <w:shd w:val="clear" w:color="auto" w:fill="auto"/>
            <w:tcMar>
              <w:left w:w="28" w:type="dxa"/>
              <w:right w:w="28" w:type="dxa"/>
            </w:tcMar>
            <w:vAlign w:val="center"/>
          </w:tcPr>
          <w:p w14:paraId="7085CEAF" w14:textId="77777777" w:rsidR="00AC2F00" w:rsidRPr="00B42397" w:rsidRDefault="00AC2F00" w:rsidP="00FD198F">
            <w:pPr>
              <w:pStyle w:val="Tabletext"/>
              <w:spacing w:line="256" w:lineRule="auto"/>
              <w:jc w:val="center"/>
              <w:rPr>
                <w:rFonts w:cs="Arial"/>
                <w:iCs/>
                <w:color w:val="000000"/>
                <w:szCs w:val="20"/>
              </w:rPr>
            </w:pPr>
            <w:r w:rsidRPr="00B42397">
              <w:rPr>
                <w:rFonts w:cs="Arial"/>
                <w:iCs/>
                <w:color w:val="000000"/>
                <w:szCs w:val="20"/>
              </w:rPr>
              <w:t>$</w:t>
            </w:r>
            <w:r w:rsidR="00B51893">
              <w:rPr>
                <w:rFonts w:cs="Arial"/>
                <w:iCs/>
                <w:noProof/>
                <w:color w:val="000000"/>
                <w:szCs w:val="20"/>
                <w:highlight w:val="black"/>
              </w:rPr>
              <w:t>''''''''''''''''''</w:t>
            </w:r>
            <w:r w:rsidR="00396170" w:rsidRPr="00396170">
              <w:rPr>
                <w:rFonts w:cs="Arial"/>
                <w:iCs/>
                <w:color w:val="000000"/>
                <w:szCs w:val="20"/>
                <w:vertAlign w:val="superscript"/>
              </w:rPr>
              <w:t>1</w:t>
            </w:r>
          </w:p>
        </w:tc>
        <w:tc>
          <w:tcPr>
            <w:tcW w:w="1098" w:type="dxa"/>
            <w:shd w:val="clear" w:color="auto" w:fill="auto"/>
            <w:tcMar>
              <w:left w:w="28" w:type="dxa"/>
              <w:right w:w="28" w:type="dxa"/>
            </w:tcMar>
            <w:vAlign w:val="center"/>
          </w:tcPr>
          <w:p w14:paraId="58570C07" w14:textId="77777777" w:rsidR="00AC2F00" w:rsidRPr="00B42397" w:rsidRDefault="00AC2F00" w:rsidP="00FD198F">
            <w:pPr>
              <w:pStyle w:val="Tabletext"/>
              <w:spacing w:line="256" w:lineRule="auto"/>
              <w:jc w:val="center"/>
              <w:rPr>
                <w:rFonts w:cs="Arial"/>
                <w:iCs/>
                <w:color w:val="000000"/>
                <w:szCs w:val="20"/>
              </w:rPr>
            </w:pPr>
            <w:r w:rsidRPr="00B42397">
              <w:rPr>
                <w:rFonts w:cs="Arial"/>
                <w:iCs/>
                <w:color w:val="000000"/>
                <w:szCs w:val="20"/>
              </w:rPr>
              <w:t>$</w:t>
            </w:r>
            <w:r w:rsidR="00B51893">
              <w:rPr>
                <w:rFonts w:cs="Arial"/>
                <w:iCs/>
                <w:noProof/>
                <w:color w:val="000000"/>
                <w:szCs w:val="20"/>
                <w:highlight w:val="black"/>
              </w:rPr>
              <w:t>'''''''''''''''''''</w:t>
            </w:r>
            <w:r w:rsidR="00396170" w:rsidRPr="00396170">
              <w:rPr>
                <w:rFonts w:cs="Arial"/>
                <w:iCs/>
                <w:color w:val="000000"/>
                <w:szCs w:val="20"/>
                <w:vertAlign w:val="superscript"/>
              </w:rPr>
              <w:t>1</w:t>
            </w:r>
          </w:p>
        </w:tc>
        <w:tc>
          <w:tcPr>
            <w:tcW w:w="1084" w:type="dxa"/>
            <w:shd w:val="clear" w:color="auto" w:fill="auto"/>
            <w:tcMar>
              <w:left w:w="28" w:type="dxa"/>
              <w:right w:w="28" w:type="dxa"/>
            </w:tcMar>
            <w:vAlign w:val="center"/>
          </w:tcPr>
          <w:p w14:paraId="1E755D82" w14:textId="77777777" w:rsidR="00AC2F00" w:rsidRPr="00B42397" w:rsidRDefault="00AC2F00" w:rsidP="00FD198F">
            <w:pPr>
              <w:pStyle w:val="Tabletext"/>
              <w:spacing w:line="256" w:lineRule="auto"/>
              <w:jc w:val="center"/>
              <w:rPr>
                <w:rFonts w:cs="Arial"/>
                <w:iCs/>
                <w:color w:val="000000"/>
                <w:szCs w:val="20"/>
              </w:rPr>
            </w:pPr>
            <w:r w:rsidRPr="00B42397">
              <w:rPr>
                <w:rFonts w:cs="Arial"/>
                <w:iCs/>
                <w:color w:val="000000"/>
                <w:szCs w:val="20"/>
              </w:rPr>
              <w:t>$</w:t>
            </w:r>
            <w:r w:rsidR="00B51893">
              <w:rPr>
                <w:rFonts w:cs="Arial"/>
                <w:iCs/>
                <w:noProof/>
                <w:color w:val="000000"/>
                <w:szCs w:val="20"/>
                <w:highlight w:val="black"/>
              </w:rPr>
              <w:t>'''''''''''''''''</w:t>
            </w:r>
            <w:r w:rsidR="00396170" w:rsidRPr="00396170">
              <w:rPr>
                <w:rFonts w:cs="Arial"/>
                <w:iCs/>
                <w:color w:val="000000"/>
                <w:szCs w:val="20"/>
                <w:vertAlign w:val="superscript"/>
              </w:rPr>
              <w:t>1</w:t>
            </w:r>
          </w:p>
        </w:tc>
      </w:tr>
    </w:tbl>
    <w:p w14:paraId="3297C23E" w14:textId="77777777" w:rsidR="00C2303B" w:rsidRPr="00B42397" w:rsidRDefault="00C2303B" w:rsidP="00C2303B">
      <w:pPr>
        <w:pStyle w:val="Tablenotes"/>
        <w:rPr>
          <w:rFonts w:ascii="Arial Narrow" w:hAnsi="Arial Narrow"/>
          <w:sz w:val="18"/>
          <w:szCs w:val="18"/>
        </w:rPr>
      </w:pPr>
      <w:r w:rsidRPr="00B42397">
        <w:rPr>
          <w:rFonts w:ascii="Arial Narrow" w:hAnsi="Arial Narrow"/>
          <w:sz w:val="18"/>
          <w:szCs w:val="18"/>
        </w:rPr>
        <w:t>Source: Table 4.6.2 of the submission.</w:t>
      </w:r>
      <w:r w:rsidR="00B412E4" w:rsidRPr="00B42397">
        <w:rPr>
          <w:rFonts w:ascii="Arial Narrow" w:hAnsi="Arial Narrow"/>
          <w:sz w:val="18"/>
          <w:szCs w:val="18"/>
        </w:rPr>
        <w:t xml:space="preserve"> Values</w:t>
      </w:r>
      <w:r w:rsidR="00B412E4" w:rsidRPr="00B42397">
        <w:rPr>
          <w:rFonts w:ascii="Arial Narrow" w:hAnsi="Arial Narrow"/>
          <w:i/>
          <w:iCs/>
          <w:sz w:val="18"/>
          <w:szCs w:val="18"/>
        </w:rPr>
        <w:t xml:space="preserve"> in italics were re-estimated during evaluation. </w:t>
      </w:r>
    </w:p>
    <w:p w14:paraId="030380EB" w14:textId="77777777" w:rsidR="00C2303B" w:rsidRPr="00B42397" w:rsidRDefault="00175E4F" w:rsidP="00C2303B">
      <w:pPr>
        <w:pStyle w:val="Tablenotes"/>
        <w:rPr>
          <w:rFonts w:ascii="Arial Narrow" w:hAnsi="Arial Narrow"/>
          <w:sz w:val="18"/>
          <w:szCs w:val="18"/>
        </w:rPr>
      </w:pPr>
      <w:r w:rsidRPr="00B42397">
        <w:rPr>
          <w:rFonts w:ascii="Arial Narrow" w:hAnsi="Arial Narrow"/>
          <w:sz w:val="18"/>
          <w:szCs w:val="18"/>
        </w:rPr>
        <w:t>AEMP = a</w:t>
      </w:r>
      <w:r w:rsidR="00A459A7" w:rsidRPr="00B42397">
        <w:rPr>
          <w:rFonts w:ascii="Arial Narrow" w:hAnsi="Arial Narrow"/>
          <w:sz w:val="18"/>
          <w:szCs w:val="18"/>
        </w:rPr>
        <w:t>pproved ex-manufacturer price;</w:t>
      </w:r>
      <w:r w:rsidRPr="00B42397">
        <w:rPr>
          <w:rFonts w:ascii="Arial Narrow" w:hAnsi="Arial Narrow"/>
          <w:sz w:val="18"/>
          <w:szCs w:val="18"/>
        </w:rPr>
        <w:t xml:space="preserve"> </w:t>
      </w:r>
      <w:r w:rsidR="00C2303B" w:rsidRPr="00B42397">
        <w:rPr>
          <w:rFonts w:ascii="Arial Narrow" w:hAnsi="Arial Narrow"/>
          <w:sz w:val="18"/>
          <w:szCs w:val="18"/>
        </w:rPr>
        <w:t>Cd</w:t>
      </w:r>
      <w:r w:rsidR="00C75504" w:rsidRPr="00B42397">
        <w:rPr>
          <w:rFonts w:ascii="Arial Narrow" w:hAnsi="Arial Narrow"/>
          <w:sz w:val="18"/>
          <w:szCs w:val="18"/>
        </w:rPr>
        <w:t xml:space="preserve"> </w:t>
      </w:r>
      <w:r w:rsidR="00C2303B" w:rsidRPr="00B42397">
        <w:rPr>
          <w:rFonts w:ascii="Arial Narrow" w:hAnsi="Arial Narrow"/>
          <w:sz w:val="18"/>
          <w:szCs w:val="18"/>
        </w:rPr>
        <w:t>=</w:t>
      </w:r>
      <w:r w:rsidR="00C75504" w:rsidRPr="00B42397">
        <w:rPr>
          <w:rFonts w:ascii="Arial Narrow" w:hAnsi="Arial Narrow"/>
          <w:sz w:val="18"/>
          <w:szCs w:val="18"/>
        </w:rPr>
        <w:t xml:space="preserve"> </w:t>
      </w:r>
      <w:r w:rsidR="00C2303B" w:rsidRPr="00B42397">
        <w:rPr>
          <w:rFonts w:ascii="Arial Narrow" w:hAnsi="Arial Narrow"/>
          <w:sz w:val="18"/>
          <w:szCs w:val="18"/>
        </w:rPr>
        <w:t xml:space="preserve">carfilzomib + dexamethasone; </w:t>
      </w:r>
      <w:r w:rsidR="00B412E4" w:rsidRPr="00B42397">
        <w:rPr>
          <w:rFonts w:ascii="Arial Narrow" w:hAnsi="Arial Narrow"/>
          <w:sz w:val="18"/>
          <w:szCs w:val="18"/>
        </w:rPr>
        <w:t xml:space="preserve">DI = dose intensity; </w:t>
      </w:r>
      <w:r w:rsidR="00C2303B" w:rsidRPr="00B42397">
        <w:rPr>
          <w:rFonts w:ascii="Arial Narrow" w:hAnsi="Arial Narrow"/>
          <w:sz w:val="18"/>
          <w:szCs w:val="18"/>
        </w:rPr>
        <w:t>MBS = Medicare Benefits Schedule; PBS</w:t>
      </w:r>
      <w:r w:rsidR="00C75504" w:rsidRPr="00B42397">
        <w:rPr>
          <w:rFonts w:ascii="Arial Narrow" w:hAnsi="Arial Narrow"/>
          <w:sz w:val="18"/>
          <w:szCs w:val="18"/>
        </w:rPr>
        <w:t xml:space="preserve"> </w:t>
      </w:r>
      <w:r w:rsidR="00C2303B" w:rsidRPr="00B42397">
        <w:rPr>
          <w:rFonts w:ascii="Arial Narrow" w:hAnsi="Arial Narrow"/>
          <w:sz w:val="18"/>
          <w:szCs w:val="18"/>
        </w:rPr>
        <w:t>= Pharmaceutical Benefits Scheme; RPBS</w:t>
      </w:r>
      <w:r w:rsidR="00C75504" w:rsidRPr="00B42397">
        <w:rPr>
          <w:rFonts w:ascii="Arial Narrow" w:hAnsi="Arial Narrow"/>
          <w:sz w:val="18"/>
          <w:szCs w:val="18"/>
        </w:rPr>
        <w:t xml:space="preserve"> </w:t>
      </w:r>
      <w:r w:rsidR="00C2303B" w:rsidRPr="00B42397">
        <w:rPr>
          <w:rFonts w:ascii="Arial Narrow" w:hAnsi="Arial Narrow"/>
          <w:sz w:val="18"/>
          <w:szCs w:val="18"/>
        </w:rPr>
        <w:t>= Repatriation Pharmaceutical Benefits Scheme.</w:t>
      </w:r>
    </w:p>
    <w:p w14:paraId="38757A48" w14:textId="77777777" w:rsidR="001B19D2" w:rsidRPr="00B42397" w:rsidRDefault="001B19D2" w:rsidP="00C2303B">
      <w:pPr>
        <w:pStyle w:val="Tablenotes"/>
        <w:rPr>
          <w:rFonts w:ascii="Arial Narrow" w:hAnsi="Arial Narrow"/>
          <w:sz w:val="18"/>
          <w:szCs w:val="18"/>
        </w:rPr>
      </w:pPr>
      <w:r w:rsidRPr="00B42397">
        <w:rPr>
          <w:rFonts w:ascii="Arial Narrow" w:hAnsi="Arial Narrow"/>
          <w:sz w:val="18"/>
          <w:szCs w:val="18"/>
          <w:vertAlign w:val="superscript"/>
        </w:rPr>
        <w:t xml:space="preserve">a </w:t>
      </w:r>
      <w:r w:rsidR="0047418A" w:rsidRPr="00B42397">
        <w:rPr>
          <w:rFonts w:ascii="Arial Narrow" w:hAnsi="Arial Narrow"/>
          <w:sz w:val="18"/>
          <w:szCs w:val="18"/>
        </w:rPr>
        <w:t xml:space="preserve">The submission assumed that for </w:t>
      </w:r>
      <w:proofErr w:type="spellStart"/>
      <w:r w:rsidR="001F5659" w:rsidRPr="00B42397">
        <w:rPr>
          <w:rFonts w:ascii="Arial Narrow" w:hAnsi="Arial Narrow"/>
          <w:sz w:val="18"/>
          <w:szCs w:val="18"/>
        </w:rPr>
        <w:t>ELd</w:t>
      </w:r>
      <w:proofErr w:type="spellEnd"/>
      <w:r w:rsidR="0047418A" w:rsidRPr="00B42397">
        <w:rPr>
          <w:rFonts w:ascii="Arial Narrow" w:hAnsi="Arial Narrow"/>
          <w:sz w:val="18"/>
          <w:szCs w:val="18"/>
        </w:rPr>
        <w:t xml:space="preserve"> a median of 19 cycles at 38.7 months median follow-up = a mean of 26.8 cycles at 70.9 months median follow-up; therefore, for Cd a median of 12 cycles at 37.2 months median follow-up = mean of 18.1 cycles at a comparable follow-up of 70.9 months, i.e. 18.1 = 26.8 * 12/19</w:t>
      </w:r>
    </w:p>
    <w:p w14:paraId="0DE0FDDE" w14:textId="77777777" w:rsidR="00FD198F" w:rsidRDefault="001B19D2" w:rsidP="00C2303B">
      <w:pPr>
        <w:pStyle w:val="Tablenotes"/>
        <w:rPr>
          <w:rFonts w:ascii="Arial Narrow" w:hAnsi="Arial Narrow"/>
          <w:iCs/>
          <w:sz w:val="18"/>
          <w:szCs w:val="18"/>
        </w:rPr>
      </w:pPr>
      <w:proofErr w:type="gramStart"/>
      <w:r w:rsidRPr="00B42397">
        <w:rPr>
          <w:rFonts w:ascii="Arial Narrow" w:hAnsi="Arial Narrow"/>
          <w:sz w:val="18"/>
          <w:szCs w:val="18"/>
          <w:vertAlign w:val="superscript"/>
        </w:rPr>
        <w:t>b</w:t>
      </w:r>
      <w:proofErr w:type="gramEnd"/>
      <w:r w:rsidR="00FD198F" w:rsidRPr="00B42397">
        <w:rPr>
          <w:rFonts w:ascii="Arial Narrow" w:hAnsi="Arial Narrow"/>
          <w:sz w:val="18"/>
          <w:szCs w:val="18"/>
        </w:rPr>
        <w:t xml:space="preserve"> </w:t>
      </w:r>
      <w:r w:rsidR="00C75504" w:rsidRPr="00B42397">
        <w:rPr>
          <w:rFonts w:ascii="Arial Narrow" w:hAnsi="Arial Narrow"/>
          <w:iCs/>
          <w:sz w:val="18"/>
          <w:szCs w:val="18"/>
        </w:rPr>
        <w:t>B</w:t>
      </w:r>
      <w:r w:rsidR="00FD198F" w:rsidRPr="00B42397">
        <w:rPr>
          <w:rFonts w:ascii="Arial Narrow" w:hAnsi="Arial Narrow"/>
          <w:iCs/>
          <w:sz w:val="18"/>
          <w:szCs w:val="18"/>
        </w:rPr>
        <w:t>ased on DI for all cycles in ELOQUENT-2 (as estimated during evaluation)</w:t>
      </w:r>
    </w:p>
    <w:p w14:paraId="0B77F2BC" w14:textId="77777777" w:rsidR="00166DFC" w:rsidRDefault="00166DFC" w:rsidP="00C2303B">
      <w:pPr>
        <w:pStyle w:val="Tablenotes"/>
        <w:rPr>
          <w:rFonts w:ascii="Arial Narrow" w:hAnsi="Arial Narrow"/>
          <w:i/>
          <w:iCs/>
          <w:sz w:val="18"/>
          <w:szCs w:val="18"/>
        </w:rPr>
      </w:pPr>
      <w:r>
        <w:rPr>
          <w:rFonts w:ascii="Arial Narrow" w:hAnsi="Arial Narrow"/>
          <w:i/>
          <w:iCs/>
          <w:sz w:val="18"/>
          <w:szCs w:val="18"/>
        </w:rPr>
        <w:t xml:space="preserve">The redacted values correspond to the following ranges </w:t>
      </w:r>
    </w:p>
    <w:p w14:paraId="13A7DBE9" w14:textId="77777777" w:rsidR="00166DFC" w:rsidRDefault="00022EDF" w:rsidP="00C2303B">
      <w:pPr>
        <w:pStyle w:val="Tablenotes"/>
        <w:rPr>
          <w:rFonts w:ascii="Arial Narrow" w:hAnsi="Arial Narrow"/>
          <w:i/>
          <w:iCs/>
          <w:sz w:val="18"/>
          <w:szCs w:val="18"/>
        </w:rPr>
      </w:pPr>
      <w:r>
        <w:rPr>
          <w:rFonts w:ascii="Arial Narrow" w:hAnsi="Arial Narrow"/>
          <w:i/>
          <w:iCs/>
          <w:sz w:val="18"/>
          <w:szCs w:val="18"/>
          <w:vertAlign w:val="superscript"/>
        </w:rPr>
        <w:t>1</w:t>
      </w:r>
      <w:r>
        <w:rPr>
          <w:rFonts w:ascii="Arial Narrow" w:hAnsi="Arial Narrow"/>
          <w:i/>
          <w:iCs/>
          <w:sz w:val="18"/>
          <w:szCs w:val="18"/>
        </w:rPr>
        <w:t xml:space="preserve"> $0 to &lt; $10 million </w:t>
      </w:r>
    </w:p>
    <w:p w14:paraId="29AC234E" w14:textId="77777777" w:rsidR="00022EDF" w:rsidRDefault="00022EDF" w:rsidP="00C2303B">
      <w:pPr>
        <w:pStyle w:val="Tablenotes"/>
        <w:rPr>
          <w:rFonts w:ascii="Arial Narrow" w:hAnsi="Arial Narrow"/>
          <w:i/>
          <w:iCs/>
          <w:sz w:val="18"/>
          <w:szCs w:val="18"/>
        </w:rPr>
      </w:pPr>
      <w:r>
        <w:rPr>
          <w:rFonts w:ascii="Arial Narrow" w:hAnsi="Arial Narrow"/>
          <w:i/>
          <w:iCs/>
          <w:sz w:val="18"/>
          <w:szCs w:val="18"/>
          <w:vertAlign w:val="superscript"/>
        </w:rPr>
        <w:t>2</w:t>
      </w:r>
      <w:r>
        <w:rPr>
          <w:rFonts w:ascii="Arial Narrow" w:hAnsi="Arial Narrow"/>
          <w:i/>
          <w:iCs/>
          <w:sz w:val="18"/>
          <w:szCs w:val="18"/>
        </w:rPr>
        <w:t xml:space="preserve"> $10 million to &lt; $20 million </w:t>
      </w:r>
    </w:p>
    <w:p w14:paraId="4BD340E0" w14:textId="77777777" w:rsidR="00022EDF" w:rsidRPr="00022EDF" w:rsidRDefault="00022EDF" w:rsidP="00C2303B">
      <w:pPr>
        <w:pStyle w:val="Tablenotes"/>
        <w:rPr>
          <w:rFonts w:ascii="Arial Narrow" w:hAnsi="Arial Narrow"/>
          <w:i/>
          <w:iCs/>
          <w:sz w:val="18"/>
          <w:szCs w:val="18"/>
        </w:rPr>
      </w:pPr>
      <w:r>
        <w:rPr>
          <w:rFonts w:ascii="Arial Narrow" w:hAnsi="Arial Narrow"/>
          <w:i/>
          <w:iCs/>
          <w:sz w:val="18"/>
          <w:szCs w:val="18"/>
          <w:vertAlign w:val="superscript"/>
        </w:rPr>
        <w:t>3</w:t>
      </w:r>
      <w:r>
        <w:rPr>
          <w:rFonts w:ascii="Arial Narrow" w:hAnsi="Arial Narrow"/>
          <w:i/>
          <w:iCs/>
          <w:sz w:val="18"/>
          <w:szCs w:val="18"/>
        </w:rPr>
        <w:t xml:space="preserve"> $20 million to &lt; $30 million </w:t>
      </w:r>
    </w:p>
    <w:p w14:paraId="026CAD8A" w14:textId="77777777" w:rsidR="00576972" w:rsidRPr="00B42397" w:rsidRDefault="00576972" w:rsidP="00606FBA">
      <w:pPr>
        <w:pStyle w:val="4-SubsectionHeading"/>
      </w:pPr>
      <w:bookmarkStart w:id="29" w:name="_Toc22897648"/>
      <w:bookmarkStart w:id="30" w:name="_Toc49758150"/>
      <w:r w:rsidRPr="00B42397">
        <w:t>Quality Use of Medicines</w:t>
      </w:r>
      <w:bookmarkEnd w:id="29"/>
      <w:bookmarkEnd w:id="30"/>
    </w:p>
    <w:p w14:paraId="1E4A4AA5" w14:textId="77777777" w:rsidR="00576972" w:rsidRPr="00B42397" w:rsidRDefault="00FA53BA" w:rsidP="00FA53BA">
      <w:pPr>
        <w:pStyle w:val="3-BodyText"/>
        <w:rPr>
          <w:color w:val="000000" w:themeColor="text1"/>
        </w:rPr>
      </w:pPr>
      <w:r w:rsidRPr="00B42397">
        <w:rPr>
          <w:color w:val="000000" w:themeColor="text1"/>
        </w:rPr>
        <w:t xml:space="preserve">The submission provided an overview of current and planned actions to support </w:t>
      </w:r>
      <w:r w:rsidR="00FF5149" w:rsidRPr="00B42397">
        <w:rPr>
          <w:color w:val="000000" w:themeColor="text1"/>
        </w:rPr>
        <w:t xml:space="preserve">the </w:t>
      </w:r>
      <w:r w:rsidRPr="00B42397">
        <w:rPr>
          <w:color w:val="000000" w:themeColor="text1"/>
        </w:rPr>
        <w:t xml:space="preserve">safe and effective use of elotuzumab. These included physician </w:t>
      </w:r>
      <w:r w:rsidR="00B5338F" w:rsidRPr="00B42397">
        <w:rPr>
          <w:color w:val="000000" w:themeColor="text1"/>
        </w:rPr>
        <w:t>education and nursing and pharmacy in-services rega</w:t>
      </w:r>
      <w:r w:rsidR="00833A74" w:rsidRPr="00B42397">
        <w:rPr>
          <w:color w:val="000000" w:themeColor="text1"/>
        </w:rPr>
        <w:t>r</w:t>
      </w:r>
      <w:r w:rsidR="001F5659" w:rsidRPr="00B42397">
        <w:rPr>
          <w:color w:val="000000" w:themeColor="text1"/>
        </w:rPr>
        <w:t>d</w:t>
      </w:r>
      <w:r w:rsidR="00B5338F" w:rsidRPr="00B42397">
        <w:rPr>
          <w:color w:val="000000" w:themeColor="text1"/>
        </w:rPr>
        <w:t xml:space="preserve">ing </w:t>
      </w:r>
      <w:r w:rsidR="00FF5149" w:rsidRPr="00B42397">
        <w:rPr>
          <w:color w:val="000000" w:themeColor="text1"/>
        </w:rPr>
        <w:t xml:space="preserve">the </w:t>
      </w:r>
      <w:r w:rsidR="00B5338F" w:rsidRPr="00B42397">
        <w:rPr>
          <w:color w:val="000000" w:themeColor="text1"/>
        </w:rPr>
        <w:t>mechanism of action of elotuzum</w:t>
      </w:r>
      <w:r w:rsidR="009E4BCF" w:rsidRPr="00B42397">
        <w:rPr>
          <w:color w:val="000000" w:themeColor="text1"/>
        </w:rPr>
        <w:t>ab. A pharmacovigilance plan</w:t>
      </w:r>
      <w:r w:rsidR="003E2752" w:rsidRPr="00B42397">
        <w:rPr>
          <w:color w:val="000000" w:themeColor="text1"/>
        </w:rPr>
        <w:t xml:space="preserve"> addressing adverse events </w:t>
      </w:r>
      <w:r w:rsidR="00FF5149" w:rsidRPr="00B42397">
        <w:rPr>
          <w:color w:val="000000" w:themeColor="text1"/>
        </w:rPr>
        <w:t xml:space="preserve">is </w:t>
      </w:r>
      <w:r w:rsidR="003E2752" w:rsidRPr="00B42397">
        <w:rPr>
          <w:color w:val="000000" w:themeColor="text1"/>
        </w:rPr>
        <w:t>to be presented.</w:t>
      </w:r>
    </w:p>
    <w:p w14:paraId="231E68AC" w14:textId="77777777" w:rsidR="00576972" w:rsidRPr="00B42397" w:rsidRDefault="00576972" w:rsidP="00606FBA">
      <w:pPr>
        <w:pStyle w:val="4-SubsectionHeading"/>
      </w:pPr>
      <w:bookmarkStart w:id="31" w:name="_Toc22897649"/>
      <w:bookmarkStart w:id="32" w:name="_Toc49758151"/>
      <w:r w:rsidRPr="00B42397">
        <w:lastRenderedPageBreak/>
        <w:t>Financial Management – Risk Sharing Arrangements</w:t>
      </w:r>
      <w:bookmarkEnd w:id="31"/>
      <w:bookmarkEnd w:id="32"/>
    </w:p>
    <w:p w14:paraId="60A258F6" w14:textId="77777777" w:rsidR="00FA53BA" w:rsidRPr="00B42397" w:rsidRDefault="00FA53BA" w:rsidP="00F61C18">
      <w:pPr>
        <w:pStyle w:val="ListParagraph"/>
        <w:numPr>
          <w:ilvl w:val="1"/>
          <w:numId w:val="1"/>
        </w:numPr>
        <w:rPr>
          <w:color w:val="000000" w:themeColor="text1"/>
        </w:rPr>
      </w:pPr>
      <w:r w:rsidRPr="00B42397">
        <w:rPr>
          <w:color w:val="000000" w:themeColor="text1"/>
        </w:rPr>
        <w:t xml:space="preserve">The submission did not present a risk sharing arrangement </w:t>
      </w:r>
      <w:r w:rsidR="00FF5149" w:rsidRPr="00B42397">
        <w:rPr>
          <w:color w:val="000000" w:themeColor="text1"/>
        </w:rPr>
        <w:t xml:space="preserve">(RSA) </w:t>
      </w:r>
      <w:r w:rsidRPr="00B42397">
        <w:rPr>
          <w:color w:val="000000" w:themeColor="text1"/>
        </w:rPr>
        <w:t xml:space="preserve">for </w:t>
      </w:r>
      <w:proofErr w:type="spellStart"/>
      <w:r w:rsidR="001F5659" w:rsidRPr="00B42397">
        <w:rPr>
          <w:color w:val="000000" w:themeColor="text1"/>
        </w:rPr>
        <w:t>ELd</w:t>
      </w:r>
      <w:proofErr w:type="spellEnd"/>
      <w:r w:rsidRPr="00B42397">
        <w:rPr>
          <w:color w:val="000000" w:themeColor="text1"/>
        </w:rPr>
        <w:t>. However, the</w:t>
      </w:r>
      <w:r w:rsidR="00C3715A">
        <w:rPr>
          <w:color w:val="000000" w:themeColor="text1"/>
        </w:rPr>
        <w:t xml:space="preserve"> submission stated the</w:t>
      </w:r>
      <w:r w:rsidRPr="00B42397">
        <w:rPr>
          <w:color w:val="000000" w:themeColor="text1"/>
        </w:rPr>
        <w:t xml:space="preserve"> Sponsor is willing to work with the PBAC and Department of Health to implement an appropriate RSA</w:t>
      </w:r>
      <w:r w:rsidR="00121691" w:rsidRPr="00B42397">
        <w:rPr>
          <w:color w:val="000000" w:themeColor="text1"/>
        </w:rPr>
        <w:t>. The pre-PBAC response reiterated that the Sponsor was</w:t>
      </w:r>
      <w:r w:rsidRPr="00B42397">
        <w:rPr>
          <w:color w:val="000000" w:themeColor="text1"/>
        </w:rPr>
        <w:t xml:space="preserve"> willing to join the current </w:t>
      </w:r>
      <w:r w:rsidR="00121691" w:rsidRPr="00B42397">
        <w:rPr>
          <w:color w:val="000000" w:themeColor="text1"/>
        </w:rPr>
        <w:t>RSA</w:t>
      </w:r>
      <w:r w:rsidRPr="00B42397">
        <w:rPr>
          <w:color w:val="000000" w:themeColor="text1"/>
        </w:rPr>
        <w:t xml:space="preserve"> </w:t>
      </w:r>
      <w:r w:rsidR="00FF5149" w:rsidRPr="00B42397">
        <w:rPr>
          <w:color w:val="000000" w:themeColor="text1"/>
        </w:rPr>
        <w:t xml:space="preserve">and annual subsidisation caps </w:t>
      </w:r>
      <w:r w:rsidRPr="00B42397">
        <w:rPr>
          <w:color w:val="000000" w:themeColor="text1"/>
        </w:rPr>
        <w:t>for Cd.</w:t>
      </w:r>
    </w:p>
    <w:p w14:paraId="4F3BC456" w14:textId="77777777" w:rsidR="00B47906" w:rsidRPr="00B42397" w:rsidRDefault="00B47906" w:rsidP="00B47906">
      <w:pPr>
        <w:ind w:firstLine="720"/>
        <w:rPr>
          <w:i/>
        </w:rPr>
      </w:pPr>
      <w:r w:rsidRPr="00B42397">
        <w:rPr>
          <w:i/>
        </w:rPr>
        <w:t>For more detail on PBAC’s view, see section 7 PBAC outcome.</w:t>
      </w:r>
    </w:p>
    <w:p w14:paraId="42E7F175" w14:textId="77777777" w:rsidR="00B47906" w:rsidRPr="00B42397" w:rsidRDefault="00B47906" w:rsidP="00131D3D">
      <w:pPr>
        <w:pStyle w:val="ListBullet"/>
        <w:numPr>
          <w:ilvl w:val="0"/>
          <w:numId w:val="0"/>
        </w:numPr>
        <w:ind w:left="360" w:hanging="360"/>
      </w:pPr>
    </w:p>
    <w:p w14:paraId="5726E3A7" w14:textId="77777777" w:rsidR="00131D3D" w:rsidRPr="00B42397" w:rsidRDefault="00131D3D" w:rsidP="00131D3D">
      <w:pPr>
        <w:pStyle w:val="2-SectionHeading"/>
      </w:pPr>
      <w:r w:rsidRPr="00B42397">
        <w:t>PBAC Outcome</w:t>
      </w:r>
    </w:p>
    <w:p w14:paraId="09F868D2" w14:textId="77777777" w:rsidR="005B2EE7" w:rsidRPr="00B42397" w:rsidRDefault="005B2EE7"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did not recommend the listing of </w:t>
      </w:r>
      <w:r w:rsidR="0090166A" w:rsidRPr="00B42397">
        <w:rPr>
          <w:rFonts w:asciiTheme="minorHAnsi" w:hAnsiTheme="minorHAnsi"/>
          <w:bCs/>
          <w:snapToGrid w:val="0"/>
        </w:rPr>
        <w:t xml:space="preserve">elotuzumab, in combination with </w:t>
      </w:r>
      <w:r w:rsidR="00B42397" w:rsidRPr="00B42397">
        <w:rPr>
          <w:rFonts w:asciiTheme="minorHAnsi" w:hAnsiTheme="minorHAnsi"/>
          <w:bCs/>
          <w:snapToGrid w:val="0"/>
        </w:rPr>
        <w:t>lenalidomide</w:t>
      </w:r>
      <w:r w:rsidR="0090166A" w:rsidRPr="00B42397">
        <w:rPr>
          <w:rFonts w:asciiTheme="minorHAnsi" w:hAnsiTheme="minorHAnsi"/>
          <w:bCs/>
          <w:snapToGrid w:val="0"/>
        </w:rPr>
        <w:t xml:space="preserve"> and dexamethasone</w:t>
      </w:r>
      <w:r w:rsidR="00535FED">
        <w:rPr>
          <w:rFonts w:asciiTheme="minorHAnsi" w:hAnsiTheme="minorHAnsi"/>
          <w:bCs/>
          <w:snapToGrid w:val="0"/>
        </w:rPr>
        <w:t xml:space="preserve"> (</w:t>
      </w:r>
      <w:proofErr w:type="spellStart"/>
      <w:r w:rsidR="00535FED">
        <w:rPr>
          <w:rFonts w:asciiTheme="minorHAnsi" w:hAnsiTheme="minorHAnsi"/>
          <w:bCs/>
          <w:snapToGrid w:val="0"/>
        </w:rPr>
        <w:t>ELd</w:t>
      </w:r>
      <w:proofErr w:type="spellEnd"/>
      <w:r w:rsidR="00535FED">
        <w:rPr>
          <w:rFonts w:asciiTheme="minorHAnsi" w:hAnsiTheme="minorHAnsi"/>
          <w:bCs/>
          <w:snapToGrid w:val="0"/>
        </w:rPr>
        <w:t>)</w:t>
      </w:r>
      <w:r w:rsidR="0090166A" w:rsidRPr="00B42397">
        <w:rPr>
          <w:rFonts w:asciiTheme="minorHAnsi" w:hAnsiTheme="minorHAnsi"/>
          <w:bCs/>
          <w:snapToGrid w:val="0"/>
        </w:rPr>
        <w:t xml:space="preserve">, </w:t>
      </w:r>
      <w:r w:rsidRPr="00B42397">
        <w:rPr>
          <w:rFonts w:asciiTheme="minorHAnsi" w:hAnsiTheme="minorHAnsi"/>
          <w:bCs/>
          <w:snapToGrid w:val="0"/>
        </w:rPr>
        <w:t xml:space="preserve">for the treatment of patients with </w:t>
      </w:r>
      <w:r w:rsidR="00535FED">
        <w:rPr>
          <w:rFonts w:asciiTheme="minorHAnsi" w:hAnsiTheme="minorHAnsi"/>
          <w:bCs/>
          <w:snapToGrid w:val="0"/>
        </w:rPr>
        <w:t>relapsed and/or refractory multiple myeloma (</w:t>
      </w:r>
      <w:r w:rsidRPr="00B42397">
        <w:rPr>
          <w:rFonts w:asciiTheme="minorHAnsi" w:hAnsiTheme="minorHAnsi"/>
          <w:bCs/>
          <w:snapToGrid w:val="0"/>
        </w:rPr>
        <w:t>RRMM</w:t>
      </w:r>
      <w:r w:rsidR="00535FED">
        <w:rPr>
          <w:rFonts w:asciiTheme="minorHAnsi" w:hAnsiTheme="minorHAnsi"/>
          <w:bCs/>
          <w:snapToGrid w:val="0"/>
        </w:rPr>
        <w:t>)</w:t>
      </w:r>
      <w:r w:rsidRPr="00B42397">
        <w:rPr>
          <w:rFonts w:asciiTheme="minorHAnsi" w:hAnsiTheme="minorHAnsi"/>
          <w:bCs/>
          <w:snapToGrid w:val="0"/>
        </w:rPr>
        <w:t>. The PBAC considered</w:t>
      </w:r>
      <w:r w:rsidR="0090166A" w:rsidRPr="00B42397">
        <w:rPr>
          <w:rFonts w:asciiTheme="minorHAnsi" w:hAnsiTheme="minorHAnsi"/>
          <w:bCs/>
          <w:snapToGrid w:val="0"/>
        </w:rPr>
        <w:t xml:space="preserve"> that</w:t>
      </w:r>
      <w:r w:rsidR="00547439">
        <w:rPr>
          <w:rFonts w:asciiTheme="minorHAnsi" w:hAnsiTheme="minorHAnsi"/>
          <w:bCs/>
          <w:snapToGrid w:val="0"/>
        </w:rPr>
        <w:t>,</w:t>
      </w:r>
      <w:r w:rsidR="0090166A" w:rsidRPr="00B42397">
        <w:rPr>
          <w:rFonts w:asciiTheme="minorHAnsi" w:hAnsiTheme="minorHAnsi"/>
          <w:bCs/>
          <w:snapToGrid w:val="0"/>
        </w:rPr>
        <w:t xml:space="preserve"> </w:t>
      </w:r>
      <w:r w:rsidRPr="00B42397">
        <w:rPr>
          <w:rFonts w:asciiTheme="minorHAnsi" w:hAnsiTheme="minorHAnsi"/>
          <w:bCs/>
          <w:snapToGrid w:val="0"/>
        </w:rPr>
        <w:t xml:space="preserve">due to </w:t>
      </w:r>
      <w:r w:rsidR="0090166A" w:rsidRPr="00B42397">
        <w:rPr>
          <w:rFonts w:asciiTheme="minorHAnsi" w:hAnsiTheme="minorHAnsi"/>
          <w:bCs/>
          <w:snapToGrid w:val="0"/>
        </w:rPr>
        <w:t xml:space="preserve">the nature of the </w:t>
      </w:r>
      <w:r w:rsidR="00535FED">
        <w:rPr>
          <w:rFonts w:asciiTheme="minorHAnsi" w:hAnsiTheme="minorHAnsi"/>
          <w:bCs/>
          <w:snapToGrid w:val="0"/>
        </w:rPr>
        <w:t>indirect treatment comparison (</w:t>
      </w:r>
      <w:r w:rsidR="0090166A" w:rsidRPr="00B42397">
        <w:rPr>
          <w:rFonts w:asciiTheme="minorHAnsi" w:hAnsiTheme="minorHAnsi"/>
          <w:bCs/>
          <w:snapToGrid w:val="0"/>
        </w:rPr>
        <w:t>ITC</w:t>
      </w:r>
      <w:r w:rsidR="00535FED">
        <w:rPr>
          <w:rFonts w:asciiTheme="minorHAnsi" w:hAnsiTheme="minorHAnsi"/>
          <w:bCs/>
          <w:snapToGrid w:val="0"/>
        </w:rPr>
        <w:t>)</w:t>
      </w:r>
      <w:r w:rsidR="0090166A" w:rsidRPr="00B42397">
        <w:rPr>
          <w:rFonts w:asciiTheme="minorHAnsi" w:hAnsiTheme="minorHAnsi"/>
          <w:bCs/>
          <w:snapToGrid w:val="0"/>
        </w:rPr>
        <w:t xml:space="preserve"> and </w:t>
      </w:r>
      <w:r w:rsidRPr="00B42397">
        <w:rPr>
          <w:rFonts w:asciiTheme="minorHAnsi" w:hAnsiTheme="minorHAnsi"/>
          <w:bCs/>
          <w:snapToGrid w:val="0"/>
        </w:rPr>
        <w:t xml:space="preserve">differences between the key </w:t>
      </w:r>
      <w:r w:rsidR="00B42397" w:rsidRPr="00B42397">
        <w:rPr>
          <w:rFonts w:asciiTheme="minorHAnsi" w:hAnsiTheme="minorHAnsi"/>
          <w:bCs/>
          <w:snapToGrid w:val="0"/>
        </w:rPr>
        <w:t>trials</w:t>
      </w:r>
      <w:r w:rsidR="00547439">
        <w:rPr>
          <w:rFonts w:asciiTheme="minorHAnsi" w:hAnsiTheme="minorHAnsi"/>
          <w:bCs/>
          <w:snapToGrid w:val="0"/>
        </w:rPr>
        <w:t>,</w:t>
      </w:r>
      <w:r w:rsidR="00B42397" w:rsidRPr="00B42397">
        <w:rPr>
          <w:rFonts w:asciiTheme="minorHAnsi" w:hAnsiTheme="minorHAnsi"/>
          <w:bCs/>
          <w:snapToGrid w:val="0"/>
        </w:rPr>
        <w:t xml:space="preserve"> </w:t>
      </w:r>
      <w:r w:rsidRPr="00B42397">
        <w:rPr>
          <w:rFonts w:asciiTheme="minorHAnsi" w:hAnsiTheme="minorHAnsi"/>
          <w:bCs/>
          <w:snapToGrid w:val="0"/>
        </w:rPr>
        <w:t xml:space="preserve">the </w:t>
      </w:r>
      <w:r w:rsidR="008456AA">
        <w:rPr>
          <w:rFonts w:asciiTheme="minorHAnsi" w:hAnsiTheme="minorHAnsi"/>
          <w:bCs/>
          <w:snapToGrid w:val="0"/>
        </w:rPr>
        <w:t xml:space="preserve">results of the </w:t>
      </w:r>
      <w:r w:rsidRPr="00B42397">
        <w:rPr>
          <w:rFonts w:asciiTheme="minorHAnsi" w:hAnsiTheme="minorHAnsi"/>
          <w:bCs/>
          <w:snapToGrid w:val="0"/>
        </w:rPr>
        <w:t xml:space="preserve">ITC </w:t>
      </w:r>
      <w:r w:rsidR="008456AA">
        <w:rPr>
          <w:rFonts w:asciiTheme="minorHAnsi" w:hAnsiTheme="minorHAnsi"/>
          <w:bCs/>
          <w:snapToGrid w:val="0"/>
        </w:rPr>
        <w:t>were</w:t>
      </w:r>
      <w:r w:rsidRPr="00B42397">
        <w:rPr>
          <w:rFonts w:asciiTheme="minorHAnsi" w:hAnsiTheme="minorHAnsi"/>
          <w:bCs/>
          <w:snapToGrid w:val="0"/>
        </w:rPr>
        <w:t xml:space="preserve"> difficult to interpret and did not adequately demonstrate non-inferiority between </w:t>
      </w:r>
      <w:proofErr w:type="spellStart"/>
      <w:r w:rsidR="0090166A" w:rsidRPr="00B42397">
        <w:rPr>
          <w:rFonts w:asciiTheme="minorHAnsi" w:hAnsiTheme="minorHAnsi"/>
          <w:bCs/>
          <w:snapToGrid w:val="0"/>
        </w:rPr>
        <w:t>ELd</w:t>
      </w:r>
      <w:proofErr w:type="spellEnd"/>
      <w:r w:rsidR="0090166A" w:rsidRPr="00B42397">
        <w:rPr>
          <w:rFonts w:asciiTheme="minorHAnsi" w:hAnsiTheme="minorHAnsi"/>
          <w:bCs/>
          <w:snapToGrid w:val="0"/>
        </w:rPr>
        <w:t xml:space="preserve"> and the nominated comparator, </w:t>
      </w:r>
      <w:r w:rsidR="00547439">
        <w:rPr>
          <w:rFonts w:asciiTheme="minorHAnsi" w:hAnsiTheme="minorHAnsi"/>
          <w:bCs/>
          <w:snapToGrid w:val="0"/>
        </w:rPr>
        <w:t>carfilzomib plus dexamethasone (</w:t>
      </w:r>
      <w:r w:rsidR="0090166A" w:rsidRPr="00B42397">
        <w:rPr>
          <w:rFonts w:asciiTheme="minorHAnsi" w:hAnsiTheme="minorHAnsi"/>
          <w:bCs/>
          <w:snapToGrid w:val="0"/>
        </w:rPr>
        <w:t>Cd</w:t>
      </w:r>
      <w:r w:rsidR="00547439">
        <w:rPr>
          <w:rFonts w:asciiTheme="minorHAnsi" w:hAnsiTheme="minorHAnsi"/>
          <w:bCs/>
          <w:snapToGrid w:val="0"/>
        </w:rPr>
        <w:t>)</w:t>
      </w:r>
      <w:r w:rsidR="0090166A" w:rsidRPr="00B42397">
        <w:rPr>
          <w:rFonts w:asciiTheme="minorHAnsi" w:hAnsiTheme="minorHAnsi"/>
          <w:bCs/>
          <w:snapToGrid w:val="0"/>
        </w:rPr>
        <w:t>, in terms of efficacy or safety</w:t>
      </w:r>
      <w:r w:rsidRPr="00B42397">
        <w:rPr>
          <w:rFonts w:asciiTheme="minorHAnsi" w:hAnsiTheme="minorHAnsi"/>
          <w:bCs/>
          <w:snapToGrid w:val="0"/>
        </w:rPr>
        <w:t>.</w:t>
      </w:r>
    </w:p>
    <w:p w14:paraId="19D9EA07" w14:textId="77777777" w:rsidR="005B2EE7" w:rsidRPr="00B42397" w:rsidRDefault="005B2EE7"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noted that the comments from consumers and from Myeloma Australia, </w:t>
      </w:r>
      <w:r w:rsidRPr="00B42397">
        <w:rPr>
          <w:rFonts w:asciiTheme="minorHAnsi" w:hAnsiTheme="minorHAnsi"/>
          <w:bCs/>
        </w:rPr>
        <w:t>Myeloma Australia’s Medical and Scientific Group (MSAG),</w:t>
      </w:r>
      <w:r w:rsidRPr="00B42397">
        <w:rPr>
          <w:rFonts w:asciiTheme="minorHAnsi" w:hAnsiTheme="minorHAnsi"/>
          <w:bCs/>
          <w:snapToGrid w:val="0"/>
        </w:rPr>
        <w:t xml:space="preserve"> The Leukaemia Foundation, and Rare Cancers Australia were all in suppor</w:t>
      </w:r>
      <w:r w:rsidR="0090166A" w:rsidRPr="00B42397">
        <w:rPr>
          <w:rFonts w:asciiTheme="minorHAnsi" w:hAnsiTheme="minorHAnsi"/>
          <w:bCs/>
          <w:snapToGrid w:val="0"/>
        </w:rPr>
        <w:t xml:space="preserve">t of the requested listing for </w:t>
      </w:r>
      <w:proofErr w:type="spellStart"/>
      <w:r w:rsidR="0090166A" w:rsidRPr="00B42397">
        <w:rPr>
          <w:rFonts w:asciiTheme="minorHAnsi" w:hAnsiTheme="minorHAnsi"/>
          <w:bCs/>
          <w:snapToGrid w:val="0"/>
        </w:rPr>
        <w:t>E</w:t>
      </w:r>
      <w:r w:rsidRPr="00B42397">
        <w:rPr>
          <w:rFonts w:asciiTheme="minorHAnsi" w:hAnsiTheme="minorHAnsi"/>
          <w:bCs/>
          <w:snapToGrid w:val="0"/>
        </w:rPr>
        <w:t>Ld</w:t>
      </w:r>
      <w:proofErr w:type="spellEnd"/>
      <w:r w:rsidRPr="00B42397">
        <w:rPr>
          <w:rFonts w:asciiTheme="minorHAnsi" w:hAnsiTheme="minorHAnsi"/>
          <w:bCs/>
          <w:snapToGrid w:val="0"/>
        </w:rPr>
        <w:t>, describing the ongoing need for additional treatment options for RRMM patients.</w:t>
      </w:r>
    </w:p>
    <w:p w14:paraId="57F3C8B0" w14:textId="77777777" w:rsidR="00EB7F2E" w:rsidRPr="00B42397" w:rsidRDefault="005B2EE7"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considered that the clinical place in therapy of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as proposed by the requested PBS restriction, was appropriate based on the current PBS listings, but noted that if </w:t>
      </w:r>
      <w:r w:rsidR="00DA0FA1">
        <w:rPr>
          <w:rFonts w:asciiTheme="minorHAnsi" w:hAnsiTheme="minorHAnsi"/>
          <w:bCs/>
          <w:snapToGrid w:val="0"/>
        </w:rPr>
        <w:t>daratumumab in combination with bortezomib and dexamethasone (</w:t>
      </w:r>
      <w:r w:rsidRPr="00B42397">
        <w:rPr>
          <w:rFonts w:asciiTheme="minorHAnsi" w:hAnsiTheme="minorHAnsi"/>
          <w:bCs/>
          <w:snapToGrid w:val="0"/>
        </w:rPr>
        <w:t>DBd</w:t>
      </w:r>
      <w:r w:rsidR="00DA0FA1">
        <w:rPr>
          <w:rFonts w:asciiTheme="minorHAnsi" w:hAnsiTheme="minorHAnsi"/>
          <w:bCs/>
          <w:snapToGrid w:val="0"/>
        </w:rPr>
        <w:t>)</w:t>
      </w:r>
      <w:r w:rsidRPr="00B42397">
        <w:rPr>
          <w:rFonts w:asciiTheme="minorHAnsi" w:hAnsiTheme="minorHAnsi"/>
          <w:bCs/>
          <w:snapToGrid w:val="0"/>
        </w:rPr>
        <w:t xml:space="preserve"> is listed on the PBS</w:t>
      </w:r>
      <w:r w:rsidR="00DA0FA1">
        <w:rPr>
          <w:rFonts w:asciiTheme="minorHAnsi" w:hAnsiTheme="minorHAnsi"/>
          <w:bCs/>
          <w:snapToGrid w:val="0"/>
        </w:rPr>
        <w:t xml:space="preserve"> and </w:t>
      </w:r>
      <w:r w:rsidRPr="00B42397">
        <w:rPr>
          <w:rFonts w:asciiTheme="minorHAnsi" w:hAnsiTheme="minorHAnsi"/>
          <w:bCs/>
          <w:snapToGrid w:val="0"/>
        </w:rPr>
        <w:t xml:space="preserve">restricted to the second-line setting </w:t>
      </w:r>
      <w:r w:rsidR="00DA0FA1">
        <w:rPr>
          <w:rFonts w:asciiTheme="minorHAnsi" w:hAnsiTheme="minorHAnsi"/>
          <w:bCs/>
          <w:snapToGrid w:val="0"/>
        </w:rPr>
        <w:t xml:space="preserve">it </w:t>
      </w:r>
      <w:r w:rsidRPr="00B42397">
        <w:rPr>
          <w:rFonts w:asciiTheme="minorHAnsi" w:hAnsiTheme="minorHAnsi"/>
          <w:bCs/>
          <w:snapToGrid w:val="0"/>
        </w:rPr>
        <w:t>will likely displace the other RRMM treatments to the third-line</w:t>
      </w:r>
      <w:r w:rsidR="00256BAE" w:rsidRPr="00B42397">
        <w:rPr>
          <w:rFonts w:asciiTheme="minorHAnsi" w:hAnsiTheme="minorHAnsi"/>
          <w:bCs/>
          <w:snapToGrid w:val="0"/>
        </w:rPr>
        <w:t xml:space="preserve"> setting</w:t>
      </w:r>
      <w:r w:rsidRPr="00B42397">
        <w:rPr>
          <w:rFonts w:asciiTheme="minorHAnsi" w:hAnsiTheme="minorHAnsi"/>
          <w:bCs/>
          <w:snapToGrid w:val="0"/>
        </w:rPr>
        <w:t xml:space="preserve">. Noting international guidelines (e.g. NCCN Myeloma Guidelines version </w:t>
      </w:r>
      <w:r w:rsidR="0090166A" w:rsidRPr="00B42397">
        <w:rPr>
          <w:rFonts w:asciiTheme="minorHAnsi" w:hAnsiTheme="minorHAnsi"/>
          <w:bCs/>
          <w:snapToGrid w:val="0"/>
        </w:rPr>
        <w:t>3.2021</w:t>
      </w:r>
      <w:r w:rsidRPr="00B42397">
        <w:rPr>
          <w:rFonts w:asciiTheme="minorHAnsi" w:hAnsiTheme="minorHAnsi"/>
          <w:bCs/>
          <w:snapToGrid w:val="0"/>
        </w:rPr>
        <w:t xml:space="preserve">) which indicate a preference for triple combination therapies, the PBAC considered that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would potentially replace </w:t>
      </w:r>
      <w:proofErr w:type="spellStart"/>
      <w:proofErr w:type="gramStart"/>
      <w:r w:rsidRPr="00B42397">
        <w:rPr>
          <w:rFonts w:asciiTheme="minorHAnsi" w:hAnsiTheme="minorHAnsi"/>
          <w:bCs/>
          <w:snapToGrid w:val="0"/>
        </w:rPr>
        <w:t>Ld</w:t>
      </w:r>
      <w:proofErr w:type="spellEnd"/>
      <w:proofErr w:type="gramEnd"/>
      <w:r w:rsidRPr="00B42397">
        <w:rPr>
          <w:rFonts w:asciiTheme="minorHAnsi" w:hAnsiTheme="minorHAnsi"/>
          <w:bCs/>
          <w:snapToGrid w:val="0"/>
        </w:rPr>
        <w:t xml:space="preserve"> and replace/displace Cd in the third-line setting.</w:t>
      </w:r>
      <w:r w:rsidR="00EB7F2E" w:rsidRPr="00B42397">
        <w:rPr>
          <w:rFonts w:asciiTheme="minorHAnsi" w:hAnsiTheme="minorHAnsi"/>
          <w:bCs/>
          <w:snapToGrid w:val="0"/>
        </w:rPr>
        <w:t xml:space="preserve"> </w:t>
      </w:r>
    </w:p>
    <w:p w14:paraId="3E66DFFB" w14:textId="77777777" w:rsidR="005B2EE7" w:rsidRPr="00B42397" w:rsidRDefault="00EB7F2E"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noted that the submission nominated Cd as the primary comparator. The PBAC noted that as </w:t>
      </w:r>
      <w:proofErr w:type="spellStart"/>
      <w:proofErr w:type="gramStart"/>
      <w:r w:rsidRPr="00B42397">
        <w:rPr>
          <w:rFonts w:asciiTheme="minorHAnsi" w:hAnsiTheme="minorHAnsi"/>
          <w:bCs/>
          <w:snapToGrid w:val="0"/>
        </w:rPr>
        <w:t>Ld</w:t>
      </w:r>
      <w:proofErr w:type="spellEnd"/>
      <w:proofErr w:type="gramEnd"/>
      <w:r w:rsidRPr="00B42397">
        <w:rPr>
          <w:rFonts w:asciiTheme="minorHAnsi" w:hAnsiTheme="minorHAnsi"/>
          <w:bCs/>
          <w:snapToGrid w:val="0"/>
        </w:rPr>
        <w:t xml:space="preserve"> was the backbon</w:t>
      </w:r>
      <w:r w:rsidR="0038417A" w:rsidRPr="00B42397">
        <w:rPr>
          <w:rFonts w:asciiTheme="minorHAnsi" w:hAnsiTheme="minorHAnsi"/>
          <w:bCs/>
          <w:snapToGrid w:val="0"/>
        </w:rPr>
        <w:t xml:space="preserve">e of </w:t>
      </w:r>
      <w:proofErr w:type="spellStart"/>
      <w:r w:rsidR="0038417A" w:rsidRPr="00B42397">
        <w:rPr>
          <w:rFonts w:asciiTheme="minorHAnsi" w:hAnsiTheme="minorHAnsi"/>
          <w:bCs/>
          <w:snapToGrid w:val="0"/>
        </w:rPr>
        <w:t>E</w:t>
      </w:r>
      <w:r w:rsidRPr="00B42397">
        <w:rPr>
          <w:rFonts w:asciiTheme="minorHAnsi" w:hAnsiTheme="minorHAnsi"/>
          <w:bCs/>
          <w:snapToGrid w:val="0"/>
        </w:rPr>
        <w:t>Ld</w:t>
      </w:r>
      <w:proofErr w:type="spellEnd"/>
      <w:r w:rsidRPr="00B42397">
        <w:rPr>
          <w:rFonts w:asciiTheme="minorHAnsi" w:hAnsiTheme="minorHAnsi"/>
          <w:bCs/>
          <w:snapToGrid w:val="0"/>
        </w:rPr>
        <w:t xml:space="preserve">, the majority of patients who were considered eligible for </w:t>
      </w:r>
      <w:proofErr w:type="spellStart"/>
      <w:r w:rsidRPr="00B42397">
        <w:rPr>
          <w:rFonts w:asciiTheme="minorHAnsi" w:hAnsiTheme="minorHAnsi"/>
          <w:bCs/>
          <w:snapToGrid w:val="0"/>
        </w:rPr>
        <w:t>Ld</w:t>
      </w:r>
      <w:proofErr w:type="spellEnd"/>
      <w:r w:rsidR="002D79CE" w:rsidRPr="00B42397">
        <w:rPr>
          <w:rFonts w:asciiTheme="minorHAnsi" w:hAnsiTheme="minorHAnsi"/>
          <w:bCs/>
          <w:snapToGrid w:val="0"/>
        </w:rPr>
        <w:t xml:space="preserve">, i.e. those in whom retreatment with a lenalidomide-containing backbone is preferable compared to a </w:t>
      </w:r>
      <w:r w:rsidR="00967B71">
        <w:rPr>
          <w:rFonts w:asciiTheme="minorHAnsi" w:hAnsiTheme="minorHAnsi"/>
          <w:bCs/>
          <w:snapToGrid w:val="0"/>
        </w:rPr>
        <w:t>proteas</w:t>
      </w:r>
      <w:r w:rsidR="000056E6">
        <w:rPr>
          <w:rFonts w:asciiTheme="minorHAnsi" w:hAnsiTheme="minorHAnsi"/>
          <w:bCs/>
          <w:snapToGrid w:val="0"/>
        </w:rPr>
        <w:t>om</w:t>
      </w:r>
      <w:r w:rsidR="00967B71">
        <w:rPr>
          <w:rFonts w:asciiTheme="minorHAnsi" w:hAnsiTheme="minorHAnsi"/>
          <w:bCs/>
          <w:snapToGrid w:val="0"/>
        </w:rPr>
        <w:t>e inhibitor (e.g.</w:t>
      </w:r>
      <w:r w:rsidR="002D79CE" w:rsidRPr="00B42397">
        <w:rPr>
          <w:rFonts w:asciiTheme="minorHAnsi" w:hAnsiTheme="minorHAnsi"/>
          <w:bCs/>
          <w:snapToGrid w:val="0"/>
        </w:rPr>
        <w:t xml:space="preserve"> those with pre-existing peripheral neuropathy or cardiac issues),</w:t>
      </w:r>
      <w:r w:rsidRPr="00B42397">
        <w:rPr>
          <w:rFonts w:asciiTheme="minorHAnsi" w:hAnsiTheme="minorHAnsi"/>
          <w:bCs/>
          <w:snapToGrid w:val="0"/>
        </w:rPr>
        <w:t xml:space="preserve"> would also likely be </w:t>
      </w:r>
      <w:r w:rsidR="0038417A" w:rsidRPr="00B42397">
        <w:rPr>
          <w:rFonts w:asciiTheme="minorHAnsi" w:hAnsiTheme="minorHAnsi"/>
          <w:bCs/>
          <w:snapToGrid w:val="0"/>
        </w:rPr>
        <w:t xml:space="preserve">considered eligible for </w:t>
      </w:r>
      <w:proofErr w:type="spellStart"/>
      <w:r w:rsidR="0038417A" w:rsidRPr="00B42397">
        <w:rPr>
          <w:rFonts w:asciiTheme="minorHAnsi" w:hAnsiTheme="minorHAnsi"/>
          <w:bCs/>
          <w:snapToGrid w:val="0"/>
        </w:rPr>
        <w:t>E</w:t>
      </w:r>
      <w:r w:rsidRPr="00B42397">
        <w:rPr>
          <w:rFonts w:asciiTheme="minorHAnsi" w:hAnsiTheme="minorHAnsi"/>
          <w:bCs/>
          <w:snapToGrid w:val="0"/>
        </w:rPr>
        <w:t>Ld</w:t>
      </w:r>
      <w:proofErr w:type="spellEnd"/>
      <w:r w:rsidR="0038417A" w:rsidRPr="00B42397">
        <w:rPr>
          <w:rFonts w:asciiTheme="minorHAnsi" w:hAnsiTheme="minorHAnsi"/>
          <w:bCs/>
          <w:snapToGrid w:val="0"/>
        </w:rPr>
        <w:t xml:space="preserve">. The PBAC considered that if DBd was not listed on the PBS, then </w:t>
      </w:r>
      <w:proofErr w:type="spellStart"/>
      <w:proofErr w:type="gramStart"/>
      <w:r w:rsidR="0038417A" w:rsidRPr="00B42397">
        <w:rPr>
          <w:rFonts w:asciiTheme="minorHAnsi" w:hAnsiTheme="minorHAnsi"/>
          <w:bCs/>
          <w:snapToGrid w:val="0"/>
        </w:rPr>
        <w:t>Ld</w:t>
      </w:r>
      <w:proofErr w:type="spellEnd"/>
      <w:proofErr w:type="gramEnd"/>
      <w:r w:rsidR="0038417A" w:rsidRPr="00B42397">
        <w:rPr>
          <w:rFonts w:asciiTheme="minorHAnsi" w:hAnsiTheme="minorHAnsi"/>
          <w:bCs/>
          <w:snapToGrid w:val="0"/>
        </w:rPr>
        <w:t xml:space="preserve"> and Cd were relevant comparators</w:t>
      </w:r>
      <w:r w:rsidR="00B42397">
        <w:rPr>
          <w:rFonts w:asciiTheme="minorHAnsi" w:hAnsiTheme="minorHAnsi"/>
          <w:bCs/>
          <w:snapToGrid w:val="0"/>
        </w:rPr>
        <w:t xml:space="preserve">. </w:t>
      </w:r>
      <w:r w:rsidR="0038417A" w:rsidRPr="00B42397">
        <w:rPr>
          <w:iCs/>
          <w:color w:val="000000" w:themeColor="text1"/>
        </w:rPr>
        <w:t xml:space="preserve">The PBAC acknowledged that the implications of the recent PBS listings of lenalidomide in the first-line setting were unknown and created significant uncertainty around the predicted market shares of </w:t>
      </w:r>
      <w:proofErr w:type="spellStart"/>
      <w:proofErr w:type="gramStart"/>
      <w:r w:rsidR="0038417A" w:rsidRPr="00B42397">
        <w:rPr>
          <w:iCs/>
          <w:color w:val="000000" w:themeColor="text1"/>
        </w:rPr>
        <w:t>Ld</w:t>
      </w:r>
      <w:proofErr w:type="spellEnd"/>
      <w:proofErr w:type="gramEnd"/>
      <w:r w:rsidR="008456AA">
        <w:rPr>
          <w:iCs/>
          <w:color w:val="000000" w:themeColor="text1"/>
        </w:rPr>
        <w:t xml:space="preserve"> and</w:t>
      </w:r>
      <w:r w:rsidR="0038417A" w:rsidRPr="00B42397">
        <w:rPr>
          <w:iCs/>
          <w:color w:val="000000" w:themeColor="text1"/>
        </w:rPr>
        <w:t xml:space="preserve"> Cd in RRMM.</w:t>
      </w:r>
    </w:p>
    <w:p w14:paraId="0BAB6412" w14:textId="77777777" w:rsidR="004360D0" w:rsidRPr="00B42397" w:rsidRDefault="0038417A"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noted that the submission presented an ITC between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and Cd informed </w:t>
      </w:r>
      <w:r w:rsidRPr="00B42397">
        <w:rPr>
          <w:rFonts w:asciiTheme="minorHAnsi" w:hAnsiTheme="minorHAnsi"/>
          <w:bCs/>
          <w:snapToGrid w:val="0"/>
        </w:rPr>
        <w:lastRenderedPageBreak/>
        <w:t xml:space="preserve">by the </w:t>
      </w:r>
      <w:r w:rsidR="00F240FA" w:rsidRPr="00B42397">
        <w:rPr>
          <w:rFonts w:asciiTheme="minorHAnsi" w:hAnsiTheme="minorHAnsi"/>
          <w:bCs/>
          <w:snapToGrid w:val="0"/>
        </w:rPr>
        <w:t>ELOQUENT-2 (</w:t>
      </w:r>
      <w:proofErr w:type="spellStart"/>
      <w:r w:rsidR="00F240FA" w:rsidRPr="00B42397">
        <w:rPr>
          <w:rFonts w:asciiTheme="minorHAnsi" w:hAnsiTheme="minorHAnsi"/>
          <w:bCs/>
          <w:snapToGrid w:val="0"/>
        </w:rPr>
        <w:t>ELd</w:t>
      </w:r>
      <w:proofErr w:type="spellEnd"/>
      <w:r w:rsidR="00F240FA" w:rsidRPr="00B42397">
        <w:rPr>
          <w:rFonts w:asciiTheme="minorHAnsi" w:hAnsiTheme="minorHAnsi"/>
          <w:bCs/>
          <w:snapToGrid w:val="0"/>
        </w:rPr>
        <w:t xml:space="preserve"> versus </w:t>
      </w:r>
      <w:proofErr w:type="spellStart"/>
      <w:proofErr w:type="gramStart"/>
      <w:r w:rsidR="00F240FA" w:rsidRPr="00B42397">
        <w:rPr>
          <w:rFonts w:asciiTheme="minorHAnsi" w:hAnsiTheme="minorHAnsi"/>
          <w:bCs/>
          <w:snapToGrid w:val="0"/>
        </w:rPr>
        <w:t>Ld</w:t>
      </w:r>
      <w:proofErr w:type="spellEnd"/>
      <w:proofErr w:type="gramEnd"/>
      <w:r w:rsidR="00F240FA" w:rsidRPr="00B42397">
        <w:rPr>
          <w:rFonts w:asciiTheme="minorHAnsi" w:hAnsiTheme="minorHAnsi"/>
          <w:bCs/>
          <w:snapToGrid w:val="0"/>
        </w:rPr>
        <w:t xml:space="preserve">) and ENDEAVOR (Cd versus Bd) trials. </w:t>
      </w:r>
    </w:p>
    <w:p w14:paraId="492ACFBE" w14:textId="77777777" w:rsidR="004360D0" w:rsidRPr="00B42397" w:rsidRDefault="004360D0"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noted that the results of the ELOQUENT-2 trial indicated that patients treated with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had significantly longer PFS (HR = 0.</w:t>
      </w:r>
      <w:r w:rsidR="00967B71">
        <w:rPr>
          <w:rFonts w:asciiTheme="minorHAnsi" w:hAnsiTheme="minorHAnsi"/>
          <w:bCs/>
          <w:snapToGrid w:val="0"/>
        </w:rPr>
        <w:t>68</w:t>
      </w:r>
      <w:r w:rsidRPr="00B42397">
        <w:rPr>
          <w:rFonts w:asciiTheme="minorHAnsi" w:hAnsiTheme="minorHAnsi"/>
          <w:bCs/>
          <w:snapToGrid w:val="0"/>
        </w:rPr>
        <w:t>; 95% CI: 0.</w:t>
      </w:r>
      <w:r w:rsidR="00967B71">
        <w:rPr>
          <w:rFonts w:asciiTheme="minorHAnsi" w:hAnsiTheme="minorHAnsi"/>
          <w:bCs/>
          <w:snapToGrid w:val="0"/>
        </w:rPr>
        <w:t>56</w:t>
      </w:r>
      <w:r w:rsidRPr="00B42397">
        <w:rPr>
          <w:rFonts w:asciiTheme="minorHAnsi" w:hAnsiTheme="minorHAnsi"/>
          <w:bCs/>
          <w:snapToGrid w:val="0"/>
        </w:rPr>
        <w:t>, 0.</w:t>
      </w:r>
      <w:r w:rsidR="00967B71">
        <w:rPr>
          <w:rFonts w:asciiTheme="minorHAnsi" w:hAnsiTheme="minorHAnsi"/>
          <w:bCs/>
          <w:snapToGrid w:val="0"/>
        </w:rPr>
        <w:t>83 at 24.5 months median follow-up</w:t>
      </w:r>
      <w:r w:rsidRPr="00B42397">
        <w:rPr>
          <w:rFonts w:asciiTheme="minorHAnsi" w:hAnsiTheme="minorHAnsi"/>
          <w:bCs/>
          <w:snapToGrid w:val="0"/>
        </w:rPr>
        <w:t>) and OS (HR = 0.</w:t>
      </w:r>
      <w:r w:rsidR="00967B71">
        <w:rPr>
          <w:rFonts w:asciiTheme="minorHAnsi" w:hAnsiTheme="minorHAnsi"/>
          <w:bCs/>
          <w:snapToGrid w:val="0"/>
        </w:rPr>
        <w:t>77</w:t>
      </w:r>
      <w:r w:rsidRPr="00B42397">
        <w:rPr>
          <w:rFonts w:asciiTheme="minorHAnsi" w:hAnsiTheme="minorHAnsi"/>
          <w:bCs/>
          <w:snapToGrid w:val="0"/>
        </w:rPr>
        <w:t>; 95% CI: 0.6</w:t>
      </w:r>
      <w:r w:rsidR="00967B71">
        <w:rPr>
          <w:rFonts w:asciiTheme="minorHAnsi" w:hAnsiTheme="minorHAnsi"/>
          <w:bCs/>
          <w:snapToGrid w:val="0"/>
        </w:rPr>
        <w:t>1</w:t>
      </w:r>
      <w:r w:rsidRPr="00B42397">
        <w:rPr>
          <w:rFonts w:asciiTheme="minorHAnsi" w:hAnsiTheme="minorHAnsi"/>
          <w:bCs/>
          <w:snapToGrid w:val="0"/>
        </w:rPr>
        <w:t>, 0.9</w:t>
      </w:r>
      <w:r w:rsidR="00967B71">
        <w:rPr>
          <w:rFonts w:asciiTheme="minorHAnsi" w:hAnsiTheme="minorHAnsi"/>
          <w:bCs/>
          <w:snapToGrid w:val="0"/>
        </w:rPr>
        <w:t>7 at 38.7 months median follow-up</w:t>
      </w:r>
      <w:r w:rsidRPr="00B42397">
        <w:rPr>
          <w:rFonts w:asciiTheme="minorHAnsi" w:hAnsiTheme="minorHAnsi"/>
          <w:bCs/>
          <w:snapToGrid w:val="0"/>
        </w:rPr>
        <w:t>) compared to those treated with Ld.</w:t>
      </w:r>
    </w:p>
    <w:p w14:paraId="0A7097A0" w14:textId="77777777" w:rsidR="004360D0" w:rsidRPr="00B42397" w:rsidRDefault="004360D0"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The PBAC noted that the results of the ENDEAVOR trial indicated that patients treated with Cd had significantly longer PFS (HR = 0.55; 95% CI: 0.46, 0.65</w:t>
      </w:r>
      <w:r w:rsidR="00967B71">
        <w:rPr>
          <w:rFonts w:asciiTheme="minorHAnsi" w:hAnsiTheme="minorHAnsi"/>
          <w:bCs/>
          <w:snapToGrid w:val="0"/>
        </w:rPr>
        <w:t xml:space="preserve"> at 16.6 months median follow-up</w:t>
      </w:r>
      <w:r w:rsidRPr="00B42397">
        <w:rPr>
          <w:rFonts w:asciiTheme="minorHAnsi" w:hAnsiTheme="minorHAnsi"/>
          <w:bCs/>
          <w:snapToGrid w:val="0"/>
        </w:rPr>
        <w:t>) and OS (HR = 0.7</w:t>
      </w:r>
      <w:r w:rsidR="00967B71">
        <w:rPr>
          <w:rFonts w:asciiTheme="minorHAnsi" w:hAnsiTheme="minorHAnsi"/>
          <w:bCs/>
          <w:snapToGrid w:val="0"/>
        </w:rPr>
        <w:t>9</w:t>
      </w:r>
      <w:r w:rsidRPr="00B42397">
        <w:rPr>
          <w:rFonts w:asciiTheme="minorHAnsi" w:hAnsiTheme="minorHAnsi"/>
          <w:bCs/>
          <w:snapToGrid w:val="0"/>
        </w:rPr>
        <w:t>; 95% CI: 0.6</w:t>
      </w:r>
      <w:r w:rsidR="00967B71">
        <w:rPr>
          <w:rFonts w:asciiTheme="minorHAnsi" w:hAnsiTheme="minorHAnsi"/>
          <w:bCs/>
          <w:snapToGrid w:val="0"/>
        </w:rPr>
        <w:t>5</w:t>
      </w:r>
      <w:r w:rsidRPr="00B42397">
        <w:rPr>
          <w:rFonts w:asciiTheme="minorHAnsi" w:hAnsiTheme="minorHAnsi"/>
          <w:bCs/>
          <w:snapToGrid w:val="0"/>
        </w:rPr>
        <w:t>, 0.9</w:t>
      </w:r>
      <w:r w:rsidR="00967B71">
        <w:rPr>
          <w:rFonts w:asciiTheme="minorHAnsi" w:hAnsiTheme="minorHAnsi"/>
          <w:bCs/>
          <w:snapToGrid w:val="0"/>
        </w:rPr>
        <w:t>6 at 37.2 months median follow-up</w:t>
      </w:r>
      <w:r w:rsidRPr="00B42397">
        <w:rPr>
          <w:rFonts w:asciiTheme="minorHAnsi" w:hAnsiTheme="minorHAnsi"/>
          <w:bCs/>
          <w:snapToGrid w:val="0"/>
        </w:rPr>
        <w:t>) compared to those treated with Bd.</w:t>
      </w:r>
    </w:p>
    <w:p w14:paraId="1C75824F" w14:textId="77777777" w:rsidR="007578B8" w:rsidRPr="00B42397" w:rsidRDefault="007578B8"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The PBAC noted that the results of the ITC comparison</w:t>
      </w:r>
      <w:r w:rsidR="000026DF">
        <w:rPr>
          <w:rFonts w:asciiTheme="minorHAnsi" w:hAnsiTheme="minorHAnsi"/>
          <w:bCs/>
          <w:snapToGrid w:val="0"/>
        </w:rPr>
        <w:t xml:space="preserve">, based on the </w:t>
      </w:r>
      <w:r w:rsidR="00967B71">
        <w:rPr>
          <w:rFonts w:asciiTheme="minorHAnsi" w:hAnsiTheme="minorHAnsi"/>
          <w:bCs/>
          <w:snapToGrid w:val="0"/>
        </w:rPr>
        <w:t xml:space="preserve">data cuts stated in paragraphs 7.6 and 7.7 </w:t>
      </w:r>
      <w:r w:rsidR="000026DF">
        <w:rPr>
          <w:rFonts w:asciiTheme="minorHAnsi" w:hAnsiTheme="minorHAnsi"/>
          <w:bCs/>
          <w:snapToGrid w:val="0"/>
        </w:rPr>
        <w:t xml:space="preserve">for </w:t>
      </w:r>
      <w:r w:rsidR="00967B71">
        <w:rPr>
          <w:rFonts w:asciiTheme="minorHAnsi" w:hAnsiTheme="minorHAnsi"/>
          <w:bCs/>
          <w:snapToGrid w:val="0"/>
        </w:rPr>
        <w:t xml:space="preserve">the </w:t>
      </w:r>
      <w:r w:rsidR="000026DF">
        <w:rPr>
          <w:rFonts w:asciiTheme="minorHAnsi" w:hAnsiTheme="minorHAnsi"/>
          <w:bCs/>
          <w:snapToGrid w:val="0"/>
        </w:rPr>
        <w:t xml:space="preserve">ELOQUENT-2 </w:t>
      </w:r>
      <w:r w:rsidR="00967B71">
        <w:rPr>
          <w:rFonts w:asciiTheme="minorHAnsi" w:hAnsiTheme="minorHAnsi"/>
          <w:bCs/>
          <w:snapToGrid w:val="0"/>
        </w:rPr>
        <w:t>and</w:t>
      </w:r>
      <w:r w:rsidR="000026DF">
        <w:rPr>
          <w:rFonts w:asciiTheme="minorHAnsi" w:hAnsiTheme="minorHAnsi"/>
          <w:bCs/>
          <w:snapToGrid w:val="0"/>
        </w:rPr>
        <w:t xml:space="preserve"> ENDEAVOR</w:t>
      </w:r>
      <w:r w:rsidRPr="00B42397">
        <w:rPr>
          <w:rFonts w:asciiTheme="minorHAnsi" w:hAnsiTheme="minorHAnsi"/>
          <w:bCs/>
          <w:snapToGrid w:val="0"/>
        </w:rPr>
        <w:t xml:space="preserve"> </w:t>
      </w:r>
      <w:r w:rsidR="00967B71">
        <w:rPr>
          <w:rFonts w:asciiTheme="minorHAnsi" w:hAnsiTheme="minorHAnsi"/>
          <w:bCs/>
          <w:snapToGrid w:val="0"/>
        </w:rPr>
        <w:t xml:space="preserve">trials, </w:t>
      </w:r>
      <w:r w:rsidRPr="00B42397">
        <w:rPr>
          <w:rFonts w:asciiTheme="minorHAnsi" w:hAnsiTheme="minorHAnsi"/>
          <w:bCs/>
          <w:snapToGrid w:val="0"/>
        </w:rPr>
        <w:t xml:space="preserve">favoured Cd relative to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in terms of PFS (HR = 1.236; 95% CI: 0.95, 1.61) </w:t>
      </w:r>
      <w:r w:rsidR="000026DF">
        <w:rPr>
          <w:rFonts w:asciiTheme="minorHAnsi" w:hAnsiTheme="minorHAnsi"/>
          <w:bCs/>
          <w:snapToGrid w:val="0"/>
        </w:rPr>
        <w:t>with</w:t>
      </w:r>
      <w:r w:rsidRPr="00B42397">
        <w:rPr>
          <w:rFonts w:asciiTheme="minorHAnsi" w:hAnsiTheme="minorHAnsi"/>
          <w:bCs/>
          <w:snapToGrid w:val="0"/>
        </w:rPr>
        <w:t xml:space="preserve"> </w:t>
      </w:r>
      <w:r w:rsidR="000026DF">
        <w:rPr>
          <w:rFonts w:asciiTheme="minorHAnsi" w:hAnsiTheme="minorHAnsi"/>
          <w:bCs/>
          <w:snapToGrid w:val="0"/>
        </w:rPr>
        <w:t xml:space="preserve">similar </w:t>
      </w:r>
      <w:r w:rsidRPr="00B42397">
        <w:rPr>
          <w:rFonts w:asciiTheme="minorHAnsi" w:hAnsiTheme="minorHAnsi"/>
          <w:bCs/>
          <w:snapToGrid w:val="0"/>
        </w:rPr>
        <w:t>OS (HR = 0.975; 95% CI: 0.72, 1.32).</w:t>
      </w:r>
    </w:p>
    <w:p w14:paraId="6314D87B" w14:textId="77777777" w:rsidR="00EB7F2E" w:rsidRPr="00B42397" w:rsidRDefault="00803114"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w:t>
      </w:r>
      <w:r w:rsidR="00680BBE" w:rsidRPr="00B42397">
        <w:rPr>
          <w:rFonts w:asciiTheme="minorHAnsi" w:hAnsiTheme="minorHAnsi"/>
          <w:bCs/>
          <w:snapToGrid w:val="0"/>
        </w:rPr>
        <w:t>considered</w:t>
      </w:r>
      <w:r w:rsidRPr="00B42397">
        <w:rPr>
          <w:rFonts w:asciiTheme="minorHAnsi" w:hAnsiTheme="minorHAnsi"/>
          <w:bCs/>
          <w:snapToGrid w:val="0"/>
        </w:rPr>
        <w:t xml:space="preserve"> that there were </w:t>
      </w:r>
      <w:r w:rsidR="007578B8" w:rsidRPr="00B42397">
        <w:rPr>
          <w:rFonts w:asciiTheme="minorHAnsi" w:hAnsiTheme="minorHAnsi"/>
          <w:bCs/>
          <w:snapToGrid w:val="0"/>
        </w:rPr>
        <w:t xml:space="preserve">eligibility differences (paragraph 6.7) and </w:t>
      </w:r>
      <w:r w:rsidRPr="00B42397">
        <w:rPr>
          <w:rFonts w:asciiTheme="minorHAnsi" w:hAnsiTheme="minorHAnsi"/>
          <w:bCs/>
          <w:snapToGrid w:val="0"/>
        </w:rPr>
        <w:t xml:space="preserve">transitivity issues </w:t>
      </w:r>
      <w:r w:rsidR="007578B8" w:rsidRPr="00B42397">
        <w:rPr>
          <w:rFonts w:asciiTheme="minorHAnsi" w:hAnsiTheme="minorHAnsi"/>
          <w:bCs/>
          <w:snapToGrid w:val="0"/>
        </w:rPr>
        <w:t xml:space="preserve">(paragraph </w:t>
      </w:r>
      <w:r w:rsidR="007578B8" w:rsidRPr="00BB69EA">
        <w:rPr>
          <w:rFonts w:asciiTheme="minorHAnsi" w:hAnsiTheme="minorHAnsi"/>
          <w:bCs/>
          <w:snapToGrid w:val="0"/>
        </w:rPr>
        <w:t>6.9)</w:t>
      </w:r>
      <w:r w:rsidR="007578B8" w:rsidRPr="00B42397">
        <w:rPr>
          <w:rFonts w:asciiTheme="minorHAnsi" w:hAnsiTheme="minorHAnsi"/>
          <w:bCs/>
          <w:snapToGrid w:val="0"/>
        </w:rPr>
        <w:t xml:space="preserve"> </w:t>
      </w:r>
      <w:r w:rsidRPr="00B42397">
        <w:rPr>
          <w:rFonts w:asciiTheme="minorHAnsi" w:hAnsiTheme="minorHAnsi"/>
          <w:bCs/>
          <w:snapToGrid w:val="0"/>
        </w:rPr>
        <w:t xml:space="preserve">between the trials </w:t>
      </w:r>
      <w:r w:rsidR="007578B8" w:rsidRPr="00B42397">
        <w:rPr>
          <w:rFonts w:asciiTheme="minorHAnsi" w:hAnsiTheme="minorHAnsi"/>
          <w:bCs/>
          <w:snapToGrid w:val="0"/>
        </w:rPr>
        <w:t>which limited the comparability of the trials and made interpretation of the ITC difficult</w:t>
      </w:r>
      <w:r w:rsidR="00680BBE" w:rsidRPr="00B42397">
        <w:rPr>
          <w:rFonts w:asciiTheme="minorHAnsi" w:hAnsiTheme="minorHAnsi"/>
          <w:bCs/>
          <w:snapToGrid w:val="0"/>
        </w:rPr>
        <w:t xml:space="preserve">. The PBAC also noted </w:t>
      </w:r>
      <w:r w:rsidR="007578B8" w:rsidRPr="00B42397">
        <w:rPr>
          <w:rFonts w:asciiTheme="minorHAnsi" w:hAnsiTheme="minorHAnsi"/>
          <w:bCs/>
          <w:snapToGrid w:val="0"/>
        </w:rPr>
        <w:t xml:space="preserve">that no non-inferiority margin was nominated. </w:t>
      </w:r>
    </w:p>
    <w:p w14:paraId="31C1C0F9" w14:textId="77777777" w:rsidR="00C958E5" w:rsidRPr="00B42397" w:rsidRDefault="00C958E5"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The PBAC noted that the submission assumed that the comparator arms of the trials (</w:t>
      </w:r>
      <w:proofErr w:type="spellStart"/>
      <w:proofErr w:type="gramStart"/>
      <w:r w:rsidRPr="00B42397">
        <w:rPr>
          <w:rFonts w:asciiTheme="minorHAnsi" w:hAnsiTheme="minorHAnsi"/>
          <w:bCs/>
          <w:snapToGrid w:val="0"/>
        </w:rPr>
        <w:t>Ld</w:t>
      </w:r>
      <w:proofErr w:type="spellEnd"/>
      <w:proofErr w:type="gramEnd"/>
      <w:r w:rsidRPr="00B42397">
        <w:rPr>
          <w:rFonts w:asciiTheme="minorHAnsi" w:hAnsiTheme="minorHAnsi"/>
          <w:bCs/>
          <w:snapToGrid w:val="0"/>
        </w:rPr>
        <w:t xml:space="preserve"> in ELOQUENT-2 and Bd in ENDEAVOR) were equivalent</w:t>
      </w:r>
      <w:r w:rsidR="004360D0" w:rsidRPr="00B42397">
        <w:rPr>
          <w:rFonts w:asciiTheme="minorHAnsi" w:hAnsiTheme="minorHAnsi"/>
          <w:bCs/>
          <w:snapToGrid w:val="0"/>
        </w:rPr>
        <w:t xml:space="preserve"> and </w:t>
      </w:r>
      <w:r w:rsidR="00252015" w:rsidRPr="00B42397">
        <w:rPr>
          <w:rFonts w:asciiTheme="minorHAnsi" w:hAnsiTheme="minorHAnsi"/>
          <w:bCs/>
          <w:snapToGrid w:val="0"/>
        </w:rPr>
        <w:t xml:space="preserve">therefore </w:t>
      </w:r>
      <w:r w:rsidR="004360D0" w:rsidRPr="00B42397">
        <w:rPr>
          <w:rFonts w:asciiTheme="minorHAnsi" w:hAnsiTheme="minorHAnsi"/>
          <w:bCs/>
          <w:snapToGrid w:val="0"/>
        </w:rPr>
        <w:t xml:space="preserve">did not adjust for any potential differences in the outcomes. </w:t>
      </w:r>
      <w:r w:rsidR="00252015" w:rsidRPr="00B42397">
        <w:rPr>
          <w:rFonts w:asciiTheme="minorHAnsi" w:hAnsiTheme="minorHAnsi"/>
          <w:bCs/>
          <w:snapToGrid w:val="0"/>
        </w:rPr>
        <w:t>T</w:t>
      </w:r>
      <w:r w:rsidR="004360D0" w:rsidRPr="00B42397">
        <w:rPr>
          <w:rFonts w:asciiTheme="minorHAnsi" w:hAnsiTheme="minorHAnsi"/>
          <w:bCs/>
          <w:snapToGrid w:val="0"/>
        </w:rPr>
        <w:t xml:space="preserve">he PBAC considered that the results of the ITC were likely to be confounded by differences in the efficacy of the </w:t>
      </w:r>
      <w:r w:rsidR="00252015" w:rsidRPr="00B42397">
        <w:rPr>
          <w:rFonts w:asciiTheme="minorHAnsi" w:hAnsiTheme="minorHAnsi"/>
          <w:bCs/>
          <w:snapToGrid w:val="0"/>
        </w:rPr>
        <w:t xml:space="preserve">comparator arm </w:t>
      </w:r>
      <w:r w:rsidR="004360D0" w:rsidRPr="00B42397">
        <w:rPr>
          <w:rFonts w:asciiTheme="minorHAnsi" w:hAnsiTheme="minorHAnsi"/>
          <w:bCs/>
          <w:snapToGrid w:val="0"/>
        </w:rPr>
        <w:t>therapies</w:t>
      </w:r>
      <w:r w:rsidR="000056E6">
        <w:rPr>
          <w:rFonts w:asciiTheme="minorHAnsi" w:hAnsiTheme="minorHAnsi"/>
          <w:bCs/>
          <w:snapToGrid w:val="0"/>
        </w:rPr>
        <w:t xml:space="preserve">, noting that in November 2016 it had stated that it may not be reasonable to assume non-inferior efficacy between Bd and </w:t>
      </w:r>
      <w:proofErr w:type="spellStart"/>
      <w:proofErr w:type="gramStart"/>
      <w:r w:rsidR="000056E6">
        <w:rPr>
          <w:rFonts w:asciiTheme="minorHAnsi" w:hAnsiTheme="minorHAnsi"/>
          <w:bCs/>
          <w:snapToGrid w:val="0"/>
        </w:rPr>
        <w:t>Ld</w:t>
      </w:r>
      <w:proofErr w:type="spellEnd"/>
      <w:proofErr w:type="gramEnd"/>
      <w:r w:rsidR="000056E6">
        <w:rPr>
          <w:rFonts w:asciiTheme="minorHAnsi" w:hAnsiTheme="minorHAnsi"/>
          <w:bCs/>
          <w:snapToGrid w:val="0"/>
        </w:rPr>
        <w:t xml:space="preserve"> (paragraph 5.3, carfilzomib PSD, November 2016)</w:t>
      </w:r>
      <w:r w:rsidR="004360D0" w:rsidRPr="00B42397">
        <w:rPr>
          <w:rFonts w:asciiTheme="minorHAnsi" w:hAnsiTheme="minorHAnsi"/>
          <w:bCs/>
          <w:snapToGrid w:val="0"/>
        </w:rPr>
        <w:t>.</w:t>
      </w:r>
    </w:p>
    <w:p w14:paraId="7114E593" w14:textId="77777777" w:rsidR="004360D0" w:rsidRPr="00B42397" w:rsidRDefault="0001719C"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Overall, the PBAC considered that the nature of the ITC, the differences between the ELOQUENT-2 and ENDEAVOR trials</w:t>
      </w:r>
      <w:r w:rsidR="00096A57" w:rsidRPr="00B42397">
        <w:rPr>
          <w:rFonts w:asciiTheme="minorHAnsi" w:hAnsiTheme="minorHAnsi"/>
          <w:bCs/>
          <w:snapToGrid w:val="0"/>
        </w:rPr>
        <w:t xml:space="preserve"> and the lack of a nominated non-inferiority margin</w:t>
      </w:r>
      <w:r w:rsidRPr="00B42397">
        <w:rPr>
          <w:rFonts w:asciiTheme="minorHAnsi" w:hAnsiTheme="minorHAnsi"/>
          <w:bCs/>
          <w:snapToGrid w:val="0"/>
        </w:rPr>
        <w:t xml:space="preserve"> </w:t>
      </w:r>
      <w:r w:rsidR="000026DF">
        <w:rPr>
          <w:rFonts w:asciiTheme="minorHAnsi" w:hAnsiTheme="minorHAnsi"/>
          <w:bCs/>
          <w:snapToGrid w:val="0"/>
        </w:rPr>
        <w:t>impacted on</w:t>
      </w:r>
      <w:r w:rsidRPr="00B42397">
        <w:rPr>
          <w:rFonts w:asciiTheme="minorHAnsi" w:hAnsiTheme="minorHAnsi"/>
          <w:bCs/>
          <w:snapToGrid w:val="0"/>
        </w:rPr>
        <w:t xml:space="preserve"> the reliabi</w:t>
      </w:r>
      <w:r w:rsidR="0051536F" w:rsidRPr="00B42397">
        <w:rPr>
          <w:rFonts w:asciiTheme="minorHAnsi" w:hAnsiTheme="minorHAnsi"/>
          <w:bCs/>
          <w:snapToGrid w:val="0"/>
        </w:rPr>
        <w:t>li</w:t>
      </w:r>
      <w:r w:rsidRPr="00B42397">
        <w:rPr>
          <w:rFonts w:asciiTheme="minorHAnsi" w:hAnsiTheme="minorHAnsi"/>
          <w:bCs/>
          <w:snapToGrid w:val="0"/>
        </w:rPr>
        <w:t xml:space="preserve">ty of the comparison. </w:t>
      </w:r>
      <w:r w:rsidR="002762FB">
        <w:rPr>
          <w:rFonts w:asciiTheme="minorHAnsi" w:hAnsiTheme="minorHAnsi"/>
          <w:bCs/>
          <w:snapToGrid w:val="0"/>
        </w:rPr>
        <w:t xml:space="preserve">On the basis of these issues together with </w:t>
      </w:r>
      <w:r w:rsidR="00096A57" w:rsidRPr="00B42397">
        <w:rPr>
          <w:rFonts w:asciiTheme="minorHAnsi" w:hAnsiTheme="minorHAnsi"/>
          <w:bCs/>
          <w:snapToGrid w:val="0"/>
        </w:rPr>
        <w:t>concerns regarding the equivalence of the comparator arms</w:t>
      </w:r>
      <w:r w:rsidR="002762FB">
        <w:rPr>
          <w:rFonts w:asciiTheme="minorHAnsi" w:hAnsiTheme="minorHAnsi"/>
          <w:bCs/>
          <w:snapToGrid w:val="0"/>
        </w:rPr>
        <w:t>,</w:t>
      </w:r>
      <w:r w:rsidR="00096A57" w:rsidRPr="00B42397">
        <w:rPr>
          <w:rFonts w:asciiTheme="minorHAnsi" w:hAnsiTheme="minorHAnsi"/>
          <w:bCs/>
          <w:snapToGrid w:val="0"/>
        </w:rPr>
        <w:t xml:space="preserve"> the PBAC considered that the results did not adequate</w:t>
      </w:r>
      <w:r w:rsidR="00252015" w:rsidRPr="00B42397">
        <w:rPr>
          <w:rFonts w:asciiTheme="minorHAnsi" w:hAnsiTheme="minorHAnsi"/>
          <w:bCs/>
          <w:snapToGrid w:val="0"/>
        </w:rPr>
        <w:t>ly</w:t>
      </w:r>
      <w:r w:rsidR="00096A57" w:rsidRPr="00B42397">
        <w:rPr>
          <w:rFonts w:asciiTheme="minorHAnsi" w:hAnsiTheme="minorHAnsi"/>
          <w:bCs/>
          <w:snapToGrid w:val="0"/>
        </w:rPr>
        <w:t xml:space="preserve"> demonstrate non-inferiority between </w:t>
      </w:r>
      <w:proofErr w:type="spellStart"/>
      <w:r w:rsidR="00096A57" w:rsidRPr="00B42397">
        <w:rPr>
          <w:rFonts w:asciiTheme="minorHAnsi" w:hAnsiTheme="minorHAnsi"/>
          <w:bCs/>
          <w:snapToGrid w:val="0"/>
        </w:rPr>
        <w:t>ELd</w:t>
      </w:r>
      <w:proofErr w:type="spellEnd"/>
      <w:r w:rsidR="00096A57" w:rsidRPr="00B42397">
        <w:rPr>
          <w:rFonts w:asciiTheme="minorHAnsi" w:hAnsiTheme="minorHAnsi"/>
          <w:bCs/>
          <w:snapToGrid w:val="0"/>
        </w:rPr>
        <w:t xml:space="preserve"> and Cd in terms of efficacy.</w:t>
      </w:r>
    </w:p>
    <w:p w14:paraId="49B81F6E" w14:textId="77777777" w:rsidR="00096A57" w:rsidRPr="00B42397" w:rsidRDefault="00096A57"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noted that the submission presented a naïve ITC for the comparison of safety between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and Cd. The PBAC noted that safety was compared at the end of follow-up of treatment, which </w:t>
      </w:r>
      <w:r w:rsidR="001C2D74" w:rsidRPr="00B42397">
        <w:rPr>
          <w:rFonts w:asciiTheme="minorHAnsi" w:hAnsiTheme="minorHAnsi"/>
          <w:bCs/>
          <w:snapToGrid w:val="0"/>
        </w:rPr>
        <w:t>differed considerably (</w:t>
      </w:r>
      <w:r w:rsidRPr="00B42397">
        <w:rPr>
          <w:rFonts w:asciiTheme="minorHAnsi" w:hAnsiTheme="minorHAnsi"/>
          <w:bCs/>
          <w:snapToGrid w:val="0"/>
        </w:rPr>
        <w:t xml:space="preserve">ELOQUENT </w:t>
      </w:r>
      <w:r w:rsidR="001C2D74" w:rsidRPr="00B42397">
        <w:rPr>
          <w:rFonts w:asciiTheme="minorHAnsi" w:hAnsiTheme="minorHAnsi"/>
          <w:bCs/>
          <w:snapToGrid w:val="0"/>
        </w:rPr>
        <w:t>=</w:t>
      </w:r>
      <w:r w:rsidRPr="00B42397">
        <w:rPr>
          <w:rFonts w:asciiTheme="minorHAnsi" w:hAnsiTheme="minorHAnsi"/>
          <w:bCs/>
          <w:snapToGrid w:val="0"/>
        </w:rPr>
        <w:t xml:space="preserve"> 73 week</w:t>
      </w:r>
      <w:r w:rsidR="001C2D74" w:rsidRPr="00B42397">
        <w:rPr>
          <w:rFonts w:asciiTheme="minorHAnsi" w:hAnsiTheme="minorHAnsi"/>
          <w:bCs/>
          <w:snapToGrid w:val="0"/>
        </w:rPr>
        <w:t>s</w:t>
      </w:r>
      <w:r w:rsidR="00B42397" w:rsidRPr="00B42397">
        <w:rPr>
          <w:rFonts w:asciiTheme="minorHAnsi" w:hAnsiTheme="minorHAnsi"/>
          <w:bCs/>
          <w:snapToGrid w:val="0"/>
        </w:rPr>
        <w:t>; ENDEAVOR</w:t>
      </w:r>
      <w:r w:rsidR="001C2D74" w:rsidRPr="00B42397">
        <w:rPr>
          <w:rFonts w:asciiTheme="minorHAnsi" w:hAnsiTheme="minorHAnsi"/>
          <w:bCs/>
          <w:snapToGrid w:val="0"/>
        </w:rPr>
        <w:t xml:space="preserve"> = 48 weeks) and may have biased the results in favour of Cd. The PBAC noted that the reported rates of Grade 3-4 </w:t>
      </w:r>
      <w:r w:rsidR="000056E6">
        <w:rPr>
          <w:rFonts w:asciiTheme="minorHAnsi" w:hAnsiTheme="minorHAnsi"/>
          <w:bCs/>
          <w:snapToGrid w:val="0"/>
        </w:rPr>
        <w:t>adverse events (</w:t>
      </w:r>
      <w:r w:rsidR="001C2D74" w:rsidRPr="00B42397">
        <w:rPr>
          <w:rFonts w:asciiTheme="minorHAnsi" w:hAnsiTheme="minorHAnsi"/>
          <w:bCs/>
          <w:snapToGrid w:val="0"/>
        </w:rPr>
        <w:t>AEs</w:t>
      </w:r>
      <w:r w:rsidR="000056E6">
        <w:rPr>
          <w:rFonts w:asciiTheme="minorHAnsi" w:hAnsiTheme="minorHAnsi"/>
          <w:bCs/>
          <w:snapToGrid w:val="0"/>
        </w:rPr>
        <w:t>)</w:t>
      </w:r>
      <w:r w:rsidR="001C2D74" w:rsidRPr="00B42397">
        <w:rPr>
          <w:rFonts w:asciiTheme="minorHAnsi" w:hAnsiTheme="minorHAnsi"/>
          <w:bCs/>
          <w:snapToGrid w:val="0"/>
        </w:rPr>
        <w:t xml:space="preserve"> which were higher for </w:t>
      </w:r>
      <w:proofErr w:type="spellStart"/>
      <w:r w:rsidR="001C2D74" w:rsidRPr="00B42397">
        <w:rPr>
          <w:rFonts w:asciiTheme="minorHAnsi" w:hAnsiTheme="minorHAnsi"/>
          <w:bCs/>
          <w:snapToGrid w:val="0"/>
        </w:rPr>
        <w:t>ELd</w:t>
      </w:r>
      <w:proofErr w:type="spellEnd"/>
      <w:r w:rsidR="001C2D74" w:rsidRPr="00B42397">
        <w:rPr>
          <w:rFonts w:asciiTheme="minorHAnsi" w:hAnsiTheme="minorHAnsi"/>
          <w:bCs/>
          <w:snapToGrid w:val="0"/>
        </w:rPr>
        <w:t xml:space="preserve"> compared to Cd were neutropenia (27.0% vs 2.4%), pneumonia (15.1% vs 8.4%), cataracts (10.1% vs 2.4%) and DVT (6.6% vs 0.9%). The rates of Grade 3-4 AEs which were higher for Cd were hypertension (14.5% vs 2.2%) and decreased lymphocyte count (6.3% vs 0.3%).</w:t>
      </w:r>
    </w:p>
    <w:p w14:paraId="379A8F82" w14:textId="77777777" w:rsidR="002762FB" w:rsidRPr="00FB66E0" w:rsidRDefault="002762FB" w:rsidP="00FB66E0">
      <w:pPr>
        <w:widowControl w:val="0"/>
        <w:numPr>
          <w:ilvl w:val="1"/>
          <w:numId w:val="1"/>
        </w:numPr>
        <w:spacing w:after="120"/>
        <w:rPr>
          <w:bCs/>
        </w:rPr>
      </w:pPr>
      <w:r>
        <w:rPr>
          <w:rFonts w:asciiTheme="minorHAnsi" w:hAnsiTheme="minorHAnsi"/>
          <w:bCs/>
          <w:snapToGrid w:val="0"/>
        </w:rPr>
        <w:lastRenderedPageBreak/>
        <w:t>Overall, t</w:t>
      </w:r>
      <w:r w:rsidR="001C2D74" w:rsidRPr="00B42397">
        <w:rPr>
          <w:rFonts w:asciiTheme="minorHAnsi" w:hAnsiTheme="minorHAnsi"/>
          <w:bCs/>
          <w:snapToGrid w:val="0"/>
        </w:rPr>
        <w:t xml:space="preserve">he PBAC considered that non-inferiority between </w:t>
      </w:r>
      <w:proofErr w:type="spellStart"/>
      <w:r w:rsidR="001C2D74" w:rsidRPr="00B42397">
        <w:rPr>
          <w:rFonts w:asciiTheme="minorHAnsi" w:hAnsiTheme="minorHAnsi"/>
          <w:bCs/>
          <w:snapToGrid w:val="0"/>
        </w:rPr>
        <w:t>ELd</w:t>
      </w:r>
      <w:proofErr w:type="spellEnd"/>
      <w:r w:rsidR="001C2D74" w:rsidRPr="00B42397">
        <w:rPr>
          <w:rFonts w:asciiTheme="minorHAnsi" w:hAnsiTheme="minorHAnsi"/>
          <w:bCs/>
          <w:snapToGrid w:val="0"/>
        </w:rPr>
        <w:t xml:space="preserve"> and Cd in terms of safety</w:t>
      </w:r>
      <w:r>
        <w:rPr>
          <w:rFonts w:asciiTheme="minorHAnsi" w:hAnsiTheme="minorHAnsi"/>
          <w:bCs/>
          <w:snapToGrid w:val="0"/>
        </w:rPr>
        <w:t xml:space="preserve"> was not adequately demonstrated</w:t>
      </w:r>
      <w:r w:rsidR="001C2D74" w:rsidRPr="00B42397">
        <w:rPr>
          <w:rFonts w:asciiTheme="minorHAnsi" w:hAnsiTheme="minorHAnsi"/>
          <w:bCs/>
          <w:snapToGrid w:val="0"/>
        </w:rPr>
        <w:t>.</w:t>
      </w:r>
    </w:p>
    <w:p w14:paraId="3F80522E" w14:textId="77777777" w:rsidR="002F7ACB" w:rsidRPr="00B42397" w:rsidRDefault="001C2D74" w:rsidP="00FB66E0">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noted that the submission presented a </w:t>
      </w:r>
      <w:r w:rsidR="000056E6">
        <w:rPr>
          <w:rFonts w:asciiTheme="minorHAnsi" w:hAnsiTheme="minorHAnsi"/>
          <w:bCs/>
          <w:snapToGrid w:val="0"/>
        </w:rPr>
        <w:t>cost minimisation analysis (</w:t>
      </w:r>
      <w:r w:rsidRPr="00B42397">
        <w:rPr>
          <w:rFonts w:asciiTheme="minorHAnsi" w:hAnsiTheme="minorHAnsi"/>
          <w:bCs/>
          <w:snapToGrid w:val="0"/>
        </w:rPr>
        <w:t>CMA</w:t>
      </w:r>
      <w:r w:rsidR="000056E6">
        <w:rPr>
          <w:rFonts w:asciiTheme="minorHAnsi" w:hAnsiTheme="minorHAnsi"/>
          <w:bCs/>
          <w:snapToGrid w:val="0"/>
        </w:rPr>
        <w:t>)</w:t>
      </w:r>
      <w:r w:rsidRPr="00B42397">
        <w:rPr>
          <w:rFonts w:asciiTheme="minorHAnsi" w:hAnsiTheme="minorHAnsi"/>
          <w:bCs/>
          <w:snapToGrid w:val="0"/>
        </w:rPr>
        <w:t xml:space="preserve"> between </w:t>
      </w:r>
      <w:r w:rsidR="00A31211" w:rsidRPr="00B42397">
        <w:rPr>
          <w:rFonts w:asciiTheme="minorHAnsi" w:hAnsiTheme="minorHAnsi"/>
          <w:bCs/>
          <w:snapToGrid w:val="0"/>
        </w:rPr>
        <w:t>one</w:t>
      </w:r>
      <w:r w:rsidR="002F7ACB" w:rsidRPr="00B42397">
        <w:rPr>
          <w:rFonts w:asciiTheme="minorHAnsi" w:hAnsiTheme="minorHAnsi"/>
          <w:bCs/>
          <w:snapToGrid w:val="0"/>
        </w:rPr>
        <w:t xml:space="preserve"> cycle of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and </w:t>
      </w:r>
      <w:r w:rsidR="00252015" w:rsidRPr="00B42397">
        <w:rPr>
          <w:rFonts w:asciiTheme="minorHAnsi" w:hAnsiTheme="minorHAnsi"/>
          <w:bCs/>
          <w:snapToGrid w:val="0"/>
        </w:rPr>
        <w:t xml:space="preserve">one cycle of </w:t>
      </w:r>
      <w:r w:rsidRPr="00B42397">
        <w:rPr>
          <w:rFonts w:asciiTheme="minorHAnsi" w:hAnsiTheme="minorHAnsi"/>
          <w:bCs/>
          <w:snapToGrid w:val="0"/>
        </w:rPr>
        <w:t>Cd based on the claims of non-inferior efficacy and safety.</w:t>
      </w:r>
      <w:r w:rsidR="00A9095E" w:rsidRPr="00B42397">
        <w:rPr>
          <w:rFonts w:asciiTheme="minorHAnsi" w:hAnsiTheme="minorHAnsi"/>
          <w:bCs/>
          <w:snapToGrid w:val="0"/>
        </w:rPr>
        <w:t xml:space="preserve"> </w:t>
      </w:r>
      <w:r w:rsidR="00FB66E0">
        <w:rPr>
          <w:bCs/>
        </w:rPr>
        <w:t>The PBAC considered</w:t>
      </w:r>
      <w:r w:rsidR="00FB66E0" w:rsidRPr="002762FB">
        <w:rPr>
          <w:bCs/>
        </w:rPr>
        <w:t xml:space="preserve"> the CMA between </w:t>
      </w:r>
      <w:proofErr w:type="spellStart"/>
      <w:r w:rsidR="00FB66E0">
        <w:rPr>
          <w:bCs/>
        </w:rPr>
        <w:t>E</w:t>
      </w:r>
      <w:r w:rsidR="00FB66E0" w:rsidRPr="002762FB">
        <w:rPr>
          <w:bCs/>
        </w:rPr>
        <w:t>Ld</w:t>
      </w:r>
      <w:proofErr w:type="spellEnd"/>
      <w:r w:rsidR="00FB66E0" w:rsidRPr="002762FB">
        <w:rPr>
          <w:bCs/>
        </w:rPr>
        <w:t xml:space="preserve"> and Cd was not appropriate as the claims of non-inferior efficacy and safety were not supported. The PBAC noted that the uncertainties resulting from the indirect comparison also impacted on the appropriate inputs for the CMA.</w:t>
      </w:r>
      <w:r w:rsidR="00FB66E0">
        <w:rPr>
          <w:bCs/>
        </w:rPr>
        <w:t xml:space="preserve"> </w:t>
      </w:r>
    </w:p>
    <w:p w14:paraId="38DD9464" w14:textId="77777777" w:rsidR="001C2D74" w:rsidRPr="00B42397" w:rsidRDefault="001C2D74"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noted that although cost minimised to Cd, the cost of listing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on the PBS was estimated in the submission to be approximately $17.1 million </w:t>
      </w:r>
      <w:r w:rsidR="00A9095E" w:rsidRPr="00B42397">
        <w:rPr>
          <w:rFonts w:asciiTheme="minorHAnsi" w:hAnsiTheme="minorHAnsi"/>
          <w:bCs/>
          <w:snapToGrid w:val="0"/>
        </w:rPr>
        <w:t xml:space="preserve">over the first </w:t>
      </w:r>
      <w:r w:rsidR="00252015" w:rsidRPr="00B42397">
        <w:rPr>
          <w:rFonts w:asciiTheme="minorHAnsi" w:hAnsiTheme="minorHAnsi"/>
          <w:bCs/>
          <w:snapToGrid w:val="0"/>
        </w:rPr>
        <w:t>six</w:t>
      </w:r>
      <w:r w:rsidR="00A9095E" w:rsidRPr="00B42397">
        <w:rPr>
          <w:rFonts w:asciiTheme="minorHAnsi" w:hAnsiTheme="minorHAnsi"/>
          <w:bCs/>
          <w:snapToGrid w:val="0"/>
        </w:rPr>
        <w:t xml:space="preserve"> years due to </w:t>
      </w:r>
      <w:r w:rsidR="00B03286" w:rsidRPr="00B42397">
        <w:rPr>
          <w:rFonts w:asciiTheme="minorHAnsi" w:hAnsiTheme="minorHAnsi"/>
          <w:bCs/>
          <w:snapToGrid w:val="0"/>
        </w:rPr>
        <w:t xml:space="preserve">the CMA </w:t>
      </w:r>
      <w:r w:rsidR="00BD1EC8" w:rsidRPr="00B42397">
        <w:rPr>
          <w:rFonts w:asciiTheme="minorHAnsi" w:hAnsiTheme="minorHAnsi"/>
          <w:bCs/>
          <w:snapToGrid w:val="0"/>
        </w:rPr>
        <w:t xml:space="preserve">inappropriately </w:t>
      </w:r>
      <w:r w:rsidR="00B03286" w:rsidRPr="00B42397">
        <w:rPr>
          <w:rFonts w:asciiTheme="minorHAnsi" w:hAnsiTheme="minorHAnsi"/>
          <w:bCs/>
          <w:snapToGrid w:val="0"/>
        </w:rPr>
        <w:t xml:space="preserve">not including the loading doses and associated costs of </w:t>
      </w:r>
      <w:proofErr w:type="spellStart"/>
      <w:r w:rsidR="00B03286" w:rsidRPr="00B42397">
        <w:rPr>
          <w:rFonts w:asciiTheme="minorHAnsi" w:hAnsiTheme="minorHAnsi"/>
          <w:bCs/>
          <w:snapToGrid w:val="0"/>
        </w:rPr>
        <w:t>ELd</w:t>
      </w:r>
      <w:proofErr w:type="spellEnd"/>
      <w:r w:rsidR="00B03286" w:rsidRPr="00B42397">
        <w:rPr>
          <w:rFonts w:asciiTheme="minorHAnsi" w:hAnsiTheme="minorHAnsi"/>
          <w:bCs/>
          <w:snapToGrid w:val="0"/>
        </w:rPr>
        <w:t xml:space="preserve"> in Cycles 1 and 2. The PBAC considered that the estimated financial impact of listing elotuzumab on the PBS was underestimated as</w:t>
      </w:r>
      <w:r w:rsidR="00A31211" w:rsidRPr="00B42397">
        <w:rPr>
          <w:rFonts w:asciiTheme="minorHAnsi" w:hAnsiTheme="minorHAnsi"/>
          <w:bCs/>
          <w:snapToGrid w:val="0"/>
        </w:rPr>
        <w:t xml:space="preserve"> the</w:t>
      </w:r>
      <w:r w:rsidR="00B03286" w:rsidRPr="00B42397">
        <w:rPr>
          <w:rFonts w:asciiTheme="minorHAnsi" w:hAnsiTheme="minorHAnsi"/>
          <w:bCs/>
          <w:snapToGrid w:val="0"/>
        </w:rPr>
        <w:t>:</w:t>
      </w:r>
    </w:p>
    <w:p w14:paraId="27928676" w14:textId="77777777" w:rsidR="00B03286" w:rsidRPr="00B42397" w:rsidRDefault="00B03286" w:rsidP="00A31211">
      <w:pPr>
        <w:widowControl w:val="0"/>
        <w:numPr>
          <w:ilvl w:val="1"/>
          <w:numId w:val="40"/>
        </w:numPr>
        <w:spacing w:after="120"/>
        <w:ind w:left="1077" w:hanging="357"/>
        <w:rPr>
          <w:rFonts w:asciiTheme="minorHAnsi" w:hAnsiTheme="minorHAnsi"/>
          <w:bCs/>
          <w:snapToGrid w:val="0"/>
        </w:rPr>
      </w:pPr>
      <w:r w:rsidRPr="00B42397">
        <w:rPr>
          <w:rFonts w:asciiTheme="minorHAnsi" w:hAnsiTheme="minorHAnsi"/>
          <w:bCs/>
          <w:snapToGrid w:val="0"/>
        </w:rPr>
        <w:t xml:space="preserve">submission likely overestimated Cd use by assuming that the estimated treatment durations of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and Cd were equal;</w:t>
      </w:r>
    </w:p>
    <w:p w14:paraId="3B3D374E" w14:textId="77777777" w:rsidR="00B03286" w:rsidRPr="00B42397" w:rsidRDefault="00B03286" w:rsidP="00A31211">
      <w:pPr>
        <w:widowControl w:val="0"/>
        <w:numPr>
          <w:ilvl w:val="1"/>
          <w:numId w:val="40"/>
        </w:numPr>
        <w:spacing w:after="120"/>
        <w:ind w:left="1077" w:hanging="357"/>
        <w:rPr>
          <w:rFonts w:asciiTheme="minorHAnsi" w:hAnsiTheme="minorHAnsi"/>
          <w:bCs/>
          <w:snapToGrid w:val="0"/>
        </w:rPr>
      </w:pPr>
      <w:r w:rsidRPr="00B42397">
        <w:rPr>
          <w:rFonts w:asciiTheme="minorHAnsi" w:hAnsiTheme="minorHAnsi"/>
          <w:bCs/>
          <w:snapToGrid w:val="0"/>
        </w:rPr>
        <w:t xml:space="preserve">proposed substitution rate of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for Cd (22% in Year 6) was highly uncertain;</w:t>
      </w:r>
      <w:r w:rsidR="00A31211" w:rsidRPr="00B42397">
        <w:rPr>
          <w:rFonts w:asciiTheme="minorHAnsi" w:hAnsiTheme="minorHAnsi"/>
          <w:bCs/>
          <w:snapToGrid w:val="0"/>
        </w:rPr>
        <w:t xml:space="preserve"> and</w:t>
      </w:r>
    </w:p>
    <w:p w14:paraId="367F8E64" w14:textId="77777777" w:rsidR="00A31211" w:rsidRPr="00B42397" w:rsidRDefault="00B03286" w:rsidP="00A31211">
      <w:pPr>
        <w:widowControl w:val="0"/>
        <w:numPr>
          <w:ilvl w:val="1"/>
          <w:numId w:val="40"/>
        </w:numPr>
        <w:spacing w:after="120"/>
        <w:ind w:left="1077" w:hanging="357"/>
        <w:rPr>
          <w:rFonts w:asciiTheme="minorHAnsi" w:hAnsiTheme="minorHAnsi"/>
          <w:bCs/>
          <w:snapToGrid w:val="0"/>
        </w:rPr>
      </w:pPr>
      <w:proofErr w:type="gramStart"/>
      <w:r w:rsidRPr="00B42397">
        <w:rPr>
          <w:rFonts w:asciiTheme="minorHAnsi" w:hAnsiTheme="minorHAnsi"/>
          <w:bCs/>
          <w:snapToGrid w:val="0"/>
        </w:rPr>
        <w:t>eligible</w:t>
      </w:r>
      <w:proofErr w:type="gramEnd"/>
      <w:r w:rsidRPr="00B42397">
        <w:rPr>
          <w:rFonts w:asciiTheme="minorHAnsi" w:hAnsiTheme="minorHAnsi"/>
          <w:bCs/>
          <w:snapToGrid w:val="0"/>
        </w:rPr>
        <w:t xml:space="preserve"> patient population was likely to be underestimated as the submission assumed that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would substitute for Cd only. The PBAC considered that </w:t>
      </w:r>
      <w:proofErr w:type="spellStart"/>
      <w:r w:rsidRPr="00B42397">
        <w:rPr>
          <w:rFonts w:asciiTheme="minorHAnsi" w:hAnsiTheme="minorHAnsi"/>
          <w:bCs/>
          <w:snapToGrid w:val="0"/>
        </w:rPr>
        <w:t>ELd</w:t>
      </w:r>
      <w:proofErr w:type="spellEnd"/>
      <w:r w:rsidRPr="00B42397">
        <w:rPr>
          <w:rFonts w:asciiTheme="minorHAnsi" w:hAnsiTheme="minorHAnsi"/>
          <w:bCs/>
          <w:snapToGrid w:val="0"/>
        </w:rPr>
        <w:t xml:space="preserve"> would also likely substitute for Ld</w:t>
      </w:r>
      <w:r w:rsidR="00A31211" w:rsidRPr="00B42397">
        <w:rPr>
          <w:rFonts w:asciiTheme="minorHAnsi" w:hAnsiTheme="minorHAnsi"/>
          <w:bCs/>
          <w:snapToGrid w:val="0"/>
        </w:rPr>
        <w:t>.</w:t>
      </w:r>
    </w:p>
    <w:p w14:paraId="5686711D" w14:textId="77777777" w:rsidR="00A9095E" w:rsidRPr="00B42397" w:rsidRDefault="00A9095E" w:rsidP="00131D3D">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 xml:space="preserve">The PBAC considered that any future </w:t>
      </w:r>
      <w:r w:rsidR="00B4220F" w:rsidRPr="00B42397">
        <w:rPr>
          <w:rFonts w:asciiTheme="minorHAnsi" w:hAnsiTheme="minorHAnsi"/>
          <w:bCs/>
          <w:snapToGrid w:val="0"/>
        </w:rPr>
        <w:t>re</w:t>
      </w:r>
      <w:r w:rsidRPr="00B42397">
        <w:rPr>
          <w:rFonts w:asciiTheme="minorHAnsi" w:hAnsiTheme="minorHAnsi"/>
          <w:bCs/>
          <w:snapToGrid w:val="0"/>
        </w:rPr>
        <w:t xml:space="preserve">submission should be a major </w:t>
      </w:r>
      <w:r w:rsidR="00B4220F" w:rsidRPr="00B42397">
        <w:rPr>
          <w:rFonts w:asciiTheme="minorHAnsi" w:hAnsiTheme="minorHAnsi"/>
          <w:bCs/>
          <w:snapToGrid w:val="0"/>
        </w:rPr>
        <w:t>re</w:t>
      </w:r>
      <w:r w:rsidRPr="00B42397">
        <w:rPr>
          <w:rFonts w:asciiTheme="minorHAnsi" w:hAnsiTheme="minorHAnsi"/>
          <w:bCs/>
          <w:snapToGrid w:val="0"/>
        </w:rPr>
        <w:t xml:space="preserve">submission and address the uncertainties surrounding the </w:t>
      </w:r>
      <w:r w:rsidR="00FB66E0">
        <w:rPr>
          <w:rFonts w:asciiTheme="minorHAnsi" w:hAnsiTheme="minorHAnsi"/>
          <w:bCs/>
          <w:snapToGrid w:val="0"/>
        </w:rPr>
        <w:t>clinical</w:t>
      </w:r>
      <w:r w:rsidRPr="00B42397">
        <w:rPr>
          <w:rFonts w:asciiTheme="minorHAnsi" w:hAnsiTheme="minorHAnsi"/>
          <w:bCs/>
          <w:snapToGrid w:val="0"/>
        </w:rPr>
        <w:t xml:space="preserve"> cla</w:t>
      </w:r>
      <w:r w:rsidR="004306FF" w:rsidRPr="00B42397">
        <w:rPr>
          <w:rFonts w:asciiTheme="minorHAnsi" w:hAnsiTheme="minorHAnsi"/>
          <w:bCs/>
          <w:snapToGrid w:val="0"/>
        </w:rPr>
        <w:t>i</w:t>
      </w:r>
      <w:r w:rsidRPr="00B42397">
        <w:rPr>
          <w:rFonts w:asciiTheme="minorHAnsi" w:hAnsiTheme="minorHAnsi"/>
          <w:bCs/>
          <w:snapToGrid w:val="0"/>
        </w:rPr>
        <w:t>ms.</w:t>
      </w:r>
    </w:p>
    <w:p w14:paraId="7EAE36C1" w14:textId="77777777" w:rsidR="00A9095E" w:rsidRPr="00B42397" w:rsidRDefault="00A9095E" w:rsidP="00A31211">
      <w:pPr>
        <w:widowControl w:val="0"/>
        <w:numPr>
          <w:ilvl w:val="1"/>
          <w:numId w:val="1"/>
        </w:numPr>
        <w:spacing w:after="120"/>
        <w:rPr>
          <w:rFonts w:asciiTheme="minorHAnsi" w:hAnsiTheme="minorHAnsi"/>
          <w:bCs/>
          <w:snapToGrid w:val="0"/>
        </w:rPr>
      </w:pPr>
      <w:r w:rsidRPr="00B42397">
        <w:rPr>
          <w:rFonts w:asciiTheme="minorHAnsi" w:hAnsiTheme="minorHAnsi"/>
          <w:bCs/>
          <w:snapToGrid w:val="0"/>
        </w:rPr>
        <w:t>The PBAC noted that this submission is eligible for an Independent Review.</w:t>
      </w:r>
    </w:p>
    <w:p w14:paraId="7C77866A" w14:textId="77777777" w:rsidR="00131D3D" w:rsidRPr="00B42397" w:rsidRDefault="00131D3D" w:rsidP="00131D3D">
      <w:pPr>
        <w:spacing w:before="240"/>
        <w:rPr>
          <w:rFonts w:asciiTheme="minorHAnsi" w:hAnsiTheme="minorHAnsi"/>
          <w:b/>
          <w:bCs/>
          <w:snapToGrid w:val="0"/>
        </w:rPr>
      </w:pPr>
      <w:r w:rsidRPr="00B42397">
        <w:rPr>
          <w:rFonts w:asciiTheme="minorHAnsi" w:hAnsiTheme="minorHAnsi"/>
          <w:b/>
          <w:bCs/>
          <w:snapToGrid w:val="0"/>
        </w:rPr>
        <w:t>Outcome:</w:t>
      </w:r>
    </w:p>
    <w:p w14:paraId="106C9DE7" w14:textId="77777777" w:rsidR="00077AA4" w:rsidRDefault="00131D3D" w:rsidP="00092F84">
      <w:pPr>
        <w:rPr>
          <w:rFonts w:asciiTheme="minorHAnsi" w:hAnsiTheme="minorHAnsi"/>
          <w:bCs/>
          <w:snapToGrid w:val="0"/>
        </w:rPr>
      </w:pPr>
      <w:r w:rsidRPr="00B42397">
        <w:rPr>
          <w:rFonts w:asciiTheme="minorHAnsi" w:hAnsiTheme="minorHAnsi"/>
          <w:bCs/>
          <w:snapToGrid w:val="0"/>
        </w:rPr>
        <w:t xml:space="preserve">Rejected </w:t>
      </w:r>
    </w:p>
    <w:p w14:paraId="31F2511B" w14:textId="77777777" w:rsidR="0049448E" w:rsidRDefault="0049448E" w:rsidP="00092F84">
      <w:pPr>
        <w:rPr>
          <w:rFonts w:asciiTheme="minorHAnsi" w:hAnsiTheme="minorHAnsi"/>
          <w:bCs/>
          <w:snapToGrid w:val="0"/>
        </w:rPr>
      </w:pPr>
    </w:p>
    <w:p w14:paraId="381E3667" w14:textId="77777777" w:rsidR="0049448E" w:rsidRDefault="0049448E" w:rsidP="0049448E">
      <w:pPr>
        <w:pStyle w:val="2-SectionHeading"/>
        <w:rPr>
          <w:bCs/>
          <w:lang w:val="en-GB"/>
        </w:rPr>
      </w:pPr>
      <w:r w:rsidRPr="00C07617">
        <w:t>Context for Decision</w:t>
      </w:r>
    </w:p>
    <w:p w14:paraId="7A19CCBB" w14:textId="77777777" w:rsidR="0049448E" w:rsidRPr="007129F2" w:rsidRDefault="0049448E" w:rsidP="0049448E">
      <w:pPr>
        <w:spacing w:after="1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AD00E6E" w14:textId="77777777" w:rsidR="0049448E" w:rsidRPr="00C07617" w:rsidRDefault="0049448E" w:rsidP="0049448E">
      <w:pPr>
        <w:pStyle w:val="2-SectionHeading"/>
      </w:pPr>
      <w:r>
        <w:t>Sponsor’s Comment</w:t>
      </w:r>
    </w:p>
    <w:p w14:paraId="1939681D" w14:textId="1E600DA3" w:rsidR="0049448E" w:rsidRPr="0088220E" w:rsidRDefault="0049448E" w:rsidP="0088220E">
      <w:pPr>
        <w:spacing w:after="120"/>
        <w:rPr>
          <w:rFonts w:asciiTheme="minorHAnsi" w:hAnsiTheme="minorHAnsi"/>
          <w:bCs/>
        </w:rPr>
      </w:pPr>
      <w:r w:rsidRPr="00C07617">
        <w:rPr>
          <w:rFonts w:asciiTheme="minorHAnsi" w:hAnsiTheme="minorHAnsi"/>
          <w:bCs/>
        </w:rPr>
        <w:t>The sponsor had no comment.</w:t>
      </w:r>
      <w:bookmarkStart w:id="33" w:name="_GoBack"/>
      <w:bookmarkEnd w:id="33"/>
    </w:p>
    <w:sectPr w:rsidR="0049448E" w:rsidRPr="0088220E" w:rsidSect="00251006">
      <w:headerReference w:type="default" r:id="rId15"/>
      <w:footerReference w:type="default" r:id="rId16"/>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824D" w16cex:dateUtc="2020-09-03T04:55:00Z"/>
  <w16cex:commentExtensible w16cex:durableId="22FB4AE4" w16cex:dateUtc="2020-09-03T00:58:00Z"/>
  <w16cex:commentExtensible w16cex:durableId="22FB8940" w16cex:dateUtc="2020-09-03T05:24:00Z"/>
  <w16cex:commentExtensible w16cex:durableId="22FB4BBA" w16cex:dateUtc="2020-09-03T01:02:00Z"/>
  <w16cex:commentExtensible w16cex:durableId="22FB622D" w16cex:dateUtc="2020-09-03T02:38:00Z"/>
  <w16cex:commentExtensible w16cex:durableId="22FB63D3" w16cex:dateUtc="2020-09-03T02:45:00Z"/>
  <w16cex:commentExtensible w16cex:durableId="22FB66B5" w16cex:dateUtc="2020-09-03T02:57:00Z"/>
  <w16cex:commentExtensible w16cex:durableId="22FB5E8B" w16cex:dateUtc="2020-09-03T02:22:00Z"/>
  <w16cex:commentExtensible w16cex:durableId="22FB606D" w16cex:dateUtc="2020-09-03T02:30:00Z"/>
  <w16cex:commentExtensible w16cex:durableId="22FB67C6" w16cex:dateUtc="2020-09-03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306845" w16cid:durableId="22FB4922"/>
  <w16cid:commentId w16cid:paraId="76BB0035" w16cid:durableId="22FB824D"/>
  <w16cid:commentId w16cid:paraId="67B8B2CA" w16cid:durableId="22FB4923"/>
  <w16cid:commentId w16cid:paraId="1623D81B" w16cid:durableId="22FB4AE4"/>
  <w16cid:commentId w16cid:paraId="072811C0" w16cid:durableId="22FB4924"/>
  <w16cid:commentId w16cid:paraId="339B8655" w16cid:durableId="22FB8940"/>
  <w16cid:commentId w16cid:paraId="3020DBFA" w16cid:durableId="22FB9357"/>
  <w16cid:commentId w16cid:paraId="77A3DC36" w16cid:durableId="22FB9358"/>
  <w16cid:commentId w16cid:paraId="7D908F27" w16cid:durableId="22FB4925"/>
  <w16cid:commentId w16cid:paraId="6131721A" w16cid:durableId="22FB4BBA"/>
  <w16cid:commentId w16cid:paraId="4976D528" w16cid:durableId="22FB4926"/>
  <w16cid:commentId w16cid:paraId="5C2C5B64" w16cid:durableId="22FB622D"/>
  <w16cid:commentId w16cid:paraId="2D1F419A" w16cid:durableId="22FB4927"/>
  <w16cid:commentId w16cid:paraId="0432B80A" w16cid:durableId="22FB63D3"/>
  <w16cid:commentId w16cid:paraId="5ACD38A3" w16cid:durableId="22FB4928"/>
  <w16cid:commentId w16cid:paraId="70E2ABB4" w16cid:durableId="22FB66B5"/>
  <w16cid:commentId w16cid:paraId="2AA3DC06" w16cid:durableId="22FB5E8B"/>
  <w16cid:commentId w16cid:paraId="026926BC" w16cid:durableId="22FB606D"/>
  <w16cid:commentId w16cid:paraId="0103EB36" w16cid:durableId="22FB67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9B83" w14:textId="77777777" w:rsidR="00BB0EE2" w:rsidRDefault="00BB0EE2" w:rsidP="00124A51">
      <w:r>
        <w:separator/>
      </w:r>
    </w:p>
    <w:p w14:paraId="580EF729" w14:textId="77777777" w:rsidR="00BB0EE2" w:rsidRDefault="00BB0EE2"/>
  </w:endnote>
  <w:endnote w:type="continuationSeparator" w:id="0">
    <w:p w14:paraId="3D2BA3F8" w14:textId="77777777" w:rsidR="00BB0EE2" w:rsidRDefault="00BB0EE2" w:rsidP="00124A51">
      <w:r>
        <w:continuationSeparator/>
      </w:r>
    </w:p>
    <w:p w14:paraId="4E3E28CD" w14:textId="77777777" w:rsidR="00BB0EE2" w:rsidRDefault="00BB0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0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4C61D" w14:textId="77777777" w:rsidR="00BB0EE2" w:rsidRDefault="00BB0EE2">
    <w:pPr>
      <w:pStyle w:val="Footer"/>
      <w:jc w:val="center"/>
    </w:pPr>
  </w:p>
  <w:p w14:paraId="2A912E50" w14:textId="64F06F44" w:rsidR="00BB0EE2" w:rsidRPr="00540C57" w:rsidRDefault="0088220E" w:rsidP="00540C57">
    <w:pPr>
      <w:pStyle w:val="Footer"/>
      <w:jc w:val="center"/>
      <w:rPr>
        <w:b/>
      </w:rPr>
    </w:pPr>
    <w:sdt>
      <w:sdtPr>
        <w:id w:val="1898232943"/>
        <w:docPartObj>
          <w:docPartGallery w:val="Page Numbers (Bottom of Page)"/>
          <w:docPartUnique/>
        </w:docPartObj>
      </w:sdtPr>
      <w:sdtEndPr>
        <w:rPr>
          <w:b/>
          <w:noProof/>
        </w:rPr>
      </w:sdtEndPr>
      <w:sdtContent>
        <w:r w:rsidR="00BB0EE2" w:rsidRPr="00B47906">
          <w:rPr>
            <w:b/>
          </w:rPr>
          <w:fldChar w:fldCharType="begin"/>
        </w:r>
        <w:r w:rsidR="00BB0EE2" w:rsidRPr="00B47906">
          <w:rPr>
            <w:b/>
          </w:rPr>
          <w:instrText xml:space="preserve"> PAGE   \* MERGEFORMAT </w:instrText>
        </w:r>
        <w:r w:rsidR="00BB0EE2" w:rsidRPr="00B47906">
          <w:rPr>
            <w:b/>
          </w:rPr>
          <w:fldChar w:fldCharType="separate"/>
        </w:r>
        <w:r>
          <w:rPr>
            <w:b/>
            <w:noProof/>
          </w:rPr>
          <w:t>30</w:t>
        </w:r>
        <w:r w:rsidR="00BB0EE2" w:rsidRPr="00B47906">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503D2" w14:textId="77777777" w:rsidR="00BB0EE2" w:rsidRDefault="00BB0EE2" w:rsidP="00124A51">
      <w:r>
        <w:separator/>
      </w:r>
    </w:p>
    <w:p w14:paraId="1FC074AB" w14:textId="77777777" w:rsidR="00BB0EE2" w:rsidRDefault="00BB0EE2"/>
  </w:footnote>
  <w:footnote w:type="continuationSeparator" w:id="0">
    <w:p w14:paraId="3C8207D1" w14:textId="77777777" w:rsidR="00BB0EE2" w:rsidRDefault="00BB0EE2" w:rsidP="00124A51">
      <w:r>
        <w:continuationSeparator/>
      </w:r>
    </w:p>
    <w:p w14:paraId="6372BA5C" w14:textId="77777777" w:rsidR="00BB0EE2" w:rsidRDefault="00BB0EE2"/>
  </w:footnote>
  <w:footnote w:id="1">
    <w:p w14:paraId="354DD922" w14:textId="77777777" w:rsidR="00BB0EE2" w:rsidRDefault="00BB0EE2" w:rsidP="000A2907">
      <w:pPr>
        <w:pStyle w:val="FootnoteText"/>
      </w:pPr>
      <w:r>
        <w:rPr>
          <w:rStyle w:val="FootnoteReference"/>
        </w:rPr>
        <w:footnoteRef/>
      </w:r>
      <w:r>
        <w:t xml:space="preserve"> </w:t>
      </w:r>
      <w:proofErr w:type="spellStart"/>
      <w:r>
        <w:t>Hoylman</w:t>
      </w:r>
      <w:proofErr w:type="spellEnd"/>
      <w:r>
        <w:t xml:space="preserve"> E, Brown </w:t>
      </w:r>
      <w:proofErr w:type="gramStart"/>
      <w:r>
        <w:t>A</w:t>
      </w:r>
      <w:proofErr w:type="gramEnd"/>
      <w:r>
        <w:t xml:space="preserve">, </w:t>
      </w:r>
      <w:proofErr w:type="spellStart"/>
      <w:r>
        <w:t>Perissinotti</w:t>
      </w:r>
      <w:proofErr w:type="spellEnd"/>
      <w:r>
        <w:t xml:space="preserve"> AJ, et al. Optimal sequence of daratumumab and elotuzumab in relapsed and refractory multiple myeloma. </w:t>
      </w:r>
      <w:proofErr w:type="spellStart"/>
      <w:r>
        <w:t>Leuk</w:t>
      </w:r>
      <w:proofErr w:type="spellEnd"/>
      <w:r>
        <w:t xml:space="preserve"> Lymphoma. 2020</w:t>
      </w:r>
      <w:proofErr w:type="gramStart"/>
      <w:r>
        <w:t>;61</w:t>
      </w:r>
      <w:proofErr w:type="gramEnd"/>
      <w:r>
        <w:t>(3):691-698.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CFD87" w14:textId="77777777" w:rsidR="00BB0EE2" w:rsidRDefault="00BB0EE2">
    <w:pPr>
      <w:pStyle w:val="Header"/>
    </w:pPr>
  </w:p>
  <w:p w14:paraId="4D06C8E8" w14:textId="77777777" w:rsidR="00BB0EE2" w:rsidRPr="00B47906" w:rsidRDefault="00BB0EE2">
    <w:pPr>
      <w:pStyle w:val="Header"/>
      <w:rPr>
        <w:i/>
      </w:rPr>
    </w:pPr>
    <w:r>
      <w:rPr>
        <w:i/>
      </w:rPr>
      <w:t xml:space="preserve">Public Summary Document </w:t>
    </w:r>
    <w:r w:rsidRPr="00B47906">
      <w:rPr>
        <w:i/>
      </w:rPr>
      <w:t>– November 2020 PBAC Meeting</w:t>
    </w:r>
  </w:p>
  <w:p w14:paraId="42E94C9F" w14:textId="77777777" w:rsidR="00BB0EE2" w:rsidRDefault="00BB0E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DE02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C52B22"/>
    <w:multiLevelType w:val="hybridMultilevel"/>
    <w:tmpl w:val="CD582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22C79A6"/>
    <w:multiLevelType w:val="hybridMultilevel"/>
    <w:tmpl w:val="35AA1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5D86966"/>
    <w:multiLevelType w:val="hybridMultilevel"/>
    <w:tmpl w:val="6A14E8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AC0840"/>
    <w:multiLevelType w:val="hybridMultilevel"/>
    <w:tmpl w:val="68760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15DCE"/>
    <w:multiLevelType w:val="hybridMultilevel"/>
    <w:tmpl w:val="ED765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4442C7"/>
    <w:multiLevelType w:val="hybridMultilevel"/>
    <w:tmpl w:val="25C43560"/>
    <w:lvl w:ilvl="0" w:tplc="B0A8C722">
      <w:start w:val="1"/>
      <w:numFmt w:val="bullet"/>
      <w:lvlText w:val="•"/>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FB219F8"/>
    <w:multiLevelType w:val="hybridMultilevel"/>
    <w:tmpl w:val="98580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F06D79"/>
    <w:multiLevelType w:val="hybridMultilevel"/>
    <w:tmpl w:val="F0BAA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9A757C"/>
    <w:multiLevelType w:val="multilevel"/>
    <w:tmpl w:val="ED1C119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0A19EF"/>
    <w:multiLevelType w:val="hybridMultilevel"/>
    <w:tmpl w:val="2B66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287509"/>
    <w:multiLevelType w:val="hybridMultilevel"/>
    <w:tmpl w:val="45845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9903E0E"/>
    <w:multiLevelType w:val="hybridMultilevel"/>
    <w:tmpl w:val="8250DC00"/>
    <w:lvl w:ilvl="0" w:tplc="A790E638">
      <w:start w:val="2"/>
      <w:numFmt w:val="decimal"/>
      <w:lvlText w:val="%1."/>
      <w:lvlJc w:val="left"/>
      <w:pPr>
        <w:ind w:left="360" w:hanging="360"/>
      </w:pPr>
      <w:rPr>
        <w:rFonts w:cstheme="minorHAnsi" w:hint="default"/>
        <w:i/>
        <w:color w:val="00000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313009"/>
    <w:multiLevelType w:val="multilevel"/>
    <w:tmpl w:val="ED1C119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32784D"/>
    <w:multiLevelType w:val="hybridMultilevel"/>
    <w:tmpl w:val="FC3C41C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1" w15:restartNumberingAfterBreak="0">
    <w:nsid w:val="386402B0"/>
    <w:multiLevelType w:val="hybridMultilevel"/>
    <w:tmpl w:val="358A63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71DA0"/>
    <w:multiLevelType w:val="hybridMultilevel"/>
    <w:tmpl w:val="23D61E8A"/>
    <w:lvl w:ilvl="0" w:tplc="C3C05678">
      <w:start w:val="3"/>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D67A6"/>
    <w:multiLevelType w:val="hybridMultilevel"/>
    <w:tmpl w:val="4332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0C1A"/>
    <w:multiLevelType w:val="hybridMultilevel"/>
    <w:tmpl w:val="C33C6146"/>
    <w:lvl w:ilvl="0" w:tplc="0C09001B">
      <w:start w:val="1"/>
      <w:numFmt w:val="lowerRoman"/>
      <w:lvlText w:val="%1."/>
      <w:lvlJc w:val="righ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7" w15:restartNumberingAfterBreak="0">
    <w:nsid w:val="50841171"/>
    <w:multiLevelType w:val="hybridMultilevel"/>
    <w:tmpl w:val="B344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AA2BF3"/>
    <w:multiLevelType w:val="hybridMultilevel"/>
    <w:tmpl w:val="93EA1A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E30341F"/>
    <w:multiLevelType w:val="multilevel"/>
    <w:tmpl w:val="6B8E8E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51772C"/>
    <w:multiLevelType w:val="hybridMultilevel"/>
    <w:tmpl w:val="9480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30CAD"/>
    <w:multiLevelType w:val="hybridMultilevel"/>
    <w:tmpl w:val="133A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4D033C"/>
    <w:multiLevelType w:val="multilevel"/>
    <w:tmpl w:val="04AA5C4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37" w15:restartNumberingAfterBreak="0">
    <w:nsid w:val="7F7B53DE"/>
    <w:multiLevelType w:val="hybridMultilevel"/>
    <w:tmpl w:val="9692ED46"/>
    <w:lvl w:ilvl="0" w:tplc="B3ECF376">
      <w:start w:val="4"/>
      <w:numFmt w:val="bullet"/>
      <w:lvlText w:val="-"/>
      <w:lvlJc w:val="left"/>
      <w:pPr>
        <w:ind w:left="720" w:hanging="360"/>
      </w:pPr>
      <w:rPr>
        <w:rFonts w:ascii="Calibri" w:eastAsiaTheme="minorHAnsi" w:hAnsi="Calibri" w:cstheme="minorBidi" w:hint="default"/>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5"/>
  </w:num>
  <w:num w:numId="7">
    <w:abstractNumId w:val="23"/>
  </w:num>
  <w:num w:numId="8">
    <w:abstractNumId w:val="3"/>
  </w:num>
  <w:num w:numId="9">
    <w:abstractNumId w:val="22"/>
  </w:num>
  <w:num w:numId="10">
    <w:abstractNumId w:val="30"/>
  </w:num>
  <w:num w:numId="11">
    <w:abstractNumId w:val="2"/>
  </w:num>
  <w:num w:numId="12">
    <w:abstractNumId w:val="16"/>
  </w:num>
  <w:num w:numId="13">
    <w:abstractNumId w:val="9"/>
  </w:num>
  <w:num w:numId="14">
    <w:abstractNumId w:val="21"/>
  </w:num>
  <w:num w:numId="15">
    <w:abstractNumId w:val="37"/>
  </w:num>
  <w:num w:numId="16">
    <w:abstractNumId w:val="31"/>
  </w:num>
  <w:num w:numId="17">
    <w:abstractNumId w:val="4"/>
  </w:num>
  <w:num w:numId="18">
    <w:abstractNumId w:val="7"/>
  </w:num>
  <w:num w:numId="19">
    <w:abstractNumId w:val="20"/>
  </w:num>
  <w:num w:numId="20">
    <w:abstractNumId w:val="13"/>
  </w:num>
  <w:num w:numId="21">
    <w:abstractNumId w:val="33"/>
  </w:num>
  <w:num w:numId="22">
    <w:abstractNumId w:val="11"/>
  </w:num>
  <w:num w:numId="23">
    <w:abstractNumId w:val="32"/>
  </w:num>
  <w:num w:numId="24">
    <w:abstractNumId w:val="36"/>
  </w:num>
  <w:num w:numId="25">
    <w:abstractNumId w:val="17"/>
  </w:num>
  <w:num w:numId="26">
    <w:abstractNumId w:val="26"/>
  </w:num>
  <w:num w:numId="27">
    <w:abstractNumId w:val="8"/>
  </w:num>
  <w:num w:numId="28">
    <w:abstractNumId w:val="27"/>
  </w:num>
  <w:num w:numId="29">
    <w:abstractNumId w:val="25"/>
  </w:num>
  <w:num w:numId="30">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8"/>
  </w:num>
  <w:num w:numId="33">
    <w:abstractNumId w:val="29"/>
  </w:num>
  <w:num w:numId="34">
    <w:abstractNumId w:val="6"/>
  </w:num>
  <w:num w:numId="35">
    <w:abstractNumId w:val="1"/>
  </w:num>
  <w:num w:numId="36">
    <w:abstractNumId w:val="15"/>
  </w:num>
  <w:num w:numId="37">
    <w:abstractNumId w:val="18"/>
  </w:num>
  <w:num w:numId="38">
    <w:abstractNumId w:val="14"/>
  </w:num>
  <w:num w:numId="39">
    <w:abstractNumId w:val="12"/>
  </w:num>
  <w:num w:numId="4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790"/>
    <w:rsid w:val="0000110B"/>
    <w:rsid w:val="000015B3"/>
    <w:rsid w:val="000026DF"/>
    <w:rsid w:val="00002B8A"/>
    <w:rsid w:val="00002E9F"/>
    <w:rsid w:val="00003499"/>
    <w:rsid w:val="0000360E"/>
    <w:rsid w:val="000039B7"/>
    <w:rsid w:val="0000424B"/>
    <w:rsid w:val="0000472A"/>
    <w:rsid w:val="0000495A"/>
    <w:rsid w:val="00004C5D"/>
    <w:rsid w:val="000056E6"/>
    <w:rsid w:val="0000593A"/>
    <w:rsid w:val="0000639A"/>
    <w:rsid w:val="000063F5"/>
    <w:rsid w:val="000064AD"/>
    <w:rsid w:val="00006958"/>
    <w:rsid w:val="00006E95"/>
    <w:rsid w:val="00007146"/>
    <w:rsid w:val="00007415"/>
    <w:rsid w:val="00007698"/>
    <w:rsid w:val="000106CF"/>
    <w:rsid w:val="00010DE9"/>
    <w:rsid w:val="000110B4"/>
    <w:rsid w:val="00011590"/>
    <w:rsid w:val="00011C90"/>
    <w:rsid w:val="00011F98"/>
    <w:rsid w:val="000120C0"/>
    <w:rsid w:val="00012797"/>
    <w:rsid w:val="00012BC8"/>
    <w:rsid w:val="00012BED"/>
    <w:rsid w:val="0001311E"/>
    <w:rsid w:val="00013247"/>
    <w:rsid w:val="000134E4"/>
    <w:rsid w:val="00013E37"/>
    <w:rsid w:val="000142BF"/>
    <w:rsid w:val="00015886"/>
    <w:rsid w:val="00015B9A"/>
    <w:rsid w:val="00015C98"/>
    <w:rsid w:val="000162EF"/>
    <w:rsid w:val="000164CE"/>
    <w:rsid w:val="0001658A"/>
    <w:rsid w:val="00016E34"/>
    <w:rsid w:val="0001719C"/>
    <w:rsid w:val="000177F1"/>
    <w:rsid w:val="0001783A"/>
    <w:rsid w:val="000207C9"/>
    <w:rsid w:val="000208D1"/>
    <w:rsid w:val="00020C2A"/>
    <w:rsid w:val="00020CEB"/>
    <w:rsid w:val="00020D58"/>
    <w:rsid w:val="0002225F"/>
    <w:rsid w:val="000224A8"/>
    <w:rsid w:val="00022776"/>
    <w:rsid w:val="00022EDF"/>
    <w:rsid w:val="00022F16"/>
    <w:rsid w:val="00023061"/>
    <w:rsid w:val="00023092"/>
    <w:rsid w:val="000231BE"/>
    <w:rsid w:val="00023763"/>
    <w:rsid w:val="00023853"/>
    <w:rsid w:val="00023934"/>
    <w:rsid w:val="00024937"/>
    <w:rsid w:val="00025BD0"/>
    <w:rsid w:val="00025E2D"/>
    <w:rsid w:val="00025E8B"/>
    <w:rsid w:val="00027023"/>
    <w:rsid w:val="00027176"/>
    <w:rsid w:val="000274B8"/>
    <w:rsid w:val="0003214F"/>
    <w:rsid w:val="000323EF"/>
    <w:rsid w:val="00032828"/>
    <w:rsid w:val="00032C18"/>
    <w:rsid w:val="0003329C"/>
    <w:rsid w:val="00033863"/>
    <w:rsid w:val="00033E02"/>
    <w:rsid w:val="000357D7"/>
    <w:rsid w:val="00035DC0"/>
    <w:rsid w:val="00036829"/>
    <w:rsid w:val="00037191"/>
    <w:rsid w:val="00037554"/>
    <w:rsid w:val="00037FBA"/>
    <w:rsid w:val="00040895"/>
    <w:rsid w:val="00040B0F"/>
    <w:rsid w:val="0004136C"/>
    <w:rsid w:val="000420A6"/>
    <w:rsid w:val="0004236B"/>
    <w:rsid w:val="00042751"/>
    <w:rsid w:val="0004327A"/>
    <w:rsid w:val="000435EE"/>
    <w:rsid w:val="0004368D"/>
    <w:rsid w:val="000438E9"/>
    <w:rsid w:val="00043C37"/>
    <w:rsid w:val="00045017"/>
    <w:rsid w:val="0004562D"/>
    <w:rsid w:val="00045A2B"/>
    <w:rsid w:val="000462E0"/>
    <w:rsid w:val="00046855"/>
    <w:rsid w:val="0004698F"/>
    <w:rsid w:val="00046A0A"/>
    <w:rsid w:val="000472B7"/>
    <w:rsid w:val="0004777C"/>
    <w:rsid w:val="000509A6"/>
    <w:rsid w:val="00050F4C"/>
    <w:rsid w:val="0005181E"/>
    <w:rsid w:val="00052571"/>
    <w:rsid w:val="00053032"/>
    <w:rsid w:val="0005394A"/>
    <w:rsid w:val="000539D0"/>
    <w:rsid w:val="00053AF3"/>
    <w:rsid w:val="00053E0A"/>
    <w:rsid w:val="00054621"/>
    <w:rsid w:val="000546D7"/>
    <w:rsid w:val="00055459"/>
    <w:rsid w:val="00055B36"/>
    <w:rsid w:val="00055E10"/>
    <w:rsid w:val="00056248"/>
    <w:rsid w:val="00056B88"/>
    <w:rsid w:val="00056ECF"/>
    <w:rsid w:val="00056EF0"/>
    <w:rsid w:val="00057254"/>
    <w:rsid w:val="000572DA"/>
    <w:rsid w:val="0005751C"/>
    <w:rsid w:val="000579C6"/>
    <w:rsid w:val="000604DF"/>
    <w:rsid w:val="00060EB1"/>
    <w:rsid w:val="00060FD9"/>
    <w:rsid w:val="00061E8C"/>
    <w:rsid w:val="0006209F"/>
    <w:rsid w:val="00063637"/>
    <w:rsid w:val="00063816"/>
    <w:rsid w:val="00063EF2"/>
    <w:rsid w:val="0006458E"/>
    <w:rsid w:val="000645FB"/>
    <w:rsid w:val="00064B18"/>
    <w:rsid w:val="00065233"/>
    <w:rsid w:val="000653B5"/>
    <w:rsid w:val="000654DB"/>
    <w:rsid w:val="00066360"/>
    <w:rsid w:val="00066AF8"/>
    <w:rsid w:val="000674EB"/>
    <w:rsid w:val="0006751E"/>
    <w:rsid w:val="00067A61"/>
    <w:rsid w:val="00067CB3"/>
    <w:rsid w:val="000707F8"/>
    <w:rsid w:val="00071248"/>
    <w:rsid w:val="00071AE7"/>
    <w:rsid w:val="00071B23"/>
    <w:rsid w:val="000720B9"/>
    <w:rsid w:val="00072226"/>
    <w:rsid w:val="000724C6"/>
    <w:rsid w:val="00072A93"/>
    <w:rsid w:val="00072C11"/>
    <w:rsid w:val="00072C55"/>
    <w:rsid w:val="00072D1E"/>
    <w:rsid w:val="000737F7"/>
    <w:rsid w:val="00073F0B"/>
    <w:rsid w:val="00073F11"/>
    <w:rsid w:val="000744C7"/>
    <w:rsid w:val="000749DD"/>
    <w:rsid w:val="00075171"/>
    <w:rsid w:val="0007603B"/>
    <w:rsid w:val="0007672F"/>
    <w:rsid w:val="00076950"/>
    <w:rsid w:val="00076B54"/>
    <w:rsid w:val="00077186"/>
    <w:rsid w:val="00077264"/>
    <w:rsid w:val="000774F0"/>
    <w:rsid w:val="00077AA4"/>
    <w:rsid w:val="00077B3E"/>
    <w:rsid w:val="00077F2F"/>
    <w:rsid w:val="00080067"/>
    <w:rsid w:val="00080559"/>
    <w:rsid w:val="00080909"/>
    <w:rsid w:val="000812CA"/>
    <w:rsid w:val="000816ED"/>
    <w:rsid w:val="00081763"/>
    <w:rsid w:val="00081E63"/>
    <w:rsid w:val="00081FA8"/>
    <w:rsid w:val="0008229D"/>
    <w:rsid w:val="0008258D"/>
    <w:rsid w:val="00082A27"/>
    <w:rsid w:val="00082C9B"/>
    <w:rsid w:val="000837B5"/>
    <w:rsid w:val="00083E99"/>
    <w:rsid w:val="0008400A"/>
    <w:rsid w:val="00084E47"/>
    <w:rsid w:val="00084FA8"/>
    <w:rsid w:val="000856C5"/>
    <w:rsid w:val="00085C31"/>
    <w:rsid w:val="0008623A"/>
    <w:rsid w:val="000868C9"/>
    <w:rsid w:val="00086BA2"/>
    <w:rsid w:val="00086F05"/>
    <w:rsid w:val="00087537"/>
    <w:rsid w:val="00087D4C"/>
    <w:rsid w:val="000902D9"/>
    <w:rsid w:val="00090522"/>
    <w:rsid w:val="00090BE2"/>
    <w:rsid w:val="00090C7E"/>
    <w:rsid w:val="00091C36"/>
    <w:rsid w:val="00092600"/>
    <w:rsid w:val="0009262B"/>
    <w:rsid w:val="00092754"/>
    <w:rsid w:val="00092F71"/>
    <w:rsid w:val="00092F84"/>
    <w:rsid w:val="00093310"/>
    <w:rsid w:val="00093A3A"/>
    <w:rsid w:val="0009425F"/>
    <w:rsid w:val="0009445C"/>
    <w:rsid w:val="00094921"/>
    <w:rsid w:val="00095200"/>
    <w:rsid w:val="00095C49"/>
    <w:rsid w:val="00095C6D"/>
    <w:rsid w:val="00095CC0"/>
    <w:rsid w:val="00095E81"/>
    <w:rsid w:val="00095FE5"/>
    <w:rsid w:val="00096169"/>
    <w:rsid w:val="00096193"/>
    <w:rsid w:val="00096194"/>
    <w:rsid w:val="00096284"/>
    <w:rsid w:val="00096703"/>
    <w:rsid w:val="00096A57"/>
    <w:rsid w:val="000979EF"/>
    <w:rsid w:val="000A0228"/>
    <w:rsid w:val="000A042E"/>
    <w:rsid w:val="000A058F"/>
    <w:rsid w:val="000A0929"/>
    <w:rsid w:val="000A107F"/>
    <w:rsid w:val="000A142C"/>
    <w:rsid w:val="000A1BC0"/>
    <w:rsid w:val="000A1F52"/>
    <w:rsid w:val="000A288F"/>
    <w:rsid w:val="000A2907"/>
    <w:rsid w:val="000A3190"/>
    <w:rsid w:val="000A31EF"/>
    <w:rsid w:val="000A3630"/>
    <w:rsid w:val="000A47EB"/>
    <w:rsid w:val="000A4D9F"/>
    <w:rsid w:val="000A4DD1"/>
    <w:rsid w:val="000A573F"/>
    <w:rsid w:val="000A576F"/>
    <w:rsid w:val="000A5CA8"/>
    <w:rsid w:val="000A5D5C"/>
    <w:rsid w:val="000A6039"/>
    <w:rsid w:val="000A62C7"/>
    <w:rsid w:val="000A6DA4"/>
    <w:rsid w:val="000A6F15"/>
    <w:rsid w:val="000A6FDC"/>
    <w:rsid w:val="000A7453"/>
    <w:rsid w:val="000A7D08"/>
    <w:rsid w:val="000B0121"/>
    <w:rsid w:val="000B0670"/>
    <w:rsid w:val="000B0E75"/>
    <w:rsid w:val="000B1324"/>
    <w:rsid w:val="000B22BE"/>
    <w:rsid w:val="000B2DCB"/>
    <w:rsid w:val="000B2F0A"/>
    <w:rsid w:val="000B3BF3"/>
    <w:rsid w:val="000B435C"/>
    <w:rsid w:val="000B47A0"/>
    <w:rsid w:val="000B4A69"/>
    <w:rsid w:val="000B52C9"/>
    <w:rsid w:val="000B57E7"/>
    <w:rsid w:val="000B5CE0"/>
    <w:rsid w:val="000B60ED"/>
    <w:rsid w:val="000B6CAC"/>
    <w:rsid w:val="000B703E"/>
    <w:rsid w:val="000B728E"/>
    <w:rsid w:val="000B7612"/>
    <w:rsid w:val="000B78AE"/>
    <w:rsid w:val="000C09FB"/>
    <w:rsid w:val="000C0F5E"/>
    <w:rsid w:val="000C2888"/>
    <w:rsid w:val="000C2FFE"/>
    <w:rsid w:val="000C3129"/>
    <w:rsid w:val="000C3DF9"/>
    <w:rsid w:val="000C489D"/>
    <w:rsid w:val="000C4EDA"/>
    <w:rsid w:val="000C4F6F"/>
    <w:rsid w:val="000C5219"/>
    <w:rsid w:val="000C5372"/>
    <w:rsid w:val="000C59A8"/>
    <w:rsid w:val="000C5F37"/>
    <w:rsid w:val="000C5F88"/>
    <w:rsid w:val="000C6713"/>
    <w:rsid w:val="000C684F"/>
    <w:rsid w:val="000C750F"/>
    <w:rsid w:val="000D1BFC"/>
    <w:rsid w:val="000D1D5D"/>
    <w:rsid w:val="000D1E9F"/>
    <w:rsid w:val="000D242D"/>
    <w:rsid w:val="000D281A"/>
    <w:rsid w:val="000D2848"/>
    <w:rsid w:val="000D284D"/>
    <w:rsid w:val="000D2D47"/>
    <w:rsid w:val="000D2DCB"/>
    <w:rsid w:val="000D326A"/>
    <w:rsid w:val="000D3315"/>
    <w:rsid w:val="000D34B8"/>
    <w:rsid w:val="000D390B"/>
    <w:rsid w:val="000D3A95"/>
    <w:rsid w:val="000D4AB3"/>
    <w:rsid w:val="000D51FB"/>
    <w:rsid w:val="000D5FCD"/>
    <w:rsid w:val="000D783F"/>
    <w:rsid w:val="000E0510"/>
    <w:rsid w:val="000E0640"/>
    <w:rsid w:val="000E068B"/>
    <w:rsid w:val="000E0E86"/>
    <w:rsid w:val="000E11B8"/>
    <w:rsid w:val="000E135D"/>
    <w:rsid w:val="000E1754"/>
    <w:rsid w:val="000E1F91"/>
    <w:rsid w:val="000E232B"/>
    <w:rsid w:val="000E23AD"/>
    <w:rsid w:val="000E2C0D"/>
    <w:rsid w:val="000E2C9D"/>
    <w:rsid w:val="000E3683"/>
    <w:rsid w:val="000E3712"/>
    <w:rsid w:val="000E3D50"/>
    <w:rsid w:val="000E3DAD"/>
    <w:rsid w:val="000E416E"/>
    <w:rsid w:val="000E4489"/>
    <w:rsid w:val="000E4C25"/>
    <w:rsid w:val="000E4FFB"/>
    <w:rsid w:val="000E5B97"/>
    <w:rsid w:val="000E5CA2"/>
    <w:rsid w:val="000E76B1"/>
    <w:rsid w:val="000F00BA"/>
    <w:rsid w:val="000F07A4"/>
    <w:rsid w:val="000F0E7F"/>
    <w:rsid w:val="000F1BEF"/>
    <w:rsid w:val="000F316A"/>
    <w:rsid w:val="000F343D"/>
    <w:rsid w:val="000F35D0"/>
    <w:rsid w:val="000F3C74"/>
    <w:rsid w:val="000F3D16"/>
    <w:rsid w:val="000F4BB8"/>
    <w:rsid w:val="000F4FA9"/>
    <w:rsid w:val="000F52C3"/>
    <w:rsid w:val="000F53FB"/>
    <w:rsid w:val="000F5A4B"/>
    <w:rsid w:val="000F5A4E"/>
    <w:rsid w:val="000F5B5C"/>
    <w:rsid w:val="000F611C"/>
    <w:rsid w:val="000F6616"/>
    <w:rsid w:val="000F67C9"/>
    <w:rsid w:val="000F6BE8"/>
    <w:rsid w:val="000F7127"/>
    <w:rsid w:val="000F7566"/>
    <w:rsid w:val="000F7B28"/>
    <w:rsid w:val="000F7B44"/>
    <w:rsid w:val="000F7B54"/>
    <w:rsid w:val="000F7BAE"/>
    <w:rsid w:val="001003E6"/>
    <w:rsid w:val="001004A5"/>
    <w:rsid w:val="00100B85"/>
    <w:rsid w:val="00100F8A"/>
    <w:rsid w:val="00101931"/>
    <w:rsid w:val="00101AEF"/>
    <w:rsid w:val="001022CB"/>
    <w:rsid w:val="00102B1A"/>
    <w:rsid w:val="00103410"/>
    <w:rsid w:val="00103670"/>
    <w:rsid w:val="00103785"/>
    <w:rsid w:val="00103EC9"/>
    <w:rsid w:val="0010452E"/>
    <w:rsid w:val="00105180"/>
    <w:rsid w:val="0010567D"/>
    <w:rsid w:val="00105AE2"/>
    <w:rsid w:val="001060C6"/>
    <w:rsid w:val="0010625B"/>
    <w:rsid w:val="00106451"/>
    <w:rsid w:val="00106B80"/>
    <w:rsid w:val="00107220"/>
    <w:rsid w:val="0010745E"/>
    <w:rsid w:val="00107508"/>
    <w:rsid w:val="00107D79"/>
    <w:rsid w:val="00107F46"/>
    <w:rsid w:val="00110009"/>
    <w:rsid w:val="0011032E"/>
    <w:rsid w:val="001109FF"/>
    <w:rsid w:val="00111E75"/>
    <w:rsid w:val="0011348B"/>
    <w:rsid w:val="001148D3"/>
    <w:rsid w:val="00114994"/>
    <w:rsid w:val="00114BA3"/>
    <w:rsid w:val="00114E57"/>
    <w:rsid w:val="001151AD"/>
    <w:rsid w:val="00115466"/>
    <w:rsid w:val="00115608"/>
    <w:rsid w:val="0011582E"/>
    <w:rsid w:val="00115982"/>
    <w:rsid w:val="00115EDA"/>
    <w:rsid w:val="0011648F"/>
    <w:rsid w:val="00116B6A"/>
    <w:rsid w:val="00116C53"/>
    <w:rsid w:val="00116F30"/>
    <w:rsid w:val="001171CE"/>
    <w:rsid w:val="001175AA"/>
    <w:rsid w:val="00117FEA"/>
    <w:rsid w:val="00120728"/>
    <w:rsid w:val="001207F3"/>
    <w:rsid w:val="00120952"/>
    <w:rsid w:val="00120BD6"/>
    <w:rsid w:val="00121691"/>
    <w:rsid w:val="00121799"/>
    <w:rsid w:val="00121A82"/>
    <w:rsid w:val="001222FC"/>
    <w:rsid w:val="00122463"/>
    <w:rsid w:val="0012260E"/>
    <w:rsid w:val="00122AB1"/>
    <w:rsid w:val="00122D37"/>
    <w:rsid w:val="00123450"/>
    <w:rsid w:val="00123902"/>
    <w:rsid w:val="00123B88"/>
    <w:rsid w:val="00124A51"/>
    <w:rsid w:val="00124A9A"/>
    <w:rsid w:val="00124C58"/>
    <w:rsid w:val="00124D10"/>
    <w:rsid w:val="00124FCD"/>
    <w:rsid w:val="00125534"/>
    <w:rsid w:val="001259DF"/>
    <w:rsid w:val="00125DDE"/>
    <w:rsid w:val="00126621"/>
    <w:rsid w:val="00126B1D"/>
    <w:rsid w:val="001301E9"/>
    <w:rsid w:val="00130539"/>
    <w:rsid w:val="00130847"/>
    <w:rsid w:val="00131D3D"/>
    <w:rsid w:val="00131D82"/>
    <w:rsid w:val="00132245"/>
    <w:rsid w:val="001323DD"/>
    <w:rsid w:val="0013240E"/>
    <w:rsid w:val="00132B22"/>
    <w:rsid w:val="00133750"/>
    <w:rsid w:val="001338AE"/>
    <w:rsid w:val="001338CE"/>
    <w:rsid w:val="00133918"/>
    <w:rsid w:val="00133A43"/>
    <w:rsid w:val="00133D36"/>
    <w:rsid w:val="00134517"/>
    <w:rsid w:val="001348EC"/>
    <w:rsid w:val="001348EE"/>
    <w:rsid w:val="00134F8C"/>
    <w:rsid w:val="00135802"/>
    <w:rsid w:val="00135955"/>
    <w:rsid w:val="0013659A"/>
    <w:rsid w:val="00136957"/>
    <w:rsid w:val="00136A84"/>
    <w:rsid w:val="00137645"/>
    <w:rsid w:val="0013766C"/>
    <w:rsid w:val="0014001F"/>
    <w:rsid w:val="0014015A"/>
    <w:rsid w:val="00140E99"/>
    <w:rsid w:val="0014116A"/>
    <w:rsid w:val="001415CE"/>
    <w:rsid w:val="00141812"/>
    <w:rsid w:val="00143F67"/>
    <w:rsid w:val="00143FD3"/>
    <w:rsid w:val="00144ABB"/>
    <w:rsid w:val="00145540"/>
    <w:rsid w:val="001456B0"/>
    <w:rsid w:val="001457C5"/>
    <w:rsid w:val="00146654"/>
    <w:rsid w:val="00146946"/>
    <w:rsid w:val="00146AE5"/>
    <w:rsid w:val="001475C0"/>
    <w:rsid w:val="00147708"/>
    <w:rsid w:val="00150D32"/>
    <w:rsid w:val="00151E27"/>
    <w:rsid w:val="0015207F"/>
    <w:rsid w:val="001526D9"/>
    <w:rsid w:val="001526FE"/>
    <w:rsid w:val="0015283D"/>
    <w:rsid w:val="0015463B"/>
    <w:rsid w:val="001549FE"/>
    <w:rsid w:val="00155C2D"/>
    <w:rsid w:val="00156099"/>
    <w:rsid w:val="00156F8F"/>
    <w:rsid w:val="00156FC4"/>
    <w:rsid w:val="00157130"/>
    <w:rsid w:val="00157503"/>
    <w:rsid w:val="001576B1"/>
    <w:rsid w:val="00157B33"/>
    <w:rsid w:val="0016047B"/>
    <w:rsid w:val="001609BF"/>
    <w:rsid w:val="00160A4C"/>
    <w:rsid w:val="00161138"/>
    <w:rsid w:val="00161998"/>
    <w:rsid w:val="00161A40"/>
    <w:rsid w:val="00161CB7"/>
    <w:rsid w:val="00161CE8"/>
    <w:rsid w:val="00161F80"/>
    <w:rsid w:val="00162552"/>
    <w:rsid w:val="00162913"/>
    <w:rsid w:val="00162E5A"/>
    <w:rsid w:val="00163563"/>
    <w:rsid w:val="0016378D"/>
    <w:rsid w:val="00163ED6"/>
    <w:rsid w:val="00163EFF"/>
    <w:rsid w:val="00163F66"/>
    <w:rsid w:val="00164770"/>
    <w:rsid w:val="00164A20"/>
    <w:rsid w:val="00164E8D"/>
    <w:rsid w:val="00165908"/>
    <w:rsid w:val="001661FB"/>
    <w:rsid w:val="0016639E"/>
    <w:rsid w:val="00166D38"/>
    <w:rsid w:val="00166DFC"/>
    <w:rsid w:val="001671A0"/>
    <w:rsid w:val="00167628"/>
    <w:rsid w:val="0016767F"/>
    <w:rsid w:val="0016795A"/>
    <w:rsid w:val="00167A7D"/>
    <w:rsid w:val="00167D5F"/>
    <w:rsid w:val="00167FD5"/>
    <w:rsid w:val="00170093"/>
    <w:rsid w:val="001709A9"/>
    <w:rsid w:val="00170C12"/>
    <w:rsid w:val="00170FDA"/>
    <w:rsid w:val="00171BF3"/>
    <w:rsid w:val="00171CE6"/>
    <w:rsid w:val="00171E58"/>
    <w:rsid w:val="0017251A"/>
    <w:rsid w:val="00172CF4"/>
    <w:rsid w:val="00173108"/>
    <w:rsid w:val="00173565"/>
    <w:rsid w:val="00173922"/>
    <w:rsid w:val="00173B07"/>
    <w:rsid w:val="0017461D"/>
    <w:rsid w:val="001751FA"/>
    <w:rsid w:val="0017548B"/>
    <w:rsid w:val="00175E4F"/>
    <w:rsid w:val="0017621B"/>
    <w:rsid w:val="00176AEA"/>
    <w:rsid w:val="00176F2A"/>
    <w:rsid w:val="00176F83"/>
    <w:rsid w:val="001770E0"/>
    <w:rsid w:val="00180E01"/>
    <w:rsid w:val="00181021"/>
    <w:rsid w:val="00181C66"/>
    <w:rsid w:val="00181D9C"/>
    <w:rsid w:val="0018233E"/>
    <w:rsid w:val="001824A4"/>
    <w:rsid w:val="0018271B"/>
    <w:rsid w:val="001833DB"/>
    <w:rsid w:val="001836C6"/>
    <w:rsid w:val="00183BED"/>
    <w:rsid w:val="00183DD1"/>
    <w:rsid w:val="00183EE5"/>
    <w:rsid w:val="001847D0"/>
    <w:rsid w:val="00184961"/>
    <w:rsid w:val="00184B0E"/>
    <w:rsid w:val="00185024"/>
    <w:rsid w:val="0018530F"/>
    <w:rsid w:val="0018674E"/>
    <w:rsid w:val="0018752F"/>
    <w:rsid w:val="00187765"/>
    <w:rsid w:val="00187B60"/>
    <w:rsid w:val="001900F6"/>
    <w:rsid w:val="00190236"/>
    <w:rsid w:val="00190804"/>
    <w:rsid w:val="00190D7A"/>
    <w:rsid w:val="00190E0C"/>
    <w:rsid w:val="0019171B"/>
    <w:rsid w:val="001918E3"/>
    <w:rsid w:val="00191B1E"/>
    <w:rsid w:val="00192B27"/>
    <w:rsid w:val="00192DC7"/>
    <w:rsid w:val="00193838"/>
    <w:rsid w:val="00194972"/>
    <w:rsid w:val="00194A28"/>
    <w:rsid w:val="00194AD8"/>
    <w:rsid w:val="00194DDB"/>
    <w:rsid w:val="00195222"/>
    <w:rsid w:val="00197284"/>
    <w:rsid w:val="001975D8"/>
    <w:rsid w:val="001A0E8E"/>
    <w:rsid w:val="001A178E"/>
    <w:rsid w:val="001A2653"/>
    <w:rsid w:val="001A2CCE"/>
    <w:rsid w:val="001A3307"/>
    <w:rsid w:val="001A335D"/>
    <w:rsid w:val="001A337A"/>
    <w:rsid w:val="001A3C2C"/>
    <w:rsid w:val="001A3D17"/>
    <w:rsid w:val="001A43FA"/>
    <w:rsid w:val="001A454B"/>
    <w:rsid w:val="001A457D"/>
    <w:rsid w:val="001A47C2"/>
    <w:rsid w:val="001A47C5"/>
    <w:rsid w:val="001A59FB"/>
    <w:rsid w:val="001A5C65"/>
    <w:rsid w:val="001A5E9E"/>
    <w:rsid w:val="001A5EBE"/>
    <w:rsid w:val="001A6218"/>
    <w:rsid w:val="001A6287"/>
    <w:rsid w:val="001A6354"/>
    <w:rsid w:val="001A6366"/>
    <w:rsid w:val="001A674C"/>
    <w:rsid w:val="001A6AD6"/>
    <w:rsid w:val="001A7387"/>
    <w:rsid w:val="001A7AE8"/>
    <w:rsid w:val="001B066C"/>
    <w:rsid w:val="001B09E9"/>
    <w:rsid w:val="001B1497"/>
    <w:rsid w:val="001B166F"/>
    <w:rsid w:val="001B19D2"/>
    <w:rsid w:val="001B1C95"/>
    <w:rsid w:val="001B1EB8"/>
    <w:rsid w:val="001B204E"/>
    <w:rsid w:val="001B2372"/>
    <w:rsid w:val="001B2780"/>
    <w:rsid w:val="001B2F8B"/>
    <w:rsid w:val="001B3290"/>
    <w:rsid w:val="001B3443"/>
    <w:rsid w:val="001B394C"/>
    <w:rsid w:val="001B3E6A"/>
    <w:rsid w:val="001B3E98"/>
    <w:rsid w:val="001B4D20"/>
    <w:rsid w:val="001B5426"/>
    <w:rsid w:val="001B5C40"/>
    <w:rsid w:val="001B6270"/>
    <w:rsid w:val="001B6EFD"/>
    <w:rsid w:val="001B7065"/>
    <w:rsid w:val="001B75A7"/>
    <w:rsid w:val="001B7B51"/>
    <w:rsid w:val="001C0244"/>
    <w:rsid w:val="001C0B3D"/>
    <w:rsid w:val="001C19D8"/>
    <w:rsid w:val="001C1FE3"/>
    <w:rsid w:val="001C20B9"/>
    <w:rsid w:val="001C24D7"/>
    <w:rsid w:val="001C2568"/>
    <w:rsid w:val="001C2A9B"/>
    <w:rsid w:val="001C2D74"/>
    <w:rsid w:val="001C4299"/>
    <w:rsid w:val="001C4874"/>
    <w:rsid w:val="001C5D3E"/>
    <w:rsid w:val="001C5F94"/>
    <w:rsid w:val="001C63FB"/>
    <w:rsid w:val="001C6E66"/>
    <w:rsid w:val="001C6EFE"/>
    <w:rsid w:val="001C779C"/>
    <w:rsid w:val="001D02FC"/>
    <w:rsid w:val="001D0A18"/>
    <w:rsid w:val="001D0EBA"/>
    <w:rsid w:val="001D107B"/>
    <w:rsid w:val="001D1100"/>
    <w:rsid w:val="001D1391"/>
    <w:rsid w:val="001D15DD"/>
    <w:rsid w:val="001D1827"/>
    <w:rsid w:val="001D1BDF"/>
    <w:rsid w:val="001D25D7"/>
    <w:rsid w:val="001D2B61"/>
    <w:rsid w:val="001D2E57"/>
    <w:rsid w:val="001D30E6"/>
    <w:rsid w:val="001D404D"/>
    <w:rsid w:val="001D44AF"/>
    <w:rsid w:val="001D50A0"/>
    <w:rsid w:val="001D50B2"/>
    <w:rsid w:val="001D5793"/>
    <w:rsid w:val="001D66B8"/>
    <w:rsid w:val="001D68F9"/>
    <w:rsid w:val="001D6912"/>
    <w:rsid w:val="001D69EB"/>
    <w:rsid w:val="001D6FF4"/>
    <w:rsid w:val="001D7645"/>
    <w:rsid w:val="001D7AC1"/>
    <w:rsid w:val="001D7DC6"/>
    <w:rsid w:val="001E05AC"/>
    <w:rsid w:val="001E078D"/>
    <w:rsid w:val="001E0A1F"/>
    <w:rsid w:val="001E0C14"/>
    <w:rsid w:val="001E17FF"/>
    <w:rsid w:val="001E1E86"/>
    <w:rsid w:val="001E238E"/>
    <w:rsid w:val="001E2483"/>
    <w:rsid w:val="001E2B1E"/>
    <w:rsid w:val="001E2CFF"/>
    <w:rsid w:val="001E2F24"/>
    <w:rsid w:val="001E30D4"/>
    <w:rsid w:val="001E34DF"/>
    <w:rsid w:val="001E3BEC"/>
    <w:rsid w:val="001E3EDD"/>
    <w:rsid w:val="001E41C8"/>
    <w:rsid w:val="001E48B4"/>
    <w:rsid w:val="001E4DCF"/>
    <w:rsid w:val="001E52EB"/>
    <w:rsid w:val="001E57D2"/>
    <w:rsid w:val="001E61D2"/>
    <w:rsid w:val="001E6B3F"/>
    <w:rsid w:val="001E6D09"/>
    <w:rsid w:val="001E740C"/>
    <w:rsid w:val="001E7423"/>
    <w:rsid w:val="001E7682"/>
    <w:rsid w:val="001F02C1"/>
    <w:rsid w:val="001F0631"/>
    <w:rsid w:val="001F0CCC"/>
    <w:rsid w:val="001F1235"/>
    <w:rsid w:val="001F154A"/>
    <w:rsid w:val="001F1B23"/>
    <w:rsid w:val="001F1CB3"/>
    <w:rsid w:val="001F2E2D"/>
    <w:rsid w:val="001F38B5"/>
    <w:rsid w:val="001F4081"/>
    <w:rsid w:val="001F440E"/>
    <w:rsid w:val="001F4509"/>
    <w:rsid w:val="001F4B76"/>
    <w:rsid w:val="001F5659"/>
    <w:rsid w:val="001F619B"/>
    <w:rsid w:val="001F62C6"/>
    <w:rsid w:val="001F6972"/>
    <w:rsid w:val="001F6D64"/>
    <w:rsid w:val="001F7361"/>
    <w:rsid w:val="001F7E8D"/>
    <w:rsid w:val="0020055D"/>
    <w:rsid w:val="002008EF"/>
    <w:rsid w:val="00200E68"/>
    <w:rsid w:val="002011B0"/>
    <w:rsid w:val="0020164B"/>
    <w:rsid w:val="002019CD"/>
    <w:rsid w:val="00202004"/>
    <w:rsid w:val="002029C0"/>
    <w:rsid w:val="00202FE8"/>
    <w:rsid w:val="00203181"/>
    <w:rsid w:val="002035D2"/>
    <w:rsid w:val="00203746"/>
    <w:rsid w:val="00203783"/>
    <w:rsid w:val="0020385F"/>
    <w:rsid w:val="002039F2"/>
    <w:rsid w:val="00203E1D"/>
    <w:rsid w:val="002046D8"/>
    <w:rsid w:val="002047BA"/>
    <w:rsid w:val="0020514E"/>
    <w:rsid w:val="002052C6"/>
    <w:rsid w:val="00205797"/>
    <w:rsid w:val="00205E1D"/>
    <w:rsid w:val="0020633F"/>
    <w:rsid w:val="002063E2"/>
    <w:rsid w:val="002068A0"/>
    <w:rsid w:val="00206DEE"/>
    <w:rsid w:val="00207021"/>
    <w:rsid w:val="0020732F"/>
    <w:rsid w:val="002074D1"/>
    <w:rsid w:val="00207807"/>
    <w:rsid w:val="00207C2C"/>
    <w:rsid w:val="00207D00"/>
    <w:rsid w:val="00207ECD"/>
    <w:rsid w:val="0021038E"/>
    <w:rsid w:val="002103B7"/>
    <w:rsid w:val="002105C1"/>
    <w:rsid w:val="002105EE"/>
    <w:rsid w:val="00210F71"/>
    <w:rsid w:val="002112ED"/>
    <w:rsid w:val="00211748"/>
    <w:rsid w:val="00211DE7"/>
    <w:rsid w:val="002127EC"/>
    <w:rsid w:val="00213EF5"/>
    <w:rsid w:val="00215BD8"/>
    <w:rsid w:val="00215CC8"/>
    <w:rsid w:val="00216093"/>
    <w:rsid w:val="002162D7"/>
    <w:rsid w:val="002169EF"/>
    <w:rsid w:val="00216BF5"/>
    <w:rsid w:val="00216CC6"/>
    <w:rsid w:val="002172C2"/>
    <w:rsid w:val="0021772D"/>
    <w:rsid w:val="00221D23"/>
    <w:rsid w:val="002237F8"/>
    <w:rsid w:val="00223B49"/>
    <w:rsid w:val="00223D5A"/>
    <w:rsid w:val="00224017"/>
    <w:rsid w:val="00224BC7"/>
    <w:rsid w:val="00224DD4"/>
    <w:rsid w:val="00224EBB"/>
    <w:rsid w:val="0022534D"/>
    <w:rsid w:val="002258F9"/>
    <w:rsid w:val="00225A85"/>
    <w:rsid w:val="00225B13"/>
    <w:rsid w:val="002266D7"/>
    <w:rsid w:val="00226997"/>
    <w:rsid w:val="002271D7"/>
    <w:rsid w:val="0022776A"/>
    <w:rsid w:val="002278A0"/>
    <w:rsid w:val="002309CC"/>
    <w:rsid w:val="00231677"/>
    <w:rsid w:val="00231E08"/>
    <w:rsid w:val="0023209F"/>
    <w:rsid w:val="00233192"/>
    <w:rsid w:val="00233C01"/>
    <w:rsid w:val="0023413C"/>
    <w:rsid w:val="002346F0"/>
    <w:rsid w:val="00234D48"/>
    <w:rsid w:val="0023629D"/>
    <w:rsid w:val="0023722B"/>
    <w:rsid w:val="00237255"/>
    <w:rsid w:val="00237679"/>
    <w:rsid w:val="00240042"/>
    <w:rsid w:val="0024055B"/>
    <w:rsid w:val="00241B15"/>
    <w:rsid w:val="00242030"/>
    <w:rsid w:val="002424AF"/>
    <w:rsid w:val="002428FA"/>
    <w:rsid w:val="002436B5"/>
    <w:rsid w:val="002438D2"/>
    <w:rsid w:val="002439DC"/>
    <w:rsid w:val="00243C27"/>
    <w:rsid w:val="002441D2"/>
    <w:rsid w:val="00244AFD"/>
    <w:rsid w:val="00244CE9"/>
    <w:rsid w:val="00244DC8"/>
    <w:rsid w:val="0024515C"/>
    <w:rsid w:val="00245673"/>
    <w:rsid w:val="00245675"/>
    <w:rsid w:val="002458BA"/>
    <w:rsid w:val="002459B8"/>
    <w:rsid w:val="00245CE9"/>
    <w:rsid w:val="0024636C"/>
    <w:rsid w:val="0024699E"/>
    <w:rsid w:val="00246FF4"/>
    <w:rsid w:val="00247925"/>
    <w:rsid w:val="0025064A"/>
    <w:rsid w:val="00250DEB"/>
    <w:rsid w:val="00251006"/>
    <w:rsid w:val="00251075"/>
    <w:rsid w:val="002518A9"/>
    <w:rsid w:val="00251DB5"/>
    <w:rsid w:val="00251F05"/>
    <w:rsid w:val="00252015"/>
    <w:rsid w:val="002523D2"/>
    <w:rsid w:val="002524D5"/>
    <w:rsid w:val="00252569"/>
    <w:rsid w:val="0025276E"/>
    <w:rsid w:val="00252E76"/>
    <w:rsid w:val="002536A0"/>
    <w:rsid w:val="0025386B"/>
    <w:rsid w:val="00253B1D"/>
    <w:rsid w:val="00254CE4"/>
    <w:rsid w:val="00254DCF"/>
    <w:rsid w:val="0025534B"/>
    <w:rsid w:val="0025564E"/>
    <w:rsid w:val="0025574B"/>
    <w:rsid w:val="00255BB7"/>
    <w:rsid w:val="00255D06"/>
    <w:rsid w:val="00255F74"/>
    <w:rsid w:val="002561C7"/>
    <w:rsid w:val="002566DF"/>
    <w:rsid w:val="00256BAE"/>
    <w:rsid w:val="00257541"/>
    <w:rsid w:val="00257A39"/>
    <w:rsid w:val="00257AC4"/>
    <w:rsid w:val="00257F9A"/>
    <w:rsid w:val="0026019E"/>
    <w:rsid w:val="00260686"/>
    <w:rsid w:val="002609AC"/>
    <w:rsid w:val="00261A50"/>
    <w:rsid w:val="00261EEF"/>
    <w:rsid w:val="00261F9C"/>
    <w:rsid w:val="00262A1A"/>
    <w:rsid w:val="00262A87"/>
    <w:rsid w:val="00262D36"/>
    <w:rsid w:val="00264D26"/>
    <w:rsid w:val="00265006"/>
    <w:rsid w:val="00266056"/>
    <w:rsid w:val="00266BC6"/>
    <w:rsid w:val="00266C91"/>
    <w:rsid w:val="00266FE6"/>
    <w:rsid w:val="00267048"/>
    <w:rsid w:val="00267642"/>
    <w:rsid w:val="002679A8"/>
    <w:rsid w:val="00267A90"/>
    <w:rsid w:val="00267AAF"/>
    <w:rsid w:val="00267AEA"/>
    <w:rsid w:val="002700E6"/>
    <w:rsid w:val="00270D3F"/>
    <w:rsid w:val="00270EB5"/>
    <w:rsid w:val="00271BD9"/>
    <w:rsid w:val="00271C9C"/>
    <w:rsid w:val="00271F3B"/>
    <w:rsid w:val="00271F43"/>
    <w:rsid w:val="0027211D"/>
    <w:rsid w:val="0027294B"/>
    <w:rsid w:val="00272AC0"/>
    <w:rsid w:val="002731CB"/>
    <w:rsid w:val="00273549"/>
    <w:rsid w:val="00273E3D"/>
    <w:rsid w:val="00273EB4"/>
    <w:rsid w:val="00273F76"/>
    <w:rsid w:val="00274682"/>
    <w:rsid w:val="002747AD"/>
    <w:rsid w:val="00274C26"/>
    <w:rsid w:val="00275583"/>
    <w:rsid w:val="00275C59"/>
    <w:rsid w:val="00275C5A"/>
    <w:rsid w:val="002762FB"/>
    <w:rsid w:val="00276B3D"/>
    <w:rsid w:val="00277176"/>
    <w:rsid w:val="002776F8"/>
    <w:rsid w:val="00277FB5"/>
    <w:rsid w:val="0028051A"/>
    <w:rsid w:val="00281014"/>
    <w:rsid w:val="00281F1E"/>
    <w:rsid w:val="0028207F"/>
    <w:rsid w:val="002828B4"/>
    <w:rsid w:val="002837F4"/>
    <w:rsid w:val="00283CC9"/>
    <w:rsid w:val="002848CB"/>
    <w:rsid w:val="002858EA"/>
    <w:rsid w:val="00285A13"/>
    <w:rsid w:val="00285B44"/>
    <w:rsid w:val="00286292"/>
    <w:rsid w:val="002862D9"/>
    <w:rsid w:val="0028665D"/>
    <w:rsid w:val="00286D25"/>
    <w:rsid w:val="00286FF8"/>
    <w:rsid w:val="00287407"/>
    <w:rsid w:val="00287A56"/>
    <w:rsid w:val="00287A66"/>
    <w:rsid w:val="00287EAA"/>
    <w:rsid w:val="002905F6"/>
    <w:rsid w:val="002908F9"/>
    <w:rsid w:val="00290B8E"/>
    <w:rsid w:val="002915F7"/>
    <w:rsid w:val="00291990"/>
    <w:rsid w:val="00291EE8"/>
    <w:rsid w:val="00293CED"/>
    <w:rsid w:val="00294297"/>
    <w:rsid w:val="0029463B"/>
    <w:rsid w:val="00294B65"/>
    <w:rsid w:val="00294CF8"/>
    <w:rsid w:val="00295166"/>
    <w:rsid w:val="00295675"/>
    <w:rsid w:val="002958EB"/>
    <w:rsid w:val="0029634F"/>
    <w:rsid w:val="00297D93"/>
    <w:rsid w:val="002A0252"/>
    <w:rsid w:val="002A02C1"/>
    <w:rsid w:val="002A0416"/>
    <w:rsid w:val="002A08AD"/>
    <w:rsid w:val="002A0B49"/>
    <w:rsid w:val="002A10C4"/>
    <w:rsid w:val="002A14AB"/>
    <w:rsid w:val="002A196E"/>
    <w:rsid w:val="002A20BD"/>
    <w:rsid w:val="002A28A2"/>
    <w:rsid w:val="002A2ADE"/>
    <w:rsid w:val="002A2F50"/>
    <w:rsid w:val="002A2F76"/>
    <w:rsid w:val="002A3386"/>
    <w:rsid w:val="002A34B3"/>
    <w:rsid w:val="002A3B6D"/>
    <w:rsid w:val="002A3F7F"/>
    <w:rsid w:val="002A4580"/>
    <w:rsid w:val="002A4BC7"/>
    <w:rsid w:val="002A4D01"/>
    <w:rsid w:val="002A4DFA"/>
    <w:rsid w:val="002A5097"/>
    <w:rsid w:val="002A515A"/>
    <w:rsid w:val="002A5C0A"/>
    <w:rsid w:val="002A6136"/>
    <w:rsid w:val="002A6DD9"/>
    <w:rsid w:val="002B05A1"/>
    <w:rsid w:val="002B09A4"/>
    <w:rsid w:val="002B0BD6"/>
    <w:rsid w:val="002B0DA7"/>
    <w:rsid w:val="002B1341"/>
    <w:rsid w:val="002B1801"/>
    <w:rsid w:val="002B1C1F"/>
    <w:rsid w:val="002B208F"/>
    <w:rsid w:val="002B21C5"/>
    <w:rsid w:val="002B21D4"/>
    <w:rsid w:val="002B24A0"/>
    <w:rsid w:val="002B288B"/>
    <w:rsid w:val="002B432F"/>
    <w:rsid w:val="002B45F0"/>
    <w:rsid w:val="002B56B9"/>
    <w:rsid w:val="002B577B"/>
    <w:rsid w:val="002B5C4D"/>
    <w:rsid w:val="002B5E8A"/>
    <w:rsid w:val="002B62B3"/>
    <w:rsid w:val="002B640C"/>
    <w:rsid w:val="002B64CF"/>
    <w:rsid w:val="002B6754"/>
    <w:rsid w:val="002B6CCE"/>
    <w:rsid w:val="002B6CD1"/>
    <w:rsid w:val="002B7C1C"/>
    <w:rsid w:val="002C0034"/>
    <w:rsid w:val="002C0B26"/>
    <w:rsid w:val="002C0C01"/>
    <w:rsid w:val="002C125F"/>
    <w:rsid w:val="002C2510"/>
    <w:rsid w:val="002C2775"/>
    <w:rsid w:val="002C27C1"/>
    <w:rsid w:val="002C30E7"/>
    <w:rsid w:val="002C3B5D"/>
    <w:rsid w:val="002C4AD8"/>
    <w:rsid w:val="002C5099"/>
    <w:rsid w:val="002C5889"/>
    <w:rsid w:val="002C65CF"/>
    <w:rsid w:val="002C67C6"/>
    <w:rsid w:val="002C6B35"/>
    <w:rsid w:val="002C6C5C"/>
    <w:rsid w:val="002C71CE"/>
    <w:rsid w:val="002C7615"/>
    <w:rsid w:val="002C7C09"/>
    <w:rsid w:val="002D08F8"/>
    <w:rsid w:val="002D0AB6"/>
    <w:rsid w:val="002D1203"/>
    <w:rsid w:val="002D19DD"/>
    <w:rsid w:val="002D1DCA"/>
    <w:rsid w:val="002D2250"/>
    <w:rsid w:val="002D2A38"/>
    <w:rsid w:val="002D3481"/>
    <w:rsid w:val="002D3782"/>
    <w:rsid w:val="002D3EF7"/>
    <w:rsid w:val="002D4B78"/>
    <w:rsid w:val="002D4E5F"/>
    <w:rsid w:val="002D577C"/>
    <w:rsid w:val="002D79CE"/>
    <w:rsid w:val="002D7C2A"/>
    <w:rsid w:val="002E04C2"/>
    <w:rsid w:val="002E09B6"/>
    <w:rsid w:val="002E1030"/>
    <w:rsid w:val="002E1071"/>
    <w:rsid w:val="002E111B"/>
    <w:rsid w:val="002E15B9"/>
    <w:rsid w:val="002E1A85"/>
    <w:rsid w:val="002E2158"/>
    <w:rsid w:val="002E25D7"/>
    <w:rsid w:val="002E262D"/>
    <w:rsid w:val="002E2AF9"/>
    <w:rsid w:val="002E43F0"/>
    <w:rsid w:val="002E4EB6"/>
    <w:rsid w:val="002E4F02"/>
    <w:rsid w:val="002E5215"/>
    <w:rsid w:val="002E59B0"/>
    <w:rsid w:val="002E5FEB"/>
    <w:rsid w:val="002E60F1"/>
    <w:rsid w:val="002E697D"/>
    <w:rsid w:val="002E73E7"/>
    <w:rsid w:val="002E7722"/>
    <w:rsid w:val="002F05CB"/>
    <w:rsid w:val="002F07BA"/>
    <w:rsid w:val="002F0A11"/>
    <w:rsid w:val="002F0BEE"/>
    <w:rsid w:val="002F0C2E"/>
    <w:rsid w:val="002F0DA9"/>
    <w:rsid w:val="002F1014"/>
    <w:rsid w:val="002F2493"/>
    <w:rsid w:val="002F3A07"/>
    <w:rsid w:val="002F4011"/>
    <w:rsid w:val="002F477B"/>
    <w:rsid w:val="002F551B"/>
    <w:rsid w:val="002F643C"/>
    <w:rsid w:val="002F6F95"/>
    <w:rsid w:val="002F6FFF"/>
    <w:rsid w:val="002F70C9"/>
    <w:rsid w:val="002F71C0"/>
    <w:rsid w:val="002F74F1"/>
    <w:rsid w:val="002F765C"/>
    <w:rsid w:val="002F773B"/>
    <w:rsid w:val="002F7ACB"/>
    <w:rsid w:val="002F7CC8"/>
    <w:rsid w:val="00300749"/>
    <w:rsid w:val="00301017"/>
    <w:rsid w:val="00301019"/>
    <w:rsid w:val="00301233"/>
    <w:rsid w:val="0030155F"/>
    <w:rsid w:val="00301598"/>
    <w:rsid w:val="00301A9D"/>
    <w:rsid w:val="00302850"/>
    <w:rsid w:val="003032DA"/>
    <w:rsid w:val="00304D87"/>
    <w:rsid w:val="003052E9"/>
    <w:rsid w:val="0030559A"/>
    <w:rsid w:val="0030587B"/>
    <w:rsid w:val="003060B6"/>
    <w:rsid w:val="00306B8F"/>
    <w:rsid w:val="00306D98"/>
    <w:rsid w:val="003071C7"/>
    <w:rsid w:val="0030786C"/>
    <w:rsid w:val="0031031A"/>
    <w:rsid w:val="00310981"/>
    <w:rsid w:val="003124D9"/>
    <w:rsid w:val="00312557"/>
    <w:rsid w:val="00312594"/>
    <w:rsid w:val="003126E4"/>
    <w:rsid w:val="003127DC"/>
    <w:rsid w:val="003132DA"/>
    <w:rsid w:val="00313340"/>
    <w:rsid w:val="003140B4"/>
    <w:rsid w:val="00314318"/>
    <w:rsid w:val="0031448C"/>
    <w:rsid w:val="0031526B"/>
    <w:rsid w:val="00315498"/>
    <w:rsid w:val="00316474"/>
    <w:rsid w:val="003200CB"/>
    <w:rsid w:val="00320986"/>
    <w:rsid w:val="00320A30"/>
    <w:rsid w:val="00320BE6"/>
    <w:rsid w:val="00322107"/>
    <w:rsid w:val="00322355"/>
    <w:rsid w:val="00322846"/>
    <w:rsid w:val="00323D06"/>
    <w:rsid w:val="00323E51"/>
    <w:rsid w:val="00324255"/>
    <w:rsid w:val="00324C89"/>
    <w:rsid w:val="003254A2"/>
    <w:rsid w:val="003260CA"/>
    <w:rsid w:val="00326935"/>
    <w:rsid w:val="003269C1"/>
    <w:rsid w:val="003269EF"/>
    <w:rsid w:val="00326BE8"/>
    <w:rsid w:val="00326DA7"/>
    <w:rsid w:val="003270E4"/>
    <w:rsid w:val="00327F05"/>
    <w:rsid w:val="00330260"/>
    <w:rsid w:val="00330805"/>
    <w:rsid w:val="00330908"/>
    <w:rsid w:val="00330A15"/>
    <w:rsid w:val="00330AB9"/>
    <w:rsid w:val="00330D65"/>
    <w:rsid w:val="00330DAA"/>
    <w:rsid w:val="00330E34"/>
    <w:rsid w:val="00330F5C"/>
    <w:rsid w:val="00331FA1"/>
    <w:rsid w:val="003323B6"/>
    <w:rsid w:val="00332979"/>
    <w:rsid w:val="00333621"/>
    <w:rsid w:val="003366C9"/>
    <w:rsid w:val="00336911"/>
    <w:rsid w:val="00336C41"/>
    <w:rsid w:val="00336C68"/>
    <w:rsid w:val="00336EE3"/>
    <w:rsid w:val="003371B0"/>
    <w:rsid w:val="0033763E"/>
    <w:rsid w:val="00340094"/>
    <w:rsid w:val="00340DF1"/>
    <w:rsid w:val="00341423"/>
    <w:rsid w:val="003416EC"/>
    <w:rsid w:val="00341C38"/>
    <w:rsid w:val="003427C5"/>
    <w:rsid w:val="003438FD"/>
    <w:rsid w:val="0034391D"/>
    <w:rsid w:val="00343AC3"/>
    <w:rsid w:val="00343BBA"/>
    <w:rsid w:val="00343E39"/>
    <w:rsid w:val="00344500"/>
    <w:rsid w:val="0034564A"/>
    <w:rsid w:val="00346051"/>
    <w:rsid w:val="00347B2C"/>
    <w:rsid w:val="0035097C"/>
    <w:rsid w:val="00350AE7"/>
    <w:rsid w:val="00350FDD"/>
    <w:rsid w:val="003516DC"/>
    <w:rsid w:val="003517F9"/>
    <w:rsid w:val="00351BA9"/>
    <w:rsid w:val="00351BD8"/>
    <w:rsid w:val="00351E16"/>
    <w:rsid w:val="00351F22"/>
    <w:rsid w:val="00351FF6"/>
    <w:rsid w:val="0035247A"/>
    <w:rsid w:val="00352F56"/>
    <w:rsid w:val="00352FA7"/>
    <w:rsid w:val="003532DD"/>
    <w:rsid w:val="0035369C"/>
    <w:rsid w:val="00353A38"/>
    <w:rsid w:val="00353B11"/>
    <w:rsid w:val="00354095"/>
    <w:rsid w:val="003546DC"/>
    <w:rsid w:val="00354E25"/>
    <w:rsid w:val="00354E72"/>
    <w:rsid w:val="00354F64"/>
    <w:rsid w:val="003550B2"/>
    <w:rsid w:val="0035543B"/>
    <w:rsid w:val="00355464"/>
    <w:rsid w:val="0035620E"/>
    <w:rsid w:val="0035680C"/>
    <w:rsid w:val="00356860"/>
    <w:rsid w:val="003578F8"/>
    <w:rsid w:val="003579D5"/>
    <w:rsid w:val="00357AEF"/>
    <w:rsid w:val="00357CEE"/>
    <w:rsid w:val="00360024"/>
    <w:rsid w:val="00360345"/>
    <w:rsid w:val="00360E10"/>
    <w:rsid w:val="0036129F"/>
    <w:rsid w:val="003613A5"/>
    <w:rsid w:val="00361A05"/>
    <w:rsid w:val="00361F16"/>
    <w:rsid w:val="003624C4"/>
    <w:rsid w:val="003627B6"/>
    <w:rsid w:val="003628A6"/>
    <w:rsid w:val="00362E24"/>
    <w:rsid w:val="00362E42"/>
    <w:rsid w:val="0036344F"/>
    <w:rsid w:val="0036370F"/>
    <w:rsid w:val="00363B00"/>
    <w:rsid w:val="0036483E"/>
    <w:rsid w:val="003648B0"/>
    <w:rsid w:val="00364EE4"/>
    <w:rsid w:val="00365358"/>
    <w:rsid w:val="003654AC"/>
    <w:rsid w:val="0036609C"/>
    <w:rsid w:val="00366178"/>
    <w:rsid w:val="00366A83"/>
    <w:rsid w:val="00366D93"/>
    <w:rsid w:val="00367539"/>
    <w:rsid w:val="00367BB6"/>
    <w:rsid w:val="00367E27"/>
    <w:rsid w:val="00370308"/>
    <w:rsid w:val="0037092C"/>
    <w:rsid w:val="00370C41"/>
    <w:rsid w:val="00370C94"/>
    <w:rsid w:val="003710CF"/>
    <w:rsid w:val="003715D0"/>
    <w:rsid w:val="00371DDC"/>
    <w:rsid w:val="0037356F"/>
    <w:rsid w:val="0037358A"/>
    <w:rsid w:val="00373E8D"/>
    <w:rsid w:val="0037462A"/>
    <w:rsid w:val="003747EF"/>
    <w:rsid w:val="003750F6"/>
    <w:rsid w:val="00375B7A"/>
    <w:rsid w:val="00375F0A"/>
    <w:rsid w:val="003760FC"/>
    <w:rsid w:val="00376A9D"/>
    <w:rsid w:val="003778DE"/>
    <w:rsid w:val="00377B06"/>
    <w:rsid w:val="00377C94"/>
    <w:rsid w:val="00380166"/>
    <w:rsid w:val="0038086C"/>
    <w:rsid w:val="00380E28"/>
    <w:rsid w:val="00381442"/>
    <w:rsid w:val="00381845"/>
    <w:rsid w:val="003818C7"/>
    <w:rsid w:val="00381A1B"/>
    <w:rsid w:val="00382338"/>
    <w:rsid w:val="003828EF"/>
    <w:rsid w:val="003830A9"/>
    <w:rsid w:val="003830C0"/>
    <w:rsid w:val="003831A9"/>
    <w:rsid w:val="00383209"/>
    <w:rsid w:val="0038365C"/>
    <w:rsid w:val="0038369B"/>
    <w:rsid w:val="00383B78"/>
    <w:rsid w:val="00383F56"/>
    <w:rsid w:val="0038417A"/>
    <w:rsid w:val="003842BA"/>
    <w:rsid w:val="00384C4B"/>
    <w:rsid w:val="00385A9D"/>
    <w:rsid w:val="00386B52"/>
    <w:rsid w:val="003873B1"/>
    <w:rsid w:val="00387891"/>
    <w:rsid w:val="00387EAE"/>
    <w:rsid w:val="003902B1"/>
    <w:rsid w:val="00390353"/>
    <w:rsid w:val="00390C29"/>
    <w:rsid w:val="003915E3"/>
    <w:rsid w:val="0039179C"/>
    <w:rsid w:val="00391F25"/>
    <w:rsid w:val="0039243C"/>
    <w:rsid w:val="003929FB"/>
    <w:rsid w:val="00392E05"/>
    <w:rsid w:val="00392F95"/>
    <w:rsid w:val="00392FC7"/>
    <w:rsid w:val="00393300"/>
    <w:rsid w:val="0039346B"/>
    <w:rsid w:val="00394F28"/>
    <w:rsid w:val="003954A8"/>
    <w:rsid w:val="00395AE9"/>
    <w:rsid w:val="00396158"/>
    <w:rsid w:val="00396170"/>
    <w:rsid w:val="003966B0"/>
    <w:rsid w:val="00396896"/>
    <w:rsid w:val="00396FD0"/>
    <w:rsid w:val="00397E8D"/>
    <w:rsid w:val="003A07F9"/>
    <w:rsid w:val="003A152D"/>
    <w:rsid w:val="003A18B1"/>
    <w:rsid w:val="003A1A7A"/>
    <w:rsid w:val="003A1B80"/>
    <w:rsid w:val="003A2392"/>
    <w:rsid w:val="003A2495"/>
    <w:rsid w:val="003A260A"/>
    <w:rsid w:val="003A2831"/>
    <w:rsid w:val="003A3CB6"/>
    <w:rsid w:val="003A3ED1"/>
    <w:rsid w:val="003A3F23"/>
    <w:rsid w:val="003A44DB"/>
    <w:rsid w:val="003A5781"/>
    <w:rsid w:val="003A5CF2"/>
    <w:rsid w:val="003A5D15"/>
    <w:rsid w:val="003A74DE"/>
    <w:rsid w:val="003A76E4"/>
    <w:rsid w:val="003A7755"/>
    <w:rsid w:val="003A7C0B"/>
    <w:rsid w:val="003A7DD2"/>
    <w:rsid w:val="003A7F85"/>
    <w:rsid w:val="003B0FB2"/>
    <w:rsid w:val="003B12E6"/>
    <w:rsid w:val="003B1CF2"/>
    <w:rsid w:val="003B2726"/>
    <w:rsid w:val="003B388C"/>
    <w:rsid w:val="003B3971"/>
    <w:rsid w:val="003B47B4"/>
    <w:rsid w:val="003B55D1"/>
    <w:rsid w:val="003B5B61"/>
    <w:rsid w:val="003B6C34"/>
    <w:rsid w:val="003B76F5"/>
    <w:rsid w:val="003C1654"/>
    <w:rsid w:val="003C1C50"/>
    <w:rsid w:val="003C1DEC"/>
    <w:rsid w:val="003C21FF"/>
    <w:rsid w:val="003C3193"/>
    <w:rsid w:val="003C333D"/>
    <w:rsid w:val="003C3414"/>
    <w:rsid w:val="003C34A5"/>
    <w:rsid w:val="003C3A9B"/>
    <w:rsid w:val="003C5542"/>
    <w:rsid w:val="003C6684"/>
    <w:rsid w:val="003C69C6"/>
    <w:rsid w:val="003C6D9A"/>
    <w:rsid w:val="003C7377"/>
    <w:rsid w:val="003C7564"/>
    <w:rsid w:val="003C7D19"/>
    <w:rsid w:val="003C7D2F"/>
    <w:rsid w:val="003D1828"/>
    <w:rsid w:val="003D1DE4"/>
    <w:rsid w:val="003D1E9A"/>
    <w:rsid w:val="003D2422"/>
    <w:rsid w:val="003D2512"/>
    <w:rsid w:val="003D2BE3"/>
    <w:rsid w:val="003D334E"/>
    <w:rsid w:val="003D39A1"/>
    <w:rsid w:val="003D3B4D"/>
    <w:rsid w:val="003D3FBF"/>
    <w:rsid w:val="003D3FF2"/>
    <w:rsid w:val="003D4261"/>
    <w:rsid w:val="003D4A30"/>
    <w:rsid w:val="003D4D2E"/>
    <w:rsid w:val="003D549F"/>
    <w:rsid w:val="003D6245"/>
    <w:rsid w:val="003D6BEF"/>
    <w:rsid w:val="003D7356"/>
    <w:rsid w:val="003D7452"/>
    <w:rsid w:val="003D79BB"/>
    <w:rsid w:val="003D7B7E"/>
    <w:rsid w:val="003D7C98"/>
    <w:rsid w:val="003D7D9D"/>
    <w:rsid w:val="003E0460"/>
    <w:rsid w:val="003E0543"/>
    <w:rsid w:val="003E07BF"/>
    <w:rsid w:val="003E0A73"/>
    <w:rsid w:val="003E0AAA"/>
    <w:rsid w:val="003E158C"/>
    <w:rsid w:val="003E1904"/>
    <w:rsid w:val="003E1AE0"/>
    <w:rsid w:val="003E2752"/>
    <w:rsid w:val="003E3834"/>
    <w:rsid w:val="003E48CB"/>
    <w:rsid w:val="003E4B74"/>
    <w:rsid w:val="003E540E"/>
    <w:rsid w:val="003E6256"/>
    <w:rsid w:val="003E6865"/>
    <w:rsid w:val="003E69CB"/>
    <w:rsid w:val="003E6B79"/>
    <w:rsid w:val="003E749E"/>
    <w:rsid w:val="003F0080"/>
    <w:rsid w:val="003F00E3"/>
    <w:rsid w:val="003F06E5"/>
    <w:rsid w:val="003F0ABA"/>
    <w:rsid w:val="003F2F6C"/>
    <w:rsid w:val="003F2F7D"/>
    <w:rsid w:val="003F3B8E"/>
    <w:rsid w:val="003F4156"/>
    <w:rsid w:val="003F4E47"/>
    <w:rsid w:val="003F4F65"/>
    <w:rsid w:val="003F5153"/>
    <w:rsid w:val="003F593B"/>
    <w:rsid w:val="003F5ADF"/>
    <w:rsid w:val="003F5C97"/>
    <w:rsid w:val="003F6826"/>
    <w:rsid w:val="003F75AB"/>
    <w:rsid w:val="00400B29"/>
    <w:rsid w:val="00401B49"/>
    <w:rsid w:val="00401FA7"/>
    <w:rsid w:val="00402530"/>
    <w:rsid w:val="00403BD4"/>
    <w:rsid w:val="00403D01"/>
    <w:rsid w:val="0040504B"/>
    <w:rsid w:val="0040545A"/>
    <w:rsid w:val="0040592D"/>
    <w:rsid w:val="004059F4"/>
    <w:rsid w:val="00405A69"/>
    <w:rsid w:val="00405C29"/>
    <w:rsid w:val="004071DB"/>
    <w:rsid w:val="00407743"/>
    <w:rsid w:val="00407FE5"/>
    <w:rsid w:val="004101B0"/>
    <w:rsid w:val="00410281"/>
    <w:rsid w:val="00410326"/>
    <w:rsid w:val="00410708"/>
    <w:rsid w:val="0041081E"/>
    <w:rsid w:val="004108DC"/>
    <w:rsid w:val="00410EC7"/>
    <w:rsid w:val="00411AB9"/>
    <w:rsid w:val="00411B39"/>
    <w:rsid w:val="00411BCE"/>
    <w:rsid w:val="00412140"/>
    <w:rsid w:val="0041219C"/>
    <w:rsid w:val="004127A7"/>
    <w:rsid w:val="00412F51"/>
    <w:rsid w:val="0041317C"/>
    <w:rsid w:val="0041356C"/>
    <w:rsid w:val="0041373A"/>
    <w:rsid w:val="00413A1E"/>
    <w:rsid w:val="00413FFA"/>
    <w:rsid w:val="00414476"/>
    <w:rsid w:val="00414A20"/>
    <w:rsid w:val="00414C2E"/>
    <w:rsid w:val="00415174"/>
    <w:rsid w:val="004151CF"/>
    <w:rsid w:val="004155E4"/>
    <w:rsid w:val="00416364"/>
    <w:rsid w:val="0041650A"/>
    <w:rsid w:val="00416510"/>
    <w:rsid w:val="00416D42"/>
    <w:rsid w:val="00416FF5"/>
    <w:rsid w:val="0042047F"/>
    <w:rsid w:val="00420AA6"/>
    <w:rsid w:val="00420B9F"/>
    <w:rsid w:val="00420BA4"/>
    <w:rsid w:val="00421306"/>
    <w:rsid w:val="0042192C"/>
    <w:rsid w:val="00421BB2"/>
    <w:rsid w:val="00421D6D"/>
    <w:rsid w:val="00421DA6"/>
    <w:rsid w:val="00421FDE"/>
    <w:rsid w:val="00422260"/>
    <w:rsid w:val="004225E1"/>
    <w:rsid w:val="004230EF"/>
    <w:rsid w:val="004233F1"/>
    <w:rsid w:val="004237E7"/>
    <w:rsid w:val="00423F65"/>
    <w:rsid w:val="0042413F"/>
    <w:rsid w:val="00425B4B"/>
    <w:rsid w:val="004264DC"/>
    <w:rsid w:val="00426D41"/>
    <w:rsid w:val="00426F36"/>
    <w:rsid w:val="00430362"/>
    <w:rsid w:val="004306FF"/>
    <w:rsid w:val="00431493"/>
    <w:rsid w:val="004319F8"/>
    <w:rsid w:val="00431B16"/>
    <w:rsid w:val="00431E55"/>
    <w:rsid w:val="004321F6"/>
    <w:rsid w:val="004326F9"/>
    <w:rsid w:val="004328F2"/>
    <w:rsid w:val="00433044"/>
    <w:rsid w:val="004332BB"/>
    <w:rsid w:val="00434088"/>
    <w:rsid w:val="004353E3"/>
    <w:rsid w:val="00435554"/>
    <w:rsid w:val="004355F8"/>
    <w:rsid w:val="004360D0"/>
    <w:rsid w:val="00436467"/>
    <w:rsid w:val="00436AE1"/>
    <w:rsid w:val="00436B09"/>
    <w:rsid w:val="00437119"/>
    <w:rsid w:val="00437202"/>
    <w:rsid w:val="004373E2"/>
    <w:rsid w:val="004375B9"/>
    <w:rsid w:val="0043767E"/>
    <w:rsid w:val="0044024D"/>
    <w:rsid w:val="004403DD"/>
    <w:rsid w:val="00440430"/>
    <w:rsid w:val="00440BBA"/>
    <w:rsid w:val="0044114D"/>
    <w:rsid w:val="00441180"/>
    <w:rsid w:val="0044258A"/>
    <w:rsid w:val="004428D0"/>
    <w:rsid w:val="00442C88"/>
    <w:rsid w:val="00442DE0"/>
    <w:rsid w:val="004434A6"/>
    <w:rsid w:val="00443BFA"/>
    <w:rsid w:val="00444185"/>
    <w:rsid w:val="004443A7"/>
    <w:rsid w:val="0044442C"/>
    <w:rsid w:val="0044543A"/>
    <w:rsid w:val="00445565"/>
    <w:rsid w:val="00445941"/>
    <w:rsid w:val="00445A63"/>
    <w:rsid w:val="00446161"/>
    <w:rsid w:val="004464EB"/>
    <w:rsid w:val="00446C17"/>
    <w:rsid w:val="004478DC"/>
    <w:rsid w:val="00447D26"/>
    <w:rsid w:val="00447DFC"/>
    <w:rsid w:val="00450264"/>
    <w:rsid w:val="0045036D"/>
    <w:rsid w:val="00452303"/>
    <w:rsid w:val="00452E08"/>
    <w:rsid w:val="004530BB"/>
    <w:rsid w:val="004553CF"/>
    <w:rsid w:val="00455D45"/>
    <w:rsid w:val="0045646C"/>
    <w:rsid w:val="00460207"/>
    <w:rsid w:val="00460BD9"/>
    <w:rsid w:val="00460D1B"/>
    <w:rsid w:val="0046158F"/>
    <w:rsid w:val="00461E00"/>
    <w:rsid w:val="0046307C"/>
    <w:rsid w:val="00463C24"/>
    <w:rsid w:val="00464595"/>
    <w:rsid w:val="00465396"/>
    <w:rsid w:val="004658B5"/>
    <w:rsid w:val="00466178"/>
    <w:rsid w:val="004670F9"/>
    <w:rsid w:val="0046734A"/>
    <w:rsid w:val="0046738F"/>
    <w:rsid w:val="00467962"/>
    <w:rsid w:val="00470690"/>
    <w:rsid w:val="00470E76"/>
    <w:rsid w:val="0047130B"/>
    <w:rsid w:val="0047141B"/>
    <w:rsid w:val="00471D61"/>
    <w:rsid w:val="00471EA5"/>
    <w:rsid w:val="00471FD0"/>
    <w:rsid w:val="004720CF"/>
    <w:rsid w:val="0047296A"/>
    <w:rsid w:val="00472A79"/>
    <w:rsid w:val="00472C08"/>
    <w:rsid w:val="0047364F"/>
    <w:rsid w:val="00473F19"/>
    <w:rsid w:val="00473FCD"/>
    <w:rsid w:val="0047418A"/>
    <w:rsid w:val="00474D82"/>
    <w:rsid w:val="00474F53"/>
    <w:rsid w:val="004752BF"/>
    <w:rsid w:val="00475400"/>
    <w:rsid w:val="00475546"/>
    <w:rsid w:val="004757C4"/>
    <w:rsid w:val="00475E22"/>
    <w:rsid w:val="00476BF1"/>
    <w:rsid w:val="00477052"/>
    <w:rsid w:val="00477AFF"/>
    <w:rsid w:val="00477B4F"/>
    <w:rsid w:val="00477D4D"/>
    <w:rsid w:val="00477FBE"/>
    <w:rsid w:val="0048088E"/>
    <w:rsid w:val="00480F2B"/>
    <w:rsid w:val="004813BE"/>
    <w:rsid w:val="004816BC"/>
    <w:rsid w:val="00481D5F"/>
    <w:rsid w:val="00482512"/>
    <w:rsid w:val="004826CD"/>
    <w:rsid w:val="00482720"/>
    <w:rsid w:val="00482CED"/>
    <w:rsid w:val="004835E7"/>
    <w:rsid w:val="004836BC"/>
    <w:rsid w:val="004838F5"/>
    <w:rsid w:val="00483F7E"/>
    <w:rsid w:val="00483FED"/>
    <w:rsid w:val="0048437B"/>
    <w:rsid w:val="00484D71"/>
    <w:rsid w:val="004855AC"/>
    <w:rsid w:val="00485B7D"/>
    <w:rsid w:val="004867E2"/>
    <w:rsid w:val="004900C3"/>
    <w:rsid w:val="00490B17"/>
    <w:rsid w:val="004912C2"/>
    <w:rsid w:val="00491354"/>
    <w:rsid w:val="00491B3A"/>
    <w:rsid w:val="00492061"/>
    <w:rsid w:val="00492556"/>
    <w:rsid w:val="00492754"/>
    <w:rsid w:val="00492CFD"/>
    <w:rsid w:val="00494207"/>
    <w:rsid w:val="0049448E"/>
    <w:rsid w:val="0049458B"/>
    <w:rsid w:val="00494DD5"/>
    <w:rsid w:val="004952D6"/>
    <w:rsid w:val="00495D0B"/>
    <w:rsid w:val="004961A8"/>
    <w:rsid w:val="004962D2"/>
    <w:rsid w:val="00496B86"/>
    <w:rsid w:val="00497145"/>
    <w:rsid w:val="0049743C"/>
    <w:rsid w:val="004A0298"/>
    <w:rsid w:val="004A05D1"/>
    <w:rsid w:val="004A0684"/>
    <w:rsid w:val="004A0BB7"/>
    <w:rsid w:val="004A0DA1"/>
    <w:rsid w:val="004A13D6"/>
    <w:rsid w:val="004A23CA"/>
    <w:rsid w:val="004A2A34"/>
    <w:rsid w:val="004A2BED"/>
    <w:rsid w:val="004A3293"/>
    <w:rsid w:val="004A3B4E"/>
    <w:rsid w:val="004A3E95"/>
    <w:rsid w:val="004A3F01"/>
    <w:rsid w:val="004A40BC"/>
    <w:rsid w:val="004A4AFF"/>
    <w:rsid w:val="004A4B75"/>
    <w:rsid w:val="004A52E9"/>
    <w:rsid w:val="004A54F1"/>
    <w:rsid w:val="004A6040"/>
    <w:rsid w:val="004A6597"/>
    <w:rsid w:val="004A7620"/>
    <w:rsid w:val="004A7848"/>
    <w:rsid w:val="004A7CDC"/>
    <w:rsid w:val="004A7E15"/>
    <w:rsid w:val="004B1169"/>
    <w:rsid w:val="004B1BF2"/>
    <w:rsid w:val="004B1CB4"/>
    <w:rsid w:val="004B2B9E"/>
    <w:rsid w:val="004B2DF6"/>
    <w:rsid w:val="004B2F18"/>
    <w:rsid w:val="004B3818"/>
    <w:rsid w:val="004B3A93"/>
    <w:rsid w:val="004B3DDB"/>
    <w:rsid w:val="004B4057"/>
    <w:rsid w:val="004B44FD"/>
    <w:rsid w:val="004B475F"/>
    <w:rsid w:val="004B4BF8"/>
    <w:rsid w:val="004B5CFC"/>
    <w:rsid w:val="004B6975"/>
    <w:rsid w:val="004B6D83"/>
    <w:rsid w:val="004B6F79"/>
    <w:rsid w:val="004B774D"/>
    <w:rsid w:val="004B7A33"/>
    <w:rsid w:val="004C05E5"/>
    <w:rsid w:val="004C0666"/>
    <w:rsid w:val="004C0F71"/>
    <w:rsid w:val="004C31FE"/>
    <w:rsid w:val="004C3626"/>
    <w:rsid w:val="004C4158"/>
    <w:rsid w:val="004C4AED"/>
    <w:rsid w:val="004C5139"/>
    <w:rsid w:val="004C5176"/>
    <w:rsid w:val="004C61ED"/>
    <w:rsid w:val="004C71CE"/>
    <w:rsid w:val="004C76BD"/>
    <w:rsid w:val="004C7876"/>
    <w:rsid w:val="004C79A0"/>
    <w:rsid w:val="004C79E2"/>
    <w:rsid w:val="004C7C14"/>
    <w:rsid w:val="004D08FA"/>
    <w:rsid w:val="004D098A"/>
    <w:rsid w:val="004D1231"/>
    <w:rsid w:val="004D1738"/>
    <w:rsid w:val="004D2C2D"/>
    <w:rsid w:val="004D3052"/>
    <w:rsid w:val="004D41C5"/>
    <w:rsid w:val="004D4965"/>
    <w:rsid w:val="004D524C"/>
    <w:rsid w:val="004D575F"/>
    <w:rsid w:val="004D69B5"/>
    <w:rsid w:val="004D6F16"/>
    <w:rsid w:val="004D7227"/>
    <w:rsid w:val="004D722A"/>
    <w:rsid w:val="004D7337"/>
    <w:rsid w:val="004D788A"/>
    <w:rsid w:val="004D7B17"/>
    <w:rsid w:val="004E0494"/>
    <w:rsid w:val="004E0E7F"/>
    <w:rsid w:val="004E0EB8"/>
    <w:rsid w:val="004E18E9"/>
    <w:rsid w:val="004E262B"/>
    <w:rsid w:val="004E26FF"/>
    <w:rsid w:val="004E27C5"/>
    <w:rsid w:val="004E2ADC"/>
    <w:rsid w:val="004E2D5D"/>
    <w:rsid w:val="004E327D"/>
    <w:rsid w:val="004E367A"/>
    <w:rsid w:val="004E4295"/>
    <w:rsid w:val="004E43B2"/>
    <w:rsid w:val="004E47DC"/>
    <w:rsid w:val="004E48AF"/>
    <w:rsid w:val="004E73FC"/>
    <w:rsid w:val="004E7444"/>
    <w:rsid w:val="004E753E"/>
    <w:rsid w:val="004E7AE0"/>
    <w:rsid w:val="004E7CAE"/>
    <w:rsid w:val="004E7CB9"/>
    <w:rsid w:val="004F06FF"/>
    <w:rsid w:val="004F0837"/>
    <w:rsid w:val="004F149B"/>
    <w:rsid w:val="004F1D02"/>
    <w:rsid w:val="004F2188"/>
    <w:rsid w:val="004F2679"/>
    <w:rsid w:val="004F2E62"/>
    <w:rsid w:val="004F2F21"/>
    <w:rsid w:val="004F33CF"/>
    <w:rsid w:val="004F3DE5"/>
    <w:rsid w:val="004F4297"/>
    <w:rsid w:val="004F48C4"/>
    <w:rsid w:val="004F54BE"/>
    <w:rsid w:val="004F6913"/>
    <w:rsid w:val="004F6BE9"/>
    <w:rsid w:val="004F720F"/>
    <w:rsid w:val="004F72D3"/>
    <w:rsid w:val="004F7865"/>
    <w:rsid w:val="004F7BC8"/>
    <w:rsid w:val="0050030D"/>
    <w:rsid w:val="0050174E"/>
    <w:rsid w:val="00501854"/>
    <w:rsid w:val="0050219B"/>
    <w:rsid w:val="00503880"/>
    <w:rsid w:val="00503B19"/>
    <w:rsid w:val="00503C43"/>
    <w:rsid w:val="00503E5C"/>
    <w:rsid w:val="00503F17"/>
    <w:rsid w:val="005043EE"/>
    <w:rsid w:val="005044D6"/>
    <w:rsid w:val="00504C8F"/>
    <w:rsid w:val="005051A5"/>
    <w:rsid w:val="00505B6D"/>
    <w:rsid w:val="00505C7D"/>
    <w:rsid w:val="005060F7"/>
    <w:rsid w:val="00506928"/>
    <w:rsid w:val="0050777B"/>
    <w:rsid w:val="005077C4"/>
    <w:rsid w:val="005077EF"/>
    <w:rsid w:val="00510CE1"/>
    <w:rsid w:val="0051103D"/>
    <w:rsid w:val="005111E8"/>
    <w:rsid w:val="005118C8"/>
    <w:rsid w:val="00511AD5"/>
    <w:rsid w:val="00511D99"/>
    <w:rsid w:val="00511DC7"/>
    <w:rsid w:val="005132B1"/>
    <w:rsid w:val="005142C5"/>
    <w:rsid w:val="00514732"/>
    <w:rsid w:val="00514BE7"/>
    <w:rsid w:val="00514CFE"/>
    <w:rsid w:val="0051501B"/>
    <w:rsid w:val="005152B5"/>
    <w:rsid w:val="0051536F"/>
    <w:rsid w:val="005156DE"/>
    <w:rsid w:val="0051618F"/>
    <w:rsid w:val="0051715A"/>
    <w:rsid w:val="00520070"/>
    <w:rsid w:val="0052123C"/>
    <w:rsid w:val="00521319"/>
    <w:rsid w:val="005219F0"/>
    <w:rsid w:val="0052239A"/>
    <w:rsid w:val="00522559"/>
    <w:rsid w:val="00522714"/>
    <w:rsid w:val="00522BC8"/>
    <w:rsid w:val="00523489"/>
    <w:rsid w:val="00523815"/>
    <w:rsid w:val="00523C28"/>
    <w:rsid w:val="00523FA0"/>
    <w:rsid w:val="00524622"/>
    <w:rsid w:val="005248C7"/>
    <w:rsid w:val="00524D27"/>
    <w:rsid w:val="00524E7C"/>
    <w:rsid w:val="005251E0"/>
    <w:rsid w:val="00525626"/>
    <w:rsid w:val="00525720"/>
    <w:rsid w:val="00525C49"/>
    <w:rsid w:val="0052607E"/>
    <w:rsid w:val="00526D16"/>
    <w:rsid w:val="00526E38"/>
    <w:rsid w:val="0052717E"/>
    <w:rsid w:val="005274D3"/>
    <w:rsid w:val="0052784C"/>
    <w:rsid w:val="005279D8"/>
    <w:rsid w:val="00527B4B"/>
    <w:rsid w:val="0053031F"/>
    <w:rsid w:val="00530C52"/>
    <w:rsid w:val="00530FFA"/>
    <w:rsid w:val="0053176B"/>
    <w:rsid w:val="00531B26"/>
    <w:rsid w:val="0053282E"/>
    <w:rsid w:val="00532B82"/>
    <w:rsid w:val="00533228"/>
    <w:rsid w:val="00534C22"/>
    <w:rsid w:val="0053501C"/>
    <w:rsid w:val="0053570C"/>
    <w:rsid w:val="00535CAD"/>
    <w:rsid w:val="00535FED"/>
    <w:rsid w:val="00536868"/>
    <w:rsid w:val="00536F42"/>
    <w:rsid w:val="005370B5"/>
    <w:rsid w:val="00537182"/>
    <w:rsid w:val="0053736B"/>
    <w:rsid w:val="00540161"/>
    <w:rsid w:val="005403DC"/>
    <w:rsid w:val="00540C57"/>
    <w:rsid w:val="005411AE"/>
    <w:rsid w:val="00541475"/>
    <w:rsid w:val="005417C7"/>
    <w:rsid w:val="0054191C"/>
    <w:rsid w:val="00541C93"/>
    <w:rsid w:val="00541EDD"/>
    <w:rsid w:val="00541F5D"/>
    <w:rsid w:val="00541FFA"/>
    <w:rsid w:val="00542743"/>
    <w:rsid w:val="00542BBE"/>
    <w:rsid w:val="00542C2D"/>
    <w:rsid w:val="00542C82"/>
    <w:rsid w:val="00543539"/>
    <w:rsid w:val="00544DA7"/>
    <w:rsid w:val="0054553D"/>
    <w:rsid w:val="0054558E"/>
    <w:rsid w:val="00545C8B"/>
    <w:rsid w:val="00546516"/>
    <w:rsid w:val="00547439"/>
    <w:rsid w:val="005478BD"/>
    <w:rsid w:val="005479E3"/>
    <w:rsid w:val="00547B00"/>
    <w:rsid w:val="00547C6D"/>
    <w:rsid w:val="00547D17"/>
    <w:rsid w:val="005509B8"/>
    <w:rsid w:val="00550C35"/>
    <w:rsid w:val="0055130F"/>
    <w:rsid w:val="005517CC"/>
    <w:rsid w:val="00551985"/>
    <w:rsid w:val="00552641"/>
    <w:rsid w:val="00552BD3"/>
    <w:rsid w:val="005530F0"/>
    <w:rsid w:val="005532A0"/>
    <w:rsid w:val="00554B53"/>
    <w:rsid w:val="00554FB4"/>
    <w:rsid w:val="00555109"/>
    <w:rsid w:val="0055571E"/>
    <w:rsid w:val="0055624D"/>
    <w:rsid w:val="00556886"/>
    <w:rsid w:val="00556B0C"/>
    <w:rsid w:val="00556B35"/>
    <w:rsid w:val="005573C0"/>
    <w:rsid w:val="0055741A"/>
    <w:rsid w:val="00557C4D"/>
    <w:rsid w:val="00560637"/>
    <w:rsid w:val="005611B7"/>
    <w:rsid w:val="005613AC"/>
    <w:rsid w:val="005613B8"/>
    <w:rsid w:val="005618D4"/>
    <w:rsid w:val="00562B8E"/>
    <w:rsid w:val="00562C76"/>
    <w:rsid w:val="00563096"/>
    <w:rsid w:val="0056367F"/>
    <w:rsid w:val="00564513"/>
    <w:rsid w:val="00564EC1"/>
    <w:rsid w:val="005652DA"/>
    <w:rsid w:val="00565DF0"/>
    <w:rsid w:val="0056696F"/>
    <w:rsid w:val="00566F8C"/>
    <w:rsid w:val="005673E3"/>
    <w:rsid w:val="005700D4"/>
    <w:rsid w:val="00570DAF"/>
    <w:rsid w:val="00571372"/>
    <w:rsid w:val="00571783"/>
    <w:rsid w:val="00572150"/>
    <w:rsid w:val="00572269"/>
    <w:rsid w:val="0057244A"/>
    <w:rsid w:val="005728D1"/>
    <w:rsid w:val="00572957"/>
    <w:rsid w:val="00572F26"/>
    <w:rsid w:val="005731C7"/>
    <w:rsid w:val="005738EC"/>
    <w:rsid w:val="005745EF"/>
    <w:rsid w:val="005747DD"/>
    <w:rsid w:val="005750C5"/>
    <w:rsid w:val="005750D3"/>
    <w:rsid w:val="005752DE"/>
    <w:rsid w:val="00575734"/>
    <w:rsid w:val="00575787"/>
    <w:rsid w:val="00575D8D"/>
    <w:rsid w:val="005766EF"/>
    <w:rsid w:val="00576972"/>
    <w:rsid w:val="00576BA3"/>
    <w:rsid w:val="00576F2D"/>
    <w:rsid w:val="005778AF"/>
    <w:rsid w:val="005800F5"/>
    <w:rsid w:val="005806E8"/>
    <w:rsid w:val="00580CCF"/>
    <w:rsid w:val="00580FA7"/>
    <w:rsid w:val="0058154B"/>
    <w:rsid w:val="005819DB"/>
    <w:rsid w:val="00581B96"/>
    <w:rsid w:val="0058235F"/>
    <w:rsid w:val="0058277E"/>
    <w:rsid w:val="00582A47"/>
    <w:rsid w:val="00582E1A"/>
    <w:rsid w:val="00583234"/>
    <w:rsid w:val="00583543"/>
    <w:rsid w:val="00583699"/>
    <w:rsid w:val="00583E14"/>
    <w:rsid w:val="00583FAF"/>
    <w:rsid w:val="00585B2E"/>
    <w:rsid w:val="00585CDD"/>
    <w:rsid w:val="00585DFA"/>
    <w:rsid w:val="00586EBB"/>
    <w:rsid w:val="00587058"/>
    <w:rsid w:val="0058768C"/>
    <w:rsid w:val="005907FF"/>
    <w:rsid w:val="0059125F"/>
    <w:rsid w:val="005918CA"/>
    <w:rsid w:val="00591957"/>
    <w:rsid w:val="00592072"/>
    <w:rsid w:val="005928B2"/>
    <w:rsid w:val="0059383D"/>
    <w:rsid w:val="00594276"/>
    <w:rsid w:val="005955C7"/>
    <w:rsid w:val="0059566A"/>
    <w:rsid w:val="0059576B"/>
    <w:rsid w:val="0059585B"/>
    <w:rsid w:val="00595C56"/>
    <w:rsid w:val="00595C97"/>
    <w:rsid w:val="005960CA"/>
    <w:rsid w:val="005962A5"/>
    <w:rsid w:val="00596C5E"/>
    <w:rsid w:val="00596E4C"/>
    <w:rsid w:val="00597514"/>
    <w:rsid w:val="00597BF9"/>
    <w:rsid w:val="00597EA8"/>
    <w:rsid w:val="00597FE5"/>
    <w:rsid w:val="005A0195"/>
    <w:rsid w:val="005A0C56"/>
    <w:rsid w:val="005A13BB"/>
    <w:rsid w:val="005A160C"/>
    <w:rsid w:val="005A2243"/>
    <w:rsid w:val="005A26C7"/>
    <w:rsid w:val="005A309A"/>
    <w:rsid w:val="005A3290"/>
    <w:rsid w:val="005A373D"/>
    <w:rsid w:val="005A4A05"/>
    <w:rsid w:val="005A5799"/>
    <w:rsid w:val="005A597F"/>
    <w:rsid w:val="005A5AB4"/>
    <w:rsid w:val="005A64DA"/>
    <w:rsid w:val="005A6ACC"/>
    <w:rsid w:val="005A7817"/>
    <w:rsid w:val="005B00AA"/>
    <w:rsid w:val="005B0B58"/>
    <w:rsid w:val="005B0CCC"/>
    <w:rsid w:val="005B0CE6"/>
    <w:rsid w:val="005B149C"/>
    <w:rsid w:val="005B23CA"/>
    <w:rsid w:val="005B25BF"/>
    <w:rsid w:val="005B2EE7"/>
    <w:rsid w:val="005B3A6C"/>
    <w:rsid w:val="005B41B7"/>
    <w:rsid w:val="005B41F7"/>
    <w:rsid w:val="005B421A"/>
    <w:rsid w:val="005B46CD"/>
    <w:rsid w:val="005B4759"/>
    <w:rsid w:val="005B4E53"/>
    <w:rsid w:val="005B4FC5"/>
    <w:rsid w:val="005B5857"/>
    <w:rsid w:val="005B59E4"/>
    <w:rsid w:val="005B6A4B"/>
    <w:rsid w:val="005B72B5"/>
    <w:rsid w:val="005B795E"/>
    <w:rsid w:val="005C02FB"/>
    <w:rsid w:val="005C16D7"/>
    <w:rsid w:val="005C19F5"/>
    <w:rsid w:val="005C1B83"/>
    <w:rsid w:val="005C253B"/>
    <w:rsid w:val="005C25E5"/>
    <w:rsid w:val="005C25FF"/>
    <w:rsid w:val="005C2D55"/>
    <w:rsid w:val="005C32A6"/>
    <w:rsid w:val="005C346B"/>
    <w:rsid w:val="005C4089"/>
    <w:rsid w:val="005C49E5"/>
    <w:rsid w:val="005C508A"/>
    <w:rsid w:val="005C59F4"/>
    <w:rsid w:val="005C5BB6"/>
    <w:rsid w:val="005C5C55"/>
    <w:rsid w:val="005C5EA2"/>
    <w:rsid w:val="005C64E2"/>
    <w:rsid w:val="005C6CDB"/>
    <w:rsid w:val="005C6EB4"/>
    <w:rsid w:val="005C7405"/>
    <w:rsid w:val="005D0070"/>
    <w:rsid w:val="005D01CF"/>
    <w:rsid w:val="005D044D"/>
    <w:rsid w:val="005D0ABD"/>
    <w:rsid w:val="005D0D5C"/>
    <w:rsid w:val="005D1318"/>
    <w:rsid w:val="005D1667"/>
    <w:rsid w:val="005D18AD"/>
    <w:rsid w:val="005D1D64"/>
    <w:rsid w:val="005D1D65"/>
    <w:rsid w:val="005D26B4"/>
    <w:rsid w:val="005D273C"/>
    <w:rsid w:val="005D2FF5"/>
    <w:rsid w:val="005D3A4B"/>
    <w:rsid w:val="005D444B"/>
    <w:rsid w:val="005D46AF"/>
    <w:rsid w:val="005D52AE"/>
    <w:rsid w:val="005D59B0"/>
    <w:rsid w:val="005D5B87"/>
    <w:rsid w:val="005D64FF"/>
    <w:rsid w:val="005D69C0"/>
    <w:rsid w:val="005D72D8"/>
    <w:rsid w:val="005E168A"/>
    <w:rsid w:val="005E1EB0"/>
    <w:rsid w:val="005E23B2"/>
    <w:rsid w:val="005E266B"/>
    <w:rsid w:val="005E284E"/>
    <w:rsid w:val="005E3C87"/>
    <w:rsid w:val="005E4021"/>
    <w:rsid w:val="005E44EC"/>
    <w:rsid w:val="005E4826"/>
    <w:rsid w:val="005E5144"/>
    <w:rsid w:val="005E539F"/>
    <w:rsid w:val="005E61A0"/>
    <w:rsid w:val="005E64EF"/>
    <w:rsid w:val="005E6C2E"/>
    <w:rsid w:val="005E6CBC"/>
    <w:rsid w:val="005E72FF"/>
    <w:rsid w:val="005E73C0"/>
    <w:rsid w:val="005E7AFD"/>
    <w:rsid w:val="005E7CB8"/>
    <w:rsid w:val="005E7F0D"/>
    <w:rsid w:val="005E7FA0"/>
    <w:rsid w:val="005F09D3"/>
    <w:rsid w:val="005F09F3"/>
    <w:rsid w:val="005F0F1F"/>
    <w:rsid w:val="005F10BD"/>
    <w:rsid w:val="005F1843"/>
    <w:rsid w:val="005F2706"/>
    <w:rsid w:val="005F2D5E"/>
    <w:rsid w:val="005F2EB3"/>
    <w:rsid w:val="005F30E4"/>
    <w:rsid w:val="005F33AC"/>
    <w:rsid w:val="005F34CD"/>
    <w:rsid w:val="005F3BDC"/>
    <w:rsid w:val="005F3DB0"/>
    <w:rsid w:val="005F3DB8"/>
    <w:rsid w:val="005F44F2"/>
    <w:rsid w:val="005F4805"/>
    <w:rsid w:val="005F4CC7"/>
    <w:rsid w:val="005F4E3B"/>
    <w:rsid w:val="005F5781"/>
    <w:rsid w:val="005F64C5"/>
    <w:rsid w:val="005F6A8F"/>
    <w:rsid w:val="005F6B05"/>
    <w:rsid w:val="005F6BB7"/>
    <w:rsid w:val="005F6F25"/>
    <w:rsid w:val="005F7588"/>
    <w:rsid w:val="005F7650"/>
    <w:rsid w:val="005F7AC6"/>
    <w:rsid w:val="00600361"/>
    <w:rsid w:val="0060059C"/>
    <w:rsid w:val="00600634"/>
    <w:rsid w:val="006006FA"/>
    <w:rsid w:val="00600F3F"/>
    <w:rsid w:val="00601245"/>
    <w:rsid w:val="006015B4"/>
    <w:rsid w:val="006033E8"/>
    <w:rsid w:val="00603903"/>
    <w:rsid w:val="00603B4E"/>
    <w:rsid w:val="00603DB9"/>
    <w:rsid w:val="00604494"/>
    <w:rsid w:val="0060466E"/>
    <w:rsid w:val="006049C9"/>
    <w:rsid w:val="00604A87"/>
    <w:rsid w:val="00605053"/>
    <w:rsid w:val="006059C2"/>
    <w:rsid w:val="00606216"/>
    <w:rsid w:val="0060654B"/>
    <w:rsid w:val="00606B70"/>
    <w:rsid w:val="00606FBA"/>
    <w:rsid w:val="00607669"/>
    <w:rsid w:val="006076F4"/>
    <w:rsid w:val="00607AFD"/>
    <w:rsid w:val="00607E72"/>
    <w:rsid w:val="006103C0"/>
    <w:rsid w:val="00610738"/>
    <w:rsid w:val="006107F6"/>
    <w:rsid w:val="00611089"/>
    <w:rsid w:val="006116BE"/>
    <w:rsid w:val="00611BE6"/>
    <w:rsid w:val="00611C4B"/>
    <w:rsid w:val="006126B6"/>
    <w:rsid w:val="006126E8"/>
    <w:rsid w:val="00612F97"/>
    <w:rsid w:val="00613377"/>
    <w:rsid w:val="0061345D"/>
    <w:rsid w:val="00614619"/>
    <w:rsid w:val="00614752"/>
    <w:rsid w:val="0061496E"/>
    <w:rsid w:val="00614DB3"/>
    <w:rsid w:val="0061519B"/>
    <w:rsid w:val="0061549B"/>
    <w:rsid w:val="00615617"/>
    <w:rsid w:val="00615C81"/>
    <w:rsid w:val="006160AE"/>
    <w:rsid w:val="006163A6"/>
    <w:rsid w:val="00616802"/>
    <w:rsid w:val="00617388"/>
    <w:rsid w:val="00617602"/>
    <w:rsid w:val="00617CC9"/>
    <w:rsid w:val="00617E12"/>
    <w:rsid w:val="00617E71"/>
    <w:rsid w:val="00620C25"/>
    <w:rsid w:val="0062112F"/>
    <w:rsid w:val="00621477"/>
    <w:rsid w:val="006219FD"/>
    <w:rsid w:val="00621ADA"/>
    <w:rsid w:val="0062273B"/>
    <w:rsid w:val="006230E4"/>
    <w:rsid w:val="0062326B"/>
    <w:rsid w:val="006232C3"/>
    <w:rsid w:val="00623305"/>
    <w:rsid w:val="00623BB4"/>
    <w:rsid w:val="00623F7B"/>
    <w:rsid w:val="00624605"/>
    <w:rsid w:val="00625367"/>
    <w:rsid w:val="00625920"/>
    <w:rsid w:val="00625A35"/>
    <w:rsid w:val="00625CE3"/>
    <w:rsid w:val="006266D2"/>
    <w:rsid w:val="00626979"/>
    <w:rsid w:val="00626F10"/>
    <w:rsid w:val="00627B79"/>
    <w:rsid w:val="00627D6A"/>
    <w:rsid w:val="00630730"/>
    <w:rsid w:val="0063158F"/>
    <w:rsid w:val="00631D6B"/>
    <w:rsid w:val="00632183"/>
    <w:rsid w:val="0063237D"/>
    <w:rsid w:val="006330A1"/>
    <w:rsid w:val="0063479F"/>
    <w:rsid w:val="006353F0"/>
    <w:rsid w:val="00635733"/>
    <w:rsid w:val="006357B5"/>
    <w:rsid w:val="00635952"/>
    <w:rsid w:val="00635F92"/>
    <w:rsid w:val="006362F7"/>
    <w:rsid w:val="006364A1"/>
    <w:rsid w:val="006364C9"/>
    <w:rsid w:val="0063677D"/>
    <w:rsid w:val="0063678E"/>
    <w:rsid w:val="006369C3"/>
    <w:rsid w:val="0063715A"/>
    <w:rsid w:val="00637BFD"/>
    <w:rsid w:val="006401AF"/>
    <w:rsid w:val="00640282"/>
    <w:rsid w:val="00640546"/>
    <w:rsid w:val="00641333"/>
    <w:rsid w:val="00641C4E"/>
    <w:rsid w:val="00641FB3"/>
    <w:rsid w:val="006422A8"/>
    <w:rsid w:val="006424EB"/>
    <w:rsid w:val="00642C67"/>
    <w:rsid w:val="00643313"/>
    <w:rsid w:val="00643B9C"/>
    <w:rsid w:val="00643F96"/>
    <w:rsid w:val="0064434C"/>
    <w:rsid w:val="006445AD"/>
    <w:rsid w:val="00644EEE"/>
    <w:rsid w:val="006456CF"/>
    <w:rsid w:val="00645832"/>
    <w:rsid w:val="00646786"/>
    <w:rsid w:val="00646FA8"/>
    <w:rsid w:val="006471CC"/>
    <w:rsid w:val="0064730E"/>
    <w:rsid w:val="00647A29"/>
    <w:rsid w:val="00647B99"/>
    <w:rsid w:val="0065079F"/>
    <w:rsid w:val="00650DFE"/>
    <w:rsid w:val="00651E07"/>
    <w:rsid w:val="00652A28"/>
    <w:rsid w:val="00652EEC"/>
    <w:rsid w:val="0065379F"/>
    <w:rsid w:val="0065397A"/>
    <w:rsid w:val="00653988"/>
    <w:rsid w:val="006545E3"/>
    <w:rsid w:val="006548D2"/>
    <w:rsid w:val="006548DD"/>
    <w:rsid w:val="00654DAD"/>
    <w:rsid w:val="00654F16"/>
    <w:rsid w:val="006556EB"/>
    <w:rsid w:val="006558EE"/>
    <w:rsid w:val="00655CB9"/>
    <w:rsid w:val="00655D07"/>
    <w:rsid w:val="00655E83"/>
    <w:rsid w:val="00655FA0"/>
    <w:rsid w:val="00656188"/>
    <w:rsid w:val="006566BF"/>
    <w:rsid w:val="00656DA2"/>
    <w:rsid w:val="00656FFA"/>
    <w:rsid w:val="0065715A"/>
    <w:rsid w:val="0065754C"/>
    <w:rsid w:val="0066006A"/>
    <w:rsid w:val="0066007D"/>
    <w:rsid w:val="006600CF"/>
    <w:rsid w:val="0066016D"/>
    <w:rsid w:val="006605E5"/>
    <w:rsid w:val="00660BAC"/>
    <w:rsid w:val="006610F1"/>
    <w:rsid w:val="00661A43"/>
    <w:rsid w:val="00661C6B"/>
    <w:rsid w:val="00661FDA"/>
    <w:rsid w:val="00662760"/>
    <w:rsid w:val="00662C4E"/>
    <w:rsid w:val="006633E8"/>
    <w:rsid w:val="006641A5"/>
    <w:rsid w:val="00664ACD"/>
    <w:rsid w:val="0066579C"/>
    <w:rsid w:val="00665893"/>
    <w:rsid w:val="00665DFB"/>
    <w:rsid w:val="00665E22"/>
    <w:rsid w:val="00666044"/>
    <w:rsid w:val="006668F6"/>
    <w:rsid w:val="00666B76"/>
    <w:rsid w:val="00670863"/>
    <w:rsid w:val="00671004"/>
    <w:rsid w:val="00671C9C"/>
    <w:rsid w:val="00672646"/>
    <w:rsid w:val="00672C43"/>
    <w:rsid w:val="0067346D"/>
    <w:rsid w:val="0067371A"/>
    <w:rsid w:val="00673F28"/>
    <w:rsid w:val="00673FFD"/>
    <w:rsid w:val="0067445A"/>
    <w:rsid w:val="0067454C"/>
    <w:rsid w:val="00674E42"/>
    <w:rsid w:val="006754DD"/>
    <w:rsid w:val="006760F5"/>
    <w:rsid w:val="00676203"/>
    <w:rsid w:val="0068001E"/>
    <w:rsid w:val="0068051B"/>
    <w:rsid w:val="00680BBE"/>
    <w:rsid w:val="0068111C"/>
    <w:rsid w:val="006813F8"/>
    <w:rsid w:val="00681838"/>
    <w:rsid w:val="00682112"/>
    <w:rsid w:val="00682862"/>
    <w:rsid w:val="00682BA6"/>
    <w:rsid w:val="006846CE"/>
    <w:rsid w:val="006855AA"/>
    <w:rsid w:val="006859C3"/>
    <w:rsid w:val="00685EE2"/>
    <w:rsid w:val="00686414"/>
    <w:rsid w:val="00686957"/>
    <w:rsid w:val="006872BA"/>
    <w:rsid w:val="00687992"/>
    <w:rsid w:val="00690795"/>
    <w:rsid w:val="00690BD7"/>
    <w:rsid w:val="00690C83"/>
    <w:rsid w:val="00691648"/>
    <w:rsid w:val="006917D7"/>
    <w:rsid w:val="00691A6A"/>
    <w:rsid w:val="00691D5A"/>
    <w:rsid w:val="00692AED"/>
    <w:rsid w:val="00692C39"/>
    <w:rsid w:val="00693163"/>
    <w:rsid w:val="0069338E"/>
    <w:rsid w:val="006936E0"/>
    <w:rsid w:val="00693B0B"/>
    <w:rsid w:val="00693B5D"/>
    <w:rsid w:val="006940F2"/>
    <w:rsid w:val="0069434C"/>
    <w:rsid w:val="006945F7"/>
    <w:rsid w:val="0069483D"/>
    <w:rsid w:val="0069488E"/>
    <w:rsid w:val="00694F44"/>
    <w:rsid w:val="006955EA"/>
    <w:rsid w:val="00695817"/>
    <w:rsid w:val="006958FD"/>
    <w:rsid w:val="00695AEF"/>
    <w:rsid w:val="00695CE1"/>
    <w:rsid w:val="00696B4A"/>
    <w:rsid w:val="00696BE0"/>
    <w:rsid w:val="00696E29"/>
    <w:rsid w:val="00696F51"/>
    <w:rsid w:val="0069754C"/>
    <w:rsid w:val="00697865"/>
    <w:rsid w:val="006979A5"/>
    <w:rsid w:val="00697BC0"/>
    <w:rsid w:val="006A00E0"/>
    <w:rsid w:val="006A0758"/>
    <w:rsid w:val="006A08FC"/>
    <w:rsid w:val="006A132C"/>
    <w:rsid w:val="006A1759"/>
    <w:rsid w:val="006A1A19"/>
    <w:rsid w:val="006A1DC0"/>
    <w:rsid w:val="006A3ADA"/>
    <w:rsid w:val="006A4E19"/>
    <w:rsid w:val="006A54DD"/>
    <w:rsid w:val="006A578D"/>
    <w:rsid w:val="006A5EA3"/>
    <w:rsid w:val="006A61AA"/>
    <w:rsid w:val="006A65A6"/>
    <w:rsid w:val="006A6B99"/>
    <w:rsid w:val="006A6F04"/>
    <w:rsid w:val="006A7600"/>
    <w:rsid w:val="006A7E5F"/>
    <w:rsid w:val="006B00D7"/>
    <w:rsid w:val="006B0838"/>
    <w:rsid w:val="006B1C77"/>
    <w:rsid w:val="006B261B"/>
    <w:rsid w:val="006B2C90"/>
    <w:rsid w:val="006B2F1B"/>
    <w:rsid w:val="006B35E6"/>
    <w:rsid w:val="006B465A"/>
    <w:rsid w:val="006B6DD0"/>
    <w:rsid w:val="006C0399"/>
    <w:rsid w:val="006C0C52"/>
    <w:rsid w:val="006C0E92"/>
    <w:rsid w:val="006C114B"/>
    <w:rsid w:val="006C13E2"/>
    <w:rsid w:val="006C1615"/>
    <w:rsid w:val="006C2A8E"/>
    <w:rsid w:val="006C3255"/>
    <w:rsid w:val="006C3A6C"/>
    <w:rsid w:val="006C3E06"/>
    <w:rsid w:val="006C3F26"/>
    <w:rsid w:val="006C42CA"/>
    <w:rsid w:val="006C4482"/>
    <w:rsid w:val="006C4732"/>
    <w:rsid w:val="006C4820"/>
    <w:rsid w:val="006C56D4"/>
    <w:rsid w:val="006C5D99"/>
    <w:rsid w:val="006C6348"/>
    <w:rsid w:val="006C6BB5"/>
    <w:rsid w:val="006C6D54"/>
    <w:rsid w:val="006D081C"/>
    <w:rsid w:val="006D08C2"/>
    <w:rsid w:val="006D0D17"/>
    <w:rsid w:val="006D0F95"/>
    <w:rsid w:val="006D10C1"/>
    <w:rsid w:val="006D15F0"/>
    <w:rsid w:val="006D1E0D"/>
    <w:rsid w:val="006D2B1A"/>
    <w:rsid w:val="006D2BB0"/>
    <w:rsid w:val="006D35DB"/>
    <w:rsid w:val="006D37EC"/>
    <w:rsid w:val="006D3C7D"/>
    <w:rsid w:val="006D4404"/>
    <w:rsid w:val="006D4659"/>
    <w:rsid w:val="006D4DCB"/>
    <w:rsid w:val="006D51E1"/>
    <w:rsid w:val="006D5D5F"/>
    <w:rsid w:val="006D5DB3"/>
    <w:rsid w:val="006D68FB"/>
    <w:rsid w:val="006D6E15"/>
    <w:rsid w:val="006D7EFC"/>
    <w:rsid w:val="006E0214"/>
    <w:rsid w:val="006E0551"/>
    <w:rsid w:val="006E06A1"/>
    <w:rsid w:val="006E197F"/>
    <w:rsid w:val="006E2083"/>
    <w:rsid w:val="006E2159"/>
    <w:rsid w:val="006E249E"/>
    <w:rsid w:val="006E2868"/>
    <w:rsid w:val="006E3035"/>
    <w:rsid w:val="006E3944"/>
    <w:rsid w:val="006E4DAD"/>
    <w:rsid w:val="006E5304"/>
    <w:rsid w:val="006E5F1A"/>
    <w:rsid w:val="006E68DF"/>
    <w:rsid w:val="006E787D"/>
    <w:rsid w:val="006F0E59"/>
    <w:rsid w:val="006F13C7"/>
    <w:rsid w:val="006F1417"/>
    <w:rsid w:val="006F227D"/>
    <w:rsid w:val="006F306C"/>
    <w:rsid w:val="006F3546"/>
    <w:rsid w:val="006F3673"/>
    <w:rsid w:val="006F3733"/>
    <w:rsid w:val="006F3B5C"/>
    <w:rsid w:val="006F3EF5"/>
    <w:rsid w:val="006F45ED"/>
    <w:rsid w:val="006F52D7"/>
    <w:rsid w:val="006F542A"/>
    <w:rsid w:val="006F5B1E"/>
    <w:rsid w:val="006F63A5"/>
    <w:rsid w:val="006F6493"/>
    <w:rsid w:val="006F7C58"/>
    <w:rsid w:val="0070016A"/>
    <w:rsid w:val="0070142B"/>
    <w:rsid w:val="007016EF"/>
    <w:rsid w:val="00701787"/>
    <w:rsid w:val="0070260D"/>
    <w:rsid w:val="0070276E"/>
    <w:rsid w:val="00702F8F"/>
    <w:rsid w:val="00703762"/>
    <w:rsid w:val="0070384B"/>
    <w:rsid w:val="00703C93"/>
    <w:rsid w:val="00704563"/>
    <w:rsid w:val="007045C2"/>
    <w:rsid w:val="007074FC"/>
    <w:rsid w:val="00707742"/>
    <w:rsid w:val="0070774C"/>
    <w:rsid w:val="007077C5"/>
    <w:rsid w:val="007078C5"/>
    <w:rsid w:val="00707971"/>
    <w:rsid w:val="007079FC"/>
    <w:rsid w:val="00707B38"/>
    <w:rsid w:val="0071032E"/>
    <w:rsid w:val="0071054B"/>
    <w:rsid w:val="00711A36"/>
    <w:rsid w:val="00712919"/>
    <w:rsid w:val="00714308"/>
    <w:rsid w:val="007148A1"/>
    <w:rsid w:val="00714C26"/>
    <w:rsid w:val="0071529C"/>
    <w:rsid w:val="0071581A"/>
    <w:rsid w:val="007164E0"/>
    <w:rsid w:val="007170DA"/>
    <w:rsid w:val="007172AD"/>
    <w:rsid w:val="00717466"/>
    <w:rsid w:val="00720666"/>
    <w:rsid w:val="00720801"/>
    <w:rsid w:val="00720B98"/>
    <w:rsid w:val="00722987"/>
    <w:rsid w:val="00722B1B"/>
    <w:rsid w:val="00722C9E"/>
    <w:rsid w:val="00722D5B"/>
    <w:rsid w:val="00723AD9"/>
    <w:rsid w:val="0072416F"/>
    <w:rsid w:val="0072619A"/>
    <w:rsid w:val="00726796"/>
    <w:rsid w:val="007269F2"/>
    <w:rsid w:val="00726C6A"/>
    <w:rsid w:val="00727783"/>
    <w:rsid w:val="00727C94"/>
    <w:rsid w:val="007300AD"/>
    <w:rsid w:val="00730BCD"/>
    <w:rsid w:val="00731B0A"/>
    <w:rsid w:val="00731E08"/>
    <w:rsid w:val="00731EAE"/>
    <w:rsid w:val="007324E4"/>
    <w:rsid w:val="00732D38"/>
    <w:rsid w:val="00732E5E"/>
    <w:rsid w:val="00733073"/>
    <w:rsid w:val="007332C0"/>
    <w:rsid w:val="00733499"/>
    <w:rsid w:val="00733CF3"/>
    <w:rsid w:val="00733DE0"/>
    <w:rsid w:val="00734990"/>
    <w:rsid w:val="00735033"/>
    <w:rsid w:val="00735328"/>
    <w:rsid w:val="00735910"/>
    <w:rsid w:val="0073685B"/>
    <w:rsid w:val="007379DB"/>
    <w:rsid w:val="00740344"/>
    <w:rsid w:val="0074189D"/>
    <w:rsid w:val="00742DAB"/>
    <w:rsid w:val="00742F4E"/>
    <w:rsid w:val="007438EC"/>
    <w:rsid w:val="0074406F"/>
    <w:rsid w:val="007449BF"/>
    <w:rsid w:val="00745108"/>
    <w:rsid w:val="00745D35"/>
    <w:rsid w:val="00745F2F"/>
    <w:rsid w:val="00746222"/>
    <w:rsid w:val="007463EC"/>
    <w:rsid w:val="007468BA"/>
    <w:rsid w:val="00746BC0"/>
    <w:rsid w:val="00747045"/>
    <w:rsid w:val="0075042D"/>
    <w:rsid w:val="00750B0D"/>
    <w:rsid w:val="00750E90"/>
    <w:rsid w:val="007510B4"/>
    <w:rsid w:val="00752142"/>
    <w:rsid w:val="007523F9"/>
    <w:rsid w:val="0075357E"/>
    <w:rsid w:val="00753899"/>
    <w:rsid w:val="007538F0"/>
    <w:rsid w:val="00753B62"/>
    <w:rsid w:val="0075410E"/>
    <w:rsid w:val="00754596"/>
    <w:rsid w:val="0075486B"/>
    <w:rsid w:val="0075565B"/>
    <w:rsid w:val="007565C2"/>
    <w:rsid w:val="00756878"/>
    <w:rsid w:val="00756C55"/>
    <w:rsid w:val="00756E09"/>
    <w:rsid w:val="0075728A"/>
    <w:rsid w:val="007573E8"/>
    <w:rsid w:val="00757668"/>
    <w:rsid w:val="007578B8"/>
    <w:rsid w:val="00757B99"/>
    <w:rsid w:val="007602FB"/>
    <w:rsid w:val="00760629"/>
    <w:rsid w:val="0076093F"/>
    <w:rsid w:val="00760BCB"/>
    <w:rsid w:val="00760C06"/>
    <w:rsid w:val="00760C4E"/>
    <w:rsid w:val="00760F04"/>
    <w:rsid w:val="00760F05"/>
    <w:rsid w:val="00760F9E"/>
    <w:rsid w:val="00760FEA"/>
    <w:rsid w:val="00761E35"/>
    <w:rsid w:val="00761E44"/>
    <w:rsid w:val="00761E85"/>
    <w:rsid w:val="007622FA"/>
    <w:rsid w:val="007627BE"/>
    <w:rsid w:val="00762B55"/>
    <w:rsid w:val="007633DE"/>
    <w:rsid w:val="00763794"/>
    <w:rsid w:val="00764CAA"/>
    <w:rsid w:val="00764F03"/>
    <w:rsid w:val="00765495"/>
    <w:rsid w:val="00765506"/>
    <w:rsid w:val="00765B1A"/>
    <w:rsid w:val="00765D3E"/>
    <w:rsid w:val="00766D88"/>
    <w:rsid w:val="007677CA"/>
    <w:rsid w:val="00767D05"/>
    <w:rsid w:val="00767E6E"/>
    <w:rsid w:val="007702A0"/>
    <w:rsid w:val="00770313"/>
    <w:rsid w:val="007704E7"/>
    <w:rsid w:val="00770722"/>
    <w:rsid w:val="00770825"/>
    <w:rsid w:val="00770DA3"/>
    <w:rsid w:val="00771298"/>
    <w:rsid w:val="00771330"/>
    <w:rsid w:val="007714BC"/>
    <w:rsid w:val="00771CBF"/>
    <w:rsid w:val="00772F84"/>
    <w:rsid w:val="007730B8"/>
    <w:rsid w:val="00773B23"/>
    <w:rsid w:val="00773F6D"/>
    <w:rsid w:val="00774167"/>
    <w:rsid w:val="00774F1F"/>
    <w:rsid w:val="007751AE"/>
    <w:rsid w:val="0077615A"/>
    <w:rsid w:val="00776218"/>
    <w:rsid w:val="00777335"/>
    <w:rsid w:val="00777E8D"/>
    <w:rsid w:val="007812B4"/>
    <w:rsid w:val="00781345"/>
    <w:rsid w:val="007818CF"/>
    <w:rsid w:val="00781A79"/>
    <w:rsid w:val="007837A1"/>
    <w:rsid w:val="007843F2"/>
    <w:rsid w:val="0078443F"/>
    <w:rsid w:val="00784A3A"/>
    <w:rsid w:val="00784D53"/>
    <w:rsid w:val="00785A9F"/>
    <w:rsid w:val="0078670E"/>
    <w:rsid w:val="00786C3E"/>
    <w:rsid w:val="00787370"/>
    <w:rsid w:val="00787AB1"/>
    <w:rsid w:val="00787CAC"/>
    <w:rsid w:val="00787F1B"/>
    <w:rsid w:val="0079055B"/>
    <w:rsid w:val="007908CA"/>
    <w:rsid w:val="007909CB"/>
    <w:rsid w:val="00791F97"/>
    <w:rsid w:val="007925DF"/>
    <w:rsid w:val="00792749"/>
    <w:rsid w:val="00792CD8"/>
    <w:rsid w:val="00793465"/>
    <w:rsid w:val="007938AB"/>
    <w:rsid w:val="00793950"/>
    <w:rsid w:val="007947DC"/>
    <w:rsid w:val="00794D9B"/>
    <w:rsid w:val="00795053"/>
    <w:rsid w:val="00795C65"/>
    <w:rsid w:val="00795FCA"/>
    <w:rsid w:val="0079634D"/>
    <w:rsid w:val="007963FE"/>
    <w:rsid w:val="00796BD1"/>
    <w:rsid w:val="00797154"/>
    <w:rsid w:val="007A08AA"/>
    <w:rsid w:val="007A0A12"/>
    <w:rsid w:val="007A10BB"/>
    <w:rsid w:val="007A132D"/>
    <w:rsid w:val="007A1345"/>
    <w:rsid w:val="007A1E37"/>
    <w:rsid w:val="007A23AE"/>
    <w:rsid w:val="007A2A5F"/>
    <w:rsid w:val="007A2A9F"/>
    <w:rsid w:val="007A2C0A"/>
    <w:rsid w:val="007A2DDB"/>
    <w:rsid w:val="007A2FE4"/>
    <w:rsid w:val="007A3BDC"/>
    <w:rsid w:val="007A48CF"/>
    <w:rsid w:val="007A51D8"/>
    <w:rsid w:val="007A566B"/>
    <w:rsid w:val="007A58D8"/>
    <w:rsid w:val="007A5DAD"/>
    <w:rsid w:val="007A6B34"/>
    <w:rsid w:val="007A6D34"/>
    <w:rsid w:val="007A70BA"/>
    <w:rsid w:val="007A70BB"/>
    <w:rsid w:val="007A76B1"/>
    <w:rsid w:val="007B00BC"/>
    <w:rsid w:val="007B00EE"/>
    <w:rsid w:val="007B0D68"/>
    <w:rsid w:val="007B0FAA"/>
    <w:rsid w:val="007B17AE"/>
    <w:rsid w:val="007B19C7"/>
    <w:rsid w:val="007B251D"/>
    <w:rsid w:val="007B39EA"/>
    <w:rsid w:val="007B3AA2"/>
    <w:rsid w:val="007B4730"/>
    <w:rsid w:val="007B4F58"/>
    <w:rsid w:val="007B528D"/>
    <w:rsid w:val="007B63CA"/>
    <w:rsid w:val="007B6576"/>
    <w:rsid w:val="007B6ADC"/>
    <w:rsid w:val="007B6B71"/>
    <w:rsid w:val="007B73AF"/>
    <w:rsid w:val="007B77D1"/>
    <w:rsid w:val="007B786A"/>
    <w:rsid w:val="007B7FE7"/>
    <w:rsid w:val="007C052B"/>
    <w:rsid w:val="007C07C7"/>
    <w:rsid w:val="007C0C97"/>
    <w:rsid w:val="007C0D2E"/>
    <w:rsid w:val="007C0DC1"/>
    <w:rsid w:val="007C170C"/>
    <w:rsid w:val="007C1CD9"/>
    <w:rsid w:val="007C1D4B"/>
    <w:rsid w:val="007C1ED3"/>
    <w:rsid w:val="007C230C"/>
    <w:rsid w:val="007C2674"/>
    <w:rsid w:val="007C32EF"/>
    <w:rsid w:val="007C361D"/>
    <w:rsid w:val="007C38A5"/>
    <w:rsid w:val="007C46E8"/>
    <w:rsid w:val="007C4B84"/>
    <w:rsid w:val="007C687E"/>
    <w:rsid w:val="007C6E01"/>
    <w:rsid w:val="007C70FF"/>
    <w:rsid w:val="007C7742"/>
    <w:rsid w:val="007C7C25"/>
    <w:rsid w:val="007D004F"/>
    <w:rsid w:val="007D024F"/>
    <w:rsid w:val="007D07A5"/>
    <w:rsid w:val="007D0B38"/>
    <w:rsid w:val="007D0F99"/>
    <w:rsid w:val="007D0FD6"/>
    <w:rsid w:val="007D13A6"/>
    <w:rsid w:val="007D1A3E"/>
    <w:rsid w:val="007D2597"/>
    <w:rsid w:val="007D374E"/>
    <w:rsid w:val="007D3E47"/>
    <w:rsid w:val="007D3F37"/>
    <w:rsid w:val="007D4C3D"/>
    <w:rsid w:val="007D51BC"/>
    <w:rsid w:val="007D5440"/>
    <w:rsid w:val="007D5F50"/>
    <w:rsid w:val="007D6005"/>
    <w:rsid w:val="007D619B"/>
    <w:rsid w:val="007D6213"/>
    <w:rsid w:val="007D676B"/>
    <w:rsid w:val="007D69EB"/>
    <w:rsid w:val="007D7952"/>
    <w:rsid w:val="007D7A5C"/>
    <w:rsid w:val="007E128F"/>
    <w:rsid w:val="007E1820"/>
    <w:rsid w:val="007E1C24"/>
    <w:rsid w:val="007E4E56"/>
    <w:rsid w:val="007E6BFD"/>
    <w:rsid w:val="007E6FD8"/>
    <w:rsid w:val="007E73D3"/>
    <w:rsid w:val="007F00AC"/>
    <w:rsid w:val="007F0CE9"/>
    <w:rsid w:val="007F1017"/>
    <w:rsid w:val="007F1EF1"/>
    <w:rsid w:val="007F21A0"/>
    <w:rsid w:val="007F2FE5"/>
    <w:rsid w:val="007F33CE"/>
    <w:rsid w:val="007F3670"/>
    <w:rsid w:val="007F407A"/>
    <w:rsid w:val="007F42B0"/>
    <w:rsid w:val="007F4700"/>
    <w:rsid w:val="007F47F6"/>
    <w:rsid w:val="007F4A3F"/>
    <w:rsid w:val="007F4A61"/>
    <w:rsid w:val="007F5255"/>
    <w:rsid w:val="007F5403"/>
    <w:rsid w:val="007F56CC"/>
    <w:rsid w:val="007F5B02"/>
    <w:rsid w:val="007F5F3A"/>
    <w:rsid w:val="007F61C2"/>
    <w:rsid w:val="007F6429"/>
    <w:rsid w:val="007F6583"/>
    <w:rsid w:val="007F759F"/>
    <w:rsid w:val="00801873"/>
    <w:rsid w:val="00801BD2"/>
    <w:rsid w:val="008029B3"/>
    <w:rsid w:val="00802D57"/>
    <w:rsid w:val="008030C0"/>
    <w:rsid w:val="00803114"/>
    <w:rsid w:val="00804A34"/>
    <w:rsid w:val="00804C13"/>
    <w:rsid w:val="00804D57"/>
    <w:rsid w:val="00805142"/>
    <w:rsid w:val="00805FCE"/>
    <w:rsid w:val="00805FE0"/>
    <w:rsid w:val="008062C6"/>
    <w:rsid w:val="00806416"/>
    <w:rsid w:val="00806D08"/>
    <w:rsid w:val="00807A8B"/>
    <w:rsid w:val="00807B27"/>
    <w:rsid w:val="00807BC5"/>
    <w:rsid w:val="00807FCB"/>
    <w:rsid w:val="008101D7"/>
    <w:rsid w:val="0081094D"/>
    <w:rsid w:val="00811383"/>
    <w:rsid w:val="00811A4C"/>
    <w:rsid w:val="00812149"/>
    <w:rsid w:val="008122DB"/>
    <w:rsid w:val="00812C3F"/>
    <w:rsid w:val="00812CAC"/>
    <w:rsid w:val="008136F7"/>
    <w:rsid w:val="00814246"/>
    <w:rsid w:val="0081448B"/>
    <w:rsid w:val="00814C07"/>
    <w:rsid w:val="008151CE"/>
    <w:rsid w:val="0081527D"/>
    <w:rsid w:val="00815526"/>
    <w:rsid w:val="00815645"/>
    <w:rsid w:val="00815A8E"/>
    <w:rsid w:val="00816361"/>
    <w:rsid w:val="008166EF"/>
    <w:rsid w:val="00816A4A"/>
    <w:rsid w:val="00816AA8"/>
    <w:rsid w:val="00816FEF"/>
    <w:rsid w:val="008171DB"/>
    <w:rsid w:val="00817261"/>
    <w:rsid w:val="00817950"/>
    <w:rsid w:val="008202E0"/>
    <w:rsid w:val="00820A8C"/>
    <w:rsid w:val="008210EB"/>
    <w:rsid w:val="00821533"/>
    <w:rsid w:val="008215FB"/>
    <w:rsid w:val="008218E7"/>
    <w:rsid w:val="008220C3"/>
    <w:rsid w:val="00822623"/>
    <w:rsid w:val="008227A3"/>
    <w:rsid w:val="00822A36"/>
    <w:rsid w:val="0082304A"/>
    <w:rsid w:val="00823174"/>
    <w:rsid w:val="008238C3"/>
    <w:rsid w:val="00823931"/>
    <w:rsid w:val="00823C7C"/>
    <w:rsid w:val="008241B7"/>
    <w:rsid w:val="00825751"/>
    <w:rsid w:val="008263F6"/>
    <w:rsid w:val="008264EB"/>
    <w:rsid w:val="00827278"/>
    <w:rsid w:val="00827636"/>
    <w:rsid w:val="008277C7"/>
    <w:rsid w:val="00830170"/>
    <w:rsid w:val="00830903"/>
    <w:rsid w:val="00830F2B"/>
    <w:rsid w:val="008310F5"/>
    <w:rsid w:val="008311AE"/>
    <w:rsid w:val="008326BE"/>
    <w:rsid w:val="00832700"/>
    <w:rsid w:val="008333D0"/>
    <w:rsid w:val="008334A9"/>
    <w:rsid w:val="00833A74"/>
    <w:rsid w:val="00833B05"/>
    <w:rsid w:val="00833D1B"/>
    <w:rsid w:val="00833F69"/>
    <w:rsid w:val="00834EB7"/>
    <w:rsid w:val="0083519D"/>
    <w:rsid w:val="00835702"/>
    <w:rsid w:val="00835A4C"/>
    <w:rsid w:val="008362B4"/>
    <w:rsid w:val="00836528"/>
    <w:rsid w:val="00836F7E"/>
    <w:rsid w:val="00837531"/>
    <w:rsid w:val="00837EB7"/>
    <w:rsid w:val="008405AF"/>
    <w:rsid w:val="00840CA2"/>
    <w:rsid w:val="00840E81"/>
    <w:rsid w:val="00841717"/>
    <w:rsid w:val="0084181C"/>
    <w:rsid w:val="00841B99"/>
    <w:rsid w:val="00842C5D"/>
    <w:rsid w:val="00842CBF"/>
    <w:rsid w:val="0084308D"/>
    <w:rsid w:val="00843094"/>
    <w:rsid w:val="0084374F"/>
    <w:rsid w:val="008441BA"/>
    <w:rsid w:val="0084445E"/>
    <w:rsid w:val="0084493D"/>
    <w:rsid w:val="00844A22"/>
    <w:rsid w:val="00844DE2"/>
    <w:rsid w:val="008456AA"/>
    <w:rsid w:val="00845E2D"/>
    <w:rsid w:val="00846894"/>
    <w:rsid w:val="008469F2"/>
    <w:rsid w:val="00847703"/>
    <w:rsid w:val="00847878"/>
    <w:rsid w:val="00847DF5"/>
    <w:rsid w:val="008504AE"/>
    <w:rsid w:val="0085309D"/>
    <w:rsid w:val="0085386E"/>
    <w:rsid w:val="00854162"/>
    <w:rsid w:val="008542FD"/>
    <w:rsid w:val="00854FEA"/>
    <w:rsid w:val="008553B8"/>
    <w:rsid w:val="0085559A"/>
    <w:rsid w:val="00855E84"/>
    <w:rsid w:val="00856145"/>
    <w:rsid w:val="00856897"/>
    <w:rsid w:val="00856C7D"/>
    <w:rsid w:val="00856E9A"/>
    <w:rsid w:val="008570C3"/>
    <w:rsid w:val="0085773A"/>
    <w:rsid w:val="00857CE0"/>
    <w:rsid w:val="0086075D"/>
    <w:rsid w:val="0086176A"/>
    <w:rsid w:val="00862299"/>
    <w:rsid w:val="00862376"/>
    <w:rsid w:val="00862502"/>
    <w:rsid w:val="008628EE"/>
    <w:rsid w:val="00862CC1"/>
    <w:rsid w:val="008634E6"/>
    <w:rsid w:val="00863C78"/>
    <w:rsid w:val="00863CA1"/>
    <w:rsid w:val="008643C5"/>
    <w:rsid w:val="00864F71"/>
    <w:rsid w:val="0086552F"/>
    <w:rsid w:val="00865679"/>
    <w:rsid w:val="0086571B"/>
    <w:rsid w:val="008660D4"/>
    <w:rsid w:val="008661FC"/>
    <w:rsid w:val="008665D4"/>
    <w:rsid w:val="00866634"/>
    <w:rsid w:val="00866933"/>
    <w:rsid w:val="0086697A"/>
    <w:rsid w:val="00866BE5"/>
    <w:rsid w:val="008704B8"/>
    <w:rsid w:val="008706A7"/>
    <w:rsid w:val="00870EFA"/>
    <w:rsid w:val="008716CA"/>
    <w:rsid w:val="00871F0A"/>
    <w:rsid w:val="00871FA9"/>
    <w:rsid w:val="0087289D"/>
    <w:rsid w:val="008728E9"/>
    <w:rsid w:val="00872A16"/>
    <w:rsid w:val="00873343"/>
    <w:rsid w:val="008736A2"/>
    <w:rsid w:val="00874A48"/>
    <w:rsid w:val="00875889"/>
    <w:rsid w:val="0087617B"/>
    <w:rsid w:val="00876B40"/>
    <w:rsid w:val="008771B9"/>
    <w:rsid w:val="008801DF"/>
    <w:rsid w:val="0088200B"/>
    <w:rsid w:val="00882106"/>
    <w:rsid w:val="0088220E"/>
    <w:rsid w:val="00882874"/>
    <w:rsid w:val="00882E3C"/>
    <w:rsid w:val="00883787"/>
    <w:rsid w:val="008838A0"/>
    <w:rsid w:val="008839BF"/>
    <w:rsid w:val="00883A43"/>
    <w:rsid w:val="00884559"/>
    <w:rsid w:val="0088525F"/>
    <w:rsid w:val="008852D8"/>
    <w:rsid w:val="008855E4"/>
    <w:rsid w:val="00885E3B"/>
    <w:rsid w:val="00886014"/>
    <w:rsid w:val="00886CD2"/>
    <w:rsid w:val="00887E2E"/>
    <w:rsid w:val="0089007B"/>
    <w:rsid w:val="00891E6F"/>
    <w:rsid w:val="0089275D"/>
    <w:rsid w:val="0089288F"/>
    <w:rsid w:val="00892A36"/>
    <w:rsid w:val="00893239"/>
    <w:rsid w:val="008932CF"/>
    <w:rsid w:val="00893615"/>
    <w:rsid w:val="00893769"/>
    <w:rsid w:val="00893B4B"/>
    <w:rsid w:val="00893D02"/>
    <w:rsid w:val="00894489"/>
    <w:rsid w:val="008954F3"/>
    <w:rsid w:val="00895D9B"/>
    <w:rsid w:val="008963A5"/>
    <w:rsid w:val="00896B21"/>
    <w:rsid w:val="00896D5D"/>
    <w:rsid w:val="0089711E"/>
    <w:rsid w:val="00897A5D"/>
    <w:rsid w:val="00897CF8"/>
    <w:rsid w:val="008A0BE0"/>
    <w:rsid w:val="008A0C4A"/>
    <w:rsid w:val="008A0DE2"/>
    <w:rsid w:val="008A0EEF"/>
    <w:rsid w:val="008A0EF6"/>
    <w:rsid w:val="008A1393"/>
    <w:rsid w:val="008A1A6B"/>
    <w:rsid w:val="008A1D90"/>
    <w:rsid w:val="008A2316"/>
    <w:rsid w:val="008A2790"/>
    <w:rsid w:val="008A3363"/>
    <w:rsid w:val="008A3371"/>
    <w:rsid w:val="008A3429"/>
    <w:rsid w:val="008A3C3E"/>
    <w:rsid w:val="008A3D72"/>
    <w:rsid w:val="008A40D4"/>
    <w:rsid w:val="008A4259"/>
    <w:rsid w:val="008A471E"/>
    <w:rsid w:val="008A4756"/>
    <w:rsid w:val="008A48EE"/>
    <w:rsid w:val="008A4CC5"/>
    <w:rsid w:val="008A514B"/>
    <w:rsid w:val="008A5B4B"/>
    <w:rsid w:val="008A5C28"/>
    <w:rsid w:val="008A6F71"/>
    <w:rsid w:val="008A7447"/>
    <w:rsid w:val="008A77C7"/>
    <w:rsid w:val="008A79DE"/>
    <w:rsid w:val="008B0481"/>
    <w:rsid w:val="008B075D"/>
    <w:rsid w:val="008B121B"/>
    <w:rsid w:val="008B161B"/>
    <w:rsid w:val="008B1757"/>
    <w:rsid w:val="008B27BF"/>
    <w:rsid w:val="008B2B36"/>
    <w:rsid w:val="008B2C62"/>
    <w:rsid w:val="008B3525"/>
    <w:rsid w:val="008B3873"/>
    <w:rsid w:val="008B410D"/>
    <w:rsid w:val="008B4266"/>
    <w:rsid w:val="008B43B0"/>
    <w:rsid w:val="008B4BE4"/>
    <w:rsid w:val="008B4F30"/>
    <w:rsid w:val="008B531F"/>
    <w:rsid w:val="008B5A1B"/>
    <w:rsid w:val="008B5E0D"/>
    <w:rsid w:val="008B69C2"/>
    <w:rsid w:val="008B74D6"/>
    <w:rsid w:val="008B75CD"/>
    <w:rsid w:val="008B776E"/>
    <w:rsid w:val="008B7992"/>
    <w:rsid w:val="008B7D7E"/>
    <w:rsid w:val="008C0438"/>
    <w:rsid w:val="008C1625"/>
    <w:rsid w:val="008C19B4"/>
    <w:rsid w:val="008C3552"/>
    <w:rsid w:val="008C3810"/>
    <w:rsid w:val="008C3D5A"/>
    <w:rsid w:val="008C408D"/>
    <w:rsid w:val="008C4E60"/>
    <w:rsid w:val="008C5479"/>
    <w:rsid w:val="008C5610"/>
    <w:rsid w:val="008C5739"/>
    <w:rsid w:val="008C5C32"/>
    <w:rsid w:val="008C5DD1"/>
    <w:rsid w:val="008C6416"/>
    <w:rsid w:val="008C702B"/>
    <w:rsid w:val="008C72D1"/>
    <w:rsid w:val="008C74B0"/>
    <w:rsid w:val="008C7944"/>
    <w:rsid w:val="008C7ECB"/>
    <w:rsid w:val="008D0186"/>
    <w:rsid w:val="008D07BB"/>
    <w:rsid w:val="008D0E0D"/>
    <w:rsid w:val="008D1012"/>
    <w:rsid w:val="008D1035"/>
    <w:rsid w:val="008D1731"/>
    <w:rsid w:val="008D2AC5"/>
    <w:rsid w:val="008D342B"/>
    <w:rsid w:val="008D3955"/>
    <w:rsid w:val="008D3B86"/>
    <w:rsid w:val="008D4755"/>
    <w:rsid w:val="008D4C3D"/>
    <w:rsid w:val="008D4CC1"/>
    <w:rsid w:val="008D5424"/>
    <w:rsid w:val="008D542A"/>
    <w:rsid w:val="008D6933"/>
    <w:rsid w:val="008D743C"/>
    <w:rsid w:val="008D754E"/>
    <w:rsid w:val="008E0D3C"/>
    <w:rsid w:val="008E0FF0"/>
    <w:rsid w:val="008E12CB"/>
    <w:rsid w:val="008E1576"/>
    <w:rsid w:val="008E18CA"/>
    <w:rsid w:val="008E1B9E"/>
    <w:rsid w:val="008E1C7B"/>
    <w:rsid w:val="008E2661"/>
    <w:rsid w:val="008E4A1A"/>
    <w:rsid w:val="008E55AB"/>
    <w:rsid w:val="008E56E3"/>
    <w:rsid w:val="008E5AAF"/>
    <w:rsid w:val="008E5D37"/>
    <w:rsid w:val="008E6136"/>
    <w:rsid w:val="008E66B9"/>
    <w:rsid w:val="008E6B66"/>
    <w:rsid w:val="008E6FB8"/>
    <w:rsid w:val="008E76D2"/>
    <w:rsid w:val="008E7B46"/>
    <w:rsid w:val="008E7C51"/>
    <w:rsid w:val="008F036E"/>
    <w:rsid w:val="008F120A"/>
    <w:rsid w:val="008F14AC"/>
    <w:rsid w:val="008F260F"/>
    <w:rsid w:val="008F27E0"/>
    <w:rsid w:val="008F28E5"/>
    <w:rsid w:val="008F36E3"/>
    <w:rsid w:val="008F445C"/>
    <w:rsid w:val="008F48EB"/>
    <w:rsid w:val="008F4C58"/>
    <w:rsid w:val="008F4F0B"/>
    <w:rsid w:val="008F502E"/>
    <w:rsid w:val="008F5E89"/>
    <w:rsid w:val="008F6259"/>
    <w:rsid w:val="008F682B"/>
    <w:rsid w:val="00900FAB"/>
    <w:rsid w:val="0090101F"/>
    <w:rsid w:val="00901164"/>
    <w:rsid w:val="0090166A"/>
    <w:rsid w:val="00901B00"/>
    <w:rsid w:val="009022C3"/>
    <w:rsid w:val="00902AF5"/>
    <w:rsid w:val="00902E11"/>
    <w:rsid w:val="009035A5"/>
    <w:rsid w:val="009037C8"/>
    <w:rsid w:val="00904151"/>
    <w:rsid w:val="009046C4"/>
    <w:rsid w:val="00905AE7"/>
    <w:rsid w:val="00905DFA"/>
    <w:rsid w:val="00905EA3"/>
    <w:rsid w:val="009060CF"/>
    <w:rsid w:val="009062A5"/>
    <w:rsid w:val="00906A3E"/>
    <w:rsid w:val="00906EE7"/>
    <w:rsid w:val="00907AA6"/>
    <w:rsid w:val="00907F90"/>
    <w:rsid w:val="00910FA7"/>
    <w:rsid w:val="00911272"/>
    <w:rsid w:val="00911BBD"/>
    <w:rsid w:val="00912135"/>
    <w:rsid w:val="009123C6"/>
    <w:rsid w:val="009124C7"/>
    <w:rsid w:val="00912E9E"/>
    <w:rsid w:val="009135D6"/>
    <w:rsid w:val="00913DB5"/>
    <w:rsid w:val="00914C77"/>
    <w:rsid w:val="009152ED"/>
    <w:rsid w:val="009159DC"/>
    <w:rsid w:val="00915CFA"/>
    <w:rsid w:val="0091633A"/>
    <w:rsid w:val="00916905"/>
    <w:rsid w:val="00916A21"/>
    <w:rsid w:val="00916C7B"/>
    <w:rsid w:val="00916CEF"/>
    <w:rsid w:val="00917562"/>
    <w:rsid w:val="00917677"/>
    <w:rsid w:val="00920004"/>
    <w:rsid w:val="0092008B"/>
    <w:rsid w:val="009207EE"/>
    <w:rsid w:val="00921144"/>
    <w:rsid w:val="00921ACB"/>
    <w:rsid w:val="00922455"/>
    <w:rsid w:val="009228D6"/>
    <w:rsid w:val="0092369B"/>
    <w:rsid w:val="00923B18"/>
    <w:rsid w:val="009241E9"/>
    <w:rsid w:val="00924222"/>
    <w:rsid w:val="00924877"/>
    <w:rsid w:val="00924CA1"/>
    <w:rsid w:val="009255C0"/>
    <w:rsid w:val="0092666D"/>
    <w:rsid w:val="00926BF0"/>
    <w:rsid w:val="00927054"/>
    <w:rsid w:val="009273CF"/>
    <w:rsid w:val="009274D7"/>
    <w:rsid w:val="009278EB"/>
    <w:rsid w:val="00927D44"/>
    <w:rsid w:val="00930083"/>
    <w:rsid w:val="009302A0"/>
    <w:rsid w:val="00930476"/>
    <w:rsid w:val="00930E81"/>
    <w:rsid w:val="00931576"/>
    <w:rsid w:val="0093158C"/>
    <w:rsid w:val="009315F7"/>
    <w:rsid w:val="00931DC0"/>
    <w:rsid w:val="00932A96"/>
    <w:rsid w:val="00933012"/>
    <w:rsid w:val="00933142"/>
    <w:rsid w:val="009335C3"/>
    <w:rsid w:val="00933674"/>
    <w:rsid w:val="00934988"/>
    <w:rsid w:val="009349B9"/>
    <w:rsid w:val="00934FAC"/>
    <w:rsid w:val="00934FD8"/>
    <w:rsid w:val="00935B0D"/>
    <w:rsid w:val="00936CAC"/>
    <w:rsid w:val="00937089"/>
    <w:rsid w:val="00937876"/>
    <w:rsid w:val="00937FD7"/>
    <w:rsid w:val="00940712"/>
    <w:rsid w:val="009408F3"/>
    <w:rsid w:val="00940F3D"/>
    <w:rsid w:val="009412C1"/>
    <w:rsid w:val="0094247B"/>
    <w:rsid w:val="00944A46"/>
    <w:rsid w:val="00944AFA"/>
    <w:rsid w:val="00944E1D"/>
    <w:rsid w:val="00944F01"/>
    <w:rsid w:val="00944F8A"/>
    <w:rsid w:val="00945438"/>
    <w:rsid w:val="009456CD"/>
    <w:rsid w:val="00945C93"/>
    <w:rsid w:val="009462E1"/>
    <w:rsid w:val="009475D6"/>
    <w:rsid w:val="00947799"/>
    <w:rsid w:val="009509FE"/>
    <w:rsid w:val="00950CB4"/>
    <w:rsid w:val="00950CFA"/>
    <w:rsid w:val="009510A2"/>
    <w:rsid w:val="00951E33"/>
    <w:rsid w:val="0095210D"/>
    <w:rsid w:val="00952704"/>
    <w:rsid w:val="0095289C"/>
    <w:rsid w:val="009531A4"/>
    <w:rsid w:val="00953257"/>
    <w:rsid w:val="00953A0A"/>
    <w:rsid w:val="00953F53"/>
    <w:rsid w:val="0095474C"/>
    <w:rsid w:val="009547CF"/>
    <w:rsid w:val="0095678E"/>
    <w:rsid w:val="00956C1A"/>
    <w:rsid w:val="00957134"/>
    <w:rsid w:val="00960089"/>
    <w:rsid w:val="009601D4"/>
    <w:rsid w:val="00960336"/>
    <w:rsid w:val="00960368"/>
    <w:rsid w:val="00961092"/>
    <w:rsid w:val="009622B1"/>
    <w:rsid w:val="00962C1D"/>
    <w:rsid w:val="00962CB9"/>
    <w:rsid w:val="00963147"/>
    <w:rsid w:val="00963E98"/>
    <w:rsid w:val="009640BB"/>
    <w:rsid w:val="00964312"/>
    <w:rsid w:val="00964856"/>
    <w:rsid w:val="00964F04"/>
    <w:rsid w:val="00964F6F"/>
    <w:rsid w:val="00965952"/>
    <w:rsid w:val="00965B8A"/>
    <w:rsid w:val="00965FDE"/>
    <w:rsid w:val="0096615C"/>
    <w:rsid w:val="00966AFB"/>
    <w:rsid w:val="00966C8C"/>
    <w:rsid w:val="00967225"/>
    <w:rsid w:val="00967B71"/>
    <w:rsid w:val="00970594"/>
    <w:rsid w:val="0097071F"/>
    <w:rsid w:val="009717AC"/>
    <w:rsid w:val="00972B2A"/>
    <w:rsid w:val="00972BAC"/>
    <w:rsid w:val="00973703"/>
    <w:rsid w:val="009743D2"/>
    <w:rsid w:val="009746E1"/>
    <w:rsid w:val="009751C1"/>
    <w:rsid w:val="00975598"/>
    <w:rsid w:val="009761A8"/>
    <w:rsid w:val="00976A68"/>
    <w:rsid w:val="00977224"/>
    <w:rsid w:val="009773A4"/>
    <w:rsid w:val="0098026D"/>
    <w:rsid w:val="00980473"/>
    <w:rsid w:val="00980B31"/>
    <w:rsid w:val="00980E4A"/>
    <w:rsid w:val="009811F1"/>
    <w:rsid w:val="00981429"/>
    <w:rsid w:val="0098227F"/>
    <w:rsid w:val="0098258D"/>
    <w:rsid w:val="009834F3"/>
    <w:rsid w:val="00983E57"/>
    <w:rsid w:val="0098437F"/>
    <w:rsid w:val="00985AE0"/>
    <w:rsid w:val="00985DE2"/>
    <w:rsid w:val="00985EF2"/>
    <w:rsid w:val="009864C3"/>
    <w:rsid w:val="00986697"/>
    <w:rsid w:val="0098675D"/>
    <w:rsid w:val="00987110"/>
    <w:rsid w:val="0098750E"/>
    <w:rsid w:val="00987705"/>
    <w:rsid w:val="00987B5D"/>
    <w:rsid w:val="00987DE6"/>
    <w:rsid w:val="00987EBA"/>
    <w:rsid w:val="00990089"/>
    <w:rsid w:val="0099071B"/>
    <w:rsid w:val="009922CE"/>
    <w:rsid w:val="0099257E"/>
    <w:rsid w:val="009926E0"/>
    <w:rsid w:val="009928E2"/>
    <w:rsid w:val="00992EA2"/>
    <w:rsid w:val="009939A5"/>
    <w:rsid w:val="00993DE6"/>
    <w:rsid w:val="0099451E"/>
    <w:rsid w:val="0099489D"/>
    <w:rsid w:val="0099692D"/>
    <w:rsid w:val="00996B1A"/>
    <w:rsid w:val="00996FF9"/>
    <w:rsid w:val="00997188"/>
    <w:rsid w:val="009977AE"/>
    <w:rsid w:val="009A00B8"/>
    <w:rsid w:val="009A0124"/>
    <w:rsid w:val="009A086C"/>
    <w:rsid w:val="009A08F3"/>
    <w:rsid w:val="009A0D7F"/>
    <w:rsid w:val="009A11AE"/>
    <w:rsid w:val="009A1C13"/>
    <w:rsid w:val="009A21CA"/>
    <w:rsid w:val="009A2DCC"/>
    <w:rsid w:val="009A3BE7"/>
    <w:rsid w:val="009A3F8D"/>
    <w:rsid w:val="009A40BD"/>
    <w:rsid w:val="009A448F"/>
    <w:rsid w:val="009A546E"/>
    <w:rsid w:val="009A547A"/>
    <w:rsid w:val="009A552B"/>
    <w:rsid w:val="009A56AB"/>
    <w:rsid w:val="009A5A5D"/>
    <w:rsid w:val="009A5ABC"/>
    <w:rsid w:val="009A6124"/>
    <w:rsid w:val="009A6638"/>
    <w:rsid w:val="009A68C9"/>
    <w:rsid w:val="009A6C52"/>
    <w:rsid w:val="009A6D49"/>
    <w:rsid w:val="009A6E56"/>
    <w:rsid w:val="009A6F69"/>
    <w:rsid w:val="009A7809"/>
    <w:rsid w:val="009A7C72"/>
    <w:rsid w:val="009A7D40"/>
    <w:rsid w:val="009A7F10"/>
    <w:rsid w:val="009B011C"/>
    <w:rsid w:val="009B0CC6"/>
    <w:rsid w:val="009B23B3"/>
    <w:rsid w:val="009B30C6"/>
    <w:rsid w:val="009B3229"/>
    <w:rsid w:val="009B3749"/>
    <w:rsid w:val="009B3E26"/>
    <w:rsid w:val="009B3ED5"/>
    <w:rsid w:val="009B535F"/>
    <w:rsid w:val="009B5DA7"/>
    <w:rsid w:val="009B619E"/>
    <w:rsid w:val="009B62A8"/>
    <w:rsid w:val="009B65A2"/>
    <w:rsid w:val="009B7D3B"/>
    <w:rsid w:val="009C0D6C"/>
    <w:rsid w:val="009C0F91"/>
    <w:rsid w:val="009C12AB"/>
    <w:rsid w:val="009C20DD"/>
    <w:rsid w:val="009C2D72"/>
    <w:rsid w:val="009C2D77"/>
    <w:rsid w:val="009C3706"/>
    <w:rsid w:val="009C3A3A"/>
    <w:rsid w:val="009C3DEF"/>
    <w:rsid w:val="009C54A2"/>
    <w:rsid w:val="009C6C25"/>
    <w:rsid w:val="009C6CEA"/>
    <w:rsid w:val="009C7556"/>
    <w:rsid w:val="009C7A1D"/>
    <w:rsid w:val="009C7B85"/>
    <w:rsid w:val="009D0254"/>
    <w:rsid w:val="009D0546"/>
    <w:rsid w:val="009D068C"/>
    <w:rsid w:val="009D0AC9"/>
    <w:rsid w:val="009D10CD"/>
    <w:rsid w:val="009D1764"/>
    <w:rsid w:val="009D1A64"/>
    <w:rsid w:val="009D3194"/>
    <w:rsid w:val="009D394F"/>
    <w:rsid w:val="009D3F67"/>
    <w:rsid w:val="009D43ED"/>
    <w:rsid w:val="009D488D"/>
    <w:rsid w:val="009D564A"/>
    <w:rsid w:val="009D5B91"/>
    <w:rsid w:val="009D645A"/>
    <w:rsid w:val="009D69B6"/>
    <w:rsid w:val="009D7816"/>
    <w:rsid w:val="009D792E"/>
    <w:rsid w:val="009E0DFE"/>
    <w:rsid w:val="009E16E6"/>
    <w:rsid w:val="009E1EC3"/>
    <w:rsid w:val="009E2233"/>
    <w:rsid w:val="009E26F4"/>
    <w:rsid w:val="009E31F6"/>
    <w:rsid w:val="009E392A"/>
    <w:rsid w:val="009E3F4B"/>
    <w:rsid w:val="009E3FB3"/>
    <w:rsid w:val="009E40CB"/>
    <w:rsid w:val="009E453A"/>
    <w:rsid w:val="009E4BCF"/>
    <w:rsid w:val="009E4C07"/>
    <w:rsid w:val="009E4E33"/>
    <w:rsid w:val="009E5E0F"/>
    <w:rsid w:val="009E5ECA"/>
    <w:rsid w:val="009E6055"/>
    <w:rsid w:val="009E6B59"/>
    <w:rsid w:val="009E6BE1"/>
    <w:rsid w:val="009E72CC"/>
    <w:rsid w:val="009F014E"/>
    <w:rsid w:val="009F100C"/>
    <w:rsid w:val="009F1B06"/>
    <w:rsid w:val="009F1B71"/>
    <w:rsid w:val="009F1C54"/>
    <w:rsid w:val="009F1E6F"/>
    <w:rsid w:val="009F2127"/>
    <w:rsid w:val="009F2CA6"/>
    <w:rsid w:val="009F2D7B"/>
    <w:rsid w:val="009F30AA"/>
    <w:rsid w:val="009F441A"/>
    <w:rsid w:val="009F564A"/>
    <w:rsid w:val="009F5976"/>
    <w:rsid w:val="009F6EF6"/>
    <w:rsid w:val="009F715F"/>
    <w:rsid w:val="009F749D"/>
    <w:rsid w:val="009F7C60"/>
    <w:rsid w:val="009F7D9E"/>
    <w:rsid w:val="00A006F5"/>
    <w:rsid w:val="00A00892"/>
    <w:rsid w:val="00A00B73"/>
    <w:rsid w:val="00A0105C"/>
    <w:rsid w:val="00A01147"/>
    <w:rsid w:val="00A01184"/>
    <w:rsid w:val="00A02671"/>
    <w:rsid w:val="00A02ACC"/>
    <w:rsid w:val="00A037C2"/>
    <w:rsid w:val="00A03D43"/>
    <w:rsid w:val="00A04326"/>
    <w:rsid w:val="00A04380"/>
    <w:rsid w:val="00A05472"/>
    <w:rsid w:val="00A05533"/>
    <w:rsid w:val="00A05C24"/>
    <w:rsid w:val="00A05C32"/>
    <w:rsid w:val="00A0653F"/>
    <w:rsid w:val="00A07023"/>
    <w:rsid w:val="00A070C1"/>
    <w:rsid w:val="00A072E7"/>
    <w:rsid w:val="00A07871"/>
    <w:rsid w:val="00A07E19"/>
    <w:rsid w:val="00A101B0"/>
    <w:rsid w:val="00A107D0"/>
    <w:rsid w:val="00A10C6C"/>
    <w:rsid w:val="00A11CD0"/>
    <w:rsid w:val="00A11DA2"/>
    <w:rsid w:val="00A11FD1"/>
    <w:rsid w:val="00A129D6"/>
    <w:rsid w:val="00A12C6B"/>
    <w:rsid w:val="00A13108"/>
    <w:rsid w:val="00A13242"/>
    <w:rsid w:val="00A1390D"/>
    <w:rsid w:val="00A13948"/>
    <w:rsid w:val="00A13B14"/>
    <w:rsid w:val="00A13E5B"/>
    <w:rsid w:val="00A14807"/>
    <w:rsid w:val="00A14ED0"/>
    <w:rsid w:val="00A14F20"/>
    <w:rsid w:val="00A1555B"/>
    <w:rsid w:val="00A155C5"/>
    <w:rsid w:val="00A15BEE"/>
    <w:rsid w:val="00A16AD8"/>
    <w:rsid w:val="00A17877"/>
    <w:rsid w:val="00A21C95"/>
    <w:rsid w:val="00A21CF3"/>
    <w:rsid w:val="00A225D9"/>
    <w:rsid w:val="00A23201"/>
    <w:rsid w:val="00A23B1F"/>
    <w:rsid w:val="00A24813"/>
    <w:rsid w:val="00A2495B"/>
    <w:rsid w:val="00A253CB"/>
    <w:rsid w:val="00A25C00"/>
    <w:rsid w:val="00A25C2C"/>
    <w:rsid w:val="00A262EB"/>
    <w:rsid w:val="00A26565"/>
    <w:rsid w:val="00A27000"/>
    <w:rsid w:val="00A2723C"/>
    <w:rsid w:val="00A27701"/>
    <w:rsid w:val="00A27AEC"/>
    <w:rsid w:val="00A27B6D"/>
    <w:rsid w:val="00A27C11"/>
    <w:rsid w:val="00A27FAB"/>
    <w:rsid w:val="00A305A1"/>
    <w:rsid w:val="00A30A48"/>
    <w:rsid w:val="00A31211"/>
    <w:rsid w:val="00A315D7"/>
    <w:rsid w:val="00A318D6"/>
    <w:rsid w:val="00A320DB"/>
    <w:rsid w:val="00A3260A"/>
    <w:rsid w:val="00A34063"/>
    <w:rsid w:val="00A3414E"/>
    <w:rsid w:val="00A34E08"/>
    <w:rsid w:val="00A35D16"/>
    <w:rsid w:val="00A35D77"/>
    <w:rsid w:val="00A3715A"/>
    <w:rsid w:val="00A37573"/>
    <w:rsid w:val="00A37BCD"/>
    <w:rsid w:val="00A37DC3"/>
    <w:rsid w:val="00A4000C"/>
    <w:rsid w:val="00A40095"/>
    <w:rsid w:val="00A40454"/>
    <w:rsid w:val="00A40849"/>
    <w:rsid w:val="00A41689"/>
    <w:rsid w:val="00A41A44"/>
    <w:rsid w:val="00A42592"/>
    <w:rsid w:val="00A4299D"/>
    <w:rsid w:val="00A42ACB"/>
    <w:rsid w:val="00A42DA9"/>
    <w:rsid w:val="00A43C59"/>
    <w:rsid w:val="00A43CCA"/>
    <w:rsid w:val="00A44633"/>
    <w:rsid w:val="00A44644"/>
    <w:rsid w:val="00A451EF"/>
    <w:rsid w:val="00A45786"/>
    <w:rsid w:val="00A459A7"/>
    <w:rsid w:val="00A45B86"/>
    <w:rsid w:val="00A45CBD"/>
    <w:rsid w:val="00A4612F"/>
    <w:rsid w:val="00A471C3"/>
    <w:rsid w:val="00A47540"/>
    <w:rsid w:val="00A47B62"/>
    <w:rsid w:val="00A5041D"/>
    <w:rsid w:val="00A50B3C"/>
    <w:rsid w:val="00A50C3E"/>
    <w:rsid w:val="00A50ECD"/>
    <w:rsid w:val="00A5116B"/>
    <w:rsid w:val="00A5167D"/>
    <w:rsid w:val="00A518F3"/>
    <w:rsid w:val="00A52729"/>
    <w:rsid w:val="00A5274B"/>
    <w:rsid w:val="00A53675"/>
    <w:rsid w:val="00A5415C"/>
    <w:rsid w:val="00A543A1"/>
    <w:rsid w:val="00A54A76"/>
    <w:rsid w:val="00A5509D"/>
    <w:rsid w:val="00A55BF6"/>
    <w:rsid w:val="00A56367"/>
    <w:rsid w:val="00A564D7"/>
    <w:rsid w:val="00A567A7"/>
    <w:rsid w:val="00A56B6A"/>
    <w:rsid w:val="00A56E2B"/>
    <w:rsid w:val="00A57770"/>
    <w:rsid w:val="00A578DC"/>
    <w:rsid w:val="00A6005B"/>
    <w:rsid w:val="00A607D9"/>
    <w:rsid w:val="00A60A44"/>
    <w:rsid w:val="00A61732"/>
    <w:rsid w:val="00A61A79"/>
    <w:rsid w:val="00A6215D"/>
    <w:rsid w:val="00A640E2"/>
    <w:rsid w:val="00A642C9"/>
    <w:rsid w:val="00A64BFA"/>
    <w:rsid w:val="00A64D65"/>
    <w:rsid w:val="00A6547D"/>
    <w:rsid w:val="00A6599A"/>
    <w:rsid w:val="00A65D36"/>
    <w:rsid w:val="00A665B3"/>
    <w:rsid w:val="00A6725B"/>
    <w:rsid w:val="00A67289"/>
    <w:rsid w:val="00A70605"/>
    <w:rsid w:val="00A7125E"/>
    <w:rsid w:val="00A71CEC"/>
    <w:rsid w:val="00A71E7C"/>
    <w:rsid w:val="00A72C6C"/>
    <w:rsid w:val="00A72DA4"/>
    <w:rsid w:val="00A73134"/>
    <w:rsid w:val="00A73836"/>
    <w:rsid w:val="00A752C0"/>
    <w:rsid w:val="00A76001"/>
    <w:rsid w:val="00A761DD"/>
    <w:rsid w:val="00A76658"/>
    <w:rsid w:val="00A769F9"/>
    <w:rsid w:val="00A777B2"/>
    <w:rsid w:val="00A77C00"/>
    <w:rsid w:val="00A8068C"/>
    <w:rsid w:val="00A81D05"/>
    <w:rsid w:val="00A825D4"/>
    <w:rsid w:val="00A82644"/>
    <w:rsid w:val="00A828F6"/>
    <w:rsid w:val="00A82B73"/>
    <w:rsid w:val="00A82ECA"/>
    <w:rsid w:val="00A83B68"/>
    <w:rsid w:val="00A83FF0"/>
    <w:rsid w:val="00A854C8"/>
    <w:rsid w:val="00A8571E"/>
    <w:rsid w:val="00A85A4D"/>
    <w:rsid w:val="00A86E8B"/>
    <w:rsid w:val="00A87164"/>
    <w:rsid w:val="00A87368"/>
    <w:rsid w:val="00A875EF"/>
    <w:rsid w:val="00A879CB"/>
    <w:rsid w:val="00A900C0"/>
    <w:rsid w:val="00A90173"/>
    <w:rsid w:val="00A9058B"/>
    <w:rsid w:val="00A9080D"/>
    <w:rsid w:val="00A9095E"/>
    <w:rsid w:val="00A90BBC"/>
    <w:rsid w:val="00A91CBF"/>
    <w:rsid w:val="00A93072"/>
    <w:rsid w:val="00A938BD"/>
    <w:rsid w:val="00A93953"/>
    <w:rsid w:val="00A95612"/>
    <w:rsid w:val="00A959D8"/>
    <w:rsid w:val="00A960DF"/>
    <w:rsid w:val="00A96A9B"/>
    <w:rsid w:val="00A971EE"/>
    <w:rsid w:val="00A9788B"/>
    <w:rsid w:val="00A97991"/>
    <w:rsid w:val="00AA0979"/>
    <w:rsid w:val="00AA10A2"/>
    <w:rsid w:val="00AA113D"/>
    <w:rsid w:val="00AA2454"/>
    <w:rsid w:val="00AA24B2"/>
    <w:rsid w:val="00AA2FD8"/>
    <w:rsid w:val="00AA3D7C"/>
    <w:rsid w:val="00AA41E6"/>
    <w:rsid w:val="00AA45CE"/>
    <w:rsid w:val="00AA5032"/>
    <w:rsid w:val="00AA665C"/>
    <w:rsid w:val="00AA6BD5"/>
    <w:rsid w:val="00AA6BD8"/>
    <w:rsid w:val="00AA6C7D"/>
    <w:rsid w:val="00AA76E1"/>
    <w:rsid w:val="00AA7B4C"/>
    <w:rsid w:val="00AA7BFC"/>
    <w:rsid w:val="00AA7FD6"/>
    <w:rsid w:val="00AB042A"/>
    <w:rsid w:val="00AB0EA1"/>
    <w:rsid w:val="00AB19EF"/>
    <w:rsid w:val="00AB21D5"/>
    <w:rsid w:val="00AB2CBF"/>
    <w:rsid w:val="00AB2D34"/>
    <w:rsid w:val="00AB3430"/>
    <w:rsid w:val="00AB37B9"/>
    <w:rsid w:val="00AB4AA2"/>
    <w:rsid w:val="00AB4AD1"/>
    <w:rsid w:val="00AB5204"/>
    <w:rsid w:val="00AB55ED"/>
    <w:rsid w:val="00AB5B7D"/>
    <w:rsid w:val="00AB5C89"/>
    <w:rsid w:val="00AB5DE5"/>
    <w:rsid w:val="00AB5DF1"/>
    <w:rsid w:val="00AB5E07"/>
    <w:rsid w:val="00AB60D6"/>
    <w:rsid w:val="00AB64C0"/>
    <w:rsid w:val="00AB6E79"/>
    <w:rsid w:val="00AB71AE"/>
    <w:rsid w:val="00AB7260"/>
    <w:rsid w:val="00AB7359"/>
    <w:rsid w:val="00AB7B9E"/>
    <w:rsid w:val="00AB7CFA"/>
    <w:rsid w:val="00AB7E09"/>
    <w:rsid w:val="00AC0836"/>
    <w:rsid w:val="00AC1047"/>
    <w:rsid w:val="00AC10F3"/>
    <w:rsid w:val="00AC1240"/>
    <w:rsid w:val="00AC1332"/>
    <w:rsid w:val="00AC2260"/>
    <w:rsid w:val="00AC2F00"/>
    <w:rsid w:val="00AC2F42"/>
    <w:rsid w:val="00AC3106"/>
    <w:rsid w:val="00AC369D"/>
    <w:rsid w:val="00AC36E5"/>
    <w:rsid w:val="00AC39CC"/>
    <w:rsid w:val="00AC486D"/>
    <w:rsid w:val="00AC528F"/>
    <w:rsid w:val="00AC59EA"/>
    <w:rsid w:val="00AC5A17"/>
    <w:rsid w:val="00AC5B48"/>
    <w:rsid w:val="00AC636F"/>
    <w:rsid w:val="00AC64AE"/>
    <w:rsid w:val="00AC69C9"/>
    <w:rsid w:val="00AC6FD8"/>
    <w:rsid w:val="00AC73D6"/>
    <w:rsid w:val="00AD0D91"/>
    <w:rsid w:val="00AD126C"/>
    <w:rsid w:val="00AD1450"/>
    <w:rsid w:val="00AD1B23"/>
    <w:rsid w:val="00AD1ECE"/>
    <w:rsid w:val="00AD2D84"/>
    <w:rsid w:val="00AD4820"/>
    <w:rsid w:val="00AD4D6B"/>
    <w:rsid w:val="00AD5163"/>
    <w:rsid w:val="00AD6502"/>
    <w:rsid w:val="00AD6854"/>
    <w:rsid w:val="00AD6AF8"/>
    <w:rsid w:val="00AD6CED"/>
    <w:rsid w:val="00AD6FAB"/>
    <w:rsid w:val="00AD7014"/>
    <w:rsid w:val="00AD7F7A"/>
    <w:rsid w:val="00AE0695"/>
    <w:rsid w:val="00AE06A8"/>
    <w:rsid w:val="00AE0710"/>
    <w:rsid w:val="00AE11DC"/>
    <w:rsid w:val="00AE12A0"/>
    <w:rsid w:val="00AE13B8"/>
    <w:rsid w:val="00AE17CF"/>
    <w:rsid w:val="00AE1D3D"/>
    <w:rsid w:val="00AE3E7E"/>
    <w:rsid w:val="00AE40A9"/>
    <w:rsid w:val="00AE4C97"/>
    <w:rsid w:val="00AE5CF5"/>
    <w:rsid w:val="00AE6AD9"/>
    <w:rsid w:val="00AE760B"/>
    <w:rsid w:val="00AE7C57"/>
    <w:rsid w:val="00AE7FC9"/>
    <w:rsid w:val="00AF0611"/>
    <w:rsid w:val="00AF074C"/>
    <w:rsid w:val="00AF1315"/>
    <w:rsid w:val="00AF19BF"/>
    <w:rsid w:val="00AF1BAD"/>
    <w:rsid w:val="00AF2B40"/>
    <w:rsid w:val="00AF2DC3"/>
    <w:rsid w:val="00AF2E7F"/>
    <w:rsid w:val="00AF36C8"/>
    <w:rsid w:val="00AF388B"/>
    <w:rsid w:val="00AF3B94"/>
    <w:rsid w:val="00AF3B98"/>
    <w:rsid w:val="00AF4949"/>
    <w:rsid w:val="00AF4A35"/>
    <w:rsid w:val="00AF4C83"/>
    <w:rsid w:val="00AF4D91"/>
    <w:rsid w:val="00AF581D"/>
    <w:rsid w:val="00AF5974"/>
    <w:rsid w:val="00AF5DB3"/>
    <w:rsid w:val="00AF62CD"/>
    <w:rsid w:val="00AF6575"/>
    <w:rsid w:val="00AF698C"/>
    <w:rsid w:val="00AF7F15"/>
    <w:rsid w:val="00B00B19"/>
    <w:rsid w:val="00B01B03"/>
    <w:rsid w:val="00B0229A"/>
    <w:rsid w:val="00B0285A"/>
    <w:rsid w:val="00B03044"/>
    <w:rsid w:val="00B03286"/>
    <w:rsid w:val="00B033E5"/>
    <w:rsid w:val="00B03541"/>
    <w:rsid w:val="00B03A4E"/>
    <w:rsid w:val="00B03A63"/>
    <w:rsid w:val="00B03C45"/>
    <w:rsid w:val="00B0457C"/>
    <w:rsid w:val="00B04F4B"/>
    <w:rsid w:val="00B05AC8"/>
    <w:rsid w:val="00B101FC"/>
    <w:rsid w:val="00B107E0"/>
    <w:rsid w:val="00B108CD"/>
    <w:rsid w:val="00B10BEC"/>
    <w:rsid w:val="00B10E15"/>
    <w:rsid w:val="00B10F25"/>
    <w:rsid w:val="00B11182"/>
    <w:rsid w:val="00B112FE"/>
    <w:rsid w:val="00B11347"/>
    <w:rsid w:val="00B115B6"/>
    <w:rsid w:val="00B11634"/>
    <w:rsid w:val="00B11758"/>
    <w:rsid w:val="00B11F6F"/>
    <w:rsid w:val="00B11F75"/>
    <w:rsid w:val="00B123E1"/>
    <w:rsid w:val="00B126F3"/>
    <w:rsid w:val="00B1283D"/>
    <w:rsid w:val="00B1319A"/>
    <w:rsid w:val="00B140BD"/>
    <w:rsid w:val="00B14509"/>
    <w:rsid w:val="00B145FA"/>
    <w:rsid w:val="00B15D2D"/>
    <w:rsid w:val="00B17511"/>
    <w:rsid w:val="00B17743"/>
    <w:rsid w:val="00B201A4"/>
    <w:rsid w:val="00B201D1"/>
    <w:rsid w:val="00B213A6"/>
    <w:rsid w:val="00B214D8"/>
    <w:rsid w:val="00B21F11"/>
    <w:rsid w:val="00B21F61"/>
    <w:rsid w:val="00B22E4D"/>
    <w:rsid w:val="00B23386"/>
    <w:rsid w:val="00B235B0"/>
    <w:rsid w:val="00B23863"/>
    <w:rsid w:val="00B23968"/>
    <w:rsid w:val="00B243C0"/>
    <w:rsid w:val="00B24CCA"/>
    <w:rsid w:val="00B24DF6"/>
    <w:rsid w:val="00B25C63"/>
    <w:rsid w:val="00B278BD"/>
    <w:rsid w:val="00B2798C"/>
    <w:rsid w:val="00B3072B"/>
    <w:rsid w:val="00B3089B"/>
    <w:rsid w:val="00B3092A"/>
    <w:rsid w:val="00B311D6"/>
    <w:rsid w:val="00B311DD"/>
    <w:rsid w:val="00B31627"/>
    <w:rsid w:val="00B3198C"/>
    <w:rsid w:val="00B31BD9"/>
    <w:rsid w:val="00B327F0"/>
    <w:rsid w:val="00B33C66"/>
    <w:rsid w:val="00B34437"/>
    <w:rsid w:val="00B34600"/>
    <w:rsid w:val="00B34C5B"/>
    <w:rsid w:val="00B34E49"/>
    <w:rsid w:val="00B34FE2"/>
    <w:rsid w:val="00B35166"/>
    <w:rsid w:val="00B35384"/>
    <w:rsid w:val="00B357D8"/>
    <w:rsid w:val="00B35DDF"/>
    <w:rsid w:val="00B360F4"/>
    <w:rsid w:val="00B36A00"/>
    <w:rsid w:val="00B37A28"/>
    <w:rsid w:val="00B37BFC"/>
    <w:rsid w:val="00B40358"/>
    <w:rsid w:val="00B4082F"/>
    <w:rsid w:val="00B40899"/>
    <w:rsid w:val="00B412E4"/>
    <w:rsid w:val="00B41614"/>
    <w:rsid w:val="00B4220F"/>
    <w:rsid w:val="00B42397"/>
    <w:rsid w:val="00B42425"/>
    <w:rsid w:val="00B42851"/>
    <w:rsid w:val="00B42BF7"/>
    <w:rsid w:val="00B42C24"/>
    <w:rsid w:val="00B42F80"/>
    <w:rsid w:val="00B4305E"/>
    <w:rsid w:val="00B4309F"/>
    <w:rsid w:val="00B43225"/>
    <w:rsid w:val="00B435CB"/>
    <w:rsid w:val="00B43642"/>
    <w:rsid w:val="00B44558"/>
    <w:rsid w:val="00B44562"/>
    <w:rsid w:val="00B44C56"/>
    <w:rsid w:val="00B453C2"/>
    <w:rsid w:val="00B45692"/>
    <w:rsid w:val="00B456FA"/>
    <w:rsid w:val="00B45874"/>
    <w:rsid w:val="00B459CB"/>
    <w:rsid w:val="00B45B8D"/>
    <w:rsid w:val="00B45C9A"/>
    <w:rsid w:val="00B467EF"/>
    <w:rsid w:val="00B46CF3"/>
    <w:rsid w:val="00B46F0A"/>
    <w:rsid w:val="00B47906"/>
    <w:rsid w:val="00B47994"/>
    <w:rsid w:val="00B47D86"/>
    <w:rsid w:val="00B505C8"/>
    <w:rsid w:val="00B50874"/>
    <w:rsid w:val="00B50882"/>
    <w:rsid w:val="00B50BDB"/>
    <w:rsid w:val="00B50DB8"/>
    <w:rsid w:val="00B51893"/>
    <w:rsid w:val="00B52A56"/>
    <w:rsid w:val="00B532CC"/>
    <w:rsid w:val="00B5338F"/>
    <w:rsid w:val="00B53654"/>
    <w:rsid w:val="00B53800"/>
    <w:rsid w:val="00B53905"/>
    <w:rsid w:val="00B53AE0"/>
    <w:rsid w:val="00B53EF9"/>
    <w:rsid w:val="00B5410F"/>
    <w:rsid w:val="00B546F3"/>
    <w:rsid w:val="00B54B5B"/>
    <w:rsid w:val="00B54E02"/>
    <w:rsid w:val="00B552BC"/>
    <w:rsid w:val="00B55515"/>
    <w:rsid w:val="00B5562E"/>
    <w:rsid w:val="00B55D65"/>
    <w:rsid w:val="00B56DF6"/>
    <w:rsid w:val="00B57000"/>
    <w:rsid w:val="00B57F51"/>
    <w:rsid w:val="00B60939"/>
    <w:rsid w:val="00B60AAD"/>
    <w:rsid w:val="00B60AFD"/>
    <w:rsid w:val="00B60EC6"/>
    <w:rsid w:val="00B61351"/>
    <w:rsid w:val="00B61581"/>
    <w:rsid w:val="00B62715"/>
    <w:rsid w:val="00B6281F"/>
    <w:rsid w:val="00B62C4A"/>
    <w:rsid w:val="00B62ECF"/>
    <w:rsid w:val="00B63A93"/>
    <w:rsid w:val="00B63ECC"/>
    <w:rsid w:val="00B63FEB"/>
    <w:rsid w:val="00B6413F"/>
    <w:rsid w:val="00B6429D"/>
    <w:rsid w:val="00B64490"/>
    <w:rsid w:val="00B64BDA"/>
    <w:rsid w:val="00B65611"/>
    <w:rsid w:val="00B65DC1"/>
    <w:rsid w:val="00B66B97"/>
    <w:rsid w:val="00B67081"/>
    <w:rsid w:val="00B67190"/>
    <w:rsid w:val="00B67386"/>
    <w:rsid w:val="00B70E8E"/>
    <w:rsid w:val="00B713AB"/>
    <w:rsid w:val="00B72287"/>
    <w:rsid w:val="00B72963"/>
    <w:rsid w:val="00B72EB6"/>
    <w:rsid w:val="00B743FC"/>
    <w:rsid w:val="00B756E8"/>
    <w:rsid w:val="00B76C92"/>
    <w:rsid w:val="00B77866"/>
    <w:rsid w:val="00B77E00"/>
    <w:rsid w:val="00B80090"/>
    <w:rsid w:val="00B805DE"/>
    <w:rsid w:val="00B80B9B"/>
    <w:rsid w:val="00B81322"/>
    <w:rsid w:val="00B818A4"/>
    <w:rsid w:val="00B81BEF"/>
    <w:rsid w:val="00B83763"/>
    <w:rsid w:val="00B83C84"/>
    <w:rsid w:val="00B83C93"/>
    <w:rsid w:val="00B84117"/>
    <w:rsid w:val="00B84ADE"/>
    <w:rsid w:val="00B851B3"/>
    <w:rsid w:val="00B852B2"/>
    <w:rsid w:val="00B858F0"/>
    <w:rsid w:val="00B85AA2"/>
    <w:rsid w:val="00B85D0C"/>
    <w:rsid w:val="00B85DFF"/>
    <w:rsid w:val="00B85ED5"/>
    <w:rsid w:val="00B85FED"/>
    <w:rsid w:val="00B86113"/>
    <w:rsid w:val="00B8649C"/>
    <w:rsid w:val="00B864D7"/>
    <w:rsid w:val="00B8695D"/>
    <w:rsid w:val="00B86D92"/>
    <w:rsid w:val="00B87F0A"/>
    <w:rsid w:val="00B90FA5"/>
    <w:rsid w:val="00B911A5"/>
    <w:rsid w:val="00B91822"/>
    <w:rsid w:val="00B926DA"/>
    <w:rsid w:val="00B9298F"/>
    <w:rsid w:val="00B92D0B"/>
    <w:rsid w:val="00B936F4"/>
    <w:rsid w:val="00B93FC6"/>
    <w:rsid w:val="00B94727"/>
    <w:rsid w:val="00B948B6"/>
    <w:rsid w:val="00B94945"/>
    <w:rsid w:val="00B94AE2"/>
    <w:rsid w:val="00B94B90"/>
    <w:rsid w:val="00B94DD6"/>
    <w:rsid w:val="00B95675"/>
    <w:rsid w:val="00B95B1C"/>
    <w:rsid w:val="00B95D81"/>
    <w:rsid w:val="00B95F42"/>
    <w:rsid w:val="00B95F8F"/>
    <w:rsid w:val="00B97D1E"/>
    <w:rsid w:val="00B97F8F"/>
    <w:rsid w:val="00BA017E"/>
    <w:rsid w:val="00BA0645"/>
    <w:rsid w:val="00BA0BE1"/>
    <w:rsid w:val="00BA0F51"/>
    <w:rsid w:val="00BA143A"/>
    <w:rsid w:val="00BA15A6"/>
    <w:rsid w:val="00BA1E27"/>
    <w:rsid w:val="00BA2B70"/>
    <w:rsid w:val="00BA2E03"/>
    <w:rsid w:val="00BA322D"/>
    <w:rsid w:val="00BA33B4"/>
    <w:rsid w:val="00BA5172"/>
    <w:rsid w:val="00BA52FD"/>
    <w:rsid w:val="00BA5947"/>
    <w:rsid w:val="00BA5AE6"/>
    <w:rsid w:val="00BA5BB1"/>
    <w:rsid w:val="00BA5BBC"/>
    <w:rsid w:val="00BA63FA"/>
    <w:rsid w:val="00BA66FB"/>
    <w:rsid w:val="00BA6B90"/>
    <w:rsid w:val="00BA6DDD"/>
    <w:rsid w:val="00BA71F9"/>
    <w:rsid w:val="00BA7389"/>
    <w:rsid w:val="00BA7FD6"/>
    <w:rsid w:val="00BB00B3"/>
    <w:rsid w:val="00BB019D"/>
    <w:rsid w:val="00BB0B3E"/>
    <w:rsid w:val="00BB0BDD"/>
    <w:rsid w:val="00BB0EE2"/>
    <w:rsid w:val="00BB1296"/>
    <w:rsid w:val="00BB176C"/>
    <w:rsid w:val="00BB24EC"/>
    <w:rsid w:val="00BB2A73"/>
    <w:rsid w:val="00BB36C5"/>
    <w:rsid w:val="00BB3A45"/>
    <w:rsid w:val="00BB462B"/>
    <w:rsid w:val="00BB4ACC"/>
    <w:rsid w:val="00BB67AB"/>
    <w:rsid w:val="00BB69EA"/>
    <w:rsid w:val="00BB6A53"/>
    <w:rsid w:val="00BB6C58"/>
    <w:rsid w:val="00BB703E"/>
    <w:rsid w:val="00BB732D"/>
    <w:rsid w:val="00BB7405"/>
    <w:rsid w:val="00BB7A1F"/>
    <w:rsid w:val="00BB7A22"/>
    <w:rsid w:val="00BC00C3"/>
    <w:rsid w:val="00BC03D5"/>
    <w:rsid w:val="00BC0DF7"/>
    <w:rsid w:val="00BC10FD"/>
    <w:rsid w:val="00BC2FC6"/>
    <w:rsid w:val="00BC3631"/>
    <w:rsid w:val="00BC4B1D"/>
    <w:rsid w:val="00BC4C5C"/>
    <w:rsid w:val="00BC4F5B"/>
    <w:rsid w:val="00BC591F"/>
    <w:rsid w:val="00BC5E58"/>
    <w:rsid w:val="00BC6390"/>
    <w:rsid w:val="00BC6CC7"/>
    <w:rsid w:val="00BC73AB"/>
    <w:rsid w:val="00BC77A1"/>
    <w:rsid w:val="00BC7B2C"/>
    <w:rsid w:val="00BC7D6D"/>
    <w:rsid w:val="00BD03AD"/>
    <w:rsid w:val="00BD06CA"/>
    <w:rsid w:val="00BD135A"/>
    <w:rsid w:val="00BD19B6"/>
    <w:rsid w:val="00BD1CCB"/>
    <w:rsid w:val="00BD1E26"/>
    <w:rsid w:val="00BD1EC8"/>
    <w:rsid w:val="00BD2108"/>
    <w:rsid w:val="00BD2117"/>
    <w:rsid w:val="00BD223E"/>
    <w:rsid w:val="00BD3884"/>
    <w:rsid w:val="00BD3A1A"/>
    <w:rsid w:val="00BD5161"/>
    <w:rsid w:val="00BD5A35"/>
    <w:rsid w:val="00BD5BC3"/>
    <w:rsid w:val="00BD5BDB"/>
    <w:rsid w:val="00BD6094"/>
    <w:rsid w:val="00BD6099"/>
    <w:rsid w:val="00BD6668"/>
    <w:rsid w:val="00BD6688"/>
    <w:rsid w:val="00BD6880"/>
    <w:rsid w:val="00BD68A3"/>
    <w:rsid w:val="00BD6938"/>
    <w:rsid w:val="00BD69D2"/>
    <w:rsid w:val="00BD6A14"/>
    <w:rsid w:val="00BD6CF3"/>
    <w:rsid w:val="00BD6D64"/>
    <w:rsid w:val="00BD6DEA"/>
    <w:rsid w:val="00BD6FC0"/>
    <w:rsid w:val="00BD71CC"/>
    <w:rsid w:val="00BD7B81"/>
    <w:rsid w:val="00BE0646"/>
    <w:rsid w:val="00BE08E4"/>
    <w:rsid w:val="00BE09E2"/>
    <w:rsid w:val="00BE0D75"/>
    <w:rsid w:val="00BE0EB7"/>
    <w:rsid w:val="00BE0ECA"/>
    <w:rsid w:val="00BE1488"/>
    <w:rsid w:val="00BE2136"/>
    <w:rsid w:val="00BE2180"/>
    <w:rsid w:val="00BE21F2"/>
    <w:rsid w:val="00BE37BC"/>
    <w:rsid w:val="00BE4275"/>
    <w:rsid w:val="00BE44C9"/>
    <w:rsid w:val="00BE4F88"/>
    <w:rsid w:val="00BE628D"/>
    <w:rsid w:val="00BE7084"/>
    <w:rsid w:val="00BE70FD"/>
    <w:rsid w:val="00BF06AE"/>
    <w:rsid w:val="00BF0E12"/>
    <w:rsid w:val="00BF0F95"/>
    <w:rsid w:val="00BF121F"/>
    <w:rsid w:val="00BF192A"/>
    <w:rsid w:val="00BF2433"/>
    <w:rsid w:val="00BF260E"/>
    <w:rsid w:val="00BF2907"/>
    <w:rsid w:val="00BF2988"/>
    <w:rsid w:val="00BF3130"/>
    <w:rsid w:val="00BF3B74"/>
    <w:rsid w:val="00BF43CE"/>
    <w:rsid w:val="00BF4569"/>
    <w:rsid w:val="00BF52AA"/>
    <w:rsid w:val="00BF5610"/>
    <w:rsid w:val="00BF61C9"/>
    <w:rsid w:val="00BF6C94"/>
    <w:rsid w:val="00BF7578"/>
    <w:rsid w:val="00BF75B5"/>
    <w:rsid w:val="00BF7E29"/>
    <w:rsid w:val="00C002E4"/>
    <w:rsid w:val="00C00340"/>
    <w:rsid w:val="00C00424"/>
    <w:rsid w:val="00C00CC7"/>
    <w:rsid w:val="00C01738"/>
    <w:rsid w:val="00C01934"/>
    <w:rsid w:val="00C01A8E"/>
    <w:rsid w:val="00C01CEC"/>
    <w:rsid w:val="00C02C0C"/>
    <w:rsid w:val="00C03253"/>
    <w:rsid w:val="00C03512"/>
    <w:rsid w:val="00C0365F"/>
    <w:rsid w:val="00C03C37"/>
    <w:rsid w:val="00C03C8A"/>
    <w:rsid w:val="00C042A0"/>
    <w:rsid w:val="00C045EB"/>
    <w:rsid w:val="00C050DB"/>
    <w:rsid w:val="00C051F5"/>
    <w:rsid w:val="00C05A09"/>
    <w:rsid w:val="00C05A7B"/>
    <w:rsid w:val="00C05AE9"/>
    <w:rsid w:val="00C108D2"/>
    <w:rsid w:val="00C11338"/>
    <w:rsid w:val="00C1179F"/>
    <w:rsid w:val="00C11DCB"/>
    <w:rsid w:val="00C12C14"/>
    <w:rsid w:val="00C13558"/>
    <w:rsid w:val="00C13A47"/>
    <w:rsid w:val="00C13F8C"/>
    <w:rsid w:val="00C14C04"/>
    <w:rsid w:val="00C1510A"/>
    <w:rsid w:val="00C15F04"/>
    <w:rsid w:val="00C172C4"/>
    <w:rsid w:val="00C173EB"/>
    <w:rsid w:val="00C179B3"/>
    <w:rsid w:val="00C17AA9"/>
    <w:rsid w:val="00C17B77"/>
    <w:rsid w:val="00C17E3F"/>
    <w:rsid w:val="00C200AA"/>
    <w:rsid w:val="00C2095F"/>
    <w:rsid w:val="00C213FD"/>
    <w:rsid w:val="00C22062"/>
    <w:rsid w:val="00C2301F"/>
    <w:rsid w:val="00C2303B"/>
    <w:rsid w:val="00C237ED"/>
    <w:rsid w:val="00C238B5"/>
    <w:rsid w:val="00C23DD5"/>
    <w:rsid w:val="00C23DDA"/>
    <w:rsid w:val="00C23F22"/>
    <w:rsid w:val="00C24632"/>
    <w:rsid w:val="00C24C01"/>
    <w:rsid w:val="00C24CC3"/>
    <w:rsid w:val="00C25418"/>
    <w:rsid w:val="00C25A81"/>
    <w:rsid w:val="00C25D9C"/>
    <w:rsid w:val="00C26C95"/>
    <w:rsid w:val="00C2778B"/>
    <w:rsid w:val="00C27918"/>
    <w:rsid w:val="00C27A22"/>
    <w:rsid w:val="00C27B93"/>
    <w:rsid w:val="00C30714"/>
    <w:rsid w:val="00C31649"/>
    <w:rsid w:val="00C324D0"/>
    <w:rsid w:val="00C32DE4"/>
    <w:rsid w:val="00C32F17"/>
    <w:rsid w:val="00C339C5"/>
    <w:rsid w:val="00C33A45"/>
    <w:rsid w:val="00C33BC8"/>
    <w:rsid w:val="00C33E95"/>
    <w:rsid w:val="00C33FA7"/>
    <w:rsid w:val="00C34143"/>
    <w:rsid w:val="00C3434C"/>
    <w:rsid w:val="00C35871"/>
    <w:rsid w:val="00C35BEE"/>
    <w:rsid w:val="00C3677F"/>
    <w:rsid w:val="00C36E4B"/>
    <w:rsid w:val="00C3715A"/>
    <w:rsid w:val="00C37765"/>
    <w:rsid w:val="00C37C60"/>
    <w:rsid w:val="00C37DE9"/>
    <w:rsid w:val="00C40385"/>
    <w:rsid w:val="00C408C6"/>
    <w:rsid w:val="00C40D18"/>
    <w:rsid w:val="00C40F6C"/>
    <w:rsid w:val="00C41697"/>
    <w:rsid w:val="00C41768"/>
    <w:rsid w:val="00C425C4"/>
    <w:rsid w:val="00C4335F"/>
    <w:rsid w:val="00C44668"/>
    <w:rsid w:val="00C44FB2"/>
    <w:rsid w:val="00C452EC"/>
    <w:rsid w:val="00C458F7"/>
    <w:rsid w:val="00C45BDA"/>
    <w:rsid w:val="00C46DD4"/>
    <w:rsid w:val="00C475AA"/>
    <w:rsid w:val="00C478D5"/>
    <w:rsid w:val="00C504C4"/>
    <w:rsid w:val="00C50B64"/>
    <w:rsid w:val="00C51D8F"/>
    <w:rsid w:val="00C520AA"/>
    <w:rsid w:val="00C525F5"/>
    <w:rsid w:val="00C52DA2"/>
    <w:rsid w:val="00C53057"/>
    <w:rsid w:val="00C53B4E"/>
    <w:rsid w:val="00C53C98"/>
    <w:rsid w:val="00C53D19"/>
    <w:rsid w:val="00C53DE4"/>
    <w:rsid w:val="00C542A5"/>
    <w:rsid w:val="00C54B0E"/>
    <w:rsid w:val="00C54CEA"/>
    <w:rsid w:val="00C55305"/>
    <w:rsid w:val="00C55A4D"/>
    <w:rsid w:val="00C55EF0"/>
    <w:rsid w:val="00C5608A"/>
    <w:rsid w:val="00C56247"/>
    <w:rsid w:val="00C562B5"/>
    <w:rsid w:val="00C56FCF"/>
    <w:rsid w:val="00C5724B"/>
    <w:rsid w:val="00C5782F"/>
    <w:rsid w:val="00C57B6C"/>
    <w:rsid w:val="00C61262"/>
    <w:rsid w:val="00C614A2"/>
    <w:rsid w:val="00C61E80"/>
    <w:rsid w:val="00C61EE7"/>
    <w:rsid w:val="00C62247"/>
    <w:rsid w:val="00C62524"/>
    <w:rsid w:val="00C628A6"/>
    <w:rsid w:val="00C6300E"/>
    <w:rsid w:val="00C637BA"/>
    <w:rsid w:val="00C64344"/>
    <w:rsid w:val="00C64462"/>
    <w:rsid w:val="00C647FB"/>
    <w:rsid w:val="00C650C0"/>
    <w:rsid w:val="00C65108"/>
    <w:rsid w:val="00C651FB"/>
    <w:rsid w:val="00C6545F"/>
    <w:rsid w:val="00C65576"/>
    <w:rsid w:val="00C65E98"/>
    <w:rsid w:val="00C66165"/>
    <w:rsid w:val="00C66C20"/>
    <w:rsid w:val="00C7060A"/>
    <w:rsid w:val="00C70E47"/>
    <w:rsid w:val="00C7151A"/>
    <w:rsid w:val="00C717E3"/>
    <w:rsid w:val="00C71EBE"/>
    <w:rsid w:val="00C71F60"/>
    <w:rsid w:val="00C72142"/>
    <w:rsid w:val="00C72241"/>
    <w:rsid w:val="00C726D2"/>
    <w:rsid w:val="00C72BD4"/>
    <w:rsid w:val="00C737AF"/>
    <w:rsid w:val="00C739A8"/>
    <w:rsid w:val="00C73AA1"/>
    <w:rsid w:val="00C73E03"/>
    <w:rsid w:val="00C750C8"/>
    <w:rsid w:val="00C75504"/>
    <w:rsid w:val="00C7560F"/>
    <w:rsid w:val="00C76294"/>
    <w:rsid w:val="00C766D8"/>
    <w:rsid w:val="00C7681A"/>
    <w:rsid w:val="00C77482"/>
    <w:rsid w:val="00C77CF6"/>
    <w:rsid w:val="00C77E1E"/>
    <w:rsid w:val="00C80054"/>
    <w:rsid w:val="00C8013B"/>
    <w:rsid w:val="00C80350"/>
    <w:rsid w:val="00C80A0E"/>
    <w:rsid w:val="00C8127C"/>
    <w:rsid w:val="00C81524"/>
    <w:rsid w:val="00C81862"/>
    <w:rsid w:val="00C8213F"/>
    <w:rsid w:val="00C82B1E"/>
    <w:rsid w:val="00C82D58"/>
    <w:rsid w:val="00C82F31"/>
    <w:rsid w:val="00C839C2"/>
    <w:rsid w:val="00C84617"/>
    <w:rsid w:val="00C84947"/>
    <w:rsid w:val="00C84B14"/>
    <w:rsid w:val="00C84D34"/>
    <w:rsid w:val="00C850A5"/>
    <w:rsid w:val="00C85154"/>
    <w:rsid w:val="00C85451"/>
    <w:rsid w:val="00C855A6"/>
    <w:rsid w:val="00C85D0B"/>
    <w:rsid w:val="00C85D32"/>
    <w:rsid w:val="00C86083"/>
    <w:rsid w:val="00C86E0A"/>
    <w:rsid w:val="00C86F24"/>
    <w:rsid w:val="00C87024"/>
    <w:rsid w:val="00C870A6"/>
    <w:rsid w:val="00C87305"/>
    <w:rsid w:val="00C8797A"/>
    <w:rsid w:val="00C900B8"/>
    <w:rsid w:val="00C90AEB"/>
    <w:rsid w:val="00C90C71"/>
    <w:rsid w:val="00C90E18"/>
    <w:rsid w:val="00C9186B"/>
    <w:rsid w:val="00C91FD1"/>
    <w:rsid w:val="00C91FE2"/>
    <w:rsid w:val="00C92093"/>
    <w:rsid w:val="00C924C3"/>
    <w:rsid w:val="00C931CF"/>
    <w:rsid w:val="00C938CF"/>
    <w:rsid w:val="00C93F66"/>
    <w:rsid w:val="00C94053"/>
    <w:rsid w:val="00C945DE"/>
    <w:rsid w:val="00C94EAB"/>
    <w:rsid w:val="00C958E5"/>
    <w:rsid w:val="00C95E20"/>
    <w:rsid w:val="00C9624D"/>
    <w:rsid w:val="00C96674"/>
    <w:rsid w:val="00C96866"/>
    <w:rsid w:val="00C969DA"/>
    <w:rsid w:val="00C96BED"/>
    <w:rsid w:val="00C9746F"/>
    <w:rsid w:val="00C97925"/>
    <w:rsid w:val="00C97A23"/>
    <w:rsid w:val="00CA01F3"/>
    <w:rsid w:val="00CA151D"/>
    <w:rsid w:val="00CA1C76"/>
    <w:rsid w:val="00CA2C77"/>
    <w:rsid w:val="00CA2D2D"/>
    <w:rsid w:val="00CA3554"/>
    <w:rsid w:val="00CA3A41"/>
    <w:rsid w:val="00CA444F"/>
    <w:rsid w:val="00CA455F"/>
    <w:rsid w:val="00CA47BB"/>
    <w:rsid w:val="00CA4D37"/>
    <w:rsid w:val="00CA5245"/>
    <w:rsid w:val="00CA53DB"/>
    <w:rsid w:val="00CA63A4"/>
    <w:rsid w:val="00CA64E3"/>
    <w:rsid w:val="00CA71F4"/>
    <w:rsid w:val="00CA74F6"/>
    <w:rsid w:val="00CA7B09"/>
    <w:rsid w:val="00CB091B"/>
    <w:rsid w:val="00CB0CCB"/>
    <w:rsid w:val="00CB12A5"/>
    <w:rsid w:val="00CB1988"/>
    <w:rsid w:val="00CB1CA5"/>
    <w:rsid w:val="00CB1CAC"/>
    <w:rsid w:val="00CB23BE"/>
    <w:rsid w:val="00CB2422"/>
    <w:rsid w:val="00CB2872"/>
    <w:rsid w:val="00CB2F2A"/>
    <w:rsid w:val="00CB368C"/>
    <w:rsid w:val="00CB3999"/>
    <w:rsid w:val="00CB3BB1"/>
    <w:rsid w:val="00CB40F3"/>
    <w:rsid w:val="00CB4465"/>
    <w:rsid w:val="00CB457E"/>
    <w:rsid w:val="00CB4740"/>
    <w:rsid w:val="00CB4DDE"/>
    <w:rsid w:val="00CB5B1A"/>
    <w:rsid w:val="00CB5B66"/>
    <w:rsid w:val="00CB6181"/>
    <w:rsid w:val="00CB6B22"/>
    <w:rsid w:val="00CB7249"/>
    <w:rsid w:val="00CB731C"/>
    <w:rsid w:val="00CB7A86"/>
    <w:rsid w:val="00CB7B91"/>
    <w:rsid w:val="00CB7F46"/>
    <w:rsid w:val="00CB7F5F"/>
    <w:rsid w:val="00CC1B39"/>
    <w:rsid w:val="00CC251A"/>
    <w:rsid w:val="00CC35EA"/>
    <w:rsid w:val="00CC3848"/>
    <w:rsid w:val="00CC3E50"/>
    <w:rsid w:val="00CC452B"/>
    <w:rsid w:val="00CC4F53"/>
    <w:rsid w:val="00CC5826"/>
    <w:rsid w:val="00CC5A9C"/>
    <w:rsid w:val="00CC5F40"/>
    <w:rsid w:val="00CC6A23"/>
    <w:rsid w:val="00CC6A25"/>
    <w:rsid w:val="00CC73D1"/>
    <w:rsid w:val="00CD0073"/>
    <w:rsid w:val="00CD0E29"/>
    <w:rsid w:val="00CD0F18"/>
    <w:rsid w:val="00CD0FA7"/>
    <w:rsid w:val="00CD2157"/>
    <w:rsid w:val="00CD21CB"/>
    <w:rsid w:val="00CD2361"/>
    <w:rsid w:val="00CD2736"/>
    <w:rsid w:val="00CD2949"/>
    <w:rsid w:val="00CD2E8D"/>
    <w:rsid w:val="00CD2FD8"/>
    <w:rsid w:val="00CD3B1D"/>
    <w:rsid w:val="00CD3F77"/>
    <w:rsid w:val="00CD4CA2"/>
    <w:rsid w:val="00CD4F95"/>
    <w:rsid w:val="00CD5B44"/>
    <w:rsid w:val="00CD5C68"/>
    <w:rsid w:val="00CD6202"/>
    <w:rsid w:val="00CD67C7"/>
    <w:rsid w:val="00CD6ADC"/>
    <w:rsid w:val="00CD7193"/>
    <w:rsid w:val="00CD735C"/>
    <w:rsid w:val="00CD7BCF"/>
    <w:rsid w:val="00CD7BF3"/>
    <w:rsid w:val="00CD7D7D"/>
    <w:rsid w:val="00CE06E1"/>
    <w:rsid w:val="00CE0772"/>
    <w:rsid w:val="00CE0916"/>
    <w:rsid w:val="00CE0B85"/>
    <w:rsid w:val="00CE1564"/>
    <w:rsid w:val="00CE2453"/>
    <w:rsid w:val="00CE276E"/>
    <w:rsid w:val="00CE2B95"/>
    <w:rsid w:val="00CE2C67"/>
    <w:rsid w:val="00CE38C8"/>
    <w:rsid w:val="00CE3E0A"/>
    <w:rsid w:val="00CE46B0"/>
    <w:rsid w:val="00CE5299"/>
    <w:rsid w:val="00CE5A57"/>
    <w:rsid w:val="00CE5DC6"/>
    <w:rsid w:val="00CE5DD9"/>
    <w:rsid w:val="00CE6274"/>
    <w:rsid w:val="00CE6281"/>
    <w:rsid w:val="00CE6544"/>
    <w:rsid w:val="00CE6C49"/>
    <w:rsid w:val="00CE6E45"/>
    <w:rsid w:val="00CE77B6"/>
    <w:rsid w:val="00CF00D8"/>
    <w:rsid w:val="00CF144A"/>
    <w:rsid w:val="00CF1B17"/>
    <w:rsid w:val="00CF2A85"/>
    <w:rsid w:val="00CF2B8D"/>
    <w:rsid w:val="00CF333C"/>
    <w:rsid w:val="00CF3558"/>
    <w:rsid w:val="00CF429D"/>
    <w:rsid w:val="00CF456B"/>
    <w:rsid w:val="00CF52D1"/>
    <w:rsid w:val="00CF5A22"/>
    <w:rsid w:val="00CF5EE9"/>
    <w:rsid w:val="00CF62B7"/>
    <w:rsid w:val="00CF6CB5"/>
    <w:rsid w:val="00CF724A"/>
    <w:rsid w:val="00CF73B2"/>
    <w:rsid w:val="00CF76E1"/>
    <w:rsid w:val="00CF7B33"/>
    <w:rsid w:val="00CF7BCB"/>
    <w:rsid w:val="00D01D77"/>
    <w:rsid w:val="00D01F4D"/>
    <w:rsid w:val="00D020E6"/>
    <w:rsid w:val="00D0262E"/>
    <w:rsid w:val="00D02C48"/>
    <w:rsid w:val="00D044F2"/>
    <w:rsid w:val="00D04844"/>
    <w:rsid w:val="00D049A1"/>
    <w:rsid w:val="00D04F77"/>
    <w:rsid w:val="00D05E3D"/>
    <w:rsid w:val="00D06139"/>
    <w:rsid w:val="00D06A30"/>
    <w:rsid w:val="00D06B3A"/>
    <w:rsid w:val="00D07014"/>
    <w:rsid w:val="00D07521"/>
    <w:rsid w:val="00D10556"/>
    <w:rsid w:val="00D10667"/>
    <w:rsid w:val="00D110BD"/>
    <w:rsid w:val="00D11140"/>
    <w:rsid w:val="00D11258"/>
    <w:rsid w:val="00D11488"/>
    <w:rsid w:val="00D11798"/>
    <w:rsid w:val="00D11C04"/>
    <w:rsid w:val="00D12032"/>
    <w:rsid w:val="00D123AC"/>
    <w:rsid w:val="00D13675"/>
    <w:rsid w:val="00D141E1"/>
    <w:rsid w:val="00D14CEC"/>
    <w:rsid w:val="00D15314"/>
    <w:rsid w:val="00D161BC"/>
    <w:rsid w:val="00D17188"/>
    <w:rsid w:val="00D17D6C"/>
    <w:rsid w:val="00D17F67"/>
    <w:rsid w:val="00D17FBD"/>
    <w:rsid w:val="00D20BED"/>
    <w:rsid w:val="00D20EB5"/>
    <w:rsid w:val="00D20FF7"/>
    <w:rsid w:val="00D213BB"/>
    <w:rsid w:val="00D2155B"/>
    <w:rsid w:val="00D21745"/>
    <w:rsid w:val="00D21879"/>
    <w:rsid w:val="00D22226"/>
    <w:rsid w:val="00D23707"/>
    <w:rsid w:val="00D23C6F"/>
    <w:rsid w:val="00D23D11"/>
    <w:rsid w:val="00D24442"/>
    <w:rsid w:val="00D244B6"/>
    <w:rsid w:val="00D248A3"/>
    <w:rsid w:val="00D24F66"/>
    <w:rsid w:val="00D2551D"/>
    <w:rsid w:val="00D264F7"/>
    <w:rsid w:val="00D2719D"/>
    <w:rsid w:val="00D27408"/>
    <w:rsid w:val="00D2754D"/>
    <w:rsid w:val="00D27B02"/>
    <w:rsid w:val="00D27B27"/>
    <w:rsid w:val="00D30AFF"/>
    <w:rsid w:val="00D30D7F"/>
    <w:rsid w:val="00D312ED"/>
    <w:rsid w:val="00D31442"/>
    <w:rsid w:val="00D3156C"/>
    <w:rsid w:val="00D31FA4"/>
    <w:rsid w:val="00D32851"/>
    <w:rsid w:val="00D32C5B"/>
    <w:rsid w:val="00D32F55"/>
    <w:rsid w:val="00D335F4"/>
    <w:rsid w:val="00D33754"/>
    <w:rsid w:val="00D33B5C"/>
    <w:rsid w:val="00D33BE9"/>
    <w:rsid w:val="00D33F93"/>
    <w:rsid w:val="00D347EB"/>
    <w:rsid w:val="00D350EE"/>
    <w:rsid w:val="00D357FF"/>
    <w:rsid w:val="00D35D0A"/>
    <w:rsid w:val="00D37DCB"/>
    <w:rsid w:val="00D40D9F"/>
    <w:rsid w:val="00D41470"/>
    <w:rsid w:val="00D418BA"/>
    <w:rsid w:val="00D41A3C"/>
    <w:rsid w:val="00D42234"/>
    <w:rsid w:val="00D424C7"/>
    <w:rsid w:val="00D42EBC"/>
    <w:rsid w:val="00D42EDA"/>
    <w:rsid w:val="00D42F8E"/>
    <w:rsid w:val="00D43310"/>
    <w:rsid w:val="00D43B2A"/>
    <w:rsid w:val="00D43B88"/>
    <w:rsid w:val="00D43D83"/>
    <w:rsid w:val="00D43F8F"/>
    <w:rsid w:val="00D44183"/>
    <w:rsid w:val="00D44433"/>
    <w:rsid w:val="00D449A0"/>
    <w:rsid w:val="00D45861"/>
    <w:rsid w:val="00D45B7E"/>
    <w:rsid w:val="00D45D47"/>
    <w:rsid w:val="00D46B87"/>
    <w:rsid w:val="00D46EB0"/>
    <w:rsid w:val="00D47575"/>
    <w:rsid w:val="00D476EB"/>
    <w:rsid w:val="00D50F0F"/>
    <w:rsid w:val="00D518E5"/>
    <w:rsid w:val="00D5243B"/>
    <w:rsid w:val="00D533EC"/>
    <w:rsid w:val="00D5387B"/>
    <w:rsid w:val="00D53FFE"/>
    <w:rsid w:val="00D54378"/>
    <w:rsid w:val="00D54754"/>
    <w:rsid w:val="00D54BE7"/>
    <w:rsid w:val="00D54D39"/>
    <w:rsid w:val="00D55D57"/>
    <w:rsid w:val="00D565AF"/>
    <w:rsid w:val="00D567B1"/>
    <w:rsid w:val="00D56A95"/>
    <w:rsid w:val="00D56C22"/>
    <w:rsid w:val="00D56C2A"/>
    <w:rsid w:val="00D56E69"/>
    <w:rsid w:val="00D56E7F"/>
    <w:rsid w:val="00D57053"/>
    <w:rsid w:val="00D576B0"/>
    <w:rsid w:val="00D61082"/>
    <w:rsid w:val="00D610F0"/>
    <w:rsid w:val="00D6201D"/>
    <w:rsid w:val="00D6210C"/>
    <w:rsid w:val="00D627A8"/>
    <w:rsid w:val="00D639AB"/>
    <w:rsid w:val="00D63C70"/>
    <w:rsid w:val="00D63F1B"/>
    <w:rsid w:val="00D64870"/>
    <w:rsid w:val="00D64DF6"/>
    <w:rsid w:val="00D64E42"/>
    <w:rsid w:val="00D65FDE"/>
    <w:rsid w:val="00D67043"/>
    <w:rsid w:val="00D67155"/>
    <w:rsid w:val="00D6769E"/>
    <w:rsid w:val="00D67C17"/>
    <w:rsid w:val="00D70F16"/>
    <w:rsid w:val="00D716B3"/>
    <w:rsid w:val="00D72081"/>
    <w:rsid w:val="00D728FF"/>
    <w:rsid w:val="00D72F57"/>
    <w:rsid w:val="00D730EF"/>
    <w:rsid w:val="00D74C25"/>
    <w:rsid w:val="00D74D74"/>
    <w:rsid w:val="00D74FDD"/>
    <w:rsid w:val="00D75006"/>
    <w:rsid w:val="00D751D2"/>
    <w:rsid w:val="00D7529D"/>
    <w:rsid w:val="00D75393"/>
    <w:rsid w:val="00D75657"/>
    <w:rsid w:val="00D75ED5"/>
    <w:rsid w:val="00D76006"/>
    <w:rsid w:val="00D76A44"/>
    <w:rsid w:val="00D7724B"/>
    <w:rsid w:val="00D77B1B"/>
    <w:rsid w:val="00D77BBB"/>
    <w:rsid w:val="00D77F0B"/>
    <w:rsid w:val="00D8093B"/>
    <w:rsid w:val="00D80BA3"/>
    <w:rsid w:val="00D810C7"/>
    <w:rsid w:val="00D815EF"/>
    <w:rsid w:val="00D81F26"/>
    <w:rsid w:val="00D82317"/>
    <w:rsid w:val="00D8317E"/>
    <w:rsid w:val="00D832D1"/>
    <w:rsid w:val="00D8376C"/>
    <w:rsid w:val="00D83929"/>
    <w:rsid w:val="00D839CD"/>
    <w:rsid w:val="00D84709"/>
    <w:rsid w:val="00D848EF"/>
    <w:rsid w:val="00D84ED9"/>
    <w:rsid w:val="00D8541E"/>
    <w:rsid w:val="00D85A31"/>
    <w:rsid w:val="00D86057"/>
    <w:rsid w:val="00D86231"/>
    <w:rsid w:val="00D8689F"/>
    <w:rsid w:val="00D86FC9"/>
    <w:rsid w:val="00D87128"/>
    <w:rsid w:val="00D871D2"/>
    <w:rsid w:val="00D904C2"/>
    <w:rsid w:val="00D90569"/>
    <w:rsid w:val="00D90BB7"/>
    <w:rsid w:val="00D90BD9"/>
    <w:rsid w:val="00D91923"/>
    <w:rsid w:val="00D91B94"/>
    <w:rsid w:val="00D91D0D"/>
    <w:rsid w:val="00D92600"/>
    <w:rsid w:val="00D93753"/>
    <w:rsid w:val="00D93BDB"/>
    <w:rsid w:val="00D93E21"/>
    <w:rsid w:val="00D94A20"/>
    <w:rsid w:val="00D95E41"/>
    <w:rsid w:val="00D96047"/>
    <w:rsid w:val="00D971BC"/>
    <w:rsid w:val="00D9783F"/>
    <w:rsid w:val="00DA0FA1"/>
    <w:rsid w:val="00DA3167"/>
    <w:rsid w:val="00DA327F"/>
    <w:rsid w:val="00DA3C13"/>
    <w:rsid w:val="00DA4383"/>
    <w:rsid w:val="00DA4649"/>
    <w:rsid w:val="00DA4DC3"/>
    <w:rsid w:val="00DA5252"/>
    <w:rsid w:val="00DA54E1"/>
    <w:rsid w:val="00DA631D"/>
    <w:rsid w:val="00DA652D"/>
    <w:rsid w:val="00DA6F32"/>
    <w:rsid w:val="00DA7310"/>
    <w:rsid w:val="00DA75E7"/>
    <w:rsid w:val="00DA77A5"/>
    <w:rsid w:val="00DA7ED0"/>
    <w:rsid w:val="00DB0244"/>
    <w:rsid w:val="00DB1395"/>
    <w:rsid w:val="00DB14BC"/>
    <w:rsid w:val="00DB1A2C"/>
    <w:rsid w:val="00DB28DD"/>
    <w:rsid w:val="00DB2C83"/>
    <w:rsid w:val="00DB2E83"/>
    <w:rsid w:val="00DB3AF0"/>
    <w:rsid w:val="00DB3DBF"/>
    <w:rsid w:val="00DB418F"/>
    <w:rsid w:val="00DB484F"/>
    <w:rsid w:val="00DB502B"/>
    <w:rsid w:val="00DB5370"/>
    <w:rsid w:val="00DB554E"/>
    <w:rsid w:val="00DB5ABE"/>
    <w:rsid w:val="00DB6153"/>
    <w:rsid w:val="00DB6834"/>
    <w:rsid w:val="00DB6A9D"/>
    <w:rsid w:val="00DB6C48"/>
    <w:rsid w:val="00DB73AC"/>
    <w:rsid w:val="00DB7833"/>
    <w:rsid w:val="00DC04F6"/>
    <w:rsid w:val="00DC0690"/>
    <w:rsid w:val="00DC085F"/>
    <w:rsid w:val="00DC0DBD"/>
    <w:rsid w:val="00DC1C29"/>
    <w:rsid w:val="00DC1D65"/>
    <w:rsid w:val="00DC26A4"/>
    <w:rsid w:val="00DC2A83"/>
    <w:rsid w:val="00DC2EAE"/>
    <w:rsid w:val="00DC3C57"/>
    <w:rsid w:val="00DC3F99"/>
    <w:rsid w:val="00DC46B8"/>
    <w:rsid w:val="00DC4E3F"/>
    <w:rsid w:val="00DC4EC9"/>
    <w:rsid w:val="00DC5501"/>
    <w:rsid w:val="00DC7154"/>
    <w:rsid w:val="00DC72F0"/>
    <w:rsid w:val="00DC7B59"/>
    <w:rsid w:val="00DC7E32"/>
    <w:rsid w:val="00DC7E8A"/>
    <w:rsid w:val="00DD00B3"/>
    <w:rsid w:val="00DD042B"/>
    <w:rsid w:val="00DD0468"/>
    <w:rsid w:val="00DD0A86"/>
    <w:rsid w:val="00DD0D79"/>
    <w:rsid w:val="00DD0F78"/>
    <w:rsid w:val="00DD19F1"/>
    <w:rsid w:val="00DD1B4F"/>
    <w:rsid w:val="00DD23C2"/>
    <w:rsid w:val="00DD249A"/>
    <w:rsid w:val="00DD273C"/>
    <w:rsid w:val="00DD2847"/>
    <w:rsid w:val="00DD3F28"/>
    <w:rsid w:val="00DD444E"/>
    <w:rsid w:val="00DD4537"/>
    <w:rsid w:val="00DD4E15"/>
    <w:rsid w:val="00DD5A93"/>
    <w:rsid w:val="00DD6356"/>
    <w:rsid w:val="00DD64AB"/>
    <w:rsid w:val="00DD67B7"/>
    <w:rsid w:val="00DD7903"/>
    <w:rsid w:val="00DD7E73"/>
    <w:rsid w:val="00DE071E"/>
    <w:rsid w:val="00DE0910"/>
    <w:rsid w:val="00DE09E0"/>
    <w:rsid w:val="00DE16C1"/>
    <w:rsid w:val="00DE1764"/>
    <w:rsid w:val="00DE1B80"/>
    <w:rsid w:val="00DE1E9D"/>
    <w:rsid w:val="00DE2304"/>
    <w:rsid w:val="00DE2A2F"/>
    <w:rsid w:val="00DE2FE5"/>
    <w:rsid w:val="00DE3138"/>
    <w:rsid w:val="00DE31EF"/>
    <w:rsid w:val="00DE37F8"/>
    <w:rsid w:val="00DE419B"/>
    <w:rsid w:val="00DE4534"/>
    <w:rsid w:val="00DE4FCB"/>
    <w:rsid w:val="00DE50EE"/>
    <w:rsid w:val="00DE5D07"/>
    <w:rsid w:val="00DE5E16"/>
    <w:rsid w:val="00DE6229"/>
    <w:rsid w:val="00DE6C22"/>
    <w:rsid w:val="00DE72A7"/>
    <w:rsid w:val="00DE7832"/>
    <w:rsid w:val="00DE7E70"/>
    <w:rsid w:val="00DE7EF5"/>
    <w:rsid w:val="00DF18FC"/>
    <w:rsid w:val="00DF19C1"/>
    <w:rsid w:val="00DF2020"/>
    <w:rsid w:val="00DF2AFB"/>
    <w:rsid w:val="00DF2EFA"/>
    <w:rsid w:val="00DF36EB"/>
    <w:rsid w:val="00DF457A"/>
    <w:rsid w:val="00DF45AD"/>
    <w:rsid w:val="00DF45CC"/>
    <w:rsid w:val="00DF47D8"/>
    <w:rsid w:val="00DF4831"/>
    <w:rsid w:val="00DF529D"/>
    <w:rsid w:val="00DF5D2B"/>
    <w:rsid w:val="00DF60CA"/>
    <w:rsid w:val="00DF7347"/>
    <w:rsid w:val="00DF7887"/>
    <w:rsid w:val="00DF7A2F"/>
    <w:rsid w:val="00DF7A8B"/>
    <w:rsid w:val="00E00892"/>
    <w:rsid w:val="00E00E8E"/>
    <w:rsid w:val="00E02366"/>
    <w:rsid w:val="00E02577"/>
    <w:rsid w:val="00E0307A"/>
    <w:rsid w:val="00E03AB6"/>
    <w:rsid w:val="00E052E0"/>
    <w:rsid w:val="00E05630"/>
    <w:rsid w:val="00E058E7"/>
    <w:rsid w:val="00E0646E"/>
    <w:rsid w:val="00E06DBB"/>
    <w:rsid w:val="00E06EB9"/>
    <w:rsid w:val="00E073F5"/>
    <w:rsid w:val="00E07415"/>
    <w:rsid w:val="00E07556"/>
    <w:rsid w:val="00E10149"/>
    <w:rsid w:val="00E10A65"/>
    <w:rsid w:val="00E1123B"/>
    <w:rsid w:val="00E11340"/>
    <w:rsid w:val="00E115D8"/>
    <w:rsid w:val="00E119A5"/>
    <w:rsid w:val="00E11CDB"/>
    <w:rsid w:val="00E122A1"/>
    <w:rsid w:val="00E129B1"/>
    <w:rsid w:val="00E12EED"/>
    <w:rsid w:val="00E131A0"/>
    <w:rsid w:val="00E131A9"/>
    <w:rsid w:val="00E1384B"/>
    <w:rsid w:val="00E14ACF"/>
    <w:rsid w:val="00E157DF"/>
    <w:rsid w:val="00E15F21"/>
    <w:rsid w:val="00E16372"/>
    <w:rsid w:val="00E16883"/>
    <w:rsid w:val="00E16B37"/>
    <w:rsid w:val="00E16F8B"/>
    <w:rsid w:val="00E201D7"/>
    <w:rsid w:val="00E205D1"/>
    <w:rsid w:val="00E20649"/>
    <w:rsid w:val="00E20E2D"/>
    <w:rsid w:val="00E20E4D"/>
    <w:rsid w:val="00E20ED6"/>
    <w:rsid w:val="00E20F60"/>
    <w:rsid w:val="00E21358"/>
    <w:rsid w:val="00E21EC2"/>
    <w:rsid w:val="00E22330"/>
    <w:rsid w:val="00E2249B"/>
    <w:rsid w:val="00E2263A"/>
    <w:rsid w:val="00E22A0D"/>
    <w:rsid w:val="00E23578"/>
    <w:rsid w:val="00E23680"/>
    <w:rsid w:val="00E23753"/>
    <w:rsid w:val="00E23A99"/>
    <w:rsid w:val="00E244F6"/>
    <w:rsid w:val="00E25A8E"/>
    <w:rsid w:val="00E2651A"/>
    <w:rsid w:val="00E26A9F"/>
    <w:rsid w:val="00E271F6"/>
    <w:rsid w:val="00E2771E"/>
    <w:rsid w:val="00E277E7"/>
    <w:rsid w:val="00E27A3D"/>
    <w:rsid w:val="00E27CA7"/>
    <w:rsid w:val="00E27D56"/>
    <w:rsid w:val="00E27D57"/>
    <w:rsid w:val="00E30F07"/>
    <w:rsid w:val="00E311EF"/>
    <w:rsid w:val="00E31425"/>
    <w:rsid w:val="00E314E1"/>
    <w:rsid w:val="00E31AC3"/>
    <w:rsid w:val="00E32177"/>
    <w:rsid w:val="00E32180"/>
    <w:rsid w:val="00E321D4"/>
    <w:rsid w:val="00E3245C"/>
    <w:rsid w:val="00E336D6"/>
    <w:rsid w:val="00E338DE"/>
    <w:rsid w:val="00E33B6C"/>
    <w:rsid w:val="00E348ED"/>
    <w:rsid w:val="00E34948"/>
    <w:rsid w:val="00E34A7C"/>
    <w:rsid w:val="00E353D1"/>
    <w:rsid w:val="00E3575D"/>
    <w:rsid w:val="00E3671D"/>
    <w:rsid w:val="00E37569"/>
    <w:rsid w:val="00E37BE8"/>
    <w:rsid w:val="00E37E63"/>
    <w:rsid w:val="00E401B2"/>
    <w:rsid w:val="00E4039E"/>
    <w:rsid w:val="00E406A0"/>
    <w:rsid w:val="00E40737"/>
    <w:rsid w:val="00E4074A"/>
    <w:rsid w:val="00E40A0E"/>
    <w:rsid w:val="00E40D13"/>
    <w:rsid w:val="00E40D4B"/>
    <w:rsid w:val="00E416C9"/>
    <w:rsid w:val="00E41E30"/>
    <w:rsid w:val="00E426DE"/>
    <w:rsid w:val="00E42DDF"/>
    <w:rsid w:val="00E42F73"/>
    <w:rsid w:val="00E4304E"/>
    <w:rsid w:val="00E43D70"/>
    <w:rsid w:val="00E44328"/>
    <w:rsid w:val="00E4482B"/>
    <w:rsid w:val="00E44F5C"/>
    <w:rsid w:val="00E4572E"/>
    <w:rsid w:val="00E45D63"/>
    <w:rsid w:val="00E4632B"/>
    <w:rsid w:val="00E466F3"/>
    <w:rsid w:val="00E467FA"/>
    <w:rsid w:val="00E46D3C"/>
    <w:rsid w:val="00E46DD8"/>
    <w:rsid w:val="00E47403"/>
    <w:rsid w:val="00E47B2C"/>
    <w:rsid w:val="00E50107"/>
    <w:rsid w:val="00E513EF"/>
    <w:rsid w:val="00E51560"/>
    <w:rsid w:val="00E52141"/>
    <w:rsid w:val="00E528FD"/>
    <w:rsid w:val="00E530F8"/>
    <w:rsid w:val="00E53704"/>
    <w:rsid w:val="00E537E2"/>
    <w:rsid w:val="00E53C7B"/>
    <w:rsid w:val="00E53FC8"/>
    <w:rsid w:val="00E540FB"/>
    <w:rsid w:val="00E54347"/>
    <w:rsid w:val="00E5437B"/>
    <w:rsid w:val="00E544C6"/>
    <w:rsid w:val="00E5474A"/>
    <w:rsid w:val="00E54785"/>
    <w:rsid w:val="00E55424"/>
    <w:rsid w:val="00E55915"/>
    <w:rsid w:val="00E55BB5"/>
    <w:rsid w:val="00E55E00"/>
    <w:rsid w:val="00E56296"/>
    <w:rsid w:val="00E564F8"/>
    <w:rsid w:val="00E56E00"/>
    <w:rsid w:val="00E576A7"/>
    <w:rsid w:val="00E57D96"/>
    <w:rsid w:val="00E60823"/>
    <w:rsid w:val="00E61622"/>
    <w:rsid w:val="00E61941"/>
    <w:rsid w:val="00E6258C"/>
    <w:rsid w:val="00E629E8"/>
    <w:rsid w:val="00E62E1C"/>
    <w:rsid w:val="00E63AFE"/>
    <w:rsid w:val="00E63CFF"/>
    <w:rsid w:val="00E64277"/>
    <w:rsid w:val="00E64FD3"/>
    <w:rsid w:val="00E65E79"/>
    <w:rsid w:val="00E66A4C"/>
    <w:rsid w:val="00E66BA2"/>
    <w:rsid w:val="00E67416"/>
    <w:rsid w:val="00E6744C"/>
    <w:rsid w:val="00E6782B"/>
    <w:rsid w:val="00E70485"/>
    <w:rsid w:val="00E706B5"/>
    <w:rsid w:val="00E706EA"/>
    <w:rsid w:val="00E70B16"/>
    <w:rsid w:val="00E70DCE"/>
    <w:rsid w:val="00E718B6"/>
    <w:rsid w:val="00E723BA"/>
    <w:rsid w:val="00E72EA8"/>
    <w:rsid w:val="00E73461"/>
    <w:rsid w:val="00E73581"/>
    <w:rsid w:val="00E73741"/>
    <w:rsid w:val="00E73759"/>
    <w:rsid w:val="00E750E4"/>
    <w:rsid w:val="00E754CC"/>
    <w:rsid w:val="00E755E1"/>
    <w:rsid w:val="00E7572F"/>
    <w:rsid w:val="00E75743"/>
    <w:rsid w:val="00E75920"/>
    <w:rsid w:val="00E75D12"/>
    <w:rsid w:val="00E76080"/>
    <w:rsid w:val="00E76CD5"/>
    <w:rsid w:val="00E7737B"/>
    <w:rsid w:val="00E77BEF"/>
    <w:rsid w:val="00E80AC7"/>
    <w:rsid w:val="00E80DBA"/>
    <w:rsid w:val="00E81961"/>
    <w:rsid w:val="00E81FA7"/>
    <w:rsid w:val="00E824FB"/>
    <w:rsid w:val="00E82717"/>
    <w:rsid w:val="00E833F7"/>
    <w:rsid w:val="00E83BDF"/>
    <w:rsid w:val="00E83D92"/>
    <w:rsid w:val="00E83F27"/>
    <w:rsid w:val="00E84F59"/>
    <w:rsid w:val="00E857F0"/>
    <w:rsid w:val="00E85937"/>
    <w:rsid w:val="00E86659"/>
    <w:rsid w:val="00E86ACF"/>
    <w:rsid w:val="00E86C3A"/>
    <w:rsid w:val="00E86C98"/>
    <w:rsid w:val="00E879E2"/>
    <w:rsid w:val="00E87A1D"/>
    <w:rsid w:val="00E87A4C"/>
    <w:rsid w:val="00E87F74"/>
    <w:rsid w:val="00E9056E"/>
    <w:rsid w:val="00E9094A"/>
    <w:rsid w:val="00E90A12"/>
    <w:rsid w:val="00E90D50"/>
    <w:rsid w:val="00E9104A"/>
    <w:rsid w:val="00E91357"/>
    <w:rsid w:val="00E91D35"/>
    <w:rsid w:val="00E92374"/>
    <w:rsid w:val="00E926A5"/>
    <w:rsid w:val="00E92AD4"/>
    <w:rsid w:val="00E95DC1"/>
    <w:rsid w:val="00E960C2"/>
    <w:rsid w:val="00E960CF"/>
    <w:rsid w:val="00E9614B"/>
    <w:rsid w:val="00E96201"/>
    <w:rsid w:val="00E9623D"/>
    <w:rsid w:val="00E96BCD"/>
    <w:rsid w:val="00E96BFB"/>
    <w:rsid w:val="00E96CE6"/>
    <w:rsid w:val="00E96E73"/>
    <w:rsid w:val="00E97354"/>
    <w:rsid w:val="00EA0DAA"/>
    <w:rsid w:val="00EA1141"/>
    <w:rsid w:val="00EA1292"/>
    <w:rsid w:val="00EA17C3"/>
    <w:rsid w:val="00EA17E2"/>
    <w:rsid w:val="00EA2CAA"/>
    <w:rsid w:val="00EA36F6"/>
    <w:rsid w:val="00EA3864"/>
    <w:rsid w:val="00EA3D01"/>
    <w:rsid w:val="00EA3E19"/>
    <w:rsid w:val="00EA4049"/>
    <w:rsid w:val="00EA40FA"/>
    <w:rsid w:val="00EA4642"/>
    <w:rsid w:val="00EA49D5"/>
    <w:rsid w:val="00EA55F7"/>
    <w:rsid w:val="00EA58A4"/>
    <w:rsid w:val="00EA5B1D"/>
    <w:rsid w:val="00EA5E06"/>
    <w:rsid w:val="00EA68A5"/>
    <w:rsid w:val="00EA7F1C"/>
    <w:rsid w:val="00EB0987"/>
    <w:rsid w:val="00EB0B79"/>
    <w:rsid w:val="00EB115C"/>
    <w:rsid w:val="00EB15B6"/>
    <w:rsid w:val="00EB1FAB"/>
    <w:rsid w:val="00EB2125"/>
    <w:rsid w:val="00EB229D"/>
    <w:rsid w:val="00EB284C"/>
    <w:rsid w:val="00EB2A27"/>
    <w:rsid w:val="00EB2E16"/>
    <w:rsid w:val="00EB2E75"/>
    <w:rsid w:val="00EB302F"/>
    <w:rsid w:val="00EB3D06"/>
    <w:rsid w:val="00EB4916"/>
    <w:rsid w:val="00EB4DAB"/>
    <w:rsid w:val="00EB515A"/>
    <w:rsid w:val="00EB5613"/>
    <w:rsid w:val="00EB579F"/>
    <w:rsid w:val="00EB57B7"/>
    <w:rsid w:val="00EB57B8"/>
    <w:rsid w:val="00EB5B7B"/>
    <w:rsid w:val="00EB5D84"/>
    <w:rsid w:val="00EB61C3"/>
    <w:rsid w:val="00EB670B"/>
    <w:rsid w:val="00EB6A56"/>
    <w:rsid w:val="00EB75EE"/>
    <w:rsid w:val="00EB7B56"/>
    <w:rsid w:val="00EB7F2E"/>
    <w:rsid w:val="00EC00C9"/>
    <w:rsid w:val="00EC0D18"/>
    <w:rsid w:val="00EC0DD9"/>
    <w:rsid w:val="00EC11CF"/>
    <w:rsid w:val="00EC1B9E"/>
    <w:rsid w:val="00EC1C8B"/>
    <w:rsid w:val="00EC1E5E"/>
    <w:rsid w:val="00EC2649"/>
    <w:rsid w:val="00EC31ED"/>
    <w:rsid w:val="00EC348D"/>
    <w:rsid w:val="00EC5085"/>
    <w:rsid w:val="00EC51BC"/>
    <w:rsid w:val="00EC5368"/>
    <w:rsid w:val="00EC549B"/>
    <w:rsid w:val="00EC56D8"/>
    <w:rsid w:val="00EC5836"/>
    <w:rsid w:val="00EC5C31"/>
    <w:rsid w:val="00EC67A0"/>
    <w:rsid w:val="00EC688C"/>
    <w:rsid w:val="00EC734A"/>
    <w:rsid w:val="00EC734E"/>
    <w:rsid w:val="00ED120A"/>
    <w:rsid w:val="00ED1F29"/>
    <w:rsid w:val="00ED1F86"/>
    <w:rsid w:val="00ED2088"/>
    <w:rsid w:val="00ED237E"/>
    <w:rsid w:val="00ED3058"/>
    <w:rsid w:val="00ED33DE"/>
    <w:rsid w:val="00ED3442"/>
    <w:rsid w:val="00ED3970"/>
    <w:rsid w:val="00ED3D88"/>
    <w:rsid w:val="00ED3EAD"/>
    <w:rsid w:val="00ED4027"/>
    <w:rsid w:val="00ED4AE7"/>
    <w:rsid w:val="00ED57EA"/>
    <w:rsid w:val="00ED5BD4"/>
    <w:rsid w:val="00ED5FF0"/>
    <w:rsid w:val="00ED65FD"/>
    <w:rsid w:val="00ED7AC0"/>
    <w:rsid w:val="00EE052D"/>
    <w:rsid w:val="00EE07D3"/>
    <w:rsid w:val="00EE0DC3"/>
    <w:rsid w:val="00EE0EFE"/>
    <w:rsid w:val="00EE1875"/>
    <w:rsid w:val="00EE1996"/>
    <w:rsid w:val="00EE1C01"/>
    <w:rsid w:val="00EE1D43"/>
    <w:rsid w:val="00EE22AF"/>
    <w:rsid w:val="00EE27F1"/>
    <w:rsid w:val="00EE2857"/>
    <w:rsid w:val="00EE34A1"/>
    <w:rsid w:val="00EE3E5E"/>
    <w:rsid w:val="00EE4E84"/>
    <w:rsid w:val="00EE60ED"/>
    <w:rsid w:val="00EE61D5"/>
    <w:rsid w:val="00EE6568"/>
    <w:rsid w:val="00EE687F"/>
    <w:rsid w:val="00EE6F2B"/>
    <w:rsid w:val="00EE7A58"/>
    <w:rsid w:val="00EF0171"/>
    <w:rsid w:val="00EF09FD"/>
    <w:rsid w:val="00EF0C5C"/>
    <w:rsid w:val="00EF0D61"/>
    <w:rsid w:val="00EF0D87"/>
    <w:rsid w:val="00EF1466"/>
    <w:rsid w:val="00EF1B25"/>
    <w:rsid w:val="00EF1B72"/>
    <w:rsid w:val="00EF1D18"/>
    <w:rsid w:val="00EF1DA0"/>
    <w:rsid w:val="00EF25B3"/>
    <w:rsid w:val="00EF282E"/>
    <w:rsid w:val="00EF4747"/>
    <w:rsid w:val="00EF4A52"/>
    <w:rsid w:val="00EF4BF8"/>
    <w:rsid w:val="00EF5057"/>
    <w:rsid w:val="00EF56A0"/>
    <w:rsid w:val="00EF6182"/>
    <w:rsid w:val="00EF61C4"/>
    <w:rsid w:val="00F009E6"/>
    <w:rsid w:val="00F00B04"/>
    <w:rsid w:val="00F0112D"/>
    <w:rsid w:val="00F013C7"/>
    <w:rsid w:val="00F02253"/>
    <w:rsid w:val="00F023AE"/>
    <w:rsid w:val="00F02F84"/>
    <w:rsid w:val="00F03C2E"/>
    <w:rsid w:val="00F041C8"/>
    <w:rsid w:val="00F0462B"/>
    <w:rsid w:val="00F04A66"/>
    <w:rsid w:val="00F04AB6"/>
    <w:rsid w:val="00F04B4B"/>
    <w:rsid w:val="00F0516C"/>
    <w:rsid w:val="00F05E0B"/>
    <w:rsid w:val="00F0640A"/>
    <w:rsid w:val="00F067A2"/>
    <w:rsid w:val="00F067BA"/>
    <w:rsid w:val="00F06DA2"/>
    <w:rsid w:val="00F06E97"/>
    <w:rsid w:val="00F07378"/>
    <w:rsid w:val="00F07B9E"/>
    <w:rsid w:val="00F07BED"/>
    <w:rsid w:val="00F07F03"/>
    <w:rsid w:val="00F10409"/>
    <w:rsid w:val="00F107E6"/>
    <w:rsid w:val="00F10825"/>
    <w:rsid w:val="00F10F7C"/>
    <w:rsid w:val="00F1116F"/>
    <w:rsid w:val="00F1138D"/>
    <w:rsid w:val="00F1243B"/>
    <w:rsid w:val="00F1263A"/>
    <w:rsid w:val="00F126B0"/>
    <w:rsid w:val="00F13412"/>
    <w:rsid w:val="00F140AA"/>
    <w:rsid w:val="00F146DC"/>
    <w:rsid w:val="00F14B47"/>
    <w:rsid w:val="00F14BD9"/>
    <w:rsid w:val="00F15B77"/>
    <w:rsid w:val="00F15EF2"/>
    <w:rsid w:val="00F17E0E"/>
    <w:rsid w:val="00F20836"/>
    <w:rsid w:val="00F20AB0"/>
    <w:rsid w:val="00F214C5"/>
    <w:rsid w:val="00F215AE"/>
    <w:rsid w:val="00F22998"/>
    <w:rsid w:val="00F22999"/>
    <w:rsid w:val="00F229E3"/>
    <w:rsid w:val="00F22B03"/>
    <w:rsid w:val="00F22C84"/>
    <w:rsid w:val="00F23977"/>
    <w:rsid w:val="00F23A6B"/>
    <w:rsid w:val="00F23D8E"/>
    <w:rsid w:val="00F240FA"/>
    <w:rsid w:val="00F24517"/>
    <w:rsid w:val="00F24837"/>
    <w:rsid w:val="00F2542B"/>
    <w:rsid w:val="00F2575F"/>
    <w:rsid w:val="00F25A56"/>
    <w:rsid w:val="00F27458"/>
    <w:rsid w:val="00F27565"/>
    <w:rsid w:val="00F27B1D"/>
    <w:rsid w:val="00F30380"/>
    <w:rsid w:val="00F30737"/>
    <w:rsid w:val="00F310D4"/>
    <w:rsid w:val="00F31103"/>
    <w:rsid w:val="00F311E1"/>
    <w:rsid w:val="00F31AF7"/>
    <w:rsid w:val="00F31D5A"/>
    <w:rsid w:val="00F3264E"/>
    <w:rsid w:val="00F32998"/>
    <w:rsid w:val="00F32C41"/>
    <w:rsid w:val="00F33244"/>
    <w:rsid w:val="00F33975"/>
    <w:rsid w:val="00F33DE9"/>
    <w:rsid w:val="00F3470F"/>
    <w:rsid w:val="00F347BF"/>
    <w:rsid w:val="00F34ED8"/>
    <w:rsid w:val="00F35187"/>
    <w:rsid w:val="00F351A4"/>
    <w:rsid w:val="00F35E6D"/>
    <w:rsid w:val="00F3619A"/>
    <w:rsid w:val="00F362A4"/>
    <w:rsid w:val="00F365B0"/>
    <w:rsid w:val="00F36C7E"/>
    <w:rsid w:val="00F406C5"/>
    <w:rsid w:val="00F40AAA"/>
    <w:rsid w:val="00F40BA7"/>
    <w:rsid w:val="00F40C77"/>
    <w:rsid w:val="00F40F77"/>
    <w:rsid w:val="00F40F9D"/>
    <w:rsid w:val="00F41506"/>
    <w:rsid w:val="00F41886"/>
    <w:rsid w:val="00F4188A"/>
    <w:rsid w:val="00F41ACD"/>
    <w:rsid w:val="00F4236C"/>
    <w:rsid w:val="00F429F4"/>
    <w:rsid w:val="00F43116"/>
    <w:rsid w:val="00F43344"/>
    <w:rsid w:val="00F43D64"/>
    <w:rsid w:val="00F43E64"/>
    <w:rsid w:val="00F4423B"/>
    <w:rsid w:val="00F455BE"/>
    <w:rsid w:val="00F45D39"/>
    <w:rsid w:val="00F4634C"/>
    <w:rsid w:val="00F46CB6"/>
    <w:rsid w:val="00F4756D"/>
    <w:rsid w:val="00F47DE8"/>
    <w:rsid w:val="00F505D4"/>
    <w:rsid w:val="00F50955"/>
    <w:rsid w:val="00F5204D"/>
    <w:rsid w:val="00F5421A"/>
    <w:rsid w:val="00F5421D"/>
    <w:rsid w:val="00F542C1"/>
    <w:rsid w:val="00F54B9C"/>
    <w:rsid w:val="00F55D49"/>
    <w:rsid w:val="00F55E73"/>
    <w:rsid w:val="00F55EDA"/>
    <w:rsid w:val="00F563F7"/>
    <w:rsid w:val="00F56C5C"/>
    <w:rsid w:val="00F56C80"/>
    <w:rsid w:val="00F56D82"/>
    <w:rsid w:val="00F56D9D"/>
    <w:rsid w:val="00F57108"/>
    <w:rsid w:val="00F57BE2"/>
    <w:rsid w:val="00F57DAD"/>
    <w:rsid w:val="00F57E86"/>
    <w:rsid w:val="00F60092"/>
    <w:rsid w:val="00F609F5"/>
    <w:rsid w:val="00F60BC7"/>
    <w:rsid w:val="00F613C2"/>
    <w:rsid w:val="00F61C18"/>
    <w:rsid w:val="00F61F85"/>
    <w:rsid w:val="00F64079"/>
    <w:rsid w:val="00F643BB"/>
    <w:rsid w:val="00F6501D"/>
    <w:rsid w:val="00F65F4B"/>
    <w:rsid w:val="00F66E5A"/>
    <w:rsid w:val="00F67A69"/>
    <w:rsid w:val="00F67E11"/>
    <w:rsid w:val="00F70870"/>
    <w:rsid w:val="00F7094C"/>
    <w:rsid w:val="00F70BFF"/>
    <w:rsid w:val="00F70C9D"/>
    <w:rsid w:val="00F71EDE"/>
    <w:rsid w:val="00F721C7"/>
    <w:rsid w:val="00F72BBC"/>
    <w:rsid w:val="00F738DD"/>
    <w:rsid w:val="00F73964"/>
    <w:rsid w:val="00F73B5C"/>
    <w:rsid w:val="00F740F4"/>
    <w:rsid w:val="00F74428"/>
    <w:rsid w:val="00F74CD9"/>
    <w:rsid w:val="00F75604"/>
    <w:rsid w:val="00F75919"/>
    <w:rsid w:val="00F75A39"/>
    <w:rsid w:val="00F75B24"/>
    <w:rsid w:val="00F80197"/>
    <w:rsid w:val="00F801A5"/>
    <w:rsid w:val="00F801C9"/>
    <w:rsid w:val="00F80A56"/>
    <w:rsid w:val="00F80A7B"/>
    <w:rsid w:val="00F80E5D"/>
    <w:rsid w:val="00F81BD0"/>
    <w:rsid w:val="00F81E78"/>
    <w:rsid w:val="00F82F50"/>
    <w:rsid w:val="00F83267"/>
    <w:rsid w:val="00F835A7"/>
    <w:rsid w:val="00F83DBE"/>
    <w:rsid w:val="00F851CE"/>
    <w:rsid w:val="00F85A7D"/>
    <w:rsid w:val="00F85D57"/>
    <w:rsid w:val="00F8745A"/>
    <w:rsid w:val="00F877AA"/>
    <w:rsid w:val="00F878C6"/>
    <w:rsid w:val="00F91219"/>
    <w:rsid w:val="00F918CC"/>
    <w:rsid w:val="00F91A4A"/>
    <w:rsid w:val="00F91A66"/>
    <w:rsid w:val="00F92444"/>
    <w:rsid w:val="00F92F9B"/>
    <w:rsid w:val="00F933FC"/>
    <w:rsid w:val="00F9393E"/>
    <w:rsid w:val="00F93B4A"/>
    <w:rsid w:val="00F94C6F"/>
    <w:rsid w:val="00F955F5"/>
    <w:rsid w:val="00F95879"/>
    <w:rsid w:val="00F96159"/>
    <w:rsid w:val="00F96E2D"/>
    <w:rsid w:val="00F96FD0"/>
    <w:rsid w:val="00F97423"/>
    <w:rsid w:val="00F977BB"/>
    <w:rsid w:val="00F978A8"/>
    <w:rsid w:val="00F97A78"/>
    <w:rsid w:val="00F97B28"/>
    <w:rsid w:val="00FA0486"/>
    <w:rsid w:val="00FA04B2"/>
    <w:rsid w:val="00FA04F1"/>
    <w:rsid w:val="00FA0760"/>
    <w:rsid w:val="00FA0B20"/>
    <w:rsid w:val="00FA0F68"/>
    <w:rsid w:val="00FA12EC"/>
    <w:rsid w:val="00FA14C1"/>
    <w:rsid w:val="00FA15F2"/>
    <w:rsid w:val="00FA204E"/>
    <w:rsid w:val="00FA2345"/>
    <w:rsid w:val="00FA24E7"/>
    <w:rsid w:val="00FA2698"/>
    <w:rsid w:val="00FA3197"/>
    <w:rsid w:val="00FA4243"/>
    <w:rsid w:val="00FA44C0"/>
    <w:rsid w:val="00FA44FA"/>
    <w:rsid w:val="00FA53BA"/>
    <w:rsid w:val="00FA5EE6"/>
    <w:rsid w:val="00FA6538"/>
    <w:rsid w:val="00FA6D1E"/>
    <w:rsid w:val="00FA75FE"/>
    <w:rsid w:val="00FA7956"/>
    <w:rsid w:val="00FA7FAF"/>
    <w:rsid w:val="00FB02F1"/>
    <w:rsid w:val="00FB07D2"/>
    <w:rsid w:val="00FB096E"/>
    <w:rsid w:val="00FB2EF4"/>
    <w:rsid w:val="00FB2FCB"/>
    <w:rsid w:val="00FB33D6"/>
    <w:rsid w:val="00FB349E"/>
    <w:rsid w:val="00FB3576"/>
    <w:rsid w:val="00FB3653"/>
    <w:rsid w:val="00FB436F"/>
    <w:rsid w:val="00FB4B83"/>
    <w:rsid w:val="00FB4F1E"/>
    <w:rsid w:val="00FB6117"/>
    <w:rsid w:val="00FB6312"/>
    <w:rsid w:val="00FB651E"/>
    <w:rsid w:val="00FB66E0"/>
    <w:rsid w:val="00FB6DF3"/>
    <w:rsid w:val="00FB6FDE"/>
    <w:rsid w:val="00FB79A9"/>
    <w:rsid w:val="00FB7A35"/>
    <w:rsid w:val="00FB7C55"/>
    <w:rsid w:val="00FC005C"/>
    <w:rsid w:val="00FC09C2"/>
    <w:rsid w:val="00FC1074"/>
    <w:rsid w:val="00FC1884"/>
    <w:rsid w:val="00FC24B5"/>
    <w:rsid w:val="00FC2832"/>
    <w:rsid w:val="00FC2A91"/>
    <w:rsid w:val="00FC2AAE"/>
    <w:rsid w:val="00FC3369"/>
    <w:rsid w:val="00FC371D"/>
    <w:rsid w:val="00FC3CBC"/>
    <w:rsid w:val="00FC3E2B"/>
    <w:rsid w:val="00FC4613"/>
    <w:rsid w:val="00FC5F0B"/>
    <w:rsid w:val="00FC655F"/>
    <w:rsid w:val="00FC71B3"/>
    <w:rsid w:val="00FC74AC"/>
    <w:rsid w:val="00FC7902"/>
    <w:rsid w:val="00FD022E"/>
    <w:rsid w:val="00FD03AC"/>
    <w:rsid w:val="00FD06D6"/>
    <w:rsid w:val="00FD198F"/>
    <w:rsid w:val="00FD1ADC"/>
    <w:rsid w:val="00FD2100"/>
    <w:rsid w:val="00FD36CF"/>
    <w:rsid w:val="00FD3AEA"/>
    <w:rsid w:val="00FD4179"/>
    <w:rsid w:val="00FD433E"/>
    <w:rsid w:val="00FD436C"/>
    <w:rsid w:val="00FD446D"/>
    <w:rsid w:val="00FD4F2C"/>
    <w:rsid w:val="00FD58DF"/>
    <w:rsid w:val="00FD59CB"/>
    <w:rsid w:val="00FD5F49"/>
    <w:rsid w:val="00FD613F"/>
    <w:rsid w:val="00FD6394"/>
    <w:rsid w:val="00FD6618"/>
    <w:rsid w:val="00FD6889"/>
    <w:rsid w:val="00FD6DAD"/>
    <w:rsid w:val="00FD76CD"/>
    <w:rsid w:val="00FD7EAE"/>
    <w:rsid w:val="00FE05F7"/>
    <w:rsid w:val="00FE0E6C"/>
    <w:rsid w:val="00FE1711"/>
    <w:rsid w:val="00FE1CDC"/>
    <w:rsid w:val="00FE1F1E"/>
    <w:rsid w:val="00FE2166"/>
    <w:rsid w:val="00FE23BF"/>
    <w:rsid w:val="00FE2980"/>
    <w:rsid w:val="00FE2A60"/>
    <w:rsid w:val="00FE2CF8"/>
    <w:rsid w:val="00FE368A"/>
    <w:rsid w:val="00FE3FD9"/>
    <w:rsid w:val="00FE4318"/>
    <w:rsid w:val="00FE51F3"/>
    <w:rsid w:val="00FE5A77"/>
    <w:rsid w:val="00FE5E0A"/>
    <w:rsid w:val="00FE6A02"/>
    <w:rsid w:val="00FE70C3"/>
    <w:rsid w:val="00FE79DF"/>
    <w:rsid w:val="00FE7AD7"/>
    <w:rsid w:val="00FF1847"/>
    <w:rsid w:val="00FF1F11"/>
    <w:rsid w:val="00FF1F85"/>
    <w:rsid w:val="00FF2AD9"/>
    <w:rsid w:val="00FF2F7D"/>
    <w:rsid w:val="00FF359F"/>
    <w:rsid w:val="00FF39B7"/>
    <w:rsid w:val="00FF3B42"/>
    <w:rsid w:val="00FF3DCF"/>
    <w:rsid w:val="00FF3E63"/>
    <w:rsid w:val="00FF47FE"/>
    <w:rsid w:val="00FF492C"/>
    <w:rsid w:val="00FF4A21"/>
    <w:rsid w:val="00FF4F70"/>
    <w:rsid w:val="00FF5149"/>
    <w:rsid w:val="00FF543C"/>
    <w:rsid w:val="00FF552B"/>
    <w:rsid w:val="00FF5AA3"/>
    <w:rsid w:val="00FF5AD8"/>
    <w:rsid w:val="00FF6182"/>
    <w:rsid w:val="00FF6667"/>
    <w:rsid w:val="00FF7261"/>
    <w:rsid w:val="00FF72CA"/>
    <w:rsid w:val="00FF75F0"/>
    <w:rsid w:val="00FF7E6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0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8C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
    <w:basedOn w:val="TableNormal"/>
    <w:uiPriority w:val="9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character" w:customStyle="1" w:styleId="TablenotesChar">
    <w:name w:val="Table notes Char"/>
    <w:basedOn w:val="DefaultParagraphFont"/>
    <w:link w:val="Tablenotes"/>
    <w:locked/>
    <w:rsid w:val="00E21EC2"/>
    <w:rPr>
      <w:rFonts w:ascii="Trebuchet MS" w:hAnsi="Trebuchet MS"/>
      <w:sz w:val="16"/>
    </w:rPr>
  </w:style>
  <w:style w:type="paragraph" w:customStyle="1" w:styleId="Tablenotes">
    <w:name w:val="Table notes"/>
    <w:basedOn w:val="Normal"/>
    <w:link w:val="TablenotesChar"/>
    <w:qFormat/>
    <w:rsid w:val="00E21EC2"/>
    <w:pPr>
      <w:spacing w:after="240"/>
      <w:contextualSpacing/>
      <w:jc w:val="left"/>
    </w:pPr>
    <w:rPr>
      <w:rFonts w:ascii="Trebuchet MS" w:hAnsi="Trebuchet MS" w:cs="Times New Roman"/>
      <w:sz w:val="16"/>
      <w:szCs w:val="20"/>
    </w:rPr>
  </w:style>
  <w:style w:type="table" w:styleId="TableGridLight">
    <w:name w:val="Grid Table Light"/>
    <w:basedOn w:val="TableNormal"/>
    <w:uiPriority w:val="40"/>
    <w:rsid w:val="00E21E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50InstructionsChar">
    <w:name w:val="V5.0 Instructions Char"/>
    <w:basedOn w:val="DefaultParagraphFont"/>
    <w:link w:val="V50Instructions"/>
    <w:locked/>
    <w:rsid w:val="00243C27"/>
    <w:rPr>
      <w:rFonts w:asciiTheme="minorHAnsi" w:eastAsiaTheme="minorHAnsi" w:hAnsiTheme="minorHAnsi" w:cstheme="minorBidi"/>
      <w:color w:val="4BACC6" w:themeColor="accent5"/>
      <w:sz w:val="24"/>
      <w:szCs w:val="22"/>
      <w:lang w:eastAsia="en-US"/>
    </w:rPr>
  </w:style>
  <w:style w:type="paragraph" w:customStyle="1" w:styleId="V50Instructions">
    <w:name w:val="V5.0 Instructions"/>
    <w:basedOn w:val="Normal"/>
    <w:link w:val="V50InstructionsChar"/>
    <w:qFormat/>
    <w:rsid w:val="00243C27"/>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Heading4Char">
    <w:name w:val="Heading 4 Char"/>
    <w:basedOn w:val="DefaultParagraphFont"/>
    <w:link w:val="Heading4"/>
    <w:rsid w:val="00F70870"/>
    <w:rPr>
      <w:rFonts w:ascii="Calibri" w:hAnsi="Calibri" w:cs="Arial"/>
      <w:b/>
      <w:bCs/>
      <w:i/>
      <w:sz w:val="26"/>
      <w:szCs w:val="28"/>
    </w:rPr>
  </w:style>
  <w:style w:type="character" w:customStyle="1" w:styleId="UnresolvedMention1">
    <w:name w:val="Unresolved Mention1"/>
    <w:basedOn w:val="DefaultParagraphFont"/>
    <w:uiPriority w:val="99"/>
    <w:semiHidden/>
    <w:unhideWhenUsed/>
    <w:rsid w:val="00383209"/>
    <w:rPr>
      <w:color w:val="605E5C"/>
      <w:shd w:val="clear" w:color="auto" w:fill="E1DFDD"/>
    </w:rPr>
  </w:style>
  <w:style w:type="paragraph" w:customStyle="1" w:styleId="Default">
    <w:name w:val="Default"/>
    <w:rsid w:val="00523489"/>
    <w:pPr>
      <w:autoSpaceDE w:val="0"/>
      <w:autoSpaceDN w:val="0"/>
      <w:adjustRightInd w:val="0"/>
    </w:pPr>
    <w:rPr>
      <w:color w:val="000000"/>
      <w:sz w:val="24"/>
      <w:szCs w:val="24"/>
      <w:lang w:val="en-US"/>
    </w:rPr>
  </w:style>
  <w:style w:type="paragraph" w:customStyle="1" w:styleId="TableHeading0">
    <w:name w:val="Table Heading"/>
    <w:basedOn w:val="Normal"/>
    <w:qFormat/>
    <w:rsid w:val="004E7CAE"/>
    <w:pPr>
      <w:keepNext/>
      <w:spacing w:after="60"/>
      <w:jc w:val="left"/>
    </w:pPr>
    <w:rPr>
      <w:rFonts w:ascii="Arial Narrow" w:eastAsiaTheme="minorHAnsi" w:hAnsi="Arial Narrow" w:cstheme="minorBidi"/>
      <w:b/>
      <w:sz w:val="20"/>
      <w:szCs w:val="22"/>
      <w:lang w:eastAsia="en-US"/>
    </w:rPr>
  </w:style>
  <w:style w:type="paragraph" w:customStyle="1" w:styleId="3Bodytext">
    <w:name w:val="3. Body text"/>
    <w:basedOn w:val="ListParagraph"/>
    <w:link w:val="3BodytextChar"/>
    <w:qFormat/>
    <w:rsid w:val="00D74D74"/>
    <w:pPr>
      <w:ind w:left="720" w:hanging="720"/>
      <w:jc w:val="left"/>
    </w:pPr>
    <w:rPr>
      <w:rFonts w:cstheme="minorBidi"/>
      <w:snapToGrid/>
      <w:szCs w:val="22"/>
    </w:rPr>
  </w:style>
  <w:style w:type="character" w:customStyle="1" w:styleId="3BodytextChar">
    <w:name w:val="3. Body text Char"/>
    <w:basedOn w:val="ListParagraphChar"/>
    <w:link w:val="3Bodytext"/>
    <w:rsid w:val="00D74D74"/>
    <w:rPr>
      <w:rFonts w:asciiTheme="minorHAnsi" w:hAnsiTheme="minorHAnsi" w:cstheme="minorBidi"/>
      <w:snapToGrid/>
      <w:sz w:val="24"/>
      <w:szCs w:val="22"/>
    </w:rPr>
  </w:style>
  <w:style w:type="paragraph" w:customStyle="1" w:styleId="Tabletextleft">
    <w:name w:val="Table text left"/>
    <w:basedOn w:val="Normal"/>
    <w:link w:val="TabletextleftChar"/>
    <w:qFormat/>
    <w:rsid w:val="00D74D74"/>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D74D74"/>
    <w:rPr>
      <w:rFonts w:asciiTheme="minorHAnsi" w:hAnsiTheme="minorHAnsi"/>
      <w:sz w:val="18"/>
    </w:rPr>
  </w:style>
  <w:style w:type="paragraph" w:customStyle="1" w:styleId="TableHeadingleft">
    <w:name w:val="Table Heading left"/>
    <w:basedOn w:val="Normal"/>
    <w:next w:val="Tabletextleft"/>
    <w:qFormat/>
    <w:rsid w:val="00D74D74"/>
    <w:pPr>
      <w:keepNext/>
      <w:spacing w:before="40" w:after="40"/>
      <w:jc w:val="left"/>
    </w:pPr>
    <w:rPr>
      <w:rFonts w:asciiTheme="minorHAnsi" w:eastAsiaTheme="minorHAnsi" w:hAnsiTheme="minorHAnsi" w:cs="Tahoma"/>
      <w:b/>
      <w:sz w:val="18"/>
      <w:szCs w:val="18"/>
      <w:lang w:val="de-DE" w:eastAsia="en-US"/>
    </w:rPr>
  </w:style>
  <w:style w:type="paragraph" w:styleId="FootnoteText">
    <w:name w:val="footnote text"/>
    <w:basedOn w:val="Normal"/>
    <w:link w:val="FootnoteTextChar"/>
    <w:semiHidden/>
    <w:unhideWhenUsed/>
    <w:rsid w:val="000A2907"/>
    <w:rPr>
      <w:rFonts w:eastAsia="Batang"/>
      <w:sz w:val="20"/>
      <w:szCs w:val="20"/>
    </w:rPr>
  </w:style>
  <w:style w:type="character" w:customStyle="1" w:styleId="FootnoteTextChar">
    <w:name w:val="Footnote Text Char"/>
    <w:basedOn w:val="DefaultParagraphFont"/>
    <w:link w:val="FootnoteText"/>
    <w:semiHidden/>
    <w:rsid w:val="000A2907"/>
    <w:rPr>
      <w:rFonts w:ascii="Calibri" w:eastAsia="Batang" w:hAnsi="Calibri" w:cs="Arial"/>
    </w:rPr>
  </w:style>
  <w:style w:type="character" w:styleId="FootnoteReference">
    <w:name w:val="footnote reference"/>
    <w:basedOn w:val="DefaultParagraphFont"/>
    <w:semiHidden/>
    <w:unhideWhenUsed/>
    <w:rsid w:val="000A2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754">
      <w:bodyDiv w:val="1"/>
      <w:marLeft w:val="0"/>
      <w:marRight w:val="0"/>
      <w:marTop w:val="0"/>
      <w:marBottom w:val="0"/>
      <w:divBdr>
        <w:top w:val="none" w:sz="0" w:space="0" w:color="auto"/>
        <w:left w:val="none" w:sz="0" w:space="0" w:color="auto"/>
        <w:bottom w:val="none" w:sz="0" w:space="0" w:color="auto"/>
        <w:right w:val="none" w:sz="0" w:space="0" w:color="auto"/>
      </w:divBdr>
    </w:div>
    <w:div w:id="27418007">
      <w:bodyDiv w:val="1"/>
      <w:marLeft w:val="0"/>
      <w:marRight w:val="0"/>
      <w:marTop w:val="0"/>
      <w:marBottom w:val="0"/>
      <w:divBdr>
        <w:top w:val="none" w:sz="0" w:space="0" w:color="auto"/>
        <w:left w:val="none" w:sz="0" w:space="0" w:color="auto"/>
        <w:bottom w:val="none" w:sz="0" w:space="0" w:color="auto"/>
        <w:right w:val="none" w:sz="0" w:space="0" w:color="auto"/>
      </w:divBdr>
    </w:div>
    <w:div w:id="4680642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6313450">
      <w:bodyDiv w:val="1"/>
      <w:marLeft w:val="0"/>
      <w:marRight w:val="0"/>
      <w:marTop w:val="0"/>
      <w:marBottom w:val="0"/>
      <w:divBdr>
        <w:top w:val="none" w:sz="0" w:space="0" w:color="auto"/>
        <w:left w:val="none" w:sz="0" w:space="0" w:color="auto"/>
        <w:bottom w:val="none" w:sz="0" w:space="0" w:color="auto"/>
        <w:right w:val="none" w:sz="0" w:space="0" w:color="auto"/>
      </w:divBdr>
    </w:div>
    <w:div w:id="110979019">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794927">
      <w:bodyDiv w:val="1"/>
      <w:marLeft w:val="0"/>
      <w:marRight w:val="0"/>
      <w:marTop w:val="0"/>
      <w:marBottom w:val="0"/>
      <w:divBdr>
        <w:top w:val="none" w:sz="0" w:space="0" w:color="auto"/>
        <w:left w:val="none" w:sz="0" w:space="0" w:color="auto"/>
        <w:bottom w:val="none" w:sz="0" w:space="0" w:color="auto"/>
        <w:right w:val="none" w:sz="0" w:space="0" w:color="auto"/>
      </w:divBdr>
    </w:div>
    <w:div w:id="155268501">
      <w:bodyDiv w:val="1"/>
      <w:marLeft w:val="0"/>
      <w:marRight w:val="0"/>
      <w:marTop w:val="0"/>
      <w:marBottom w:val="0"/>
      <w:divBdr>
        <w:top w:val="none" w:sz="0" w:space="0" w:color="auto"/>
        <w:left w:val="none" w:sz="0" w:space="0" w:color="auto"/>
        <w:bottom w:val="none" w:sz="0" w:space="0" w:color="auto"/>
        <w:right w:val="none" w:sz="0" w:space="0" w:color="auto"/>
      </w:divBdr>
    </w:div>
    <w:div w:id="158859348">
      <w:bodyDiv w:val="1"/>
      <w:marLeft w:val="0"/>
      <w:marRight w:val="0"/>
      <w:marTop w:val="0"/>
      <w:marBottom w:val="0"/>
      <w:divBdr>
        <w:top w:val="none" w:sz="0" w:space="0" w:color="auto"/>
        <w:left w:val="none" w:sz="0" w:space="0" w:color="auto"/>
        <w:bottom w:val="none" w:sz="0" w:space="0" w:color="auto"/>
        <w:right w:val="none" w:sz="0" w:space="0" w:color="auto"/>
      </w:divBdr>
    </w:div>
    <w:div w:id="168524373">
      <w:bodyDiv w:val="1"/>
      <w:marLeft w:val="0"/>
      <w:marRight w:val="0"/>
      <w:marTop w:val="0"/>
      <w:marBottom w:val="0"/>
      <w:divBdr>
        <w:top w:val="none" w:sz="0" w:space="0" w:color="auto"/>
        <w:left w:val="none" w:sz="0" w:space="0" w:color="auto"/>
        <w:bottom w:val="none" w:sz="0" w:space="0" w:color="auto"/>
        <w:right w:val="none" w:sz="0" w:space="0" w:color="auto"/>
      </w:divBdr>
    </w:div>
    <w:div w:id="179244361">
      <w:bodyDiv w:val="1"/>
      <w:marLeft w:val="0"/>
      <w:marRight w:val="0"/>
      <w:marTop w:val="0"/>
      <w:marBottom w:val="0"/>
      <w:divBdr>
        <w:top w:val="none" w:sz="0" w:space="0" w:color="auto"/>
        <w:left w:val="none" w:sz="0" w:space="0" w:color="auto"/>
        <w:bottom w:val="none" w:sz="0" w:space="0" w:color="auto"/>
        <w:right w:val="none" w:sz="0" w:space="0" w:color="auto"/>
      </w:divBdr>
    </w:div>
    <w:div w:id="182789007">
      <w:bodyDiv w:val="1"/>
      <w:marLeft w:val="0"/>
      <w:marRight w:val="0"/>
      <w:marTop w:val="0"/>
      <w:marBottom w:val="0"/>
      <w:divBdr>
        <w:top w:val="none" w:sz="0" w:space="0" w:color="auto"/>
        <w:left w:val="none" w:sz="0" w:space="0" w:color="auto"/>
        <w:bottom w:val="none" w:sz="0" w:space="0" w:color="auto"/>
        <w:right w:val="none" w:sz="0" w:space="0" w:color="auto"/>
      </w:divBdr>
    </w:div>
    <w:div w:id="241723941">
      <w:bodyDiv w:val="1"/>
      <w:marLeft w:val="0"/>
      <w:marRight w:val="0"/>
      <w:marTop w:val="0"/>
      <w:marBottom w:val="0"/>
      <w:divBdr>
        <w:top w:val="none" w:sz="0" w:space="0" w:color="auto"/>
        <w:left w:val="none" w:sz="0" w:space="0" w:color="auto"/>
        <w:bottom w:val="none" w:sz="0" w:space="0" w:color="auto"/>
        <w:right w:val="none" w:sz="0" w:space="0" w:color="auto"/>
      </w:divBdr>
    </w:div>
    <w:div w:id="244803259">
      <w:bodyDiv w:val="1"/>
      <w:marLeft w:val="0"/>
      <w:marRight w:val="0"/>
      <w:marTop w:val="0"/>
      <w:marBottom w:val="0"/>
      <w:divBdr>
        <w:top w:val="none" w:sz="0" w:space="0" w:color="auto"/>
        <w:left w:val="none" w:sz="0" w:space="0" w:color="auto"/>
        <w:bottom w:val="none" w:sz="0" w:space="0" w:color="auto"/>
        <w:right w:val="none" w:sz="0" w:space="0" w:color="auto"/>
      </w:divBdr>
    </w:div>
    <w:div w:id="247273780">
      <w:bodyDiv w:val="1"/>
      <w:marLeft w:val="0"/>
      <w:marRight w:val="0"/>
      <w:marTop w:val="0"/>
      <w:marBottom w:val="0"/>
      <w:divBdr>
        <w:top w:val="none" w:sz="0" w:space="0" w:color="auto"/>
        <w:left w:val="none" w:sz="0" w:space="0" w:color="auto"/>
        <w:bottom w:val="none" w:sz="0" w:space="0" w:color="auto"/>
        <w:right w:val="none" w:sz="0" w:space="0" w:color="auto"/>
      </w:divBdr>
    </w:div>
    <w:div w:id="248002287">
      <w:bodyDiv w:val="1"/>
      <w:marLeft w:val="0"/>
      <w:marRight w:val="0"/>
      <w:marTop w:val="0"/>
      <w:marBottom w:val="0"/>
      <w:divBdr>
        <w:top w:val="none" w:sz="0" w:space="0" w:color="auto"/>
        <w:left w:val="none" w:sz="0" w:space="0" w:color="auto"/>
        <w:bottom w:val="none" w:sz="0" w:space="0" w:color="auto"/>
        <w:right w:val="none" w:sz="0" w:space="0" w:color="auto"/>
      </w:divBdr>
    </w:div>
    <w:div w:id="250235271">
      <w:bodyDiv w:val="1"/>
      <w:marLeft w:val="0"/>
      <w:marRight w:val="0"/>
      <w:marTop w:val="0"/>
      <w:marBottom w:val="0"/>
      <w:divBdr>
        <w:top w:val="none" w:sz="0" w:space="0" w:color="auto"/>
        <w:left w:val="none" w:sz="0" w:space="0" w:color="auto"/>
        <w:bottom w:val="none" w:sz="0" w:space="0" w:color="auto"/>
        <w:right w:val="none" w:sz="0" w:space="0" w:color="auto"/>
      </w:divBdr>
    </w:div>
    <w:div w:id="265231128">
      <w:bodyDiv w:val="1"/>
      <w:marLeft w:val="0"/>
      <w:marRight w:val="0"/>
      <w:marTop w:val="0"/>
      <w:marBottom w:val="0"/>
      <w:divBdr>
        <w:top w:val="none" w:sz="0" w:space="0" w:color="auto"/>
        <w:left w:val="none" w:sz="0" w:space="0" w:color="auto"/>
        <w:bottom w:val="none" w:sz="0" w:space="0" w:color="auto"/>
        <w:right w:val="none" w:sz="0" w:space="0" w:color="auto"/>
      </w:divBdr>
    </w:div>
    <w:div w:id="265315301">
      <w:bodyDiv w:val="1"/>
      <w:marLeft w:val="0"/>
      <w:marRight w:val="0"/>
      <w:marTop w:val="0"/>
      <w:marBottom w:val="0"/>
      <w:divBdr>
        <w:top w:val="none" w:sz="0" w:space="0" w:color="auto"/>
        <w:left w:val="none" w:sz="0" w:space="0" w:color="auto"/>
        <w:bottom w:val="none" w:sz="0" w:space="0" w:color="auto"/>
        <w:right w:val="none" w:sz="0" w:space="0" w:color="auto"/>
      </w:divBdr>
    </w:div>
    <w:div w:id="28935930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3505170">
      <w:bodyDiv w:val="1"/>
      <w:marLeft w:val="0"/>
      <w:marRight w:val="0"/>
      <w:marTop w:val="0"/>
      <w:marBottom w:val="0"/>
      <w:divBdr>
        <w:top w:val="none" w:sz="0" w:space="0" w:color="auto"/>
        <w:left w:val="none" w:sz="0" w:space="0" w:color="auto"/>
        <w:bottom w:val="none" w:sz="0" w:space="0" w:color="auto"/>
        <w:right w:val="none" w:sz="0" w:space="0" w:color="auto"/>
      </w:divBdr>
    </w:div>
    <w:div w:id="362100332">
      <w:bodyDiv w:val="1"/>
      <w:marLeft w:val="0"/>
      <w:marRight w:val="0"/>
      <w:marTop w:val="0"/>
      <w:marBottom w:val="0"/>
      <w:divBdr>
        <w:top w:val="none" w:sz="0" w:space="0" w:color="auto"/>
        <w:left w:val="none" w:sz="0" w:space="0" w:color="auto"/>
        <w:bottom w:val="none" w:sz="0" w:space="0" w:color="auto"/>
        <w:right w:val="none" w:sz="0" w:space="0" w:color="auto"/>
      </w:divBdr>
    </w:div>
    <w:div w:id="366223600">
      <w:bodyDiv w:val="1"/>
      <w:marLeft w:val="0"/>
      <w:marRight w:val="0"/>
      <w:marTop w:val="0"/>
      <w:marBottom w:val="0"/>
      <w:divBdr>
        <w:top w:val="none" w:sz="0" w:space="0" w:color="auto"/>
        <w:left w:val="none" w:sz="0" w:space="0" w:color="auto"/>
        <w:bottom w:val="none" w:sz="0" w:space="0" w:color="auto"/>
        <w:right w:val="none" w:sz="0" w:space="0" w:color="auto"/>
      </w:divBdr>
    </w:div>
    <w:div w:id="367263887">
      <w:bodyDiv w:val="1"/>
      <w:marLeft w:val="0"/>
      <w:marRight w:val="0"/>
      <w:marTop w:val="0"/>
      <w:marBottom w:val="0"/>
      <w:divBdr>
        <w:top w:val="none" w:sz="0" w:space="0" w:color="auto"/>
        <w:left w:val="none" w:sz="0" w:space="0" w:color="auto"/>
        <w:bottom w:val="none" w:sz="0" w:space="0" w:color="auto"/>
        <w:right w:val="none" w:sz="0" w:space="0" w:color="auto"/>
      </w:divBdr>
    </w:div>
    <w:div w:id="373577635">
      <w:bodyDiv w:val="1"/>
      <w:marLeft w:val="0"/>
      <w:marRight w:val="0"/>
      <w:marTop w:val="0"/>
      <w:marBottom w:val="0"/>
      <w:divBdr>
        <w:top w:val="none" w:sz="0" w:space="0" w:color="auto"/>
        <w:left w:val="none" w:sz="0" w:space="0" w:color="auto"/>
        <w:bottom w:val="none" w:sz="0" w:space="0" w:color="auto"/>
        <w:right w:val="none" w:sz="0" w:space="0" w:color="auto"/>
      </w:divBdr>
    </w:div>
    <w:div w:id="390813764">
      <w:bodyDiv w:val="1"/>
      <w:marLeft w:val="0"/>
      <w:marRight w:val="0"/>
      <w:marTop w:val="0"/>
      <w:marBottom w:val="0"/>
      <w:divBdr>
        <w:top w:val="none" w:sz="0" w:space="0" w:color="auto"/>
        <w:left w:val="none" w:sz="0" w:space="0" w:color="auto"/>
        <w:bottom w:val="none" w:sz="0" w:space="0" w:color="auto"/>
        <w:right w:val="none" w:sz="0" w:space="0" w:color="auto"/>
      </w:divBdr>
    </w:div>
    <w:div w:id="433936778">
      <w:bodyDiv w:val="1"/>
      <w:marLeft w:val="0"/>
      <w:marRight w:val="0"/>
      <w:marTop w:val="0"/>
      <w:marBottom w:val="0"/>
      <w:divBdr>
        <w:top w:val="none" w:sz="0" w:space="0" w:color="auto"/>
        <w:left w:val="none" w:sz="0" w:space="0" w:color="auto"/>
        <w:bottom w:val="none" w:sz="0" w:space="0" w:color="auto"/>
        <w:right w:val="none" w:sz="0" w:space="0" w:color="auto"/>
      </w:divBdr>
    </w:div>
    <w:div w:id="439568819">
      <w:bodyDiv w:val="1"/>
      <w:marLeft w:val="0"/>
      <w:marRight w:val="0"/>
      <w:marTop w:val="0"/>
      <w:marBottom w:val="0"/>
      <w:divBdr>
        <w:top w:val="none" w:sz="0" w:space="0" w:color="auto"/>
        <w:left w:val="none" w:sz="0" w:space="0" w:color="auto"/>
        <w:bottom w:val="none" w:sz="0" w:space="0" w:color="auto"/>
        <w:right w:val="none" w:sz="0" w:space="0" w:color="auto"/>
      </w:divBdr>
    </w:div>
    <w:div w:id="444688955">
      <w:bodyDiv w:val="1"/>
      <w:marLeft w:val="0"/>
      <w:marRight w:val="0"/>
      <w:marTop w:val="0"/>
      <w:marBottom w:val="0"/>
      <w:divBdr>
        <w:top w:val="none" w:sz="0" w:space="0" w:color="auto"/>
        <w:left w:val="none" w:sz="0" w:space="0" w:color="auto"/>
        <w:bottom w:val="none" w:sz="0" w:space="0" w:color="auto"/>
        <w:right w:val="none" w:sz="0" w:space="0" w:color="auto"/>
      </w:divBdr>
    </w:div>
    <w:div w:id="446969864">
      <w:bodyDiv w:val="1"/>
      <w:marLeft w:val="0"/>
      <w:marRight w:val="0"/>
      <w:marTop w:val="0"/>
      <w:marBottom w:val="0"/>
      <w:divBdr>
        <w:top w:val="none" w:sz="0" w:space="0" w:color="auto"/>
        <w:left w:val="none" w:sz="0" w:space="0" w:color="auto"/>
        <w:bottom w:val="none" w:sz="0" w:space="0" w:color="auto"/>
        <w:right w:val="none" w:sz="0" w:space="0" w:color="auto"/>
      </w:divBdr>
    </w:div>
    <w:div w:id="454063623">
      <w:bodyDiv w:val="1"/>
      <w:marLeft w:val="0"/>
      <w:marRight w:val="0"/>
      <w:marTop w:val="0"/>
      <w:marBottom w:val="0"/>
      <w:divBdr>
        <w:top w:val="none" w:sz="0" w:space="0" w:color="auto"/>
        <w:left w:val="none" w:sz="0" w:space="0" w:color="auto"/>
        <w:bottom w:val="none" w:sz="0" w:space="0" w:color="auto"/>
        <w:right w:val="none" w:sz="0" w:space="0" w:color="auto"/>
      </w:divBdr>
    </w:div>
    <w:div w:id="477309046">
      <w:bodyDiv w:val="1"/>
      <w:marLeft w:val="0"/>
      <w:marRight w:val="0"/>
      <w:marTop w:val="0"/>
      <w:marBottom w:val="0"/>
      <w:divBdr>
        <w:top w:val="none" w:sz="0" w:space="0" w:color="auto"/>
        <w:left w:val="none" w:sz="0" w:space="0" w:color="auto"/>
        <w:bottom w:val="none" w:sz="0" w:space="0" w:color="auto"/>
        <w:right w:val="none" w:sz="0" w:space="0" w:color="auto"/>
      </w:divBdr>
    </w:div>
    <w:div w:id="510879243">
      <w:bodyDiv w:val="1"/>
      <w:marLeft w:val="0"/>
      <w:marRight w:val="0"/>
      <w:marTop w:val="0"/>
      <w:marBottom w:val="0"/>
      <w:divBdr>
        <w:top w:val="none" w:sz="0" w:space="0" w:color="auto"/>
        <w:left w:val="none" w:sz="0" w:space="0" w:color="auto"/>
        <w:bottom w:val="none" w:sz="0" w:space="0" w:color="auto"/>
        <w:right w:val="none" w:sz="0" w:space="0" w:color="auto"/>
      </w:divBdr>
    </w:div>
    <w:div w:id="518088169">
      <w:bodyDiv w:val="1"/>
      <w:marLeft w:val="0"/>
      <w:marRight w:val="0"/>
      <w:marTop w:val="0"/>
      <w:marBottom w:val="0"/>
      <w:divBdr>
        <w:top w:val="none" w:sz="0" w:space="0" w:color="auto"/>
        <w:left w:val="none" w:sz="0" w:space="0" w:color="auto"/>
        <w:bottom w:val="none" w:sz="0" w:space="0" w:color="auto"/>
        <w:right w:val="none" w:sz="0" w:space="0" w:color="auto"/>
      </w:divBdr>
    </w:div>
    <w:div w:id="522594731">
      <w:bodyDiv w:val="1"/>
      <w:marLeft w:val="0"/>
      <w:marRight w:val="0"/>
      <w:marTop w:val="0"/>
      <w:marBottom w:val="0"/>
      <w:divBdr>
        <w:top w:val="none" w:sz="0" w:space="0" w:color="auto"/>
        <w:left w:val="none" w:sz="0" w:space="0" w:color="auto"/>
        <w:bottom w:val="none" w:sz="0" w:space="0" w:color="auto"/>
        <w:right w:val="none" w:sz="0" w:space="0" w:color="auto"/>
      </w:divBdr>
    </w:div>
    <w:div w:id="546919142">
      <w:bodyDiv w:val="1"/>
      <w:marLeft w:val="0"/>
      <w:marRight w:val="0"/>
      <w:marTop w:val="0"/>
      <w:marBottom w:val="0"/>
      <w:divBdr>
        <w:top w:val="none" w:sz="0" w:space="0" w:color="auto"/>
        <w:left w:val="none" w:sz="0" w:space="0" w:color="auto"/>
        <w:bottom w:val="none" w:sz="0" w:space="0" w:color="auto"/>
        <w:right w:val="none" w:sz="0" w:space="0" w:color="auto"/>
      </w:divBdr>
    </w:div>
    <w:div w:id="557712567">
      <w:bodyDiv w:val="1"/>
      <w:marLeft w:val="0"/>
      <w:marRight w:val="0"/>
      <w:marTop w:val="0"/>
      <w:marBottom w:val="0"/>
      <w:divBdr>
        <w:top w:val="none" w:sz="0" w:space="0" w:color="auto"/>
        <w:left w:val="none" w:sz="0" w:space="0" w:color="auto"/>
        <w:bottom w:val="none" w:sz="0" w:space="0" w:color="auto"/>
        <w:right w:val="none" w:sz="0" w:space="0" w:color="auto"/>
      </w:divBdr>
    </w:div>
    <w:div w:id="558595214">
      <w:bodyDiv w:val="1"/>
      <w:marLeft w:val="0"/>
      <w:marRight w:val="0"/>
      <w:marTop w:val="0"/>
      <w:marBottom w:val="0"/>
      <w:divBdr>
        <w:top w:val="none" w:sz="0" w:space="0" w:color="auto"/>
        <w:left w:val="none" w:sz="0" w:space="0" w:color="auto"/>
        <w:bottom w:val="none" w:sz="0" w:space="0" w:color="auto"/>
        <w:right w:val="none" w:sz="0" w:space="0" w:color="auto"/>
      </w:divBdr>
    </w:div>
    <w:div w:id="573858154">
      <w:bodyDiv w:val="1"/>
      <w:marLeft w:val="0"/>
      <w:marRight w:val="0"/>
      <w:marTop w:val="0"/>
      <w:marBottom w:val="0"/>
      <w:divBdr>
        <w:top w:val="none" w:sz="0" w:space="0" w:color="auto"/>
        <w:left w:val="none" w:sz="0" w:space="0" w:color="auto"/>
        <w:bottom w:val="none" w:sz="0" w:space="0" w:color="auto"/>
        <w:right w:val="none" w:sz="0" w:space="0" w:color="auto"/>
      </w:divBdr>
    </w:div>
    <w:div w:id="596911456">
      <w:bodyDiv w:val="1"/>
      <w:marLeft w:val="0"/>
      <w:marRight w:val="0"/>
      <w:marTop w:val="0"/>
      <w:marBottom w:val="0"/>
      <w:divBdr>
        <w:top w:val="none" w:sz="0" w:space="0" w:color="auto"/>
        <w:left w:val="none" w:sz="0" w:space="0" w:color="auto"/>
        <w:bottom w:val="none" w:sz="0" w:space="0" w:color="auto"/>
        <w:right w:val="none" w:sz="0" w:space="0" w:color="auto"/>
      </w:divBdr>
    </w:div>
    <w:div w:id="614874603">
      <w:bodyDiv w:val="1"/>
      <w:marLeft w:val="0"/>
      <w:marRight w:val="0"/>
      <w:marTop w:val="0"/>
      <w:marBottom w:val="0"/>
      <w:divBdr>
        <w:top w:val="none" w:sz="0" w:space="0" w:color="auto"/>
        <w:left w:val="none" w:sz="0" w:space="0" w:color="auto"/>
        <w:bottom w:val="none" w:sz="0" w:space="0" w:color="auto"/>
        <w:right w:val="none" w:sz="0" w:space="0" w:color="auto"/>
      </w:divBdr>
    </w:div>
    <w:div w:id="638146431">
      <w:bodyDiv w:val="1"/>
      <w:marLeft w:val="0"/>
      <w:marRight w:val="0"/>
      <w:marTop w:val="0"/>
      <w:marBottom w:val="0"/>
      <w:divBdr>
        <w:top w:val="none" w:sz="0" w:space="0" w:color="auto"/>
        <w:left w:val="none" w:sz="0" w:space="0" w:color="auto"/>
        <w:bottom w:val="none" w:sz="0" w:space="0" w:color="auto"/>
        <w:right w:val="none" w:sz="0" w:space="0" w:color="auto"/>
      </w:divBdr>
    </w:div>
    <w:div w:id="650251023">
      <w:bodyDiv w:val="1"/>
      <w:marLeft w:val="0"/>
      <w:marRight w:val="0"/>
      <w:marTop w:val="0"/>
      <w:marBottom w:val="0"/>
      <w:divBdr>
        <w:top w:val="none" w:sz="0" w:space="0" w:color="auto"/>
        <w:left w:val="none" w:sz="0" w:space="0" w:color="auto"/>
        <w:bottom w:val="none" w:sz="0" w:space="0" w:color="auto"/>
        <w:right w:val="none" w:sz="0" w:space="0" w:color="auto"/>
      </w:divBdr>
    </w:div>
    <w:div w:id="654183528">
      <w:bodyDiv w:val="1"/>
      <w:marLeft w:val="0"/>
      <w:marRight w:val="0"/>
      <w:marTop w:val="0"/>
      <w:marBottom w:val="0"/>
      <w:divBdr>
        <w:top w:val="none" w:sz="0" w:space="0" w:color="auto"/>
        <w:left w:val="none" w:sz="0" w:space="0" w:color="auto"/>
        <w:bottom w:val="none" w:sz="0" w:space="0" w:color="auto"/>
        <w:right w:val="none" w:sz="0" w:space="0" w:color="auto"/>
      </w:divBdr>
    </w:div>
    <w:div w:id="660232211">
      <w:bodyDiv w:val="1"/>
      <w:marLeft w:val="0"/>
      <w:marRight w:val="0"/>
      <w:marTop w:val="0"/>
      <w:marBottom w:val="0"/>
      <w:divBdr>
        <w:top w:val="none" w:sz="0" w:space="0" w:color="auto"/>
        <w:left w:val="none" w:sz="0" w:space="0" w:color="auto"/>
        <w:bottom w:val="none" w:sz="0" w:space="0" w:color="auto"/>
        <w:right w:val="none" w:sz="0" w:space="0" w:color="auto"/>
      </w:divBdr>
    </w:div>
    <w:div w:id="665472705">
      <w:bodyDiv w:val="1"/>
      <w:marLeft w:val="0"/>
      <w:marRight w:val="0"/>
      <w:marTop w:val="0"/>
      <w:marBottom w:val="0"/>
      <w:divBdr>
        <w:top w:val="none" w:sz="0" w:space="0" w:color="auto"/>
        <w:left w:val="none" w:sz="0" w:space="0" w:color="auto"/>
        <w:bottom w:val="none" w:sz="0" w:space="0" w:color="auto"/>
        <w:right w:val="none" w:sz="0" w:space="0" w:color="auto"/>
      </w:divBdr>
    </w:div>
    <w:div w:id="674958041">
      <w:bodyDiv w:val="1"/>
      <w:marLeft w:val="0"/>
      <w:marRight w:val="0"/>
      <w:marTop w:val="0"/>
      <w:marBottom w:val="0"/>
      <w:divBdr>
        <w:top w:val="none" w:sz="0" w:space="0" w:color="auto"/>
        <w:left w:val="none" w:sz="0" w:space="0" w:color="auto"/>
        <w:bottom w:val="none" w:sz="0" w:space="0" w:color="auto"/>
        <w:right w:val="none" w:sz="0" w:space="0" w:color="auto"/>
      </w:divBdr>
    </w:div>
    <w:div w:id="687214304">
      <w:bodyDiv w:val="1"/>
      <w:marLeft w:val="0"/>
      <w:marRight w:val="0"/>
      <w:marTop w:val="0"/>
      <w:marBottom w:val="0"/>
      <w:divBdr>
        <w:top w:val="none" w:sz="0" w:space="0" w:color="auto"/>
        <w:left w:val="none" w:sz="0" w:space="0" w:color="auto"/>
        <w:bottom w:val="none" w:sz="0" w:space="0" w:color="auto"/>
        <w:right w:val="none" w:sz="0" w:space="0" w:color="auto"/>
      </w:divBdr>
    </w:div>
    <w:div w:id="694311761">
      <w:bodyDiv w:val="1"/>
      <w:marLeft w:val="0"/>
      <w:marRight w:val="0"/>
      <w:marTop w:val="0"/>
      <w:marBottom w:val="0"/>
      <w:divBdr>
        <w:top w:val="none" w:sz="0" w:space="0" w:color="auto"/>
        <w:left w:val="none" w:sz="0" w:space="0" w:color="auto"/>
        <w:bottom w:val="none" w:sz="0" w:space="0" w:color="auto"/>
        <w:right w:val="none" w:sz="0" w:space="0" w:color="auto"/>
      </w:divBdr>
    </w:div>
    <w:div w:id="726226971">
      <w:bodyDiv w:val="1"/>
      <w:marLeft w:val="0"/>
      <w:marRight w:val="0"/>
      <w:marTop w:val="0"/>
      <w:marBottom w:val="0"/>
      <w:divBdr>
        <w:top w:val="none" w:sz="0" w:space="0" w:color="auto"/>
        <w:left w:val="none" w:sz="0" w:space="0" w:color="auto"/>
        <w:bottom w:val="none" w:sz="0" w:space="0" w:color="auto"/>
        <w:right w:val="none" w:sz="0" w:space="0" w:color="auto"/>
      </w:divBdr>
    </w:div>
    <w:div w:id="737632041">
      <w:bodyDiv w:val="1"/>
      <w:marLeft w:val="0"/>
      <w:marRight w:val="0"/>
      <w:marTop w:val="0"/>
      <w:marBottom w:val="0"/>
      <w:divBdr>
        <w:top w:val="none" w:sz="0" w:space="0" w:color="auto"/>
        <w:left w:val="none" w:sz="0" w:space="0" w:color="auto"/>
        <w:bottom w:val="none" w:sz="0" w:space="0" w:color="auto"/>
        <w:right w:val="none" w:sz="0" w:space="0" w:color="auto"/>
      </w:divBdr>
    </w:div>
    <w:div w:id="742290989">
      <w:bodyDiv w:val="1"/>
      <w:marLeft w:val="0"/>
      <w:marRight w:val="0"/>
      <w:marTop w:val="0"/>
      <w:marBottom w:val="0"/>
      <w:divBdr>
        <w:top w:val="none" w:sz="0" w:space="0" w:color="auto"/>
        <w:left w:val="none" w:sz="0" w:space="0" w:color="auto"/>
        <w:bottom w:val="none" w:sz="0" w:space="0" w:color="auto"/>
        <w:right w:val="none" w:sz="0" w:space="0" w:color="auto"/>
      </w:divBdr>
    </w:div>
    <w:div w:id="774784933">
      <w:bodyDiv w:val="1"/>
      <w:marLeft w:val="0"/>
      <w:marRight w:val="0"/>
      <w:marTop w:val="0"/>
      <w:marBottom w:val="0"/>
      <w:divBdr>
        <w:top w:val="none" w:sz="0" w:space="0" w:color="auto"/>
        <w:left w:val="none" w:sz="0" w:space="0" w:color="auto"/>
        <w:bottom w:val="none" w:sz="0" w:space="0" w:color="auto"/>
        <w:right w:val="none" w:sz="0" w:space="0" w:color="auto"/>
      </w:divBdr>
    </w:div>
    <w:div w:id="781844505">
      <w:bodyDiv w:val="1"/>
      <w:marLeft w:val="0"/>
      <w:marRight w:val="0"/>
      <w:marTop w:val="0"/>
      <w:marBottom w:val="0"/>
      <w:divBdr>
        <w:top w:val="none" w:sz="0" w:space="0" w:color="auto"/>
        <w:left w:val="none" w:sz="0" w:space="0" w:color="auto"/>
        <w:bottom w:val="none" w:sz="0" w:space="0" w:color="auto"/>
        <w:right w:val="none" w:sz="0" w:space="0" w:color="auto"/>
      </w:divBdr>
    </w:div>
    <w:div w:id="801734195">
      <w:bodyDiv w:val="1"/>
      <w:marLeft w:val="0"/>
      <w:marRight w:val="0"/>
      <w:marTop w:val="0"/>
      <w:marBottom w:val="0"/>
      <w:divBdr>
        <w:top w:val="none" w:sz="0" w:space="0" w:color="auto"/>
        <w:left w:val="none" w:sz="0" w:space="0" w:color="auto"/>
        <w:bottom w:val="none" w:sz="0" w:space="0" w:color="auto"/>
        <w:right w:val="none" w:sz="0" w:space="0" w:color="auto"/>
      </w:divBdr>
    </w:div>
    <w:div w:id="832798265">
      <w:bodyDiv w:val="1"/>
      <w:marLeft w:val="0"/>
      <w:marRight w:val="0"/>
      <w:marTop w:val="0"/>
      <w:marBottom w:val="0"/>
      <w:divBdr>
        <w:top w:val="none" w:sz="0" w:space="0" w:color="auto"/>
        <w:left w:val="none" w:sz="0" w:space="0" w:color="auto"/>
        <w:bottom w:val="none" w:sz="0" w:space="0" w:color="auto"/>
        <w:right w:val="none" w:sz="0" w:space="0" w:color="auto"/>
      </w:divBdr>
    </w:div>
    <w:div w:id="843782447">
      <w:bodyDiv w:val="1"/>
      <w:marLeft w:val="0"/>
      <w:marRight w:val="0"/>
      <w:marTop w:val="0"/>
      <w:marBottom w:val="0"/>
      <w:divBdr>
        <w:top w:val="none" w:sz="0" w:space="0" w:color="auto"/>
        <w:left w:val="none" w:sz="0" w:space="0" w:color="auto"/>
        <w:bottom w:val="none" w:sz="0" w:space="0" w:color="auto"/>
        <w:right w:val="none" w:sz="0" w:space="0" w:color="auto"/>
      </w:divBdr>
    </w:div>
    <w:div w:id="858815115">
      <w:bodyDiv w:val="1"/>
      <w:marLeft w:val="0"/>
      <w:marRight w:val="0"/>
      <w:marTop w:val="0"/>
      <w:marBottom w:val="0"/>
      <w:divBdr>
        <w:top w:val="none" w:sz="0" w:space="0" w:color="auto"/>
        <w:left w:val="none" w:sz="0" w:space="0" w:color="auto"/>
        <w:bottom w:val="none" w:sz="0" w:space="0" w:color="auto"/>
        <w:right w:val="none" w:sz="0" w:space="0" w:color="auto"/>
      </w:divBdr>
    </w:div>
    <w:div w:id="863516331">
      <w:bodyDiv w:val="1"/>
      <w:marLeft w:val="0"/>
      <w:marRight w:val="0"/>
      <w:marTop w:val="0"/>
      <w:marBottom w:val="0"/>
      <w:divBdr>
        <w:top w:val="none" w:sz="0" w:space="0" w:color="auto"/>
        <w:left w:val="none" w:sz="0" w:space="0" w:color="auto"/>
        <w:bottom w:val="none" w:sz="0" w:space="0" w:color="auto"/>
        <w:right w:val="none" w:sz="0" w:space="0" w:color="auto"/>
      </w:divBdr>
    </w:div>
    <w:div w:id="866217366">
      <w:bodyDiv w:val="1"/>
      <w:marLeft w:val="0"/>
      <w:marRight w:val="0"/>
      <w:marTop w:val="0"/>
      <w:marBottom w:val="0"/>
      <w:divBdr>
        <w:top w:val="none" w:sz="0" w:space="0" w:color="auto"/>
        <w:left w:val="none" w:sz="0" w:space="0" w:color="auto"/>
        <w:bottom w:val="none" w:sz="0" w:space="0" w:color="auto"/>
        <w:right w:val="none" w:sz="0" w:space="0" w:color="auto"/>
      </w:divBdr>
    </w:div>
    <w:div w:id="877818526">
      <w:bodyDiv w:val="1"/>
      <w:marLeft w:val="0"/>
      <w:marRight w:val="0"/>
      <w:marTop w:val="0"/>
      <w:marBottom w:val="0"/>
      <w:divBdr>
        <w:top w:val="none" w:sz="0" w:space="0" w:color="auto"/>
        <w:left w:val="none" w:sz="0" w:space="0" w:color="auto"/>
        <w:bottom w:val="none" w:sz="0" w:space="0" w:color="auto"/>
        <w:right w:val="none" w:sz="0" w:space="0" w:color="auto"/>
      </w:divBdr>
    </w:div>
    <w:div w:id="880629992">
      <w:bodyDiv w:val="1"/>
      <w:marLeft w:val="0"/>
      <w:marRight w:val="0"/>
      <w:marTop w:val="0"/>
      <w:marBottom w:val="0"/>
      <w:divBdr>
        <w:top w:val="none" w:sz="0" w:space="0" w:color="auto"/>
        <w:left w:val="none" w:sz="0" w:space="0" w:color="auto"/>
        <w:bottom w:val="none" w:sz="0" w:space="0" w:color="auto"/>
        <w:right w:val="none" w:sz="0" w:space="0" w:color="auto"/>
      </w:divBdr>
    </w:div>
    <w:div w:id="881551236">
      <w:bodyDiv w:val="1"/>
      <w:marLeft w:val="0"/>
      <w:marRight w:val="0"/>
      <w:marTop w:val="0"/>
      <w:marBottom w:val="0"/>
      <w:divBdr>
        <w:top w:val="none" w:sz="0" w:space="0" w:color="auto"/>
        <w:left w:val="none" w:sz="0" w:space="0" w:color="auto"/>
        <w:bottom w:val="none" w:sz="0" w:space="0" w:color="auto"/>
        <w:right w:val="none" w:sz="0" w:space="0" w:color="auto"/>
      </w:divBdr>
    </w:div>
    <w:div w:id="910308315">
      <w:bodyDiv w:val="1"/>
      <w:marLeft w:val="0"/>
      <w:marRight w:val="0"/>
      <w:marTop w:val="0"/>
      <w:marBottom w:val="0"/>
      <w:divBdr>
        <w:top w:val="none" w:sz="0" w:space="0" w:color="auto"/>
        <w:left w:val="none" w:sz="0" w:space="0" w:color="auto"/>
        <w:bottom w:val="none" w:sz="0" w:space="0" w:color="auto"/>
        <w:right w:val="none" w:sz="0" w:space="0" w:color="auto"/>
      </w:divBdr>
    </w:div>
    <w:div w:id="954944804">
      <w:bodyDiv w:val="1"/>
      <w:marLeft w:val="0"/>
      <w:marRight w:val="0"/>
      <w:marTop w:val="0"/>
      <w:marBottom w:val="0"/>
      <w:divBdr>
        <w:top w:val="none" w:sz="0" w:space="0" w:color="auto"/>
        <w:left w:val="none" w:sz="0" w:space="0" w:color="auto"/>
        <w:bottom w:val="none" w:sz="0" w:space="0" w:color="auto"/>
        <w:right w:val="none" w:sz="0" w:space="0" w:color="auto"/>
      </w:divBdr>
    </w:div>
    <w:div w:id="955718451">
      <w:bodyDiv w:val="1"/>
      <w:marLeft w:val="0"/>
      <w:marRight w:val="0"/>
      <w:marTop w:val="0"/>
      <w:marBottom w:val="0"/>
      <w:divBdr>
        <w:top w:val="none" w:sz="0" w:space="0" w:color="auto"/>
        <w:left w:val="none" w:sz="0" w:space="0" w:color="auto"/>
        <w:bottom w:val="none" w:sz="0" w:space="0" w:color="auto"/>
        <w:right w:val="none" w:sz="0" w:space="0" w:color="auto"/>
      </w:divBdr>
    </w:div>
    <w:div w:id="959801019">
      <w:bodyDiv w:val="1"/>
      <w:marLeft w:val="0"/>
      <w:marRight w:val="0"/>
      <w:marTop w:val="0"/>
      <w:marBottom w:val="0"/>
      <w:divBdr>
        <w:top w:val="none" w:sz="0" w:space="0" w:color="auto"/>
        <w:left w:val="none" w:sz="0" w:space="0" w:color="auto"/>
        <w:bottom w:val="none" w:sz="0" w:space="0" w:color="auto"/>
        <w:right w:val="none" w:sz="0" w:space="0" w:color="auto"/>
      </w:divBdr>
    </w:div>
    <w:div w:id="963998713">
      <w:bodyDiv w:val="1"/>
      <w:marLeft w:val="0"/>
      <w:marRight w:val="0"/>
      <w:marTop w:val="0"/>
      <w:marBottom w:val="0"/>
      <w:divBdr>
        <w:top w:val="none" w:sz="0" w:space="0" w:color="auto"/>
        <w:left w:val="none" w:sz="0" w:space="0" w:color="auto"/>
        <w:bottom w:val="none" w:sz="0" w:space="0" w:color="auto"/>
        <w:right w:val="none" w:sz="0" w:space="0" w:color="auto"/>
      </w:divBdr>
    </w:div>
    <w:div w:id="977953783">
      <w:bodyDiv w:val="1"/>
      <w:marLeft w:val="0"/>
      <w:marRight w:val="0"/>
      <w:marTop w:val="0"/>
      <w:marBottom w:val="0"/>
      <w:divBdr>
        <w:top w:val="none" w:sz="0" w:space="0" w:color="auto"/>
        <w:left w:val="none" w:sz="0" w:space="0" w:color="auto"/>
        <w:bottom w:val="none" w:sz="0" w:space="0" w:color="auto"/>
        <w:right w:val="none" w:sz="0" w:space="0" w:color="auto"/>
      </w:divBdr>
    </w:div>
    <w:div w:id="990866570">
      <w:bodyDiv w:val="1"/>
      <w:marLeft w:val="0"/>
      <w:marRight w:val="0"/>
      <w:marTop w:val="0"/>
      <w:marBottom w:val="0"/>
      <w:divBdr>
        <w:top w:val="none" w:sz="0" w:space="0" w:color="auto"/>
        <w:left w:val="none" w:sz="0" w:space="0" w:color="auto"/>
        <w:bottom w:val="none" w:sz="0" w:space="0" w:color="auto"/>
        <w:right w:val="none" w:sz="0" w:space="0" w:color="auto"/>
      </w:divBdr>
    </w:div>
    <w:div w:id="1005404646">
      <w:bodyDiv w:val="1"/>
      <w:marLeft w:val="0"/>
      <w:marRight w:val="0"/>
      <w:marTop w:val="0"/>
      <w:marBottom w:val="0"/>
      <w:divBdr>
        <w:top w:val="none" w:sz="0" w:space="0" w:color="auto"/>
        <w:left w:val="none" w:sz="0" w:space="0" w:color="auto"/>
        <w:bottom w:val="none" w:sz="0" w:space="0" w:color="auto"/>
        <w:right w:val="none" w:sz="0" w:space="0" w:color="auto"/>
      </w:divBdr>
    </w:div>
    <w:div w:id="1022560095">
      <w:bodyDiv w:val="1"/>
      <w:marLeft w:val="0"/>
      <w:marRight w:val="0"/>
      <w:marTop w:val="0"/>
      <w:marBottom w:val="0"/>
      <w:divBdr>
        <w:top w:val="none" w:sz="0" w:space="0" w:color="auto"/>
        <w:left w:val="none" w:sz="0" w:space="0" w:color="auto"/>
        <w:bottom w:val="none" w:sz="0" w:space="0" w:color="auto"/>
        <w:right w:val="none" w:sz="0" w:space="0" w:color="auto"/>
      </w:divBdr>
    </w:div>
    <w:div w:id="1040129165">
      <w:bodyDiv w:val="1"/>
      <w:marLeft w:val="0"/>
      <w:marRight w:val="0"/>
      <w:marTop w:val="0"/>
      <w:marBottom w:val="0"/>
      <w:divBdr>
        <w:top w:val="none" w:sz="0" w:space="0" w:color="auto"/>
        <w:left w:val="none" w:sz="0" w:space="0" w:color="auto"/>
        <w:bottom w:val="none" w:sz="0" w:space="0" w:color="auto"/>
        <w:right w:val="none" w:sz="0" w:space="0" w:color="auto"/>
      </w:divBdr>
    </w:div>
    <w:div w:id="1041251298">
      <w:bodyDiv w:val="1"/>
      <w:marLeft w:val="0"/>
      <w:marRight w:val="0"/>
      <w:marTop w:val="0"/>
      <w:marBottom w:val="0"/>
      <w:divBdr>
        <w:top w:val="none" w:sz="0" w:space="0" w:color="auto"/>
        <w:left w:val="none" w:sz="0" w:space="0" w:color="auto"/>
        <w:bottom w:val="none" w:sz="0" w:space="0" w:color="auto"/>
        <w:right w:val="none" w:sz="0" w:space="0" w:color="auto"/>
      </w:divBdr>
    </w:div>
    <w:div w:id="1055929086">
      <w:bodyDiv w:val="1"/>
      <w:marLeft w:val="0"/>
      <w:marRight w:val="0"/>
      <w:marTop w:val="0"/>
      <w:marBottom w:val="0"/>
      <w:divBdr>
        <w:top w:val="none" w:sz="0" w:space="0" w:color="auto"/>
        <w:left w:val="none" w:sz="0" w:space="0" w:color="auto"/>
        <w:bottom w:val="none" w:sz="0" w:space="0" w:color="auto"/>
        <w:right w:val="none" w:sz="0" w:space="0" w:color="auto"/>
      </w:divBdr>
    </w:div>
    <w:div w:id="1075516809">
      <w:bodyDiv w:val="1"/>
      <w:marLeft w:val="0"/>
      <w:marRight w:val="0"/>
      <w:marTop w:val="0"/>
      <w:marBottom w:val="0"/>
      <w:divBdr>
        <w:top w:val="none" w:sz="0" w:space="0" w:color="auto"/>
        <w:left w:val="none" w:sz="0" w:space="0" w:color="auto"/>
        <w:bottom w:val="none" w:sz="0" w:space="0" w:color="auto"/>
        <w:right w:val="none" w:sz="0" w:space="0" w:color="auto"/>
      </w:divBdr>
    </w:div>
    <w:div w:id="1090350121">
      <w:bodyDiv w:val="1"/>
      <w:marLeft w:val="0"/>
      <w:marRight w:val="0"/>
      <w:marTop w:val="0"/>
      <w:marBottom w:val="0"/>
      <w:divBdr>
        <w:top w:val="none" w:sz="0" w:space="0" w:color="auto"/>
        <w:left w:val="none" w:sz="0" w:space="0" w:color="auto"/>
        <w:bottom w:val="none" w:sz="0" w:space="0" w:color="auto"/>
        <w:right w:val="none" w:sz="0" w:space="0" w:color="auto"/>
      </w:divBdr>
    </w:div>
    <w:div w:id="1099563694">
      <w:bodyDiv w:val="1"/>
      <w:marLeft w:val="0"/>
      <w:marRight w:val="0"/>
      <w:marTop w:val="0"/>
      <w:marBottom w:val="0"/>
      <w:divBdr>
        <w:top w:val="none" w:sz="0" w:space="0" w:color="auto"/>
        <w:left w:val="none" w:sz="0" w:space="0" w:color="auto"/>
        <w:bottom w:val="none" w:sz="0" w:space="0" w:color="auto"/>
        <w:right w:val="none" w:sz="0" w:space="0" w:color="auto"/>
      </w:divBdr>
    </w:div>
    <w:div w:id="1108506785">
      <w:bodyDiv w:val="1"/>
      <w:marLeft w:val="0"/>
      <w:marRight w:val="0"/>
      <w:marTop w:val="0"/>
      <w:marBottom w:val="0"/>
      <w:divBdr>
        <w:top w:val="none" w:sz="0" w:space="0" w:color="auto"/>
        <w:left w:val="none" w:sz="0" w:space="0" w:color="auto"/>
        <w:bottom w:val="none" w:sz="0" w:space="0" w:color="auto"/>
        <w:right w:val="none" w:sz="0" w:space="0" w:color="auto"/>
      </w:divBdr>
    </w:div>
    <w:div w:id="1119374929">
      <w:bodyDiv w:val="1"/>
      <w:marLeft w:val="0"/>
      <w:marRight w:val="0"/>
      <w:marTop w:val="0"/>
      <w:marBottom w:val="0"/>
      <w:divBdr>
        <w:top w:val="none" w:sz="0" w:space="0" w:color="auto"/>
        <w:left w:val="none" w:sz="0" w:space="0" w:color="auto"/>
        <w:bottom w:val="none" w:sz="0" w:space="0" w:color="auto"/>
        <w:right w:val="none" w:sz="0" w:space="0" w:color="auto"/>
      </w:divBdr>
    </w:div>
    <w:div w:id="1125850532">
      <w:bodyDiv w:val="1"/>
      <w:marLeft w:val="0"/>
      <w:marRight w:val="0"/>
      <w:marTop w:val="0"/>
      <w:marBottom w:val="0"/>
      <w:divBdr>
        <w:top w:val="none" w:sz="0" w:space="0" w:color="auto"/>
        <w:left w:val="none" w:sz="0" w:space="0" w:color="auto"/>
        <w:bottom w:val="none" w:sz="0" w:space="0" w:color="auto"/>
        <w:right w:val="none" w:sz="0" w:space="0" w:color="auto"/>
      </w:divBdr>
    </w:div>
    <w:div w:id="1127312117">
      <w:bodyDiv w:val="1"/>
      <w:marLeft w:val="0"/>
      <w:marRight w:val="0"/>
      <w:marTop w:val="0"/>
      <w:marBottom w:val="0"/>
      <w:divBdr>
        <w:top w:val="none" w:sz="0" w:space="0" w:color="auto"/>
        <w:left w:val="none" w:sz="0" w:space="0" w:color="auto"/>
        <w:bottom w:val="none" w:sz="0" w:space="0" w:color="auto"/>
        <w:right w:val="none" w:sz="0" w:space="0" w:color="auto"/>
      </w:divBdr>
    </w:div>
    <w:div w:id="1133408252">
      <w:bodyDiv w:val="1"/>
      <w:marLeft w:val="0"/>
      <w:marRight w:val="0"/>
      <w:marTop w:val="0"/>
      <w:marBottom w:val="0"/>
      <w:divBdr>
        <w:top w:val="none" w:sz="0" w:space="0" w:color="auto"/>
        <w:left w:val="none" w:sz="0" w:space="0" w:color="auto"/>
        <w:bottom w:val="none" w:sz="0" w:space="0" w:color="auto"/>
        <w:right w:val="none" w:sz="0" w:space="0" w:color="auto"/>
      </w:divBdr>
    </w:div>
    <w:div w:id="1136098918">
      <w:bodyDiv w:val="1"/>
      <w:marLeft w:val="0"/>
      <w:marRight w:val="0"/>
      <w:marTop w:val="0"/>
      <w:marBottom w:val="0"/>
      <w:divBdr>
        <w:top w:val="none" w:sz="0" w:space="0" w:color="auto"/>
        <w:left w:val="none" w:sz="0" w:space="0" w:color="auto"/>
        <w:bottom w:val="none" w:sz="0" w:space="0" w:color="auto"/>
        <w:right w:val="none" w:sz="0" w:space="0" w:color="auto"/>
      </w:divBdr>
    </w:div>
    <w:div w:id="1140803552">
      <w:bodyDiv w:val="1"/>
      <w:marLeft w:val="0"/>
      <w:marRight w:val="0"/>
      <w:marTop w:val="0"/>
      <w:marBottom w:val="0"/>
      <w:divBdr>
        <w:top w:val="none" w:sz="0" w:space="0" w:color="auto"/>
        <w:left w:val="none" w:sz="0" w:space="0" w:color="auto"/>
        <w:bottom w:val="none" w:sz="0" w:space="0" w:color="auto"/>
        <w:right w:val="none" w:sz="0" w:space="0" w:color="auto"/>
      </w:divBdr>
    </w:div>
    <w:div w:id="117225584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63">
      <w:bodyDiv w:val="1"/>
      <w:marLeft w:val="0"/>
      <w:marRight w:val="0"/>
      <w:marTop w:val="0"/>
      <w:marBottom w:val="0"/>
      <w:divBdr>
        <w:top w:val="none" w:sz="0" w:space="0" w:color="auto"/>
        <w:left w:val="none" w:sz="0" w:space="0" w:color="auto"/>
        <w:bottom w:val="none" w:sz="0" w:space="0" w:color="auto"/>
        <w:right w:val="none" w:sz="0" w:space="0" w:color="auto"/>
      </w:divBdr>
    </w:div>
    <w:div w:id="1185092914">
      <w:bodyDiv w:val="1"/>
      <w:marLeft w:val="0"/>
      <w:marRight w:val="0"/>
      <w:marTop w:val="0"/>
      <w:marBottom w:val="0"/>
      <w:divBdr>
        <w:top w:val="none" w:sz="0" w:space="0" w:color="auto"/>
        <w:left w:val="none" w:sz="0" w:space="0" w:color="auto"/>
        <w:bottom w:val="none" w:sz="0" w:space="0" w:color="auto"/>
        <w:right w:val="none" w:sz="0" w:space="0" w:color="auto"/>
      </w:divBdr>
    </w:div>
    <w:div w:id="1205828410">
      <w:bodyDiv w:val="1"/>
      <w:marLeft w:val="0"/>
      <w:marRight w:val="0"/>
      <w:marTop w:val="0"/>
      <w:marBottom w:val="0"/>
      <w:divBdr>
        <w:top w:val="none" w:sz="0" w:space="0" w:color="auto"/>
        <w:left w:val="none" w:sz="0" w:space="0" w:color="auto"/>
        <w:bottom w:val="none" w:sz="0" w:space="0" w:color="auto"/>
        <w:right w:val="none" w:sz="0" w:space="0" w:color="auto"/>
      </w:divBdr>
    </w:div>
    <w:div w:id="1215196715">
      <w:bodyDiv w:val="1"/>
      <w:marLeft w:val="0"/>
      <w:marRight w:val="0"/>
      <w:marTop w:val="0"/>
      <w:marBottom w:val="0"/>
      <w:divBdr>
        <w:top w:val="none" w:sz="0" w:space="0" w:color="auto"/>
        <w:left w:val="none" w:sz="0" w:space="0" w:color="auto"/>
        <w:bottom w:val="none" w:sz="0" w:space="0" w:color="auto"/>
        <w:right w:val="none" w:sz="0" w:space="0" w:color="auto"/>
      </w:divBdr>
    </w:div>
    <w:div w:id="1222449291">
      <w:bodyDiv w:val="1"/>
      <w:marLeft w:val="0"/>
      <w:marRight w:val="0"/>
      <w:marTop w:val="0"/>
      <w:marBottom w:val="0"/>
      <w:divBdr>
        <w:top w:val="none" w:sz="0" w:space="0" w:color="auto"/>
        <w:left w:val="none" w:sz="0" w:space="0" w:color="auto"/>
        <w:bottom w:val="none" w:sz="0" w:space="0" w:color="auto"/>
        <w:right w:val="none" w:sz="0" w:space="0" w:color="auto"/>
      </w:divBdr>
    </w:div>
    <w:div w:id="1231427221">
      <w:bodyDiv w:val="1"/>
      <w:marLeft w:val="0"/>
      <w:marRight w:val="0"/>
      <w:marTop w:val="0"/>
      <w:marBottom w:val="0"/>
      <w:divBdr>
        <w:top w:val="none" w:sz="0" w:space="0" w:color="auto"/>
        <w:left w:val="none" w:sz="0" w:space="0" w:color="auto"/>
        <w:bottom w:val="none" w:sz="0" w:space="0" w:color="auto"/>
        <w:right w:val="none" w:sz="0" w:space="0" w:color="auto"/>
      </w:divBdr>
    </w:div>
    <w:div w:id="1234120682">
      <w:bodyDiv w:val="1"/>
      <w:marLeft w:val="0"/>
      <w:marRight w:val="0"/>
      <w:marTop w:val="0"/>
      <w:marBottom w:val="0"/>
      <w:divBdr>
        <w:top w:val="none" w:sz="0" w:space="0" w:color="auto"/>
        <w:left w:val="none" w:sz="0" w:space="0" w:color="auto"/>
        <w:bottom w:val="none" w:sz="0" w:space="0" w:color="auto"/>
        <w:right w:val="none" w:sz="0" w:space="0" w:color="auto"/>
      </w:divBdr>
    </w:div>
    <w:div w:id="1265963881">
      <w:bodyDiv w:val="1"/>
      <w:marLeft w:val="0"/>
      <w:marRight w:val="0"/>
      <w:marTop w:val="0"/>
      <w:marBottom w:val="0"/>
      <w:divBdr>
        <w:top w:val="none" w:sz="0" w:space="0" w:color="auto"/>
        <w:left w:val="none" w:sz="0" w:space="0" w:color="auto"/>
        <w:bottom w:val="none" w:sz="0" w:space="0" w:color="auto"/>
        <w:right w:val="none" w:sz="0" w:space="0" w:color="auto"/>
      </w:divBdr>
    </w:div>
    <w:div w:id="1269970311">
      <w:bodyDiv w:val="1"/>
      <w:marLeft w:val="0"/>
      <w:marRight w:val="0"/>
      <w:marTop w:val="0"/>
      <w:marBottom w:val="0"/>
      <w:divBdr>
        <w:top w:val="none" w:sz="0" w:space="0" w:color="auto"/>
        <w:left w:val="none" w:sz="0" w:space="0" w:color="auto"/>
        <w:bottom w:val="none" w:sz="0" w:space="0" w:color="auto"/>
        <w:right w:val="none" w:sz="0" w:space="0" w:color="auto"/>
      </w:divBdr>
    </w:div>
    <w:div w:id="1272710799">
      <w:bodyDiv w:val="1"/>
      <w:marLeft w:val="0"/>
      <w:marRight w:val="0"/>
      <w:marTop w:val="0"/>
      <w:marBottom w:val="0"/>
      <w:divBdr>
        <w:top w:val="none" w:sz="0" w:space="0" w:color="auto"/>
        <w:left w:val="none" w:sz="0" w:space="0" w:color="auto"/>
        <w:bottom w:val="none" w:sz="0" w:space="0" w:color="auto"/>
        <w:right w:val="none" w:sz="0" w:space="0" w:color="auto"/>
      </w:divBdr>
    </w:div>
    <w:div w:id="1290667018">
      <w:bodyDiv w:val="1"/>
      <w:marLeft w:val="0"/>
      <w:marRight w:val="0"/>
      <w:marTop w:val="0"/>
      <w:marBottom w:val="0"/>
      <w:divBdr>
        <w:top w:val="none" w:sz="0" w:space="0" w:color="auto"/>
        <w:left w:val="none" w:sz="0" w:space="0" w:color="auto"/>
        <w:bottom w:val="none" w:sz="0" w:space="0" w:color="auto"/>
        <w:right w:val="none" w:sz="0" w:space="0" w:color="auto"/>
      </w:divBdr>
    </w:div>
    <w:div w:id="1300917574">
      <w:bodyDiv w:val="1"/>
      <w:marLeft w:val="0"/>
      <w:marRight w:val="0"/>
      <w:marTop w:val="0"/>
      <w:marBottom w:val="0"/>
      <w:divBdr>
        <w:top w:val="none" w:sz="0" w:space="0" w:color="auto"/>
        <w:left w:val="none" w:sz="0" w:space="0" w:color="auto"/>
        <w:bottom w:val="none" w:sz="0" w:space="0" w:color="auto"/>
        <w:right w:val="none" w:sz="0" w:space="0" w:color="auto"/>
      </w:divBdr>
    </w:div>
    <w:div w:id="1307585881">
      <w:bodyDiv w:val="1"/>
      <w:marLeft w:val="0"/>
      <w:marRight w:val="0"/>
      <w:marTop w:val="0"/>
      <w:marBottom w:val="0"/>
      <w:divBdr>
        <w:top w:val="none" w:sz="0" w:space="0" w:color="auto"/>
        <w:left w:val="none" w:sz="0" w:space="0" w:color="auto"/>
        <w:bottom w:val="none" w:sz="0" w:space="0" w:color="auto"/>
        <w:right w:val="none" w:sz="0" w:space="0" w:color="auto"/>
      </w:divBdr>
    </w:div>
    <w:div w:id="1323238831">
      <w:bodyDiv w:val="1"/>
      <w:marLeft w:val="0"/>
      <w:marRight w:val="0"/>
      <w:marTop w:val="0"/>
      <w:marBottom w:val="0"/>
      <w:divBdr>
        <w:top w:val="none" w:sz="0" w:space="0" w:color="auto"/>
        <w:left w:val="none" w:sz="0" w:space="0" w:color="auto"/>
        <w:bottom w:val="none" w:sz="0" w:space="0" w:color="auto"/>
        <w:right w:val="none" w:sz="0" w:space="0" w:color="auto"/>
      </w:divBdr>
    </w:div>
    <w:div w:id="1335493989">
      <w:bodyDiv w:val="1"/>
      <w:marLeft w:val="0"/>
      <w:marRight w:val="0"/>
      <w:marTop w:val="0"/>
      <w:marBottom w:val="0"/>
      <w:divBdr>
        <w:top w:val="none" w:sz="0" w:space="0" w:color="auto"/>
        <w:left w:val="none" w:sz="0" w:space="0" w:color="auto"/>
        <w:bottom w:val="none" w:sz="0" w:space="0" w:color="auto"/>
        <w:right w:val="none" w:sz="0" w:space="0" w:color="auto"/>
      </w:divBdr>
    </w:div>
    <w:div w:id="1349480092">
      <w:bodyDiv w:val="1"/>
      <w:marLeft w:val="0"/>
      <w:marRight w:val="0"/>
      <w:marTop w:val="0"/>
      <w:marBottom w:val="0"/>
      <w:divBdr>
        <w:top w:val="none" w:sz="0" w:space="0" w:color="auto"/>
        <w:left w:val="none" w:sz="0" w:space="0" w:color="auto"/>
        <w:bottom w:val="none" w:sz="0" w:space="0" w:color="auto"/>
        <w:right w:val="none" w:sz="0" w:space="0" w:color="auto"/>
      </w:divBdr>
    </w:div>
    <w:div w:id="1350370202">
      <w:bodyDiv w:val="1"/>
      <w:marLeft w:val="0"/>
      <w:marRight w:val="0"/>
      <w:marTop w:val="0"/>
      <w:marBottom w:val="0"/>
      <w:divBdr>
        <w:top w:val="none" w:sz="0" w:space="0" w:color="auto"/>
        <w:left w:val="none" w:sz="0" w:space="0" w:color="auto"/>
        <w:bottom w:val="none" w:sz="0" w:space="0" w:color="auto"/>
        <w:right w:val="none" w:sz="0" w:space="0" w:color="auto"/>
      </w:divBdr>
    </w:div>
    <w:div w:id="1356226055">
      <w:bodyDiv w:val="1"/>
      <w:marLeft w:val="0"/>
      <w:marRight w:val="0"/>
      <w:marTop w:val="0"/>
      <w:marBottom w:val="0"/>
      <w:divBdr>
        <w:top w:val="none" w:sz="0" w:space="0" w:color="auto"/>
        <w:left w:val="none" w:sz="0" w:space="0" w:color="auto"/>
        <w:bottom w:val="none" w:sz="0" w:space="0" w:color="auto"/>
        <w:right w:val="none" w:sz="0" w:space="0" w:color="auto"/>
      </w:divBdr>
    </w:div>
    <w:div w:id="1361467203">
      <w:bodyDiv w:val="1"/>
      <w:marLeft w:val="0"/>
      <w:marRight w:val="0"/>
      <w:marTop w:val="0"/>
      <w:marBottom w:val="0"/>
      <w:divBdr>
        <w:top w:val="none" w:sz="0" w:space="0" w:color="auto"/>
        <w:left w:val="none" w:sz="0" w:space="0" w:color="auto"/>
        <w:bottom w:val="none" w:sz="0" w:space="0" w:color="auto"/>
        <w:right w:val="none" w:sz="0" w:space="0" w:color="auto"/>
      </w:divBdr>
    </w:div>
    <w:div w:id="1366129814">
      <w:bodyDiv w:val="1"/>
      <w:marLeft w:val="0"/>
      <w:marRight w:val="0"/>
      <w:marTop w:val="0"/>
      <w:marBottom w:val="0"/>
      <w:divBdr>
        <w:top w:val="none" w:sz="0" w:space="0" w:color="auto"/>
        <w:left w:val="none" w:sz="0" w:space="0" w:color="auto"/>
        <w:bottom w:val="none" w:sz="0" w:space="0" w:color="auto"/>
        <w:right w:val="none" w:sz="0" w:space="0" w:color="auto"/>
      </w:divBdr>
    </w:div>
    <w:div w:id="1378041950">
      <w:bodyDiv w:val="1"/>
      <w:marLeft w:val="0"/>
      <w:marRight w:val="0"/>
      <w:marTop w:val="0"/>
      <w:marBottom w:val="0"/>
      <w:divBdr>
        <w:top w:val="none" w:sz="0" w:space="0" w:color="auto"/>
        <w:left w:val="none" w:sz="0" w:space="0" w:color="auto"/>
        <w:bottom w:val="none" w:sz="0" w:space="0" w:color="auto"/>
        <w:right w:val="none" w:sz="0" w:space="0" w:color="auto"/>
      </w:divBdr>
    </w:div>
    <w:div w:id="1383750560">
      <w:bodyDiv w:val="1"/>
      <w:marLeft w:val="0"/>
      <w:marRight w:val="0"/>
      <w:marTop w:val="0"/>
      <w:marBottom w:val="0"/>
      <w:divBdr>
        <w:top w:val="none" w:sz="0" w:space="0" w:color="auto"/>
        <w:left w:val="none" w:sz="0" w:space="0" w:color="auto"/>
        <w:bottom w:val="none" w:sz="0" w:space="0" w:color="auto"/>
        <w:right w:val="none" w:sz="0" w:space="0" w:color="auto"/>
      </w:divBdr>
    </w:div>
    <w:div w:id="1403991138">
      <w:bodyDiv w:val="1"/>
      <w:marLeft w:val="0"/>
      <w:marRight w:val="0"/>
      <w:marTop w:val="0"/>
      <w:marBottom w:val="0"/>
      <w:divBdr>
        <w:top w:val="none" w:sz="0" w:space="0" w:color="auto"/>
        <w:left w:val="none" w:sz="0" w:space="0" w:color="auto"/>
        <w:bottom w:val="none" w:sz="0" w:space="0" w:color="auto"/>
        <w:right w:val="none" w:sz="0" w:space="0" w:color="auto"/>
      </w:divBdr>
    </w:div>
    <w:div w:id="1425107182">
      <w:bodyDiv w:val="1"/>
      <w:marLeft w:val="0"/>
      <w:marRight w:val="0"/>
      <w:marTop w:val="0"/>
      <w:marBottom w:val="0"/>
      <w:divBdr>
        <w:top w:val="none" w:sz="0" w:space="0" w:color="auto"/>
        <w:left w:val="none" w:sz="0" w:space="0" w:color="auto"/>
        <w:bottom w:val="none" w:sz="0" w:space="0" w:color="auto"/>
        <w:right w:val="none" w:sz="0" w:space="0" w:color="auto"/>
      </w:divBdr>
    </w:div>
    <w:div w:id="1430270307">
      <w:bodyDiv w:val="1"/>
      <w:marLeft w:val="0"/>
      <w:marRight w:val="0"/>
      <w:marTop w:val="0"/>
      <w:marBottom w:val="0"/>
      <w:divBdr>
        <w:top w:val="none" w:sz="0" w:space="0" w:color="auto"/>
        <w:left w:val="none" w:sz="0" w:space="0" w:color="auto"/>
        <w:bottom w:val="none" w:sz="0" w:space="0" w:color="auto"/>
        <w:right w:val="none" w:sz="0" w:space="0" w:color="auto"/>
      </w:divBdr>
    </w:div>
    <w:div w:id="1450247820">
      <w:bodyDiv w:val="1"/>
      <w:marLeft w:val="0"/>
      <w:marRight w:val="0"/>
      <w:marTop w:val="0"/>
      <w:marBottom w:val="0"/>
      <w:divBdr>
        <w:top w:val="none" w:sz="0" w:space="0" w:color="auto"/>
        <w:left w:val="none" w:sz="0" w:space="0" w:color="auto"/>
        <w:bottom w:val="none" w:sz="0" w:space="0" w:color="auto"/>
        <w:right w:val="none" w:sz="0" w:space="0" w:color="auto"/>
      </w:divBdr>
    </w:div>
    <w:div w:id="1466966966">
      <w:bodyDiv w:val="1"/>
      <w:marLeft w:val="0"/>
      <w:marRight w:val="0"/>
      <w:marTop w:val="0"/>
      <w:marBottom w:val="0"/>
      <w:divBdr>
        <w:top w:val="none" w:sz="0" w:space="0" w:color="auto"/>
        <w:left w:val="none" w:sz="0" w:space="0" w:color="auto"/>
        <w:bottom w:val="none" w:sz="0" w:space="0" w:color="auto"/>
        <w:right w:val="none" w:sz="0" w:space="0" w:color="auto"/>
      </w:divBdr>
    </w:div>
    <w:div w:id="1504005354">
      <w:bodyDiv w:val="1"/>
      <w:marLeft w:val="0"/>
      <w:marRight w:val="0"/>
      <w:marTop w:val="0"/>
      <w:marBottom w:val="0"/>
      <w:divBdr>
        <w:top w:val="none" w:sz="0" w:space="0" w:color="auto"/>
        <w:left w:val="none" w:sz="0" w:space="0" w:color="auto"/>
        <w:bottom w:val="none" w:sz="0" w:space="0" w:color="auto"/>
        <w:right w:val="none" w:sz="0" w:space="0" w:color="auto"/>
      </w:divBdr>
    </w:div>
    <w:div w:id="1534615758">
      <w:bodyDiv w:val="1"/>
      <w:marLeft w:val="0"/>
      <w:marRight w:val="0"/>
      <w:marTop w:val="0"/>
      <w:marBottom w:val="0"/>
      <w:divBdr>
        <w:top w:val="none" w:sz="0" w:space="0" w:color="auto"/>
        <w:left w:val="none" w:sz="0" w:space="0" w:color="auto"/>
        <w:bottom w:val="none" w:sz="0" w:space="0" w:color="auto"/>
        <w:right w:val="none" w:sz="0" w:space="0" w:color="auto"/>
      </w:divBdr>
    </w:div>
    <w:div w:id="1580024146">
      <w:bodyDiv w:val="1"/>
      <w:marLeft w:val="0"/>
      <w:marRight w:val="0"/>
      <w:marTop w:val="0"/>
      <w:marBottom w:val="0"/>
      <w:divBdr>
        <w:top w:val="none" w:sz="0" w:space="0" w:color="auto"/>
        <w:left w:val="none" w:sz="0" w:space="0" w:color="auto"/>
        <w:bottom w:val="none" w:sz="0" w:space="0" w:color="auto"/>
        <w:right w:val="none" w:sz="0" w:space="0" w:color="auto"/>
      </w:divBdr>
    </w:div>
    <w:div w:id="1583105660">
      <w:bodyDiv w:val="1"/>
      <w:marLeft w:val="0"/>
      <w:marRight w:val="0"/>
      <w:marTop w:val="0"/>
      <w:marBottom w:val="0"/>
      <w:divBdr>
        <w:top w:val="none" w:sz="0" w:space="0" w:color="auto"/>
        <w:left w:val="none" w:sz="0" w:space="0" w:color="auto"/>
        <w:bottom w:val="none" w:sz="0" w:space="0" w:color="auto"/>
        <w:right w:val="none" w:sz="0" w:space="0" w:color="auto"/>
      </w:divBdr>
    </w:div>
    <w:div w:id="1614557409">
      <w:bodyDiv w:val="1"/>
      <w:marLeft w:val="0"/>
      <w:marRight w:val="0"/>
      <w:marTop w:val="0"/>
      <w:marBottom w:val="0"/>
      <w:divBdr>
        <w:top w:val="none" w:sz="0" w:space="0" w:color="auto"/>
        <w:left w:val="none" w:sz="0" w:space="0" w:color="auto"/>
        <w:bottom w:val="none" w:sz="0" w:space="0" w:color="auto"/>
        <w:right w:val="none" w:sz="0" w:space="0" w:color="auto"/>
      </w:divBdr>
    </w:div>
    <w:div w:id="1622225573">
      <w:bodyDiv w:val="1"/>
      <w:marLeft w:val="0"/>
      <w:marRight w:val="0"/>
      <w:marTop w:val="0"/>
      <w:marBottom w:val="0"/>
      <w:divBdr>
        <w:top w:val="none" w:sz="0" w:space="0" w:color="auto"/>
        <w:left w:val="none" w:sz="0" w:space="0" w:color="auto"/>
        <w:bottom w:val="none" w:sz="0" w:space="0" w:color="auto"/>
        <w:right w:val="none" w:sz="0" w:space="0" w:color="auto"/>
      </w:divBdr>
    </w:div>
    <w:div w:id="1630621998">
      <w:bodyDiv w:val="1"/>
      <w:marLeft w:val="0"/>
      <w:marRight w:val="0"/>
      <w:marTop w:val="0"/>
      <w:marBottom w:val="0"/>
      <w:divBdr>
        <w:top w:val="none" w:sz="0" w:space="0" w:color="auto"/>
        <w:left w:val="none" w:sz="0" w:space="0" w:color="auto"/>
        <w:bottom w:val="none" w:sz="0" w:space="0" w:color="auto"/>
        <w:right w:val="none" w:sz="0" w:space="0" w:color="auto"/>
      </w:divBdr>
    </w:div>
    <w:div w:id="1635600963">
      <w:bodyDiv w:val="1"/>
      <w:marLeft w:val="0"/>
      <w:marRight w:val="0"/>
      <w:marTop w:val="0"/>
      <w:marBottom w:val="0"/>
      <w:divBdr>
        <w:top w:val="none" w:sz="0" w:space="0" w:color="auto"/>
        <w:left w:val="none" w:sz="0" w:space="0" w:color="auto"/>
        <w:bottom w:val="none" w:sz="0" w:space="0" w:color="auto"/>
        <w:right w:val="none" w:sz="0" w:space="0" w:color="auto"/>
      </w:divBdr>
    </w:div>
    <w:div w:id="1647011819">
      <w:bodyDiv w:val="1"/>
      <w:marLeft w:val="0"/>
      <w:marRight w:val="0"/>
      <w:marTop w:val="0"/>
      <w:marBottom w:val="0"/>
      <w:divBdr>
        <w:top w:val="none" w:sz="0" w:space="0" w:color="auto"/>
        <w:left w:val="none" w:sz="0" w:space="0" w:color="auto"/>
        <w:bottom w:val="none" w:sz="0" w:space="0" w:color="auto"/>
        <w:right w:val="none" w:sz="0" w:space="0" w:color="auto"/>
      </w:divBdr>
    </w:div>
    <w:div w:id="1647585538">
      <w:bodyDiv w:val="1"/>
      <w:marLeft w:val="0"/>
      <w:marRight w:val="0"/>
      <w:marTop w:val="0"/>
      <w:marBottom w:val="0"/>
      <w:divBdr>
        <w:top w:val="none" w:sz="0" w:space="0" w:color="auto"/>
        <w:left w:val="none" w:sz="0" w:space="0" w:color="auto"/>
        <w:bottom w:val="none" w:sz="0" w:space="0" w:color="auto"/>
        <w:right w:val="none" w:sz="0" w:space="0" w:color="auto"/>
      </w:divBdr>
    </w:div>
    <w:div w:id="1653945865">
      <w:bodyDiv w:val="1"/>
      <w:marLeft w:val="0"/>
      <w:marRight w:val="0"/>
      <w:marTop w:val="0"/>
      <w:marBottom w:val="0"/>
      <w:divBdr>
        <w:top w:val="none" w:sz="0" w:space="0" w:color="auto"/>
        <w:left w:val="none" w:sz="0" w:space="0" w:color="auto"/>
        <w:bottom w:val="none" w:sz="0" w:space="0" w:color="auto"/>
        <w:right w:val="none" w:sz="0" w:space="0" w:color="auto"/>
      </w:divBdr>
    </w:div>
    <w:div w:id="1668167394">
      <w:bodyDiv w:val="1"/>
      <w:marLeft w:val="0"/>
      <w:marRight w:val="0"/>
      <w:marTop w:val="0"/>
      <w:marBottom w:val="0"/>
      <w:divBdr>
        <w:top w:val="none" w:sz="0" w:space="0" w:color="auto"/>
        <w:left w:val="none" w:sz="0" w:space="0" w:color="auto"/>
        <w:bottom w:val="none" w:sz="0" w:space="0" w:color="auto"/>
        <w:right w:val="none" w:sz="0" w:space="0" w:color="auto"/>
      </w:divBdr>
    </w:div>
    <w:div w:id="1669668858">
      <w:bodyDiv w:val="1"/>
      <w:marLeft w:val="0"/>
      <w:marRight w:val="0"/>
      <w:marTop w:val="0"/>
      <w:marBottom w:val="0"/>
      <w:divBdr>
        <w:top w:val="none" w:sz="0" w:space="0" w:color="auto"/>
        <w:left w:val="none" w:sz="0" w:space="0" w:color="auto"/>
        <w:bottom w:val="none" w:sz="0" w:space="0" w:color="auto"/>
        <w:right w:val="none" w:sz="0" w:space="0" w:color="auto"/>
      </w:divBdr>
    </w:div>
    <w:div w:id="1675568252">
      <w:bodyDiv w:val="1"/>
      <w:marLeft w:val="0"/>
      <w:marRight w:val="0"/>
      <w:marTop w:val="0"/>
      <w:marBottom w:val="0"/>
      <w:divBdr>
        <w:top w:val="none" w:sz="0" w:space="0" w:color="auto"/>
        <w:left w:val="none" w:sz="0" w:space="0" w:color="auto"/>
        <w:bottom w:val="none" w:sz="0" w:space="0" w:color="auto"/>
        <w:right w:val="none" w:sz="0" w:space="0" w:color="auto"/>
      </w:divBdr>
    </w:div>
    <w:div w:id="1704399395">
      <w:bodyDiv w:val="1"/>
      <w:marLeft w:val="0"/>
      <w:marRight w:val="0"/>
      <w:marTop w:val="0"/>
      <w:marBottom w:val="0"/>
      <w:divBdr>
        <w:top w:val="none" w:sz="0" w:space="0" w:color="auto"/>
        <w:left w:val="none" w:sz="0" w:space="0" w:color="auto"/>
        <w:bottom w:val="none" w:sz="0" w:space="0" w:color="auto"/>
        <w:right w:val="none" w:sz="0" w:space="0" w:color="auto"/>
      </w:divBdr>
    </w:div>
    <w:div w:id="1722946366">
      <w:bodyDiv w:val="1"/>
      <w:marLeft w:val="0"/>
      <w:marRight w:val="0"/>
      <w:marTop w:val="0"/>
      <w:marBottom w:val="0"/>
      <w:divBdr>
        <w:top w:val="none" w:sz="0" w:space="0" w:color="auto"/>
        <w:left w:val="none" w:sz="0" w:space="0" w:color="auto"/>
        <w:bottom w:val="none" w:sz="0" w:space="0" w:color="auto"/>
        <w:right w:val="none" w:sz="0" w:space="0" w:color="auto"/>
      </w:divBdr>
    </w:div>
    <w:div w:id="1728335440">
      <w:bodyDiv w:val="1"/>
      <w:marLeft w:val="0"/>
      <w:marRight w:val="0"/>
      <w:marTop w:val="0"/>
      <w:marBottom w:val="0"/>
      <w:divBdr>
        <w:top w:val="none" w:sz="0" w:space="0" w:color="auto"/>
        <w:left w:val="none" w:sz="0" w:space="0" w:color="auto"/>
        <w:bottom w:val="none" w:sz="0" w:space="0" w:color="auto"/>
        <w:right w:val="none" w:sz="0" w:space="0" w:color="auto"/>
      </w:divBdr>
    </w:div>
    <w:div w:id="1748845902">
      <w:bodyDiv w:val="1"/>
      <w:marLeft w:val="0"/>
      <w:marRight w:val="0"/>
      <w:marTop w:val="0"/>
      <w:marBottom w:val="0"/>
      <w:divBdr>
        <w:top w:val="none" w:sz="0" w:space="0" w:color="auto"/>
        <w:left w:val="none" w:sz="0" w:space="0" w:color="auto"/>
        <w:bottom w:val="none" w:sz="0" w:space="0" w:color="auto"/>
        <w:right w:val="none" w:sz="0" w:space="0" w:color="auto"/>
      </w:divBdr>
    </w:div>
    <w:div w:id="1749308266">
      <w:bodyDiv w:val="1"/>
      <w:marLeft w:val="0"/>
      <w:marRight w:val="0"/>
      <w:marTop w:val="0"/>
      <w:marBottom w:val="0"/>
      <w:divBdr>
        <w:top w:val="none" w:sz="0" w:space="0" w:color="auto"/>
        <w:left w:val="none" w:sz="0" w:space="0" w:color="auto"/>
        <w:bottom w:val="none" w:sz="0" w:space="0" w:color="auto"/>
        <w:right w:val="none" w:sz="0" w:space="0" w:color="auto"/>
      </w:divBdr>
    </w:div>
    <w:div w:id="1751611566">
      <w:bodyDiv w:val="1"/>
      <w:marLeft w:val="0"/>
      <w:marRight w:val="0"/>
      <w:marTop w:val="0"/>
      <w:marBottom w:val="0"/>
      <w:divBdr>
        <w:top w:val="none" w:sz="0" w:space="0" w:color="auto"/>
        <w:left w:val="none" w:sz="0" w:space="0" w:color="auto"/>
        <w:bottom w:val="none" w:sz="0" w:space="0" w:color="auto"/>
        <w:right w:val="none" w:sz="0" w:space="0" w:color="auto"/>
      </w:divBdr>
    </w:div>
    <w:div w:id="1786119187">
      <w:bodyDiv w:val="1"/>
      <w:marLeft w:val="0"/>
      <w:marRight w:val="0"/>
      <w:marTop w:val="0"/>
      <w:marBottom w:val="0"/>
      <w:divBdr>
        <w:top w:val="none" w:sz="0" w:space="0" w:color="auto"/>
        <w:left w:val="none" w:sz="0" w:space="0" w:color="auto"/>
        <w:bottom w:val="none" w:sz="0" w:space="0" w:color="auto"/>
        <w:right w:val="none" w:sz="0" w:space="0" w:color="auto"/>
      </w:divBdr>
    </w:div>
    <w:div w:id="1786465942">
      <w:bodyDiv w:val="1"/>
      <w:marLeft w:val="0"/>
      <w:marRight w:val="0"/>
      <w:marTop w:val="0"/>
      <w:marBottom w:val="0"/>
      <w:divBdr>
        <w:top w:val="none" w:sz="0" w:space="0" w:color="auto"/>
        <w:left w:val="none" w:sz="0" w:space="0" w:color="auto"/>
        <w:bottom w:val="none" w:sz="0" w:space="0" w:color="auto"/>
        <w:right w:val="none" w:sz="0" w:space="0" w:color="auto"/>
      </w:divBdr>
    </w:div>
    <w:div w:id="1827817784">
      <w:bodyDiv w:val="1"/>
      <w:marLeft w:val="0"/>
      <w:marRight w:val="0"/>
      <w:marTop w:val="0"/>
      <w:marBottom w:val="0"/>
      <w:divBdr>
        <w:top w:val="none" w:sz="0" w:space="0" w:color="auto"/>
        <w:left w:val="none" w:sz="0" w:space="0" w:color="auto"/>
        <w:bottom w:val="none" w:sz="0" w:space="0" w:color="auto"/>
        <w:right w:val="none" w:sz="0" w:space="0" w:color="auto"/>
      </w:divBdr>
    </w:div>
    <w:div w:id="1838035726">
      <w:bodyDiv w:val="1"/>
      <w:marLeft w:val="0"/>
      <w:marRight w:val="0"/>
      <w:marTop w:val="0"/>
      <w:marBottom w:val="0"/>
      <w:divBdr>
        <w:top w:val="none" w:sz="0" w:space="0" w:color="auto"/>
        <w:left w:val="none" w:sz="0" w:space="0" w:color="auto"/>
        <w:bottom w:val="none" w:sz="0" w:space="0" w:color="auto"/>
        <w:right w:val="none" w:sz="0" w:space="0" w:color="auto"/>
      </w:divBdr>
    </w:div>
    <w:div w:id="1858423436">
      <w:bodyDiv w:val="1"/>
      <w:marLeft w:val="0"/>
      <w:marRight w:val="0"/>
      <w:marTop w:val="0"/>
      <w:marBottom w:val="0"/>
      <w:divBdr>
        <w:top w:val="none" w:sz="0" w:space="0" w:color="auto"/>
        <w:left w:val="none" w:sz="0" w:space="0" w:color="auto"/>
        <w:bottom w:val="none" w:sz="0" w:space="0" w:color="auto"/>
        <w:right w:val="none" w:sz="0" w:space="0" w:color="auto"/>
      </w:divBdr>
    </w:div>
    <w:div w:id="1869946856">
      <w:bodyDiv w:val="1"/>
      <w:marLeft w:val="0"/>
      <w:marRight w:val="0"/>
      <w:marTop w:val="0"/>
      <w:marBottom w:val="0"/>
      <w:divBdr>
        <w:top w:val="none" w:sz="0" w:space="0" w:color="auto"/>
        <w:left w:val="none" w:sz="0" w:space="0" w:color="auto"/>
        <w:bottom w:val="none" w:sz="0" w:space="0" w:color="auto"/>
        <w:right w:val="none" w:sz="0" w:space="0" w:color="auto"/>
      </w:divBdr>
    </w:div>
    <w:div w:id="1886328483">
      <w:bodyDiv w:val="1"/>
      <w:marLeft w:val="0"/>
      <w:marRight w:val="0"/>
      <w:marTop w:val="0"/>
      <w:marBottom w:val="0"/>
      <w:divBdr>
        <w:top w:val="none" w:sz="0" w:space="0" w:color="auto"/>
        <w:left w:val="none" w:sz="0" w:space="0" w:color="auto"/>
        <w:bottom w:val="none" w:sz="0" w:space="0" w:color="auto"/>
        <w:right w:val="none" w:sz="0" w:space="0" w:color="auto"/>
      </w:divBdr>
    </w:div>
    <w:div w:id="1899316202">
      <w:bodyDiv w:val="1"/>
      <w:marLeft w:val="0"/>
      <w:marRight w:val="0"/>
      <w:marTop w:val="0"/>
      <w:marBottom w:val="0"/>
      <w:divBdr>
        <w:top w:val="none" w:sz="0" w:space="0" w:color="auto"/>
        <w:left w:val="none" w:sz="0" w:space="0" w:color="auto"/>
        <w:bottom w:val="none" w:sz="0" w:space="0" w:color="auto"/>
        <w:right w:val="none" w:sz="0" w:space="0" w:color="auto"/>
      </w:divBdr>
    </w:div>
    <w:div w:id="1905330588">
      <w:bodyDiv w:val="1"/>
      <w:marLeft w:val="0"/>
      <w:marRight w:val="0"/>
      <w:marTop w:val="0"/>
      <w:marBottom w:val="0"/>
      <w:divBdr>
        <w:top w:val="none" w:sz="0" w:space="0" w:color="auto"/>
        <w:left w:val="none" w:sz="0" w:space="0" w:color="auto"/>
        <w:bottom w:val="none" w:sz="0" w:space="0" w:color="auto"/>
        <w:right w:val="none" w:sz="0" w:space="0" w:color="auto"/>
      </w:divBdr>
    </w:div>
    <w:div w:id="1911161066">
      <w:bodyDiv w:val="1"/>
      <w:marLeft w:val="0"/>
      <w:marRight w:val="0"/>
      <w:marTop w:val="0"/>
      <w:marBottom w:val="0"/>
      <w:divBdr>
        <w:top w:val="none" w:sz="0" w:space="0" w:color="auto"/>
        <w:left w:val="none" w:sz="0" w:space="0" w:color="auto"/>
        <w:bottom w:val="none" w:sz="0" w:space="0" w:color="auto"/>
        <w:right w:val="none" w:sz="0" w:space="0" w:color="auto"/>
      </w:divBdr>
    </w:div>
    <w:div w:id="1921596570">
      <w:bodyDiv w:val="1"/>
      <w:marLeft w:val="0"/>
      <w:marRight w:val="0"/>
      <w:marTop w:val="0"/>
      <w:marBottom w:val="0"/>
      <w:divBdr>
        <w:top w:val="none" w:sz="0" w:space="0" w:color="auto"/>
        <w:left w:val="none" w:sz="0" w:space="0" w:color="auto"/>
        <w:bottom w:val="none" w:sz="0" w:space="0" w:color="auto"/>
        <w:right w:val="none" w:sz="0" w:space="0" w:color="auto"/>
      </w:divBdr>
    </w:div>
    <w:div w:id="194996396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6695051">
      <w:bodyDiv w:val="1"/>
      <w:marLeft w:val="0"/>
      <w:marRight w:val="0"/>
      <w:marTop w:val="0"/>
      <w:marBottom w:val="0"/>
      <w:divBdr>
        <w:top w:val="none" w:sz="0" w:space="0" w:color="auto"/>
        <w:left w:val="none" w:sz="0" w:space="0" w:color="auto"/>
        <w:bottom w:val="none" w:sz="0" w:space="0" w:color="auto"/>
        <w:right w:val="none" w:sz="0" w:space="0" w:color="auto"/>
      </w:divBdr>
    </w:div>
    <w:div w:id="1989891977">
      <w:bodyDiv w:val="1"/>
      <w:marLeft w:val="0"/>
      <w:marRight w:val="0"/>
      <w:marTop w:val="0"/>
      <w:marBottom w:val="0"/>
      <w:divBdr>
        <w:top w:val="none" w:sz="0" w:space="0" w:color="auto"/>
        <w:left w:val="none" w:sz="0" w:space="0" w:color="auto"/>
        <w:bottom w:val="none" w:sz="0" w:space="0" w:color="auto"/>
        <w:right w:val="none" w:sz="0" w:space="0" w:color="auto"/>
      </w:divBdr>
    </w:div>
    <w:div w:id="1993174712">
      <w:bodyDiv w:val="1"/>
      <w:marLeft w:val="0"/>
      <w:marRight w:val="0"/>
      <w:marTop w:val="0"/>
      <w:marBottom w:val="0"/>
      <w:divBdr>
        <w:top w:val="none" w:sz="0" w:space="0" w:color="auto"/>
        <w:left w:val="none" w:sz="0" w:space="0" w:color="auto"/>
        <w:bottom w:val="none" w:sz="0" w:space="0" w:color="auto"/>
        <w:right w:val="none" w:sz="0" w:space="0" w:color="auto"/>
      </w:divBdr>
    </w:div>
    <w:div w:id="1997420020">
      <w:bodyDiv w:val="1"/>
      <w:marLeft w:val="0"/>
      <w:marRight w:val="0"/>
      <w:marTop w:val="0"/>
      <w:marBottom w:val="0"/>
      <w:divBdr>
        <w:top w:val="none" w:sz="0" w:space="0" w:color="auto"/>
        <w:left w:val="none" w:sz="0" w:space="0" w:color="auto"/>
        <w:bottom w:val="none" w:sz="0" w:space="0" w:color="auto"/>
        <w:right w:val="none" w:sz="0" w:space="0" w:color="auto"/>
      </w:divBdr>
    </w:div>
    <w:div w:id="2014139690">
      <w:bodyDiv w:val="1"/>
      <w:marLeft w:val="0"/>
      <w:marRight w:val="0"/>
      <w:marTop w:val="0"/>
      <w:marBottom w:val="0"/>
      <w:divBdr>
        <w:top w:val="none" w:sz="0" w:space="0" w:color="auto"/>
        <w:left w:val="none" w:sz="0" w:space="0" w:color="auto"/>
        <w:bottom w:val="none" w:sz="0" w:space="0" w:color="auto"/>
        <w:right w:val="none" w:sz="0" w:space="0" w:color="auto"/>
      </w:divBdr>
    </w:div>
    <w:div w:id="2018343179">
      <w:bodyDiv w:val="1"/>
      <w:marLeft w:val="0"/>
      <w:marRight w:val="0"/>
      <w:marTop w:val="0"/>
      <w:marBottom w:val="0"/>
      <w:divBdr>
        <w:top w:val="none" w:sz="0" w:space="0" w:color="auto"/>
        <w:left w:val="none" w:sz="0" w:space="0" w:color="auto"/>
        <w:bottom w:val="none" w:sz="0" w:space="0" w:color="auto"/>
        <w:right w:val="none" w:sz="0" w:space="0" w:color="auto"/>
      </w:divBdr>
    </w:div>
    <w:div w:id="2026901984">
      <w:bodyDiv w:val="1"/>
      <w:marLeft w:val="0"/>
      <w:marRight w:val="0"/>
      <w:marTop w:val="0"/>
      <w:marBottom w:val="0"/>
      <w:divBdr>
        <w:top w:val="none" w:sz="0" w:space="0" w:color="auto"/>
        <w:left w:val="none" w:sz="0" w:space="0" w:color="auto"/>
        <w:bottom w:val="none" w:sz="0" w:space="0" w:color="auto"/>
        <w:right w:val="none" w:sz="0" w:space="0" w:color="auto"/>
      </w:divBdr>
    </w:div>
    <w:div w:id="2038041445">
      <w:bodyDiv w:val="1"/>
      <w:marLeft w:val="0"/>
      <w:marRight w:val="0"/>
      <w:marTop w:val="0"/>
      <w:marBottom w:val="0"/>
      <w:divBdr>
        <w:top w:val="none" w:sz="0" w:space="0" w:color="auto"/>
        <w:left w:val="none" w:sz="0" w:space="0" w:color="auto"/>
        <w:bottom w:val="none" w:sz="0" w:space="0" w:color="auto"/>
        <w:right w:val="none" w:sz="0" w:space="0" w:color="auto"/>
      </w:divBdr>
    </w:div>
    <w:div w:id="2049597042">
      <w:bodyDiv w:val="1"/>
      <w:marLeft w:val="0"/>
      <w:marRight w:val="0"/>
      <w:marTop w:val="0"/>
      <w:marBottom w:val="0"/>
      <w:divBdr>
        <w:top w:val="none" w:sz="0" w:space="0" w:color="auto"/>
        <w:left w:val="none" w:sz="0" w:space="0" w:color="auto"/>
        <w:bottom w:val="none" w:sz="0" w:space="0" w:color="auto"/>
        <w:right w:val="none" w:sz="0" w:space="0" w:color="auto"/>
      </w:divBdr>
    </w:div>
    <w:div w:id="2063359157">
      <w:bodyDiv w:val="1"/>
      <w:marLeft w:val="0"/>
      <w:marRight w:val="0"/>
      <w:marTop w:val="0"/>
      <w:marBottom w:val="0"/>
      <w:divBdr>
        <w:top w:val="none" w:sz="0" w:space="0" w:color="auto"/>
        <w:left w:val="none" w:sz="0" w:space="0" w:color="auto"/>
        <w:bottom w:val="none" w:sz="0" w:space="0" w:color="auto"/>
        <w:right w:val="none" w:sz="0" w:space="0" w:color="auto"/>
      </w:divBdr>
    </w:div>
    <w:div w:id="2110615765">
      <w:bodyDiv w:val="1"/>
      <w:marLeft w:val="0"/>
      <w:marRight w:val="0"/>
      <w:marTop w:val="0"/>
      <w:marBottom w:val="0"/>
      <w:divBdr>
        <w:top w:val="none" w:sz="0" w:space="0" w:color="auto"/>
        <w:left w:val="none" w:sz="0" w:space="0" w:color="auto"/>
        <w:bottom w:val="none" w:sz="0" w:space="0" w:color="auto"/>
        <w:right w:val="none" w:sz="0" w:space="0" w:color="auto"/>
      </w:divBdr>
    </w:div>
    <w:div w:id="21273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57"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5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FE2E-B036-47F2-8D81-69651A74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12609</Words>
  <Characters>68830</Characters>
  <Application>Microsoft Office Word</Application>
  <DocSecurity>0</DocSecurity>
  <Lines>573</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2021-02-25T00:39:00Z</dcterms:created>
  <dcterms:modified xsi:type="dcterms:W3CDTF">2021-03-15T23:12:00Z</dcterms:modified>
</cp:coreProperties>
</file>